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CB04" w14:textId="77777777" w:rsidR="004C58BE" w:rsidRPr="001F50BA" w:rsidRDefault="00F170BC" w:rsidP="00E53013">
      <w:pPr>
        <w:suppressAutoHyphens/>
        <w:autoSpaceDE w:val="0"/>
        <w:spacing w:line="480" w:lineRule="auto"/>
        <w:jc w:val="center"/>
        <w:rPr>
          <w:rFonts w:eastAsia="Times New Roman"/>
          <w:b/>
          <w:lang w:eastAsia="ar-SA"/>
        </w:rPr>
      </w:pPr>
      <w:bookmarkStart w:id="0" w:name="_Hlk535660480"/>
      <w:r w:rsidRPr="001F50BA">
        <w:rPr>
          <w:b/>
        </w:rPr>
        <w:t xml:space="preserve">THE </w:t>
      </w:r>
      <w:r w:rsidR="00C1396D" w:rsidRPr="001F50BA">
        <w:rPr>
          <w:b/>
        </w:rPr>
        <w:t xml:space="preserve">MULTIDIMENSIONAL PROGNOSTIC INDEX PREDICTS </w:t>
      </w:r>
      <w:r w:rsidR="004C58BE" w:rsidRPr="001F50BA">
        <w:rPr>
          <w:b/>
        </w:rPr>
        <w:t>FALLS IN OLDER PEOPLE</w:t>
      </w:r>
      <w:r w:rsidR="00E53013" w:rsidRPr="001F50BA">
        <w:rPr>
          <w:rFonts w:eastAsia="Times New Roman"/>
          <w:b/>
          <w:lang w:eastAsia="ar-SA"/>
        </w:rPr>
        <w:t>:</w:t>
      </w:r>
      <w:r w:rsidR="00535609" w:rsidRPr="001F50BA">
        <w:rPr>
          <w:rFonts w:eastAsia="Times New Roman"/>
          <w:b/>
          <w:lang w:eastAsia="ar-SA"/>
        </w:rPr>
        <w:t xml:space="preserve"> </w:t>
      </w:r>
    </w:p>
    <w:p w14:paraId="4F3B4865" w14:textId="2B36B170" w:rsidR="00E53013" w:rsidRDefault="00A526B4" w:rsidP="00E53013">
      <w:pPr>
        <w:suppressAutoHyphens/>
        <w:autoSpaceDE w:val="0"/>
        <w:spacing w:line="480" w:lineRule="auto"/>
        <w:jc w:val="center"/>
        <w:rPr>
          <w:rFonts w:eastAsia="Times New Roman"/>
          <w:b/>
          <w:lang w:eastAsia="ar-SA"/>
        </w:rPr>
      </w:pPr>
      <w:r w:rsidRPr="001F50BA">
        <w:rPr>
          <w:rFonts w:eastAsia="Times New Roman"/>
          <w:b/>
          <w:lang w:eastAsia="ar-SA"/>
        </w:rPr>
        <w:t>A</w:t>
      </w:r>
      <w:r w:rsidR="006121A2" w:rsidRPr="001F50BA">
        <w:rPr>
          <w:rFonts w:eastAsia="Times New Roman"/>
          <w:b/>
          <w:lang w:eastAsia="ar-SA"/>
        </w:rPr>
        <w:t>N</w:t>
      </w:r>
      <w:r w:rsidRPr="001F50BA">
        <w:rPr>
          <w:rFonts w:eastAsia="Times New Roman"/>
          <w:b/>
          <w:lang w:eastAsia="ar-SA"/>
        </w:rPr>
        <w:t xml:space="preserve"> </w:t>
      </w:r>
      <w:r w:rsidR="0054097B" w:rsidRPr="001F50BA">
        <w:rPr>
          <w:rFonts w:eastAsia="Times New Roman"/>
          <w:b/>
          <w:lang w:eastAsia="ar-SA"/>
        </w:rPr>
        <w:t xml:space="preserve">8-YEAR </w:t>
      </w:r>
      <w:r w:rsidRPr="001F50BA">
        <w:rPr>
          <w:rFonts w:eastAsia="Times New Roman"/>
          <w:b/>
          <w:lang w:eastAsia="ar-SA"/>
        </w:rPr>
        <w:t>LONGITUDINAL COHORT STUDY</w:t>
      </w:r>
      <w:bookmarkEnd w:id="0"/>
      <w:r w:rsidR="00272A5F" w:rsidRPr="001F50BA">
        <w:rPr>
          <w:rFonts w:eastAsia="Times New Roman"/>
          <w:b/>
          <w:lang w:eastAsia="ar-SA"/>
        </w:rPr>
        <w:t xml:space="preserve"> IN THE OSTEOARTHRITIS INITIATIVE</w:t>
      </w:r>
    </w:p>
    <w:p w14:paraId="6C41DBF8" w14:textId="77777777" w:rsidR="00BE26C0" w:rsidRPr="001F50BA" w:rsidRDefault="00BE26C0" w:rsidP="00E53013">
      <w:pPr>
        <w:suppressAutoHyphens/>
        <w:autoSpaceDE w:val="0"/>
        <w:spacing w:line="480" w:lineRule="auto"/>
        <w:jc w:val="center"/>
        <w:rPr>
          <w:rFonts w:eastAsia="Times New Roman"/>
          <w:b/>
          <w:lang w:eastAsia="ar-SA"/>
        </w:rPr>
      </w:pPr>
    </w:p>
    <w:p w14:paraId="3D0965E1" w14:textId="77777777" w:rsidR="00BE26C0" w:rsidRDefault="00BE26C0" w:rsidP="00BE26C0">
      <w:pPr>
        <w:spacing w:line="480" w:lineRule="auto"/>
        <w:jc w:val="both"/>
        <w:rPr>
          <w:rFonts w:eastAsia="????"/>
          <w:iCs/>
          <w:lang w:val="it-IT" w:eastAsia="zh-TW"/>
        </w:rPr>
      </w:pPr>
      <w:r w:rsidRPr="00314CBD">
        <w:rPr>
          <w:rFonts w:eastAsia="????"/>
          <w:iCs/>
          <w:lang w:val="it-IT" w:eastAsia="zh-TW"/>
        </w:rPr>
        <w:t>Nicola Veronese</w:t>
      </w:r>
      <w:r w:rsidRPr="00314CBD">
        <w:rPr>
          <w:rFonts w:eastAsia="????"/>
          <w:iCs/>
          <w:vertAlign w:val="superscript"/>
          <w:lang w:val="it-IT" w:eastAsia="zh-TW"/>
        </w:rPr>
        <w:t>1</w:t>
      </w:r>
      <w:r>
        <w:rPr>
          <w:rFonts w:eastAsia="????"/>
          <w:iCs/>
          <w:vertAlign w:val="superscript"/>
          <w:lang w:val="it-IT" w:eastAsia="zh-TW"/>
        </w:rPr>
        <w:t>,2</w:t>
      </w:r>
      <w:r w:rsidRPr="00314CBD">
        <w:rPr>
          <w:rFonts w:eastAsia="????"/>
          <w:iCs/>
          <w:lang w:val="it-IT" w:eastAsia="zh-TW"/>
        </w:rPr>
        <w:t xml:space="preserve">, </w:t>
      </w:r>
      <w:r>
        <w:rPr>
          <w:rFonts w:eastAsia="????"/>
          <w:iCs/>
          <w:lang w:val="it-IT" w:eastAsia="zh-TW"/>
        </w:rPr>
        <w:t xml:space="preserve">MD, </w:t>
      </w:r>
      <w:r w:rsidRPr="00314CBD">
        <w:rPr>
          <w:rFonts w:eastAsia="????"/>
          <w:iCs/>
          <w:lang w:val="it-IT" w:eastAsia="zh-TW"/>
        </w:rPr>
        <w:t>Giacomo Siri</w:t>
      </w:r>
      <w:r w:rsidRPr="00314CBD">
        <w:rPr>
          <w:rFonts w:eastAsia="????"/>
          <w:iCs/>
          <w:vertAlign w:val="superscript"/>
          <w:lang w:val="it-IT" w:eastAsia="zh-TW"/>
        </w:rPr>
        <w:t>1</w:t>
      </w:r>
      <w:r w:rsidRPr="00314CBD">
        <w:rPr>
          <w:rFonts w:eastAsia="????"/>
          <w:iCs/>
          <w:lang w:val="it-IT" w:eastAsia="zh-TW"/>
        </w:rPr>
        <w:t>,</w:t>
      </w:r>
      <w:r>
        <w:rPr>
          <w:rFonts w:eastAsia="????"/>
          <w:iCs/>
          <w:lang w:val="it-IT" w:eastAsia="zh-TW"/>
        </w:rPr>
        <w:t xml:space="preserve"> MSc,</w:t>
      </w:r>
      <w:r w:rsidRPr="00314CBD">
        <w:rPr>
          <w:rFonts w:eastAsia="????"/>
          <w:iCs/>
          <w:lang w:val="it-IT" w:eastAsia="zh-TW"/>
        </w:rPr>
        <w:t xml:space="preserve"> Alberto Cella</w:t>
      </w:r>
      <w:r w:rsidRPr="00314CBD">
        <w:rPr>
          <w:rFonts w:eastAsia="????"/>
          <w:iCs/>
          <w:vertAlign w:val="superscript"/>
          <w:lang w:val="it-IT" w:eastAsia="zh-TW"/>
        </w:rPr>
        <w:t>1</w:t>
      </w:r>
      <w:r w:rsidRPr="00314CBD">
        <w:rPr>
          <w:rFonts w:eastAsia="????"/>
          <w:iCs/>
          <w:lang w:val="it-IT" w:eastAsia="zh-TW"/>
        </w:rPr>
        <w:t>,</w:t>
      </w:r>
      <w:r>
        <w:rPr>
          <w:rFonts w:eastAsia="????"/>
          <w:iCs/>
          <w:lang w:val="it-IT" w:eastAsia="zh-TW"/>
        </w:rPr>
        <w:t xml:space="preserve"> MD, </w:t>
      </w:r>
      <w:r w:rsidRPr="00314CBD">
        <w:rPr>
          <w:rFonts w:eastAsia="????"/>
          <w:iCs/>
          <w:lang w:val="it-IT" w:eastAsia="zh-TW"/>
        </w:rPr>
        <w:t>Stefania Maggi</w:t>
      </w:r>
      <w:r>
        <w:rPr>
          <w:rFonts w:eastAsia="????"/>
          <w:iCs/>
          <w:vertAlign w:val="superscript"/>
          <w:lang w:val="it-IT" w:eastAsia="zh-TW"/>
        </w:rPr>
        <w:t>2</w:t>
      </w:r>
      <w:r w:rsidRPr="00314CBD">
        <w:rPr>
          <w:rFonts w:eastAsia="????"/>
          <w:iCs/>
          <w:lang w:val="it-IT" w:eastAsia="zh-TW"/>
        </w:rPr>
        <w:t xml:space="preserve">, </w:t>
      </w:r>
      <w:r>
        <w:rPr>
          <w:rFonts w:eastAsia="????"/>
          <w:iCs/>
          <w:lang w:val="it-IT" w:eastAsia="zh-TW"/>
        </w:rPr>
        <w:t>MD, Ekaterini Zigoura</w:t>
      </w:r>
      <w:r w:rsidRPr="0054312C">
        <w:rPr>
          <w:rFonts w:eastAsia="????"/>
          <w:iCs/>
          <w:vertAlign w:val="superscript"/>
          <w:lang w:val="it-IT" w:eastAsia="zh-TW"/>
        </w:rPr>
        <w:t>1</w:t>
      </w:r>
      <w:r>
        <w:rPr>
          <w:rFonts w:eastAsia="????"/>
          <w:iCs/>
          <w:lang w:val="it-IT" w:eastAsia="zh-TW"/>
        </w:rPr>
        <w:t>, MD, Matteo Puntoni</w:t>
      </w:r>
      <w:r>
        <w:rPr>
          <w:rFonts w:eastAsia="????"/>
          <w:iCs/>
          <w:vertAlign w:val="superscript"/>
          <w:lang w:val="it-IT" w:eastAsia="zh-TW"/>
        </w:rPr>
        <w:t>1</w:t>
      </w:r>
      <w:r>
        <w:rPr>
          <w:rFonts w:eastAsia="????"/>
          <w:iCs/>
          <w:lang w:val="it-IT" w:eastAsia="zh-TW"/>
        </w:rPr>
        <w:t>, BD,</w:t>
      </w:r>
      <w:r w:rsidRPr="00314CBD">
        <w:rPr>
          <w:rFonts w:eastAsia="????"/>
          <w:iCs/>
          <w:lang w:val="it-IT" w:eastAsia="zh-TW"/>
        </w:rPr>
        <w:t xml:space="preserve"> </w:t>
      </w:r>
      <w:r>
        <w:rPr>
          <w:rFonts w:eastAsia="????"/>
          <w:iCs/>
          <w:lang w:val="it-IT" w:eastAsia="zh-TW"/>
        </w:rPr>
        <w:t>Lee Smith</w:t>
      </w:r>
      <w:r>
        <w:rPr>
          <w:rFonts w:eastAsia="????"/>
          <w:iCs/>
          <w:vertAlign w:val="superscript"/>
          <w:lang w:val="it-IT" w:eastAsia="zh-TW"/>
        </w:rPr>
        <w:t>3</w:t>
      </w:r>
      <w:r>
        <w:rPr>
          <w:rFonts w:eastAsia="????"/>
          <w:iCs/>
          <w:lang w:val="it-IT" w:eastAsia="zh-TW"/>
        </w:rPr>
        <w:t>, PhD,  Clarissa Musacchio</w:t>
      </w:r>
      <w:r w:rsidRPr="0054312C">
        <w:rPr>
          <w:rFonts w:eastAsia="????"/>
          <w:iCs/>
          <w:vertAlign w:val="superscript"/>
          <w:lang w:val="it-IT" w:eastAsia="zh-TW"/>
        </w:rPr>
        <w:t>1</w:t>
      </w:r>
      <w:r>
        <w:rPr>
          <w:rFonts w:eastAsia="????"/>
          <w:iCs/>
          <w:lang w:val="it-IT" w:eastAsia="zh-TW"/>
        </w:rPr>
        <w:t>,MD, Antonella Barone</w:t>
      </w:r>
      <w:r w:rsidRPr="0054312C">
        <w:rPr>
          <w:rFonts w:eastAsia="????"/>
          <w:iCs/>
          <w:vertAlign w:val="superscript"/>
          <w:lang w:val="it-IT" w:eastAsia="zh-TW"/>
        </w:rPr>
        <w:t>1</w:t>
      </w:r>
      <w:r>
        <w:rPr>
          <w:rFonts w:eastAsia="????"/>
          <w:iCs/>
          <w:lang w:val="it-IT" w:eastAsia="zh-TW"/>
        </w:rPr>
        <w:t>, MD, Carlo Sabbà</w:t>
      </w:r>
      <w:r w:rsidRPr="009851DB">
        <w:rPr>
          <w:rFonts w:eastAsia="????"/>
          <w:iCs/>
          <w:vertAlign w:val="superscript"/>
          <w:lang w:val="it-IT" w:eastAsia="zh-TW"/>
        </w:rPr>
        <w:t>4</w:t>
      </w:r>
      <w:r>
        <w:rPr>
          <w:rFonts w:eastAsia="????"/>
          <w:iCs/>
          <w:lang w:val="it-IT" w:eastAsia="zh-TW"/>
        </w:rPr>
        <w:t>, MD, Francesco Vallone</w:t>
      </w:r>
      <w:r w:rsidRPr="009851DB">
        <w:rPr>
          <w:rFonts w:eastAsia="????"/>
          <w:iCs/>
          <w:vertAlign w:val="superscript"/>
          <w:lang w:val="it-IT" w:eastAsia="zh-TW"/>
        </w:rPr>
        <w:t>1</w:t>
      </w:r>
      <w:r>
        <w:rPr>
          <w:rFonts w:eastAsia="????"/>
          <w:iCs/>
          <w:lang w:val="it-IT" w:eastAsia="zh-TW"/>
        </w:rPr>
        <w:t>, MD,</w:t>
      </w:r>
      <w:r w:rsidRPr="009851DB">
        <w:rPr>
          <w:rFonts w:eastAsia="????"/>
          <w:iCs/>
          <w:lang w:val="it-IT" w:eastAsia="zh-TW"/>
        </w:rPr>
        <w:t xml:space="preserve"> </w:t>
      </w:r>
      <w:r>
        <w:rPr>
          <w:rFonts w:eastAsia="????"/>
          <w:iCs/>
          <w:lang w:val="it-IT" w:eastAsia="zh-TW"/>
        </w:rPr>
        <w:t>and Alberto Pilotto</w:t>
      </w:r>
      <w:r w:rsidRPr="00314CBD">
        <w:rPr>
          <w:rFonts w:eastAsia="????"/>
          <w:iCs/>
          <w:vertAlign w:val="superscript"/>
          <w:lang w:val="it-IT" w:eastAsia="zh-TW"/>
        </w:rPr>
        <w:t>1</w:t>
      </w:r>
      <w:r>
        <w:rPr>
          <w:rFonts w:eastAsia="????"/>
          <w:iCs/>
          <w:vertAlign w:val="superscript"/>
          <w:lang w:val="it-IT" w:eastAsia="zh-TW"/>
        </w:rPr>
        <w:t>,4</w:t>
      </w:r>
      <w:r w:rsidRPr="00314CBD">
        <w:rPr>
          <w:rFonts w:eastAsia="????"/>
          <w:iCs/>
          <w:lang w:val="it-IT" w:eastAsia="zh-TW"/>
        </w:rPr>
        <w:t>,</w:t>
      </w:r>
      <w:r>
        <w:rPr>
          <w:rFonts w:eastAsia="????"/>
          <w:iCs/>
          <w:lang w:val="it-IT" w:eastAsia="zh-TW"/>
        </w:rPr>
        <w:t xml:space="preserve"> MD </w:t>
      </w:r>
    </w:p>
    <w:p w14:paraId="2C96468D" w14:textId="77777777" w:rsidR="00BE26C0" w:rsidRPr="00D60311" w:rsidRDefault="00BE26C0" w:rsidP="00BE26C0">
      <w:pPr>
        <w:spacing w:line="480" w:lineRule="auto"/>
        <w:jc w:val="center"/>
        <w:rPr>
          <w:rFonts w:eastAsia="????"/>
          <w:iCs/>
          <w:lang w:val="it-IT" w:eastAsia="zh-TW"/>
        </w:rPr>
      </w:pPr>
    </w:p>
    <w:p w14:paraId="1C1D5296" w14:textId="77777777" w:rsidR="00BE26C0" w:rsidRPr="00D60311" w:rsidRDefault="00BE26C0" w:rsidP="00BE26C0">
      <w:pPr>
        <w:tabs>
          <w:tab w:val="left" w:pos="3930"/>
        </w:tabs>
        <w:spacing w:line="480" w:lineRule="auto"/>
        <w:rPr>
          <w:rFonts w:eastAsia="????"/>
          <w:lang w:val="it-IT" w:eastAsia="zh-TW"/>
        </w:rPr>
      </w:pPr>
      <w:r w:rsidRPr="00D60311">
        <w:rPr>
          <w:rFonts w:eastAsia="????"/>
          <w:lang w:val="it-IT" w:eastAsia="zh-TW"/>
        </w:rPr>
        <w:tab/>
      </w:r>
    </w:p>
    <w:p w14:paraId="2BF60349" w14:textId="77777777" w:rsidR="00BE26C0" w:rsidRPr="003F6B82" w:rsidRDefault="00BE26C0" w:rsidP="00BE26C0">
      <w:pPr>
        <w:keepNext/>
        <w:spacing w:line="480" w:lineRule="auto"/>
        <w:ind w:left="360"/>
        <w:outlineLvl w:val="0"/>
        <w:rPr>
          <w:rFonts w:eastAsia="????"/>
          <w:bCs/>
          <w:iCs/>
          <w:lang w:eastAsia="zh-TW"/>
        </w:rPr>
      </w:pPr>
      <w:r>
        <w:rPr>
          <w:rFonts w:eastAsia="????"/>
          <w:bCs/>
          <w:iCs/>
          <w:vertAlign w:val="superscript"/>
          <w:lang w:eastAsia="zh-TW"/>
        </w:rPr>
        <w:t xml:space="preserve">1 </w:t>
      </w:r>
      <w:r w:rsidRPr="003F6B82">
        <w:rPr>
          <w:rFonts w:eastAsia="????"/>
          <w:bCs/>
          <w:iCs/>
          <w:lang w:eastAsia="zh-TW"/>
        </w:rPr>
        <w:t xml:space="preserve">Department of Geriatric Care, </w:t>
      </w:r>
      <w:proofErr w:type="spellStart"/>
      <w:r w:rsidRPr="003F6B82">
        <w:rPr>
          <w:rFonts w:eastAsia="????"/>
          <w:bCs/>
          <w:iCs/>
          <w:lang w:eastAsia="zh-TW"/>
        </w:rPr>
        <w:t>Orthogeriatrics</w:t>
      </w:r>
      <w:proofErr w:type="spellEnd"/>
      <w:r w:rsidRPr="003F6B82">
        <w:rPr>
          <w:rFonts w:eastAsia="????"/>
          <w:bCs/>
          <w:iCs/>
          <w:lang w:eastAsia="zh-TW"/>
        </w:rPr>
        <w:t xml:space="preserve"> and Rehabilitation, E.O. </w:t>
      </w:r>
      <w:proofErr w:type="spellStart"/>
      <w:r w:rsidRPr="003F6B82">
        <w:rPr>
          <w:rFonts w:eastAsia="????"/>
          <w:bCs/>
          <w:iCs/>
          <w:lang w:eastAsia="zh-TW"/>
        </w:rPr>
        <w:t>Galliera</w:t>
      </w:r>
      <w:proofErr w:type="spellEnd"/>
      <w:r w:rsidRPr="003F6B82">
        <w:rPr>
          <w:rFonts w:eastAsia="????"/>
          <w:bCs/>
          <w:iCs/>
          <w:lang w:eastAsia="zh-TW"/>
        </w:rPr>
        <w:t xml:space="preserve"> Hospital, National Relevance &amp; High Specialization Hospital, Genoa, Italy</w:t>
      </w:r>
      <w:r>
        <w:rPr>
          <w:rFonts w:eastAsia="????"/>
          <w:bCs/>
          <w:iCs/>
          <w:lang w:eastAsia="zh-TW"/>
        </w:rPr>
        <w:t>;</w:t>
      </w:r>
    </w:p>
    <w:p w14:paraId="17E8C33D" w14:textId="77777777" w:rsidR="00BE26C0" w:rsidRPr="003F6B82" w:rsidRDefault="00BE26C0" w:rsidP="00BE26C0">
      <w:pPr>
        <w:keepNext/>
        <w:spacing w:line="480" w:lineRule="auto"/>
        <w:ind w:left="360"/>
        <w:outlineLvl w:val="0"/>
        <w:rPr>
          <w:rFonts w:eastAsia="????"/>
          <w:bCs/>
          <w:iCs/>
          <w:lang w:eastAsia="zh-TW"/>
        </w:rPr>
      </w:pPr>
      <w:r>
        <w:rPr>
          <w:rFonts w:eastAsia="????"/>
          <w:bCs/>
          <w:iCs/>
          <w:vertAlign w:val="superscript"/>
          <w:lang w:eastAsia="zh-TW"/>
        </w:rPr>
        <w:t xml:space="preserve">2  </w:t>
      </w:r>
      <w:r w:rsidRPr="003F6B82">
        <w:rPr>
          <w:rFonts w:eastAsia="????"/>
          <w:bCs/>
          <w:iCs/>
          <w:lang w:eastAsia="zh-TW"/>
        </w:rPr>
        <w:t xml:space="preserve">National Research Council, Aging Section, Padova, Italy; </w:t>
      </w:r>
    </w:p>
    <w:p w14:paraId="5796CC15" w14:textId="77777777" w:rsidR="00BE26C0" w:rsidRDefault="00BE26C0" w:rsidP="00BE26C0">
      <w:pPr>
        <w:keepNext/>
        <w:spacing w:line="480" w:lineRule="auto"/>
        <w:ind w:left="360"/>
        <w:outlineLvl w:val="0"/>
      </w:pPr>
      <w:r>
        <w:rPr>
          <w:vertAlign w:val="superscript"/>
        </w:rPr>
        <w:t xml:space="preserve">3 </w:t>
      </w:r>
      <w:r>
        <w:t>The Cambridge Centre for Sport and Exercise Sciences, Anglia Ruskin University, Cambridge, UK;</w:t>
      </w:r>
      <w:r w:rsidRPr="00204AB8">
        <w:t xml:space="preserve"> </w:t>
      </w:r>
    </w:p>
    <w:p w14:paraId="4F202210" w14:textId="77777777" w:rsidR="00BE26C0" w:rsidRPr="009851DB" w:rsidRDefault="00BE26C0" w:rsidP="00BE26C0">
      <w:pPr>
        <w:keepNext/>
        <w:spacing w:line="480" w:lineRule="auto"/>
        <w:ind w:left="360"/>
        <w:outlineLvl w:val="0"/>
      </w:pPr>
      <w:r>
        <w:rPr>
          <w:vertAlign w:val="superscript"/>
        </w:rPr>
        <w:t xml:space="preserve">4 </w:t>
      </w:r>
      <w:r>
        <w:t>Department of Interdisciplinary Medicine, University of Bari, Italy</w:t>
      </w:r>
    </w:p>
    <w:p w14:paraId="1EC790E3" w14:textId="77777777" w:rsidR="00BE26C0" w:rsidRPr="0003012B" w:rsidRDefault="00BE26C0" w:rsidP="00BE26C0">
      <w:pPr>
        <w:keepNext/>
        <w:spacing w:line="480" w:lineRule="auto"/>
        <w:ind w:left="360"/>
        <w:outlineLvl w:val="0"/>
      </w:pPr>
    </w:p>
    <w:p w14:paraId="690E1C78" w14:textId="77777777" w:rsidR="00BE26C0" w:rsidRPr="002337A4" w:rsidRDefault="00BE26C0" w:rsidP="00BE26C0">
      <w:pPr>
        <w:suppressAutoHyphens/>
        <w:autoSpaceDE w:val="0"/>
        <w:spacing w:line="480" w:lineRule="auto"/>
        <w:jc w:val="center"/>
        <w:rPr>
          <w:rFonts w:eastAsia="Times New Roman"/>
          <w:b/>
          <w:lang w:eastAsia="ar-SA"/>
        </w:rPr>
      </w:pPr>
    </w:p>
    <w:p w14:paraId="5D6716C9" w14:textId="77777777" w:rsidR="00BE26C0" w:rsidRDefault="00BE26C0" w:rsidP="00BE26C0">
      <w:pPr>
        <w:suppressAutoHyphens/>
        <w:autoSpaceDE w:val="0"/>
        <w:spacing w:line="480" w:lineRule="auto"/>
        <w:jc w:val="both"/>
        <w:rPr>
          <w:rFonts w:eastAsia="Times New Roman"/>
          <w:lang w:eastAsia="ar-SA"/>
        </w:rPr>
      </w:pPr>
      <w:r w:rsidRPr="002337A4">
        <w:rPr>
          <w:rFonts w:eastAsia="Times New Roman"/>
          <w:b/>
          <w:lang w:eastAsia="ar-SA"/>
        </w:rPr>
        <w:t xml:space="preserve">Running title: </w:t>
      </w:r>
      <w:r w:rsidRPr="002337A4">
        <w:rPr>
          <w:rFonts w:eastAsia="Times New Roman"/>
          <w:lang w:eastAsia="ar-SA"/>
        </w:rPr>
        <w:t>MPI and falls</w:t>
      </w:r>
    </w:p>
    <w:p w14:paraId="305532C5" w14:textId="56E20C23" w:rsidR="00980B34" w:rsidRPr="001F50BA" w:rsidRDefault="00BE26C0" w:rsidP="00BE26C0">
      <w:pPr>
        <w:suppressAutoHyphens/>
        <w:autoSpaceDE w:val="0"/>
        <w:spacing w:line="480" w:lineRule="auto"/>
        <w:jc w:val="center"/>
        <w:rPr>
          <w:rFonts w:eastAsia="Times New Roman"/>
          <w:b/>
          <w:lang w:eastAsia="ar-SA"/>
        </w:rPr>
      </w:pPr>
      <w:r w:rsidRPr="00C90DCA">
        <w:rPr>
          <w:rFonts w:eastAsia="Times New Roman"/>
          <w:b/>
          <w:bCs/>
          <w:lang w:eastAsia="ar-SA"/>
        </w:rPr>
        <w:t>Corresponding author</w:t>
      </w:r>
      <w:r>
        <w:rPr>
          <w:rFonts w:eastAsia="Times New Roman"/>
          <w:lang w:eastAsia="ar-SA"/>
        </w:rPr>
        <w:t xml:space="preserve">: </w:t>
      </w:r>
      <w:r w:rsidRPr="00C90DCA">
        <w:rPr>
          <w:rFonts w:eastAsia="Times New Roman"/>
          <w:lang w:eastAsia="ar-SA"/>
        </w:rPr>
        <w:t xml:space="preserve">Alberto </w:t>
      </w:r>
      <w:proofErr w:type="spellStart"/>
      <w:r w:rsidRPr="00C90DCA">
        <w:rPr>
          <w:rFonts w:eastAsia="Times New Roman"/>
          <w:lang w:eastAsia="ar-SA"/>
        </w:rPr>
        <w:t>Pilotto</w:t>
      </w:r>
      <w:proofErr w:type="spellEnd"/>
      <w:r>
        <w:rPr>
          <w:rFonts w:eastAsia="Times New Roman"/>
          <w:lang w:eastAsia="ar-SA"/>
        </w:rPr>
        <w:t xml:space="preserve">, MD, PhD; </w:t>
      </w:r>
      <w:r w:rsidRPr="00C90DCA">
        <w:rPr>
          <w:rFonts w:eastAsia="Times New Roman"/>
          <w:lang w:eastAsia="ar-SA"/>
        </w:rPr>
        <w:t>Department of Geriatric Care,</w:t>
      </w:r>
      <w:r>
        <w:rPr>
          <w:rFonts w:eastAsia="Times New Roman"/>
          <w:lang w:eastAsia="ar-SA"/>
        </w:rPr>
        <w:t xml:space="preserve"> </w:t>
      </w:r>
      <w:proofErr w:type="spellStart"/>
      <w:r w:rsidRPr="00C90DCA">
        <w:rPr>
          <w:rFonts w:eastAsia="Times New Roman"/>
          <w:lang w:eastAsia="ar-SA"/>
        </w:rPr>
        <w:t>Orthogeriatrics</w:t>
      </w:r>
      <w:proofErr w:type="spellEnd"/>
      <w:r w:rsidRPr="00C90DCA">
        <w:rPr>
          <w:rFonts w:eastAsia="Times New Roman"/>
          <w:lang w:eastAsia="ar-SA"/>
        </w:rPr>
        <w:t xml:space="preserve"> and Rehabilitation</w:t>
      </w:r>
      <w:r>
        <w:rPr>
          <w:rFonts w:eastAsia="Times New Roman"/>
          <w:lang w:eastAsia="ar-SA"/>
        </w:rPr>
        <w:t xml:space="preserve">, </w:t>
      </w:r>
      <w:proofErr w:type="spellStart"/>
      <w:r w:rsidRPr="00C90DCA">
        <w:rPr>
          <w:rFonts w:eastAsia="Times New Roman"/>
          <w:lang w:eastAsia="ar-SA"/>
        </w:rPr>
        <w:t>Galliera</w:t>
      </w:r>
      <w:proofErr w:type="spellEnd"/>
      <w:r w:rsidRPr="00C90DCA">
        <w:rPr>
          <w:rFonts w:eastAsia="Times New Roman"/>
          <w:lang w:eastAsia="ar-SA"/>
        </w:rPr>
        <w:t xml:space="preserve"> Hospital</w:t>
      </w:r>
      <w:r>
        <w:rPr>
          <w:rFonts w:eastAsia="Times New Roman"/>
          <w:lang w:eastAsia="ar-SA"/>
        </w:rPr>
        <w:t xml:space="preserve">, </w:t>
      </w:r>
      <w:r w:rsidRPr="00C90DCA">
        <w:rPr>
          <w:rFonts w:eastAsia="Times New Roman"/>
          <w:lang w:eastAsia="ar-SA"/>
        </w:rPr>
        <w:t>National Relevance &amp; High Specialization Hospital</w:t>
      </w:r>
      <w:r>
        <w:rPr>
          <w:rFonts w:eastAsia="Times New Roman"/>
          <w:lang w:eastAsia="ar-SA"/>
        </w:rPr>
        <w:t xml:space="preserve">, via </w:t>
      </w:r>
      <w:r w:rsidRPr="00C90DCA">
        <w:rPr>
          <w:rFonts w:eastAsia="Times New Roman"/>
          <w:lang w:eastAsia="ar-SA"/>
        </w:rPr>
        <w:t xml:space="preserve">Mura </w:t>
      </w:r>
      <w:proofErr w:type="spellStart"/>
      <w:r w:rsidRPr="00C90DCA">
        <w:rPr>
          <w:rFonts w:eastAsia="Times New Roman"/>
          <w:lang w:eastAsia="ar-SA"/>
        </w:rPr>
        <w:t>delle</w:t>
      </w:r>
      <w:proofErr w:type="spellEnd"/>
      <w:r w:rsidRPr="00C90DCA">
        <w:rPr>
          <w:rFonts w:eastAsia="Times New Roman"/>
          <w:lang w:eastAsia="ar-SA"/>
        </w:rPr>
        <w:t xml:space="preserve"> </w:t>
      </w:r>
      <w:proofErr w:type="spellStart"/>
      <w:r w:rsidRPr="00C90DCA">
        <w:rPr>
          <w:rFonts w:eastAsia="Times New Roman"/>
          <w:lang w:eastAsia="ar-SA"/>
        </w:rPr>
        <w:t>Cappuccine</w:t>
      </w:r>
      <w:proofErr w:type="spellEnd"/>
      <w:r w:rsidRPr="00C90DCA">
        <w:rPr>
          <w:rFonts w:eastAsia="Times New Roman"/>
          <w:lang w:eastAsia="ar-SA"/>
        </w:rPr>
        <w:t xml:space="preserve"> 14</w:t>
      </w:r>
      <w:r>
        <w:rPr>
          <w:rFonts w:eastAsia="Times New Roman"/>
          <w:lang w:eastAsia="ar-SA"/>
        </w:rPr>
        <w:t xml:space="preserve">, </w:t>
      </w:r>
      <w:r w:rsidRPr="00C90DCA">
        <w:rPr>
          <w:rFonts w:eastAsia="Times New Roman"/>
          <w:lang w:eastAsia="ar-SA"/>
        </w:rPr>
        <w:t>Genova</w:t>
      </w:r>
      <w:r>
        <w:rPr>
          <w:rFonts w:eastAsia="Times New Roman"/>
          <w:lang w:eastAsia="ar-SA"/>
        </w:rPr>
        <w:t>,</w:t>
      </w:r>
      <w:r w:rsidRPr="00C90DCA">
        <w:rPr>
          <w:rFonts w:eastAsia="Times New Roman"/>
          <w:lang w:eastAsia="ar-SA"/>
        </w:rPr>
        <w:t xml:space="preserve"> 16128</w:t>
      </w:r>
      <w:r>
        <w:rPr>
          <w:rFonts w:eastAsia="Times New Roman"/>
          <w:lang w:eastAsia="ar-SA"/>
        </w:rPr>
        <w:t xml:space="preserve">, </w:t>
      </w:r>
      <w:r w:rsidRPr="00C90DCA">
        <w:rPr>
          <w:rFonts w:eastAsia="Times New Roman"/>
          <w:lang w:eastAsia="ar-SA"/>
        </w:rPr>
        <w:t>Italy</w:t>
      </w:r>
      <w:r>
        <w:rPr>
          <w:rFonts w:eastAsia="Times New Roman"/>
          <w:lang w:eastAsia="ar-SA"/>
        </w:rPr>
        <w:t xml:space="preserve">. </w:t>
      </w:r>
      <w:r w:rsidRPr="00C90DCA">
        <w:rPr>
          <w:rFonts w:eastAsia="Times New Roman"/>
          <w:lang w:eastAsia="ar-SA"/>
        </w:rPr>
        <w:t>E-mail:</w:t>
      </w:r>
      <w:r>
        <w:rPr>
          <w:rFonts w:eastAsia="Times New Roman"/>
          <w:lang w:eastAsia="ar-SA"/>
        </w:rPr>
        <w:t xml:space="preserve"> </w:t>
      </w:r>
      <w:hyperlink r:id="rId8" w:history="1">
        <w:r w:rsidRPr="00717A4E">
          <w:rPr>
            <w:rStyle w:val="Hyperlink"/>
            <w:rFonts w:eastAsia="Times New Roman"/>
            <w:lang w:eastAsia="ar-SA"/>
          </w:rPr>
          <w:t>alberto.pilotto@galliera.it</w:t>
        </w:r>
      </w:hyperlink>
    </w:p>
    <w:p w14:paraId="4F896E81" w14:textId="77777777" w:rsidR="0054312C" w:rsidRPr="001F50BA" w:rsidRDefault="0054312C" w:rsidP="00E53013">
      <w:pPr>
        <w:suppressAutoHyphens/>
        <w:autoSpaceDE w:val="0"/>
        <w:spacing w:line="480" w:lineRule="auto"/>
        <w:jc w:val="center"/>
        <w:rPr>
          <w:rFonts w:eastAsia="Times New Roman"/>
          <w:b/>
          <w:lang w:eastAsia="ar-SA"/>
        </w:rPr>
      </w:pPr>
    </w:p>
    <w:p w14:paraId="0C4B5A49" w14:textId="77777777" w:rsidR="00EF52DB" w:rsidRPr="001F50BA" w:rsidRDefault="00EF52DB" w:rsidP="0054312C">
      <w:pPr>
        <w:suppressAutoHyphens/>
        <w:autoSpaceDE w:val="0"/>
        <w:spacing w:line="480" w:lineRule="auto"/>
        <w:jc w:val="both"/>
        <w:rPr>
          <w:rFonts w:eastAsia="Times New Roman"/>
          <w:lang w:eastAsia="ar-SA"/>
        </w:rPr>
      </w:pPr>
    </w:p>
    <w:p w14:paraId="41D350D3" w14:textId="77777777" w:rsidR="009A491E" w:rsidRPr="001F50BA" w:rsidRDefault="009A491E" w:rsidP="00E53013">
      <w:pPr>
        <w:suppressAutoHyphens/>
        <w:spacing w:line="480" w:lineRule="auto"/>
        <w:rPr>
          <w:rFonts w:eastAsia="Times New Roman"/>
          <w:lang w:eastAsia="ar-SA"/>
        </w:rPr>
      </w:pPr>
    </w:p>
    <w:p w14:paraId="62D0923B" w14:textId="77777777" w:rsidR="00E53013" w:rsidRPr="001F50BA" w:rsidRDefault="00E53013" w:rsidP="00E53013">
      <w:pPr>
        <w:pageBreakBefore/>
        <w:suppressAutoHyphens/>
        <w:autoSpaceDE w:val="0"/>
        <w:spacing w:line="480" w:lineRule="auto"/>
        <w:jc w:val="center"/>
        <w:rPr>
          <w:rFonts w:eastAsia="Times New Roman"/>
          <w:b/>
          <w:lang w:val="en-GB" w:eastAsia="ar-SA"/>
        </w:rPr>
      </w:pPr>
      <w:r w:rsidRPr="001F50BA">
        <w:rPr>
          <w:rFonts w:eastAsia="Times New Roman"/>
          <w:b/>
          <w:lang w:val="en-GB" w:eastAsia="ar-SA"/>
        </w:rPr>
        <w:lastRenderedPageBreak/>
        <w:t>ABSTRACT</w:t>
      </w:r>
    </w:p>
    <w:p w14:paraId="7686CAA1" w14:textId="77595DC5" w:rsidR="00652F38" w:rsidRPr="001F50BA" w:rsidRDefault="001E687C" w:rsidP="00E53013">
      <w:pPr>
        <w:autoSpaceDE w:val="0"/>
        <w:autoSpaceDN w:val="0"/>
        <w:adjustRightInd w:val="0"/>
        <w:spacing w:line="480" w:lineRule="auto"/>
        <w:jc w:val="both"/>
      </w:pPr>
      <w:r w:rsidRPr="001F50BA">
        <w:rPr>
          <w:b/>
        </w:rPr>
        <w:t>Objectives</w:t>
      </w:r>
      <w:r w:rsidR="00652F38" w:rsidRPr="001F50BA">
        <w:rPr>
          <w:b/>
        </w:rPr>
        <w:t xml:space="preserve">: </w:t>
      </w:r>
      <w:r w:rsidR="00B50B6B" w:rsidRPr="001F50BA">
        <w:t xml:space="preserve">Falls are associated with several negative outcomes. </w:t>
      </w:r>
      <w:r w:rsidR="00AF131A" w:rsidRPr="001F50BA">
        <w:t xml:space="preserve">Early identification of those who are at </w:t>
      </w:r>
      <w:r w:rsidR="00B50B6B" w:rsidRPr="001F50BA">
        <w:t>risk of fall</w:t>
      </w:r>
      <w:r w:rsidR="00AF131A" w:rsidRPr="001F50BA">
        <w:t>ing</w:t>
      </w:r>
      <w:r w:rsidR="00B50B6B" w:rsidRPr="001F50BA">
        <w:t xml:space="preserve"> is of importance in geriatric</w:t>
      </w:r>
      <w:r w:rsidR="00465833" w:rsidRPr="001F50BA">
        <w:t>s</w:t>
      </w:r>
      <w:r w:rsidR="00B50B6B" w:rsidRPr="001F50BA">
        <w:t xml:space="preserve"> </w:t>
      </w:r>
      <w:r w:rsidR="007D7625" w:rsidRPr="001F50BA">
        <w:t xml:space="preserve">and comprehensive geriatric assessment (CGA) seems to be promising in this </w:t>
      </w:r>
      <w:r w:rsidR="00465833" w:rsidRPr="001F50BA">
        <w:t>regard</w:t>
      </w:r>
      <w:r w:rsidR="00B50B6B" w:rsidRPr="001F50BA">
        <w:t>.</w:t>
      </w:r>
      <w:r w:rsidR="00E53013" w:rsidRPr="001F50BA">
        <w:t xml:space="preserve">  </w:t>
      </w:r>
      <w:r w:rsidR="00AF131A" w:rsidRPr="001F50BA">
        <w:t xml:space="preserve">Therefore, the present study </w:t>
      </w:r>
      <w:r w:rsidR="00E53013" w:rsidRPr="001F50BA">
        <w:t>investigate</w:t>
      </w:r>
      <w:r w:rsidR="00A73876" w:rsidRPr="001F50BA">
        <w:t>d</w:t>
      </w:r>
      <w:r w:rsidR="00E53013" w:rsidRPr="001F50BA">
        <w:t xml:space="preserve"> whether</w:t>
      </w:r>
      <w:r w:rsidR="00AF131A" w:rsidRPr="001F50BA">
        <w:t xml:space="preserve"> the</w:t>
      </w:r>
      <w:r w:rsidR="00E53013" w:rsidRPr="001F50BA">
        <w:t xml:space="preserve"> </w:t>
      </w:r>
      <w:r w:rsidR="00B50B6B" w:rsidRPr="001F50BA">
        <w:t>multidimensional prognostic index (MPI)</w:t>
      </w:r>
      <w:r w:rsidR="007D7625" w:rsidRPr="001F50BA">
        <w:t xml:space="preserve">, </w:t>
      </w:r>
      <w:r w:rsidR="00F76EFC" w:rsidRPr="001F50BA">
        <w:t>based on a standard</w:t>
      </w:r>
      <w:r w:rsidR="007D7625" w:rsidRPr="001F50BA">
        <w:t xml:space="preserve"> CGA,</w:t>
      </w:r>
      <w:r w:rsidR="00B50B6B" w:rsidRPr="001F50BA">
        <w:t xml:space="preserve"> </w:t>
      </w:r>
      <w:r w:rsidR="00AF131A" w:rsidRPr="001F50BA">
        <w:t xml:space="preserve">is </w:t>
      </w:r>
      <w:r w:rsidR="00E53013" w:rsidRPr="001F50BA">
        <w:t xml:space="preserve">associated with </w:t>
      </w:r>
      <w:r w:rsidR="005B47D3" w:rsidRPr="001F50BA">
        <w:t>falls</w:t>
      </w:r>
      <w:r w:rsidR="00A73876" w:rsidRPr="001F50BA">
        <w:t xml:space="preserve"> </w:t>
      </w:r>
      <w:r w:rsidR="00E53013" w:rsidRPr="001F50BA">
        <w:t xml:space="preserve">in </w:t>
      </w:r>
      <w:r w:rsidR="00B50B6B" w:rsidRPr="001F50BA">
        <w:t xml:space="preserve">the Osteoarthritis Initiative (OAI). </w:t>
      </w:r>
      <w:r w:rsidR="00A868E2" w:rsidRPr="001F50BA">
        <w:t xml:space="preserve"> </w:t>
      </w:r>
    </w:p>
    <w:p w14:paraId="2C188397" w14:textId="77777777" w:rsidR="001E687C" w:rsidRPr="001F50BA" w:rsidRDefault="001E687C" w:rsidP="00E53013">
      <w:pPr>
        <w:autoSpaceDE w:val="0"/>
        <w:autoSpaceDN w:val="0"/>
        <w:adjustRightInd w:val="0"/>
        <w:spacing w:line="480" w:lineRule="auto"/>
        <w:jc w:val="both"/>
      </w:pPr>
      <w:r w:rsidRPr="001F50BA">
        <w:rPr>
          <w:b/>
        </w:rPr>
        <w:t>Design</w:t>
      </w:r>
      <w:r w:rsidR="00652F38" w:rsidRPr="001F50BA">
        <w:t xml:space="preserve">: </w:t>
      </w:r>
      <w:r w:rsidR="00B50B6B" w:rsidRPr="001F50BA">
        <w:t xml:space="preserve">Longitudinal, 8 years of follow-up. </w:t>
      </w:r>
    </w:p>
    <w:p w14:paraId="437D107F" w14:textId="77777777" w:rsidR="00BC2250" w:rsidRPr="001F50BA" w:rsidRDefault="00BC2250" w:rsidP="00E53013">
      <w:pPr>
        <w:autoSpaceDE w:val="0"/>
        <w:autoSpaceDN w:val="0"/>
        <w:adjustRightInd w:val="0"/>
        <w:spacing w:line="480" w:lineRule="auto"/>
        <w:jc w:val="both"/>
      </w:pPr>
      <w:r w:rsidRPr="001F50BA">
        <w:rPr>
          <w:b/>
        </w:rPr>
        <w:t>Setting and p</w:t>
      </w:r>
      <w:r w:rsidR="001E687C" w:rsidRPr="001F50BA">
        <w:rPr>
          <w:b/>
        </w:rPr>
        <w:t>articipants</w:t>
      </w:r>
      <w:r w:rsidR="001E687C" w:rsidRPr="001F50BA">
        <w:t>: C</w:t>
      </w:r>
      <w:r w:rsidR="00340BF4" w:rsidRPr="001F50BA">
        <w:t xml:space="preserve">ommunity-dwelling </w:t>
      </w:r>
      <w:r w:rsidR="00B50B6B" w:rsidRPr="001F50BA">
        <w:t>older people (</w:t>
      </w:r>
      <w:r w:rsidR="00B50B6B" w:rsidRPr="001F50BA">
        <w:rPr>
          <w:u w:val="single"/>
        </w:rPr>
        <w:t>&gt;</w:t>
      </w:r>
      <w:r w:rsidR="00B50B6B" w:rsidRPr="001F50BA">
        <w:t xml:space="preserve"> 65 years)</w:t>
      </w:r>
      <w:r w:rsidR="00340BF4" w:rsidRPr="001F50BA">
        <w:t xml:space="preserve"> </w:t>
      </w:r>
      <w:r w:rsidR="00611615" w:rsidRPr="001F50BA">
        <w:t xml:space="preserve">with knee </w:t>
      </w:r>
      <w:r w:rsidR="00B50B6B" w:rsidRPr="001F50BA">
        <w:t>OA</w:t>
      </w:r>
      <w:r w:rsidR="00611615" w:rsidRPr="001F50BA">
        <w:t xml:space="preserve"> or at high risk for this condition.</w:t>
      </w:r>
      <w:r w:rsidR="00611615" w:rsidRPr="001F50BA" w:rsidDel="00360A21">
        <w:t xml:space="preserve"> </w:t>
      </w:r>
    </w:p>
    <w:p w14:paraId="2FEEAD68" w14:textId="77777777" w:rsidR="00652F38" w:rsidRPr="001F50BA" w:rsidRDefault="00BC2250" w:rsidP="00F76EFC">
      <w:pPr>
        <w:autoSpaceDE w:val="0"/>
        <w:autoSpaceDN w:val="0"/>
        <w:adjustRightInd w:val="0"/>
        <w:spacing w:line="480" w:lineRule="auto"/>
        <w:jc w:val="both"/>
      </w:pPr>
      <w:r w:rsidRPr="001F50BA">
        <w:rPr>
          <w:b/>
        </w:rPr>
        <w:t>Methods</w:t>
      </w:r>
      <w:r w:rsidRPr="001F50BA">
        <w:t xml:space="preserve">: </w:t>
      </w:r>
      <w:r w:rsidR="00B50B6B" w:rsidRPr="001F50BA">
        <w:t xml:space="preserve">A standardized </w:t>
      </w:r>
      <w:r w:rsidR="007D7625" w:rsidRPr="001F50BA">
        <w:t>CGA</w:t>
      </w:r>
      <w:r w:rsidR="00B50B6B" w:rsidRPr="001F50BA">
        <w:t xml:space="preserve"> including information on functional, nutritional, </w:t>
      </w:r>
      <w:r w:rsidR="007D7625" w:rsidRPr="001F50BA">
        <w:t>mood</w:t>
      </w:r>
      <w:r w:rsidR="00B50B6B" w:rsidRPr="001F50BA">
        <w:t xml:space="preserve">, comorbidities, medications, quality of life and co-habitation status was used to calculate </w:t>
      </w:r>
      <w:r w:rsidR="00F84822" w:rsidRPr="001F50BA">
        <w:t xml:space="preserve">a modified version of </w:t>
      </w:r>
      <w:r w:rsidR="00B50B6B" w:rsidRPr="001F50BA">
        <w:t>the MPI</w:t>
      </w:r>
      <w:r w:rsidR="00AA4AAA" w:rsidRPr="001F50BA">
        <w:t>, categorized as MPI-1 (low)</w:t>
      </w:r>
      <w:r w:rsidR="00F76EFC" w:rsidRPr="001F50BA">
        <w:t>, MPI-2 (moderate)</w:t>
      </w:r>
      <w:r w:rsidR="00AA4AAA" w:rsidRPr="001F50BA">
        <w:t xml:space="preserve"> </w:t>
      </w:r>
      <w:r w:rsidR="00F76EFC" w:rsidRPr="001F50BA">
        <w:t>and</w:t>
      </w:r>
      <w:r w:rsidR="00AA4AAA" w:rsidRPr="001F50BA">
        <w:t xml:space="preserve"> MPI-3 (high risk)</w:t>
      </w:r>
      <w:r w:rsidR="00B50B6B" w:rsidRPr="001F50BA">
        <w:t xml:space="preserve">. </w:t>
      </w:r>
      <w:r w:rsidR="005B47D3" w:rsidRPr="001F50BA">
        <w:t xml:space="preserve">Falls </w:t>
      </w:r>
      <w:r w:rsidR="004D7C15" w:rsidRPr="001F50BA">
        <w:t xml:space="preserve">were </w:t>
      </w:r>
      <w:r w:rsidR="0067499B" w:rsidRPr="001F50BA">
        <w:t>self-reported</w:t>
      </w:r>
      <w:r w:rsidR="00306919" w:rsidRPr="001F50BA">
        <w:t xml:space="preserve"> and recurrent fallers </w:t>
      </w:r>
      <w:r w:rsidR="00F170BC" w:rsidRPr="001F50BA">
        <w:t xml:space="preserve">were </w:t>
      </w:r>
      <w:r w:rsidR="00306919" w:rsidRPr="001F50BA">
        <w:t xml:space="preserve">defined as </w:t>
      </w:r>
      <w:r w:rsidR="00306919" w:rsidRPr="001F50BA">
        <w:rPr>
          <w:u w:val="single"/>
        </w:rPr>
        <w:t>&gt;</w:t>
      </w:r>
      <w:r w:rsidR="00306919" w:rsidRPr="001F50BA">
        <w:t>2 in the previous year</w:t>
      </w:r>
      <w:r w:rsidR="0067499B" w:rsidRPr="001F50BA">
        <w:rPr>
          <w:rFonts w:eastAsia="Times New Roman"/>
          <w:lang w:eastAsia="ar-SA"/>
        </w:rPr>
        <w:t>.</w:t>
      </w:r>
      <w:r w:rsidR="0067499B" w:rsidRPr="001F50BA">
        <w:t xml:space="preserve"> </w:t>
      </w:r>
      <w:r w:rsidR="00AF131A" w:rsidRPr="001F50BA">
        <w:t>Logistic regression was carried out and r</w:t>
      </w:r>
      <w:r w:rsidR="00F6694B" w:rsidRPr="001F50BA">
        <w:t>esults are</w:t>
      </w:r>
      <w:r w:rsidR="006444FA" w:rsidRPr="001F50BA">
        <w:t xml:space="preserve"> reported as </w:t>
      </w:r>
      <w:r w:rsidR="00B50B6B" w:rsidRPr="001F50BA">
        <w:t>odds ratio</w:t>
      </w:r>
      <w:r w:rsidR="006444FA" w:rsidRPr="001F50BA">
        <w:t xml:space="preserve"> (</w:t>
      </w:r>
      <w:r w:rsidR="00B50B6B" w:rsidRPr="001F50BA">
        <w:t>O</w:t>
      </w:r>
      <w:r w:rsidR="006444FA" w:rsidRPr="001F50BA">
        <w:t>Rs)</w:t>
      </w:r>
      <w:r w:rsidR="00833409" w:rsidRPr="001F50BA">
        <w:t>,</w:t>
      </w:r>
      <w:r w:rsidR="006444FA" w:rsidRPr="001F50BA">
        <w:t xml:space="preserve"> with their 95% confidence intervals (CIs).</w:t>
      </w:r>
    </w:p>
    <w:p w14:paraId="727F3D61" w14:textId="77777777" w:rsidR="00652F38" w:rsidRPr="001F50BA" w:rsidRDefault="00652F38" w:rsidP="0099140A">
      <w:pPr>
        <w:spacing w:line="480" w:lineRule="auto"/>
        <w:jc w:val="both"/>
        <w:rPr>
          <w:rFonts w:cs="Calibri"/>
          <w:iCs/>
          <w:kern w:val="1"/>
          <w:lang w:eastAsia="ar-SA"/>
        </w:rPr>
      </w:pPr>
      <w:r w:rsidRPr="001F50BA">
        <w:rPr>
          <w:b/>
        </w:rPr>
        <w:t>Results</w:t>
      </w:r>
      <w:r w:rsidRPr="001F50BA">
        <w:t xml:space="preserve">: </w:t>
      </w:r>
      <w:r w:rsidR="00E47B0D" w:rsidRPr="001F50BA">
        <w:t xml:space="preserve">The final sample consisted of </w:t>
      </w:r>
      <w:r w:rsidR="00306919" w:rsidRPr="001F50BA">
        <w:t>885 older</w:t>
      </w:r>
      <w:r w:rsidR="00360A21" w:rsidRPr="001F50BA">
        <w:t xml:space="preserve"> adults </w:t>
      </w:r>
      <w:r w:rsidR="00EE4A91" w:rsidRPr="001F50BA">
        <w:t>(mean age</w:t>
      </w:r>
      <w:r w:rsidR="00F76EFC" w:rsidRPr="001F50BA">
        <w:t xml:space="preserve"> </w:t>
      </w:r>
      <w:r w:rsidR="00306919" w:rsidRPr="001F50BA">
        <w:t>71.3</w:t>
      </w:r>
      <w:r w:rsidR="00EE4A91" w:rsidRPr="001F50BA">
        <w:t xml:space="preserve"> years, females</w:t>
      </w:r>
      <w:r w:rsidR="00F76EFC" w:rsidRPr="001F50BA">
        <w:t>=</w:t>
      </w:r>
      <w:r w:rsidR="00306919" w:rsidRPr="001F50BA">
        <w:t>54</w:t>
      </w:r>
      <w:r w:rsidR="00533CB8" w:rsidRPr="001F50BA">
        <w:t>.6</w:t>
      </w:r>
      <w:r w:rsidR="00EE4A91" w:rsidRPr="001F50BA">
        <w:t>%)</w:t>
      </w:r>
      <w:r w:rsidR="00360A21" w:rsidRPr="001F50BA">
        <w:t>.</w:t>
      </w:r>
      <w:r w:rsidR="0042076A" w:rsidRPr="001F50BA">
        <w:t xml:space="preserve"> </w:t>
      </w:r>
      <w:r w:rsidR="00306919" w:rsidRPr="001F50BA">
        <w:t>R</w:t>
      </w:r>
      <w:r w:rsidR="00306919" w:rsidRPr="001F50BA">
        <w:rPr>
          <w:rFonts w:cs="Calibri"/>
          <w:iCs/>
          <w:kern w:val="1"/>
          <w:lang w:eastAsia="ar-SA"/>
        </w:rPr>
        <w:t>ecurrent fallers showed a significant higher MPI than their counterparts (46.1</w:t>
      </w:r>
      <w:r w:rsidR="00306919" w:rsidRPr="001F50BA">
        <w:rPr>
          <w:rFonts w:cstheme="minorHAnsi"/>
          <w:iCs/>
          <w:kern w:val="1"/>
          <w:lang w:eastAsia="ar-SA"/>
        </w:rPr>
        <w:t>±</w:t>
      </w:r>
      <w:r w:rsidR="00306919" w:rsidRPr="001F50BA">
        <w:rPr>
          <w:rFonts w:cs="Calibri"/>
          <w:iCs/>
          <w:kern w:val="1"/>
          <w:lang w:eastAsia="ar-SA"/>
        </w:rPr>
        <w:t>17.2 vs. 38.2</w:t>
      </w:r>
      <w:r w:rsidR="00306919" w:rsidRPr="001F50BA">
        <w:rPr>
          <w:rFonts w:cstheme="minorHAnsi"/>
          <w:iCs/>
          <w:kern w:val="1"/>
          <w:lang w:eastAsia="ar-SA"/>
        </w:rPr>
        <w:t xml:space="preserve">±15.8; p&lt;0.001). </w:t>
      </w:r>
      <w:r w:rsidR="00AA4AAA" w:rsidRPr="001F50BA">
        <w:rPr>
          <w:rFonts w:cs="Calibri"/>
          <w:iCs/>
          <w:kern w:val="1"/>
          <w:lang w:eastAsia="ar-SA"/>
        </w:rPr>
        <w:t>Compared to those in MPI-1 category, participants in MPI-2 (OR=2.13; 95%CI: 1.53-2.94; p&lt;0.001) and in MPI-3 (OR=</w:t>
      </w:r>
      <w:r w:rsidR="0099140A" w:rsidRPr="001F50BA">
        <w:rPr>
          <w:rFonts w:cs="Times New Roman"/>
        </w:rPr>
        <w:t>5</w:t>
      </w:r>
      <w:r w:rsidR="00F76EFC" w:rsidRPr="001F50BA">
        <w:rPr>
          <w:rFonts w:cs="Times New Roman"/>
        </w:rPr>
        <w:t>.</w:t>
      </w:r>
      <w:r w:rsidR="0099140A" w:rsidRPr="001F50BA">
        <w:rPr>
          <w:rFonts w:cs="Times New Roman"/>
        </w:rPr>
        <w:t>98</w:t>
      </w:r>
      <w:r w:rsidR="00AA4AAA" w:rsidRPr="001F50BA">
        <w:rPr>
          <w:rFonts w:cs="Calibri"/>
          <w:iCs/>
          <w:kern w:val="1"/>
          <w:lang w:eastAsia="ar-SA"/>
        </w:rPr>
        <w:t xml:space="preserve">; 95%CI: </w:t>
      </w:r>
      <w:r w:rsidR="00F76EFC" w:rsidRPr="001F50BA">
        <w:rPr>
          <w:rFonts w:cs="Calibri"/>
          <w:iCs/>
          <w:kern w:val="1"/>
          <w:lang w:eastAsia="ar-SA"/>
        </w:rPr>
        <w:t>3</w:t>
      </w:r>
      <w:r w:rsidR="00AA4AAA" w:rsidRPr="001F50BA">
        <w:rPr>
          <w:rFonts w:cs="Calibri"/>
          <w:iCs/>
          <w:kern w:val="1"/>
          <w:lang w:eastAsia="ar-SA"/>
        </w:rPr>
        <w:t>.</w:t>
      </w:r>
      <w:r w:rsidR="0099140A" w:rsidRPr="001F50BA">
        <w:rPr>
          <w:rFonts w:cs="Calibri"/>
          <w:iCs/>
          <w:kern w:val="1"/>
          <w:lang w:eastAsia="ar-SA"/>
        </w:rPr>
        <w:t>29</w:t>
      </w:r>
      <w:r w:rsidR="00AA4AAA" w:rsidRPr="001F50BA">
        <w:rPr>
          <w:rFonts w:cs="Calibri"/>
          <w:iCs/>
          <w:kern w:val="1"/>
          <w:lang w:eastAsia="ar-SA"/>
        </w:rPr>
        <w:t>-</w:t>
      </w:r>
      <w:r w:rsidR="00DA75C4" w:rsidRPr="001F50BA">
        <w:rPr>
          <w:rFonts w:cs="Calibri"/>
          <w:iCs/>
          <w:kern w:val="1"/>
          <w:lang w:eastAsia="ar-SA"/>
        </w:rPr>
        <w:t>10.86</w:t>
      </w:r>
      <w:r w:rsidR="00AA4AAA" w:rsidRPr="001F50BA">
        <w:rPr>
          <w:rFonts w:cs="Calibri"/>
          <w:iCs/>
          <w:kern w:val="1"/>
          <w:lang w:eastAsia="ar-SA"/>
        </w:rPr>
        <w:t>;</w:t>
      </w:r>
      <w:r w:rsidR="0099140A" w:rsidRPr="001F50BA">
        <w:rPr>
          <w:rFonts w:cs="Times New Roman"/>
        </w:rPr>
        <w:t xml:space="preserve"> </w:t>
      </w:r>
      <w:r w:rsidR="00AA4AAA" w:rsidRPr="001F50BA">
        <w:rPr>
          <w:rFonts w:cs="Calibri"/>
          <w:iCs/>
          <w:kern w:val="1"/>
          <w:lang w:eastAsia="ar-SA"/>
        </w:rPr>
        <w:t>p&lt;0.001) reported a significant higher risk of recurrent falls</w:t>
      </w:r>
      <w:r w:rsidR="00006CA3" w:rsidRPr="001F50BA">
        <w:rPr>
          <w:rFonts w:cs="Calibri"/>
          <w:iCs/>
          <w:kern w:val="1"/>
          <w:lang w:eastAsia="ar-SA"/>
        </w:rPr>
        <w:t xml:space="preserve"> </w:t>
      </w:r>
      <w:r w:rsidR="00AF131A" w:rsidRPr="001F50BA">
        <w:rPr>
          <w:rFonts w:cs="Calibri"/>
          <w:iCs/>
          <w:kern w:val="1"/>
          <w:lang w:eastAsia="ar-SA"/>
        </w:rPr>
        <w:t xml:space="preserve">over the </w:t>
      </w:r>
      <w:r w:rsidR="00006CA3" w:rsidRPr="001F50BA">
        <w:rPr>
          <w:rFonts w:cs="Calibri"/>
          <w:iCs/>
          <w:kern w:val="1"/>
          <w:lang w:eastAsia="ar-SA"/>
        </w:rPr>
        <w:t xml:space="preserve"> </w:t>
      </w:r>
      <w:r w:rsidR="00AF131A" w:rsidRPr="001F50BA">
        <w:rPr>
          <w:rFonts w:cs="Calibri"/>
          <w:iCs/>
          <w:kern w:val="1"/>
          <w:lang w:eastAsia="ar-SA"/>
        </w:rPr>
        <w:t>8-years of</w:t>
      </w:r>
      <w:r w:rsidR="0099140A" w:rsidRPr="001F50BA">
        <w:rPr>
          <w:rFonts w:cs="Calibri"/>
          <w:iCs/>
          <w:kern w:val="1"/>
          <w:lang w:eastAsia="ar-SA"/>
        </w:rPr>
        <w:t xml:space="preserve"> </w:t>
      </w:r>
      <w:r w:rsidR="00006CA3" w:rsidRPr="001F50BA">
        <w:rPr>
          <w:rFonts w:cs="Calibri"/>
          <w:iCs/>
          <w:kern w:val="1"/>
          <w:lang w:eastAsia="ar-SA"/>
        </w:rPr>
        <w:t>follow-up.</w:t>
      </w:r>
      <w:r w:rsidR="00AA4AAA" w:rsidRPr="001F50BA">
        <w:rPr>
          <w:rFonts w:cs="Calibri"/>
          <w:iCs/>
          <w:kern w:val="1"/>
          <w:lang w:eastAsia="ar-SA"/>
        </w:rPr>
        <w:t xml:space="preserve"> </w:t>
      </w:r>
      <w:r w:rsidR="00006CA3" w:rsidRPr="001F50BA">
        <w:rPr>
          <w:rFonts w:cs="Calibri"/>
          <w:iCs/>
          <w:kern w:val="1"/>
          <w:lang w:eastAsia="ar-SA"/>
        </w:rPr>
        <w:t xml:space="preserve">Similar results were evident </w:t>
      </w:r>
      <w:r w:rsidR="00AF131A" w:rsidRPr="001F50BA">
        <w:rPr>
          <w:rFonts w:cs="Calibri"/>
          <w:iCs/>
          <w:kern w:val="1"/>
          <w:lang w:eastAsia="ar-SA"/>
        </w:rPr>
        <w:t xml:space="preserve">when </w:t>
      </w:r>
      <w:r w:rsidR="00006CA3" w:rsidRPr="001F50BA">
        <w:rPr>
          <w:rFonts w:cs="Calibri"/>
          <w:iCs/>
          <w:kern w:val="1"/>
          <w:lang w:eastAsia="ar-SA"/>
        </w:rPr>
        <w:t xml:space="preserve">using </w:t>
      </w:r>
      <w:r w:rsidR="00AF131A" w:rsidRPr="001F50BA">
        <w:rPr>
          <w:rFonts w:cs="Calibri"/>
          <w:iCs/>
          <w:kern w:val="1"/>
          <w:lang w:eastAsia="ar-SA"/>
        </w:rPr>
        <w:t xml:space="preserve">an </w:t>
      </w:r>
      <w:r w:rsidR="00006CA3" w:rsidRPr="001F50BA">
        <w:rPr>
          <w:rFonts w:cs="Calibri"/>
          <w:iCs/>
          <w:kern w:val="1"/>
          <w:lang w:eastAsia="ar-SA"/>
        </w:rPr>
        <w:t xml:space="preserve">increase in </w:t>
      </w:r>
      <w:r w:rsidR="00F84822" w:rsidRPr="001F50BA">
        <w:rPr>
          <w:rFonts w:cs="Calibri"/>
          <w:iCs/>
          <w:kern w:val="1"/>
          <w:lang w:eastAsia="ar-SA"/>
        </w:rPr>
        <w:t>0.1</w:t>
      </w:r>
      <w:r w:rsidR="00006CA3" w:rsidRPr="001F50BA">
        <w:rPr>
          <w:rFonts w:cs="Calibri"/>
          <w:iCs/>
          <w:kern w:val="1"/>
          <w:lang w:eastAsia="ar-SA"/>
        </w:rPr>
        <w:t xml:space="preserve"> points in</w:t>
      </w:r>
      <w:r w:rsidR="00AF131A" w:rsidRPr="001F50BA">
        <w:rPr>
          <w:rFonts w:cs="Calibri"/>
          <w:iCs/>
          <w:kern w:val="1"/>
          <w:lang w:eastAsia="ar-SA"/>
        </w:rPr>
        <w:t xml:space="preserve"> the</w:t>
      </w:r>
      <w:r w:rsidR="00006CA3" w:rsidRPr="001F50BA">
        <w:rPr>
          <w:rFonts w:cs="Calibri"/>
          <w:iCs/>
          <w:kern w:val="1"/>
          <w:lang w:eastAsia="ar-SA"/>
        </w:rPr>
        <w:t xml:space="preserve"> MPI or risk of falls after one year.  </w:t>
      </w:r>
    </w:p>
    <w:p w14:paraId="1662A0D6" w14:textId="77777777" w:rsidR="00E53013" w:rsidRPr="001F50BA" w:rsidRDefault="00652F38" w:rsidP="0099140A">
      <w:pPr>
        <w:autoSpaceDE w:val="0"/>
        <w:autoSpaceDN w:val="0"/>
        <w:adjustRightInd w:val="0"/>
        <w:spacing w:line="480" w:lineRule="auto"/>
        <w:jc w:val="both"/>
      </w:pPr>
      <w:bookmarkStart w:id="1" w:name="_Hlk513320970"/>
      <w:r w:rsidRPr="001F50BA">
        <w:rPr>
          <w:b/>
        </w:rPr>
        <w:t>Conclusion</w:t>
      </w:r>
      <w:r w:rsidR="00BC2250" w:rsidRPr="001F50BA">
        <w:rPr>
          <w:b/>
        </w:rPr>
        <w:t>s and implications</w:t>
      </w:r>
      <w:r w:rsidRPr="001F50BA">
        <w:t xml:space="preserve">: </w:t>
      </w:r>
      <w:bookmarkEnd w:id="1"/>
      <w:r w:rsidR="00006CA3" w:rsidRPr="001F50BA">
        <w:rPr>
          <w:rFonts w:cs="Calibri"/>
          <w:kern w:val="1"/>
          <w:lang w:eastAsia="ar-SA"/>
        </w:rPr>
        <w:t>Higher MPI values at baseline</w:t>
      </w:r>
      <w:r w:rsidR="00006CA3" w:rsidRPr="001F50BA">
        <w:t xml:space="preserve"> </w:t>
      </w:r>
      <w:r w:rsidR="00F84822" w:rsidRPr="001F50BA">
        <w:t>were</w:t>
      </w:r>
      <w:r w:rsidR="00006CA3" w:rsidRPr="001F50BA">
        <w:t xml:space="preserve"> associated with an increased risk of recurrent falls suggesting the importance of </w:t>
      </w:r>
      <w:r w:rsidR="007F2656" w:rsidRPr="001F50BA">
        <w:t>CGA</w:t>
      </w:r>
      <w:r w:rsidR="00006CA3" w:rsidRPr="001F50BA">
        <w:t xml:space="preserve"> in predicting </w:t>
      </w:r>
      <w:r w:rsidR="00AF131A" w:rsidRPr="001F50BA">
        <w:t xml:space="preserve">falls </w:t>
      </w:r>
      <w:r w:rsidR="00006CA3" w:rsidRPr="001F50BA">
        <w:t>in older people</w:t>
      </w:r>
      <w:r w:rsidR="00533CB8" w:rsidRPr="001F50BA">
        <w:t xml:space="preserve">. </w:t>
      </w:r>
      <w:r w:rsidR="00C91EDC" w:rsidRPr="001F50BA">
        <w:t xml:space="preserve"> </w:t>
      </w:r>
    </w:p>
    <w:p w14:paraId="60C0E91D" w14:textId="77777777" w:rsidR="00596D5A" w:rsidRPr="001F50BA" w:rsidRDefault="00596D5A" w:rsidP="00E53013">
      <w:pPr>
        <w:spacing w:line="480" w:lineRule="auto"/>
        <w:jc w:val="both"/>
        <w:rPr>
          <w:rFonts w:eastAsia="Times New Roman"/>
          <w:b/>
          <w:lang w:eastAsia="ar-SA"/>
        </w:rPr>
      </w:pPr>
    </w:p>
    <w:p w14:paraId="39986028" w14:textId="1763263C" w:rsidR="00345D79" w:rsidRPr="001F50BA" w:rsidRDefault="00334962" w:rsidP="00D47006">
      <w:pPr>
        <w:spacing w:line="480" w:lineRule="auto"/>
        <w:jc w:val="both"/>
        <w:rPr>
          <w:rFonts w:eastAsia="Times New Roman"/>
          <w:b/>
          <w:lang w:eastAsia="ar-SA"/>
        </w:rPr>
      </w:pPr>
      <w:r w:rsidRPr="001F50BA">
        <w:rPr>
          <w:rFonts w:eastAsia="Times New Roman"/>
          <w:b/>
          <w:lang w:eastAsia="ar-SA"/>
        </w:rPr>
        <w:lastRenderedPageBreak/>
        <w:t xml:space="preserve">Keywords: </w:t>
      </w:r>
      <w:r w:rsidRPr="001F50BA">
        <w:rPr>
          <w:rFonts w:eastAsia="Times New Roman"/>
          <w:bCs/>
          <w:lang w:eastAsia="ar-SA"/>
        </w:rPr>
        <w:t xml:space="preserve">multidimensional prognostic index; comprehensive geriatric assessment; falls; Osteoarthritis initiative. </w:t>
      </w:r>
      <w:r w:rsidR="00345D79" w:rsidRPr="001F50BA">
        <w:rPr>
          <w:rFonts w:eastAsia="Times New Roman"/>
          <w:b/>
          <w:lang w:eastAsia="ar-SA"/>
        </w:rPr>
        <w:br w:type="page"/>
      </w:r>
    </w:p>
    <w:p w14:paraId="25ADC03D" w14:textId="77777777" w:rsidR="0035618C" w:rsidRPr="001F50BA" w:rsidRDefault="005D22BC" w:rsidP="00BB754D">
      <w:pPr>
        <w:spacing w:line="480" w:lineRule="auto"/>
        <w:rPr>
          <w:rFonts w:cs="Times New Roman"/>
          <w:b/>
        </w:rPr>
      </w:pPr>
      <w:r w:rsidRPr="001F50BA">
        <w:rPr>
          <w:rFonts w:cs="Times New Roman"/>
          <w:b/>
        </w:rPr>
        <w:lastRenderedPageBreak/>
        <w:t>INTRODUCTION</w:t>
      </w:r>
    </w:p>
    <w:p w14:paraId="15B4B89B" w14:textId="5DFDC2D2" w:rsidR="004978D0" w:rsidRPr="001F50BA" w:rsidRDefault="008C7FB0" w:rsidP="004978D0">
      <w:pPr>
        <w:spacing w:line="480" w:lineRule="auto"/>
        <w:jc w:val="both"/>
      </w:pPr>
      <w:r w:rsidRPr="001F50BA">
        <w:t xml:space="preserve">Falls are a major public health concern in older people, </w:t>
      </w:r>
      <w:r w:rsidR="00596D5A" w:rsidRPr="001F50BA">
        <w:t>significant</w:t>
      </w:r>
      <w:r w:rsidR="004978D0" w:rsidRPr="001F50BA">
        <w:t xml:space="preserve">ly </w:t>
      </w:r>
      <w:r w:rsidRPr="001F50BA">
        <w:t xml:space="preserve">associated with adverse quality of life, increased physical comorbidity, healthcare use and </w:t>
      </w:r>
      <w:r w:rsidR="004978D0" w:rsidRPr="001F50BA">
        <w:t>early</w:t>
      </w:r>
      <w:r w:rsidRPr="001F50BA">
        <w:t xml:space="preserve"> mortality.</w:t>
      </w:r>
      <w:hyperlink w:anchor="_ENREF_1" w:tooltip="Rubenstein, 2006 #5412" w:history="1">
        <w:r w:rsidR="00762FAD" w:rsidRPr="001F50BA">
          <w:fldChar w:fldCharType="begin"/>
        </w:r>
        <w:r w:rsidR="00762FAD" w:rsidRPr="001F50BA">
          <w:instrText xml:space="preserve"> ADDIN EN.CITE &lt;EndNote&gt;&lt;Cite&gt;&lt;Author&gt;Rubenstein&lt;/Author&gt;&lt;Year&gt;2006&lt;/Year&gt;&lt;RecNum&gt;5412&lt;/RecNum&gt;&lt;DisplayText&gt;&lt;style face="superscript"&gt;1&lt;/style&gt;&lt;/DisplayText&gt;&lt;record&gt;&lt;rec-number&gt;5412&lt;/rec-number&gt;&lt;foreign-keys&gt;&lt;key app="EN" db-id="t2wadffz0tdfane25rb50ezte9zwtdwpseft"&gt;5412&lt;/key&gt;&lt;/foreign-keys&gt;&lt;ref-type name="Journal Article"&gt;17&lt;/ref-type&gt;&lt;contributors&gt;&lt;authors&gt;&lt;author&gt;Rubenstein, Laurence Z&lt;/author&gt;&lt;/authors&gt;&lt;/contributors&gt;&lt;titles&gt;&lt;title&gt;Falls in older people: epidemiology, risk factors and strategies for prevention&lt;/title&gt;&lt;secondary-title&gt;Age and ageing&lt;/secondary-title&gt;&lt;/titles&gt;&lt;periodical&gt;&lt;full-title&gt;Age Ageing&lt;/full-title&gt;&lt;abbr-1&gt;Age and ageing&lt;/abbr-1&gt;&lt;/periodical&gt;&lt;pages&gt;ii37-ii41&lt;/pages&gt;&lt;volume&gt;35&lt;/volume&gt;&lt;number&gt;suppl_2&lt;/number&gt;&lt;dates&gt;&lt;year&gt;2006&lt;/year&gt;&lt;/dates&gt;&lt;isbn&gt;1468-2834&lt;/isbn&gt;&lt;urls&gt;&lt;/urls&gt;&lt;/record&gt;&lt;/Cite&gt;&lt;/EndNote&gt;</w:instrText>
        </w:r>
        <w:r w:rsidR="00762FAD" w:rsidRPr="001F50BA">
          <w:fldChar w:fldCharType="separate"/>
        </w:r>
        <w:r w:rsidR="00762FAD" w:rsidRPr="001F50BA">
          <w:rPr>
            <w:noProof/>
            <w:vertAlign w:val="superscript"/>
          </w:rPr>
          <w:t>1</w:t>
        </w:r>
        <w:r w:rsidR="00762FAD" w:rsidRPr="001F50BA">
          <w:fldChar w:fldCharType="end"/>
        </w:r>
      </w:hyperlink>
      <w:r w:rsidRPr="001F50BA">
        <w:t xml:space="preserve"> </w:t>
      </w:r>
      <w:r w:rsidR="004978D0" w:rsidRPr="001F50BA">
        <w:t>It has been estimated that approximately 1 in 3 pe</w:t>
      </w:r>
      <w:r w:rsidR="00C70524" w:rsidRPr="001F50BA">
        <w:t>ople</w:t>
      </w:r>
      <w:r w:rsidR="004978D0" w:rsidRPr="001F50BA">
        <w:t xml:space="preserve"> aged 65 years or older fall every year in the United States.</w:t>
      </w:r>
      <w:hyperlink w:anchor="_ENREF_2" w:tooltip="Pahor, 2019 #7152" w:history="1">
        <w:r w:rsidR="00762FAD" w:rsidRPr="001F50BA">
          <w:fldChar w:fldCharType="begin"/>
        </w:r>
        <w:r w:rsidR="00762FAD" w:rsidRPr="001F50BA">
          <w:instrText xml:space="preserve"> ADDIN EN.CITE &lt;EndNote&gt;&lt;Cite&gt;&lt;Author&gt;Pahor&lt;/Author&gt;&lt;Year&gt;2019&lt;/Year&gt;&lt;RecNum&gt;7152&lt;/RecNum&gt;&lt;DisplayText&gt;&lt;style face="superscript"&gt;2&lt;/style&gt;&lt;/DisplayText&gt;&lt;record&gt;&lt;rec-number&gt;7152&lt;/rec-number&gt;&lt;foreign-keys&gt;&lt;key app="EN" db-id="t2wadffz0tdfane25rb50ezte9zwtdwpseft"&gt;7152&lt;/key&gt;&lt;/foreign-keys&gt;&lt;ref-type name="Journal Article"&gt;17&lt;/ref-type&gt;&lt;contributors&gt;&lt;authors&gt;&lt;author&gt;Pahor, Marco&lt;/author&gt;&lt;/authors&gt;&lt;/contributors&gt;&lt;titles&gt;&lt;title&gt;Falls in older adults: prevention, mortality, and costs&lt;/title&gt;&lt;secondary-title&gt;Jama&lt;/secondary-title&gt;&lt;/titles&gt;&lt;periodical&gt;&lt;full-title&gt;JAMA&lt;/full-title&gt;&lt;abbr-1&gt;Jama&lt;/abbr-1&gt;&lt;/periodical&gt;&lt;pages&gt;2080-2081&lt;/pages&gt;&lt;volume&gt;321&lt;/volume&gt;&lt;number&gt;21&lt;/number&gt;&lt;dates&gt;&lt;year&gt;2019&lt;/year&gt;&lt;/dates&gt;&lt;isbn&gt;0098-7484&lt;/isbn&gt;&lt;urls&gt;&lt;/urls&gt;&lt;/record&gt;&lt;/Cite&gt;&lt;/EndNote&gt;</w:instrText>
        </w:r>
        <w:r w:rsidR="00762FAD" w:rsidRPr="001F50BA">
          <w:fldChar w:fldCharType="separate"/>
        </w:r>
        <w:r w:rsidR="00762FAD" w:rsidRPr="001F50BA">
          <w:rPr>
            <w:noProof/>
            <w:vertAlign w:val="superscript"/>
          </w:rPr>
          <w:t>2</w:t>
        </w:r>
        <w:r w:rsidR="00762FAD" w:rsidRPr="001F50BA">
          <w:fldChar w:fldCharType="end"/>
        </w:r>
      </w:hyperlink>
      <w:r w:rsidR="004978D0" w:rsidRPr="001F50BA">
        <w:t xml:space="preserve"> It </w:t>
      </w:r>
      <w:r w:rsidR="00C70524" w:rsidRPr="001F50BA">
        <w:t>has been</w:t>
      </w:r>
      <w:r w:rsidR="004978D0" w:rsidRPr="001F50BA">
        <w:t xml:space="preserve"> reported that falls are </w:t>
      </w:r>
      <w:r w:rsidR="00C70524" w:rsidRPr="001F50BA">
        <w:t xml:space="preserve">a </w:t>
      </w:r>
      <w:r w:rsidR="004978D0" w:rsidRPr="001F50BA">
        <w:t xml:space="preserve">frequent cause of disability, institutionalization, and mortality, </w:t>
      </w:r>
      <w:r w:rsidR="00F170BC" w:rsidRPr="001F50BA">
        <w:t xml:space="preserve">and are </w:t>
      </w:r>
      <w:r w:rsidR="004978D0" w:rsidRPr="001F50BA">
        <w:t xml:space="preserve"> </w:t>
      </w:r>
      <w:r w:rsidR="007F2656" w:rsidRPr="001F50BA">
        <w:t xml:space="preserve">among </w:t>
      </w:r>
      <w:r w:rsidR="004978D0" w:rsidRPr="001F50BA">
        <w:t>the primary causes of traumatic injury in older people in the United States.</w:t>
      </w:r>
      <w:hyperlink w:anchor="_ENREF_1" w:tooltip="Rubenstein, 2006 #5412" w:history="1">
        <w:r w:rsidR="00762FAD" w:rsidRPr="001F50BA">
          <w:fldChar w:fldCharType="begin">
            <w:fldData xml:space="preserve">PEVuZE5vdGU+PENpdGU+PEF1dGhvcj5SdWJlbnN0ZWluPC9BdXRob3I+PFllYXI+MjAwNjwvWWVh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</w:fldData>
          </w:fldChar>
        </w:r>
        <w:r w:rsidR="00762FAD" w:rsidRPr="001F50BA">
          <w:instrText xml:space="preserve"> ADDIN EN.CITE </w:instrText>
        </w:r>
        <w:r w:rsidR="00762FAD" w:rsidRPr="001F50BA">
          <w:fldChar w:fldCharType="begin">
            <w:fldData xml:space="preserve">PEVuZE5vdGU+PENpdGU+PEF1dGhvcj5SdWJlbnN0ZWluPC9BdXRob3I+PFllYXI+MjAwNjwvWWVh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</w:fldData>
          </w:fldChar>
        </w:r>
        <w:r w:rsidR="00762FAD" w:rsidRPr="001F50BA">
          <w:instrText xml:space="preserve"> ADDIN EN.CITE.DATA </w:instrText>
        </w:r>
        <w:r w:rsidR="00762FAD" w:rsidRPr="001F50BA">
          <w:fldChar w:fldCharType="end"/>
        </w:r>
        <w:r w:rsidR="00762FAD" w:rsidRPr="001F50BA">
          <w:fldChar w:fldCharType="separate"/>
        </w:r>
        <w:r w:rsidR="00762FAD" w:rsidRPr="001F50BA">
          <w:rPr>
            <w:noProof/>
            <w:vertAlign w:val="superscript"/>
          </w:rPr>
          <w:t>1-3</w:t>
        </w:r>
        <w:r w:rsidR="00762FAD" w:rsidRPr="001F50BA">
          <w:fldChar w:fldCharType="end"/>
        </w:r>
      </w:hyperlink>
    </w:p>
    <w:p w14:paraId="511AE0FC" w14:textId="77777777" w:rsidR="004978D0" w:rsidRPr="001F50BA" w:rsidRDefault="004978D0" w:rsidP="004978D0">
      <w:pPr>
        <w:spacing w:line="480" w:lineRule="auto"/>
        <w:jc w:val="both"/>
      </w:pPr>
    </w:p>
    <w:p w14:paraId="0F35F2C0" w14:textId="3582D90A" w:rsidR="008C7FB0" w:rsidRPr="001F50BA" w:rsidRDefault="004978D0" w:rsidP="004978D0">
      <w:pPr>
        <w:spacing w:line="480" w:lineRule="auto"/>
        <w:jc w:val="both"/>
      </w:pPr>
      <w:r w:rsidRPr="001F50BA">
        <w:t xml:space="preserve">Several </w:t>
      </w:r>
      <w:r w:rsidR="003F01C2" w:rsidRPr="001F50BA">
        <w:t>conditions</w:t>
      </w:r>
      <w:r w:rsidRPr="001F50BA">
        <w:t xml:space="preserve"> are known as potential risk factors for falls</w:t>
      </w:r>
      <w:r w:rsidR="003F01C2" w:rsidRPr="001F50BA">
        <w:t>,</w:t>
      </w:r>
      <w:r w:rsidRPr="001F50BA">
        <w:t xml:space="preserve"> including reduction in muscle strength</w:t>
      </w:r>
      <w:hyperlink w:anchor="_ENREF_4" w:tooltip="Reis, 2012 #7154" w:history="1">
        <w:r w:rsidR="00762FAD" w:rsidRPr="001F50BA">
          <w:fldChar w:fldCharType="begin"/>
        </w:r>
        <w:r w:rsidR="00762FAD" w:rsidRPr="001F50BA">
          <w:instrText xml:space="preserve"> ADDIN EN.CITE &lt;EndNote&gt;&lt;Cite&gt;&lt;Author&gt;Reis&lt;/Author&gt;&lt;Year&gt;2012&lt;/Year&gt;&lt;RecNum&gt;7154&lt;/RecNum&gt;&lt;DisplayText&gt;&lt;style face="superscript"&gt;4&lt;/style&gt;&lt;/DisplayText&gt;&lt;record&gt;&lt;rec-number&gt;7154&lt;/rec-number&gt;&lt;foreign-keys&gt;&lt;key app="EN" db-id="t2wadffz0tdfane25rb50ezte9zwtdwpseft"&gt;7154&lt;/key&gt;&lt;/foreign-keys&gt;&lt;ref-type name="Journal Article"&gt;17&lt;/ref-type&gt;&lt;contributors&gt;&lt;authors&gt;&lt;author&gt;Reis, P&lt;/author&gt;&lt;author&gt;Moro, A&lt;/author&gt;&lt;author&gt;Bins Ely, V&lt;/author&gt;&lt;author&gt;Fernandes, C&lt;/author&gt;&lt;author&gt;Vilagra, J&lt;/author&gt;&lt;author&gt;Peres, L&lt;/author&gt;&lt;author&gt;Fogaça Junior, O&lt;/author&gt;&lt;author&gt;Merino, Eugenio&lt;/author&gt;&lt;/authors&gt;&lt;/contributors&gt;&lt;titles&gt;&lt;title&gt;Universal design and accessibility: an approach of the influence of muscle strength loss in the risk of falls in the elderly&lt;/title&gt;&lt;secondary-title&gt;Work&lt;/secondary-title&gt;&lt;/titles&gt;&lt;periodical&gt;&lt;full-title&gt;Work&lt;/full-title&gt;&lt;/periodical&gt;&lt;pages&gt;374-379&lt;/pages&gt;&lt;volume&gt;41&lt;/volume&gt;&lt;number&gt;Supplement 1&lt;/number&gt;&lt;dates&gt;&lt;year&gt;2012&lt;/year&gt;&lt;/dates&gt;&lt;isbn&gt;1051-9815&lt;/isbn&gt;&lt;urls&gt;&lt;/urls&gt;&lt;/record&gt;&lt;/Cite&gt;&lt;/EndNote&gt;</w:instrText>
        </w:r>
        <w:r w:rsidR="00762FAD" w:rsidRPr="001F50BA">
          <w:fldChar w:fldCharType="separate"/>
        </w:r>
        <w:r w:rsidR="00762FAD" w:rsidRPr="001F50BA">
          <w:rPr>
            <w:noProof/>
            <w:vertAlign w:val="superscript"/>
          </w:rPr>
          <w:t>4</w:t>
        </w:r>
        <w:r w:rsidR="00762FAD" w:rsidRPr="001F50BA">
          <w:fldChar w:fldCharType="end"/>
        </w:r>
      </w:hyperlink>
      <w:r w:rsidRPr="001F50BA">
        <w:t>, gait imbalance</w:t>
      </w:r>
      <w:hyperlink w:anchor="_ENREF_5" w:tooltip="Shumway-Cook, 1997 #7155" w:history="1">
        <w:r w:rsidR="00762FAD" w:rsidRPr="001F50BA">
          <w:fldChar w:fldCharType="begin"/>
        </w:r>
        <w:r w:rsidR="00762FAD" w:rsidRPr="001F50BA">
          <w:instrText xml:space="preserve"> ADDIN EN.CITE &lt;EndNote&gt;&lt;Cite&gt;&lt;Author&gt;Shumway-Cook&lt;/Author&gt;&lt;Year&gt;1997&lt;/Year&gt;&lt;RecNum&gt;7155&lt;/RecNum&gt;&lt;DisplayText&gt;&lt;style face="superscript"&gt;5&lt;/style&gt;&lt;/DisplayText&gt;&lt;record&gt;&lt;rec-number&gt;7155&lt;/rec-number&gt;&lt;foreign-keys&gt;&lt;key app="EN" db-id="t2wadffz0tdfane25rb50ezte9zwtdwpseft"&gt;7155&lt;/key&gt;&lt;/foreign-keys&gt;&lt;ref-type name="Journal Article"&gt;17&lt;/ref-type&gt;&lt;contributors&gt;&lt;authors&gt;&lt;author&gt;Shumway-Cook, Anne&lt;/author&gt;&lt;author&gt;Baldwin, Margaret&lt;/author&gt;&lt;author&gt;Polissar, Nayak L&lt;/author&gt;&lt;author&gt;Gruber, William&lt;/author&gt;&lt;/authors&gt;&lt;/contributors&gt;&lt;titles&gt;&lt;title&gt;Predicting the probability for falls in community-dwelling older adults&lt;/title&gt;&lt;secondary-title&gt;Physical therapy&lt;/secondary-title&gt;&lt;/titles&gt;&lt;periodical&gt;&lt;full-title&gt;Phys Ther&lt;/full-title&gt;&lt;abbr-1&gt;Physical therapy&lt;/abbr-1&gt;&lt;/periodical&gt;&lt;pages&gt;812-819&lt;/pages&gt;&lt;volume&gt;77&lt;/volume&gt;&lt;number&gt;8&lt;/number&gt;&lt;dates&gt;&lt;year&gt;1997&lt;/year&gt;&lt;/dates&gt;&lt;isbn&gt;0031-9023&lt;/isbn&gt;&lt;urls&gt;&lt;/urls&gt;&lt;/record&gt;&lt;/Cite&gt;&lt;/EndNote&gt;</w:instrText>
        </w:r>
        <w:r w:rsidR="00762FAD" w:rsidRPr="001F50BA">
          <w:fldChar w:fldCharType="separate"/>
        </w:r>
        <w:r w:rsidR="00762FAD" w:rsidRPr="001F50BA">
          <w:rPr>
            <w:noProof/>
            <w:vertAlign w:val="superscript"/>
          </w:rPr>
          <w:t>5</w:t>
        </w:r>
        <w:r w:rsidR="00762FAD" w:rsidRPr="001F50BA">
          <w:fldChar w:fldCharType="end"/>
        </w:r>
      </w:hyperlink>
      <w:r w:rsidRPr="001F50BA">
        <w:t>, visual and hearing deficits</w:t>
      </w:r>
      <w:hyperlink w:anchor="_ENREF_6" w:tooltip="Dhital, 2010 #7156" w:history="1">
        <w:r w:rsidR="00762FAD" w:rsidRPr="001F50BA">
          <w:fldChar w:fldCharType="begin"/>
        </w:r>
        <w:r w:rsidR="00762FAD" w:rsidRPr="001F50BA">
          <w:instrText xml:space="preserve"> ADDIN EN.CITE &lt;EndNote&gt;&lt;Cite&gt;&lt;Author&gt;Dhital&lt;/Author&gt;&lt;Year&gt;2010&lt;/Year&gt;&lt;RecNum&gt;7156&lt;/RecNum&gt;&lt;DisplayText&gt;&lt;style face="superscript"&gt;6&lt;/style&gt;&lt;/DisplayText&gt;&lt;record&gt;&lt;rec-number&gt;7156&lt;/rec-number&gt;&lt;foreign-keys&gt;&lt;key app="EN" db-id="t2wadffz0tdfane25rb50ezte9zwtdwpseft"&gt;7156&lt;/key&gt;&lt;/foreign-keys&gt;&lt;ref-type name="Journal Article"&gt;17&lt;/ref-type&gt;&lt;contributors&gt;&lt;authors&gt;&lt;author&gt;Dhital, A&lt;/author&gt;&lt;author&gt;Pey, T&lt;/author&gt;&lt;author&gt;Stanford, Miles R&lt;/author&gt;&lt;/authors&gt;&lt;/contributors&gt;&lt;titles&gt;&lt;title&gt;Visual loss and falls: a review&lt;/title&gt;&lt;secondary-title&gt;Eye&lt;/secondary-title&gt;&lt;/titles&gt;&lt;periodical&gt;&lt;full-title&gt;Eye&lt;/full-title&gt;&lt;/periodical&gt;&lt;pages&gt;1437&lt;/pages&gt;&lt;volume&gt;24&lt;/volume&gt;&lt;number&gt;9&lt;/number&gt;&lt;dates&gt;&lt;year&gt;2010&lt;/year&gt;&lt;/dates&gt;&lt;isbn&gt;1476-5454&lt;/isbn&gt;&lt;urls&gt;&lt;/urls&gt;&lt;/record&gt;&lt;/Cite&gt;&lt;/EndNote&gt;</w:instrText>
        </w:r>
        <w:r w:rsidR="00762FAD" w:rsidRPr="001F50BA">
          <w:fldChar w:fldCharType="separate"/>
        </w:r>
        <w:r w:rsidR="00762FAD" w:rsidRPr="001F50BA">
          <w:rPr>
            <w:noProof/>
            <w:vertAlign w:val="superscript"/>
          </w:rPr>
          <w:t>6</w:t>
        </w:r>
        <w:r w:rsidR="00762FAD" w:rsidRPr="001F50BA">
          <w:fldChar w:fldCharType="end"/>
        </w:r>
      </w:hyperlink>
      <w:r w:rsidRPr="001F50BA">
        <w:t>, osteoarthritis</w:t>
      </w:r>
      <w:hyperlink w:anchor="_ENREF_7" w:tooltip="Ng, 2013 #7157" w:history="1">
        <w:r w:rsidR="00762FAD" w:rsidRPr="001F50BA">
          <w:fldChar w:fldCharType="begin"/>
        </w:r>
        <w:r w:rsidR="00762FAD" w:rsidRPr="001F50BA">
          <w:instrText xml:space="preserve"> ADDIN EN.CITE &lt;EndNote&gt;&lt;Cite&gt;&lt;Author&gt;Ng&lt;/Author&gt;&lt;Year&gt;2013&lt;/Year&gt;&lt;RecNum&gt;7157&lt;/RecNum&gt;&lt;DisplayText&gt;&lt;style face="superscript"&gt;7&lt;/style&gt;&lt;/DisplayText&gt;&lt;record&gt;&lt;rec-number&gt;7157&lt;/rec-number&gt;&lt;foreign-keys&gt;&lt;key app="EN" db-id="t2wadffz0tdfane25rb50ezte9zwtdwpseft"&gt;7157&lt;/key&gt;&lt;/foreign-keys&gt;&lt;ref-type name="Journal Article"&gt;17&lt;/ref-type&gt;&lt;contributors&gt;&lt;authors&gt;&lt;author&gt;Ng, Chin Teck&lt;/author&gt;&lt;author&gt;Tan, Maw Pin&lt;/author&gt;&lt;/authors&gt;&lt;/contributors&gt;&lt;titles&gt;&lt;title&gt;Osteoarthritis and falls in the older person&lt;/title&gt;&lt;secondary-title&gt;Age and ageing&lt;/secondary-title&gt;&lt;/titles&gt;&lt;periodical&gt;&lt;full-title&gt;Age Ageing&lt;/full-title&gt;&lt;abbr-1&gt;Age and ageing&lt;/abbr-1&gt;&lt;/periodical&gt;&lt;pages&gt;561-566&lt;/pages&gt;&lt;volume&gt;42&lt;/volume&gt;&lt;number&gt;5&lt;/number&gt;&lt;dates&gt;&lt;year&gt;2013&lt;/year&gt;&lt;/dates&gt;&lt;isbn&gt;1468-2834&lt;/isbn&gt;&lt;urls&gt;&lt;/urls&gt;&lt;/record&gt;&lt;/Cite&gt;&lt;/EndNote&gt;</w:instrText>
        </w:r>
        <w:r w:rsidR="00762FAD" w:rsidRPr="001F50BA">
          <w:fldChar w:fldCharType="separate"/>
        </w:r>
        <w:r w:rsidR="00762FAD" w:rsidRPr="001F50BA">
          <w:rPr>
            <w:noProof/>
            <w:vertAlign w:val="superscript"/>
          </w:rPr>
          <w:t>7</w:t>
        </w:r>
        <w:r w:rsidR="00762FAD" w:rsidRPr="001F50BA">
          <w:fldChar w:fldCharType="end"/>
        </w:r>
      </w:hyperlink>
      <w:r w:rsidRPr="001F50BA">
        <w:t>, dementia</w:t>
      </w:r>
      <w:hyperlink w:anchor="_ENREF_8" w:tooltip="Van Doorn, 2003 #7158" w:history="1">
        <w:r w:rsidR="00762FAD" w:rsidRPr="001F50BA">
          <w:fldChar w:fldCharType="begin"/>
        </w:r>
        <w:r w:rsidR="00762FAD" w:rsidRPr="001F50BA">
          <w:instrText xml:space="preserve"> ADDIN EN.CITE &lt;EndNote&gt;&lt;Cite&gt;&lt;Author&gt;Van Doorn&lt;/Author&gt;&lt;Year&gt;2003&lt;/Year&gt;&lt;RecNum&gt;7158&lt;/RecNum&gt;&lt;DisplayText&gt;&lt;style face="superscript"&gt;8&lt;/style&gt;&lt;/DisplayText&gt;&lt;record&gt;&lt;rec-number&gt;7158&lt;/rec-number&gt;&lt;foreign-keys&gt;&lt;key app="EN" db-id="t2wadffz0tdfane25rb50ezte9zwtdwpseft"&gt;7158&lt;/key&gt;&lt;/foreign-keys&gt;&lt;ref-type name="Journal Article"&gt;17&lt;/ref-type&gt;&lt;contributors&gt;&lt;authors&gt;&lt;author&gt;Van Doorn, Carol&lt;/author&gt;&lt;author&gt;Gruber‐Baldini, Ann L&lt;/author&gt;&lt;author&gt;Zimmerman, Sheryl&lt;/author&gt;&lt;author&gt;Richard Hebel, J&lt;/author&gt;&lt;author&gt;Port, Cynthia L&lt;/author&gt;&lt;author&gt;Baumgarten, Mona&lt;/author&gt;&lt;author&gt;Quinn, Charlene C&lt;/author&gt;&lt;author&gt;Taler, George&lt;/author&gt;&lt;author&gt;May, Conrad&lt;/author&gt;&lt;author&gt;Magaziner, Jay&lt;/author&gt;&lt;/authors&gt;&lt;/contributors&gt;&lt;titles&gt;&lt;title&gt;Dementia as a risk factor for falls and fall injuries among nursing home residents&lt;/title&gt;&lt;secondary-title&gt;Journal of the American Geriatrics Society&lt;/secondary-title&gt;&lt;/titles&gt;&lt;periodical&gt;&lt;full-title&gt;J Am Geriatr Soc&lt;/full-title&gt;&lt;abbr-1&gt;Journal of the American Geriatrics Society&lt;/abbr-1&gt;&lt;/periodical&gt;&lt;pages&gt;1213-1218&lt;/pages&gt;&lt;volume&gt;51&lt;/volume&gt;&lt;number&gt;9&lt;/number&gt;&lt;dates&gt;&lt;year&gt;2003&lt;/year&gt;&lt;/dates&gt;&lt;isbn&gt;0002-8614&lt;/isbn&gt;&lt;urls&gt;&lt;/urls&gt;&lt;/record&gt;&lt;/Cite&gt;&lt;/EndNote&gt;</w:instrText>
        </w:r>
        <w:r w:rsidR="00762FAD" w:rsidRPr="001F50BA">
          <w:fldChar w:fldCharType="separate"/>
        </w:r>
        <w:r w:rsidR="00762FAD" w:rsidRPr="001F50BA">
          <w:rPr>
            <w:noProof/>
            <w:vertAlign w:val="superscript"/>
          </w:rPr>
          <w:t>8</w:t>
        </w:r>
        <w:r w:rsidR="00762FAD" w:rsidRPr="001F50BA">
          <w:fldChar w:fldCharType="end"/>
        </w:r>
      </w:hyperlink>
      <w:r w:rsidRPr="001F50BA">
        <w:t xml:space="preserve"> and depression.</w:t>
      </w:r>
      <w:hyperlink w:anchor="_ENREF_9" w:tooltip="Iaboni, 2013 #7159" w:history="1">
        <w:r w:rsidR="00762FAD" w:rsidRPr="001F50BA">
          <w:fldChar w:fldCharType="begin"/>
        </w:r>
        <w:r w:rsidR="00762FAD" w:rsidRPr="001F50BA">
          <w:instrText xml:space="preserve"> ADDIN EN.CITE &lt;EndNote&gt;&lt;Cite&gt;&lt;Author&gt;Iaboni&lt;/Author&gt;&lt;Year&gt;2013&lt;/Year&gt;&lt;RecNum&gt;7159&lt;/RecNum&gt;&lt;DisplayText&gt;&lt;style face="superscript"&gt;9&lt;/style&gt;&lt;/DisplayText&gt;&lt;record&gt;&lt;rec-number&gt;7159&lt;/rec-number&gt;&lt;foreign-keys&gt;&lt;key app="EN" db-id="t2wadffz0tdfane25rb50ezte9zwtdwpseft"&gt;7159&lt;/key&gt;&lt;/foreign-keys&gt;&lt;ref-type name="Journal Article"&gt;17&lt;/ref-type&gt;&lt;contributors&gt;&lt;authors&gt;&lt;author&gt;Iaboni, Andrea&lt;/author&gt;&lt;author&gt;Flint, Alastair J&lt;/author&gt;&lt;/authors&gt;&lt;/contributors&gt;&lt;titles&gt;&lt;title&gt;The complex interplay of depression and falls in older adults: a clinical review&lt;/title&gt;&lt;secondary-title&gt;The American Journal of Geriatric Psychiatry&lt;/secondary-title&gt;&lt;/titles&gt;&lt;periodical&gt;&lt;full-title&gt;The American Journal of Geriatric Psychiatry&lt;/full-title&gt;&lt;/periodical&gt;&lt;pages&gt;484-492&lt;/pages&gt;&lt;volume&gt;21&lt;/volume&gt;&lt;number&gt;5&lt;/number&gt;&lt;dates&gt;&lt;year&gt;2013&lt;/year&gt;&lt;/dates&gt;&lt;isbn&gt;1064-7481&lt;/isbn&gt;&lt;urls&gt;&lt;/urls&gt;&lt;/record&gt;&lt;/Cite&gt;&lt;/EndNote&gt;</w:instrText>
        </w:r>
        <w:r w:rsidR="00762FAD" w:rsidRPr="001F50BA">
          <w:fldChar w:fldCharType="separate"/>
        </w:r>
        <w:r w:rsidR="00762FAD" w:rsidRPr="001F50BA">
          <w:rPr>
            <w:noProof/>
            <w:vertAlign w:val="superscript"/>
          </w:rPr>
          <w:t>9</w:t>
        </w:r>
        <w:r w:rsidR="00762FAD" w:rsidRPr="001F50BA">
          <w:fldChar w:fldCharType="end"/>
        </w:r>
      </w:hyperlink>
      <w:r w:rsidR="00637BCD" w:rsidRPr="001F50BA">
        <w:t xml:space="preserve"> </w:t>
      </w:r>
      <w:r w:rsidR="00C70524" w:rsidRPr="001F50BA">
        <w:t xml:space="preserve">The early identification of older adults who are at risk of </w:t>
      </w:r>
      <w:r w:rsidR="00AF475F" w:rsidRPr="001F50BA">
        <w:t xml:space="preserve"> fall</w:t>
      </w:r>
      <w:r w:rsidR="00C70524" w:rsidRPr="001F50BA">
        <w:t>ing</w:t>
      </w:r>
      <w:r w:rsidR="00AF475F" w:rsidRPr="001F50BA">
        <w:t xml:space="preserve"> </w:t>
      </w:r>
      <w:r w:rsidR="00C70524" w:rsidRPr="001F50BA">
        <w:t xml:space="preserve">is </w:t>
      </w:r>
      <w:r w:rsidR="00AF475F" w:rsidRPr="001F50BA">
        <w:t>importan</w:t>
      </w:r>
      <w:r w:rsidR="00BB152E" w:rsidRPr="001F50BA">
        <w:t>t</w:t>
      </w:r>
      <w:r w:rsidR="00AF475F" w:rsidRPr="001F50BA">
        <w:t xml:space="preserve"> in order to </w:t>
      </w:r>
      <w:r w:rsidR="00CF5463" w:rsidRPr="001F50BA">
        <w:t>develop</w:t>
      </w:r>
      <w:r w:rsidR="00AF475F" w:rsidRPr="001F50BA">
        <w:t xml:space="preserve"> tailored interventions </w:t>
      </w:r>
      <w:r w:rsidR="00C70524" w:rsidRPr="001F50BA">
        <w:t xml:space="preserve">to prevent </w:t>
      </w:r>
      <w:r w:rsidR="00AF475F" w:rsidRPr="001F50BA">
        <w:t xml:space="preserve">falls </w:t>
      </w:r>
      <w:hyperlink w:anchor="_ENREF_10" w:tooltip="Callaghan, 2015 #7161" w:history="1">
        <w:r w:rsidR="00762FAD" w:rsidRPr="001F50BA">
          <w:fldChar w:fldCharType="begin"/>
        </w:r>
        <w:r w:rsidR="00762FAD" w:rsidRPr="001F50BA">
          <w:instrText xml:space="preserve"> ADDIN EN.CITE &lt;EndNote&gt;&lt;Cite&gt;&lt;Author&gt;Callaghan&lt;/Author&gt;&lt;Year&gt;2015&lt;/Year&gt;&lt;RecNum&gt;7161&lt;/RecNum&gt;&lt;DisplayText&gt;&lt;style face="superscript"&gt;10&lt;/style&gt;&lt;/DisplayText&gt;&lt;record&gt;&lt;rec-number&gt;7161&lt;/rec-number&gt;&lt;foreign-keys&gt;&lt;key app="EN" db-id="t2wadffz0tdfane25rb50ezte9zwtdwpseft"&gt;7161&lt;/key&gt;&lt;/foreign-keys&gt;&lt;ref-type name="Journal Article"&gt;17&lt;/ref-type&gt;&lt;contributors&gt;&lt;authors&gt;&lt;author&gt;Callaghan, Brian&lt;/author&gt;&lt;author&gt;Kerber, Kevin&lt;/author&gt;&lt;author&gt;Langa, Kenneth M&lt;/author&gt;&lt;author&gt;Banerjee, Mousumi&lt;/author&gt;&lt;author&gt;Rodgers, Ann&lt;/author&gt;&lt;author&gt;McCammon, Ryan&lt;/author&gt;&lt;author&gt;Burke, James&lt;/author&gt;&lt;author&gt;Feldman, Eva&lt;/author&gt;&lt;/authors&gt;&lt;/contributors&gt;&lt;titles&gt;&lt;title&gt;Longitudinal patient-oriented outcomes in neuropathy: importance of early detection and falls&lt;/title&gt;&lt;secondary-title&gt;Neurology&lt;/secondary-title&gt;&lt;/titles&gt;&lt;periodical&gt;&lt;full-title&gt;Neurology&lt;/full-title&gt;&lt;abbr-1&gt;Neurology&lt;/abbr-1&gt;&lt;/periodical&gt;&lt;pages&gt;71-79&lt;/pages&gt;&lt;volume&gt;85&lt;/volume&gt;&lt;number&gt;1&lt;/number&gt;&lt;dates&gt;&lt;year&gt;2015&lt;/year&gt;&lt;/dates&gt;&lt;isbn&gt;0028-3878&lt;/isbn&gt;&lt;urls&gt;&lt;/urls&gt;&lt;/record&gt;&lt;/Cite&gt;&lt;/EndNote&gt;</w:instrText>
        </w:r>
        <w:r w:rsidR="00762FAD" w:rsidRPr="001F50BA">
          <w:fldChar w:fldCharType="separate"/>
        </w:r>
        <w:r w:rsidR="00762FAD" w:rsidRPr="001F50BA">
          <w:rPr>
            <w:noProof/>
            <w:vertAlign w:val="superscript"/>
          </w:rPr>
          <w:t>10</w:t>
        </w:r>
        <w:r w:rsidR="00762FAD" w:rsidRPr="001F50BA">
          <w:fldChar w:fldCharType="end"/>
        </w:r>
      </w:hyperlink>
      <w:r w:rsidR="00C70524" w:rsidRPr="001F50BA">
        <w:t>. However,</w:t>
      </w:r>
      <w:r w:rsidR="004F12CE" w:rsidRPr="001F50BA">
        <w:t xml:space="preserve"> the prediction of such a risk of fall</w:t>
      </w:r>
      <w:r w:rsidR="00C70524" w:rsidRPr="001F50BA">
        <w:t>ing</w:t>
      </w:r>
      <w:r w:rsidR="004F12CE" w:rsidRPr="001F50BA">
        <w:t xml:space="preserve"> remains a challenge in geriatric medicine.</w:t>
      </w:r>
      <w:hyperlink w:anchor="_ENREF_11" w:tooltip="Hazzard, 2009 #7195" w:history="1">
        <w:r w:rsidR="00762FAD" w:rsidRPr="001F50BA">
          <w:fldChar w:fldCharType="begin"/>
        </w:r>
        <w:r w:rsidR="00762FAD" w:rsidRPr="001F50BA">
          <w:instrText xml:space="preserve"> ADDIN EN.CITE &lt;EndNote&gt;&lt;Cite&gt;&lt;Author&gt;Hazzard&lt;/Author&gt;&lt;Year&gt;2009&lt;/Year&gt;&lt;RecNum&gt;7195&lt;/RecNum&gt;&lt;DisplayText&gt;&lt;style face="superscript"&gt;11&lt;/style&gt;&lt;/DisplayText&gt;&lt;record&gt;&lt;rec-number&gt;7195&lt;/rec-number&gt;&lt;foreign-keys&gt;&lt;key app="EN" db-id="t2wadffz0tdfane25rb50ezte9zwtdwpseft"&gt;7195&lt;/key&gt;&lt;/foreign-keys&gt;&lt;ref-type name="Book"&gt;6&lt;/ref-type&gt;&lt;contributors&gt;&lt;authors&gt;&lt;author&gt;Hazzard, William R&lt;/author&gt;&lt;author&gt;Halter, Jeffrey B&lt;/author&gt;&lt;/authors&gt;&lt;/contributors&gt;&lt;titles&gt;&lt;title&gt;Hazzard&amp;apos;s geriatric medicine and gerontology&lt;/title&gt;&lt;/titles&gt;&lt;pages&gt;723-31&lt;/pages&gt;&lt;dates&gt;&lt;year&gt;2009&lt;/year&gt;&lt;/dates&gt;&lt;publisher&gt;Univerza v Ljubljani, Medicinska fakulteta&lt;/publisher&gt;&lt;isbn&gt;0071641246&lt;/isbn&gt;&lt;urls&gt;&lt;/urls&gt;&lt;/record&gt;&lt;/Cite&gt;&lt;/EndNote&gt;</w:instrText>
        </w:r>
        <w:r w:rsidR="00762FAD" w:rsidRPr="001F50BA">
          <w:fldChar w:fldCharType="separate"/>
        </w:r>
        <w:r w:rsidR="00762FAD" w:rsidRPr="001F50BA">
          <w:rPr>
            <w:noProof/>
            <w:vertAlign w:val="superscript"/>
          </w:rPr>
          <w:t>11</w:t>
        </w:r>
        <w:r w:rsidR="00762FAD" w:rsidRPr="001F50BA">
          <w:fldChar w:fldCharType="end"/>
        </w:r>
      </w:hyperlink>
      <w:r w:rsidR="004F12CE" w:rsidRPr="001F50BA">
        <w:t xml:space="preserve"> </w:t>
      </w:r>
      <w:hyperlink w:anchor="_ENREF_2" w:tooltip="Pahor, 2019 #7152" w:history="1"/>
    </w:p>
    <w:p w14:paraId="23AE6301" w14:textId="77777777" w:rsidR="008C7FB0" w:rsidRPr="001F50BA" w:rsidRDefault="008C7FB0" w:rsidP="008C7FB0">
      <w:pPr>
        <w:spacing w:line="480" w:lineRule="auto"/>
        <w:jc w:val="both"/>
      </w:pPr>
    </w:p>
    <w:p w14:paraId="7418DA21" w14:textId="6A655DBD" w:rsidR="00AF475F" w:rsidRPr="001F50BA" w:rsidRDefault="004F12CE" w:rsidP="00AF475F">
      <w:pPr>
        <w:spacing w:line="480" w:lineRule="auto"/>
        <w:jc w:val="both"/>
      </w:pPr>
      <w:r w:rsidRPr="001F50BA">
        <w:t>Indeed,</w:t>
      </w:r>
      <w:r w:rsidR="00AF475F" w:rsidRPr="001F50BA">
        <w:t xml:space="preserve"> </w:t>
      </w:r>
      <w:r w:rsidR="005428FF" w:rsidRPr="001F50BA">
        <w:t xml:space="preserve"> fall risk assessment tools currently used in geriatric medicine </w:t>
      </w:r>
      <w:r w:rsidR="00C70524" w:rsidRPr="001F50BA">
        <w:t xml:space="preserve">have not shown  </w:t>
      </w:r>
      <w:r w:rsidR="005428FF" w:rsidRPr="001F50BA">
        <w:t>sufficiently high predictive validity for differentiating high and low fall risks.</w:t>
      </w:r>
      <w:hyperlink w:anchor="_ENREF_12" w:tooltip="Park, 2018 #7163" w:history="1">
        <w:r w:rsidR="00762FAD" w:rsidRPr="001F50BA">
          <w:fldChar w:fldCharType="begin"/>
        </w:r>
        <w:r w:rsidR="00762FAD" w:rsidRPr="001F50BA">
          <w:instrText xml:space="preserve"> ADDIN EN.CITE &lt;EndNote&gt;&lt;Cite&gt;&lt;Author&gt;Park&lt;/Author&gt;&lt;Year&gt;2018&lt;/Year&gt;&lt;RecNum&gt;7163&lt;/RecNum&gt;&lt;DisplayText&gt;&lt;style face="superscript"&gt;12&lt;/style&gt;&lt;/DisplayText&gt;&lt;record&gt;&lt;rec-number&gt;7163&lt;/rec-number&gt;&lt;foreign-keys&gt;&lt;key app="EN" db-id="t2wadffz0tdfane25rb50ezte9zwtdwpseft"&gt;7163&lt;/key&gt;&lt;/foreign-keys&gt;&lt;ref-type name="Journal Article"&gt;17&lt;/ref-type&gt;&lt;contributors&gt;&lt;authors&gt;&lt;author&gt;Park, Seong-Hi&lt;/author&gt;&lt;/authors&gt;&lt;/contributors&gt;&lt;titles&gt;&lt;title&gt;Tools for assessing fall risk in the elderly: a systematic review and meta-analysis&lt;/title&gt;&lt;secondary-title&gt;Aging clinical and experimental research&lt;/secondary-title&gt;&lt;/titles&gt;&lt;periodical&gt;&lt;full-title&gt;Aging Clinical and Experimental Research&lt;/full-title&gt;&lt;/periodical&gt;&lt;pages&gt;1-16&lt;/pages&gt;&lt;volume&gt;30&lt;/volume&gt;&lt;number&gt;1&lt;/number&gt;&lt;dates&gt;&lt;year&gt;2018&lt;/year&gt;&lt;/dates&gt;&lt;isbn&gt;1720-8319&lt;/isbn&gt;&lt;urls&gt;&lt;/urls&gt;&lt;/record&gt;&lt;/Cite&gt;&lt;/EndNote&gt;</w:instrText>
        </w:r>
        <w:r w:rsidR="00762FAD" w:rsidRPr="001F50BA">
          <w:fldChar w:fldCharType="separate"/>
        </w:r>
        <w:r w:rsidR="00762FAD" w:rsidRPr="001F50BA">
          <w:rPr>
            <w:noProof/>
            <w:vertAlign w:val="superscript"/>
          </w:rPr>
          <w:t>12</w:t>
        </w:r>
        <w:r w:rsidR="00762FAD" w:rsidRPr="001F50BA">
          <w:fldChar w:fldCharType="end"/>
        </w:r>
      </w:hyperlink>
      <w:r w:rsidR="00AF475F" w:rsidRPr="001F50BA">
        <w:t xml:space="preserve"> For example,</w:t>
      </w:r>
      <w:r w:rsidR="003F01C2" w:rsidRPr="001F50BA">
        <w:t xml:space="preserve"> the</w:t>
      </w:r>
      <w:r w:rsidR="00AF475F" w:rsidRPr="001F50BA">
        <w:t xml:space="preserve"> </w:t>
      </w:r>
      <w:r w:rsidR="003F01C2" w:rsidRPr="001F50BA">
        <w:t>t</w:t>
      </w:r>
      <w:r w:rsidR="00AF475F" w:rsidRPr="001F50BA">
        <w:t xml:space="preserve">imed </w:t>
      </w:r>
      <w:r w:rsidR="003F01C2" w:rsidRPr="001F50BA">
        <w:t>u</w:t>
      </w:r>
      <w:r w:rsidR="00AF475F" w:rsidRPr="001F50BA">
        <w:t xml:space="preserve">p and </w:t>
      </w:r>
      <w:r w:rsidR="003F01C2" w:rsidRPr="001F50BA">
        <w:t>g</w:t>
      </w:r>
      <w:r w:rsidR="00AF475F" w:rsidRPr="001F50BA">
        <w:t>o, a common test for assessing the risk of falls</w:t>
      </w:r>
      <w:r w:rsidR="003F01C2" w:rsidRPr="001F50BA">
        <w:t>,</w:t>
      </w:r>
      <w:r w:rsidR="00AF475F" w:rsidRPr="001F50BA">
        <w:t xml:space="preserve"> has only limited </w:t>
      </w:r>
      <w:r w:rsidR="00832227" w:rsidRPr="001F50BA">
        <w:t>specificity (0.49)</w:t>
      </w:r>
      <w:r w:rsidR="00AF475F" w:rsidRPr="001F50BA">
        <w:t xml:space="preserve"> to predict falls in community dwelling older pe</w:t>
      </w:r>
      <w:r w:rsidR="00F170BC" w:rsidRPr="001F50BA">
        <w:t>ople</w:t>
      </w:r>
      <w:r w:rsidR="00AF475F" w:rsidRPr="001F50BA">
        <w:t xml:space="preserve"> and, therefore, should not be used alone for identifying individuals at high risk of falls.</w:t>
      </w:r>
      <w:hyperlink w:anchor="_ENREF_13" w:tooltip="Barry, 2014 #7162" w:history="1">
        <w:r w:rsidR="00762FAD" w:rsidRPr="001F50BA">
          <w:fldChar w:fldCharType="begin"/>
        </w:r>
        <w:r w:rsidR="00762FAD" w:rsidRPr="001F50BA">
          <w:instrText xml:space="preserve"> ADDIN EN.CITE &lt;EndNote&gt;&lt;Cite&gt;&lt;Author&gt;Barry&lt;/Author&gt;&lt;Year&gt;2014&lt;/Year&gt;&lt;RecNum&gt;7162&lt;/RecNum&gt;&lt;DisplayText&gt;&lt;style face="superscript"&gt;13&lt;/style&gt;&lt;/DisplayText&gt;&lt;record&gt;&lt;rec-number&gt;7162&lt;/rec-number&gt;&lt;foreign-keys&gt;&lt;key app="EN" db-id="t2wadffz0tdfane25rb50ezte9zwtdwpseft"&gt;7162&lt;/key&gt;&lt;/foreign-keys&gt;&lt;ref-type name="Journal Article"&gt;17&lt;/ref-type&gt;&lt;contributors&gt;&lt;authors&gt;&lt;author&gt;Barry, Emma&lt;/author&gt;&lt;author&gt;Galvin, Rose&lt;/author&gt;&lt;author&gt;Keogh, Claire&lt;/author&gt;&lt;author&gt;Horgan, Frances&lt;/author&gt;&lt;author&gt;Fahey, Tom&lt;/author&gt;&lt;/authors&gt;&lt;/contributors&gt;&lt;titles&gt;&lt;title&gt;Is the Timed Up and Go test a useful predictor of risk of falls in community dwelling older adults: a systematic review and meta-analysis&lt;/title&gt;&lt;secondary-title&gt;BMC geriatrics&lt;/secondary-title&gt;&lt;/titles&gt;&lt;periodical&gt;&lt;full-title&gt;BMC Geriatr&lt;/full-title&gt;&lt;abbr-1&gt;BMC geriatrics&lt;/abbr-1&gt;&lt;/periodical&gt;&lt;pages&gt;14&lt;/pages&gt;&lt;volume&gt;14&lt;/volume&gt;&lt;number&gt;1&lt;/number&gt;&lt;dates&gt;&lt;year&gt;2014&lt;/year&gt;&lt;/dates&gt;&lt;isbn&gt;1471-2318&lt;/isbn&gt;&lt;urls&gt;&lt;/urls&gt;&lt;/record&gt;&lt;/Cite&gt;&lt;/EndNote&gt;</w:instrText>
        </w:r>
        <w:r w:rsidR="00762FAD" w:rsidRPr="001F50BA">
          <w:fldChar w:fldCharType="separate"/>
        </w:r>
        <w:r w:rsidR="00762FAD" w:rsidRPr="001F50BA">
          <w:rPr>
            <w:noProof/>
            <w:vertAlign w:val="superscript"/>
          </w:rPr>
          <w:t>13</w:t>
        </w:r>
        <w:r w:rsidR="00762FAD" w:rsidRPr="001F50BA">
          <w:fldChar w:fldCharType="end"/>
        </w:r>
      </w:hyperlink>
      <w:r w:rsidR="005428FF" w:rsidRPr="001F50BA">
        <w:t xml:space="preserve"> </w:t>
      </w:r>
      <w:r w:rsidR="00D71013" w:rsidRPr="001F50BA">
        <w:t>Other tools commonly used for assessing falls risk</w:t>
      </w:r>
      <w:r w:rsidRPr="001F50BA">
        <w:t xml:space="preserve">, </w:t>
      </w:r>
      <w:r w:rsidR="00D71013" w:rsidRPr="001F50BA">
        <w:t>e.g. t</w:t>
      </w:r>
      <w:r w:rsidR="00AF475F" w:rsidRPr="001F50BA">
        <w:t>he Berg Balance scale and Mobility Interaction Fall chart</w:t>
      </w:r>
      <w:r w:rsidR="00D71013" w:rsidRPr="001F50BA">
        <w:t xml:space="preserve">, the </w:t>
      </w:r>
      <w:r w:rsidR="00AF475F" w:rsidRPr="001F50BA">
        <w:t>Downton Fall Risk Index and</w:t>
      </w:r>
      <w:r w:rsidR="006E2AFE" w:rsidRPr="001F50BA">
        <w:t xml:space="preserve"> the</w:t>
      </w:r>
      <w:r w:rsidR="00AF475F" w:rsidRPr="001F50BA">
        <w:t xml:space="preserve"> Tinetti Balance scale</w:t>
      </w:r>
      <w:r w:rsidRPr="001F50BA">
        <w:t xml:space="preserve">, </w:t>
      </w:r>
      <w:r w:rsidR="00AF475F" w:rsidRPr="001F50BA">
        <w:t xml:space="preserve">showed </w:t>
      </w:r>
      <w:r w:rsidR="006E2AFE" w:rsidRPr="001F50BA">
        <w:t>contrasting results</w:t>
      </w:r>
      <w:r w:rsidR="00832227" w:rsidRPr="001F50BA">
        <w:t>, particularly in terms of sensitivity.</w:t>
      </w:r>
      <w:r w:rsidR="006E2AFE" w:rsidRPr="001F50BA">
        <w:t xml:space="preserve"> </w:t>
      </w:r>
      <w:hyperlink w:anchor="_ENREF_12" w:tooltip="Park, 2018 #7163" w:history="1">
        <w:r w:rsidR="00762FAD" w:rsidRPr="001F50BA">
          <w:fldChar w:fldCharType="begin"/>
        </w:r>
        <w:r w:rsidR="00762FAD" w:rsidRPr="001F50BA">
          <w:instrText xml:space="preserve"> ADDIN EN.CITE &lt;EndNote&gt;&lt;Cite&gt;&lt;Author&gt;Park&lt;/Author&gt;&lt;Year&gt;2018&lt;/Year&gt;&lt;RecNum&gt;7163&lt;/RecNum&gt;&lt;DisplayText&gt;&lt;style face="superscript"&gt;12&lt;/style&gt;&lt;/DisplayText&gt;&lt;record&gt;&lt;rec-number&gt;7163&lt;/rec-number&gt;&lt;foreign-keys&gt;&lt;key app="EN" db-id="t2wadffz0tdfane25rb50ezte9zwtdwpseft"&gt;7163&lt;/key&gt;&lt;/foreign-keys&gt;&lt;ref-type name="Journal Article"&gt;17&lt;/ref-type&gt;&lt;contributors&gt;&lt;authors&gt;&lt;author&gt;Park, Seong-Hi&lt;/author&gt;&lt;/authors&gt;&lt;/contributors&gt;&lt;titles&gt;&lt;title&gt;Tools for assessing fall risk in the elderly: a systematic review and meta-analysis&lt;/title&gt;&lt;secondary-title&gt;Aging clinical and experimental research&lt;/secondary-title&gt;&lt;/titles&gt;&lt;periodical&gt;&lt;full-title&gt;Aging Clinical and Experimental Research&lt;/full-title&gt;&lt;/periodical&gt;&lt;pages&gt;1-16&lt;/pages&gt;&lt;volume&gt;30&lt;/volume&gt;&lt;number&gt;1&lt;/number&gt;&lt;dates&gt;&lt;year&gt;2018&lt;/year&gt;&lt;/dates&gt;&lt;isbn&gt;1720-8319&lt;/isbn&gt;&lt;urls&gt;&lt;/urls&gt;&lt;/record&gt;&lt;/Cite&gt;&lt;/EndNote&gt;</w:instrText>
        </w:r>
        <w:r w:rsidR="00762FAD" w:rsidRPr="001F50BA">
          <w:fldChar w:fldCharType="separate"/>
        </w:r>
        <w:r w:rsidR="00762FAD" w:rsidRPr="001F50BA">
          <w:rPr>
            <w:noProof/>
            <w:vertAlign w:val="superscript"/>
          </w:rPr>
          <w:t>12</w:t>
        </w:r>
        <w:r w:rsidR="00762FAD" w:rsidRPr="001F50BA">
          <w:fldChar w:fldCharType="end"/>
        </w:r>
      </w:hyperlink>
      <w:r w:rsidR="006E2AFE" w:rsidRPr="001F50BA">
        <w:t xml:space="preserve"> As summarized by a recent systematic review and meta-analysis</w:t>
      </w:r>
      <w:hyperlink w:anchor="_ENREF_12" w:tooltip="Park, 2018 #7163" w:history="1">
        <w:r w:rsidR="00762FAD" w:rsidRPr="001F50BA">
          <w:fldChar w:fldCharType="begin"/>
        </w:r>
        <w:r w:rsidR="00762FAD" w:rsidRPr="001F50BA">
          <w:instrText xml:space="preserve"> ADDIN EN.CITE &lt;EndNote&gt;&lt;Cite&gt;&lt;Author&gt;Park&lt;/Author&gt;&lt;Year&gt;2018&lt;/Year&gt;&lt;RecNum&gt;7163&lt;/RecNum&gt;&lt;DisplayText&gt;&lt;style face="superscript"&gt;12&lt;/style&gt;&lt;/DisplayText&gt;&lt;record&gt;&lt;rec-number&gt;7163&lt;/rec-number&gt;&lt;foreign-keys&gt;&lt;key app="EN" db-id="t2wadffz0tdfane25rb50ezte9zwtdwpseft"&gt;7163&lt;/key&gt;&lt;/foreign-keys&gt;&lt;ref-type name="Journal Article"&gt;17&lt;/ref-type&gt;&lt;contributors&gt;&lt;authors&gt;&lt;author&gt;Park, Seong-Hi&lt;/author&gt;&lt;/authors&gt;&lt;/contributors&gt;&lt;titles&gt;&lt;title&gt;Tools for assessing fall risk in the elderly: a systematic review and meta-analysis&lt;/title&gt;&lt;secondary-title&gt;Aging clinical and experimental research&lt;/secondary-title&gt;&lt;/titles&gt;&lt;periodical&gt;&lt;full-title&gt;Aging Clinical and Experimental Research&lt;/full-title&gt;&lt;/periodical&gt;&lt;pages&gt;1-16&lt;/pages&gt;&lt;volume&gt;30&lt;/volume&gt;&lt;number&gt;1&lt;/number&gt;&lt;dates&gt;&lt;year&gt;2018&lt;/year&gt;&lt;/dates&gt;&lt;isbn&gt;1720-8319&lt;/isbn&gt;&lt;urls&gt;&lt;/urls&gt;&lt;/record&gt;&lt;/Cite&gt;&lt;/EndNote&gt;</w:instrText>
        </w:r>
        <w:r w:rsidR="00762FAD" w:rsidRPr="001F50BA">
          <w:fldChar w:fldCharType="separate"/>
        </w:r>
        <w:r w:rsidR="00762FAD" w:rsidRPr="001F50BA">
          <w:rPr>
            <w:noProof/>
            <w:vertAlign w:val="superscript"/>
          </w:rPr>
          <w:t>12</w:t>
        </w:r>
        <w:r w:rsidR="00762FAD" w:rsidRPr="001F50BA">
          <w:fldChar w:fldCharType="end"/>
        </w:r>
      </w:hyperlink>
      <w:r w:rsidR="006E2AFE" w:rsidRPr="001F50BA">
        <w:t xml:space="preserve">, </w:t>
      </w:r>
      <w:r w:rsidR="00AF475F" w:rsidRPr="001F50BA">
        <w:t>rather than a single measure, two assessment tools used together would better evaluate the characteristics of falls</w:t>
      </w:r>
      <w:r w:rsidR="006E2AFE" w:rsidRPr="001F50BA">
        <w:t xml:space="preserve"> </w:t>
      </w:r>
      <w:r w:rsidR="00527BF3" w:rsidRPr="001F50BA">
        <w:t xml:space="preserve">and therefore </w:t>
      </w:r>
      <w:r w:rsidR="006E2AFE" w:rsidRPr="001F50BA">
        <w:t xml:space="preserve">indicating that  comprehensive geriatric assessment (CGA) could be used for better predicting </w:t>
      </w:r>
      <w:r w:rsidR="00527BF3" w:rsidRPr="001F50BA">
        <w:t xml:space="preserve">fall risk </w:t>
      </w:r>
      <w:r w:rsidR="006E2AFE" w:rsidRPr="001F50BA">
        <w:t>in older people.</w:t>
      </w:r>
    </w:p>
    <w:p w14:paraId="3D038B46" w14:textId="1ED5A95E" w:rsidR="0026488B" w:rsidRPr="001F50BA" w:rsidRDefault="0026488B" w:rsidP="0026488B">
      <w:pPr>
        <w:spacing w:line="480" w:lineRule="auto"/>
        <w:jc w:val="both"/>
        <w:rPr>
          <w:rFonts w:cs="Times New Roman"/>
        </w:rPr>
      </w:pPr>
      <w:r w:rsidRPr="001F50BA">
        <w:rPr>
          <w:rFonts w:cs="Times New Roman"/>
        </w:rPr>
        <w:lastRenderedPageBreak/>
        <w:t>The Multidimensional Prognostic Index (MPI)</w:t>
      </w:r>
      <w:hyperlink w:anchor="_ENREF_14" w:tooltip="Pilotto, 2008 #1523" w:history="1">
        <w:r w:rsidR="00762FAD" w:rsidRPr="001F50BA">
          <w:rPr>
            <w:rFonts w:cs="Times New Roman"/>
          </w:rPr>
          <w:fldChar w:fldCharType="begin"/>
        </w:r>
        <w:r w:rsidR="00762FAD" w:rsidRPr="001F50BA">
          <w:rPr>
            <w:rFonts w:cs="Times New Roman"/>
          </w:rPr>
          <w:instrText xml:space="preserve"> ADDIN EN.CITE &lt;EndNote&gt;&lt;Cite&gt;&lt;Author&gt;Pilotto&lt;/Author&gt;&lt;Year&gt;2008&lt;/Year&gt;&lt;RecNum&gt;1523&lt;/RecNum&gt;&lt;DisplayText&gt;&lt;style face="superscript"&gt;14&lt;/style&gt;&lt;/DisplayText&gt;&lt;record&gt;&lt;rec-number&gt;1523&lt;/rec-number&gt;&lt;foreign-keys&gt;&lt;key app="EN" db-id="t2wadffz0tdfane25rb50ezte9zwtdwpseft"&gt;1523&lt;/key&gt;&lt;/foreign-keys&gt;&lt;ref-type name="Journal Article"&gt;17&lt;/ref-type&gt;&lt;contributors&gt;&lt;authors&gt;&lt;author&gt;Pilotto, Alberto&lt;/author&gt;&lt;author&gt;Ferrucci, Luigi&lt;/author&gt;&lt;author&gt;Franceschi, Marilisa&lt;/author&gt;&lt;author&gt;D&amp;apos;Ambrosio, Luigi P.&lt;/author&gt;&lt;author&gt;Scarcelli, Carlo&lt;/author&gt;&lt;author&gt;Cascavilla, Leandro&lt;/author&gt;&lt;author&gt;Paris, Francesco&lt;/author&gt;&lt;author&gt;Placentino, Giuliana&lt;/author&gt;&lt;author&gt;Seripa, Davide&lt;/author&gt;&lt;author&gt;Dallapiccola, Bruno&lt;/author&gt;&lt;author&gt;Leandro, Gioacchino&lt;/author&gt;&lt;/authors&gt;&lt;/contributors&gt;&lt;titles&gt;&lt;title&gt;Development and validation of a multidimensional prognostic index for one-year mortality from comprehensive geriatric assessment in hospitalized older patients&lt;/title&gt;&lt;secondary-title&gt;Rejuvenation research&lt;/secondary-title&gt;&lt;/titles&gt;&lt;periodical&gt;&lt;full-title&gt;Rejuvenation Res&lt;/full-title&gt;&lt;abbr-1&gt;Rejuvenation research&lt;/abbr-1&gt;&lt;/periodical&gt;&lt;pages&gt;151-61&lt;/pages&gt;&lt;volume&gt;11&lt;/volume&gt;&lt;number&gt;1&lt;/number&gt;&lt;keywords&gt;&lt;keyword&gt;Aged&lt;/keyword&gt;&lt;keyword&gt;Aged, 80 and over&lt;/keyword&gt;&lt;keyword&gt;Cohort Studies&lt;/keyword&gt;&lt;keyword&gt;Female&lt;/keyword&gt;&lt;keyword&gt;Follow-Up Studies&lt;/keyword&gt;&lt;keyword&gt;Geriatric Assessment&lt;/keyword&gt;&lt;keyword&gt;Geriatric Assessment: methods&lt;/keyword&gt;&lt;keyword&gt;Health Status Indicators&lt;/keyword&gt;&lt;keyword&gt;Hospitalization&lt;/keyword&gt;&lt;keyword&gt;Humans&lt;/keyword&gt;&lt;keyword&gt;Male&lt;/keyword&gt;&lt;keyword&gt;Models, Theoretical&lt;/keyword&gt;&lt;keyword&gt;Mortality&lt;/keyword&gt;&lt;keyword&gt;Prognosis&lt;/keyword&gt;&lt;keyword&gt;Time Factors&lt;/keyword&gt;&lt;/keywords&gt;&lt;dates&gt;&lt;year&gt;2008&lt;/year&gt;&lt;/dates&gt;&lt;isbn&gt;1549-1684&lt;/isbn&gt;&lt;urls&gt;&lt;related-urls&gt;&lt;url&gt;http://www.pubmedcentral.nih.gov/articlerender.fcgi?artid=2668166&amp;amp;tool=pmcentrez&amp;amp;rendertype=abstract&lt;/url&gt;&lt;/related-urls&gt;&lt;/urls&gt;&lt;electronic-resource-num&gt;10.1089/rej.2007.0569&lt;/electronic-resource-num&gt;&lt;/record&gt;&lt;/Cite&gt;&lt;/EndNote&gt;</w:instrText>
        </w:r>
        <w:r w:rsidR="00762FAD" w:rsidRPr="001F50BA">
          <w:rPr>
            <w:rFonts w:cs="Times New Roman"/>
          </w:rPr>
          <w:fldChar w:fldCharType="separate"/>
        </w:r>
        <w:r w:rsidR="00762FAD" w:rsidRPr="001F50BA">
          <w:rPr>
            <w:rFonts w:cs="Times New Roman"/>
            <w:noProof/>
            <w:vertAlign w:val="superscript"/>
          </w:rPr>
          <w:t>14</w:t>
        </w:r>
        <w:r w:rsidR="00762FAD" w:rsidRPr="001F50BA">
          <w:rPr>
            <w:rFonts w:cs="Times New Roman"/>
          </w:rPr>
          <w:fldChar w:fldCharType="end"/>
        </w:r>
      </w:hyperlink>
      <w:r w:rsidRPr="001F50BA">
        <w:rPr>
          <w:rFonts w:cs="Times New Roman"/>
        </w:rPr>
        <w:t xml:space="preserve"> is a well-calibrated tool with a good discrimination and accuracy for short and long-term mortality, </w:t>
      </w:r>
      <w:r w:rsidR="0024532D" w:rsidRPr="001F50BA">
        <w:rPr>
          <w:rFonts w:cs="Times New Roman"/>
        </w:rPr>
        <w:t>both</w:t>
      </w:r>
      <w:r w:rsidRPr="001F50BA">
        <w:rPr>
          <w:rFonts w:cs="Times New Roman"/>
        </w:rPr>
        <w:t xml:space="preserve"> in</w:t>
      </w:r>
      <w:r w:rsidR="00527BF3" w:rsidRPr="001F50BA">
        <w:rPr>
          <w:rFonts w:cs="Times New Roman"/>
        </w:rPr>
        <w:t xml:space="preserve"> a</w:t>
      </w:r>
      <w:r w:rsidRPr="001F50BA">
        <w:rPr>
          <w:rFonts w:cs="Times New Roman"/>
        </w:rPr>
        <w:t xml:space="preserve"> hospital setting</w:t>
      </w:r>
      <w:hyperlink w:anchor="_ENREF_15" w:tooltip="Sancarlo, 2011 #2571" w:history="1">
        <w:r w:rsidR="00762FAD" w:rsidRPr="001F50BA">
          <w:rPr>
            <w:rFonts w:cs="Times New Roman"/>
          </w:rPr>
          <w:fldChar w:fldCharType="begin">
            <w:fldData xml:space="preserve">PEVuZE5vdGU+PENpdGU+PEF1dGhvcj5TYW5jYXJsbzwvQXV0aG9yPjxZZWFyPjIwMTE8L1llYXI+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==
</w:fldData>
          </w:fldChar>
        </w:r>
        <w:r w:rsidR="00762FAD" w:rsidRPr="001F50BA">
          <w:rPr>
            <w:rFonts w:cs="Times New Roman"/>
          </w:rPr>
          <w:instrText xml:space="preserve"> ADDIN EN.CITE </w:instrText>
        </w:r>
        <w:r w:rsidR="00762FAD" w:rsidRPr="001F50BA">
          <w:rPr>
            <w:rFonts w:cs="Times New Roman"/>
          </w:rPr>
          <w:fldChar w:fldCharType="begin">
            <w:fldData xml:space="preserve">PEVuZE5vdGU+PENpdGU+PEF1dGhvcj5TYW5jYXJsbzwvQXV0aG9yPjxZZWFyPjIwMTE8L1llYXI+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==
</w:fldData>
          </w:fldChar>
        </w:r>
        <w:r w:rsidR="00762FAD" w:rsidRPr="001F50BA">
          <w:rPr>
            <w:rFonts w:cs="Times New Roman"/>
          </w:rPr>
          <w:instrText xml:space="preserve"> ADDIN EN.CITE.DATA </w:instrText>
        </w:r>
        <w:r w:rsidR="00762FAD" w:rsidRPr="001F50BA">
          <w:rPr>
            <w:rFonts w:cs="Times New Roman"/>
          </w:rPr>
        </w:r>
        <w:r w:rsidR="00762FAD" w:rsidRPr="001F50BA">
          <w:rPr>
            <w:rFonts w:cs="Times New Roman"/>
          </w:rPr>
          <w:fldChar w:fldCharType="end"/>
        </w:r>
        <w:r w:rsidR="00762FAD" w:rsidRPr="001F50BA">
          <w:rPr>
            <w:rFonts w:cs="Times New Roman"/>
          </w:rPr>
        </w:r>
        <w:r w:rsidR="00762FAD" w:rsidRPr="001F50BA">
          <w:rPr>
            <w:rFonts w:cs="Times New Roman"/>
          </w:rPr>
          <w:fldChar w:fldCharType="separate"/>
        </w:r>
        <w:r w:rsidR="00762FAD" w:rsidRPr="001F50BA">
          <w:rPr>
            <w:rFonts w:cs="Times New Roman"/>
            <w:noProof/>
            <w:vertAlign w:val="superscript"/>
          </w:rPr>
          <w:t>15</w:t>
        </w:r>
        <w:r w:rsidR="00762FAD" w:rsidRPr="001F50BA">
          <w:rPr>
            <w:rFonts w:cs="Times New Roman"/>
          </w:rPr>
          <w:fldChar w:fldCharType="end"/>
        </w:r>
      </w:hyperlink>
      <w:r w:rsidR="0024532D" w:rsidRPr="001F50BA">
        <w:t xml:space="preserve"> and in older</w:t>
      </w:r>
      <w:r w:rsidR="00527BF3" w:rsidRPr="001F50BA">
        <w:t xml:space="preserve"> adults</w:t>
      </w:r>
      <w:r w:rsidR="0024532D" w:rsidRPr="001F50BA">
        <w:t xml:space="preserve"> at </w:t>
      </w:r>
      <w:r w:rsidR="00527BF3" w:rsidRPr="001F50BA">
        <w:t xml:space="preserve">the </w:t>
      </w:r>
      <w:r w:rsidR="0024532D" w:rsidRPr="001F50BA">
        <w:t>population level</w:t>
      </w:r>
      <w:r w:rsidR="007B1181" w:rsidRPr="001F50BA">
        <w:t>.</w:t>
      </w:r>
      <w:hyperlink w:anchor="_ENREF_16" w:tooltip="Angleman, 2015 #69" w:history="1">
        <w:r w:rsidR="00762FAD" w:rsidRPr="001F50BA">
          <w:fldChar w:fldCharType="begin"/>
        </w:r>
        <w:r w:rsidR="00762FAD" w:rsidRPr="001F50BA">
          <w:instrText xml:space="preserve"> ADDIN EN.CITE &lt;EndNote&gt;&lt;Cite&gt;&lt;Author&gt;Angleman&lt;/Author&gt;&lt;Year&gt;2015&lt;/Year&gt;&lt;RecNum&gt;69&lt;/RecNum&gt;&lt;DisplayText&gt;&lt;style face="superscript"&gt;16&lt;/style&gt;&lt;/DisplayText&gt;&lt;record&gt;&lt;rec-number&gt;69&lt;/rec-number&gt;&lt;foreign-keys&gt;&lt;key app="EN" db-id="t2wadffz0tdfane25rb50ezte9zwtdwpseft"&gt;69&lt;/key&gt;&lt;/foreign-keys&gt;&lt;ref-type name="Journal Article"&gt;17&lt;/ref-type&gt;&lt;contributors&gt;&lt;authors&gt;&lt;author&gt;Angleman, Sara B.&lt;/author&gt;&lt;author&gt;Santoni, Giola&lt;/author&gt;&lt;author&gt;Pilotto, Alberto&lt;/author&gt;&lt;author&gt;Fratiglioni, Laura&lt;/author&gt;&lt;author&gt;Welmer, Anna-Karin&lt;/author&gt;&lt;/authors&gt;&lt;/contributors&gt;&lt;titles&gt;&lt;title&gt;Multidimensional Prognostic Index in Association with Future Mortality and Number of Hospital Days in a Population-Based Sample of Older Adults: Results of the EU Funded MPI_AGE Project&lt;/title&gt;&lt;secondary-title&gt;PloS one&lt;/secondary-title&gt;&lt;/titles&gt;&lt;periodical&gt;&lt;full-title&gt;PLoS One&lt;/full-title&gt;&lt;abbr-1&gt;PloS one&lt;/abbr-1&gt;&lt;/periodical&gt;&lt;pages&gt;e0133789-e0133789&lt;/pages&gt;&lt;volume&gt;10&lt;/volume&gt;&lt;number&gt;7&lt;/number&gt;&lt;keywords&gt;&lt;keyword&gt;Aged&lt;/keyword&gt;&lt;keyword&gt;Aged, 80 and over&lt;/keyword&gt;&lt;keyword&gt;Epidemiologic Studies&lt;/keyword&gt;&lt;keyword&gt;European Union&lt;/keyword&gt;&lt;keyword&gt;European Union: economics&lt;/keyword&gt;&lt;keyword&gt;Female&lt;/keyword&gt;&lt;keyword&gt;Humans&lt;/keyword&gt;&lt;keyword&gt;Length of Stay&lt;/keyword&gt;&lt;keyword&gt;Male&lt;/keyword&gt;&lt;keyword&gt;Models, Statistical&lt;/keyword&gt;&lt;keyword&gt;Mortality&lt;/keyword&gt;&lt;keyword&gt;Prognosis&lt;/keyword&gt;&lt;keyword&gt;Sweden&lt;/keyword&gt;&lt;keyword&gt;Sweden: epidemiology&lt;/keyword&gt;&lt;/keywords&gt;&lt;dates&gt;&lt;year&gt;2015&lt;/year&gt;&lt;/dates&gt;&lt;urls&gt;&lt;related-urls&gt;&lt;url&gt;http://www.pubmedcentral.nih.gov/articlerender.fcgi?artid=4519042&amp;amp;tool=pmcentrez&amp;amp;rendertype=abstract&lt;/url&gt;&lt;/related-urls&gt;&lt;pdf-urls&gt;&lt;url&gt;file:///C:/Users/Nicola Veronese/AppData/Local/Mendeley Ltd./Mendeley Desktop/Downloaded/Angleman et al. - 2015 - Multidimensional Prognostic Index in Association with Future Mortality and Number of Hospital Days in a Populat.pdf&lt;/url&gt;&lt;/pdf-urls&gt;&lt;/urls&gt;&lt;electronic-resource-num&gt;10.1371/journal.pone.0133789&lt;/electronic-resource-num&gt;&lt;/record&gt;&lt;/Cite&gt;&lt;/EndNote&gt;</w:instrText>
        </w:r>
        <w:r w:rsidR="00762FAD" w:rsidRPr="001F50BA">
          <w:fldChar w:fldCharType="separate"/>
        </w:r>
        <w:r w:rsidR="00762FAD" w:rsidRPr="001F50BA">
          <w:rPr>
            <w:noProof/>
            <w:vertAlign w:val="superscript"/>
          </w:rPr>
          <w:t>16</w:t>
        </w:r>
        <w:r w:rsidR="00762FAD" w:rsidRPr="001F50BA">
          <w:fldChar w:fldCharType="end"/>
        </w:r>
      </w:hyperlink>
      <w:r w:rsidR="0024532D" w:rsidRPr="001F50BA">
        <w:t xml:space="preserve"> </w:t>
      </w:r>
      <w:r w:rsidRPr="001F50BA">
        <w:rPr>
          <w:rFonts w:cs="Times New Roman"/>
        </w:rPr>
        <w:t>Among all prognostic indexes available in geriatric medicine, the MPI is the only one based on information obtained from a CGA that explores comprehensively health, functional, cognitive, and nutritional domains, as well as social aspects, using standardized and extensively validated rating scales</w:t>
      </w:r>
      <w:hyperlink w:anchor="_ENREF_17" w:tooltip="Yourman, 2012 #3870" w:history="1">
        <w:r w:rsidR="00762FAD" w:rsidRPr="001F50BA">
          <w:rPr>
            <w:rFonts w:cs="Times New Roman"/>
          </w:rPr>
          <w:fldChar w:fldCharType="begin"/>
        </w:r>
        <w:r w:rsidR="00762FAD" w:rsidRPr="001F50BA">
          <w:rPr>
            <w:rFonts w:cs="Times New Roman"/>
          </w:rPr>
          <w:instrText xml:space="preserve"> ADDIN EN.CITE &lt;EndNote&gt;&lt;Cite&gt;&lt;Author&gt;Yourman&lt;/Author&gt;&lt;Year&gt;2012&lt;/Year&gt;&lt;RecNum&gt;3870&lt;/RecNum&gt;&lt;DisplayText&gt;&lt;style face="superscript"&gt;17&lt;/style&gt;&lt;/DisplayText&gt;&lt;record&gt;&lt;rec-number&gt;3870&lt;/rec-number&gt;&lt;foreign-keys&gt;&lt;key app="EN" db-id="t2wadffz0tdfane25rb50ezte9zwtdwpseft"&gt;3870&lt;/key&gt;&lt;/foreign-keys&gt;&lt;ref-type name="Journal Article"&gt;17&lt;/ref-type&gt;&lt;contributors&gt;&lt;authors&gt;&lt;author&gt;Yourman, L. C.&lt;/author&gt;&lt;author&gt;Lee, S. J.&lt;/author&gt;&lt;author&gt;Schonberg, M. A.&lt;/author&gt;&lt;author&gt;Widera, E. W.&lt;/author&gt;&lt;author&gt;Smith, A. K.&lt;/author&gt;&lt;/authors&gt;&lt;/contributors&gt;&lt;auth-address&gt;Division of Geriatrics, Department of Medicine, University of California, San Francisco, San Francisco, CA 94121, USA.&lt;/auth-address&gt;&lt;titles&gt;&lt;title&gt;Prognostic indices for older adults: a systematic review&lt;/title&gt;&lt;secondary-title&gt;JAMA&lt;/secondary-title&gt;&lt;alt-title&gt;Jama&lt;/alt-title&gt;&lt;/titles&gt;&lt;periodical&gt;&lt;full-title&gt;JAMA&lt;/full-title&gt;&lt;abbr-1&gt;Jama&lt;/abbr-1&gt;&lt;/periodical&gt;&lt;alt-periodical&gt;&lt;full-title&gt;JAMA&lt;/full-title&gt;&lt;abbr-1&gt;Jama&lt;/abbr-1&gt;&lt;/alt-periodical&gt;&lt;pages&gt;182-92&lt;/pages&gt;&lt;volume&gt;307&lt;/volume&gt;&lt;number&gt;2&lt;/number&gt;&lt;edition&gt;2012/01/12&lt;/edition&gt;&lt;keywords&gt;&lt;keyword&gt;Aged&lt;/keyword&gt;&lt;keyword&gt;Aged, 80 and over&lt;/keyword&gt;&lt;keyword&gt;Decision Making&lt;/keyword&gt;&lt;keyword&gt;Humans&lt;/keyword&gt;&lt;keyword&gt;Life Expectancy&lt;/keyword&gt;&lt;keyword&gt;Middle Aged&lt;/keyword&gt;&lt;keyword&gt;Mortality&lt;/keyword&gt;&lt;keyword&gt;Patient Care&lt;/keyword&gt;&lt;keyword&gt;Predictive Value of Tests&lt;/keyword&gt;&lt;keyword&gt;Prognosis&lt;/keyword&gt;&lt;keyword&gt;Risk&lt;/keyword&gt;&lt;/keywords&gt;&lt;dates&gt;&lt;year&gt;2012&lt;/year&gt;&lt;pub-dates&gt;&lt;date&gt;Jan 11&lt;/date&gt;&lt;/pub-dates&gt;&lt;/dates&gt;&lt;isbn&gt;1538-3598 (Electronic)&amp;#xD;0098-7484 (Linking)&lt;/isbn&gt;&lt;accession-num&gt;22235089&lt;/accession-num&gt;&lt;urls&gt;&lt;/urls&gt;&lt;custom2&gt;PMC3792853&lt;/custom2&gt;&lt;custom6&gt;Nihms452096&lt;/custom6&gt;&lt;electronic-resource-num&gt;10.1001/jama.2011.1966&lt;/electronic-resource-num&gt;&lt;remote-database-provider&gt;NLM&lt;/remote-database-provider&gt;&lt;language&gt;eng&lt;/language&gt;&lt;/record&gt;&lt;/Cite&gt;&lt;/EndNote&gt;</w:instrText>
        </w:r>
        <w:r w:rsidR="00762FAD" w:rsidRPr="001F50BA">
          <w:rPr>
            <w:rFonts w:cs="Times New Roman"/>
          </w:rPr>
          <w:fldChar w:fldCharType="separate"/>
        </w:r>
        <w:r w:rsidR="00762FAD" w:rsidRPr="001F50BA">
          <w:rPr>
            <w:rFonts w:cs="Times New Roman"/>
            <w:noProof/>
            <w:vertAlign w:val="superscript"/>
          </w:rPr>
          <w:t>17</w:t>
        </w:r>
        <w:r w:rsidR="00762FAD" w:rsidRPr="001F50BA">
          <w:rPr>
            <w:rFonts w:cs="Times New Roman"/>
          </w:rPr>
          <w:fldChar w:fldCharType="end"/>
        </w:r>
      </w:hyperlink>
      <w:r w:rsidRPr="001F50BA">
        <w:rPr>
          <w:rFonts w:cs="Times New Roman"/>
        </w:rPr>
        <w:t>, usually known by the clinicians with an optimal accuracy in ident</w:t>
      </w:r>
      <w:r w:rsidR="00860B1C" w:rsidRPr="001F50BA">
        <w:rPr>
          <w:rFonts w:cs="Times New Roman"/>
        </w:rPr>
        <w:t>ifying negative outcomes, such as mortality, (re)hospitalization and institutionalization</w:t>
      </w:r>
      <w:r w:rsidRPr="001F50BA">
        <w:rPr>
          <w:rFonts w:cs="Times New Roman"/>
        </w:rPr>
        <w:t>.</w:t>
      </w:r>
      <w:r w:rsidR="00F47BD5" w:rsidRPr="001F50BA">
        <w:rPr>
          <w:rFonts w:cs="Times New Roman"/>
        </w:rPr>
        <w:fldChar w:fldCharType="begin">
          <w:fldData xml:space="preserve">PEVuZE5vdGU+PENpdGU+PEF1dGhvcj5QaWxvdHRvPC9BdXRob3I+PFllYXI+MjAwODwvWWVhcj48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PjxwYWdlcz44ODAtNzwvcGFnZXM+PHZvbHVtZT42NDwvdm9sdW1lPjxudW1iZXI+ODwvbnVtYmVy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bHQtcGVyaW9kaWNhbD48ZWRpdGlvbj4yMDE4LzEwLzE4PC9lZGl0aW9uPjxkYXRlcz48eWVhcj4y
MDE4PC95ZWFyPjxwdWItZGF0ZXM+PGRhdGU+T2N0IDE3PC9kYXRlPjwvcHViLWRhdGVzPjwvZGF0
ZXM+PGlzYm4+MTA3OS01MDA2PC9pc2JuPjxhY2Nlc3Npb24tbnVtPjMwMzI5MDMzPC9hY2Nlc3Np
b24tbnVtPjx1cmxzPjwvdXJscz48ZWxlY3Ryb25pYy1yZXNvdXJjZS1udW0+MTAuMTA5My9nZXJv
bmEvZ2x5MjM5PC9lbGVjdHJvbmljLXJlc291cmNlLW51bT48cmVtb3RlLWRhdGFiYXNlLXByb3Zp
ZGVyPk5MTTwvcmVtb3RlLWRhdGFiYXNlLXByb3ZpZGVyPjxsYW5ndWFnZT5lbmc8L2xhbmd1YWdl
PjwvcmVjb3JkPjwvQ2l0ZT48L0VuZE5vdGU+
</w:fldData>
        </w:fldChar>
      </w:r>
      <w:r w:rsidR="009E7CEA" w:rsidRPr="001F50BA">
        <w:rPr>
          <w:rFonts w:cs="Times New Roman"/>
        </w:rPr>
        <w:instrText xml:space="preserve"> ADDIN EN.CITE </w:instrText>
      </w:r>
      <w:r w:rsidR="009E7CEA" w:rsidRPr="001F50BA">
        <w:rPr>
          <w:rFonts w:cs="Times New Roman"/>
        </w:rPr>
        <w:fldChar w:fldCharType="begin">
          <w:fldData xml:space="preserve">PEVuZE5vdGU+PENpdGU+PEF1dGhvcj5QaWxvdHRvPC9BdXRob3I+PFllYXI+MjAwODwvWWVhcj48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PjxwYWdlcz44ODAtNzwvcGFnZXM+PHZvbHVtZT42NDwvdm9sdW1lPjxudW1iZXI+ODwvbnVtYmVy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</w:fldData>
        </w:fldChar>
      </w:r>
      <w:r w:rsidR="009E7CEA" w:rsidRPr="001F50BA">
        <w:rPr>
          <w:rFonts w:cs="Times New Roman"/>
        </w:rPr>
        <w:instrText xml:space="preserve"> ADDIN EN.CITE.DATA </w:instrText>
      </w:r>
      <w:r w:rsidR="009E7CEA" w:rsidRPr="001F50BA">
        <w:rPr>
          <w:rFonts w:cs="Times New Roman"/>
        </w:rPr>
      </w:r>
      <w:r w:rsidR="009E7CEA" w:rsidRPr="001F50BA">
        <w:rPr>
          <w:rFonts w:cs="Times New Roman"/>
        </w:rPr>
        <w:fldChar w:fldCharType="end"/>
      </w:r>
      <w:r w:rsidR="00F47BD5" w:rsidRPr="001F50BA">
        <w:rPr>
          <w:rFonts w:cs="Times New Roman"/>
        </w:rPr>
      </w:r>
      <w:r w:rsidR="00F47BD5" w:rsidRPr="001F50BA">
        <w:rPr>
          <w:rFonts w:cs="Times New Roman"/>
        </w:rPr>
        <w:fldChar w:fldCharType="separate"/>
      </w:r>
      <w:hyperlink w:anchor="_ENREF_14" w:tooltip="Pilotto, 2008 #1523" w:history="1">
        <w:r w:rsidR="00762FAD" w:rsidRPr="001F50BA">
          <w:rPr>
            <w:rFonts w:cs="Times New Roman"/>
            <w:noProof/>
            <w:vertAlign w:val="superscript"/>
          </w:rPr>
          <w:t>14</w:t>
        </w:r>
      </w:hyperlink>
      <w:r w:rsidR="009E7CEA" w:rsidRPr="001F50BA">
        <w:rPr>
          <w:rFonts w:cs="Times New Roman"/>
          <w:noProof/>
          <w:vertAlign w:val="superscript"/>
        </w:rPr>
        <w:t xml:space="preserve">, </w:t>
      </w:r>
      <w:hyperlink w:anchor="_ENREF_15" w:tooltip="Sancarlo, 2011 #2571" w:history="1">
        <w:r w:rsidR="00762FAD" w:rsidRPr="001F50BA">
          <w:rPr>
            <w:rFonts w:cs="Times New Roman"/>
            <w:noProof/>
            <w:vertAlign w:val="superscript"/>
          </w:rPr>
          <w:t>15</w:t>
        </w:r>
      </w:hyperlink>
      <w:r w:rsidR="009E7CEA" w:rsidRPr="001F50BA">
        <w:rPr>
          <w:rFonts w:cs="Times New Roman"/>
          <w:noProof/>
          <w:vertAlign w:val="superscript"/>
        </w:rPr>
        <w:t xml:space="preserve">, </w:t>
      </w:r>
      <w:hyperlink w:anchor="_ENREF_18" w:tooltip="Bureau, 2017 #2600" w:history="1">
        <w:r w:rsidR="00762FAD" w:rsidRPr="001F50BA">
          <w:rPr>
            <w:rFonts w:cs="Times New Roman"/>
            <w:noProof/>
            <w:vertAlign w:val="superscript"/>
          </w:rPr>
          <w:t>18-23</w:t>
        </w:r>
      </w:hyperlink>
      <w:r w:rsidR="00F47BD5" w:rsidRPr="001F50BA">
        <w:rPr>
          <w:rFonts w:cs="Times New Roman"/>
        </w:rPr>
        <w:fldChar w:fldCharType="end"/>
      </w:r>
      <w:hyperlink w:anchor="_ENREF_14" w:tooltip="Pilotto, 2008 #1523" w:history="1"/>
    </w:p>
    <w:p w14:paraId="4C02E0C2" w14:textId="77777777" w:rsidR="008C7FB0" w:rsidRPr="001F50BA" w:rsidRDefault="008C7FB0" w:rsidP="008C7FB0">
      <w:pPr>
        <w:spacing w:line="480" w:lineRule="auto"/>
        <w:jc w:val="both"/>
      </w:pPr>
    </w:p>
    <w:p w14:paraId="257554A2" w14:textId="77777777" w:rsidR="00B70814" w:rsidRPr="001F50BA" w:rsidRDefault="008C7FB0" w:rsidP="00A35C32">
      <w:pPr>
        <w:spacing w:line="480" w:lineRule="auto"/>
        <w:jc w:val="both"/>
        <w:rPr>
          <w:rFonts w:cs="Times New Roman"/>
          <w:b/>
        </w:rPr>
      </w:pPr>
      <w:r w:rsidRPr="001F50BA">
        <w:t xml:space="preserve">Given this background, the present study aimed to investigate the association between </w:t>
      </w:r>
      <w:r w:rsidR="00860B1C" w:rsidRPr="001F50BA">
        <w:t>MPI scores at baseline</w:t>
      </w:r>
      <w:r w:rsidRPr="001F50BA">
        <w:t xml:space="preserve"> and risk of</w:t>
      </w:r>
      <w:r w:rsidR="003F01C2" w:rsidRPr="001F50BA">
        <w:t xml:space="preserve"> recurrent</w:t>
      </w:r>
      <w:r w:rsidRPr="001F50BA">
        <w:t xml:space="preserve"> falls in a large cohort of North American adults followed up over 8 years</w:t>
      </w:r>
      <w:r w:rsidR="00860B1C" w:rsidRPr="001F50BA">
        <w:t xml:space="preserve">, participating to the Osteoarthritis Initiative (OAI). </w:t>
      </w:r>
      <w:r w:rsidR="00B70814" w:rsidRPr="001F50BA">
        <w:rPr>
          <w:rFonts w:cs="Times New Roman"/>
          <w:b/>
        </w:rPr>
        <w:br w:type="page"/>
      </w:r>
    </w:p>
    <w:p w14:paraId="213CA2BF" w14:textId="77777777" w:rsidR="0035618C" w:rsidRPr="001F50BA" w:rsidRDefault="00363B00" w:rsidP="00BB754D">
      <w:pPr>
        <w:spacing w:line="480" w:lineRule="auto"/>
        <w:rPr>
          <w:rFonts w:cs="Times New Roman"/>
          <w:b/>
        </w:rPr>
      </w:pPr>
      <w:r w:rsidRPr="001F50BA">
        <w:rPr>
          <w:rFonts w:cs="Times New Roman"/>
          <w:b/>
        </w:rPr>
        <w:lastRenderedPageBreak/>
        <w:t xml:space="preserve">MATERIALS AND </w:t>
      </w:r>
      <w:r w:rsidR="005D22BC" w:rsidRPr="001F50BA">
        <w:rPr>
          <w:rFonts w:cs="Times New Roman"/>
          <w:b/>
        </w:rPr>
        <w:t>METHODS</w:t>
      </w:r>
    </w:p>
    <w:p w14:paraId="2E3C2F56" w14:textId="77777777" w:rsidR="000933F3" w:rsidRPr="001F50BA" w:rsidRDefault="000933F3" w:rsidP="0035618C">
      <w:pPr>
        <w:suppressAutoHyphens/>
        <w:spacing w:line="480" w:lineRule="auto"/>
        <w:rPr>
          <w:rFonts w:eastAsia="Times New Roman"/>
          <w:b/>
          <w:i/>
          <w:lang w:eastAsia="ar-SA"/>
        </w:rPr>
      </w:pPr>
    </w:p>
    <w:p w14:paraId="55F0C7B0" w14:textId="77777777" w:rsidR="0035618C" w:rsidRPr="001F50BA" w:rsidRDefault="0035618C" w:rsidP="0035618C">
      <w:pPr>
        <w:suppressAutoHyphens/>
        <w:spacing w:line="480" w:lineRule="auto"/>
        <w:rPr>
          <w:rFonts w:eastAsia="Times New Roman"/>
          <w:b/>
          <w:i/>
          <w:lang w:eastAsia="ar-SA"/>
        </w:rPr>
      </w:pPr>
      <w:r w:rsidRPr="001F50BA">
        <w:rPr>
          <w:rFonts w:eastAsia="Times New Roman"/>
          <w:b/>
          <w:i/>
          <w:lang w:eastAsia="ar-SA"/>
        </w:rPr>
        <w:t>Data source and subjects</w:t>
      </w:r>
    </w:p>
    <w:p w14:paraId="112995CA" w14:textId="74F05ADA" w:rsidR="0035618C" w:rsidRPr="001F50BA" w:rsidRDefault="0035618C" w:rsidP="0035618C">
      <w:pPr>
        <w:suppressAutoHyphens/>
        <w:spacing w:line="480" w:lineRule="auto"/>
        <w:jc w:val="both"/>
        <w:rPr>
          <w:rFonts w:eastAsia="Times New Roman"/>
          <w:lang w:eastAsia="ar-SA"/>
        </w:rPr>
      </w:pPr>
      <w:r w:rsidRPr="001F50BA">
        <w:rPr>
          <w:rFonts w:eastAsia="Times New Roman"/>
          <w:lang w:eastAsia="ar-SA"/>
        </w:rPr>
        <w:t xml:space="preserve">Data were </w:t>
      </w:r>
      <w:r w:rsidR="00AD7943" w:rsidRPr="001F50BA">
        <w:rPr>
          <w:rFonts w:eastAsia="Times New Roman"/>
          <w:lang w:eastAsia="ar-SA"/>
        </w:rPr>
        <w:t>obtained</w:t>
      </w:r>
      <w:r w:rsidRPr="001F50BA">
        <w:rPr>
          <w:rFonts w:eastAsia="Times New Roman"/>
          <w:lang w:eastAsia="ar-SA"/>
        </w:rPr>
        <w:t xml:space="preserve"> from </w:t>
      </w:r>
      <w:r w:rsidR="00374203" w:rsidRPr="001F50BA">
        <w:rPr>
          <w:rFonts w:eastAsia="Times New Roman"/>
          <w:lang w:eastAsia="ar-SA"/>
        </w:rPr>
        <w:t>the Osteoarthritis Initiative (OAI) database</w:t>
      </w:r>
      <w:r w:rsidRPr="001F50BA">
        <w:rPr>
          <w:rFonts w:eastAsia="Times New Roman"/>
          <w:lang w:eastAsia="ar-SA"/>
        </w:rPr>
        <w:t xml:space="preserve">. </w:t>
      </w:r>
      <w:r w:rsidR="00216C15" w:rsidRPr="001F50BA">
        <w:rPr>
          <w:rFonts w:eastAsia="Times New Roman"/>
          <w:lang w:eastAsia="ar-SA"/>
        </w:rPr>
        <w:t>P</w:t>
      </w:r>
      <w:r w:rsidRPr="001F50BA">
        <w:rPr>
          <w:rFonts w:eastAsia="Times New Roman"/>
          <w:lang w:eastAsia="ar-SA"/>
        </w:rPr>
        <w:t xml:space="preserve">articipants were recruited across four clinical sites in the United States of America (Baltimore, MD; Pittsburgh, PA; Pawtucket, RI; and Columbus, OH) between February 2004 and May 2006. </w:t>
      </w:r>
      <w:r w:rsidR="00AC356B" w:rsidRPr="001F50BA">
        <w:rPr>
          <w:rFonts w:eastAsia="Times New Roman"/>
          <w:lang w:eastAsia="ar-SA"/>
        </w:rPr>
        <w:t>P</w:t>
      </w:r>
      <w:r w:rsidR="00216C15" w:rsidRPr="001F50BA">
        <w:rPr>
          <w:rFonts w:eastAsia="Times New Roman"/>
          <w:lang w:eastAsia="ar-SA"/>
        </w:rPr>
        <w:t>articipants</w:t>
      </w:r>
      <w:r w:rsidR="004F3823" w:rsidRPr="001F50BA">
        <w:rPr>
          <w:rFonts w:eastAsia="Times New Roman"/>
          <w:lang w:eastAsia="ar-SA"/>
        </w:rPr>
        <w:t xml:space="preserve"> were included</w:t>
      </w:r>
      <w:r w:rsidRPr="001F50BA">
        <w:rPr>
          <w:rFonts w:eastAsia="Times New Roman"/>
          <w:lang w:eastAsia="ar-SA"/>
        </w:rPr>
        <w:t xml:space="preserve"> </w:t>
      </w:r>
      <w:r w:rsidR="004F3823" w:rsidRPr="001F50BA">
        <w:rPr>
          <w:rFonts w:eastAsia="Times New Roman"/>
          <w:lang w:eastAsia="ar-SA"/>
        </w:rPr>
        <w:t>if</w:t>
      </w:r>
      <w:r w:rsidR="00AD7943" w:rsidRPr="001F50BA">
        <w:rPr>
          <w:rFonts w:eastAsia="Times New Roman"/>
          <w:lang w:eastAsia="ar-SA"/>
        </w:rPr>
        <w:t xml:space="preserve"> they</w:t>
      </w:r>
      <w:r w:rsidRPr="001F50BA">
        <w:rPr>
          <w:rFonts w:eastAsia="Times New Roman"/>
          <w:lang w:eastAsia="ar-SA"/>
        </w:rPr>
        <w:t xml:space="preserve">: (1) had knee </w:t>
      </w:r>
      <w:r w:rsidR="00205121" w:rsidRPr="001F50BA">
        <w:rPr>
          <w:rFonts w:eastAsia="Times New Roman"/>
          <w:lang w:eastAsia="ar-SA"/>
        </w:rPr>
        <w:t>osteoarthritis (</w:t>
      </w:r>
      <w:r w:rsidRPr="001F50BA">
        <w:rPr>
          <w:rFonts w:eastAsia="Times New Roman"/>
          <w:lang w:eastAsia="ar-SA"/>
        </w:rPr>
        <w:t>OA</w:t>
      </w:r>
      <w:r w:rsidR="00205121" w:rsidRPr="001F50BA">
        <w:rPr>
          <w:rFonts w:eastAsia="Times New Roman"/>
          <w:lang w:eastAsia="ar-SA"/>
        </w:rPr>
        <w:t>)</w:t>
      </w:r>
      <w:r w:rsidRPr="001F50BA">
        <w:rPr>
          <w:rFonts w:eastAsia="Times New Roman"/>
          <w:lang w:eastAsia="ar-SA"/>
        </w:rPr>
        <w:t xml:space="preserve"> with knee pain for a 30-day period in the past 12 months or (2) were at high risk of developing knee OA</w:t>
      </w:r>
      <w:r w:rsidR="00374203" w:rsidRPr="001F50BA">
        <w:rPr>
          <w:rFonts w:eastAsia="Times New Roman"/>
          <w:lang w:eastAsia="ar-SA"/>
        </w:rPr>
        <w:t xml:space="preserve"> (e.g. overweight</w:t>
      </w:r>
      <w:r w:rsidR="007216DC" w:rsidRPr="001F50BA">
        <w:rPr>
          <w:rFonts w:eastAsia="Times New Roman"/>
          <w:lang w:eastAsia="ar-SA"/>
        </w:rPr>
        <w:t>/obese (body mass index</w:t>
      </w:r>
      <w:r w:rsidR="008F4501" w:rsidRPr="001F50BA">
        <w:rPr>
          <w:rFonts w:eastAsia="Times New Roman"/>
          <w:lang w:eastAsia="ar-SA"/>
        </w:rPr>
        <w:t>, BMI</w:t>
      </w:r>
      <w:r w:rsidR="007216DC" w:rsidRPr="001F50BA">
        <w:rPr>
          <w:rFonts w:eastAsia="Times New Roman"/>
          <w:lang w:eastAsia="ar-SA"/>
        </w:rPr>
        <w:t xml:space="preserve"> </w:t>
      </w:r>
      <w:r w:rsidR="007216DC" w:rsidRPr="001F50BA">
        <w:rPr>
          <w:rFonts w:eastAsia="Times New Roman" w:cs="Times New Roman"/>
          <w:lang w:eastAsia="ar-SA"/>
        </w:rPr>
        <w:t>≥</w:t>
      </w:r>
      <w:r w:rsidR="007216DC" w:rsidRPr="001F50BA">
        <w:rPr>
          <w:rFonts w:eastAsia="Times New Roman"/>
          <w:lang w:eastAsia="ar-SA"/>
        </w:rPr>
        <w:t>25kg/m</w:t>
      </w:r>
      <w:r w:rsidR="007216DC" w:rsidRPr="001F50BA">
        <w:rPr>
          <w:rFonts w:eastAsia="Times New Roman" w:cs="Times New Roman"/>
          <w:lang w:eastAsia="ar-SA"/>
        </w:rPr>
        <w:t>²</w:t>
      </w:r>
      <w:r w:rsidR="007216DC" w:rsidRPr="001F50BA">
        <w:rPr>
          <w:rFonts w:eastAsia="Times New Roman"/>
          <w:lang w:eastAsia="ar-SA"/>
        </w:rPr>
        <w:t>)</w:t>
      </w:r>
      <w:r w:rsidR="00374203" w:rsidRPr="001F50BA">
        <w:rPr>
          <w:rFonts w:eastAsia="Times New Roman"/>
          <w:lang w:eastAsia="ar-SA"/>
        </w:rPr>
        <w:t xml:space="preserve">, </w:t>
      </w:r>
      <w:r w:rsidR="007216DC" w:rsidRPr="001F50BA">
        <w:rPr>
          <w:rFonts w:eastAsia="Times New Roman"/>
          <w:lang w:eastAsia="ar-SA"/>
        </w:rPr>
        <w:t>family history of</w:t>
      </w:r>
      <w:r w:rsidR="00374203" w:rsidRPr="001F50BA">
        <w:rPr>
          <w:rFonts w:eastAsia="Times New Roman"/>
          <w:lang w:eastAsia="ar-SA"/>
        </w:rPr>
        <w:t xml:space="preserve"> knee OA)</w:t>
      </w:r>
      <w:r w:rsidR="004F3823" w:rsidRPr="001F50BA">
        <w:rPr>
          <w:rFonts w:eastAsia="Times New Roman"/>
          <w:lang w:eastAsia="ar-SA"/>
        </w:rPr>
        <w:t>.</w:t>
      </w:r>
      <w:hyperlink w:anchor="_ENREF_24" w:tooltip="Eby, 2006 #2655" w:history="1">
        <w:r w:rsidR="00762FAD" w:rsidRPr="001F50BA">
          <w:rPr>
            <w:rFonts w:eastAsia="Times New Roman"/>
            <w:lang w:eastAsia="ar-SA"/>
          </w:rPr>
          <w:fldChar w:fldCharType="begin"/>
        </w:r>
        <w:r w:rsidR="00762FAD" w:rsidRPr="001F50BA">
          <w:rPr>
            <w:rFonts w:eastAsia="Times New Roman"/>
            <w:lang w:eastAsia="ar-SA"/>
          </w:rPr>
          <w:instrText xml:space="preserve"> ADDIN EN.CITE &lt;EndNote&gt;&lt;Cite&gt;&lt;Author&gt;Eby&lt;/Author&gt;&lt;Year&gt;2006&lt;/Year&gt;&lt;RecNum&gt;2655&lt;/RecNum&gt;&lt;DisplayText&gt;&lt;style face="superscript"&gt;24&lt;/style&gt;&lt;/DisplayText&gt;&lt;record&gt;&lt;rec-number&gt;2655&lt;/rec-number&gt;&lt;foreign-keys&gt;&lt;key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762FAD" w:rsidRPr="001F50BA">
          <w:rPr>
            <w:rFonts w:eastAsia="Times New Roman"/>
            <w:lang w:eastAsia="ar-SA"/>
          </w:rPr>
          <w:fldChar w:fldCharType="separate"/>
        </w:r>
        <w:r w:rsidR="00762FAD" w:rsidRPr="001F50BA">
          <w:rPr>
            <w:rFonts w:eastAsia="Times New Roman"/>
            <w:noProof/>
            <w:vertAlign w:val="superscript"/>
            <w:lang w:eastAsia="ar-SA"/>
          </w:rPr>
          <w:t>24</w:t>
        </w:r>
        <w:r w:rsidR="00762FAD" w:rsidRPr="001F50BA">
          <w:rPr>
            <w:rFonts w:eastAsia="Times New Roman"/>
            <w:lang w:eastAsia="ar-SA"/>
          </w:rPr>
          <w:fldChar w:fldCharType="end"/>
        </w:r>
      </w:hyperlink>
      <w:r w:rsidRPr="001F50BA">
        <w:rPr>
          <w:rFonts w:eastAsia="Times New Roman"/>
          <w:lang w:eastAsia="ar-SA"/>
        </w:rPr>
        <w:t xml:space="preserve"> </w:t>
      </w:r>
      <w:bookmarkStart w:id="2" w:name="_Hlk532668298"/>
      <w:r w:rsidR="000933F3" w:rsidRPr="001F50BA">
        <w:rPr>
          <w:rFonts w:eastAsia="Times New Roman"/>
          <w:lang w:eastAsia="ar-SA"/>
        </w:rPr>
        <w:t>The data of this longitudinal cohort study were collected at baseline and during subsequent evaluations, with a follow-up of 8 years</w:t>
      </w:r>
      <w:bookmarkEnd w:id="2"/>
      <w:r w:rsidR="00216C15" w:rsidRPr="001F50BA">
        <w:rPr>
          <w:rFonts w:eastAsia="Times New Roman"/>
          <w:lang w:eastAsia="ar-SA"/>
        </w:rPr>
        <w:t>.</w:t>
      </w:r>
      <w:r w:rsidR="00A76F82" w:rsidRPr="001F50BA">
        <w:rPr>
          <w:rFonts w:eastAsia="Times New Roman"/>
          <w:lang w:eastAsia="ar-SA"/>
        </w:rPr>
        <w:t xml:space="preserve"> </w:t>
      </w:r>
      <w:r w:rsidRPr="001F50BA">
        <w:rPr>
          <w:rFonts w:eastAsia="Times New Roman"/>
          <w:lang w:eastAsia="ar-SA"/>
        </w:rPr>
        <w:t xml:space="preserve">All participants provided </w:t>
      </w:r>
      <w:r w:rsidR="00AD7943" w:rsidRPr="001F50BA">
        <w:rPr>
          <w:rFonts w:eastAsia="Times New Roman"/>
          <w:lang w:eastAsia="ar-SA"/>
        </w:rPr>
        <w:t xml:space="preserve">written </w:t>
      </w:r>
      <w:r w:rsidRPr="001F50BA">
        <w:rPr>
          <w:rFonts w:eastAsia="Times New Roman"/>
          <w:lang w:eastAsia="ar-SA"/>
        </w:rPr>
        <w:t>informed consent. The OAI study was given full ethic</w:t>
      </w:r>
      <w:r w:rsidR="00AD7943" w:rsidRPr="001F50BA">
        <w:rPr>
          <w:rFonts w:eastAsia="Times New Roman"/>
          <w:lang w:eastAsia="ar-SA"/>
        </w:rPr>
        <w:t>s</w:t>
      </w:r>
      <w:r w:rsidRPr="001F50BA">
        <w:rPr>
          <w:rFonts w:eastAsia="Times New Roman"/>
          <w:lang w:eastAsia="ar-SA"/>
        </w:rPr>
        <w:t xml:space="preserve"> approval by the institutional review board of the OAI Coordinating Center, at </w:t>
      </w:r>
      <w:r w:rsidR="00AD7943" w:rsidRPr="001F50BA">
        <w:rPr>
          <w:rFonts w:eastAsia="Times New Roman"/>
          <w:lang w:eastAsia="ar-SA"/>
        </w:rPr>
        <w:t xml:space="preserve">the </w:t>
      </w:r>
      <w:r w:rsidRPr="001F50BA">
        <w:rPr>
          <w:rFonts w:eastAsia="Times New Roman"/>
          <w:lang w:eastAsia="ar-SA"/>
        </w:rPr>
        <w:t>University of California in San Francisco.</w:t>
      </w:r>
    </w:p>
    <w:p w14:paraId="03641A9D" w14:textId="77777777" w:rsidR="0035618C" w:rsidRPr="001F50BA" w:rsidRDefault="0035618C" w:rsidP="0035618C">
      <w:pPr>
        <w:suppressAutoHyphens/>
        <w:spacing w:line="480" w:lineRule="auto"/>
        <w:rPr>
          <w:rFonts w:eastAsia="Times New Roman"/>
          <w:b/>
          <w:i/>
          <w:lang w:eastAsia="ar-SA"/>
        </w:rPr>
      </w:pPr>
    </w:p>
    <w:p w14:paraId="325D9D4D" w14:textId="77777777" w:rsidR="0035618C" w:rsidRPr="001F50BA" w:rsidRDefault="00C17F91" w:rsidP="0035618C">
      <w:pPr>
        <w:suppressAutoHyphens/>
        <w:spacing w:line="480" w:lineRule="auto"/>
        <w:jc w:val="both"/>
        <w:rPr>
          <w:rFonts w:eastAsia="Times New Roman"/>
          <w:b/>
          <w:i/>
          <w:lang w:eastAsia="ar-SA"/>
        </w:rPr>
      </w:pPr>
      <w:r w:rsidRPr="001F50BA">
        <w:rPr>
          <w:rFonts w:eastAsia="Times New Roman"/>
          <w:b/>
          <w:i/>
          <w:lang w:eastAsia="ar-SA"/>
        </w:rPr>
        <w:t xml:space="preserve">Calculation of the </w:t>
      </w:r>
      <w:r w:rsidR="00AB2A95" w:rsidRPr="001F50BA">
        <w:rPr>
          <w:rFonts w:eastAsia="Times New Roman"/>
          <w:b/>
          <w:i/>
          <w:lang w:eastAsia="ar-SA"/>
        </w:rPr>
        <w:t>MPI</w:t>
      </w:r>
    </w:p>
    <w:p w14:paraId="4C686984" w14:textId="3E3FE40B" w:rsidR="00C17F91" w:rsidRPr="001F50BA" w:rsidRDefault="00527BF3" w:rsidP="007D42F3">
      <w:pPr>
        <w:suppressAutoHyphens/>
        <w:spacing w:line="480" w:lineRule="auto"/>
        <w:jc w:val="both"/>
        <w:rPr>
          <w:rStyle w:val="A9"/>
          <w:rFonts w:cs="Times New Roman"/>
          <w:color w:val="auto"/>
          <w:sz w:val="24"/>
          <w:szCs w:val="24"/>
        </w:rPr>
      </w:pPr>
      <w:r w:rsidRPr="001F50BA">
        <w:rPr>
          <w:rStyle w:val="A9"/>
          <w:rFonts w:cs="Times New Roman"/>
          <w:color w:val="auto"/>
          <w:sz w:val="24"/>
          <w:szCs w:val="24"/>
        </w:rPr>
        <w:t>T</w:t>
      </w:r>
      <w:r w:rsidR="00C17F91" w:rsidRPr="001F50BA">
        <w:rPr>
          <w:rStyle w:val="A9"/>
          <w:rFonts w:cs="Times New Roman"/>
          <w:color w:val="auto"/>
          <w:sz w:val="24"/>
          <w:szCs w:val="24"/>
        </w:rPr>
        <w:t xml:space="preserve">he MPI </w:t>
      </w:r>
      <w:r w:rsidRPr="001F50BA">
        <w:rPr>
          <w:rStyle w:val="A9"/>
          <w:rFonts w:cs="Times New Roman"/>
          <w:color w:val="auto"/>
          <w:sz w:val="24"/>
          <w:szCs w:val="24"/>
        </w:rPr>
        <w:t xml:space="preserve">was calculated </w:t>
      </w:r>
      <w:r w:rsidR="00C17F91" w:rsidRPr="001F50BA">
        <w:rPr>
          <w:rStyle w:val="A9"/>
          <w:rFonts w:cs="Times New Roman"/>
          <w:color w:val="auto"/>
          <w:sz w:val="24"/>
          <w:szCs w:val="24"/>
        </w:rPr>
        <w:t xml:space="preserve">as established in previous studies, with some modification based on availability of data. </w:t>
      </w:r>
      <w:r w:rsidRPr="001F50BA">
        <w:rPr>
          <w:rStyle w:val="A9"/>
          <w:rFonts w:cs="Times New Roman"/>
          <w:color w:val="auto"/>
          <w:sz w:val="24"/>
          <w:szCs w:val="24"/>
        </w:rPr>
        <w:t>S</w:t>
      </w:r>
      <w:r w:rsidR="003B375A" w:rsidRPr="001F50BA">
        <w:rPr>
          <w:rStyle w:val="A9"/>
          <w:rFonts w:cs="Times New Roman"/>
          <w:color w:val="auto"/>
          <w:sz w:val="24"/>
          <w:szCs w:val="24"/>
        </w:rPr>
        <w:t>ix</w:t>
      </w:r>
      <w:r w:rsidR="005B6073" w:rsidRPr="001F50BA">
        <w:rPr>
          <w:rStyle w:val="A9"/>
          <w:rFonts w:cs="Times New Roman"/>
          <w:color w:val="auto"/>
          <w:sz w:val="24"/>
          <w:szCs w:val="24"/>
        </w:rPr>
        <w:t xml:space="preserve"> of the original MPI domains</w:t>
      </w:r>
      <w:r w:rsidRPr="001F50BA">
        <w:rPr>
          <w:rStyle w:val="A9"/>
          <w:rFonts w:cs="Times New Roman"/>
          <w:color w:val="auto"/>
          <w:sz w:val="24"/>
          <w:szCs w:val="24"/>
        </w:rPr>
        <w:t xml:space="preserve"> were assessed </w:t>
      </w:r>
      <w:r w:rsidR="003B375A" w:rsidRPr="001F50BA">
        <w:rPr>
          <w:rStyle w:val="A9"/>
          <w:rFonts w:cs="Times New Roman"/>
          <w:color w:val="auto"/>
          <w:sz w:val="24"/>
          <w:szCs w:val="24"/>
        </w:rPr>
        <w:t>by using standardized CGA scales</w:t>
      </w:r>
      <w:r w:rsidR="005B6073" w:rsidRPr="001F50BA">
        <w:rPr>
          <w:rStyle w:val="A9"/>
          <w:rFonts w:cs="Times New Roman"/>
          <w:color w:val="auto"/>
          <w:sz w:val="24"/>
          <w:szCs w:val="24"/>
        </w:rPr>
        <w:t xml:space="preserve">: </w:t>
      </w:r>
      <w:r w:rsidR="003B375A" w:rsidRPr="001F50BA">
        <w:rPr>
          <w:rStyle w:val="A9"/>
          <w:rFonts w:cs="Times New Roman"/>
          <w:color w:val="auto"/>
          <w:sz w:val="24"/>
          <w:szCs w:val="24"/>
        </w:rPr>
        <w:t xml:space="preserve">1) </w:t>
      </w:r>
      <w:r w:rsidR="005B6073" w:rsidRPr="001F50BA">
        <w:rPr>
          <w:rFonts w:cs="Times New Roman"/>
        </w:rPr>
        <w:t xml:space="preserve">physical functioning </w:t>
      </w:r>
      <w:r w:rsidR="003B375A" w:rsidRPr="001F50BA">
        <w:rPr>
          <w:rFonts w:cs="Times New Roman"/>
        </w:rPr>
        <w:t xml:space="preserve">was </w:t>
      </w:r>
      <w:r w:rsidR="005B6073" w:rsidRPr="001F50BA">
        <w:rPr>
          <w:rFonts w:cs="Times New Roman"/>
        </w:rPr>
        <w:t xml:space="preserve">assessed through the Western Ontario and McMaster Universities Osteoarthritis (WOMAC) Index </w:t>
      </w:r>
      <w:hyperlink w:anchor="_ENREF_25" w:tooltip="Bellamy, 1988 #156" w:history="1">
        <w:r w:rsidR="00762FAD" w:rsidRPr="001F50BA">
          <w:rPr>
            <w:rFonts w:cs="Times New Roman"/>
          </w:rPr>
          <w:fldChar w:fldCharType="begin"/>
        </w:r>
        <w:r w:rsidR="00762FAD" w:rsidRPr="001F50BA">
          <w:rPr>
            <w:rFonts w:cs="Times New Roman"/>
          </w:rPr>
          <w:instrText xml:space="preserve"> ADDIN EN.CITE &lt;EndNote&gt;&lt;Cite&gt;&lt;Author&gt;Bellamy&lt;/Author&gt;&lt;Year&gt;1988&lt;/Year&gt;&lt;RecNum&gt;156&lt;/RecNum&gt;&lt;DisplayText&gt;&lt;style face="superscript"&gt;25&lt;/style&gt;&lt;/DisplayText&gt;&lt;record&gt;&lt;rec-number&gt;156&lt;/rec-number&gt;&lt;foreign-keys&gt;&lt;key app="EN" db-id="t2wadffz0tdfane25rb50ezte9zwtdwpseft"&gt;156&lt;/key&gt;&lt;/foreign-keys&gt;&lt;ref-type name="Journal Article"&gt;17&lt;/ref-type&gt;&lt;contributors&gt;&lt;authors&gt;&lt;author&gt;Bellamy, N.&lt;/author&gt;&lt;author&gt;Buchanan, W. W.&lt;/author&gt;&lt;author&gt;Goldsmith, C. H.&lt;/author&gt;&lt;author&gt;Campbell, J.&lt;/author&gt;&lt;author&gt;Stitt, L. W.&lt;/author&gt;&lt;/authors&gt;&lt;/contributors&gt;&lt;titles&gt;&lt;title&gt;Validation study of WOMAC: a health status instrument for measuring clinically important patient relevant outcomes to antirheumatic drug therapy in patients with osteoarthritis of the hip or knee&lt;/title&gt;&lt;secondary-title&gt;The Journal of rheumatology&lt;/secondary-title&gt;&lt;/titles&gt;&lt;periodical&gt;&lt;full-title&gt;J Rheumatol&lt;/full-title&gt;&lt;abbr-1&gt;The Journal of rheumatology&lt;/abbr-1&gt;&lt;/periodical&gt;&lt;pages&gt;1833-40&lt;/pages&gt;&lt;volume&gt;15&lt;/volume&gt;&lt;number&gt;12&lt;/number&gt;&lt;keywords&gt;&lt;keyword&gt;Aged&lt;/keyword&gt;&lt;keyword&gt;Aged, 80 and over&lt;/keyword&gt;&lt;keyword&gt;Clinical Trials as Topic&lt;/keyword&gt;&lt;keyword&gt;Consumer Behavior&lt;/keyword&gt;&lt;keyword&gt;Double-Blind Method&lt;/keyword&gt;&lt;keyword&gt;Evaluation Studies as Topic&lt;/keyword&gt;&lt;keyword&gt;Female&lt;/keyword&gt;&lt;keyword&gt;Health Status Indicators&lt;/keyword&gt;&lt;keyword&gt;Health Surveys&lt;/keyword&gt;&lt;keyword&gt;Hip Joint&lt;/keyword&gt;&lt;keyword&gt;Hip Joint: physiopathology&lt;/keyword&gt;&lt;keyword&gt;Humans&lt;/keyword&gt;&lt;keyword&gt;Knee Joint&lt;/keyword&gt;&lt;keyword&gt;Knee Joint: physiopathology&lt;/keyword&gt;&lt;keyword&gt;Male&lt;/keyword&gt;&lt;keyword&gt;Middle Aged&lt;/keyword&gt;&lt;keyword&gt;Osteoarthritis&lt;/keyword&gt;&lt;keyword&gt;Osteoarthritis: drug therapy&lt;/keyword&gt;&lt;keyword&gt;Osteoarthritis: physiopathology&lt;/keyword&gt;&lt;keyword&gt;Pain&lt;/keyword&gt;&lt;keyword&gt;Pain: drug therapy&lt;/keyword&gt;&lt;keyword&gt;Piroxicam&lt;/keyword&gt;&lt;keyword&gt;Piroxicam: analogs &amp;amp; derivatives&lt;/keyword&gt;&lt;keyword&gt;Piroxicam: therapeutic use&lt;/keyword&gt;&lt;keyword&gt;Random Allocation&lt;/keyword&gt;&lt;/keywords&gt;&lt;dates&gt;&lt;year&gt;1988&lt;/year&gt;&lt;/dates&gt;&lt;urls&gt;&lt;related-urls&gt;&lt;url&gt;http://www.ncbi.nlm.nih.gov/pubmed/3068365&lt;/url&gt;&lt;/related-urls&gt;&lt;/urls&gt;&lt;/record&gt;&lt;/Cite&gt;&lt;/EndNote&gt;</w:instrText>
        </w:r>
        <w:r w:rsidR="00762FAD" w:rsidRPr="001F50BA">
          <w:rPr>
            <w:rFonts w:cs="Times New Roman"/>
          </w:rPr>
          <w:fldChar w:fldCharType="separate"/>
        </w:r>
        <w:r w:rsidR="00762FAD" w:rsidRPr="001F50BA">
          <w:rPr>
            <w:rFonts w:cs="Times New Roman"/>
            <w:noProof/>
            <w:vertAlign w:val="superscript"/>
          </w:rPr>
          <w:t>25</w:t>
        </w:r>
        <w:r w:rsidR="00762FAD" w:rsidRPr="001F50BA">
          <w:rPr>
            <w:rFonts w:cs="Times New Roman"/>
          </w:rPr>
          <w:fldChar w:fldCharType="end"/>
        </w:r>
      </w:hyperlink>
      <w:r w:rsidR="005B6073" w:rsidRPr="001F50BA">
        <w:rPr>
          <w:rFonts w:cs="Times New Roman"/>
        </w:rPr>
        <w:t xml:space="preserve">; </w:t>
      </w:r>
      <w:r w:rsidR="003B375A" w:rsidRPr="001F50BA">
        <w:rPr>
          <w:rFonts w:cs="Times New Roman"/>
        </w:rPr>
        <w:t>2)</w:t>
      </w:r>
      <w:r w:rsidR="005B6073" w:rsidRPr="001F50BA">
        <w:rPr>
          <w:rFonts w:cs="Times New Roman"/>
        </w:rPr>
        <w:t xml:space="preserve"> physical activity</w:t>
      </w:r>
      <w:r w:rsidRPr="001F50BA">
        <w:rPr>
          <w:rFonts w:cs="Times New Roman"/>
        </w:rPr>
        <w:t xml:space="preserve"> was </w:t>
      </w:r>
      <w:r w:rsidR="005B6073" w:rsidRPr="001F50BA">
        <w:rPr>
          <w:rFonts w:cs="Times New Roman"/>
        </w:rPr>
        <w:t xml:space="preserve"> measured through the Physical Activity Scale for the Elderly scale (PASE) </w:t>
      </w:r>
      <w:hyperlink w:anchor="_ENREF_26" w:tooltip="Washburn, 1999 #2090" w:history="1">
        <w:r w:rsidR="00762FAD" w:rsidRPr="001F50BA">
          <w:rPr>
            <w:rFonts w:cs="Times New Roman"/>
          </w:rPr>
          <w:fldChar w:fldCharType="begin"/>
        </w:r>
        <w:r w:rsidR="00762FAD" w:rsidRPr="001F50BA">
          <w:rPr>
            <w:rFonts w:cs="Times New Roman"/>
          </w:rPr>
          <w:instrText xml:space="preserve"> ADDIN EN.CITE &lt;EndNote&gt;&lt;Cite&gt;&lt;Author&gt;Washburn&lt;/Author&gt;&lt;Year&gt;1999&lt;/Year&gt;&lt;RecNum&gt;2090&lt;/RecNum&gt;&lt;DisplayText&gt;&lt;style face="superscript"&gt;26&lt;/style&gt;&lt;/DisplayText&gt;&lt;record&gt;&lt;rec-number&gt;2090&lt;/rec-number&gt;&lt;foreign-keys&gt;&lt;key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762FAD" w:rsidRPr="001F50BA">
          <w:rPr>
            <w:rFonts w:cs="Times New Roman"/>
          </w:rPr>
          <w:fldChar w:fldCharType="separate"/>
        </w:r>
        <w:r w:rsidR="00762FAD" w:rsidRPr="001F50BA">
          <w:rPr>
            <w:rFonts w:cs="Times New Roman"/>
            <w:noProof/>
            <w:vertAlign w:val="superscript"/>
          </w:rPr>
          <w:t>26</w:t>
        </w:r>
        <w:r w:rsidR="00762FAD" w:rsidRPr="001F50BA">
          <w:rPr>
            <w:rFonts w:cs="Times New Roman"/>
          </w:rPr>
          <w:fldChar w:fldCharType="end"/>
        </w:r>
      </w:hyperlink>
      <w:r w:rsidR="005B6073" w:rsidRPr="001F50BA">
        <w:rPr>
          <w:rFonts w:cs="Times New Roman"/>
        </w:rPr>
        <w:t>;</w:t>
      </w:r>
      <w:r w:rsidR="005B6073" w:rsidRPr="001F50BA">
        <w:rPr>
          <w:rStyle w:val="A9"/>
          <w:rFonts w:cs="Times New Roman"/>
          <w:color w:val="auto"/>
          <w:sz w:val="24"/>
          <w:szCs w:val="24"/>
        </w:rPr>
        <w:t xml:space="preserve"> </w:t>
      </w:r>
      <w:r w:rsidR="003B375A" w:rsidRPr="001F50BA">
        <w:rPr>
          <w:rStyle w:val="A9"/>
          <w:rFonts w:cs="Times New Roman"/>
          <w:color w:val="auto"/>
          <w:sz w:val="24"/>
          <w:szCs w:val="24"/>
        </w:rPr>
        <w:t xml:space="preserve">3) </w:t>
      </w:r>
      <w:r w:rsidR="003B375A" w:rsidRPr="001F50BA">
        <w:t xml:space="preserve">nutritional aspects </w:t>
      </w:r>
      <w:r w:rsidRPr="001F50BA">
        <w:t xml:space="preserve">were </w:t>
      </w:r>
      <w:r w:rsidR="003B375A" w:rsidRPr="001F50BA">
        <w:t xml:space="preserve">evaluated using  Body Mass Index (BMI); 4) </w:t>
      </w:r>
      <w:r w:rsidR="003B375A" w:rsidRPr="001F50BA">
        <w:rPr>
          <w:rStyle w:val="A9"/>
          <w:rFonts w:cs="Times New Roman"/>
          <w:color w:val="auto"/>
          <w:sz w:val="24"/>
          <w:szCs w:val="24"/>
        </w:rPr>
        <w:t xml:space="preserve"> </w:t>
      </w:r>
      <w:r w:rsidR="005B6073" w:rsidRPr="001F50BA">
        <w:rPr>
          <w:rStyle w:val="A9"/>
          <w:rFonts w:cs="Times New Roman"/>
          <w:color w:val="auto"/>
          <w:sz w:val="24"/>
          <w:szCs w:val="24"/>
        </w:rPr>
        <w:t>comorbidity</w:t>
      </w:r>
      <w:r w:rsidRPr="001F50BA">
        <w:rPr>
          <w:rStyle w:val="A9"/>
          <w:rFonts w:cs="Times New Roman"/>
          <w:color w:val="auto"/>
          <w:sz w:val="24"/>
          <w:szCs w:val="24"/>
        </w:rPr>
        <w:t xml:space="preserve"> was</w:t>
      </w:r>
      <w:r w:rsidR="005B6073" w:rsidRPr="001F50BA">
        <w:rPr>
          <w:rStyle w:val="A9"/>
          <w:rFonts w:cs="Times New Roman"/>
          <w:color w:val="auto"/>
          <w:sz w:val="24"/>
          <w:szCs w:val="24"/>
        </w:rPr>
        <w:t xml:space="preserve"> assessed by the </w:t>
      </w:r>
      <w:proofErr w:type="spellStart"/>
      <w:r w:rsidR="005B6073" w:rsidRPr="001F50BA">
        <w:rPr>
          <w:rFonts w:cs="Times New Roman"/>
        </w:rPr>
        <w:t>Charlson</w:t>
      </w:r>
      <w:proofErr w:type="spellEnd"/>
      <w:r w:rsidR="005B6073" w:rsidRPr="001F50BA">
        <w:rPr>
          <w:rFonts w:cs="Times New Roman"/>
        </w:rPr>
        <w:t xml:space="preserve"> Comorbidity Index score</w:t>
      </w:r>
      <w:hyperlink w:anchor="_ENREF_27" w:tooltip="Katz, 1996 #994" w:history="1">
        <w:r w:rsidR="00762FAD" w:rsidRPr="001F50BA">
          <w:rPr>
            <w:rFonts w:cs="Times New Roman"/>
          </w:rPr>
          <w:fldChar w:fldCharType="begin"/>
        </w:r>
        <w:r w:rsidR="00762FAD" w:rsidRPr="001F50BA">
          <w:rPr>
            <w:rFonts w:cs="Times New Roman"/>
          </w:rPr>
          <w:instrText xml:space="preserve"> ADDIN EN.CITE &lt;EndNote&gt;&lt;Cite&gt;&lt;Author&gt;Katz&lt;/Author&gt;&lt;Year&gt;1996&lt;/Year&gt;&lt;RecNum&gt;994&lt;/RecNum&gt;&lt;DisplayText&gt;&lt;style face="superscript"&gt;27&lt;/style&gt;&lt;/DisplayText&gt;&lt;record&gt;&lt;rec-number&gt;994&lt;/rec-number&gt;&lt;foreign-keys&gt;&lt;key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care&lt;/secondary-title&gt;&lt;/titles&gt;&lt;periodical&gt;&lt;full-title&gt;Medical care&lt;/full-title&gt;&lt;/periodical&gt;&lt;pages&gt;73-84&lt;/pages&gt;&lt;volume&gt;34&lt;/volume&gt;&lt;number&gt;1&lt;/number&gt;&lt;keywords&gt;&lt;keyword&gt;Aged&lt;/keyword&gt;&lt;keyword&gt;Aged,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762FAD" w:rsidRPr="001F50BA">
          <w:rPr>
            <w:rFonts w:cs="Times New Roman"/>
          </w:rPr>
          <w:fldChar w:fldCharType="separate"/>
        </w:r>
        <w:r w:rsidR="00762FAD" w:rsidRPr="001F50BA">
          <w:rPr>
            <w:rFonts w:cs="Times New Roman"/>
            <w:noProof/>
            <w:vertAlign w:val="superscript"/>
          </w:rPr>
          <w:t>27</w:t>
        </w:r>
        <w:r w:rsidR="00762FAD" w:rsidRPr="001F50BA">
          <w:rPr>
            <w:rFonts w:cs="Times New Roman"/>
          </w:rPr>
          <w:fldChar w:fldCharType="end"/>
        </w:r>
      </w:hyperlink>
      <w:r w:rsidR="005B6073" w:rsidRPr="001F50BA">
        <w:rPr>
          <w:rFonts w:cs="Times New Roman"/>
        </w:rPr>
        <w:t xml:space="preserve">; </w:t>
      </w:r>
      <w:r w:rsidR="003B375A" w:rsidRPr="001F50BA">
        <w:rPr>
          <w:rFonts w:cs="Times New Roman"/>
        </w:rPr>
        <w:t xml:space="preserve">5) </w:t>
      </w:r>
      <w:r w:rsidR="005B6073" w:rsidRPr="001F50BA">
        <w:rPr>
          <w:rFonts w:cs="Times New Roman"/>
        </w:rPr>
        <w:t xml:space="preserve">the number of </w:t>
      </w:r>
      <w:r w:rsidR="003B375A" w:rsidRPr="001F50BA">
        <w:rPr>
          <w:rFonts w:cs="Times New Roman"/>
        </w:rPr>
        <w:t>medications</w:t>
      </w:r>
      <w:r w:rsidR="005B6073" w:rsidRPr="001F50BA">
        <w:rPr>
          <w:rFonts w:cs="Times New Roman"/>
        </w:rPr>
        <w:t xml:space="preserve"> used</w:t>
      </w:r>
      <w:r w:rsidRPr="001F50BA">
        <w:rPr>
          <w:rFonts w:cs="Times New Roman"/>
        </w:rPr>
        <w:t xml:space="preserve"> were reported</w:t>
      </w:r>
      <w:r w:rsidR="005B6073" w:rsidRPr="001F50BA">
        <w:rPr>
          <w:rFonts w:cs="Times New Roman"/>
        </w:rPr>
        <w:t>;</w:t>
      </w:r>
      <w:r w:rsidR="003B375A" w:rsidRPr="001F50BA">
        <w:rPr>
          <w:rFonts w:cs="Times New Roman"/>
        </w:rPr>
        <w:t xml:space="preserve"> and 6) cohabitation status</w:t>
      </w:r>
      <w:r w:rsidRPr="001F50BA">
        <w:rPr>
          <w:rFonts w:cs="Times New Roman"/>
        </w:rPr>
        <w:t xml:space="preserve"> was reported</w:t>
      </w:r>
      <w:r w:rsidR="003B375A" w:rsidRPr="001F50BA">
        <w:rPr>
          <w:rFonts w:cs="Times New Roman"/>
        </w:rPr>
        <w:t>, i.e. living alone (yes vs. no)</w:t>
      </w:r>
      <w:r w:rsidR="003B375A" w:rsidRPr="001F50BA">
        <w:rPr>
          <w:rFonts w:eastAsia="AdvOTa9103878" w:cs="Times New Roman"/>
          <w:lang w:eastAsia="ar-SA"/>
        </w:rPr>
        <w:t xml:space="preserve">. </w:t>
      </w:r>
      <w:r w:rsidR="0054097B" w:rsidRPr="001F50BA">
        <w:rPr>
          <w:rFonts w:eastAsia="AdvOTa9103878" w:cs="Times New Roman"/>
          <w:lang w:eastAsia="ar-SA"/>
        </w:rPr>
        <w:t>Moreover, i</w:t>
      </w:r>
      <w:r w:rsidR="003B375A" w:rsidRPr="001F50BA">
        <w:rPr>
          <w:rFonts w:eastAsia="AdvOTa9103878" w:cs="Times New Roman"/>
          <w:lang w:eastAsia="ar-SA"/>
        </w:rPr>
        <w:t xml:space="preserve">nstead of cognitive status, </w:t>
      </w:r>
      <w:r w:rsidRPr="001F50BA">
        <w:rPr>
          <w:rFonts w:eastAsia="AdvOTa9103878" w:cs="Times New Roman"/>
          <w:lang w:eastAsia="ar-SA"/>
        </w:rPr>
        <w:t xml:space="preserve">the following was </w:t>
      </w:r>
      <w:r w:rsidR="000F1816" w:rsidRPr="001F50BA">
        <w:rPr>
          <w:rFonts w:eastAsia="AdvOTa9103878" w:cs="Times New Roman"/>
          <w:lang w:eastAsia="ar-SA"/>
        </w:rPr>
        <w:t>i</w:t>
      </w:r>
      <w:r w:rsidR="003B375A" w:rsidRPr="001F50BA">
        <w:rPr>
          <w:rFonts w:eastAsia="AdvOTa9103878" w:cs="Times New Roman"/>
          <w:lang w:eastAsia="ar-SA"/>
        </w:rPr>
        <w:t>ncluded in the multidimensional model</w:t>
      </w:r>
      <w:r w:rsidR="006121A2" w:rsidRPr="001F50BA">
        <w:rPr>
          <w:rFonts w:eastAsia="AdvOTa9103878" w:cs="Times New Roman"/>
          <w:lang w:eastAsia="ar-SA"/>
        </w:rPr>
        <w:t xml:space="preserve">: 7) </w:t>
      </w:r>
      <w:r w:rsidR="003B375A" w:rsidRPr="001F50BA">
        <w:rPr>
          <w:rFonts w:eastAsia="AdvOTa9103878" w:cs="Times New Roman"/>
          <w:lang w:eastAsia="ar-SA"/>
        </w:rPr>
        <w:t xml:space="preserve">the assessment of depressive symptoms by using the Center for Epidemiologic Studies </w:t>
      </w:r>
      <w:r w:rsidR="003B375A" w:rsidRPr="001F50BA">
        <w:rPr>
          <w:rFonts w:eastAsia="AdvOTa9103878" w:cs="Times New Roman"/>
          <w:lang w:eastAsia="ar-SA"/>
        </w:rPr>
        <w:lastRenderedPageBreak/>
        <w:t>Depression Scale (CES-D)</w:t>
      </w:r>
      <w:hyperlink w:anchor="_ENREF_28" w:tooltip="Lewinsohn, 1997 #1153" w:history="1">
        <w:r w:rsidR="00762FAD" w:rsidRPr="001F50BA">
          <w:rPr>
            <w:rFonts w:eastAsia="AdvOTa9103878" w:cs="Times New Roman"/>
            <w:lang w:eastAsia="ar-SA"/>
          </w:rPr>
          <w:fldChar w:fldCharType="begin"/>
        </w:r>
        <w:r w:rsidR="00762FAD" w:rsidRPr="001F50BA">
          <w:rPr>
            <w:rFonts w:eastAsia="AdvOTa9103878" w:cs="Times New Roman"/>
            <w:lang w:eastAsia="ar-SA"/>
          </w:rPr>
          <w:instrText xml:space="preserve"> ADDIN EN.CITE &lt;EndNote&gt;&lt;Cite&gt;&lt;Author&gt;Lewinsohn&lt;/Author&gt;&lt;Year&gt;1997&lt;/Year&gt;&lt;RecNum&gt;1153&lt;/RecNum&gt;&lt;DisplayText&gt;&lt;style face="superscript"&gt;28&lt;/style&gt;&lt;/DisplayText&gt;&lt;record&gt;&lt;rec-number&gt;1153&lt;/rec-number&gt;&lt;foreign-keys&gt;&lt;key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00762FAD" w:rsidRPr="001F50BA">
          <w:rPr>
            <w:rFonts w:eastAsia="AdvOTa9103878" w:cs="Times New Roman"/>
            <w:lang w:eastAsia="ar-SA"/>
          </w:rPr>
          <w:fldChar w:fldCharType="separate"/>
        </w:r>
        <w:r w:rsidR="00762FAD" w:rsidRPr="001F50BA">
          <w:rPr>
            <w:rFonts w:eastAsia="AdvOTa9103878" w:cs="Times New Roman"/>
            <w:noProof/>
            <w:vertAlign w:val="superscript"/>
            <w:lang w:eastAsia="ar-SA"/>
          </w:rPr>
          <w:t>28</w:t>
        </w:r>
        <w:r w:rsidR="00762FAD" w:rsidRPr="001F50BA">
          <w:rPr>
            <w:rFonts w:eastAsia="AdvOTa9103878" w:cs="Times New Roman"/>
            <w:lang w:eastAsia="ar-SA"/>
          </w:rPr>
          <w:fldChar w:fldCharType="end"/>
        </w:r>
      </w:hyperlink>
      <w:r w:rsidR="003B375A" w:rsidRPr="001F50BA">
        <w:rPr>
          <w:rFonts w:cs="Times New Roman"/>
        </w:rPr>
        <w:t>, and 8)</w:t>
      </w:r>
      <w:r w:rsidR="00F47BD5" w:rsidRPr="001F50BA">
        <w:rPr>
          <w:rFonts w:cs="Times New Roman"/>
        </w:rPr>
        <w:fldChar w:fldCharType="begin" w:fldLock="1"/>
      </w:r>
      <w:r w:rsidR="003B375A" w:rsidRPr="001F50BA">
        <w:rPr>
          <w:rFonts w:cs="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F47BD5" w:rsidRPr="001F50BA">
        <w:rPr>
          <w:rFonts w:cs="Times New Roman"/>
        </w:rPr>
        <w:fldChar w:fldCharType="end"/>
      </w:r>
      <w:r w:rsidR="003B375A" w:rsidRPr="001F50BA">
        <w:rPr>
          <w:rFonts w:cs="Times New Roman"/>
        </w:rPr>
        <w:t xml:space="preserve">  quality of life assessed through a specific subscale of the Knee injury Osteoarthritis Outcome Score (KOOS)</w:t>
      </w:r>
      <w:r w:rsidR="00EE4CD6" w:rsidRPr="001F50BA">
        <w:rPr>
          <w:rFonts w:cs="Times New Roman"/>
        </w:rPr>
        <w:t>.</w:t>
      </w:r>
      <w:hyperlink w:anchor="_ENREF_29" w:tooltip="Roos, 1998 #7171" w:history="1">
        <w:r w:rsidR="00762FAD" w:rsidRPr="001F50BA">
          <w:rPr>
            <w:rFonts w:cs="Times New Roman"/>
          </w:rPr>
          <w:fldChar w:fldCharType="begin"/>
        </w:r>
        <w:r w:rsidR="00762FAD" w:rsidRPr="001F50BA">
          <w:rPr>
            <w:rFonts w:cs="Times New Roman"/>
          </w:rPr>
          <w:instrText xml:space="preserve"> ADDIN EN.CITE &lt;EndNote&gt;&lt;Cite&gt;&lt;Author&gt;Roos&lt;/Author&gt;&lt;Year&gt;1998&lt;/Year&gt;&lt;RecNum&gt;7171&lt;/RecNum&gt;&lt;DisplayText&gt;&lt;style face="superscript"&gt;29&lt;/style&gt;&lt;/DisplayText&gt;&lt;record&gt;&lt;rec-number&gt;7171&lt;/rec-number&gt;&lt;foreign-keys&gt;&lt;key app="EN" db-id="t2wadffz0tdfane25rb50ezte9zwtdwpseft"&gt;7171&lt;/key&gt;&lt;/foreign-keys&gt;&lt;ref-type name="Journal Article"&gt;17&lt;/ref-type&gt;&lt;contributors&gt;&lt;authors&gt;&lt;author&gt;Roos, Ewa M&lt;/author&gt;&lt;author&gt;Roos, Harald P&lt;/author&gt;&lt;author&gt;Lohmander, L Stefan&lt;/author&gt;&lt;author&gt;Ekdahl, Charlotte&lt;/author&gt;&lt;author&gt;Beynnon, Bruce D&lt;/author&gt;&lt;/authors&gt;&lt;/contributors&gt;&lt;titles&gt;&lt;title&gt;Knee Injury and Osteoarthritis Outcome Score (KOOS)—development of a self-administered outcome measure&lt;/title&gt;&lt;secondary-title&gt;Journal of Orthopaedic &amp;amp; Sports Physical Therapy&lt;/secondary-title&gt;&lt;/titles&gt;&lt;periodical&gt;&lt;full-title&gt;Journal of Orthopaedic &amp;amp; Sports Physical Therapy&lt;/full-title&gt;&lt;/periodical&gt;&lt;pages&gt;88-96&lt;/pages&gt;&lt;volume&gt;28&lt;/volume&gt;&lt;number&gt;2&lt;/number&gt;&lt;dates&gt;&lt;year&gt;1998&lt;/year&gt;&lt;/dates&gt;&lt;isbn&gt;0190-6011&lt;/isbn&gt;&lt;urls&gt;&lt;/urls&gt;&lt;/record&gt;&lt;/Cite&gt;&lt;/EndNote&gt;</w:instrText>
        </w:r>
        <w:r w:rsidR="00762FAD" w:rsidRPr="001F50BA">
          <w:rPr>
            <w:rFonts w:cs="Times New Roman"/>
          </w:rPr>
          <w:fldChar w:fldCharType="separate"/>
        </w:r>
        <w:r w:rsidR="00762FAD" w:rsidRPr="001F50BA">
          <w:rPr>
            <w:rFonts w:cs="Times New Roman"/>
            <w:noProof/>
            <w:vertAlign w:val="superscript"/>
          </w:rPr>
          <w:t>29</w:t>
        </w:r>
        <w:r w:rsidR="00762FAD" w:rsidRPr="001F50BA">
          <w:rPr>
            <w:rFonts w:cs="Times New Roman"/>
          </w:rPr>
          <w:fldChar w:fldCharType="end"/>
        </w:r>
      </w:hyperlink>
      <w:r w:rsidR="009C5524" w:rsidRPr="001F50BA">
        <w:rPr>
          <w:rFonts w:cs="Times New Roman"/>
        </w:rPr>
        <w:t xml:space="preserve"> Full details are reported in </w:t>
      </w:r>
      <w:r w:rsidR="001F50BA" w:rsidRPr="00417207">
        <w:rPr>
          <w:rFonts w:cs="Times New Roman"/>
          <w:b/>
          <w:bCs/>
          <w:highlight w:val="yellow"/>
        </w:rPr>
        <w:t>Figure</w:t>
      </w:r>
      <w:r w:rsidR="009C5524" w:rsidRPr="00417207">
        <w:rPr>
          <w:rFonts w:cs="Times New Roman"/>
          <w:b/>
          <w:bCs/>
          <w:highlight w:val="yellow"/>
        </w:rPr>
        <w:t xml:space="preserve"> 1</w:t>
      </w:r>
      <w:r w:rsidR="009C5524" w:rsidRPr="00417207">
        <w:rPr>
          <w:rFonts w:cs="Times New Roman"/>
          <w:highlight w:val="yellow"/>
        </w:rPr>
        <w:t>.</w:t>
      </w:r>
      <w:r w:rsidR="009C5524" w:rsidRPr="001F50BA">
        <w:rPr>
          <w:rFonts w:cs="Times New Roman"/>
        </w:rPr>
        <w:t xml:space="preserve"> </w:t>
      </w:r>
    </w:p>
    <w:p w14:paraId="5CA4BEEC" w14:textId="77777777" w:rsidR="003B375A" w:rsidRPr="001F50BA" w:rsidRDefault="003B375A" w:rsidP="007D42F3">
      <w:pPr>
        <w:suppressAutoHyphens/>
        <w:spacing w:line="480" w:lineRule="auto"/>
        <w:jc w:val="both"/>
        <w:rPr>
          <w:rFonts w:cs="Times New Roman"/>
        </w:rPr>
      </w:pPr>
    </w:p>
    <w:p w14:paraId="373D58FF" w14:textId="57BFAB9D" w:rsidR="003F01C2" w:rsidRPr="001F50BA" w:rsidRDefault="00A42FA3" w:rsidP="007D42F3">
      <w:pPr>
        <w:suppressAutoHyphens/>
        <w:spacing w:line="480" w:lineRule="auto"/>
        <w:jc w:val="both"/>
      </w:pPr>
      <w:r w:rsidRPr="001F50BA">
        <w:t xml:space="preserve">When a categorization was not available from literature, </w:t>
      </w:r>
      <w:r w:rsidR="00C100B1" w:rsidRPr="001F50BA">
        <w:t xml:space="preserve">the optimal number and location of cutoff points were determined </w:t>
      </w:r>
      <w:r w:rsidR="005835B0" w:rsidRPr="001F50BA">
        <w:t xml:space="preserve">using an iterative algorithm that maximizes the </w:t>
      </w:r>
      <w:r w:rsidR="000F1816" w:rsidRPr="001F50BA">
        <w:rPr>
          <w:rFonts w:eastAsia="AdvOTa9103878"/>
          <w:lang w:eastAsia="ar-SA"/>
        </w:rPr>
        <w:t>relative area under the curve  (</w:t>
      </w:r>
      <w:r w:rsidR="005835B0" w:rsidRPr="001F50BA">
        <w:t>AUC</w:t>
      </w:r>
      <w:r w:rsidR="000F1816" w:rsidRPr="001F50BA">
        <w:t>)</w:t>
      </w:r>
      <w:r w:rsidR="004C4B7C" w:rsidRPr="001F50BA">
        <w:t>.</w:t>
      </w:r>
      <w:hyperlink w:anchor="_ENREF_30" w:tooltip="Chang, 2017 #7172" w:history="1">
        <w:r w:rsidR="00762FAD" w:rsidRPr="001F50BA">
          <w:fldChar w:fldCharType="begin"/>
        </w:r>
        <w:r w:rsidR="00762FAD" w:rsidRPr="001F50BA">
          <w:instrText xml:space="preserve"> ADDIN EN.CITE &lt;EndNote&gt;&lt;Cite&gt;&lt;Author&gt;Chang&lt;/Author&gt;&lt;Year&gt;2017&lt;/Year&gt;&lt;RecNum&gt;7172&lt;/RecNum&gt;&lt;DisplayText&gt;&lt;style face="superscript"&gt;30&lt;/style&gt;&lt;/DisplayText&gt;&lt;record&gt;&lt;rec-number&gt;7172&lt;/rec-number&gt;&lt;foreign-keys&gt;&lt;key app="EN" db-id="t2wadffz0tdfane25rb50ezte9zwtdwpseft"&gt;7172&lt;/key&gt;&lt;/foreign-keys&gt;&lt;ref-type name="Journal Article"&gt;17&lt;/ref-type&gt;&lt;contributors&gt;&lt;authors&gt;&lt;author&gt;Chang, Chung&lt;/author&gt;&lt;author&gt;Hsieh, Meng-Ke&lt;/author&gt;&lt;author&gt;Chang, Wen-Yi&lt;/author&gt;&lt;author&gt;Chiang, An Jen&lt;/author&gt;&lt;author&gt;Chen, Jiabin&lt;/author&gt;&lt;/authors&gt;&lt;/contributors&gt;&lt;titles&gt;&lt;title&gt;Determining the optimal number and location of cutoff points with application to data of cervical cancer&lt;/title&gt;&lt;secondary-title&gt;PloS one&lt;/secondary-title&gt;&lt;/titles&gt;&lt;periodical&gt;&lt;full-title&gt;PLoS One&lt;/full-title&gt;&lt;abbr-1&gt;PloS one&lt;/abbr-1&gt;&lt;/periodical&gt;&lt;pages&gt;e0176231&lt;/pages&gt;&lt;volume&gt;12&lt;/volume&gt;&lt;number&gt;4&lt;/number&gt;&lt;dates&gt;&lt;year&gt;2017&lt;/year&gt;&lt;/dates&gt;&lt;isbn&gt;1932-6203&lt;/isbn&gt;&lt;urls&gt;&lt;/urls&gt;&lt;/record&gt;&lt;/Cite&gt;&lt;/EndNote&gt;</w:instrText>
        </w:r>
        <w:r w:rsidR="00762FAD" w:rsidRPr="001F50BA">
          <w:fldChar w:fldCharType="separate"/>
        </w:r>
        <w:r w:rsidR="00762FAD" w:rsidRPr="001F50BA">
          <w:rPr>
            <w:noProof/>
            <w:vertAlign w:val="superscript"/>
          </w:rPr>
          <w:t>30</w:t>
        </w:r>
        <w:r w:rsidR="00762FAD" w:rsidRPr="001F50BA">
          <w:fldChar w:fldCharType="end"/>
        </w:r>
      </w:hyperlink>
      <w:r w:rsidR="005835B0" w:rsidRPr="001F50BA">
        <w:t xml:space="preserve"> </w:t>
      </w:r>
      <w:r w:rsidR="004C4B7C" w:rsidRPr="001F50BA">
        <w:t>F</w:t>
      </w:r>
      <w:r w:rsidRPr="001F50BA">
        <w:t xml:space="preserve">or each potential predictors </w:t>
      </w:r>
      <w:r w:rsidR="00C100B1" w:rsidRPr="001F50BA">
        <w:t>according to the outcome in order to define different risk group</w:t>
      </w:r>
      <w:r w:rsidRPr="001F50BA">
        <w:t>s and quantify the weight of each of them in a creation of a multidimensional index from the estimates of a multivariate logistic regression (</w:t>
      </w:r>
      <w:r w:rsidRPr="001F50BA">
        <w:rPr>
          <w:b/>
          <w:bCs/>
        </w:rPr>
        <w:t>Table 1</w:t>
      </w:r>
      <w:r w:rsidRPr="001F50BA">
        <w:t xml:space="preserve">). </w:t>
      </w:r>
    </w:p>
    <w:p w14:paraId="478C12BE" w14:textId="06E0F988" w:rsidR="00913C8D" w:rsidRPr="001F50BA" w:rsidRDefault="00A42FA3" w:rsidP="007D42F3">
      <w:pPr>
        <w:suppressAutoHyphens/>
        <w:spacing w:line="480" w:lineRule="auto"/>
        <w:jc w:val="both"/>
        <w:rPr>
          <w:rFonts w:cs="Times New Roman"/>
        </w:rPr>
      </w:pPr>
      <w:r w:rsidRPr="001F50BA">
        <w:t>Th</w:t>
      </w:r>
      <w:r w:rsidR="003B375A" w:rsidRPr="001F50BA">
        <w:t>is</w:t>
      </w:r>
      <w:r w:rsidRPr="001F50BA">
        <w:t xml:space="preserve"> </w:t>
      </w:r>
      <w:r w:rsidR="003B375A" w:rsidRPr="001F50BA">
        <w:t xml:space="preserve">modified </w:t>
      </w:r>
      <w:r w:rsidRPr="001F50BA">
        <w:t>MPI</w:t>
      </w:r>
      <w:r w:rsidR="007D2223" w:rsidRPr="001F50BA">
        <w:t>, obtained as weighted sum of each domain,</w:t>
      </w:r>
      <w:r w:rsidRPr="001F50BA">
        <w:t xml:space="preserve"> </w:t>
      </w:r>
      <w:r w:rsidR="003F01C2" w:rsidRPr="001F50BA">
        <w:t>ranged</w:t>
      </w:r>
      <w:r w:rsidRPr="001F50BA">
        <w:t xml:space="preserve"> from 0</w:t>
      </w:r>
      <w:r w:rsidR="003B375A" w:rsidRPr="001F50BA">
        <w:t>.0</w:t>
      </w:r>
      <w:r w:rsidRPr="001F50BA">
        <w:t xml:space="preserve"> </w:t>
      </w:r>
      <w:r w:rsidR="004C26C3" w:rsidRPr="001F50BA">
        <w:t xml:space="preserve">(low risk of recurrent fall) </w:t>
      </w:r>
      <w:r w:rsidRPr="001F50BA">
        <w:t>to 1</w:t>
      </w:r>
      <w:r w:rsidR="00942945" w:rsidRPr="001F50BA">
        <w:t>.0</w:t>
      </w:r>
      <w:r w:rsidR="004C26C3" w:rsidRPr="001F50BA">
        <w:t xml:space="preserve"> (</w:t>
      </w:r>
      <w:r w:rsidRPr="001F50BA">
        <w:t xml:space="preserve">highest risk of </w:t>
      </w:r>
      <w:r w:rsidR="000F1816" w:rsidRPr="001F50BA">
        <w:t xml:space="preserve">recurrent </w:t>
      </w:r>
      <w:r w:rsidRPr="001F50BA">
        <w:t>fall</w:t>
      </w:r>
      <w:r w:rsidR="004C26C3" w:rsidRPr="001F50BA">
        <w:t>)</w:t>
      </w:r>
      <w:r w:rsidRPr="001F50BA">
        <w:t xml:space="preserve">. </w:t>
      </w:r>
      <w:r w:rsidR="004C26C3" w:rsidRPr="001F50BA">
        <w:t>Moreover, a</w:t>
      </w:r>
      <w:r w:rsidRPr="001F50BA">
        <w:t xml:space="preserve">s for the individual covariates that </w:t>
      </w:r>
      <w:r w:rsidR="00FC7957" w:rsidRPr="001F50BA">
        <w:t>explore</w:t>
      </w:r>
      <w:r w:rsidRPr="001F50BA">
        <w:t xml:space="preserve"> each domain, also MPI was categorized into </w:t>
      </w:r>
      <w:r w:rsidR="005835B0" w:rsidRPr="001F50BA">
        <w:t>three</w:t>
      </w:r>
      <w:r w:rsidRPr="001F50BA">
        <w:t xml:space="preserve"> </w:t>
      </w:r>
      <w:r w:rsidR="005835B0" w:rsidRPr="001F50BA">
        <w:t xml:space="preserve">statistically </w:t>
      </w:r>
      <w:r w:rsidRPr="001F50BA">
        <w:t>different risk group</w:t>
      </w:r>
      <w:r w:rsidR="004C26C3" w:rsidRPr="001F50BA">
        <w:t>s</w:t>
      </w:r>
      <w:r w:rsidR="005835B0" w:rsidRPr="001F50BA">
        <w:t xml:space="preserve"> of </w:t>
      </w:r>
      <w:r w:rsidR="003F01C2" w:rsidRPr="001F50BA">
        <w:t xml:space="preserve">recurrent </w:t>
      </w:r>
      <w:r w:rsidR="005835B0" w:rsidRPr="001F50BA">
        <w:t>fall</w:t>
      </w:r>
      <w:r w:rsidR="003F01C2" w:rsidRPr="001F50BA">
        <w:t>s</w:t>
      </w:r>
      <w:r w:rsidRPr="001F50BA">
        <w:t xml:space="preserve">: </w:t>
      </w:r>
      <w:r w:rsidR="005835B0" w:rsidRPr="001F50BA">
        <w:t>low risk 0</w:t>
      </w:r>
      <w:r w:rsidR="004C26C3" w:rsidRPr="001F50BA">
        <w:t>-</w:t>
      </w:r>
      <w:r w:rsidR="00942945" w:rsidRPr="001F50BA">
        <w:t>0.</w:t>
      </w:r>
      <w:r w:rsidR="004C26C3" w:rsidRPr="001F50BA">
        <w:t xml:space="preserve">41, moderate risk </w:t>
      </w:r>
      <w:r w:rsidR="00942945" w:rsidRPr="001F50BA">
        <w:t>0.</w:t>
      </w:r>
      <w:r w:rsidR="005835B0" w:rsidRPr="001F50BA">
        <w:t>4</w:t>
      </w:r>
      <w:r w:rsidR="004C26C3" w:rsidRPr="001F50BA">
        <w:t>2</w:t>
      </w:r>
      <w:r w:rsidR="005835B0" w:rsidRPr="001F50BA">
        <w:t xml:space="preserve"> – </w:t>
      </w:r>
      <w:r w:rsidR="00942945" w:rsidRPr="001F50BA">
        <w:t>0.</w:t>
      </w:r>
      <w:r w:rsidR="004C26C3" w:rsidRPr="001F50BA">
        <w:t xml:space="preserve">67 and severe risk </w:t>
      </w:r>
      <w:r w:rsidR="00942945" w:rsidRPr="001F50BA">
        <w:t>0.</w:t>
      </w:r>
      <w:r w:rsidR="005835B0" w:rsidRPr="001F50BA">
        <w:t>6</w:t>
      </w:r>
      <w:r w:rsidR="004C26C3" w:rsidRPr="001F50BA">
        <w:t>8</w:t>
      </w:r>
      <w:r w:rsidR="005835B0" w:rsidRPr="001F50BA">
        <w:t xml:space="preserve"> – 1</w:t>
      </w:r>
      <w:r w:rsidR="00942945" w:rsidRPr="001F50BA">
        <w:t>.0</w:t>
      </w:r>
      <w:r w:rsidR="00A43A53" w:rsidRPr="001F50BA">
        <w:t xml:space="preserve"> (</w:t>
      </w:r>
      <w:r w:rsidR="00A43A53" w:rsidRPr="001F50BA">
        <w:rPr>
          <w:b/>
          <w:bCs/>
        </w:rPr>
        <w:t>Supplementary Table 1</w:t>
      </w:r>
      <w:r w:rsidR="00A43A53" w:rsidRPr="001F50BA">
        <w:t xml:space="preserve">). </w:t>
      </w:r>
    </w:p>
    <w:p w14:paraId="63B7D046" w14:textId="77777777" w:rsidR="004766DE" w:rsidRPr="001F50BA" w:rsidRDefault="004766DE" w:rsidP="0035618C">
      <w:pPr>
        <w:suppressAutoHyphens/>
        <w:spacing w:line="480" w:lineRule="auto"/>
        <w:rPr>
          <w:rFonts w:eastAsia="Times New Roman"/>
          <w:lang w:eastAsia="ar-SA"/>
        </w:rPr>
      </w:pPr>
    </w:p>
    <w:p w14:paraId="1DBDF1B0" w14:textId="77777777" w:rsidR="004E3B37" w:rsidRPr="001F50BA" w:rsidRDefault="004C26C3" w:rsidP="004E3B37">
      <w:pPr>
        <w:suppressAutoHyphens/>
        <w:spacing w:line="480" w:lineRule="auto"/>
        <w:rPr>
          <w:rFonts w:eastAsia="Times New Roman"/>
          <w:b/>
          <w:i/>
          <w:lang w:eastAsia="ar-SA"/>
        </w:rPr>
      </w:pPr>
      <w:r w:rsidRPr="001F50BA">
        <w:rPr>
          <w:rFonts w:eastAsia="Times New Roman"/>
          <w:b/>
          <w:i/>
          <w:lang w:eastAsia="ar-SA"/>
        </w:rPr>
        <w:t xml:space="preserve">Definition of “recurrent </w:t>
      </w:r>
      <w:r w:rsidR="00E733DB" w:rsidRPr="001F50BA">
        <w:rPr>
          <w:rFonts w:eastAsia="Times New Roman"/>
          <w:b/>
          <w:i/>
          <w:lang w:eastAsia="ar-SA"/>
        </w:rPr>
        <w:t>fall</w:t>
      </w:r>
      <w:r w:rsidRPr="001F50BA">
        <w:rPr>
          <w:rFonts w:eastAsia="Times New Roman"/>
          <w:b/>
          <w:i/>
          <w:lang w:eastAsia="ar-SA"/>
        </w:rPr>
        <w:t>ers”</w:t>
      </w:r>
    </w:p>
    <w:p w14:paraId="1AEDA1C4" w14:textId="4D1A98B1" w:rsidR="00E733DB" w:rsidRPr="001F50BA" w:rsidRDefault="00E733DB" w:rsidP="00E733DB">
      <w:pPr>
        <w:suppressAutoHyphens/>
        <w:spacing w:line="480" w:lineRule="auto"/>
        <w:jc w:val="both"/>
        <w:rPr>
          <w:rFonts w:eastAsia="Times New Roman"/>
          <w:lang w:eastAsia="ar-SA"/>
        </w:rPr>
      </w:pPr>
      <w:r w:rsidRPr="001F50BA">
        <w:rPr>
          <w:rFonts w:eastAsia="Times New Roman"/>
          <w:lang w:eastAsia="ar-SA"/>
        </w:rPr>
        <w:t xml:space="preserve">A fall </w:t>
      </w:r>
      <w:r w:rsidR="00AB2A95" w:rsidRPr="001F50BA">
        <w:rPr>
          <w:rFonts w:eastAsia="Times New Roman"/>
          <w:lang w:eastAsia="ar-SA"/>
        </w:rPr>
        <w:t>is traditionally</w:t>
      </w:r>
      <w:r w:rsidRPr="001F50BA">
        <w:rPr>
          <w:rFonts w:eastAsia="Times New Roman"/>
          <w:lang w:eastAsia="ar-SA"/>
        </w:rPr>
        <w:t xml:space="preserve"> defined as “</w:t>
      </w:r>
      <w:r w:rsidRPr="001F50BA">
        <w:rPr>
          <w:rFonts w:eastAsia="Times New Roman"/>
          <w:i/>
          <w:lang w:eastAsia="ar-SA"/>
        </w:rPr>
        <w:t>an event which resulted in a person coming to rest inadvertently on the ground or floor or other lower level</w:t>
      </w:r>
      <w:r w:rsidRPr="001F50BA">
        <w:rPr>
          <w:rFonts w:eastAsia="Times New Roman"/>
          <w:lang w:eastAsia="ar-SA"/>
        </w:rPr>
        <w:t>.”</w:t>
      </w:r>
      <w:hyperlink w:anchor="_ENREF_31" w:tooltip="Organization, 2008 #5411" w:history="1">
        <w:r w:rsidR="00762FAD" w:rsidRPr="001F50BA">
          <w:rPr>
            <w:rFonts w:eastAsia="Times New Roman"/>
            <w:lang w:eastAsia="ar-SA"/>
          </w:rPr>
          <w:fldChar w:fldCharType="begin"/>
        </w:r>
        <w:r w:rsidR="00762FAD" w:rsidRPr="001F50BA">
          <w:rPr>
            <w:rFonts w:eastAsia="Times New Roman"/>
            <w:lang w:eastAsia="ar-SA"/>
          </w:rPr>
          <w:instrText xml:space="preserve"> ADDIN EN.CITE &lt;EndNote&gt;&lt;Cite&gt;&lt;Author&gt;Organization&lt;/Author&gt;&lt;Year&gt;2008&lt;/Year&gt;&lt;RecNum&gt;5411&lt;/RecNum&gt;&lt;DisplayText&gt;&lt;style face="superscript"&gt;31&lt;/style&gt;&lt;/DisplayText&gt;&lt;record&gt;&lt;rec-number&gt;5411&lt;/rec-number&gt;&lt;foreign-keys&gt;&lt;key app="EN" db-id="t2wadffz0tdfane25rb50ezte9zwtdwpseft"&gt;5411&lt;/key&gt;&lt;/foreign-keys&gt;&lt;ref-type name="Journal Article"&gt;17&lt;/ref-type&gt;&lt;contributors&gt;&lt;authors&gt;&lt;author&gt;World Health Organization&lt;/author&gt;&lt;/authors&gt;&lt;/contributors&gt;&lt;titles&gt;&lt;title&gt;Ageing; Life Course Unit. WHO global report on falls prevention in older age&lt;/title&gt;&lt;secondary-title&gt;World Health Organization&lt;/secondary-title&gt;&lt;/titles&gt;&lt;periodical&gt;&lt;full-title&gt;World Health Organization&lt;/full-title&gt;&lt;/periodical&gt;&lt;dates&gt;&lt;year&gt;2008&lt;/year&gt;&lt;/dates&gt;&lt;urls&gt;&lt;/urls&gt;&lt;/record&gt;&lt;/Cite&gt;&lt;/EndNote&gt;</w:instrText>
        </w:r>
        <w:r w:rsidR="00762FAD" w:rsidRPr="001F50BA">
          <w:rPr>
            <w:rFonts w:eastAsia="Times New Roman"/>
            <w:lang w:eastAsia="ar-SA"/>
          </w:rPr>
          <w:fldChar w:fldCharType="separate"/>
        </w:r>
        <w:r w:rsidR="00762FAD" w:rsidRPr="001F50BA">
          <w:rPr>
            <w:rFonts w:eastAsia="Times New Roman"/>
            <w:noProof/>
            <w:vertAlign w:val="superscript"/>
            <w:lang w:eastAsia="ar-SA"/>
          </w:rPr>
          <w:t>31</w:t>
        </w:r>
        <w:r w:rsidR="00762FAD" w:rsidRPr="001F50BA">
          <w:rPr>
            <w:rFonts w:eastAsia="Times New Roman"/>
            <w:lang w:eastAsia="ar-SA"/>
          </w:rPr>
          <w:fldChar w:fldCharType="end"/>
        </w:r>
      </w:hyperlink>
      <w:r w:rsidRPr="001F50BA">
        <w:rPr>
          <w:rFonts w:eastAsia="Times New Roman"/>
          <w:lang w:eastAsia="ar-SA"/>
        </w:rPr>
        <w:t xml:space="preserve"> </w:t>
      </w:r>
    </w:p>
    <w:p w14:paraId="296391DA" w14:textId="77777777" w:rsidR="004E3B37" w:rsidRPr="001F50BA" w:rsidRDefault="000715C8" w:rsidP="00E733DB">
      <w:pPr>
        <w:suppressAutoHyphens/>
        <w:spacing w:line="480" w:lineRule="auto"/>
        <w:jc w:val="both"/>
        <w:rPr>
          <w:rFonts w:eastAsia="Times New Roman"/>
          <w:lang w:eastAsia="ar-SA"/>
        </w:rPr>
      </w:pPr>
      <w:r w:rsidRPr="001F50BA">
        <w:rPr>
          <w:rFonts w:eastAsia="Times New Roman"/>
          <w:lang w:eastAsia="ar-SA"/>
        </w:rPr>
        <w:t xml:space="preserve">The assessment of the outcome was made at baseline and during the </w:t>
      </w:r>
      <w:r w:rsidR="004C26C3" w:rsidRPr="001F50BA">
        <w:rPr>
          <w:rFonts w:eastAsia="Times New Roman"/>
          <w:lang w:eastAsia="ar-SA"/>
        </w:rPr>
        <w:t>follow-up v</w:t>
      </w:r>
      <w:r w:rsidR="00942945" w:rsidRPr="001F50BA">
        <w:rPr>
          <w:rFonts w:eastAsia="Times New Roman"/>
          <w:lang w:eastAsia="ar-SA"/>
        </w:rPr>
        <w:t>isit</w:t>
      </w:r>
      <w:r w:rsidR="004C26C3" w:rsidRPr="001F50BA">
        <w:rPr>
          <w:rFonts w:eastAsia="Times New Roman"/>
          <w:lang w:eastAsia="ar-SA"/>
        </w:rPr>
        <w:t>s</w:t>
      </w:r>
      <w:r w:rsidR="00942945" w:rsidRPr="001F50BA">
        <w:rPr>
          <w:rFonts w:eastAsia="Times New Roman"/>
          <w:lang w:eastAsia="ar-SA"/>
        </w:rPr>
        <w:t xml:space="preserve"> </w:t>
      </w:r>
      <w:r w:rsidR="004C26C3" w:rsidRPr="001F50BA">
        <w:rPr>
          <w:rFonts w:eastAsia="Times New Roman"/>
          <w:lang w:eastAsia="ar-SA"/>
        </w:rPr>
        <w:t>at 12</w:t>
      </w:r>
      <w:r w:rsidRPr="001F50BA">
        <w:rPr>
          <w:rFonts w:eastAsia="Times New Roman"/>
          <w:lang w:eastAsia="ar-SA"/>
        </w:rPr>
        <w:t xml:space="preserve">, </w:t>
      </w:r>
      <w:r w:rsidR="004C26C3" w:rsidRPr="001F50BA">
        <w:rPr>
          <w:rFonts w:eastAsia="Times New Roman"/>
          <w:lang w:eastAsia="ar-SA"/>
        </w:rPr>
        <w:t>24</w:t>
      </w:r>
      <w:r w:rsidRPr="001F50BA">
        <w:rPr>
          <w:rFonts w:eastAsia="Times New Roman"/>
          <w:lang w:eastAsia="ar-SA"/>
        </w:rPr>
        <w:t xml:space="preserve">, </w:t>
      </w:r>
      <w:r w:rsidR="004C26C3" w:rsidRPr="001F50BA">
        <w:rPr>
          <w:rFonts w:eastAsia="Times New Roman"/>
          <w:lang w:eastAsia="ar-SA"/>
        </w:rPr>
        <w:t>36</w:t>
      </w:r>
      <w:r w:rsidRPr="001F50BA">
        <w:rPr>
          <w:rFonts w:eastAsia="Times New Roman"/>
          <w:lang w:eastAsia="ar-SA"/>
        </w:rPr>
        <w:t>,</w:t>
      </w:r>
      <w:r w:rsidR="004C26C3" w:rsidRPr="001F50BA">
        <w:rPr>
          <w:rFonts w:eastAsia="Times New Roman"/>
          <w:lang w:eastAsia="ar-SA"/>
        </w:rPr>
        <w:t xml:space="preserve"> </w:t>
      </w:r>
      <w:r w:rsidRPr="001F50BA">
        <w:rPr>
          <w:rFonts w:eastAsia="Times New Roman"/>
          <w:lang w:eastAsia="ar-SA"/>
        </w:rPr>
        <w:t>48</w:t>
      </w:r>
      <w:r w:rsidR="004C26C3" w:rsidRPr="001F50BA">
        <w:rPr>
          <w:rFonts w:eastAsia="Times New Roman"/>
          <w:lang w:eastAsia="ar-SA"/>
        </w:rPr>
        <w:t xml:space="preserve">, </w:t>
      </w:r>
      <w:r w:rsidRPr="001F50BA">
        <w:rPr>
          <w:rFonts w:eastAsia="Times New Roman"/>
          <w:lang w:eastAsia="ar-SA"/>
        </w:rPr>
        <w:t xml:space="preserve">72 and </w:t>
      </w:r>
      <w:r w:rsidR="004C26C3" w:rsidRPr="001F50BA">
        <w:rPr>
          <w:rFonts w:eastAsia="Times New Roman"/>
          <w:lang w:eastAsia="ar-SA"/>
        </w:rPr>
        <w:t>96 months</w:t>
      </w:r>
      <w:r w:rsidRPr="001F50BA">
        <w:rPr>
          <w:rFonts w:eastAsia="Times New Roman"/>
          <w:lang w:eastAsia="ar-SA"/>
        </w:rPr>
        <w:t xml:space="preserve">. </w:t>
      </w:r>
      <w:r w:rsidR="00E733DB" w:rsidRPr="001F50BA">
        <w:rPr>
          <w:rFonts w:eastAsia="Times New Roman"/>
          <w:lang w:eastAsia="ar-SA"/>
        </w:rPr>
        <w:t>At the end of each wave, including baseline evaluation, participants reported the number of falls experienced in the preceding year by answering this question: “</w:t>
      </w:r>
      <w:r w:rsidR="00395724" w:rsidRPr="001F50BA">
        <w:rPr>
          <w:rFonts w:eastAsia="Times New Roman"/>
          <w:lang w:eastAsia="ar-SA"/>
        </w:rPr>
        <w:t xml:space="preserve">Did you fall </w:t>
      </w:r>
      <w:r w:rsidR="00E733DB" w:rsidRPr="001F50BA">
        <w:rPr>
          <w:rFonts w:eastAsia="Times New Roman"/>
          <w:lang w:eastAsia="ar-SA"/>
        </w:rPr>
        <w:t>during the past year?”</w:t>
      </w:r>
      <w:r w:rsidR="00395724" w:rsidRPr="001F50BA">
        <w:rPr>
          <w:rFonts w:eastAsia="Times New Roman"/>
          <w:lang w:eastAsia="ar-SA"/>
        </w:rPr>
        <w:t>.</w:t>
      </w:r>
      <w:r w:rsidR="004766DE" w:rsidRPr="001F50BA">
        <w:rPr>
          <w:rFonts w:eastAsia="Times New Roman"/>
          <w:lang w:eastAsia="ar-SA"/>
        </w:rPr>
        <w:t xml:space="preserve"> </w:t>
      </w:r>
      <w:r w:rsidR="00395724" w:rsidRPr="001F50BA">
        <w:rPr>
          <w:rFonts w:eastAsia="Times New Roman"/>
          <w:lang w:eastAsia="ar-SA"/>
        </w:rPr>
        <w:t>The number of falls was also recorded.</w:t>
      </w:r>
      <w:r w:rsidR="00190ED2" w:rsidRPr="001F50BA">
        <w:rPr>
          <w:rFonts w:eastAsia="Times New Roman"/>
          <w:lang w:eastAsia="ar-SA"/>
        </w:rPr>
        <w:t xml:space="preserve"> On the contrary, no information was available regarding the date of falling. </w:t>
      </w:r>
      <w:r w:rsidR="00395724" w:rsidRPr="001F50BA">
        <w:rPr>
          <w:rFonts w:eastAsia="Times New Roman"/>
          <w:lang w:eastAsia="ar-SA"/>
        </w:rPr>
        <w:t xml:space="preserve"> </w:t>
      </w:r>
      <w:r w:rsidR="000F1816" w:rsidRPr="001F50BA">
        <w:rPr>
          <w:rFonts w:eastAsia="Times New Roman"/>
          <w:lang w:eastAsia="ar-SA"/>
        </w:rPr>
        <w:t>T</w:t>
      </w:r>
      <w:r w:rsidR="00AE45D4" w:rsidRPr="001F50BA">
        <w:rPr>
          <w:rFonts w:eastAsia="Times New Roman"/>
          <w:lang w:eastAsia="ar-SA"/>
        </w:rPr>
        <w:t xml:space="preserve">he </w:t>
      </w:r>
      <w:r w:rsidR="000F1816" w:rsidRPr="001F50BA">
        <w:rPr>
          <w:rFonts w:eastAsia="Times New Roman"/>
          <w:lang w:eastAsia="ar-SA"/>
        </w:rPr>
        <w:t xml:space="preserve">primary </w:t>
      </w:r>
      <w:r w:rsidR="00AE45D4" w:rsidRPr="001F50BA">
        <w:rPr>
          <w:rFonts w:eastAsia="Times New Roman"/>
          <w:lang w:eastAsia="ar-SA"/>
        </w:rPr>
        <w:t xml:space="preserve">outcome </w:t>
      </w:r>
      <w:r w:rsidR="000F1816" w:rsidRPr="001F50BA">
        <w:rPr>
          <w:rFonts w:eastAsia="Times New Roman"/>
          <w:lang w:eastAsia="ar-SA"/>
        </w:rPr>
        <w:t xml:space="preserve">for this study </w:t>
      </w:r>
      <w:r w:rsidR="00AE45D4" w:rsidRPr="001F50BA">
        <w:rPr>
          <w:rFonts w:eastAsia="Times New Roman"/>
          <w:lang w:eastAsia="ar-SA"/>
        </w:rPr>
        <w:t xml:space="preserve">was categorized </w:t>
      </w:r>
      <w:r w:rsidR="000F1816" w:rsidRPr="001F50BA">
        <w:rPr>
          <w:rFonts w:eastAsia="Times New Roman"/>
          <w:lang w:eastAsia="ar-SA"/>
        </w:rPr>
        <w:t>as:</w:t>
      </w:r>
      <w:r w:rsidR="00AE45D4" w:rsidRPr="001F50BA">
        <w:rPr>
          <w:rFonts w:eastAsia="Times New Roman"/>
          <w:lang w:eastAsia="ar-SA"/>
        </w:rPr>
        <w:t xml:space="preserve"> recurrent fallers (i.e. falls </w:t>
      </w:r>
      <w:r w:rsidR="00AE45D4" w:rsidRPr="001F50BA">
        <w:rPr>
          <w:rFonts w:eastAsia="Times New Roman"/>
          <w:u w:val="single"/>
          <w:lang w:eastAsia="ar-SA"/>
        </w:rPr>
        <w:t>&gt;</w:t>
      </w:r>
      <w:r w:rsidR="00AE45D4" w:rsidRPr="001F50BA">
        <w:rPr>
          <w:rFonts w:eastAsia="Times New Roman"/>
          <w:lang w:eastAsia="ar-SA"/>
        </w:rPr>
        <w:t xml:space="preserve"> 2 in the previous year) vs. no recurrent fallers (0-1 falls in the previous year). </w:t>
      </w:r>
    </w:p>
    <w:p w14:paraId="6BDF3421" w14:textId="77777777" w:rsidR="004C7D89" w:rsidRPr="001F50BA" w:rsidRDefault="004C7D89" w:rsidP="00E733DB">
      <w:pPr>
        <w:suppressAutoHyphens/>
        <w:spacing w:line="480" w:lineRule="auto"/>
        <w:jc w:val="both"/>
        <w:rPr>
          <w:rFonts w:eastAsia="Times New Roman"/>
          <w:lang w:eastAsia="ar-SA"/>
        </w:rPr>
      </w:pPr>
      <w:r w:rsidRPr="001F50BA">
        <w:rPr>
          <w:rFonts w:eastAsia="Times New Roman"/>
          <w:lang w:eastAsia="ar-SA"/>
        </w:rPr>
        <w:lastRenderedPageBreak/>
        <w:t xml:space="preserve">We considered as outcomes both long-term recurrent falls (i.e. any recurrence of falls during follow-up period) and short-term recurrence of falls (i.e. in the first year after the baseline evaluation). </w:t>
      </w:r>
    </w:p>
    <w:p w14:paraId="6CDFD151" w14:textId="77777777" w:rsidR="00AE45D4" w:rsidRPr="001F50BA" w:rsidRDefault="00AE45D4" w:rsidP="00C22A8C">
      <w:pPr>
        <w:suppressAutoHyphens/>
        <w:spacing w:line="480" w:lineRule="auto"/>
        <w:jc w:val="both"/>
        <w:rPr>
          <w:rFonts w:eastAsia="AdvOTa9103878"/>
          <w:b/>
          <w:i/>
          <w:lang w:eastAsia="ar-SA"/>
        </w:rPr>
      </w:pPr>
    </w:p>
    <w:p w14:paraId="616E1007" w14:textId="77777777" w:rsidR="0015558A" w:rsidRPr="001F50BA" w:rsidRDefault="0015558A" w:rsidP="0015558A">
      <w:pPr>
        <w:suppressAutoHyphens/>
        <w:spacing w:line="480" w:lineRule="auto"/>
        <w:rPr>
          <w:rFonts w:eastAsia="AdvOTa9103878"/>
          <w:b/>
          <w:i/>
          <w:lang w:eastAsia="ar-SA"/>
        </w:rPr>
      </w:pPr>
      <w:r w:rsidRPr="001F50BA">
        <w:rPr>
          <w:rFonts w:eastAsia="AdvOTa9103878"/>
          <w:b/>
          <w:i/>
          <w:lang w:eastAsia="ar-SA"/>
        </w:rPr>
        <w:t>Statistical analyses</w:t>
      </w:r>
    </w:p>
    <w:p w14:paraId="5669C345" w14:textId="77777777" w:rsidR="0015558A" w:rsidRPr="001F50BA" w:rsidRDefault="0015558A" w:rsidP="0015558A">
      <w:pPr>
        <w:spacing w:line="480" w:lineRule="auto"/>
        <w:jc w:val="both"/>
      </w:pPr>
      <w:r w:rsidRPr="001F50BA">
        <w:rPr>
          <w:rFonts w:eastAsia="AdvOTa9103878"/>
          <w:lang w:eastAsia="ar-SA"/>
        </w:rPr>
        <w:t>Data on continuous variables were normally distributed according to the Kolmogorov-Smirnov test. Data were presented as means and standard deviation values (SD) for quantitative measures</w:t>
      </w:r>
      <w:r w:rsidR="00F37248" w:rsidRPr="001F50BA">
        <w:rPr>
          <w:rFonts w:eastAsia="AdvOTa9103878"/>
          <w:lang w:eastAsia="ar-SA"/>
        </w:rPr>
        <w:t xml:space="preserve"> (if normally distributed) or as medians and interquartile ranges (if not normally distributed)</w:t>
      </w:r>
      <w:r w:rsidRPr="001F50BA">
        <w:rPr>
          <w:rFonts w:eastAsia="AdvOTa9103878"/>
          <w:lang w:eastAsia="ar-SA"/>
        </w:rPr>
        <w:t xml:space="preserve">, and percentages for all categorical variables by </w:t>
      </w:r>
      <w:r w:rsidR="00583C03" w:rsidRPr="001F50BA">
        <w:rPr>
          <w:rFonts w:eastAsia="AdvOTa9103878"/>
          <w:lang w:eastAsia="ar-SA"/>
        </w:rPr>
        <w:t>recurrence of falls during follow-up period (yes vs. no)</w:t>
      </w:r>
      <w:r w:rsidRPr="001F50BA">
        <w:rPr>
          <w:rFonts w:eastAsia="AdvOTa9103878"/>
          <w:lang w:eastAsia="ar-SA"/>
        </w:rPr>
        <w:t xml:space="preserve">. </w:t>
      </w:r>
      <w:r w:rsidR="00583C03" w:rsidRPr="001F50BA">
        <w:rPr>
          <w:rFonts w:eastAsia="AdvOTa9103878"/>
          <w:lang w:eastAsia="ar-SA"/>
        </w:rPr>
        <w:t>P</w:t>
      </w:r>
      <w:r w:rsidR="00583C03" w:rsidRPr="001F50BA">
        <w:rPr>
          <w:iCs/>
        </w:rPr>
        <w:t>-values were calculated with the Fisher’s Exact test for frequencies, Mann-Whitney test for medians and t-Test for means.</w:t>
      </w:r>
    </w:p>
    <w:p w14:paraId="32750908" w14:textId="77777777" w:rsidR="0015558A" w:rsidRPr="001F50BA" w:rsidRDefault="000D2AE5" w:rsidP="0015558A">
      <w:pPr>
        <w:spacing w:line="480" w:lineRule="auto"/>
        <w:jc w:val="both"/>
        <w:rPr>
          <w:rFonts w:eastAsia="AdvOTa9103878"/>
          <w:lang w:eastAsia="ar-SA"/>
        </w:rPr>
      </w:pPr>
      <w:r w:rsidRPr="001F50BA">
        <w:rPr>
          <w:rFonts w:eastAsia="AdvOTa9103878"/>
          <w:lang w:eastAsia="ar-SA"/>
        </w:rPr>
        <w:t xml:space="preserve">Logistic binary regression analysis was run, taking </w:t>
      </w:r>
      <w:r w:rsidR="004C26C3" w:rsidRPr="001F50BA">
        <w:rPr>
          <w:rFonts w:eastAsia="AdvOTa9103878"/>
          <w:lang w:eastAsia="ar-SA"/>
        </w:rPr>
        <w:t xml:space="preserve">the </w:t>
      </w:r>
      <w:r w:rsidRPr="001F50BA">
        <w:rPr>
          <w:rFonts w:eastAsia="AdvOTa9103878"/>
          <w:lang w:eastAsia="ar-SA"/>
        </w:rPr>
        <w:t xml:space="preserve">MPI at admission (in categories or as increase in </w:t>
      </w:r>
      <w:r w:rsidR="004C26C3" w:rsidRPr="001F50BA">
        <w:rPr>
          <w:rFonts w:eastAsia="AdvOTa9103878"/>
          <w:lang w:eastAsia="ar-SA"/>
        </w:rPr>
        <w:t>0.1</w:t>
      </w:r>
      <w:r w:rsidRPr="001F50BA">
        <w:rPr>
          <w:rFonts w:eastAsia="AdvOTa9103878"/>
          <w:lang w:eastAsia="ar-SA"/>
        </w:rPr>
        <w:t xml:space="preserve"> points) as </w:t>
      </w:r>
      <w:r w:rsidR="000F1816" w:rsidRPr="001F50BA">
        <w:rPr>
          <w:rFonts w:eastAsia="AdvOTa9103878"/>
          <w:lang w:eastAsia="ar-SA"/>
        </w:rPr>
        <w:t xml:space="preserve">the </w:t>
      </w:r>
      <w:r w:rsidRPr="001F50BA">
        <w:rPr>
          <w:rFonts w:eastAsia="AdvOTa9103878"/>
          <w:lang w:eastAsia="ar-SA"/>
        </w:rPr>
        <w:t>exposure</w:t>
      </w:r>
      <w:r w:rsidR="000F1816" w:rsidRPr="001F50BA">
        <w:rPr>
          <w:rFonts w:eastAsia="AdvOTa9103878"/>
          <w:lang w:eastAsia="ar-SA"/>
        </w:rPr>
        <w:t xml:space="preserve"> variable</w:t>
      </w:r>
      <w:r w:rsidRPr="001F50BA">
        <w:rPr>
          <w:rFonts w:eastAsia="AdvOTa9103878"/>
          <w:lang w:eastAsia="ar-SA"/>
        </w:rPr>
        <w:t xml:space="preserve"> and recurrence of falls (during follow-up and after one year) as</w:t>
      </w:r>
      <w:r w:rsidR="000F1816" w:rsidRPr="001F50BA">
        <w:rPr>
          <w:rFonts w:eastAsia="AdvOTa9103878"/>
          <w:lang w:eastAsia="ar-SA"/>
        </w:rPr>
        <w:t xml:space="preserve"> the</w:t>
      </w:r>
      <w:r w:rsidRPr="001F50BA">
        <w:rPr>
          <w:rFonts w:eastAsia="AdvOTa9103878"/>
          <w:lang w:eastAsia="ar-SA"/>
        </w:rPr>
        <w:t xml:space="preserve"> outcome</w:t>
      </w:r>
      <w:r w:rsidR="000F1816" w:rsidRPr="001F50BA">
        <w:rPr>
          <w:rFonts w:eastAsia="AdvOTa9103878"/>
          <w:lang w:eastAsia="ar-SA"/>
        </w:rPr>
        <w:t xml:space="preserve"> variable</w:t>
      </w:r>
      <w:r w:rsidRPr="001F50BA">
        <w:rPr>
          <w:rFonts w:eastAsia="AdvOTa9103878"/>
          <w:lang w:eastAsia="ar-SA"/>
        </w:rPr>
        <w:t>. The strength of the association between MPI at admission and the outcomes of interest were reported as odds ratios (ORs) with their 95 % confidence intervals (CIs). For all the outcomes, receiver operator characteristic (ROC) curves were analyzed to compare the sensitivity and specificity of MPI in predicting recurrence of falls, measuring the relative area under the curve (AUC), with the correspondent 95%CI.</w:t>
      </w:r>
    </w:p>
    <w:p w14:paraId="4EE83F03" w14:textId="77777777" w:rsidR="0082531A" w:rsidRPr="001F50BA" w:rsidRDefault="0015558A" w:rsidP="00A35C32">
      <w:pPr>
        <w:spacing w:line="480" w:lineRule="auto"/>
        <w:jc w:val="both"/>
        <w:rPr>
          <w:rFonts w:cs="Times New Roman"/>
          <w:b/>
        </w:rPr>
      </w:pPr>
      <w:r w:rsidRPr="001F50BA">
        <w:rPr>
          <w:rFonts w:eastAsia="Times New Roman"/>
          <w:lang w:eastAsia="ar-SA"/>
        </w:rPr>
        <w:t xml:space="preserve">A p&lt;0.05 was deemed statistically significant.  </w:t>
      </w:r>
      <w:r w:rsidR="00651BA2" w:rsidRPr="001F50BA">
        <w:rPr>
          <w:rFonts w:eastAsia="Times New Roman"/>
          <w:lang w:eastAsia="ar-SA"/>
        </w:rPr>
        <w:t>A</w:t>
      </w:r>
      <w:r w:rsidRPr="001F50BA">
        <w:rPr>
          <w:rFonts w:eastAsia="Times New Roman"/>
          <w:lang w:eastAsia="ar-SA"/>
        </w:rPr>
        <w:t>nalyses were performed using STATA</w:t>
      </w:r>
      <w:r w:rsidRPr="001F50BA">
        <w:rPr>
          <w:rFonts w:eastAsia="Times New Roman"/>
          <w:vertAlign w:val="superscript"/>
          <w:lang w:eastAsia="ar-SA"/>
        </w:rPr>
        <w:t>®</w:t>
      </w:r>
      <w:r w:rsidRPr="001F50BA">
        <w:rPr>
          <w:rFonts w:eastAsia="Times New Roman"/>
          <w:lang w:eastAsia="ar-SA"/>
        </w:rPr>
        <w:t xml:space="preserve"> software </w:t>
      </w:r>
      <w:r w:rsidRPr="001F50BA">
        <w:rPr>
          <w:rFonts w:cs="Times New Roman"/>
        </w:rPr>
        <w:t>version 14.1 (Stata Corp LP, College station, Texas).</w:t>
      </w:r>
      <w:r w:rsidR="0082531A" w:rsidRPr="001F50BA">
        <w:rPr>
          <w:rFonts w:cs="Times New Roman"/>
          <w:b/>
        </w:rPr>
        <w:br w:type="page"/>
      </w:r>
    </w:p>
    <w:p w14:paraId="3EC63E64" w14:textId="77777777" w:rsidR="005C0D61" w:rsidRPr="001F50BA" w:rsidRDefault="005C0D61" w:rsidP="00BB754D">
      <w:pPr>
        <w:spacing w:line="480" w:lineRule="auto"/>
        <w:rPr>
          <w:rFonts w:cs="Times New Roman"/>
          <w:b/>
        </w:rPr>
      </w:pPr>
      <w:r w:rsidRPr="001F50BA">
        <w:rPr>
          <w:rFonts w:cs="Times New Roman"/>
          <w:b/>
        </w:rPr>
        <w:lastRenderedPageBreak/>
        <w:t>RESULTS</w:t>
      </w:r>
    </w:p>
    <w:p w14:paraId="5654562C" w14:textId="77777777" w:rsidR="0009117C" w:rsidRPr="001F50BA" w:rsidRDefault="0009117C" w:rsidP="005C0D61">
      <w:pPr>
        <w:suppressAutoHyphens/>
        <w:spacing w:line="480" w:lineRule="auto"/>
        <w:jc w:val="both"/>
        <w:rPr>
          <w:rFonts w:cs="Calibri"/>
          <w:b/>
          <w:i/>
          <w:iCs/>
          <w:kern w:val="1"/>
          <w:lang w:eastAsia="ar-SA"/>
        </w:rPr>
      </w:pPr>
    </w:p>
    <w:p w14:paraId="7C7AB9A3" w14:textId="77777777" w:rsidR="005C0D61" w:rsidRPr="001F50BA" w:rsidRDefault="005C0D61" w:rsidP="005C0D61">
      <w:pPr>
        <w:suppressAutoHyphens/>
        <w:spacing w:line="480" w:lineRule="auto"/>
        <w:jc w:val="both"/>
        <w:rPr>
          <w:rFonts w:cs="Calibri"/>
          <w:b/>
          <w:i/>
          <w:iCs/>
          <w:kern w:val="1"/>
          <w:lang w:eastAsia="ar-SA"/>
        </w:rPr>
      </w:pPr>
      <w:r w:rsidRPr="001F50BA">
        <w:rPr>
          <w:rFonts w:cs="Calibri"/>
          <w:b/>
          <w:i/>
          <w:iCs/>
          <w:kern w:val="1"/>
          <w:lang w:eastAsia="ar-SA"/>
        </w:rPr>
        <w:t>Sample selection</w:t>
      </w:r>
    </w:p>
    <w:p w14:paraId="0B309263" w14:textId="77777777" w:rsidR="005C0D61" w:rsidRPr="001F50BA" w:rsidRDefault="005C0D61" w:rsidP="005C0D61">
      <w:pPr>
        <w:suppressAutoHyphens/>
        <w:spacing w:line="480" w:lineRule="auto"/>
        <w:jc w:val="both"/>
        <w:rPr>
          <w:rFonts w:cs="Calibri"/>
          <w:iCs/>
          <w:kern w:val="1"/>
          <w:lang w:eastAsia="ar-SA"/>
        </w:rPr>
      </w:pPr>
      <w:r w:rsidRPr="001F50BA">
        <w:rPr>
          <w:rFonts w:cs="Calibri"/>
          <w:iCs/>
          <w:kern w:val="1"/>
          <w:lang w:eastAsia="ar-SA"/>
        </w:rPr>
        <w:t xml:space="preserve">The OAI dataset initially included a total of 4,796 individuals. At the baseline, </w:t>
      </w:r>
      <w:r w:rsidR="009B18F6" w:rsidRPr="001F50BA">
        <w:rPr>
          <w:rFonts w:cs="Calibri"/>
          <w:iCs/>
          <w:kern w:val="1"/>
          <w:lang w:eastAsia="ar-SA"/>
        </w:rPr>
        <w:t>2974</w:t>
      </w:r>
      <w:r w:rsidR="001664C5" w:rsidRPr="001F50BA">
        <w:rPr>
          <w:rFonts w:cs="Calibri"/>
          <w:iCs/>
          <w:kern w:val="1"/>
          <w:lang w:eastAsia="ar-SA"/>
        </w:rPr>
        <w:t xml:space="preserve"> individuals were excluded </w:t>
      </w:r>
      <w:r w:rsidR="009B18F6" w:rsidRPr="001F50BA">
        <w:rPr>
          <w:rFonts w:cs="Calibri"/>
          <w:iCs/>
          <w:kern w:val="1"/>
          <w:lang w:eastAsia="ar-SA"/>
        </w:rPr>
        <w:t xml:space="preserve">because they were not defined </w:t>
      </w:r>
      <w:r w:rsidR="00D729FC" w:rsidRPr="001F50BA">
        <w:rPr>
          <w:rFonts w:cs="Calibri"/>
          <w:iCs/>
          <w:kern w:val="1"/>
          <w:lang w:eastAsia="ar-SA"/>
        </w:rPr>
        <w:t xml:space="preserve">as </w:t>
      </w:r>
      <w:r w:rsidR="008B520C" w:rsidRPr="001F50BA">
        <w:rPr>
          <w:rFonts w:cs="Calibri"/>
          <w:iCs/>
          <w:kern w:val="1"/>
          <w:lang w:eastAsia="ar-SA"/>
        </w:rPr>
        <w:t>older</w:t>
      </w:r>
      <w:r w:rsidR="009B18F6" w:rsidRPr="001F50BA">
        <w:rPr>
          <w:rFonts w:cs="Calibri"/>
          <w:iCs/>
          <w:kern w:val="1"/>
          <w:lang w:eastAsia="ar-SA"/>
        </w:rPr>
        <w:t xml:space="preserve"> people (</w:t>
      </w:r>
      <w:r w:rsidR="00D729FC" w:rsidRPr="001F50BA">
        <w:rPr>
          <w:rFonts w:cs="Calibri"/>
          <w:iCs/>
          <w:kern w:val="1"/>
          <w:lang w:eastAsia="ar-SA"/>
        </w:rPr>
        <w:t>i.e. they were younger than 65 years</w:t>
      </w:r>
      <w:r w:rsidR="009B18F6" w:rsidRPr="001F50BA">
        <w:rPr>
          <w:rFonts w:cs="Calibri"/>
          <w:iCs/>
          <w:kern w:val="1"/>
          <w:lang w:eastAsia="ar-SA"/>
        </w:rPr>
        <w:t xml:space="preserve">), 279 since they were not White or Caucasian </w:t>
      </w:r>
      <w:r w:rsidR="008B520C" w:rsidRPr="001F50BA">
        <w:rPr>
          <w:rFonts w:cs="Calibri"/>
          <w:iCs/>
          <w:kern w:val="1"/>
          <w:lang w:eastAsia="ar-SA"/>
        </w:rPr>
        <w:t>(race</w:t>
      </w:r>
      <w:r w:rsidR="009B18F6" w:rsidRPr="001F50BA">
        <w:rPr>
          <w:rFonts w:cs="Calibri"/>
          <w:iCs/>
          <w:kern w:val="1"/>
          <w:lang w:eastAsia="ar-SA"/>
        </w:rPr>
        <w:t xml:space="preserve"> could be a possible confounder that we could not take into account for a lower number of individuals of other races</w:t>
      </w:r>
      <w:r w:rsidR="008B520C" w:rsidRPr="001F50BA">
        <w:rPr>
          <w:rFonts w:cs="Calibri"/>
          <w:iCs/>
          <w:kern w:val="1"/>
          <w:lang w:eastAsia="ar-SA"/>
        </w:rPr>
        <w:t xml:space="preserve">) and </w:t>
      </w:r>
      <w:r w:rsidR="009B18F6" w:rsidRPr="001F50BA">
        <w:rPr>
          <w:rFonts w:cs="Calibri"/>
          <w:iCs/>
          <w:kern w:val="1"/>
          <w:lang w:eastAsia="ar-SA"/>
        </w:rPr>
        <w:t xml:space="preserve">507 people with previous falls at baseline. Moreover, 151 subjects were excluded because </w:t>
      </w:r>
      <w:r w:rsidR="00D729FC" w:rsidRPr="001F50BA">
        <w:rPr>
          <w:rFonts w:cs="Calibri"/>
          <w:iCs/>
          <w:kern w:val="1"/>
          <w:lang w:eastAsia="ar-SA"/>
        </w:rPr>
        <w:t xml:space="preserve">they had </w:t>
      </w:r>
      <w:r w:rsidR="009B18F6" w:rsidRPr="001F50BA">
        <w:rPr>
          <w:rFonts w:cs="Calibri"/>
          <w:iCs/>
          <w:kern w:val="1"/>
          <w:lang w:eastAsia="ar-SA"/>
        </w:rPr>
        <w:t>missing</w:t>
      </w:r>
      <w:r w:rsidR="00D729FC" w:rsidRPr="001F50BA">
        <w:rPr>
          <w:rFonts w:cs="Calibri"/>
          <w:iCs/>
          <w:kern w:val="1"/>
          <w:lang w:eastAsia="ar-SA"/>
        </w:rPr>
        <w:t xml:space="preserve"> data for</w:t>
      </w:r>
      <w:r w:rsidR="009B18F6" w:rsidRPr="001F50BA">
        <w:rPr>
          <w:rFonts w:cs="Calibri"/>
          <w:iCs/>
          <w:kern w:val="1"/>
          <w:lang w:eastAsia="ar-SA"/>
        </w:rPr>
        <w:t xml:space="preserve"> one or more domains of interest in the creation of </w:t>
      </w:r>
      <w:r w:rsidR="008B520C" w:rsidRPr="001F50BA">
        <w:rPr>
          <w:rFonts w:cs="Calibri"/>
          <w:iCs/>
          <w:kern w:val="1"/>
          <w:lang w:eastAsia="ar-SA"/>
        </w:rPr>
        <w:t>the MPI</w:t>
      </w:r>
      <w:r w:rsidR="009B18F6" w:rsidRPr="001F50BA">
        <w:rPr>
          <w:rFonts w:cs="Calibri"/>
          <w:iCs/>
          <w:kern w:val="1"/>
          <w:lang w:eastAsia="ar-SA"/>
        </w:rPr>
        <w:t xml:space="preserve">.  </w:t>
      </w:r>
      <w:r w:rsidR="00406CCA" w:rsidRPr="001F50BA">
        <w:rPr>
          <w:rFonts w:cs="Calibri"/>
          <w:iCs/>
          <w:kern w:val="1"/>
          <w:lang w:eastAsia="ar-SA"/>
        </w:rPr>
        <w:t>Finally</w:t>
      </w:r>
      <w:r w:rsidR="001664C5" w:rsidRPr="001F50BA">
        <w:rPr>
          <w:rFonts w:cs="Calibri"/>
          <w:iCs/>
          <w:kern w:val="1"/>
          <w:lang w:eastAsia="ar-SA"/>
        </w:rPr>
        <w:t xml:space="preserve">, </w:t>
      </w:r>
      <w:r w:rsidR="00406CCA" w:rsidRPr="001F50BA">
        <w:rPr>
          <w:rFonts w:cs="Calibri"/>
          <w:iCs/>
          <w:kern w:val="1"/>
          <w:lang w:eastAsia="ar-SA"/>
        </w:rPr>
        <w:t>885</w:t>
      </w:r>
      <w:r w:rsidR="001664C5" w:rsidRPr="001F50BA">
        <w:rPr>
          <w:rFonts w:cs="Calibri"/>
          <w:iCs/>
          <w:kern w:val="1"/>
          <w:lang w:eastAsia="ar-SA"/>
        </w:rPr>
        <w:t xml:space="preserve"> people were included in </w:t>
      </w:r>
      <w:r w:rsidR="00406CCA" w:rsidRPr="001F50BA">
        <w:rPr>
          <w:rFonts w:cs="Calibri"/>
          <w:iCs/>
          <w:kern w:val="1"/>
          <w:lang w:eastAsia="ar-SA"/>
        </w:rPr>
        <w:t>this analysis</w:t>
      </w:r>
      <w:r w:rsidR="001664C5" w:rsidRPr="001F50BA">
        <w:rPr>
          <w:rFonts w:cs="Calibri"/>
          <w:iCs/>
          <w:kern w:val="1"/>
          <w:lang w:eastAsia="ar-SA"/>
        </w:rPr>
        <w:t xml:space="preserve">. </w:t>
      </w:r>
    </w:p>
    <w:p w14:paraId="616C904B" w14:textId="77777777" w:rsidR="005C0D61" w:rsidRPr="001F50BA" w:rsidRDefault="005C0D61" w:rsidP="005C0D61">
      <w:pPr>
        <w:suppressAutoHyphens/>
        <w:spacing w:line="480" w:lineRule="auto"/>
        <w:rPr>
          <w:rFonts w:cs="Calibri"/>
          <w:b/>
          <w:i/>
          <w:iCs/>
          <w:kern w:val="1"/>
          <w:lang w:eastAsia="ar-SA"/>
        </w:rPr>
      </w:pPr>
    </w:p>
    <w:p w14:paraId="1CE86D28" w14:textId="77777777" w:rsidR="005C0D61" w:rsidRPr="001F50BA" w:rsidRDefault="00E51203" w:rsidP="005C0D61">
      <w:pPr>
        <w:suppressAutoHyphens/>
        <w:spacing w:line="480" w:lineRule="auto"/>
        <w:jc w:val="both"/>
        <w:rPr>
          <w:rFonts w:cs="Calibri"/>
          <w:b/>
          <w:i/>
          <w:iCs/>
          <w:kern w:val="1"/>
          <w:lang w:eastAsia="ar-SA"/>
        </w:rPr>
      </w:pPr>
      <w:r w:rsidRPr="001F50BA">
        <w:rPr>
          <w:rFonts w:cs="Calibri"/>
          <w:b/>
          <w:i/>
          <w:iCs/>
          <w:kern w:val="1"/>
          <w:lang w:eastAsia="ar-SA"/>
        </w:rPr>
        <w:t>Baseline</w:t>
      </w:r>
      <w:r w:rsidR="005C0D61" w:rsidRPr="001F50BA">
        <w:rPr>
          <w:rFonts w:cs="Calibri"/>
          <w:b/>
          <w:i/>
          <w:iCs/>
          <w:kern w:val="1"/>
          <w:lang w:eastAsia="ar-SA"/>
        </w:rPr>
        <w:t xml:space="preserve"> characteristics </w:t>
      </w:r>
    </w:p>
    <w:p w14:paraId="1BB05E31" w14:textId="77777777" w:rsidR="005C0D61" w:rsidRPr="001F50BA" w:rsidRDefault="005C0D61" w:rsidP="005C0D61">
      <w:pPr>
        <w:suppressAutoHyphens/>
        <w:spacing w:line="480" w:lineRule="auto"/>
        <w:jc w:val="both"/>
        <w:rPr>
          <w:rFonts w:cs="Calibri"/>
          <w:iCs/>
          <w:kern w:val="1"/>
          <w:lang w:eastAsia="ar-SA"/>
        </w:rPr>
      </w:pPr>
      <w:r w:rsidRPr="001F50BA">
        <w:rPr>
          <w:rFonts w:cs="Calibri"/>
          <w:iCs/>
          <w:kern w:val="1"/>
          <w:lang w:eastAsia="ar-SA"/>
        </w:rPr>
        <w:t xml:space="preserve">The cohort </w:t>
      </w:r>
      <w:r w:rsidR="007609D7" w:rsidRPr="001F50BA">
        <w:rPr>
          <w:rFonts w:cs="Calibri"/>
          <w:iCs/>
          <w:kern w:val="1"/>
          <w:lang w:eastAsia="ar-SA"/>
        </w:rPr>
        <w:t>included</w:t>
      </w:r>
      <w:r w:rsidRPr="001F50BA">
        <w:rPr>
          <w:rFonts w:cs="Calibri"/>
          <w:iCs/>
          <w:kern w:val="1"/>
          <w:lang w:eastAsia="ar-SA"/>
        </w:rPr>
        <w:t xml:space="preserve"> </w:t>
      </w:r>
      <w:r w:rsidR="00406CCA" w:rsidRPr="001F50BA">
        <w:rPr>
          <w:rFonts w:cs="Calibri"/>
          <w:iCs/>
          <w:kern w:val="1"/>
          <w:lang w:eastAsia="ar-SA"/>
        </w:rPr>
        <w:t xml:space="preserve">483 </w:t>
      </w:r>
      <w:r w:rsidR="002752B1" w:rsidRPr="001F50BA">
        <w:rPr>
          <w:rFonts w:cs="Calibri"/>
          <w:iCs/>
          <w:kern w:val="1"/>
          <w:lang w:eastAsia="ar-SA"/>
        </w:rPr>
        <w:t>women</w:t>
      </w:r>
      <w:r w:rsidRPr="001F50BA">
        <w:rPr>
          <w:rFonts w:cs="Calibri"/>
          <w:iCs/>
          <w:kern w:val="1"/>
          <w:lang w:eastAsia="ar-SA"/>
        </w:rPr>
        <w:t xml:space="preserve"> (</w:t>
      </w:r>
      <w:r w:rsidR="002752B1" w:rsidRPr="001F50BA">
        <w:rPr>
          <w:rFonts w:cs="Calibri"/>
          <w:iCs/>
          <w:kern w:val="1"/>
          <w:lang w:eastAsia="ar-SA"/>
        </w:rPr>
        <w:t>5</w:t>
      </w:r>
      <w:r w:rsidR="00406CCA" w:rsidRPr="001F50BA">
        <w:rPr>
          <w:rFonts w:cs="Calibri"/>
          <w:iCs/>
          <w:kern w:val="1"/>
          <w:lang w:eastAsia="ar-SA"/>
        </w:rPr>
        <w:t>4</w:t>
      </w:r>
      <w:r w:rsidR="002752B1" w:rsidRPr="001F50BA">
        <w:rPr>
          <w:rFonts w:cs="Calibri"/>
          <w:iCs/>
          <w:kern w:val="1"/>
          <w:lang w:eastAsia="ar-SA"/>
        </w:rPr>
        <w:t>.6</w:t>
      </w:r>
      <w:r w:rsidRPr="001F50BA">
        <w:rPr>
          <w:rFonts w:cs="Calibri"/>
          <w:iCs/>
          <w:kern w:val="1"/>
          <w:lang w:eastAsia="ar-SA"/>
        </w:rPr>
        <w:t>%)</w:t>
      </w:r>
      <w:r w:rsidR="00406CCA" w:rsidRPr="001F50BA">
        <w:rPr>
          <w:rFonts w:cs="Calibri"/>
          <w:iCs/>
          <w:kern w:val="1"/>
          <w:lang w:eastAsia="ar-SA"/>
        </w:rPr>
        <w:t>, with a mean age of 71.3</w:t>
      </w:r>
      <w:r w:rsidR="00D729FC" w:rsidRPr="001F50BA">
        <w:rPr>
          <w:rFonts w:cs="Calibri"/>
          <w:iCs/>
          <w:kern w:val="1"/>
          <w:lang w:eastAsia="ar-SA"/>
        </w:rPr>
        <w:t xml:space="preserve"> years</w:t>
      </w:r>
      <w:r w:rsidRPr="001F50BA">
        <w:rPr>
          <w:rFonts w:cs="Calibri"/>
          <w:iCs/>
          <w:kern w:val="1"/>
          <w:lang w:eastAsia="ar-SA"/>
        </w:rPr>
        <w:t xml:space="preserve"> (±</w:t>
      </w:r>
      <w:r w:rsidR="00406CCA" w:rsidRPr="001F50BA">
        <w:rPr>
          <w:rFonts w:cs="Calibri"/>
          <w:iCs/>
          <w:kern w:val="1"/>
          <w:lang w:eastAsia="ar-SA"/>
        </w:rPr>
        <w:t>4.0</w:t>
      </w:r>
      <w:r w:rsidRPr="001F50BA">
        <w:rPr>
          <w:rFonts w:cs="Calibri"/>
          <w:iCs/>
          <w:kern w:val="1"/>
          <w:lang w:eastAsia="ar-SA"/>
        </w:rPr>
        <w:t xml:space="preserve"> years; range: </w:t>
      </w:r>
      <w:r w:rsidR="00406CCA" w:rsidRPr="001F50BA">
        <w:rPr>
          <w:rFonts w:cs="Calibri"/>
          <w:iCs/>
          <w:kern w:val="1"/>
          <w:lang w:eastAsia="ar-SA"/>
        </w:rPr>
        <w:t>60</w:t>
      </w:r>
      <w:r w:rsidRPr="001F50BA">
        <w:rPr>
          <w:rFonts w:cs="Calibri"/>
          <w:iCs/>
          <w:kern w:val="1"/>
          <w:lang w:eastAsia="ar-SA"/>
        </w:rPr>
        <w:t>-79 years).</w:t>
      </w:r>
      <w:r w:rsidR="008401DD" w:rsidRPr="001F50BA">
        <w:rPr>
          <w:rFonts w:cs="Calibri"/>
          <w:iCs/>
          <w:kern w:val="1"/>
          <w:lang w:eastAsia="ar-SA"/>
        </w:rPr>
        <w:t xml:space="preserve"> </w:t>
      </w:r>
      <w:r w:rsidR="002752B1" w:rsidRPr="001F50BA">
        <w:rPr>
          <w:rFonts w:cs="Calibri"/>
          <w:iCs/>
          <w:kern w:val="1"/>
          <w:lang w:eastAsia="ar-SA"/>
        </w:rPr>
        <w:t xml:space="preserve">The mean </w:t>
      </w:r>
      <w:r w:rsidR="00406CCA" w:rsidRPr="001F50BA">
        <w:rPr>
          <w:rFonts w:cs="Calibri"/>
          <w:iCs/>
          <w:kern w:val="1"/>
          <w:lang w:eastAsia="ar-SA"/>
        </w:rPr>
        <w:t xml:space="preserve">MPI at baseline was </w:t>
      </w:r>
      <w:r w:rsidR="00113965" w:rsidRPr="001F50BA">
        <w:rPr>
          <w:rFonts w:cs="Calibri"/>
          <w:iCs/>
          <w:kern w:val="1"/>
          <w:lang w:eastAsia="ar-SA"/>
        </w:rPr>
        <w:t>0.</w:t>
      </w:r>
      <w:r w:rsidR="00534E09" w:rsidRPr="001F50BA">
        <w:rPr>
          <w:rFonts w:cs="Calibri"/>
          <w:iCs/>
          <w:kern w:val="1"/>
          <w:lang w:eastAsia="ar-SA"/>
        </w:rPr>
        <w:t>40</w:t>
      </w:r>
      <w:r w:rsidR="00406CCA" w:rsidRPr="001F50BA">
        <w:rPr>
          <w:rFonts w:cs="Calibri"/>
          <w:iCs/>
          <w:kern w:val="1"/>
          <w:lang w:eastAsia="ar-SA"/>
        </w:rPr>
        <w:t>±</w:t>
      </w:r>
      <w:r w:rsidR="00113965" w:rsidRPr="001F50BA">
        <w:rPr>
          <w:rFonts w:cs="Calibri"/>
          <w:iCs/>
          <w:kern w:val="1"/>
          <w:lang w:eastAsia="ar-SA"/>
        </w:rPr>
        <w:t>0.</w:t>
      </w:r>
      <w:r w:rsidR="00534E09" w:rsidRPr="001F50BA">
        <w:rPr>
          <w:rFonts w:cs="Calibri"/>
          <w:iCs/>
          <w:kern w:val="1"/>
          <w:lang w:eastAsia="ar-SA"/>
        </w:rPr>
        <w:t>16</w:t>
      </w:r>
      <w:r w:rsidR="00406CCA" w:rsidRPr="001F50BA">
        <w:rPr>
          <w:rFonts w:cs="Calibri"/>
          <w:iCs/>
          <w:kern w:val="1"/>
          <w:lang w:eastAsia="ar-SA"/>
        </w:rPr>
        <w:t xml:space="preserve"> (range:</w:t>
      </w:r>
      <w:r w:rsidR="00534E09" w:rsidRPr="001F50BA">
        <w:rPr>
          <w:rFonts w:cs="Calibri"/>
          <w:iCs/>
          <w:kern w:val="1"/>
          <w:lang w:eastAsia="ar-SA"/>
        </w:rPr>
        <w:t xml:space="preserve"> 0.0 – 1.0</w:t>
      </w:r>
      <w:r w:rsidR="00406CCA" w:rsidRPr="001F50BA">
        <w:rPr>
          <w:rFonts w:cs="Calibri"/>
          <w:iCs/>
          <w:kern w:val="1"/>
          <w:lang w:eastAsia="ar-SA"/>
        </w:rPr>
        <w:t>)</w:t>
      </w:r>
      <w:r w:rsidR="00C32235" w:rsidRPr="001F50BA">
        <w:rPr>
          <w:rFonts w:cs="Calibri"/>
          <w:iCs/>
          <w:kern w:val="1"/>
          <w:lang w:eastAsia="ar-SA"/>
        </w:rPr>
        <w:t xml:space="preserve">. </w:t>
      </w:r>
    </w:p>
    <w:p w14:paraId="581A3C4A" w14:textId="77777777" w:rsidR="005C0D61" w:rsidRPr="001F50BA" w:rsidRDefault="005C0D61" w:rsidP="005C0D61">
      <w:pPr>
        <w:suppressAutoHyphens/>
        <w:spacing w:line="480" w:lineRule="auto"/>
        <w:jc w:val="both"/>
        <w:rPr>
          <w:rFonts w:cs="Calibri"/>
          <w:b/>
          <w:iCs/>
          <w:kern w:val="1"/>
          <w:lang w:eastAsia="ar-SA"/>
        </w:rPr>
      </w:pPr>
    </w:p>
    <w:p w14:paraId="0187CF75" w14:textId="5C004F13" w:rsidR="00267227" w:rsidRPr="001F50BA" w:rsidRDefault="005C0D61" w:rsidP="005C0D61">
      <w:pPr>
        <w:suppressAutoHyphens/>
        <w:spacing w:line="480" w:lineRule="auto"/>
        <w:jc w:val="both"/>
        <w:rPr>
          <w:rFonts w:cs="Calibri"/>
          <w:iCs/>
          <w:kern w:val="1"/>
          <w:lang w:eastAsia="ar-SA"/>
        </w:rPr>
      </w:pPr>
      <w:r w:rsidRPr="001F50BA">
        <w:rPr>
          <w:rFonts w:cs="Calibri"/>
          <w:b/>
          <w:iCs/>
          <w:kern w:val="1"/>
          <w:lang w:eastAsia="ar-SA"/>
        </w:rPr>
        <w:t xml:space="preserve">Table </w:t>
      </w:r>
      <w:r w:rsidR="006A637C" w:rsidRPr="001F50BA">
        <w:rPr>
          <w:rFonts w:cs="Calibri"/>
          <w:b/>
          <w:iCs/>
          <w:kern w:val="1"/>
          <w:lang w:eastAsia="ar-SA"/>
        </w:rPr>
        <w:t>2</w:t>
      </w:r>
      <w:r w:rsidRPr="001F50BA">
        <w:rPr>
          <w:rFonts w:cs="Calibri"/>
          <w:b/>
          <w:iCs/>
          <w:kern w:val="1"/>
          <w:lang w:eastAsia="ar-SA"/>
        </w:rPr>
        <w:t xml:space="preserve"> </w:t>
      </w:r>
      <w:r w:rsidRPr="001F50BA">
        <w:rPr>
          <w:rFonts w:cs="Calibri"/>
          <w:iCs/>
          <w:kern w:val="1"/>
          <w:lang w:eastAsia="ar-SA"/>
        </w:rPr>
        <w:t>illustrates the baseline</w:t>
      </w:r>
      <w:r w:rsidR="00537FF5" w:rsidRPr="001F50BA">
        <w:rPr>
          <w:rFonts w:cs="Calibri"/>
          <w:iCs/>
          <w:kern w:val="1"/>
          <w:lang w:eastAsia="ar-SA"/>
        </w:rPr>
        <w:t xml:space="preserve"> characteristics</w:t>
      </w:r>
      <w:r w:rsidRPr="001F50BA">
        <w:rPr>
          <w:rFonts w:cs="Calibri"/>
          <w:iCs/>
          <w:kern w:val="1"/>
          <w:lang w:eastAsia="ar-SA"/>
        </w:rPr>
        <w:t xml:space="preserve"> </w:t>
      </w:r>
      <w:r w:rsidR="00537FF5" w:rsidRPr="001F50BA">
        <w:rPr>
          <w:rFonts w:cs="Calibri"/>
          <w:iCs/>
          <w:kern w:val="1"/>
          <w:lang w:eastAsia="ar-SA"/>
        </w:rPr>
        <w:t xml:space="preserve">by </w:t>
      </w:r>
      <w:r w:rsidR="00C83CEF" w:rsidRPr="001F50BA">
        <w:rPr>
          <w:rFonts w:cs="Calibri"/>
          <w:iCs/>
          <w:kern w:val="1"/>
          <w:lang w:eastAsia="ar-SA"/>
        </w:rPr>
        <w:t xml:space="preserve">recurrence of falls during follow-up and in the </w:t>
      </w:r>
      <w:proofErr w:type="gramStart"/>
      <w:r w:rsidR="00C83CEF" w:rsidRPr="001F50BA">
        <w:rPr>
          <w:rFonts w:cs="Calibri"/>
          <w:iCs/>
          <w:kern w:val="1"/>
          <w:lang w:eastAsia="ar-SA"/>
        </w:rPr>
        <w:t>sample as</w:t>
      </w:r>
      <w:r w:rsidR="00D729FC" w:rsidRPr="001F50BA">
        <w:rPr>
          <w:rFonts w:cs="Calibri"/>
          <w:iCs/>
          <w:kern w:val="1"/>
          <w:lang w:eastAsia="ar-SA"/>
        </w:rPr>
        <w:t xml:space="preserve"> a</w:t>
      </w:r>
      <w:r w:rsidR="00C83CEF" w:rsidRPr="001F50BA">
        <w:rPr>
          <w:rFonts w:cs="Calibri"/>
          <w:iCs/>
          <w:kern w:val="1"/>
          <w:lang w:eastAsia="ar-SA"/>
        </w:rPr>
        <w:t xml:space="preserve"> whole</w:t>
      </w:r>
      <w:proofErr w:type="gramEnd"/>
      <w:r w:rsidR="00745396" w:rsidRPr="001F50BA">
        <w:rPr>
          <w:rFonts w:cs="Calibri"/>
          <w:iCs/>
          <w:kern w:val="1"/>
          <w:lang w:eastAsia="ar-SA"/>
        </w:rPr>
        <w:t xml:space="preserve">. </w:t>
      </w:r>
      <w:r w:rsidR="00C83CEF" w:rsidRPr="001F50BA">
        <w:rPr>
          <w:rFonts w:cs="Calibri"/>
          <w:iCs/>
          <w:kern w:val="1"/>
          <w:lang w:eastAsia="ar-SA"/>
        </w:rPr>
        <w:t xml:space="preserve">During the 8 years of follow-up, 223 participants (=25.2% of the baseline population) </w:t>
      </w:r>
      <w:r w:rsidR="00113965" w:rsidRPr="001F50BA">
        <w:rPr>
          <w:rFonts w:cs="Calibri"/>
          <w:iCs/>
          <w:kern w:val="1"/>
          <w:lang w:eastAsia="ar-SA"/>
        </w:rPr>
        <w:t xml:space="preserve">were classified as recurrent </w:t>
      </w:r>
      <w:r w:rsidR="00C83CEF" w:rsidRPr="001F50BA">
        <w:rPr>
          <w:rFonts w:cs="Calibri"/>
          <w:iCs/>
          <w:kern w:val="1"/>
          <w:lang w:eastAsia="ar-SA"/>
        </w:rPr>
        <w:t>f</w:t>
      </w:r>
      <w:r w:rsidR="00113965" w:rsidRPr="001F50BA">
        <w:rPr>
          <w:rFonts w:cs="Calibri"/>
          <w:iCs/>
          <w:kern w:val="1"/>
          <w:lang w:eastAsia="ar-SA"/>
        </w:rPr>
        <w:t>allers</w:t>
      </w:r>
      <w:r w:rsidR="00C83CEF" w:rsidRPr="001F50BA">
        <w:rPr>
          <w:rFonts w:cs="Calibri"/>
          <w:iCs/>
          <w:kern w:val="1"/>
          <w:lang w:eastAsia="ar-SA"/>
        </w:rPr>
        <w:t xml:space="preserve">. As shown in </w:t>
      </w:r>
      <w:r w:rsidR="00C83CEF" w:rsidRPr="001F50BA">
        <w:rPr>
          <w:rFonts w:cs="Calibri"/>
          <w:b/>
          <w:bCs/>
          <w:iCs/>
          <w:kern w:val="1"/>
          <w:lang w:eastAsia="ar-SA"/>
        </w:rPr>
        <w:t xml:space="preserve">Table </w:t>
      </w:r>
      <w:r w:rsidR="006A637C" w:rsidRPr="001F50BA">
        <w:rPr>
          <w:rFonts w:cs="Calibri"/>
          <w:b/>
          <w:bCs/>
          <w:iCs/>
          <w:kern w:val="1"/>
          <w:lang w:eastAsia="ar-SA"/>
        </w:rPr>
        <w:t>2</w:t>
      </w:r>
      <w:r w:rsidR="00C83CEF" w:rsidRPr="001F50BA">
        <w:rPr>
          <w:rFonts w:cs="Calibri"/>
          <w:iCs/>
          <w:kern w:val="1"/>
          <w:lang w:eastAsia="ar-SA"/>
        </w:rPr>
        <w:t>, no significant differences between recurrent fall</w:t>
      </w:r>
      <w:r w:rsidR="00113965" w:rsidRPr="001F50BA">
        <w:rPr>
          <w:rFonts w:cs="Calibri"/>
          <w:iCs/>
          <w:kern w:val="1"/>
          <w:lang w:eastAsia="ar-SA"/>
        </w:rPr>
        <w:t>er</w:t>
      </w:r>
      <w:r w:rsidR="00C83CEF" w:rsidRPr="001F50BA">
        <w:rPr>
          <w:rFonts w:cs="Calibri"/>
          <w:iCs/>
          <w:kern w:val="1"/>
          <w:lang w:eastAsia="ar-SA"/>
        </w:rPr>
        <w:t>s (n=223) and no recurrent fall</w:t>
      </w:r>
      <w:r w:rsidR="00113965" w:rsidRPr="001F50BA">
        <w:rPr>
          <w:rFonts w:cs="Calibri"/>
          <w:iCs/>
          <w:kern w:val="1"/>
          <w:lang w:eastAsia="ar-SA"/>
        </w:rPr>
        <w:t>er</w:t>
      </w:r>
      <w:r w:rsidR="00C83CEF" w:rsidRPr="001F50BA">
        <w:rPr>
          <w:rFonts w:cs="Calibri"/>
          <w:iCs/>
          <w:kern w:val="1"/>
          <w:lang w:eastAsia="ar-SA"/>
        </w:rPr>
        <w:t xml:space="preserve">s (n=662) were observed in terms of sex (p=0.816), mean age (p=0.458) or </w:t>
      </w:r>
      <w:r w:rsidR="004C26C3" w:rsidRPr="001F50BA">
        <w:rPr>
          <w:rFonts w:cs="Calibri"/>
          <w:iCs/>
          <w:kern w:val="1"/>
          <w:lang w:eastAsia="ar-SA"/>
        </w:rPr>
        <w:t>co-habitation</w:t>
      </w:r>
      <w:r w:rsidR="00C83CEF" w:rsidRPr="001F50BA">
        <w:rPr>
          <w:rFonts w:cs="Calibri"/>
          <w:iCs/>
          <w:kern w:val="1"/>
          <w:lang w:eastAsia="ar-SA"/>
        </w:rPr>
        <w:t xml:space="preserve"> (p=0.173). On the contrary, recurrent fall</w:t>
      </w:r>
      <w:r w:rsidR="00F31908" w:rsidRPr="001F50BA">
        <w:rPr>
          <w:rFonts w:cs="Calibri"/>
          <w:iCs/>
          <w:kern w:val="1"/>
          <w:lang w:eastAsia="ar-SA"/>
        </w:rPr>
        <w:t>er</w:t>
      </w:r>
      <w:r w:rsidR="00C83CEF" w:rsidRPr="001F50BA">
        <w:rPr>
          <w:rFonts w:cs="Calibri"/>
          <w:iCs/>
          <w:kern w:val="1"/>
          <w:lang w:eastAsia="ar-SA"/>
        </w:rPr>
        <w:t xml:space="preserve">s were more disabled, </w:t>
      </w:r>
      <w:r w:rsidR="00A54FBF" w:rsidRPr="001F50BA">
        <w:rPr>
          <w:rFonts w:cs="Calibri"/>
          <w:iCs/>
          <w:kern w:val="1"/>
          <w:lang w:eastAsia="ar-SA"/>
        </w:rPr>
        <w:t>ha</w:t>
      </w:r>
      <w:r w:rsidR="00C83CEF" w:rsidRPr="001F50BA">
        <w:rPr>
          <w:rFonts w:cs="Calibri"/>
          <w:iCs/>
          <w:kern w:val="1"/>
          <w:lang w:eastAsia="ar-SA"/>
        </w:rPr>
        <w:t xml:space="preserve">d </w:t>
      </w:r>
      <w:r w:rsidR="00F31908" w:rsidRPr="001F50BA">
        <w:rPr>
          <w:rFonts w:cs="Calibri"/>
          <w:iCs/>
          <w:kern w:val="1"/>
          <w:lang w:eastAsia="ar-SA"/>
        </w:rPr>
        <w:t xml:space="preserve">a higher rate of comorbidities, </w:t>
      </w:r>
      <w:r w:rsidR="00A54FBF" w:rsidRPr="001F50BA">
        <w:rPr>
          <w:rFonts w:cs="Calibri"/>
          <w:iCs/>
          <w:kern w:val="1"/>
          <w:lang w:eastAsia="ar-SA"/>
        </w:rPr>
        <w:t xml:space="preserve">used more medications and were more depressed with </w:t>
      </w:r>
      <w:r w:rsidR="00F31908" w:rsidRPr="001F50BA">
        <w:rPr>
          <w:rFonts w:cs="Calibri"/>
          <w:iCs/>
          <w:kern w:val="1"/>
          <w:lang w:eastAsia="ar-SA"/>
        </w:rPr>
        <w:t>a poorer quality of life than their counterparts (</w:t>
      </w:r>
      <w:r w:rsidR="00F31908" w:rsidRPr="001F50BA">
        <w:rPr>
          <w:rFonts w:cs="Calibri"/>
          <w:b/>
          <w:bCs/>
          <w:iCs/>
          <w:kern w:val="1"/>
          <w:lang w:eastAsia="ar-SA"/>
        </w:rPr>
        <w:t xml:space="preserve">Table </w:t>
      </w:r>
      <w:r w:rsidR="006A637C" w:rsidRPr="001F50BA">
        <w:rPr>
          <w:rFonts w:cs="Calibri"/>
          <w:b/>
          <w:bCs/>
          <w:iCs/>
          <w:kern w:val="1"/>
          <w:lang w:eastAsia="ar-SA"/>
        </w:rPr>
        <w:t>2</w:t>
      </w:r>
      <w:r w:rsidR="00F31908" w:rsidRPr="001F50BA">
        <w:rPr>
          <w:rFonts w:cs="Calibri"/>
          <w:iCs/>
          <w:kern w:val="1"/>
          <w:lang w:eastAsia="ar-SA"/>
        </w:rPr>
        <w:t xml:space="preserve">). </w:t>
      </w:r>
      <w:r w:rsidR="00C32235" w:rsidRPr="001F50BA">
        <w:rPr>
          <w:rFonts w:cs="Calibri"/>
          <w:iCs/>
          <w:kern w:val="1"/>
          <w:lang w:eastAsia="ar-SA"/>
        </w:rPr>
        <w:t xml:space="preserve">Finally, recurrent fallers </w:t>
      </w:r>
      <w:r w:rsidR="00A54FBF" w:rsidRPr="001F50BA">
        <w:rPr>
          <w:rFonts w:cs="Calibri"/>
          <w:iCs/>
          <w:kern w:val="1"/>
          <w:lang w:eastAsia="ar-SA"/>
        </w:rPr>
        <w:t xml:space="preserve">showed a significant higher </w:t>
      </w:r>
      <w:r w:rsidR="00C32235" w:rsidRPr="001F50BA">
        <w:rPr>
          <w:rFonts w:cs="Calibri"/>
          <w:iCs/>
          <w:kern w:val="1"/>
          <w:lang w:eastAsia="ar-SA"/>
        </w:rPr>
        <w:t xml:space="preserve">MPI than </w:t>
      </w:r>
      <w:r w:rsidR="00A54FBF" w:rsidRPr="001F50BA">
        <w:rPr>
          <w:rFonts w:cs="Calibri"/>
          <w:iCs/>
          <w:kern w:val="1"/>
          <w:lang w:eastAsia="ar-SA"/>
        </w:rPr>
        <w:t>non-fallers</w:t>
      </w:r>
      <w:r w:rsidR="00C32235" w:rsidRPr="001F50BA">
        <w:rPr>
          <w:rFonts w:cs="Calibri"/>
          <w:iCs/>
          <w:kern w:val="1"/>
          <w:lang w:eastAsia="ar-SA"/>
        </w:rPr>
        <w:t xml:space="preserve"> (</w:t>
      </w:r>
      <w:r w:rsidR="00113965" w:rsidRPr="001F50BA">
        <w:rPr>
          <w:rFonts w:cs="Calibri"/>
          <w:iCs/>
          <w:kern w:val="1"/>
          <w:lang w:eastAsia="ar-SA"/>
        </w:rPr>
        <w:t>0.</w:t>
      </w:r>
      <w:r w:rsidR="00C32235" w:rsidRPr="001F50BA">
        <w:rPr>
          <w:rFonts w:cs="Calibri"/>
          <w:iCs/>
          <w:kern w:val="1"/>
          <w:lang w:eastAsia="ar-SA"/>
        </w:rPr>
        <w:t>46</w:t>
      </w:r>
      <w:r w:rsidR="00C32235" w:rsidRPr="001F50BA">
        <w:rPr>
          <w:rFonts w:cstheme="minorHAnsi"/>
          <w:iCs/>
          <w:kern w:val="1"/>
          <w:lang w:eastAsia="ar-SA"/>
        </w:rPr>
        <w:t>±</w:t>
      </w:r>
      <w:r w:rsidR="00113965" w:rsidRPr="001F50BA">
        <w:rPr>
          <w:rFonts w:cstheme="minorHAnsi"/>
          <w:iCs/>
          <w:kern w:val="1"/>
          <w:lang w:eastAsia="ar-SA"/>
        </w:rPr>
        <w:t>0.</w:t>
      </w:r>
      <w:r w:rsidR="00C32235" w:rsidRPr="001F50BA">
        <w:rPr>
          <w:rFonts w:cs="Calibri"/>
          <w:iCs/>
          <w:kern w:val="1"/>
          <w:lang w:eastAsia="ar-SA"/>
        </w:rPr>
        <w:t xml:space="preserve">17 vs. </w:t>
      </w:r>
      <w:r w:rsidR="00113965" w:rsidRPr="001F50BA">
        <w:rPr>
          <w:rFonts w:cs="Calibri"/>
          <w:iCs/>
          <w:kern w:val="1"/>
          <w:lang w:eastAsia="ar-SA"/>
        </w:rPr>
        <w:t>0.</w:t>
      </w:r>
      <w:r w:rsidR="00C32235" w:rsidRPr="001F50BA">
        <w:rPr>
          <w:rFonts w:cs="Calibri"/>
          <w:iCs/>
          <w:kern w:val="1"/>
          <w:lang w:eastAsia="ar-SA"/>
        </w:rPr>
        <w:t>38</w:t>
      </w:r>
      <w:r w:rsidR="00C32235" w:rsidRPr="001F50BA">
        <w:rPr>
          <w:rFonts w:cstheme="minorHAnsi"/>
          <w:iCs/>
          <w:kern w:val="1"/>
          <w:lang w:eastAsia="ar-SA"/>
        </w:rPr>
        <w:t>±</w:t>
      </w:r>
      <w:r w:rsidR="00113965" w:rsidRPr="001F50BA">
        <w:rPr>
          <w:rFonts w:cstheme="minorHAnsi"/>
          <w:iCs/>
          <w:kern w:val="1"/>
          <w:lang w:eastAsia="ar-SA"/>
        </w:rPr>
        <w:t>0.</w:t>
      </w:r>
      <w:r w:rsidR="00C32235" w:rsidRPr="001F50BA">
        <w:rPr>
          <w:rFonts w:cstheme="minorHAnsi"/>
          <w:iCs/>
          <w:kern w:val="1"/>
          <w:lang w:eastAsia="ar-SA"/>
        </w:rPr>
        <w:t>1</w:t>
      </w:r>
      <w:r w:rsidR="00113965" w:rsidRPr="001F50BA">
        <w:rPr>
          <w:rFonts w:cstheme="minorHAnsi"/>
          <w:iCs/>
          <w:kern w:val="1"/>
          <w:lang w:eastAsia="ar-SA"/>
        </w:rPr>
        <w:t>6</w:t>
      </w:r>
      <w:r w:rsidR="00C32235" w:rsidRPr="001F50BA">
        <w:rPr>
          <w:rFonts w:cstheme="minorHAnsi"/>
          <w:iCs/>
          <w:kern w:val="1"/>
          <w:lang w:eastAsia="ar-SA"/>
        </w:rPr>
        <w:t>; p&lt;0.001) (</w:t>
      </w:r>
      <w:r w:rsidR="00C32235" w:rsidRPr="001F50BA">
        <w:rPr>
          <w:rFonts w:cstheme="minorHAnsi"/>
          <w:b/>
          <w:bCs/>
          <w:iCs/>
          <w:kern w:val="1"/>
          <w:lang w:eastAsia="ar-SA"/>
        </w:rPr>
        <w:t xml:space="preserve">Table </w:t>
      </w:r>
      <w:r w:rsidR="006A637C" w:rsidRPr="001F50BA">
        <w:rPr>
          <w:rFonts w:cstheme="minorHAnsi"/>
          <w:b/>
          <w:bCs/>
          <w:iCs/>
          <w:kern w:val="1"/>
          <w:lang w:eastAsia="ar-SA"/>
        </w:rPr>
        <w:t>2</w:t>
      </w:r>
      <w:r w:rsidR="00C32235" w:rsidRPr="001F50BA">
        <w:rPr>
          <w:rFonts w:cstheme="minorHAnsi"/>
          <w:iCs/>
          <w:kern w:val="1"/>
          <w:lang w:eastAsia="ar-SA"/>
        </w:rPr>
        <w:t xml:space="preserve">). </w:t>
      </w:r>
    </w:p>
    <w:p w14:paraId="522E768C" w14:textId="77777777" w:rsidR="00267227" w:rsidRPr="001F50BA" w:rsidRDefault="00267227" w:rsidP="005C0D61">
      <w:pPr>
        <w:suppressAutoHyphens/>
        <w:spacing w:line="480" w:lineRule="auto"/>
        <w:jc w:val="both"/>
        <w:rPr>
          <w:rFonts w:cs="Calibri"/>
          <w:iCs/>
          <w:kern w:val="1"/>
          <w:lang w:eastAsia="ar-SA"/>
        </w:rPr>
      </w:pPr>
    </w:p>
    <w:p w14:paraId="5B86B7CB" w14:textId="28435A89" w:rsidR="005D008D" w:rsidRPr="001F50BA" w:rsidRDefault="00AD2910" w:rsidP="007F68C5">
      <w:pPr>
        <w:spacing w:line="480" w:lineRule="auto"/>
        <w:jc w:val="both"/>
        <w:rPr>
          <w:rFonts w:cs="Calibri"/>
          <w:iCs/>
          <w:kern w:val="1"/>
          <w:lang w:eastAsia="ar-SA"/>
        </w:rPr>
      </w:pPr>
      <w:r w:rsidRPr="001F50BA">
        <w:rPr>
          <w:rFonts w:cs="Calibri"/>
          <w:b/>
          <w:bCs/>
          <w:iCs/>
          <w:kern w:val="1"/>
          <w:lang w:eastAsia="ar-SA"/>
        </w:rPr>
        <w:lastRenderedPageBreak/>
        <w:t xml:space="preserve">Table </w:t>
      </w:r>
      <w:r w:rsidR="006A637C" w:rsidRPr="001F50BA">
        <w:rPr>
          <w:rFonts w:cs="Calibri"/>
          <w:b/>
          <w:bCs/>
          <w:iCs/>
          <w:kern w:val="1"/>
          <w:lang w:eastAsia="ar-SA"/>
        </w:rPr>
        <w:t>3</w:t>
      </w:r>
      <w:r w:rsidRPr="001F50BA">
        <w:rPr>
          <w:rFonts w:cs="Calibri"/>
          <w:iCs/>
          <w:kern w:val="1"/>
          <w:lang w:eastAsia="ar-SA"/>
        </w:rPr>
        <w:t xml:space="preserve"> shows the logistic regression analysis and the prediction capability of the MPI in predicting recurrence of falls during the 8 years of follow-up. An increase </w:t>
      </w:r>
      <w:r w:rsidR="00D729FC" w:rsidRPr="001F50BA">
        <w:rPr>
          <w:rFonts w:cs="Calibri"/>
          <w:iCs/>
          <w:kern w:val="1"/>
          <w:lang w:eastAsia="ar-SA"/>
        </w:rPr>
        <w:t>of</w:t>
      </w:r>
      <w:r w:rsidRPr="001F50BA">
        <w:rPr>
          <w:rFonts w:cs="Calibri"/>
          <w:iCs/>
          <w:kern w:val="1"/>
          <w:lang w:eastAsia="ar-SA"/>
        </w:rPr>
        <w:t xml:space="preserve"> </w:t>
      </w:r>
      <w:r w:rsidR="00113965" w:rsidRPr="001F50BA">
        <w:rPr>
          <w:rFonts w:cs="Calibri"/>
          <w:iCs/>
          <w:kern w:val="1"/>
          <w:lang w:eastAsia="ar-SA"/>
        </w:rPr>
        <w:t>0.</w:t>
      </w:r>
      <w:r w:rsidRPr="001F50BA">
        <w:rPr>
          <w:rFonts w:cs="Calibri"/>
          <w:iCs/>
          <w:kern w:val="1"/>
          <w:lang w:eastAsia="ar-SA"/>
        </w:rPr>
        <w:t>1</w:t>
      </w:r>
      <w:r w:rsidR="00D729FC" w:rsidRPr="001F50BA">
        <w:rPr>
          <w:rFonts w:cs="Calibri"/>
          <w:iCs/>
          <w:kern w:val="1"/>
          <w:lang w:eastAsia="ar-SA"/>
        </w:rPr>
        <w:t xml:space="preserve"> </w:t>
      </w:r>
      <w:r w:rsidRPr="001F50BA">
        <w:rPr>
          <w:rFonts w:cs="Calibri"/>
          <w:iCs/>
          <w:kern w:val="1"/>
          <w:lang w:eastAsia="ar-SA"/>
        </w:rPr>
        <w:t xml:space="preserve"> </w:t>
      </w:r>
      <w:r w:rsidR="00D729FC" w:rsidRPr="001F50BA">
        <w:rPr>
          <w:rFonts w:cs="Calibri"/>
          <w:iCs/>
          <w:kern w:val="1"/>
          <w:lang w:eastAsia="ar-SA"/>
        </w:rPr>
        <w:t>o</w:t>
      </w:r>
      <w:r w:rsidRPr="001F50BA">
        <w:rPr>
          <w:rFonts w:cs="Calibri"/>
          <w:iCs/>
          <w:kern w:val="1"/>
          <w:lang w:eastAsia="ar-SA"/>
        </w:rPr>
        <w:t xml:space="preserve">n </w:t>
      </w:r>
      <w:r w:rsidR="00A54FBF" w:rsidRPr="001F50BA">
        <w:rPr>
          <w:rFonts w:cs="Calibri"/>
          <w:iCs/>
          <w:kern w:val="1"/>
          <w:lang w:eastAsia="ar-SA"/>
        </w:rPr>
        <w:t xml:space="preserve">the </w:t>
      </w:r>
      <w:r w:rsidRPr="001F50BA">
        <w:rPr>
          <w:rFonts w:cs="Calibri"/>
          <w:iCs/>
          <w:kern w:val="1"/>
          <w:lang w:eastAsia="ar-SA"/>
        </w:rPr>
        <w:t>MPI</w:t>
      </w:r>
      <w:r w:rsidR="00D729FC" w:rsidRPr="001F50BA">
        <w:rPr>
          <w:rFonts w:cs="Calibri"/>
          <w:iCs/>
          <w:kern w:val="1"/>
          <w:lang w:eastAsia="ar-SA"/>
        </w:rPr>
        <w:t xml:space="preserve"> scale</w:t>
      </w:r>
      <w:r w:rsidRPr="001F50BA">
        <w:rPr>
          <w:rFonts w:cs="Calibri"/>
          <w:iCs/>
          <w:kern w:val="1"/>
          <w:lang w:eastAsia="ar-SA"/>
        </w:rPr>
        <w:t xml:space="preserve"> was associated with a significant higher risk of recurrence of falls during follow-up</w:t>
      </w:r>
      <w:r w:rsidR="004F09A8" w:rsidRPr="001F50BA">
        <w:rPr>
          <w:rFonts w:cs="Calibri"/>
          <w:iCs/>
          <w:kern w:val="1"/>
          <w:lang w:eastAsia="ar-SA"/>
        </w:rPr>
        <w:t xml:space="preserve"> of 34%</w:t>
      </w:r>
      <w:r w:rsidRPr="001F50BA">
        <w:rPr>
          <w:rFonts w:cs="Calibri"/>
          <w:iCs/>
          <w:kern w:val="1"/>
          <w:lang w:eastAsia="ar-SA"/>
        </w:rPr>
        <w:t xml:space="preserve"> (OR=1.34; 95%CI: 1.22-1.48</w:t>
      </w:r>
      <w:r w:rsidR="004972CE" w:rsidRPr="001F50BA">
        <w:rPr>
          <w:rFonts w:cs="Calibri"/>
          <w:iCs/>
          <w:kern w:val="1"/>
          <w:lang w:eastAsia="ar-SA"/>
        </w:rPr>
        <w:t>;</w:t>
      </w:r>
      <w:r w:rsidR="00306919" w:rsidRPr="001F50BA">
        <w:rPr>
          <w:rFonts w:cs="Calibri"/>
          <w:iCs/>
          <w:kern w:val="1"/>
          <w:lang w:eastAsia="ar-SA"/>
        </w:rPr>
        <w:t xml:space="preserve"> </w:t>
      </w:r>
      <w:r w:rsidR="004972CE" w:rsidRPr="001F50BA">
        <w:rPr>
          <w:rFonts w:cs="Calibri"/>
          <w:iCs/>
          <w:kern w:val="1"/>
          <w:lang w:eastAsia="ar-SA"/>
        </w:rPr>
        <w:t>p&lt;0.001</w:t>
      </w:r>
      <w:r w:rsidRPr="001F50BA">
        <w:rPr>
          <w:rFonts w:cs="Calibri"/>
          <w:iCs/>
          <w:kern w:val="1"/>
          <w:lang w:eastAsia="ar-SA"/>
        </w:rPr>
        <w:t xml:space="preserve">). </w:t>
      </w:r>
      <w:r w:rsidR="00455472" w:rsidRPr="001F50BA">
        <w:rPr>
          <w:rFonts w:cs="Calibri"/>
          <w:iCs/>
          <w:kern w:val="1"/>
          <w:lang w:eastAsia="ar-SA"/>
        </w:rPr>
        <w:t>We observed that those</w:t>
      </w:r>
      <w:r w:rsidR="00A54FBF" w:rsidRPr="001F50BA">
        <w:rPr>
          <w:rFonts w:cs="Calibri"/>
          <w:iCs/>
          <w:kern w:val="1"/>
          <w:lang w:eastAsia="ar-SA"/>
        </w:rPr>
        <w:t xml:space="preserve"> subjects</w:t>
      </w:r>
      <w:r w:rsidR="00455472" w:rsidRPr="001F50BA">
        <w:rPr>
          <w:rFonts w:cs="Calibri"/>
          <w:iCs/>
          <w:kern w:val="1"/>
          <w:lang w:eastAsia="ar-SA"/>
        </w:rPr>
        <w:t xml:space="preserve"> in</w:t>
      </w:r>
      <w:r w:rsidR="00A54FBF" w:rsidRPr="001F50BA">
        <w:rPr>
          <w:rFonts w:cs="Calibri"/>
          <w:iCs/>
          <w:kern w:val="1"/>
          <w:lang w:eastAsia="ar-SA"/>
        </w:rPr>
        <w:t xml:space="preserve"> moderate</w:t>
      </w:r>
      <w:r w:rsidR="00455472" w:rsidRPr="001F50BA">
        <w:rPr>
          <w:rFonts w:cs="Calibri"/>
          <w:iCs/>
          <w:kern w:val="1"/>
          <w:lang w:eastAsia="ar-SA"/>
        </w:rPr>
        <w:t xml:space="preserve"> </w:t>
      </w:r>
      <w:r w:rsidR="00A54FBF" w:rsidRPr="001F50BA">
        <w:rPr>
          <w:rFonts w:cs="Calibri"/>
          <w:iCs/>
          <w:kern w:val="1"/>
          <w:lang w:eastAsia="ar-SA"/>
        </w:rPr>
        <w:t>(</w:t>
      </w:r>
      <w:r w:rsidR="00455472" w:rsidRPr="001F50BA">
        <w:rPr>
          <w:rFonts w:cs="Calibri"/>
          <w:iCs/>
          <w:kern w:val="1"/>
          <w:lang w:eastAsia="ar-SA"/>
        </w:rPr>
        <w:t>MPI-2</w:t>
      </w:r>
      <w:r w:rsidR="00A54FBF" w:rsidRPr="001F50BA">
        <w:rPr>
          <w:rFonts w:cs="Calibri"/>
          <w:iCs/>
          <w:kern w:val="1"/>
          <w:lang w:eastAsia="ar-SA"/>
        </w:rPr>
        <w:t>)</w:t>
      </w:r>
      <w:r w:rsidR="00455472" w:rsidRPr="001F50BA">
        <w:rPr>
          <w:rFonts w:cs="Calibri"/>
          <w:iCs/>
          <w:kern w:val="1"/>
          <w:lang w:eastAsia="ar-SA"/>
        </w:rPr>
        <w:t xml:space="preserve"> and </w:t>
      </w:r>
      <w:r w:rsidR="00A54FBF" w:rsidRPr="001F50BA">
        <w:rPr>
          <w:rFonts w:cs="Calibri"/>
          <w:iCs/>
          <w:kern w:val="1"/>
          <w:lang w:eastAsia="ar-SA"/>
        </w:rPr>
        <w:t>severe risk (</w:t>
      </w:r>
      <w:r w:rsidR="00455472" w:rsidRPr="001F50BA">
        <w:rPr>
          <w:rFonts w:cs="Calibri"/>
          <w:iCs/>
          <w:kern w:val="1"/>
          <w:lang w:eastAsia="ar-SA"/>
        </w:rPr>
        <w:t>MPI-3</w:t>
      </w:r>
      <w:r w:rsidR="00A54FBF" w:rsidRPr="001F50BA">
        <w:rPr>
          <w:rFonts w:cs="Calibri"/>
          <w:iCs/>
          <w:kern w:val="1"/>
          <w:lang w:eastAsia="ar-SA"/>
        </w:rPr>
        <w:t>)</w:t>
      </w:r>
      <w:r w:rsidR="00455472" w:rsidRPr="001F50BA">
        <w:rPr>
          <w:rFonts w:cs="Calibri"/>
          <w:iCs/>
          <w:kern w:val="1"/>
          <w:lang w:eastAsia="ar-SA"/>
        </w:rPr>
        <w:t xml:space="preserve"> reported overall incidence of recurrent falls almost doubled and tripled compared to those with the lowest values of MPI-1 as reference (30.9% and 55.8% vs. 17.4%, respectively). Compared to those in MPI-1 category, participants in MPI-2 (OR=2.13; 95%CI: 1.53-2.94</w:t>
      </w:r>
      <w:r w:rsidR="004972CE" w:rsidRPr="001F50BA">
        <w:rPr>
          <w:rFonts w:cs="Calibri"/>
          <w:iCs/>
          <w:kern w:val="1"/>
          <w:lang w:eastAsia="ar-SA"/>
        </w:rPr>
        <w:t>; p&lt;0.001</w:t>
      </w:r>
      <w:r w:rsidR="00455472" w:rsidRPr="001F50BA">
        <w:rPr>
          <w:rFonts w:cs="Calibri"/>
          <w:iCs/>
          <w:kern w:val="1"/>
          <w:lang w:eastAsia="ar-SA"/>
        </w:rPr>
        <w:t xml:space="preserve">) </w:t>
      </w:r>
      <w:r w:rsidR="004972CE" w:rsidRPr="001F50BA">
        <w:rPr>
          <w:rFonts w:cs="Calibri"/>
          <w:iCs/>
          <w:kern w:val="1"/>
          <w:lang w:eastAsia="ar-SA"/>
        </w:rPr>
        <w:t>and in MPI-3</w:t>
      </w:r>
      <w:r w:rsidR="00E51203" w:rsidRPr="001F50BA">
        <w:rPr>
          <w:rFonts w:cs="Calibri"/>
          <w:iCs/>
          <w:kern w:val="1"/>
          <w:lang w:eastAsia="ar-SA"/>
        </w:rPr>
        <w:t xml:space="preserve"> </w:t>
      </w:r>
      <w:r w:rsidR="004972CE" w:rsidRPr="001F50BA">
        <w:rPr>
          <w:rFonts w:cs="Calibri"/>
          <w:iCs/>
          <w:kern w:val="1"/>
          <w:lang w:eastAsia="ar-SA"/>
        </w:rPr>
        <w:t>(</w:t>
      </w:r>
      <w:r w:rsidR="00113965" w:rsidRPr="001F50BA">
        <w:rPr>
          <w:rFonts w:cs="Calibri"/>
          <w:iCs/>
          <w:kern w:val="1"/>
          <w:lang w:eastAsia="ar-SA"/>
        </w:rPr>
        <w:t>OR=</w:t>
      </w:r>
      <w:r w:rsidR="00113965" w:rsidRPr="001F50BA">
        <w:rPr>
          <w:rFonts w:cs="Times New Roman"/>
        </w:rPr>
        <w:t>5.98</w:t>
      </w:r>
      <w:r w:rsidR="00113965" w:rsidRPr="001F50BA">
        <w:rPr>
          <w:rFonts w:cs="Calibri"/>
          <w:iCs/>
          <w:kern w:val="1"/>
          <w:lang w:eastAsia="ar-SA"/>
        </w:rPr>
        <w:t>; 95%CI: 3.29-</w:t>
      </w:r>
      <w:r w:rsidR="00617F27" w:rsidRPr="001F50BA">
        <w:rPr>
          <w:rFonts w:cs="Calibri"/>
          <w:iCs/>
          <w:kern w:val="1"/>
          <w:lang w:eastAsia="ar-SA"/>
        </w:rPr>
        <w:t>10.86</w:t>
      </w:r>
      <w:r w:rsidR="00113965" w:rsidRPr="001F50BA">
        <w:rPr>
          <w:rFonts w:cs="Calibri"/>
          <w:iCs/>
          <w:kern w:val="1"/>
          <w:lang w:eastAsia="ar-SA"/>
        </w:rPr>
        <w:t>;</w:t>
      </w:r>
      <w:r w:rsidR="00113965" w:rsidRPr="001F50BA">
        <w:rPr>
          <w:rFonts w:cs="Times New Roman"/>
        </w:rPr>
        <w:t xml:space="preserve"> </w:t>
      </w:r>
      <w:r w:rsidR="00113965" w:rsidRPr="001F50BA">
        <w:rPr>
          <w:rFonts w:cs="Calibri"/>
          <w:iCs/>
          <w:kern w:val="1"/>
          <w:lang w:eastAsia="ar-SA"/>
        </w:rPr>
        <w:t>p&lt;0.001</w:t>
      </w:r>
      <w:r w:rsidR="004972CE" w:rsidRPr="001F50BA">
        <w:rPr>
          <w:rFonts w:cs="Calibri"/>
          <w:iCs/>
          <w:kern w:val="1"/>
          <w:lang w:eastAsia="ar-SA"/>
        </w:rPr>
        <w:t xml:space="preserve">) reported a significant higher risk of recurrent falls. </w:t>
      </w:r>
      <w:r w:rsidR="005D008D" w:rsidRPr="001F50BA">
        <w:rPr>
          <w:rFonts w:cs="Calibri"/>
          <w:iCs/>
          <w:kern w:val="1"/>
          <w:lang w:eastAsia="ar-SA"/>
        </w:rPr>
        <w:t xml:space="preserve">The </w:t>
      </w:r>
      <w:r w:rsidR="00E51203" w:rsidRPr="001F50BA">
        <w:rPr>
          <w:rFonts w:cs="Calibri"/>
          <w:iCs/>
          <w:kern w:val="1"/>
          <w:lang w:eastAsia="ar-SA"/>
        </w:rPr>
        <w:t xml:space="preserve">AUC </w:t>
      </w:r>
      <w:r w:rsidR="005D008D" w:rsidRPr="001F50BA">
        <w:rPr>
          <w:rFonts w:cs="Calibri"/>
          <w:iCs/>
          <w:kern w:val="1"/>
          <w:lang w:eastAsia="ar-SA"/>
        </w:rPr>
        <w:t xml:space="preserve">of </w:t>
      </w:r>
      <w:r w:rsidR="00A54FBF" w:rsidRPr="001F50BA">
        <w:rPr>
          <w:rFonts w:cs="Calibri"/>
          <w:iCs/>
          <w:kern w:val="1"/>
          <w:lang w:eastAsia="ar-SA"/>
        </w:rPr>
        <w:t xml:space="preserve">the </w:t>
      </w:r>
      <w:r w:rsidR="005D008D" w:rsidRPr="001F50BA">
        <w:rPr>
          <w:rFonts w:cs="Calibri"/>
          <w:iCs/>
          <w:kern w:val="1"/>
          <w:lang w:eastAsia="ar-SA"/>
        </w:rPr>
        <w:t xml:space="preserve">MPI in predicting recurrent falls during the 8 years of follow-up was </w:t>
      </w:r>
      <w:r w:rsidR="00A54FBF" w:rsidRPr="001F50BA">
        <w:rPr>
          <w:rFonts w:cs="Calibri"/>
          <w:iCs/>
          <w:kern w:val="1"/>
          <w:lang w:eastAsia="ar-SA"/>
        </w:rPr>
        <w:t>62.7%, 95%CI: 58.5-66.9</w:t>
      </w:r>
      <w:r w:rsidR="005D008D" w:rsidRPr="001F50BA">
        <w:rPr>
          <w:rFonts w:cs="Calibri"/>
          <w:iCs/>
          <w:kern w:val="1"/>
          <w:lang w:eastAsia="ar-SA"/>
        </w:rPr>
        <w:t xml:space="preserve">. </w:t>
      </w:r>
    </w:p>
    <w:p w14:paraId="5A45D15E" w14:textId="77777777" w:rsidR="005D008D" w:rsidRPr="001F50BA" w:rsidRDefault="005D008D" w:rsidP="007F68C5">
      <w:pPr>
        <w:spacing w:line="480" w:lineRule="auto"/>
        <w:jc w:val="both"/>
        <w:rPr>
          <w:rFonts w:cs="Calibri"/>
          <w:iCs/>
          <w:kern w:val="1"/>
          <w:lang w:eastAsia="ar-SA"/>
        </w:rPr>
      </w:pPr>
    </w:p>
    <w:p w14:paraId="437DEF32" w14:textId="008D395A" w:rsidR="00716299" w:rsidRPr="001F50BA" w:rsidRDefault="005D008D" w:rsidP="00D70D86">
      <w:pPr>
        <w:spacing w:line="480" w:lineRule="auto"/>
        <w:jc w:val="both"/>
        <w:rPr>
          <w:rFonts w:cs="Times New Roman"/>
          <w:b/>
        </w:rPr>
      </w:pPr>
      <w:r w:rsidRPr="001F50BA">
        <w:rPr>
          <w:rFonts w:cs="Calibri"/>
          <w:b/>
          <w:bCs/>
          <w:iCs/>
          <w:kern w:val="1"/>
          <w:lang w:eastAsia="ar-SA"/>
        </w:rPr>
        <w:t xml:space="preserve">Table </w:t>
      </w:r>
      <w:r w:rsidR="006A637C" w:rsidRPr="001F50BA">
        <w:rPr>
          <w:rFonts w:cs="Calibri"/>
          <w:b/>
          <w:bCs/>
          <w:iCs/>
          <w:kern w:val="1"/>
          <w:lang w:eastAsia="ar-SA"/>
        </w:rPr>
        <w:t>3</w:t>
      </w:r>
      <w:r w:rsidRPr="001F50BA">
        <w:rPr>
          <w:rFonts w:cs="Calibri"/>
          <w:iCs/>
          <w:kern w:val="1"/>
          <w:lang w:eastAsia="ar-SA"/>
        </w:rPr>
        <w:t xml:space="preserve"> shows similar analyses, taking </w:t>
      </w:r>
      <w:r w:rsidR="007277F4" w:rsidRPr="001F50BA">
        <w:rPr>
          <w:rFonts w:cs="Calibri"/>
          <w:iCs/>
          <w:kern w:val="1"/>
          <w:lang w:eastAsia="ar-SA"/>
        </w:rPr>
        <w:t xml:space="preserve">recurrence of falls after </w:t>
      </w:r>
      <w:r w:rsidR="00A54FBF" w:rsidRPr="001F50BA">
        <w:rPr>
          <w:rFonts w:cs="Calibri"/>
          <w:iCs/>
          <w:kern w:val="1"/>
          <w:lang w:eastAsia="ar-SA"/>
        </w:rPr>
        <w:t xml:space="preserve">one year as </w:t>
      </w:r>
      <w:r w:rsidR="00D729FC" w:rsidRPr="001F50BA">
        <w:rPr>
          <w:rFonts w:cs="Calibri"/>
          <w:iCs/>
          <w:kern w:val="1"/>
          <w:lang w:eastAsia="ar-SA"/>
        </w:rPr>
        <w:t xml:space="preserve">the </w:t>
      </w:r>
      <w:r w:rsidR="00A54FBF" w:rsidRPr="001F50BA">
        <w:rPr>
          <w:rFonts w:cs="Calibri"/>
          <w:iCs/>
          <w:kern w:val="1"/>
          <w:lang w:eastAsia="ar-SA"/>
        </w:rPr>
        <w:t xml:space="preserve">outcome. Again, </w:t>
      </w:r>
      <w:r w:rsidR="007277F4" w:rsidRPr="001F50BA">
        <w:rPr>
          <w:rFonts w:cs="Calibri"/>
          <w:iCs/>
          <w:kern w:val="1"/>
          <w:lang w:eastAsia="ar-SA"/>
        </w:rPr>
        <w:t>MPI significantly predicts the risk of falls</w:t>
      </w:r>
      <w:r w:rsidR="00D729FC" w:rsidRPr="001F50BA">
        <w:rPr>
          <w:rFonts w:cs="Calibri"/>
          <w:iCs/>
          <w:kern w:val="1"/>
          <w:lang w:eastAsia="ar-SA"/>
        </w:rPr>
        <w:t>,</w:t>
      </w:r>
      <w:r w:rsidR="007277F4" w:rsidRPr="001F50BA">
        <w:rPr>
          <w:rFonts w:cs="Calibri"/>
          <w:iCs/>
          <w:kern w:val="1"/>
          <w:lang w:eastAsia="ar-SA"/>
        </w:rPr>
        <w:t xml:space="preserve"> using this tool as </w:t>
      </w:r>
      <w:r w:rsidR="00D729FC" w:rsidRPr="001F50BA">
        <w:rPr>
          <w:rFonts w:cs="Calibri"/>
          <w:iCs/>
          <w:kern w:val="1"/>
          <w:lang w:eastAsia="ar-SA"/>
        </w:rPr>
        <w:t xml:space="preserve">a </w:t>
      </w:r>
      <w:r w:rsidR="007277F4" w:rsidRPr="001F50BA">
        <w:rPr>
          <w:rFonts w:cs="Calibri"/>
          <w:iCs/>
          <w:kern w:val="1"/>
          <w:lang w:eastAsia="ar-SA"/>
        </w:rPr>
        <w:t>continuous measure</w:t>
      </w:r>
      <w:r w:rsidR="004F09A8" w:rsidRPr="001F50BA">
        <w:rPr>
          <w:rFonts w:cs="Calibri"/>
          <w:iCs/>
          <w:kern w:val="1"/>
          <w:lang w:eastAsia="ar-SA"/>
        </w:rPr>
        <w:t xml:space="preserve"> since an increase in 0.1 points corresponds to an increase risk of falls of 48%</w:t>
      </w:r>
      <w:r w:rsidR="007277F4" w:rsidRPr="001F50BA">
        <w:rPr>
          <w:rFonts w:cs="Calibri"/>
          <w:iCs/>
          <w:kern w:val="1"/>
          <w:lang w:eastAsia="ar-SA"/>
        </w:rPr>
        <w:t xml:space="preserve"> (increase in </w:t>
      </w:r>
      <w:r w:rsidR="00113965" w:rsidRPr="001F50BA">
        <w:rPr>
          <w:rFonts w:cs="Calibri"/>
          <w:iCs/>
          <w:kern w:val="1"/>
          <w:lang w:eastAsia="ar-SA"/>
        </w:rPr>
        <w:t>0.</w:t>
      </w:r>
      <w:r w:rsidR="007277F4" w:rsidRPr="001F50BA">
        <w:rPr>
          <w:rFonts w:cs="Calibri"/>
          <w:iCs/>
          <w:kern w:val="1"/>
          <w:lang w:eastAsia="ar-SA"/>
        </w:rPr>
        <w:t>1</w:t>
      </w:r>
      <w:r w:rsidR="00113965" w:rsidRPr="001F50BA">
        <w:rPr>
          <w:rFonts w:cs="Calibri"/>
          <w:iCs/>
          <w:kern w:val="1"/>
          <w:lang w:eastAsia="ar-SA"/>
        </w:rPr>
        <w:t xml:space="preserve"> point</w:t>
      </w:r>
      <w:r w:rsidR="007277F4" w:rsidRPr="001F50BA">
        <w:rPr>
          <w:rFonts w:cs="Calibri"/>
          <w:iCs/>
          <w:kern w:val="1"/>
          <w:lang w:eastAsia="ar-SA"/>
        </w:rPr>
        <w:t>; OR=1.48; 95%CI: 1.25-1.76; p&lt;0.001) or using groups (MPI-2: OR=2.73; 95%CI: 1.38-5.38; p&lt;0.001; MPI-3: OR=8.39; 95%CI: 3.47-20.28; p&lt;0.001) (</w:t>
      </w:r>
      <w:r w:rsidR="007277F4" w:rsidRPr="001F50BA">
        <w:rPr>
          <w:rFonts w:cs="Calibri"/>
          <w:b/>
          <w:bCs/>
          <w:iCs/>
          <w:kern w:val="1"/>
          <w:lang w:eastAsia="ar-SA"/>
        </w:rPr>
        <w:t xml:space="preserve">Table </w:t>
      </w:r>
      <w:r w:rsidR="00011719" w:rsidRPr="001F50BA">
        <w:rPr>
          <w:rFonts w:cs="Calibri"/>
          <w:b/>
          <w:bCs/>
          <w:iCs/>
          <w:kern w:val="1"/>
          <w:lang w:eastAsia="ar-SA"/>
        </w:rPr>
        <w:t>3</w:t>
      </w:r>
      <w:r w:rsidR="007277F4" w:rsidRPr="001F50BA">
        <w:rPr>
          <w:rFonts w:cs="Calibri"/>
          <w:iCs/>
          <w:kern w:val="1"/>
          <w:lang w:eastAsia="ar-SA"/>
        </w:rPr>
        <w:t xml:space="preserve">). </w:t>
      </w:r>
      <w:r w:rsidR="00D70D86" w:rsidRPr="001F50BA">
        <w:rPr>
          <w:rFonts w:cs="Calibri"/>
          <w:iCs/>
          <w:kern w:val="1"/>
          <w:lang w:eastAsia="ar-SA"/>
        </w:rPr>
        <w:t xml:space="preserve">The </w:t>
      </w:r>
      <w:r w:rsidR="00E51203" w:rsidRPr="001F50BA">
        <w:rPr>
          <w:rFonts w:cs="Calibri"/>
          <w:iCs/>
          <w:kern w:val="1"/>
          <w:lang w:eastAsia="ar-SA"/>
        </w:rPr>
        <w:t xml:space="preserve">accuracy in terms of </w:t>
      </w:r>
      <w:r w:rsidR="00D70D86" w:rsidRPr="001F50BA">
        <w:rPr>
          <w:rFonts w:cs="Calibri"/>
          <w:iCs/>
          <w:kern w:val="1"/>
          <w:lang w:eastAsia="ar-SA"/>
        </w:rPr>
        <w:t>AUC for this outcome was 68.5%; 95%CI: 60.8 – 76.2%.</w:t>
      </w:r>
      <w:r w:rsidR="00716299" w:rsidRPr="001F50BA">
        <w:rPr>
          <w:rFonts w:cs="Times New Roman"/>
          <w:b/>
        </w:rPr>
        <w:br w:type="page"/>
      </w:r>
    </w:p>
    <w:p w14:paraId="514E2828" w14:textId="77777777" w:rsidR="0035618C" w:rsidRPr="001F50BA" w:rsidRDefault="00434556" w:rsidP="00BB754D">
      <w:pPr>
        <w:spacing w:after="200" w:line="276" w:lineRule="auto"/>
        <w:rPr>
          <w:rFonts w:cs="Times New Roman"/>
        </w:rPr>
      </w:pPr>
      <w:r w:rsidRPr="001F50BA">
        <w:rPr>
          <w:rFonts w:cs="Times New Roman"/>
          <w:b/>
        </w:rPr>
        <w:lastRenderedPageBreak/>
        <w:t>DISCUSSION</w:t>
      </w:r>
    </w:p>
    <w:p w14:paraId="3E675BF3" w14:textId="77777777" w:rsidR="008D56E9" w:rsidRPr="001F50BA" w:rsidRDefault="002A06F8" w:rsidP="00772A4C">
      <w:pPr>
        <w:suppressAutoHyphens/>
        <w:spacing w:line="480" w:lineRule="auto"/>
        <w:jc w:val="both"/>
        <w:rPr>
          <w:rFonts w:cs="Calibri"/>
          <w:kern w:val="1"/>
          <w:lang w:eastAsia="ar-SA"/>
        </w:rPr>
      </w:pPr>
      <w:r w:rsidRPr="001F50BA">
        <w:rPr>
          <w:rFonts w:cs="Calibri"/>
          <w:kern w:val="1"/>
          <w:lang w:eastAsia="ar-SA"/>
        </w:rPr>
        <w:t>In this longitudinal study</w:t>
      </w:r>
      <w:r w:rsidR="006A7906" w:rsidRPr="001F50BA">
        <w:rPr>
          <w:rFonts w:cs="Calibri"/>
          <w:kern w:val="1"/>
          <w:lang w:eastAsia="ar-SA"/>
        </w:rPr>
        <w:t>,</w:t>
      </w:r>
      <w:r w:rsidRPr="001F50BA">
        <w:rPr>
          <w:rFonts w:cs="Calibri"/>
          <w:kern w:val="1"/>
          <w:lang w:eastAsia="ar-SA"/>
        </w:rPr>
        <w:t xml:space="preserve"> </w:t>
      </w:r>
      <w:r w:rsidR="003C03E2" w:rsidRPr="001F50BA">
        <w:rPr>
          <w:rFonts w:cs="Calibri"/>
          <w:kern w:val="1"/>
          <w:lang w:eastAsia="ar-SA"/>
        </w:rPr>
        <w:t>over</w:t>
      </w:r>
      <w:r w:rsidRPr="001F50BA">
        <w:rPr>
          <w:rFonts w:cs="Calibri"/>
          <w:kern w:val="1"/>
          <w:lang w:eastAsia="ar-SA"/>
        </w:rPr>
        <w:t xml:space="preserve"> </w:t>
      </w:r>
      <w:r w:rsidR="0069697E" w:rsidRPr="001F50BA">
        <w:rPr>
          <w:rFonts w:cs="Calibri"/>
          <w:kern w:val="1"/>
          <w:lang w:eastAsia="ar-SA"/>
        </w:rPr>
        <w:t xml:space="preserve">eight years of follow-up, we found that </w:t>
      </w:r>
      <w:r w:rsidR="00C378AD" w:rsidRPr="001F50BA">
        <w:rPr>
          <w:rFonts w:cs="Calibri"/>
          <w:kern w:val="1"/>
          <w:lang w:eastAsia="ar-SA"/>
        </w:rPr>
        <w:t xml:space="preserve">a modified version of the </w:t>
      </w:r>
      <w:r w:rsidR="005C5E68" w:rsidRPr="001F50BA">
        <w:rPr>
          <w:rFonts w:cs="Calibri"/>
          <w:kern w:val="1"/>
          <w:lang w:eastAsia="ar-SA"/>
        </w:rPr>
        <w:t>MPI</w:t>
      </w:r>
      <w:r w:rsidR="0069697E" w:rsidRPr="001F50BA">
        <w:rPr>
          <w:rFonts w:cs="Calibri"/>
          <w:kern w:val="1"/>
          <w:lang w:eastAsia="ar-SA"/>
        </w:rPr>
        <w:t xml:space="preserve"> </w:t>
      </w:r>
      <w:proofErr w:type="gramStart"/>
      <w:r w:rsidR="0069697E" w:rsidRPr="001F50BA">
        <w:rPr>
          <w:rFonts w:cs="Calibri"/>
          <w:kern w:val="1"/>
          <w:lang w:eastAsia="ar-SA"/>
        </w:rPr>
        <w:t>is able to</w:t>
      </w:r>
      <w:proofErr w:type="gramEnd"/>
      <w:r w:rsidR="0069697E" w:rsidRPr="001F50BA">
        <w:rPr>
          <w:rFonts w:cs="Calibri"/>
          <w:kern w:val="1"/>
          <w:lang w:eastAsia="ar-SA"/>
        </w:rPr>
        <w:t xml:space="preserve"> predict the onset of recurrent falls in older people living in </w:t>
      </w:r>
      <w:r w:rsidR="00844548" w:rsidRPr="001F50BA">
        <w:rPr>
          <w:rFonts w:cs="Calibri"/>
          <w:kern w:val="1"/>
          <w:lang w:eastAsia="ar-SA"/>
        </w:rPr>
        <w:t xml:space="preserve">the </w:t>
      </w:r>
      <w:r w:rsidR="0069697E" w:rsidRPr="001F50BA">
        <w:rPr>
          <w:rFonts w:cs="Calibri"/>
          <w:kern w:val="1"/>
          <w:lang w:eastAsia="ar-SA"/>
        </w:rPr>
        <w:t xml:space="preserve">community and affected by OA or at high risk for this condition. </w:t>
      </w:r>
      <w:r w:rsidR="0002566F" w:rsidRPr="001F50BA">
        <w:rPr>
          <w:rFonts w:cs="Calibri"/>
          <w:kern w:val="1"/>
          <w:lang w:eastAsia="ar-SA"/>
        </w:rPr>
        <w:t xml:space="preserve">These data are confirmed </w:t>
      </w:r>
      <w:r w:rsidR="00C378AD" w:rsidRPr="001F50BA">
        <w:rPr>
          <w:rFonts w:cs="Calibri"/>
          <w:kern w:val="1"/>
          <w:lang w:eastAsia="ar-SA"/>
        </w:rPr>
        <w:t xml:space="preserve">both </w:t>
      </w:r>
      <w:r w:rsidR="00844548" w:rsidRPr="001F50BA">
        <w:rPr>
          <w:rFonts w:cs="Calibri"/>
          <w:kern w:val="1"/>
          <w:lang w:eastAsia="ar-SA"/>
        </w:rPr>
        <w:t>over</w:t>
      </w:r>
      <w:r w:rsidR="0002566F" w:rsidRPr="001F50BA">
        <w:rPr>
          <w:rFonts w:cs="Calibri"/>
          <w:kern w:val="1"/>
          <w:lang w:eastAsia="ar-SA"/>
        </w:rPr>
        <w:t xml:space="preserve"> a short</w:t>
      </w:r>
      <w:r w:rsidR="00C378AD" w:rsidRPr="001F50BA">
        <w:rPr>
          <w:rFonts w:cs="Calibri"/>
          <w:kern w:val="1"/>
          <w:lang w:eastAsia="ar-SA"/>
        </w:rPr>
        <w:t>-</w:t>
      </w:r>
      <w:r w:rsidR="0002566F" w:rsidRPr="001F50BA">
        <w:rPr>
          <w:rFonts w:cs="Calibri"/>
          <w:kern w:val="1"/>
          <w:lang w:eastAsia="ar-SA"/>
        </w:rPr>
        <w:t xml:space="preserve"> (after one year from baseline evaluation) and </w:t>
      </w:r>
      <w:r w:rsidR="00C378AD" w:rsidRPr="001F50BA">
        <w:rPr>
          <w:rFonts w:cs="Calibri"/>
          <w:kern w:val="1"/>
          <w:lang w:eastAsia="ar-SA"/>
        </w:rPr>
        <w:t xml:space="preserve">in </w:t>
      </w:r>
      <w:r w:rsidR="0002566F" w:rsidRPr="001F50BA">
        <w:rPr>
          <w:rFonts w:cs="Calibri"/>
          <w:kern w:val="1"/>
          <w:lang w:eastAsia="ar-SA"/>
        </w:rPr>
        <w:t>long</w:t>
      </w:r>
      <w:r w:rsidR="00C378AD" w:rsidRPr="001F50BA">
        <w:rPr>
          <w:rFonts w:cs="Calibri"/>
          <w:kern w:val="1"/>
          <w:lang w:eastAsia="ar-SA"/>
        </w:rPr>
        <w:t>-term</w:t>
      </w:r>
      <w:r w:rsidR="0002566F" w:rsidRPr="001F50BA">
        <w:rPr>
          <w:rFonts w:cs="Calibri"/>
          <w:kern w:val="1"/>
          <w:lang w:eastAsia="ar-SA"/>
        </w:rPr>
        <w:t xml:space="preserve"> follow-up</w:t>
      </w:r>
      <w:r w:rsidR="00C378AD" w:rsidRPr="001F50BA">
        <w:rPr>
          <w:rFonts w:cs="Calibri"/>
          <w:kern w:val="1"/>
          <w:lang w:eastAsia="ar-SA"/>
        </w:rPr>
        <w:t xml:space="preserve"> (up to eight years)</w:t>
      </w:r>
      <w:r w:rsidR="0002566F" w:rsidRPr="001F50BA">
        <w:rPr>
          <w:rFonts w:cs="Calibri"/>
          <w:kern w:val="1"/>
          <w:lang w:eastAsia="ar-SA"/>
        </w:rPr>
        <w:t xml:space="preserve">. </w:t>
      </w:r>
    </w:p>
    <w:p w14:paraId="1E3F55D1" w14:textId="77777777" w:rsidR="008D56E9" w:rsidRPr="001F50BA" w:rsidRDefault="008D56E9" w:rsidP="00772A4C">
      <w:pPr>
        <w:suppressAutoHyphens/>
        <w:spacing w:line="480" w:lineRule="auto"/>
        <w:jc w:val="both"/>
        <w:rPr>
          <w:rFonts w:cs="Calibri"/>
          <w:kern w:val="1"/>
          <w:lang w:eastAsia="ar-SA"/>
        </w:rPr>
      </w:pPr>
    </w:p>
    <w:p w14:paraId="7ECBF2E9" w14:textId="5D810948" w:rsidR="00156CF5" w:rsidRPr="001F50BA" w:rsidRDefault="00844548" w:rsidP="00B65D46">
      <w:pPr>
        <w:suppressAutoHyphens/>
        <w:spacing w:line="480" w:lineRule="auto"/>
        <w:jc w:val="both"/>
        <w:rPr>
          <w:rFonts w:cs="Calibri"/>
          <w:kern w:val="1"/>
          <w:lang w:eastAsia="ar-SA"/>
        </w:rPr>
      </w:pPr>
      <w:r w:rsidRPr="001F50BA">
        <w:rPr>
          <w:rFonts w:cs="Calibri"/>
          <w:kern w:val="1"/>
          <w:lang w:eastAsia="ar-SA"/>
        </w:rPr>
        <w:t>W</w:t>
      </w:r>
      <w:r w:rsidR="0002566F" w:rsidRPr="001F50BA">
        <w:rPr>
          <w:rFonts w:cs="Calibri"/>
          <w:kern w:val="1"/>
          <w:lang w:eastAsia="ar-SA"/>
        </w:rPr>
        <w:t xml:space="preserve">e observed that </w:t>
      </w:r>
      <w:r w:rsidR="00061770" w:rsidRPr="001F50BA">
        <w:rPr>
          <w:rFonts w:cs="Calibri"/>
          <w:kern w:val="1"/>
          <w:lang w:eastAsia="ar-SA"/>
        </w:rPr>
        <w:t>a</w:t>
      </w:r>
      <w:r w:rsidR="003C0858" w:rsidRPr="001F50BA">
        <w:rPr>
          <w:rFonts w:cs="Calibri"/>
          <w:kern w:val="1"/>
          <w:lang w:eastAsia="ar-SA"/>
        </w:rPr>
        <w:t xml:space="preserve"> </w:t>
      </w:r>
      <w:r w:rsidR="00E500B9" w:rsidRPr="001F50BA">
        <w:rPr>
          <w:rFonts w:cs="Calibri"/>
          <w:kern w:val="1"/>
          <w:lang w:eastAsia="ar-SA"/>
        </w:rPr>
        <w:t xml:space="preserve">high proportion </w:t>
      </w:r>
      <w:r w:rsidR="003C0858" w:rsidRPr="001F50BA">
        <w:rPr>
          <w:rFonts w:cs="Calibri"/>
          <w:kern w:val="1"/>
          <w:lang w:eastAsia="ar-SA"/>
        </w:rPr>
        <w:t xml:space="preserve">of people </w:t>
      </w:r>
      <w:r w:rsidR="00061770" w:rsidRPr="001F50BA">
        <w:rPr>
          <w:rFonts w:cs="Calibri"/>
          <w:kern w:val="1"/>
          <w:lang w:eastAsia="ar-SA"/>
        </w:rPr>
        <w:t>fel</w:t>
      </w:r>
      <w:r w:rsidRPr="001F50BA">
        <w:rPr>
          <w:rFonts w:cs="Calibri"/>
          <w:kern w:val="1"/>
          <w:lang w:eastAsia="ar-SA"/>
        </w:rPr>
        <w:t>l</w:t>
      </w:r>
      <w:r w:rsidR="003C0858" w:rsidRPr="001F50BA">
        <w:rPr>
          <w:rFonts w:cs="Calibri"/>
          <w:kern w:val="1"/>
          <w:lang w:eastAsia="ar-SA"/>
        </w:rPr>
        <w:t xml:space="preserve"> during the follow-up period</w:t>
      </w:r>
      <w:r w:rsidRPr="001F50BA">
        <w:rPr>
          <w:rFonts w:cs="Calibri"/>
          <w:kern w:val="1"/>
          <w:lang w:eastAsia="ar-SA"/>
        </w:rPr>
        <w:t xml:space="preserve"> and </w:t>
      </w:r>
      <w:r w:rsidR="00061770" w:rsidRPr="001F50BA">
        <w:rPr>
          <w:rFonts w:cs="Calibri"/>
          <w:kern w:val="1"/>
          <w:lang w:eastAsia="ar-SA"/>
        </w:rPr>
        <w:t xml:space="preserve"> about a quarter of the participants fel</w:t>
      </w:r>
      <w:r w:rsidRPr="001F50BA">
        <w:rPr>
          <w:rFonts w:cs="Calibri"/>
          <w:kern w:val="1"/>
          <w:lang w:eastAsia="ar-SA"/>
        </w:rPr>
        <w:t>l</w:t>
      </w:r>
      <w:r w:rsidR="00061770" w:rsidRPr="001F50BA">
        <w:rPr>
          <w:rFonts w:cs="Calibri"/>
          <w:kern w:val="1"/>
          <w:lang w:eastAsia="ar-SA"/>
        </w:rPr>
        <w:t xml:space="preserve"> more than two times every year.</w:t>
      </w:r>
      <w:r w:rsidR="003C0858" w:rsidRPr="001F50BA">
        <w:rPr>
          <w:rFonts w:cs="Calibri"/>
          <w:kern w:val="1"/>
          <w:lang w:eastAsia="ar-SA"/>
        </w:rPr>
        <w:t xml:space="preserve"> </w:t>
      </w:r>
      <w:r w:rsidR="005408D1" w:rsidRPr="001F50BA">
        <w:rPr>
          <w:rFonts w:cs="Calibri"/>
          <w:kern w:val="1"/>
          <w:lang w:eastAsia="ar-SA"/>
        </w:rPr>
        <w:t>We know that, f</w:t>
      </w:r>
      <w:r w:rsidR="00CD5427" w:rsidRPr="001F50BA">
        <w:rPr>
          <w:rFonts w:cs="Calibri"/>
          <w:kern w:val="1"/>
          <w:lang w:eastAsia="ar-SA"/>
        </w:rPr>
        <w:t xml:space="preserve">rom an epidemiological </w:t>
      </w:r>
      <w:r w:rsidR="005408D1" w:rsidRPr="001F50BA">
        <w:rPr>
          <w:rFonts w:cs="Calibri"/>
          <w:kern w:val="1"/>
          <w:lang w:eastAsia="ar-SA"/>
        </w:rPr>
        <w:t xml:space="preserve">perspective, </w:t>
      </w:r>
      <w:r w:rsidR="00B65D46" w:rsidRPr="001F50BA">
        <w:rPr>
          <w:rFonts w:cs="Calibri"/>
          <w:kern w:val="1"/>
          <w:lang w:eastAsia="ar-SA"/>
        </w:rPr>
        <w:t>falls are the second leading cause of injury deaths worldwide</w:t>
      </w:r>
      <w:r w:rsidR="005408D1" w:rsidRPr="001F50BA">
        <w:rPr>
          <w:rFonts w:cs="Calibri"/>
          <w:kern w:val="1"/>
          <w:lang w:eastAsia="ar-SA"/>
        </w:rPr>
        <w:t>, particularly in older people</w:t>
      </w:r>
      <w:r w:rsidR="00B65D46" w:rsidRPr="001F50BA">
        <w:rPr>
          <w:rFonts w:cs="Calibri"/>
          <w:kern w:val="1"/>
          <w:lang w:eastAsia="ar-SA"/>
        </w:rPr>
        <w:t xml:space="preserve">. </w:t>
      </w:r>
      <w:hyperlink w:anchor="_ENREF_31" w:tooltip="Organization, 2008 #5411"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&lt;EndNote&gt;&lt;Cite&gt;&lt;Author&gt;Organization&lt;/Author&gt;&lt;Year&gt;2008&lt;/Year&gt;&lt;RecNum&gt;5411&lt;/RecNum&gt;&lt;DisplayText&gt;&lt;style face="superscript"&gt;31&lt;/style&gt;&lt;/DisplayText&gt;&lt;record&gt;&lt;rec-number&gt;5411&lt;/rec-number&gt;&lt;foreign-keys&gt;&lt;key app="EN" db-id="t2wadffz0tdfane25rb50ezte9zwtdwpseft"&gt;5411&lt;/key&gt;&lt;/foreign-keys&gt;&lt;ref-type name="Journal Article"&gt;17&lt;/ref-type&gt;&lt;contributors&gt;&lt;authors&gt;&lt;author&gt;World Health Organization&lt;/author&gt;&lt;/authors&gt;&lt;/contributors&gt;&lt;titles&gt;&lt;title&gt;Ageing; Life Course Unit. WHO global report on falls prevention in older age&lt;/title&gt;&lt;secondary-title&gt;World Health Organization&lt;/secondary-title&gt;&lt;/titles&gt;&lt;periodical&gt;&lt;full-title&gt;World Health Organization&lt;/full-title&gt;&lt;/periodical&gt;&lt;dates&gt;&lt;year&gt;2008&lt;/year&gt;&lt;/dates&gt;&lt;urls&gt;&lt;/urls&gt;&lt;/record&gt;&lt;/Cite&gt;&lt;/EndNote&gt;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31</w:t>
        </w:r>
        <w:r w:rsidR="00762FAD" w:rsidRPr="001F50BA">
          <w:rPr>
            <w:rFonts w:cs="Calibri"/>
            <w:kern w:val="1"/>
            <w:lang w:eastAsia="ar-SA"/>
          </w:rPr>
          <w:fldChar w:fldCharType="end"/>
        </w:r>
      </w:hyperlink>
      <w:r w:rsidR="00B65D46" w:rsidRPr="001F50BA">
        <w:rPr>
          <w:rFonts w:cs="Calibri"/>
          <w:kern w:val="1"/>
          <w:lang w:eastAsia="ar-SA"/>
        </w:rPr>
        <w:t xml:space="preserve"> </w:t>
      </w:r>
      <w:r w:rsidRPr="001F50BA">
        <w:rPr>
          <w:rFonts w:cs="Calibri"/>
          <w:kern w:val="1"/>
          <w:lang w:eastAsia="ar-SA"/>
        </w:rPr>
        <w:t xml:space="preserve">The present </w:t>
      </w:r>
      <w:r w:rsidR="005408D1" w:rsidRPr="001F50BA">
        <w:rPr>
          <w:rFonts w:cs="Calibri"/>
          <w:kern w:val="1"/>
          <w:lang w:eastAsia="ar-SA"/>
        </w:rPr>
        <w:t xml:space="preserve"> study further reinforces this epidemiological evidence. </w:t>
      </w:r>
    </w:p>
    <w:p w14:paraId="7132D97D" w14:textId="77777777" w:rsidR="00156CF5" w:rsidRPr="001F50BA" w:rsidRDefault="00156CF5" w:rsidP="00B65D46">
      <w:pPr>
        <w:suppressAutoHyphens/>
        <w:spacing w:line="480" w:lineRule="auto"/>
        <w:jc w:val="both"/>
        <w:rPr>
          <w:rFonts w:cs="Calibri"/>
          <w:kern w:val="1"/>
          <w:lang w:eastAsia="ar-SA"/>
        </w:rPr>
      </w:pPr>
    </w:p>
    <w:p w14:paraId="46CE928F" w14:textId="6676542B" w:rsidR="007D2F41" w:rsidRPr="001F50BA" w:rsidRDefault="005408D1" w:rsidP="005408D1">
      <w:pPr>
        <w:suppressAutoHyphens/>
        <w:spacing w:line="480" w:lineRule="auto"/>
        <w:jc w:val="both"/>
        <w:rPr>
          <w:rFonts w:cs="Calibri"/>
          <w:kern w:val="1"/>
          <w:lang w:eastAsia="ar-SA"/>
        </w:rPr>
      </w:pPr>
      <w:r w:rsidRPr="001F50BA">
        <w:rPr>
          <w:rFonts w:cs="Calibri"/>
          <w:kern w:val="1"/>
          <w:lang w:eastAsia="ar-SA"/>
        </w:rPr>
        <w:t xml:space="preserve">The topic of frailty and risk of falls is of great interest in geriatric medicine. A systematic review </w:t>
      </w:r>
      <w:r w:rsidR="00844548" w:rsidRPr="001F50BA">
        <w:rPr>
          <w:rFonts w:cs="Calibri"/>
          <w:kern w:val="1"/>
          <w:lang w:eastAsia="ar-SA"/>
        </w:rPr>
        <w:t xml:space="preserve">and </w:t>
      </w:r>
      <w:r w:rsidRPr="001F50BA">
        <w:rPr>
          <w:rFonts w:cs="Calibri"/>
          <w:kern w:val="1"/>
          <w:lang w:eastAsia="ar-SA"/>
        </w:rPr>
        <w:t xml:space="preserve">meta-analysis in 102,130 community-dwelling older adults found that compared with robust older adults, frail older persons demonstrated the greatest risk for falls (OR=2.50; 95%CI: 1.58-3.96), followed by prefrail older adults (OR=1.47; 1.22-1.79), being similar, also in strength, to </w:t>
      </w:r>
      <w:r w:rsidR="00844548" w:rsidRPr="001F50BA">
        <w:rPr>
          <w:rFonts w:cs="Calibri"/>
          <w:kern w:val="1"/>
          <w:lang w:eastAsia="ar-SA"/>
        </w:rPr>
        <w:t>the present</w:t>
      </w:r>
      <w:r w:rsidRPr="001F50BA">
        <w:rPr>
          <w:rFonts w:cs="Calibri"/>
          <w:kern w:val="1"/>
          <w:lang w:eastAsia="ar-SA"/>
        </w:rPr>
        <w:t xml:space="preserve"> findings.</w:t>
      </w:r>
      <w:hyperlink w:anchor="_ENREF_32" w:tooltip="Cheng, 2017 #7164"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&lt;EndNote&gt;&lt;Cite&gt;&lt;Author&gt;Cheng&lt;/Author&gt;&lt;Year&gt;2017&lt;/Year&gt;&lt;RecNum&gt;7164&lt;/RecNum&gt;&lt;DisplayText&gt;&lt;style face="superscript"&gt;32&lt;/style&gt;&lt;/DisplayText&gt;&lt;record&gt;&lt;rec-number&gt;7164&lt;/rec-number&gt;&lt;foreign-keys&gt;&lt;key app="EN" db-id="t2wadffz0tdfane25rb50ezte9zwtdwpseft"&gt;7164&lt;/key&gt;&lt;/foreign-keys&gt;&lt;ref-type name="Journal Article"&gt;17&lt;/ref-type&gt;&lt;contributors&gt;&lt;authors&gt;&lt;author&gt;Cheng, Mei‐Hsun&lt;/author&gt;&lt;author&gt;Chang, Shu‐Fang&lt;/author&gt;&lt;/authors&gt;&lt;/contributors&gt;&lt;titles&gt;&lt;title&gt;Frailty as a Risk Factor for Falls Among Community Dwelling People: Evidence From a Meta‐Analysis&lt;/title&gt;&lt;secondary-title&gt;Journal of nursing scholarship&lt;/secondary-title&gt;&lt;/titles&gt;&lt;periodical&gt;&lt;full-title&gt;Journal of nursing scholarship&lt;/full-title&gt;&lt;/periodical&gt;&lt;pages&gt;529-536&lt;/pages&gt;&lt;volume&gt;49&lt;/volume&gt;&lt;number&gt;5&lt;/number&gt;&lt;dates&gt;&lt;year&gt;2017&lt;/year&gt;&lt;/dates&gt;&lt;isbn&gt;1547-5069&lt;/isbn&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32</w:t>
        </w:r>
        <w:r w:rsidR="00762FAD" w:rsidRPr="001F50BA">
          <w:rPr>
            <w:rFonts w:cs="Calibri"/>
            <w:kern w:val="1"/>
            <w:lang w:eastAsia="ar-SA"/>
          </w:rPr>
          <w:fldChar w:fldCharType="end"/>
        </w:r>
      </w:hyperlink>
      <w:r w:rsidRPr="001F50BA">
        <w:rPr>
          <w:rFonts w:cs="Calibri"/>
          <w:kern w:val="1"/>
          <w:lang w:eastAsia="ar-SA"/>
        </w:rPr>
        <w:t xml:space="preserve"> This evidence was also confirmed by </w:t>
      </w:r>
      <w:r w:rsidR="005C5E68" w:rsidRPr="001F50BA">
        <w:rPr>
          <w:rFonts w:cs="Calibri"/>
          <w:kern w:val="1"/>
          <w:lang w:eastAsia="ar-SA"/>
        </w:rPr>
        <w:t>a previous</w:t>
      </w:r>
      <w:r w:rsidRPr="001F50BA">
        <w:rPr>
          <w:rFonts w:cs="Calibri"/>
          <w:kern w:val="1"/>
          <w:lang w:eastAsia="ar-SA"/>
        </w:rPr>
        <w:t xml:space="preserve"> meta-analysis regarding this topic.</w:t>
      </w:r>
      <w:hyperlink w:anchor="_ENREF_33" w:tooltip="Kojima, 2015 #7165"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&lt;EndNote&gt;&lt;Cite&gt;&lt;Author&gt;Kojima&lt;/Author&gt;&lt;Year&gt;2015&lt;/Year&gt;&lt;RecNum&gt;7165&lt;/RecNum&gt;&lt;DisplayText&gt;&lt;style face="superscript"&gt;33&lt;/style&gt;&lt;/DisplayText&gt;&lt;record&gt;&lt;rec-number&gt;7165&lt;/rec-number&gt;&lt;foreign-keys&gt;&lt;key app="EN" db-id="t2wadffz0tdfane25rb50ezte9zwtdwpseft"&gt;7165&lt;/key&gt;&lt;/foreign-keys&gt;&lt;ref-type name="Journal Article"&gt;17&lt;/ref-type&gt;&lt;contributors&gt;&lt;authors&gt;&lt;author&gt;Kojima, Gotaro&lt;/author&gt;&lt;/authors&gt;&lt;/contributors&gt;&lt;titles&gt;&lt;title&gt;Frailty as a predictor of future falls among community-dwelling older people: a systematic review and meta-analysis&lt;/title&gt;&lt;secondary-title&gt;Journal of the American Medical Directors Association&lt;/secondary-title&gt;&lt;/titles&gt;&lt;periodical&gt;&lt;full-title&gt;J Am Med Dir Assoc&lt;/full-title&gt;&lt;abbr-1&gt;Journal of the American Medical Directors Association&lt;/abbr-1&gt;&lt;/periodical&gt;&lt;pages&gt;1027-1033&lt;/pages&gt;&lt;volume&gt;16&lt;/volume&gt;&lt;number&gt;12&lt;/number&gt;&lt;dates&gt;&lt;year&gt;2015&lt;/year&gt;&lt;/dates&gt;&lt;isbn&gt;1525-8610&lt;/isbn&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33</w:t>
        </w:r>
        <w:r w:rsidR="00762FAD" w:rsidRPr="001F50BA">
          <w:rPr>
            <w:rFonts w:cs="Calibri"/>
            <w:kern w:val="1"/>
            <w:lang w:eastAsia="ar-SA"/>
          </w:rPr>
          <w:fldChar w:fldCharType="end"/>
        </w:r>
      </w:hyperlink>
      <w:r w:rsidRPr="001F50BA">
        <w:rPr>
          <w:rFonts w:cs="Calibri"/>
          <w:kern w:val="1"/>
          <w:lang w:eastAsia="ar-SA"/>
        </w:rPr>
        <w:t xml:space="preserve"> </w:t>
      </w:r>
      <w:r w:rsidR="007D2F41" w:rsidRPr="001F50BA">
        <w:rPr>
          <w:rFonts w:cs="Calibri"/>
          <w:kern w:val="1"/>
          <w:lang w:eastAsia="ar-SA"/>
        </w:rPr>
        <w:t xml:space="preserve">Of importance, in these meta-analyses, frail older adults also demonstrate higher risk for recurrent falls </w:t>
      </w:r>
      <w:r w:rsidR="00F47BD5" w:rsidRPr="001F50BA">
        <w:rPr>
          <w:rFonts w:cs="Calibri"/>
          <w:kern w:val="1"/>
          <w:lang w:eastAsia="ar-SA"/>
        </w:rPr>
        <w:fldChar w:fldCharType="begin"/>
      </w:r>
      <w:r w:rsidR="009E7CEA" w:rsidRPr="001F50BA">
        <w:rPr>
          <w:rFonts w:cs="Calibri"/>
          <w:kern w:val="1"/>
          <w:lang w:eastAsia="ar-SA"/>
        </w:rPr>
        <w:instrText xml:space="preserve"> ADDIN EN.CITE &lt;EndNote&gt;&lt;Cite&gt;&lt;Author&gt;Cheng&lt;/Author&gt;&lt;Year&gt;2017&lt;/Year&gt;&lt;RecNum&gt;7164&lt;/RecNum&gt;&lt;DisplayText&gt;&lt;style face="superscript"&gt;32, 33&lt;/style&gt;&lt;/DisplayText&gt;&lt;record&gt;&lt;rec-number&gt;7164&lt;/rec-number&gt;&lt;foreign-keys&gt;&lt;key app="EN" db-id="t2wadffz0tdfane25rb50ezte9zwtdwpseft"&gt;7164&lt;/key&gt;&lt;/foreign-keys&gt;&lt;ref-type name="Journal Article"&gt;17&lt;/ref-type&gt;&lt;contributors&gt;&lt;authors&gt;&lt;author&gt;Cheng, Mei‐Hsun&lt;/author&gt;&lt;author&gt;Chang, Shu‐Fang&lt;/author&gt;&lt;/authors&gt;&lt;/contributors&gt;&lt;titles&gt;&lt;title&gt;Frailty as a Risk Factor for Falls Among Community Dwelling People: Evidence From a Meta‐Analysis&lt;/title&gt;&lt;secondary-title&gt;Journal of nursing scholarship&lt;/secondary-title&gt;&lt;/titles&gt;&lt;periodical&gt;&lt;full-title&gt;Journal of nursing scholarship&lt;/full-title&gt;&lt;/periodical&gt;&lt;pages&gt;529-536&lt;/pages&gt;&lt;volume&gt;49&lt;/volume&gt;&lt;number&gt;5&lt;/number&gt;&lt;dates&gt;&lt;year&gt;2017&lt;/year&gt;&lt;/dates&gt;&lt;isbn&gt;1547-5069&lt;/isbn&gt;&lt;urls&gt;&lt;/urls&gt;&lt;/record&gt;&lt;/Cite&gt;&lt;Cite&gt;&lt;Author&gt;Kojima&lt;/Author&gt;&lt;Year&gt;2015&lt;/Year&gt;&lt;RecNum&gt;7165&lt;/RecNum&gt;&lt;record&gt;&lt;rec-number&gt;7165&lt;/rec-number&gt;&lt;foreign-keys&gt;&lt;key app="EN" db-id="t2wadffz0tdfane25rb50ezte9zwtdwpseft"&gt;7165&lt;/key&gt;&lt;/foreign-keys&gt;&lt;ref-type name="Journal Article"&gt;17&lt;/ref-type&gt;&lt;contributors&gt;&lt;authors&gt;&lt;author&gt;Kojima, Gotaro&lt;/author&gt;&lt;/authors&gt;&lt;/contributors&gt;&lt;titles&gt;&lt;title&gt;Frailty as a predictor of future falls among community-dwelling older people: a systematic review and meta-analysis&lt;/title&gt;&lt;secondary-title&gt;Journal of the American Medical Directors Association&lt;/secondary-title&gt;&lt;/titles&gt;&lt;periodical&gt;&lt;full-title&gt;J Am Med Dir Assoc&lt;/full-title&gt;&lt;abbr-1&gt;Journal of the American Medical Directors Association&lt;/abbr-1&gt;&lt;/periodical&gt;&lt;pages&gt;1027-1033&lt;/pages&gt;&lt;volume&gt;16&lt;/volume&gt;&lt;number&gt;12&lt;/number&gt;&lt;dates&gt;&lt;year&gt;2015&lt;/year&gt;&lt;/dates&gt;&lt;isbn&gt;1525-8610&lt;/isbn&gt;&lt;urls&gt;&lt;/urls&gt;&lt;/record&gt;&lt;/Cite&gt;&lt;/EndNote&gt;</w:instrText>
      </w:r>
      <w:r w:rsidR="00F47BD5" w:rsidRPr="001F50BA">
        <w:rPr>
          <w:rFonts w:cs="Calibri"/>
          <w:kern w:val="1"/>
          <w:lang w:eastAsia="ar-SA"/>
        </w:rPr>
        <w:fldChar w:fldCharType="separate"/>
      </w:r>
      <w:hyperlink w:anchor="_ENREF_32" w:tooltip="Cheng, 2017 #7164" w:history="1">
        <w:r w:rsidR="00762FAD" w:rsidRPr="001F50BA">
          <w:rPr>
            <w:rFonts w:cs="Calibri"/>
            <w:noProof/>
            <w:kern w:val="1"/>
            <w:vertAlign w:val="superscript"/>
            <w:lang w:eastAsia="ar-SA"/>
          </w:rPr>
          <w:t>32</w:t>
        </w:r>
      </w:hyperlink>
      <w:r w:rsidR="009E7CEA" w:rsidRPr="001F50BA">
        <w:rPr>
          <w:rFonts w:cs="Calibri"/>
          <w:noProof/>
          <w:kern w:val="1"/>
          <w:vertAlign w:val="superscript"/>
          <w:lang w:eastAsia="ar-SA"/>
        </w:rPr>
        <w:t xml:space="preserve">, </w:t>
      </w:r>
      <w:hyperlink w:anchor="_ENREF_33" w:tooltip="Kojima, 2015 #7165" w:history="1">
        <w:r w:rsidR="00762FAD" w:rsidRPr="001F50BA">
          <w:rPr>
            <w:rFonts w:cs="Calibri"/>
            <w:noProof/>
            <w:kern w:val="1"/>
            <w:vertAlign w:val="superscript"/>
            <w:lang w:eastAsia="ar-SA"/>
          </w:rPr>
          <w:t>33</w:t>
        </w:r>
      </w:hyperlink>
      <w:r w:rsidR="00F47BD5" w:rsidRPr="001F50BA">
        <w:rPr>
          <w:rFonts w:cs="Calibri"/>
          <w:kern w:val="1"/>
          <w:lang w:eastAsia="ar-SA"/>
        </w:rPr>
        <w:fldChar w:fldCharType="end"/>
      </w:r>
      <w:hyperlink w:anchor="_ENREF_34" w:tooltip="Kojima, 2015 #7165" w:history="1"/>
      <w:r w:rsidR="007D2F41" w:rsidRPr="001F50BA">
        <w:rPr>
          <w:rFonts w:cs="Calibri"/>
          <w:kern w:val="1"/>
          <w:lang w:eastAsia="ar-SA"/>
        </w:rPr>
        <w:t xml:space="preserve"> and also of fractures, particularly of hip fractures. </w:t>
      </w:r>
      <w:hyperlink w:anchor="_ENREF_34" w:tooltip="Chen, 2017 #7166"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&lt;EndNote&gt;&lt;Cite&gt;&lt;Author&gt;Chen&lt;/Author&gt;&lt;Year&gt;2017&lt;/Year&gt;&lt;RecNum&gt;7166&lt;/RecNum&gt;&lt;DisplayText&gt;&lt;style face="superscript"&gt;34&lt;/style&gt;&lt;/DisplayText&gt;&lt;record&gt;&lt;rec-number&gt;7166&lt;/rec-number&gt;&lt;foreign-keys&gt;&lt;key app="EN" db-id="t2wadffz0tdfane25rb50ezte9zwtdwpseft"&gt;7166&lt;/key&gt;&lt;/foreign-keys&gt;&lt;ref-type name="Journal Article"&gt;17&lt;/ref-type&gt;&lt;contributors&gt;&lt;authors&gt;&lt;author&gt;Chen, Kuo‐Wei&lt;/author&gt;&lt;author&gt;Chang, Shu‐Fang&lt;/author&gt;&lt;author&gt;Lin, Pei‐Ling&lt;/author&gt;&lt;/authors&gt;&lt;/contributors&gt;&lt;titles&gt;&lt;title&gt;Frailty as a Predictor of Future Fracture in Older Adults: A Systematic Review and Meta‐Analysis&lt;/title&gt;&lt;secondary-title&gt;Worldviews on Evidence‐Based Nursing&lt;/secondary-title&gt;&lt;/titles&gt;&lt;periodical&gt;&lt;full-title&gt;Worldviews on Evidence‐Based Nursing&lt;/full-title&gt;&lt;/periodical&gt;&lt;pages&gt;282-293&lt;/pages&gt;&lt;volume&gt;14&lt;/volume&gt;&lt;number&gt;4&lt;/number&gt;&lt;dates&gt;&lt;year&gt;2017&lt;/year&gt;&lt;/dates&gt;&lt;isbn&gt;1545-102X&lt;/isbn&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34</w:t>
        </w:r>
        <w:r w:rsidR="00762FAD" w:rsidRPr="001F50BA">
          <w:rPr>
            <w:rFonts w:cs="Calibri"/>
            <w:kern w:val="1"/>
            <w:lang w:eastAsia="ar-SA"/>
          </w:rPr>
          <w:fldChar w:fldCharType="end"/>
        </w:r>
      </w:hyperlink>
    </w:p>
    <w:p w14:paraId="7DD9656A" w14:textId="77777777" w:rsidR="005408D1" w:rsidRPr="001F50BA" w:rsidRDefault="005408D1" w:rsidP="00FE38AD">
      <w:pPr>
        <w:suppressAutoHyphens/>
        <w:spacing w:line="480" w:lineRule="auto"/>
        <w:jc w:val="both"/>
        <w:rPr>
          <w:rFonts w:cs="Calibri"/>
          <w:kern w:val="1"/>
          <w:lang w:eastAsia="ar-SA"/>
        </w:rPr>
      </w:pPr>
    </w:p>
    <w:p w14:paraId="1814A22D" w14:textId="48B2B30E" w:rsidR="00FD3BF5" w:rsidRPr="001F50BA" w:rsidRDefault="00FD3BF5" w:rsidP="00FD3BF5">
      <w:pPr>
        <w:suppressAutoHyphens/>
        <w:spacing w:line="480" w:lineRule="auto"/>
        <w:jc w:val="both"/>
        <w:rPr>
          <w:rFonts w:cs="Calibri"/>
          <w:kern w:val="1"/>
          <w:lang w:val="en-GB" w:eastAsia="ar-SA"/>
        </w:rPr>
      </w:pPr>
      <w:r w:rsidRPr="001F50BA">
        <w:rPr>
          <w:rFonts w:cs="Calibri"/>
          <w:kern w:val="1"/>
          <w:lang w:val="en-GB" w:eastAsia="ar-SA"/>
        </w:rPr>
        <w:t xml:space="preserve">The </w:t>
      </w:r>
      <w:r w:rsidR="00C378AD" w:rsidRPr="001F50BA">
        <w:rPr>
          <w:rFonts w:cs="Calibri"/>
          <w:kern w:val="1"/>
          <w:lang w:val="en-GB" w:eastAsia="ar-SA"/>
        </w:rPr>
        <w:t>MPI</w:t>
      </w:r>
      <w:r w:rsidRPr="001F50BA">
        <w:rPr>
          <w:rFonts w:cs="Calibri"/>
          <w:kern w:val="1"/>
          <w:lang w:val="en-GB" w:eastAsia="ar-SA"/>
        </w:rPr>
        <w:t xml:space="preserve"> has been validated in over 12,000 patients suffering from acute</w:t>
      </w:r>
      <w:r w:rsidR="00C378AD" w:rsidRPr="001F50BA">
        <w:rPr>
          <w:rFonts w:cs="Calibri"/>
          <w:kern w:val="1"/>
          <w:lang w:val="en-GB" w:eastAsia="ar-SA"/>
        </w:rPr>
        <w:t xml:space="preserve"> and</w:t>
      </w:r>
      <w:r w:rsidRPr="001F50BA">
        <w:rPr>
          <w:rFonts w:cs="Calibri"/>
          <w:kern w:val="1"/>
          <w:lang w:val="en-GB" w:eastAsia="ar-SA"/>
        </w:rPr>
        <w:t xml:space="preserve"> chronic conditions</w:t>
      </w:r>
      <w:r w:rsidR="00F47BD5" w:rsidRPr="001F50BA">
        <w:rPr>
          <w:rFonts w:cs="Calibri"/>
          <w:kern w:val="1"/>
          <w:lang w:val="en-GB" w:eastAsia="ar-SA"/>
        </w:rPr>
        <w:fldChar w:fldCharType="begin">
          <w:fldData xml:space="preserve">PEVuZE5vdGU+PENpdGU+PEF1dGhvcj5QaWxvdHRvPC9BdXRob3I+PFllYXI+MjAxNDwvWWVhcj48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ZiBpbnRlcm5hbCBtZWRpY2luZTwvYWJici0xPjwvYWx0LXBlcmlvZGljYWw+PHBhZ2VzPjU5NDsg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</w:fldData>
        </w:fldChar>
      </w:r>
      <w:r w:rsidR="009E7CEA" w:rsidRPr="001F50BA">
        <w:rPr>
          <w:rFonts w:cs="Calibri"/>
          <w:kern w:val="1"/>
          <w:lang w:val="en-GB" w:eastAsia="ar-SA"/>
        </w:rPr>
        <w:instrText xml:space="preserve"> ADDIN EN.CITE </w:instrText>
      </w:r>
      <w:r w:rsidR="009E7CEA" w:rsidRPr="001F50BA">
        <w:rPr>
          <w:rFonts w:cs="Calibri"/>
          <w:kern w:val="1"/>
          <w:lang w:val="en-GB" w:eastAsia="ar-SA"/>
        </w:rPr>
        <w:fldChar w:fldCharType="begin">
          <w:fldData xml:space="preserve">PEVuZE5vdGU+PENpdGU+PEF1dGhvcj5QaWxvdHRvPC9BdXRob3I+PFllYXI+MjAxNDwvWWVhcj48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</w:fldData>
        </w:fldChar>
      </w:r>
      <w:r w:rsidR="009E7CEA" w:rsidRPr="001F50BA">
        <w:rPr>
          <w:rFonts w:cs="Calibri"/>
          <w:kern w:val="1"/>
          <w:lang w:val="en-GB" w:eastAsia="ar-SA"/>
        </w:rPr>
        <w:instrText xml:space="preserve"> ADDIN EN.CITE.DATA </w:instrText>
      </w:r>
      <w:r w:rsidR="009E7CEA" w:rsidRPr="001F50BA">
        <w:rPr>
          <w:rFonts w:cs="Calibri"/>
          <w:kern w:val="1"/>
          <w:lang w:val="en-GB" w:eastAsia="ar-SA"/>
        </w:rPr>
      </w:r>
      <w:r w:rsidR="009E7CEA" w:rsidRPr="001F50BA">
        <w:rPr>
          <w:rFonts w:cs="Calibri"/>
          <w:kern w:val="1"/>
          <w:lang w:val="en-GB" w:eastAsia="ar-SA"/>
        </w:rPr>
        <w:fldChar w:fldCharType="end"/>
      </w:r>
      <w:r w:rsidR="00F47BD5" w:rsidRPr="001F50BA">
        <w:rPr>
          <w:rFonts w:cs="Calibri"/>
          <w:kern w:val="1"/>
          <w:lang w:val="en-GB" w:eastAsia="ar-SA"/>
        </w:rPr>
      </w:r>
      <w:r w:rsidR="00F47BD5" w:rsidRPr="001F50BA">
        <w:rPr>
          <w:rFonts w:cs="Calibri"/>
          <w:kern w:val="1"/>
          <w:lang w:val="en-GB" w:eastAsia="ar-SA"/>
        </w:rPr>
        <w:fldChar w:fldCharType="separate"/>
      </w:r>
      <w:hyperlink w:anchor="_ENREF_35" w:tooltip="Pilotto, 2014 #1526" w:history="1">
        <w:r w:rsidR="00762FAD" w:rsidRPr="001F50BA">
          <w:rPr>
            <w:rFonts w:cs="Calibri"/>
            <w:noProof/>
            <w:kern w:val="1"/>
            <w:vertAlign w:val="superscript"/>
            <w:lang w:val="en-GB" w:eastAsia="ar-SA"/>
          </w:rPr>
          <w:t>35</w:t>
        </w:r>
      </w:hyperlink>
      <w:r w:rsidR="009E7CEA" w:rsidRPr="001F50BA">
        <w:rPr>
          <w:rFonts w:cs="Calibri"/>
          <w:noProof/>
          <w:kern w:val="1"/>
          <w:vertAlign w:val="superscript"/>
          <w:lang w:val="en-GB" w:eastAsia="ar-SA"/>
        </w:rPr>
        <w:t xml:space="preserve">, </w:t>
      </w:r>
      <w:hyperlink w:anchor="_ENREF_36" w:tooltip="Pilotto, 2012 #3274" w:history="1">
        <w:r w:rsidR="00762FAD" w:rsidRPr="001F50BA">
          <w:rPr>
            <w:rFonts w:cs="Calibri"/>
            <w:noProof/>
            <w:kern w:val="1"/>
            <w:vertAlign w:val="superscript"/>
            <w:lang w:val="en-GB" w:eastAsia="ar-SA"/>
          </w:rPr>
          <w:t>36</w:t>
        </w:r>
      </w:hyperlink>
      <w:r w:rsidR="00F47BD5" w:rsidRPr="001F50BA">
        <w:rPr>
          <w:rFonts w:cs="Calibri"/>
          <w:kern w:val="1"/>
          <w:lang w:eastAsia="ar-SA"/>
        </w:rPr>
        <w:fldChar w:fldCharType="end"/>
      </w:r>
      <w:r w:rsidR="00C378AD" w:rsidRPr="001F50BA">
        <w:rPr>
          <w:rFonts w:cs="Calibri"/>
          <w:kern w:val="1"/>
          <w:lang w:val="en-GB" w:eastAsia="ar-SA"/>
        </w:rPr>
        <w:t xml:space="preserve">, demonstrating </w:t>
      </w:r>
      <w:r w:rsidR="0054097B" w:rsidRPr="001F50BA">
        <w:rPr>
          <w:rFonts w:cs="Calibri"/>
          <w:kern w:val="1"/>
          <w:lang w:val="en-GB" w:eastAsia="ar-SA"/>
        </w:rPr>
        <w:t xml:space="preserve">in a multicentre study </w:t>
      </w:r>
      <w:r w:rsidR="00C378AD" w:rsidRPr="001F50BA">
        <w:rPr>
          <w:rFonts w:cs="Calibri"/>
          <w:kern w:val="1"/>
          <w:lang w:val="en-GB" w:eastAsia="ar-SA"/>
        </w:rPr>
        <w:t>a significant higher mortality predictive accuracy than three other frailty instruments</w:t>
      </w:r>
      <w:r w:rsidR="00C43ED7" w:rsidRPr="001F50BA">
        <w:rPr>
          <w:rFonts w:cs="Calibri"/>
          <w:kern w:val="1"/>
          <w:lang w:val="en-GB" w:eastAsia="ar-SA"/>
        </w:rPr>
        <w:t>.</w:t>
      </w:r>
      <w:hyperlink w:anchor="_ENREF_23" w:tooltip="Pilotto, 2012 #3274" w:history="1"/>
      <w:hyperlink w:anchor="_ENREF_37" w:tooltip="Pilotto, 2012 #3272" w:history="1">
        <w:r w:rsidR="00762FAD" w:rsidRPr="001F50BA">
          <w:rPr>
            <w:rFonts w:cs="Calibri"/>
            <w:kern w:val="1"/>
            <w:lang w:val="en-GB" w:eastAsia="ar-SA"/>
          </w:rPr>
          <w:fldChar w:fldCharType="begin">
            <w:fldData xml:space="preserve">PEVuZE5vdGU+PENpdGU+PEF1dGhvcj5QaWxvdHRvPC9BdXRob3I+PFllYXI+MjAxMjwvWWVhcj48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ZT48YWJici0xPlBsb1Mgb25lPC9hYmJyLTE+PC9hbHQtcGVyaW9kaWNhbD48cGFnZXM+ZTI5MDkw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</w:fldData>
          </w:fldChar>
        </w:r>
        <w:r w:rsidR="00762FAD" w:rsidRPr="001F50BA">
          <w:rPr>
            <w:rFonts w:cs="Calibri"/>
            <w:kern w:val="1"/>
            <w:lang w:val="en-GB" w:eastAsia="ar-SA"/>
          </w:rPr>
          <w:instrText xml:space="preserve"> ADDIN EN.CITE </w:instrText>
        </w:r>
        <w:r w:rsidR="00762FAD" w:rsidRPr="001F50BA">
          <w:rPr>
            <w:rFonts w:cs="Calibri"/>
            <w:kern w:val="1"/>
            <w:lang w:val="en-GB" w:eastAsia="ar-SA"/>
          </w:rPr>
          <w:fldChar w:fldCharType="begin">
            <w:fldData xml:space="preserve">PEVuZE5vdGU+PENpdGU+PEF1dGhvcj5QaWxvdHRvPC9BdXRob3I+PFllYXI+MjAxMjwvWWVhcj48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</w:fldData>
          </w:fldChar>
        </w:r>
        <w:r w:rsidR="00762FAD" w:rsidRPr="001F50BA">
          <w:rPr>
            <w:rFonts w:cs="Calibri"/>
            <w:kern w:val="1"/>
            <w:lang w:val="en-GB" w:eastAsia="ar-SA"/>
          </w:rPr>
          <w:instrText xml:space="preserve"> ADDIN EN.CITE.DATA </w:instrText>
        </w:r>
        <w:r w:rsidR="00762FAD" w:rsidRPr="001F50BA">
          <w:rPr>
            <w:rFonts w:cs="Calibri"/>
            <w:kern w:val="1"/>
            <w:lang w:val="en-GB" w:eastAsia="ar-SA"/>
          </w:rPr>
        </w:r>
        <w:r w:rsidR="00762FAD" w:rsidRPr="001F50BA">
          <w:rPr>
            <w:rFonts w:cs="Calibri"/>
            <w:kern w:val="1"/>
            <w:lang w:val="en-GB" w:eastAsia="ar-SA"/>
          </w:rPr>
          <w:fldChar w:fldCharType="end"/>
        </w:r>
        <w:r w:rsidR="00762FAD" w:rsidRPr="001F50BA">
          <w:rPr>
            <w:rFonts w:cs="Calibri"/>
            <w:kern w:val="1"/>
            <w:lang w:val="en-GB" w:eastAsia="ar-SA"/>
          </w:rPr>
        </w:r>
        <w:r w:rsidR="00762FAD" w:rsidRPr="001F50BA">
          <w:rPr>
            <w:rFonts w:cs="Calibri"/>
            <w:kern w:val="1"/>
            <w:lang w:val="en-GB" w:eastAsia="ar-SA"/>
          </w:rPr>
          <w:fldChar w:fldCharType="separate"/>
        </w:r>
        <w:r w:rsidR="00762FAD" w:rsidRPr="001F50BA">
          <w:rPr>
            <w:rFonts w:cs="Calibri"/>
            <w:noProof/>
            <w:kern w:val="1"/>
            <w:vertAlign w:val="superscript"/>
            <w:lang w:val="en-GB" w:eastAsia="ar-SA"/>
          </w:rPr>
          <w:t>37</w:t>
        </w:r>
        <w:r w:rsidR="00762FAD" w:rsidRPr="001F50BA">
          <w:rPr>
            <w:rFonts w:cs="Calibri"/>
            <w:kern w:val="1"/>
            <w:lang w:eastAsia="ar-SA"/>
          </w:rPr>
          <w:fldChar w:fldCharType="end"/>
        </w:r>
      </w:hyperlink>
      <w:r w:rsidRPr="001F50BA">
        <w:rPr>
          <w:rFonts w:cs="Calibri"/>
          <w:kern w:val="1"/>
          <w:lang w:val="en-GB" w:eastAsia="ar-SA"/>
        </w:rPr>
        <w:t xml:space="preserve"> </w:t>
      </w:r>
      <w:r w:rsidR="00303C8C" w:rsidRPr="001F50BA">
        <w:rPr>
          <w:rFonts w:cs="Calibri"/>
          <w:kern w:val="1"/>
          <w:lang w:val="en-GB" w:eastAsia="ar-SA"/>
        </w:rPr>
        <w:t xml:space="preserve">More recently </w:t>
      </w:r>
      <w:r w:rsidR="0054097B" w:rsidRPr="001F50BA">
        <w:rPr>
          <w:rFonts w:cs="Calibri"/>
          <w:kern w:val="1"/>
          <w:lang w:val="en-GB" w:eastAsia="ar-SA"/>
        </w:rPr>
        <w:t xml:space="preserve">another multicentre international study  </w:t>
      </w:r>
      <w:r w:rsidRPr="001F50BA">
        <w:rPr>
          <w:rFonts w:cs="Calibri"/>
          <w:kern w:val="1"/>
          <w:lang w:val="en-GB" w:eastAsia="ar-SA"/>
        </w:rPr>
        <w:t xml:space="preserve">confirmed that the MPI </w:t>
      </w:r>
      <w:r w:rsidR="0054097B" w:rsidRPr="001F50BA">
        <w:rPr>
          <w:rFonts w:cs="Calibri"/>
          <w:kern w:val="1"/>
          <w:lang w:val="en-GB" w:eastAsia="ar-SA"/>
        </w:rPr>
        <w:t>wa</w:t>
      </w:r>
      <w:r w:rsidRPr="001F50BA">
        <w:rPr>
          <w:rFonts w:cs="Calibri"/>
          <w:kern w:val="1"/>
          <w:lang w:val="en-GB" w:eastAsia="ar-SA"/>
        </w:rPr>
        <w:t>s significantly associated with a higher risk of mortality</w:t>
      </w:r>
      <w:r w:rsidR="0054097B" w:rsidRPr="001F50BA">
        <w:rPr>
          <w:rFonts w:cs="Calibri"/>
          <w:kern w:val="1"/>
          <w:lang w:val="en-GB" w:eastAsia="ar-SA"/>
        </w:rPr>
        <w:t xml:space="preserve"> and even </w:t>
      </w:r>
      <w:r w:rsidR="00303C8C" w:rsidRPr="001F50BA">
        <w:rPr>
          <w:rFonts w:cs="Calibri"/>
          <w:kern w:val="1"/>
          <w:lang w:val="en-GB" w:eastAsia="ar-SA"/>
        </w:rPr>
        <w:t xml:space="preserve"> </w:t>
      </w:r>
      <w:r w:rsidR="0054097B" w:rsidRPr="001F50BA">
        <w:rPr>
          <w:rFonts w:cs="Calibri"/>
          <w:kern w:val="1"/>
          <w:lang w:val="en-GB" w:eastAsia="ar-SA"/>
        </w:rPr>
        <w:t xml:space="preserve">with </w:t>
      </w:r>
      <w:r w:rsidR="00303C8C" w:rsidRPr="001F50BA">
        <w:rPr>
          <w:rFonts w:cs="Calibri"/>
          <w:kern w:val="1"/>
          <w:lang w:val="en-GB" w:eastAsia="ar-SA"/>
        </w:rPr>
        <w:t xml:space="preserve">re-hospitalization, higher necessity of </w:t>
      </w:r>
      <w:r w:rsidR="00D60311" w:rsidRPr="001F50BA">
        <w:rPr>
          <w:rFonts w:cs="Calibri"/>
          <w:kern w:val="1"/>
          <w:lang w:val="en-GB" w:eastAsia="ar-SA"/>
        </w:rPr>
        <w:t>home-care</w:t>
      </w:r>
      <w:r w:rsidR="00303C8C" w:rsidRPr="001F50BA">
        <w:rPr>
          <w:rFonts w:cs="Calibri"/>
          <w:kern w:val="1"/>
          <w:lang w:val="en-GB" w:eastAsia="ar-SA"/>
        </w:rPr>
        <w:t xml:space="preserve"> needs and institutionalization</w:t>
      </w:r>
      <w:r w:rsidRPr="001F50BA">
        <w:rPr>
          <w:rFonts w:cs="Calibri"/>
          <w:kern w:val="1"/>
          <w:lang w:val="en-GB" w:eastAsia="ar-SA"/>
        </w:rPr>
        <w:t xml:space="preserve"> in hospitalized </w:t>
      </w:r>
      <w:r w:rsidR="0054097B" w:rsidRPr="001F50BA">
        <w:rPr>
          <w:rFonts w:cs="Calibri"/>
          <w:kern w:val="1"/>
          <w:lang w:val="en-GB" w:eastAsia="ar-SA"/>
        </w:rPr>
        <w:t xml:space="preserve">older </w:t>
      </w:r>
      <w:r w:rsidRPr="001F50BA">
        <w:rPr>
          <w:rFonts w:cs="Calibri"/>
          <w:kern w:val="1"/>
          <w:lang w:val="en-GB" w:eastAsia="ar-SA"/>
        </w:rPr>
        <w:t>patients.</w:t>
      </w:r>
      <w:hyperlink w:anchor="_ENREF_38" w:tooltip="Pilotto, 2018 #7040" w:history="1">
        <w:r w:rsidR="00762FAD" w:rsidRPr="001F50BA">
          <w:rPr>
            <w:rFonts w:cs="Calibri"/>
            <w:kern w:val="1"/>
            <w:lang w:val="en-GB" w:eastAsia="ar-SA"/>
          </w:rPr>
          <w:fldChar w:fldCharType="begin"/>
        </w:r>
        <w:r w:rsidR="00762FAD" w:rsidRPr="001F50BA">
          <w:rPr>
            <w:rFonts w:cs="Calibri"/>
            <w:kern w:val="1"/>
            <w:lang w:val="en-GB" w:eastAsia="ar-SA"/>
          </w:rPr>
          <w:instrText xml:space="preserve"> ADDIN EN.CITE &lt;EndNote&gt;&lt;Cite&gt;&lt;Author&gt;Pilotto&lt;/Author&gt;&lt;Year&gt;2018&lt;/Year&gt;&lt;RecNum&gt;7040&lt;/RecNum&gt;&lt;DisplayText&gt;&lt;style face="superscript"&gt;38&lt;/style&gt;&lt;/DisplayText&gt;&lt;record&gt;&lt;rec-number&gt;7040&lt;/rec-number&gt;&lt;foreign-keys&gt;&lt;key app="EN" db-id="t2wadffz0tdfane25rb50ezte9zwtdwpseft"&gt;7040&lt;/key&gt;&lt;/foreign-keys&gt;&lt;ref-type name="Journal Article"&gt;17&lt;/ref-type&gt;&lt;contributors&gt;&lt;authors&gt;&lt;author&gt;Pilotto, Alberto&lt;/author&gt;&lt;author&gt;Veronese, Nicola&lt;/author&gt;&lt;author&gt;Daragjati, Julia&lt;/author&gt;&lt;author&gt;Cruz-Jentoft, Alfonso J&lt;/author&gt;&lt;author&gt;Polidori, Maria Cristina&lt;/author&gt;&lt;author&gt;Mattace-Raso, Francesco&lt;/author&gt;&lt;author&gt;Paccalin, Marc&lt;/author&gt;&lt;author&gt;Topinkova, Eva&lt;/author&gt;&lt;author&gt;Siri, Giacomo&lt;/author&gt;&lt;author&gt;Greco, Antonio&lt;/author&gt;&lt;/authors&gt;&lt;/contributors&gt;&lt;titles&gt;&lt;title&gt;Using the Multidimensional Prognostic Index to Predict Clinical Outcomes of Hospitalized Older Persons: A Prospective, Multicenter, International Study&lt;/title&gt;&lt;secondary-title&gt;The Journals of Gerontology: Series A&lt;/secondary-title&gt;&lt;/titles&gt;&lt;periodical&gt;&lt;full-title&gt;The Journals of Gerontology: Series A&lt;/full-title&gt;&lt;/periodical&gt;&lt;dates&gt;&lt;year&gt;2018&lt;/year&gt;&lt;/dates&gt;&lt;urls&gt;&lt;/urls&gt;&lt;/record&gt;&lt;/Cite&gt;&lt;/EndNote&gt;</w:instrText>
        </w:r>
        <w:r w:rsidR="00762FAD" w:rsidRPr="001F50BA">
          <w:rPr>
            <w:rFonts w:cs="Calibri"/>
            <w:kern w:val="1"/>
            <w:lang w:val="en-GB" w:eastAsia="ar-SA"/>
          </w:rPr>
          <w:fldChar w:fldCharType="separate"/>
        </w:r>
        <w:r w:rsidR="00762FAD" w:rsidRPr="001F50BA">
          <w:rPr>
            <w:rFonts w:cs="Calibri"/>
            <w:noProof/>
            <w:kern w:val="1"/>
            <w:vertAlign w:val="superscript"/>
            <w:lang w:val="en-GB" w:eastAsia="ar-SA"/>
          </w:rPr>
          <w:t>38</w:t>
        </w:r>
        <w:r w:rsidR="00762FAD" w:rsidRPr="001F50BA">
          <w:rPr>
            <w:rFonts w:cs="Calibri"/>
            <w:kern w:val="1"/>
            <w:lang w:val="en-GB" w:eastAsia="ar-SA"/>
          </w:rPr>
          <w:fldChar w:fldCharType="end"/>
        </w:r>
      </w:hyperlink>
      <w:r w:rsidR="00B27EC9" w:rsidRPr="001F50BA">
        <w:rPr>
          <w:rFonts w:cs="Calibri"/>
          <w:kern w:val="1"/>
          <w:lang w:val="en-GB" w:eastAsia="ar-SA"/>
        </w:rPr>
        <w:t xml:space="preserve"> The </w:t>
      </w:r>
      <w:r w:rsidR="00B27EC9" w:rsidRPr="001F50BA">
        <w:rPr>
          <w:rFonts w:cs="Calibri"/>
          <w:kern w:val="1"/>
          <w:lang w:val="en-GB" w:eastAsia="ar-SA"/>
        </w:rPr>
        <w:lastRenderedPageBreak/>
        <w:t xml:space="preserve">research proposed in this work further reinforces the utility of the MPI in predicting another negative outcome in older people, i.e. falls. </w:t>
      </w:r>
      <w:r w:rsidRPr="001F50BA">
        <w:rPr>
          <w:rFonts w:cs="Calibri"/>
          <w:kern w:val="1"/>
          <w:lang w:val="en-GB" w:eastAsia="ar-SA"/>
        </w:rPr>
        <w:t xml:space="preserve"> </w:t>
      </w:r>
      <w:bookmarkStart w:id="3" w:name="_Hlk523858031"/>
      <w:r w:rsidR="005A6BAB" w:rsidRPr="001F50BA">
        <w:rPr>
          <w:rFonts w:cs="Calibri"/>
          <w:kern w:val="1"/>
          <w:lang w:val="en-GB" w:eastAsia="ar-SA"/>
        </w:rPr>
        <w:t xml:space="preserve">Overall, </w:t>
      </w:r>
      <w:r w:rsidR="00844548" w:rsidRPr="001F50BA">
        <w:rPr>
          <w:rFonts w:cs="Calibri"/>
          <w:kern w:val="1"/>
          <w:lang w:val="en-GB" w:eastAsia="ar-SA"/>
        </w:rPr>
        <w:t>the current</w:t>
      </w:r>
      <w:r w:rsidR="005A6BAB" w:rsidRPr="001F50BA">
        <w:rPr>
          <w:rFonts w:cs="Calibri"/>
          <w:kern w:val="1"/>
          <w:lang w:val="en-GB" w:eastAsia="ar-SA"/>
        </w:rPr>
        <w:t xml:space="preserve"> findings </w:t>
      </w:r>
      <w:r w:rsidR="0054097B" w:rsidRPr="001F50BA">
        <w:rPr>
          <w:rFonts w:cs="Calibri"/>
          <w:kern w:val="1"/>
          <w:lang w:val="en-GB" w:eastAsia="ar-SA"/>
        </w:rPr>
        <w:t>suggest</w:t>
      </w:r>
      <w:r w:rsidR="005A6BAB" w:rsidRPr="001F50BA">
        <w:rPr>
          <w:rFonts w:cs="Calibri"/>
          <w:kern w:val="1"/>
          <w:lang w:val="en-GB" w:eastAsia="ar-SA"/>
        </w:rPr>
        <w:t xml:space="preserve"> the importance of CGA in predicting the risk of falls. </w:t>
      </w:r>
    </w:p>
    <w:bookmarkEnd w:id="3"/>
    <w:p w14:paraId="6A9E45D4" w14:textId="77777777" w:rsidR="00FD3BF5" w:rsidRPr="001F50BA" w:rsidRDefault="00FD3BF5" w:rsidP="00FE38AD">
      <w:pPr>
        <w:suppressAutoHyphens/>
        <w:spacing w:line="480" w:lineRule="auto"/>
        <w:jc w:val="both"/>
        <w:rPr>
          <w:rFonts w:cs="Calibri"/>
          <w:kern w:val="1"/>
          <w:lang w:val="en-GB" w:eastAsia="ar-SA"/>
        </w:rPr>
      </w:pPr>
    </w:p>
    <w:p w14:paraId="54E9B9AB" w14:textId="25446596" w:rsidR="00F733BB" w:rsidRPr="001F50BA" w:rsidRDefault="00DE2C75" w:rsidP="00FE38AD">
      <w:pPr>
        <w:suppressAutoHyphens/>
        <w:spacing w:line="480" w:lineRule="auto"/>
        <w:jc w:val="both"/>
        <w:rPr>
          <w:rFonts w:cs="Calibri"/>
          <w:kern w:val="1"/>
          <w:lang w:eastAsia="ar-SA"/>
        </w:rPr>
      </w:pPr>
      <w:r w:rsidRPr="001F50BA">
        <w:rPr>
          <w:rFonts w:cs="Calibri"/>
          <w:kern w:val="1"/>
          <w:lang w:eastAsia="ar-SA"/>
        </w:rPr>
        <w:t>However</w:t>
      </w:r>
      <w:r w:rsidR="00F733BB" w:rsidRPr="001F50BA">
        <w:rPr>
          <w:rFonts w:cs="Calibri"/>
          <w:kern w:val="1"/>
          <w:lang w:eastAsia="ar-SA"/>
        </w:rPr>
        <w:t>, the CGA seems to be important not only for the detection of future falls, but also for the management of this frequent condition</w:t>
      </w:r>
      <w:r w:rsidR="006D3933" w:rsidRPr="001F50BA">
        <w:rPr>
          <w:rFonts w:cs="Calibri"/>
          <w:kern w:val="1"/>
          <w:lang w:eastAsia="ar-SA"/>
        </w:rPr>
        <w:t xml:space="preserve">, particularly when interventions include nutritional and physical </w:t>
      </w:r>
      <w:r w:rsidR="00844548" w:rsidRPr="001F50BA">
        <w:rPr>
          <w:rFonts w:cs="Calibri"/>
          <w:kern w:val="1"/>
          <w:lang w:eastAsia="ar-SA"/>
        </w:rPr>
        <w:t>activity</w:t>
      </w:r>
      <w:r w:rsidR="006D3933" w:rsidRPr="001F50BA">
        <w:rPr>
          <w:rFonts w:cs="Calibri"/>
          <w:kern w:val="1"/>
          <w:lang w:eastAsia="ar-SA"/>
        </w:rPr>
        <w:t xml:space="preserve"> programs</w:t>
      </w:r>
      <w:r w:rsidR="00F733BB" w:rsidRPr="001F50BA">
        <w:rPr>
          <w:rFonts w:cs="Calibri"/>
          <w:kern w:val="1"/>
          <w:lang w:eastAsia="ar-SA"/>
        </w:rPr>
        <w:t>.</w:t>
      </w:r>
      <w:hyperlink w:anchor="_ENREF_39" w:tooltip="Panel on Prevention of Falls in Older Persons, 2011 #7170"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&lt;EndNote&gt;&lt;Cite&gt;&lt;Author&gt;Panel on Prevention of Falls in Older Persons&lt;/Author&gt;&lt;Year&gt;2011&lt;/Year&gt;&lt;RecNum&gt;7170&lt;/RecNum&gt;&lt;DisplayText&gt;&lt;style face="superscript"&gt;39&lt;/style&gt;&lt;/DisplayText&gt;&lt;record&gt;&lt;rec-number&gt;7170&lt;/rec-number&gt;&lt;foreign-keys&gt;&lt;key app="EN" db-id="t2wadffz0tdfane25rb50ezte9zwtdwpseft"&gt;7170&lt;/key&gt;&lt;/foreign-keys&gt;&lt;ref-type name="Journal Article"&gt;17&lt;/ref-type&gt;&lt;contributors&gt;&lt;authors&gt;&lt;author&gt;Panel on Prevention of Falls in Older Persons, American Geriatrics Society&lt;/author&gt;&lt;author&gt;British Geriatrics Society&lt;/author&gt;&lt;/authors&gt;&lt;/contributors&gt;&lt;titles&gt;&lt;title&gt;Summary of the updated American Geriatrics Society/British Geriatrics Society clinical practice guideline for prevention of falls in older persons&lt;/title&gt;&lt;secondary-title&gt;Journal of the American Geriatrics Society&lt;/secondary-title&gt;&lt;/titles&gt;&lt;periodical&gt;&lt;full-title&gt;J Am Geriatr Soc&lt;/full-title&gt;&lt;abbr-1&gt;Journal of the American Geriatrics Society&lt;/abbr-1&gt;&lt;/periodical&gt;&lt;pages&gt;148-157&lt;/pages&gt;&lt;volume&gt;59&lt;/volume&gt;&lt;number&gt;1&lt;/number&gt;&lt;dates&gt;&lt;year&gt;2011&lt;/year&gt;&lt;/dates&gt;&lt;isbn&gt;0002-8614&lt;/isbn&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39</w:t>
        </w:r>
        <w:r w:rsidR="00762FAD" w:rsidRPr="001F50BA">
          <w:rPr>
            <w:rFonts w:cs="Calibri"/>
            <w:kern w:val="1"/>
            <w:lang w:eastAsia="ar-SA"/>
          </w:rPr>
          <w:fldChar w:fldCharType="end"/>
        </w:r>
      </w:hyperlink>
      <w:r w:rsidR="00F733BB" w:rsidRPr="001F50BA">
        <w:rPr>
          <w:rFonts w:cs="Calibri"/>
          <w:kern w:val="1"/>
          <w:lang w:eastAsia="ar-SA"/>
        </w:rPr>
        <w:t xml:space="preserve"> </w:t>
      </w:r>
      <w:r w:rsidR="003D32C8" w:rsidRPr="001F50BA">
        <w:rPr>
          <w:rFonts w:cs="Calibri"/>
          <w:kern w:val="1"/>
          <w:lang w:eastAsia="ar-SA"/>
        </w:rPr>
        <w:t>A recent large randomized controlled trial, for example, has reported that a home-based exercise program is able to decrease the incidence of falls in older people.</w:t>
      </w:r>
      <w:hyperlink w:anchor="_ENREF_40" w:tooltip="Liu-Ambrose, 2019 #7167"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&lt;EndNote&gt;&lt;Cite&gt;&lt;Author&gt;Liu-Ambrose&lt;/Author&gt;&lt;Year&gt;2019&lt;/Year&gt;&lt;RecNum&gt;7167&lt;/RecNum&gt;&lt;DisplayText&gt;&lt;style face="superscript"&gt;40&lt;/style&gt;&lt;/DisplayText&gt;&lt;record&gt;&lt;rec-number&gt;7167&lt;/rec-number&gt;&lt;foreign-keys&gt;&lt;key app="EN" db-id="t2wadffz0tdfane25rb50ezte9zwtdwpseft"&gt;7167&lt;/key&gt;&lt;/foreign-keys&gt;&lt;ref-type name="Journal Article"&gt;17&lt;/ref-type&gt;&lt;contributors&gt;&lt;authors&gt;&lt;author&gt;Liu-Ambrose, Teresa&lt;/author&gt;&lt;author&gt;Davis, Jennifer C&lt;/author&gt;&lt;author&gt;Best, John R&lt;/author&gt;&lt;author&gt;Dian, Larry&lt;/author&gt;&lt;author&gt;Madden, Kenneth&lt;/author&gt;&lt;author&gt;Cook, Wendy&lt;/author&gt;&lt;author&gt;Hsu, Chun Liang&lt;/author&gt;&lt;author&gt;Khan, Karim M&lt;/author&gt;&lt;/authors&gt;&lt;/contributors&gt;&lt;titles&gt;&lt;title&gt;Effect of a home-based exercise program on subsequent falls among community-dwelling high-risk older adults after a fall: a randomized clinical trial&lt;/title&gt;&lt;secondary-title&gt;Jama&lt;/secondary-title&gt;&lt;/titles&gt;&lt;periodical&gt;&lt;full-title&gt;JAMA&lt;/full-title&gt;&lt;abbr-1&gt;Jama&lt;/abbr-1&gt;&lt;/periodical&gt;&lt;pages&gt;2092-2100&lt;/pages&gt;&lt;volume&gt;321&lt;/volume&gt;&lt;number&gt;21&lt;/number&gt;&lt;dates&gt;&lt;year&gt;2019&lt;/year&gt;&lt;/dates&gt;&lt;isbn&gt;0098-7484&lt;/isbn&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40</w:t>
        </w:r>
        <w:r w:rsidR="00762FAD" w:rsidRPr="001F50BA">
          <w:rPr>
            <w:rFonts w:cs="Calibri"/>
            <w:kern w:val="1"/>
            <w:lang w:eastAsia="ar-SA"/>
          </w:rPr>
          <w:fldChar w:fldCharType="end"/>
        </w:r>
      </w:hyperlink>
      <w:r w:rsidR="003D32C8" w:rsidRPr="001F50BA">
        <w:rPr>
          <w:rFonts w:cs="Calibri"/>
          <w:kern w:val="1"/>
          <w:lang w:eastAsia="ar-SA"/>
        </w:rPr>
        <w:t xml:space="preserve"> </w:t>
      </w:r>
      <w:r w:rsidR="0057094F" w:rsidRPr="001F50BA">
        <w:rPr>
          <w:rFonts w:cs="Calibri"/>
          <w:kern w:val="1"/>
          <w:lang w:eastAsia="ar-SA"/>
        </w:rPr>
        <w:t xml:space="preserve">Therefore, </w:t>
      </w:r>
      <w:r w:rsidR="00844548" w:rsidRPr="001F50BA">
        <w:rPr>
          <w:rFonts w:cs="Calibri"/>
          <w:kern w:val="1"/>
          <w:lang w:eastAsia="ar-SA"/>
        </w:rPr>
        <w:t xml:space="preserve">the present findings </w:t>
      </w:r>
      <w:r w:rsidR="0057094F" w:rsidRPr="001F50BA">
        <w:rPr>
          <w:rFonts w:cs="Calibri"/>
          <w:kern w:val="1"/>
          <w:lang w:eastAsia="ar-SA"/>
        </w:rPr>
        <w:t xml:space="preserve">can add further evidence of the importance </w:t>
      </w:r>
      <w:r w:rsidR="00844548" w:rsidRPr="001F50BA">
        <w:rPr>
          <w:rFonts w:cs="Calibri"/>
          <w:kern w:val="1"/>
          <w:lang w:eastAsia="ar-SA"/>
        </w:rPr>
        <w:t>of</w:t>
      </w:r>
      <w:r w:rsidR="0057094F" w:rsidRPr="001F50BA">
        <w:rPr>
          <w:rFonts w:cs="Calibri"/>
          <w:kern w:val="1"/>
          <w:lang w:eastAsia="ar-SA"/>
        </w:rPr>
        <w:t xml:space="preserve"> </w:t>
      </w:r>
      <w:r w:rsidR="00844548" w:rsidRPr="001F50BA">
        <w:rPr>
          <w:rFonts w:cs="Calibri"/>
          <w:kern w:val="1"/>
          <w:lang w:eastAsia="ar-SA"/>
        </w:rPr>
        <w:t xml:space="preserve">carrying out </w:t>
      </w:r>
      <w:r w:rsidR="0057094F" w:rsidRPr="001F50BA">
        <w:rPr>
          <w:rFonts w:cs="Calibri"/>
          <w:kern w:val="1"/>
          <w:lang w:eastAsia="ar-SA"/>
        </w:rPr>
        <w:t xml:space="preserve"> CGA in older people in order to early identify the risk of falls in this population and to tailor specific interventions for frail older </w:t>
      </w:r>
      <w:r w:rsidR="00844548" w:rsidRPr="001F50BA">
        <w:rPr>
          <w:rFonts w:cs="Calibri"/>
          <w:kern w:val="1"/>
          <w:lang w:eastAsia="ar-SA"/>
        </w:rPr>
        <w:t>adult</w:t>
      </w:r>
      <w:r w:rsidR="0057094F" w:rsidRPr="001F50BA">
        <w:rPr>
          <w:rFonts w:cs="Calibri"/>
          <w:kern w:val="1"/>
          <w:lang w:eastAsia="ar-SA"/>
        </w:rPr>
        <w:t>s, if needed.</w:t>
      </w:r>
      <w:r w:rsidR="00762FAD" w:rsidRPr="001F50BA">
        <w:rPr>
          <w:rFonts w:cs="Calibri"/>
          <w:kern w:val="1"/>
          <w:lang w:eastAsia="ar-SA"/>
        </w:rPr>
        <w:t xml:space="preserve"> </w:t>
      </w:r>
      <w:bookmarkStart w:id="4" w:name="_Hlk19364636"/>
      <w:r w:rsidR="00762FAD" w:rsidRPr="001F50BA">
        <w:rPr>
          <w:rFonts w:cs="Calibri"/>
          <w:kern w:val="1"/>
          <w:lang w:eastAsia="ar-SA"/>
        </w:rPr>
        <w:t>In this regard, our study reported that MPI has a discrete accuracy, having an AUC of 60-70% in predicting falls during follow-up and after one year, being similar to other tools commonly used in geriatric medicine for predicting falls risk.</w:t>
      </w:r>
      <w:hyperlink w:anchor="_ENREF_12" w:tooltip="Park, 2018 #7163"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&lt;EndNote&gt;&lt;Cite&gt;&lt;Author&gt;Park&lt;/Author&gt;&lt;Year&gt;2018&lt;/Year&gt;&lt;RecNum&gt;7163&lt;/RecNum&gt;&lt;DisplayText&gt;&lt;style face="superscript"&gt;12&lt;/style&gt;&lt;/DisplayText&gt;&lt;record&gt;&lt;rec-number&gt;7163&lt;/rec-number&gt;&lt;foreign-keys&gt;&lt;key app="EN" db-id="t2wadffz0tdfane25rb50ezte9zwtdwpseft"&gt;7163&lt;/key&gt;&lt;/foreign-keys&gt;&lt;ref-type name="Journal Article"&gt;17&lt;/ref-type&gt;&lt;contributors&gt;&lt;authors&gt;&lt;author&gt;Park, Seong-Hi&lt;/author&gt;&lt;/authors&gt;&lt;/contributors&gt;&lt;titles&gt;&lt;title&gt;Tools for assessing fall risk in the elderly: a systematic review and meta-analysis&lt;/title&gt;&lt;secondary-title&gt;Aging clinical and experimental research&lt;/secondary-title&gt;&lt;/titles&gt;&lt;periodical&gt;&lt;full-title&gt;Aging Clinical and Experimental Research&lt;/full-title&gt;&lt;/periodical&gt;&lt;pages&gt;1-16&lt;/pages&gt;&lt;volume&gt;30&lt;/volume&gt;&lt;number&gt;1&lt;/number&gt;&lt;dates&gt;&lt;year&gt;2018&lt;/year&gt;&lt;/dates&gt;&lt;isbn&gt;1720-8319&lt;/isbn&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12</w:t>
        </w:r>
        <w:r w:rsidR="00762FAD" w:rsidRPr="001F50BA">
          <w:rPr>
            <w:rFonts w:cs="Calibri"/>
            <w:kern w:val="1"/>
            <w:lang w:eastAsia="ar-SA"/>
          </w:rPr>
          <w:fldChar w:fldCharType="end"/>
        </w:r>
      </w:hyperlink>
      <w:r w:rsidR="00762FAD" w:rsidRPr="001F50BA">
        <w:rPr>
          <w:rFonts w:cs="Calibri"/>
          <w:kern w:val="1"/>
          <w:lang w:eastAsia="ar-SA"/>
        </w:rPr>
        <w:t xml:space="preserve"> </w:t>
      </w:r>
      <w:bookmarkEnd w:id="4"/>
    </w:p>
    <w:p w14:paraId="2584C54A" w14:textId="77777777" w:rsidR="00F733BB" w:rsidRPr="001F50BA" w:rsidRDefault="00F733BB" w:rsidP="00FE38AD">
      <w:pPr>
        <w:suppressAutoHyphens/>
        <w:spacing w:line="480" w:lineRule="auto"/>
        <w:jc w:val="both"/>
        <w:rPr>
          <w:rFonts w:cs="Calibri"/>
          <w:kern w:val="1"/>
          <w:lang w:eastAsia="ar-SA"/>
        </w:rPr>
      </w:pPr>
    </w:p>
    <w:p w14:paraId="71917E7F" w14:textId="30F39372" w:rsidR="00695F4C" w:rsidRPr="001F50BA" w:rsidRDefault="00844548" w:rsidP="001572A8">
      <w:pPr>
        <w:suppressAutoHyphens/>
        <w:spacing w:line="480" w:lineRule="auto"/>
        <w:jc w:val="both"/>
        <w:rPr>
          <w:rFonts w:cs="Calibri"/>
          <w:kern w:val="1"/>
          <w:lang w:eastAsia="ar-SA"/>
        </w:rPr>
      </w:pPr>
      <w:r w:rsidRPr="001F50BA">
        <w:rPr>
          <w:rFonts w:cs="Calibri"/>
          <w:kern w:val="1"/>
          <w:lang w:eastAsia="ar-SA"/>
        </w:rPr>
        <w:t xml:space="preserve">The findings from this study should be interpreted </w:t>
      </w:r>
      <w:proofErr w:type="gramStart"/>
      <w:r w:rsidRPr="001F50BA">
        <w:rPr>
          <w:rFonts w:cs="Calibri"/>
          <w:kern w:val="1"/>
          <w:lang w:eastAsia="ar-SA"/>
        </w:rPr>
        <w:t>in light of</w:t>
      </w:r>
      <w:proofErr w:type="gramEnd"/>
      <w:r w:rsidRPr="001F50BA">
        <w:rPr>
          <w:rFonts w:cs="Calibri"/>
          <w:kern w:val="1"/>
          <w:lang w:eastAsia="ar-SA"/>
        </w:rPr>
        <w:t xml:space="preserve"> its limitations</w:t>
      </w:r>
      <w:r w:rsidR="00796AD2" w:rsidRPr="001F50BA">
        <w:rPr>
          <w:rFonts w:cs="Calibri"/>
          <w:kern w:val="1"/>
          <w:lang w:eastAsia="ar-SA"/>
        </w:rPr>
        <w:t xml:space="preserve">. First, </w:t>
      </w:r>
      <w:r w:rsidR="00E41009" w:rsidRPr="001F50BA">
        <w:rPr>
          <w:rFonts w:cs="Calibri"/>
          <w:kern w:val="1"/>
          <w:lang w:eastAsia="ar-SA"/>
        </w:rPr>
        <w:t>the OAI</w:t>
      </w:r>
      <w:r w:rsidR="00695F4C" w:rsidRPr="001F50BA">
        <w:rPr>
          <w:rFonts w:cs="Calibri"/>
          <w:kern w:val="1"/>
          <w:lang w:eastAsia="ar-SA"/>
        </w:rPr>
        <w:t xml:space="preserve"> is a cohort that</w:t>
      </w:r>
      <w:r w:rsidR="00E41009" w:rsidRPr="001F50BA">
        <w:rPr>
          <w:rFonts w:cs="Calibri"/>
          <w:kern w:val="1"/>
          <w:lang w:eastAsia="ar-SA"/>
        </w:rPr>
        <w:t xml:space="preserve"> includes </w:t>
      </w:r>
      <w:r w:rsidR="00554B3C" w:rsidRPr="001F50BA">
        <w:rPr>
          <w:rFonts w:cs="Calibri"/>
          <w:kern w:val="1"/>
          <w:lang w:eastAsia="ar-SA"/>
        </w:rPr>
        <w:t xml:space="preserve">only </w:t>
      </w:r>
      <w:r w:rsidR="00C95C62" w:rsidRPr="001F50BA">
        <w:rPr>
          <w:rFonts w:cs="Calibri"/>
          <w:kern w:val="1"/>
          <w:lang w:eastAsia="ar-SA"/>
        </w:rPr>
        <w:t>individuals</w:t>
      </w:r>
      <w:r w:rsidR="00E34609" w:rsidRPr="001F50BA">
        <w:rPr>
          <w:rFonts w:cs="Calibri"/>
          <w:kern w:val="1"/>
          <w:lang w:eastAsia="ar-SA"/>
        </w:rPr>
        <w:t xml:space="preserve"> </w:t>
      </w:r>
      <w:r w:rsidR="00A542D8" w:rsidRPr="001F50BA">
        <w:rPr>
          <w:rFonts w:cs="Calibri"/>
          <w:kern w:val="1"/>
          <w:lang w:eastAsia="ar-SA"/>
        </w:rPr>
        <w:t xml:space="preserve">who already have or are </w:t>
      </w:r>
      <w:r w:rsidR="00E34609" w:rsidRPr="001F50BA">
        <w:rPr>
          <w:rFonts w:cs="Calibri"/>
          <w:kern w:val="1"/>
          <w:lang w:eastAsia="ar-SA"/>
        </w:rPr>
        <w:t xml:space="preserve">at high risk </w:t>
      </w:r>
      <w:r w:rsidR="00A542D8" w:rsidRPr="001F50BA">
        <w:rPr>
          <w:rFonts w:cs="Calibri"/>
          <w:kern w:val="1"/>
          <w:lang w:eastAsia="ar-SA"/>
        </w:rPr>
        <w:t xml:space="preserve">of </w:t>
      </w:r>
      <w:r w:rsidR="00E34609" w:rsidRPr="001F50BA">
        <w:rPr>
          <w:rFonts w:cs="Calibri"/>
          <w:kern w:val="1"/>
          <w:lang w:eastAsia="ar-SA"/>
        </w:rPr>
        <w:t>knee OA</w:t>
      </w:r>
      <w:r w:rsidR="00FC52AE" w:rsidRPr="001F50BA">
        <w:rPr>
          <w:rFonts w:cs="Calibri"/>
          <w:kern w:val="1"/>
          <w:lang w:eastAsia="ar-SA"/>
        </w:rPr>
        <w:t xml:space="preserve">. Thus, </w:t>
      </w:r>
      <w:r w:rsidR="00FD70E3" w:rsidRPr="001F50BA">
        <w:rPr>
          <w:rFonts w:cs="Calibri"/>
          <w:kern w:val="1"/>
          <w:lang w:eastAsia="ar-SA"/>
        </w:rPr>
        <w:t xml:space="preserve">our results </w:t>
      </w:r>
      <w:r w:rsidR="00695F4C" w:rsidRPr="001F50BA">
        <w:rPr>
          <w:rFonts w:cs="Calibri"/>
          <w:kern w:val="1"/>
          <w:lang w:eastAsia="ar-SA"/>
        </w:rPr>
        <w:t>are</w:t>
      </w:r>
      <w:r w:rsidR="001F22B3" w:rsidRPr="001F50BA">
        <w:rPr>
          <w:rFonts w:cs="Calibri"/>
          <w:kern w:val="1"/>
          <w:lang w:eastAsia="ar-SA"/>
        </w:rPr>
        <w:t xml:space="preserve"> not</w:t>
      </w:r>
      <w:r w:rsidR="00A542D8" w:rsidRPr="001F50BA">
        <w:rPr>
          <w:rFonts w:cs="Calibri"/>
          <w:kern w:val="1"/>
          <w:lang w:eastAsia="ar-SA"/>
        </w:rPr>
        <w:t xml:space="preserve"> </w:t>
      </w:r>
      <w:r w:rsidR="00695F4C" w:rsidRPr="001F50BA">
        <w:rPr>
          <w:rFonts w:cs="Calibri"/>
          <w:kern w:val="1"/>
          <w:lang w:eastAsia="ar-SA"/>
        </w:rPr>
        <w:t>applicable</w:t>
      </w:r>
      <w:r w:rsidR="0090254A" w:rsidRPr="001F50BA">
        <w:rPr>
          <w:rFonts w:cs="Calibri"/>
          <w:kern w:val="1"/>
          <w:lang w:eastAsia="ar-SA"/>
        </w:rPr>
        <w:t xml:space="preserve"> </w:t>
      </w:r>
      <w:r w:rsidR="00FC52AE" w:rsidRPr="001F50BA">
        <w:rPr>
          <w:rFonts w:cs="Calibri"/>
          <w:kern w:val="1"/>
          <w:lang w:eastAsia="ar-SA"/>
        </w:rPr>
        <w:t>to the general population. Second,</w:t>
      </w:r>
      <w:r w:rsidR="00695F4C" w:rsidRPr="001F50BA">
        <w:rPr>
          <w:rFonts w:cs="Calibri"/>
          <w:kern w:val="1"/>
          <w:lang w:eastAsia="ar-SA"/>
        </w:rPr>
        <w:t xml:space="preserve"> falls were self-reported by the patients and not recorded with standardized diaries. It is largely known that retrospective recall of falls is not a reliable way to ascertain falls and the agreement between </w:t>
      </w:r>
      <w:r w:rsidRPr="001F50BA">
        <w:rPr>
          <w:rFonts w:cs="Calibri"/>
          <w:kern w:val="1"/>
          <w:lang w:eastAsia="ar-SA"/>
        </w:rPr>
        <w:t xml:space="preserve">recall of falls and diaries </w:t>
      </w:r>
      <w:r w:rsidR="00695F4C" w:rsidRPr="001F50BA">
        <w:rPr>
          <w:rFonts w:cs="Calibri"/>
          <w:kern w:val="1"/>
          <w:lang w:eastAsia="ar-SA"/>
        </w:rPr>
        <w:t xml:space="preserve">is often poor since the patients often underestimate falls. </w:t>
      </w:r>
      <w:r w:rsidR="00F47BD5" w:rsidRPr="001F50BA">
        <w:rPr>
          <w:rFonts w:cs="Calibri"/>
          <w:kern w:val="1"/>
          <w:lang w:eastAsia="ar-SA"/>
        </w:rPr>
        <w:fldChar w:fldCharType="begin"/>
      </w:r>
      <w:r w:rsidR="009E7CEA" w:rsidRPr="001F50BA">
        <w:rPr>
          <w:rFonts w:cs="Calibri"/>
          <w:kern w:val="1"/>
          <w:lang w:eastAsia="ar-SA"/>
        </w:rPr>
        <w:instrText xml:space="preserve"> ADDIN EN.CITE &lt;EndNote&gt;&lt;Cite&gt;&lt;Author&gt;Ganz&lt;/Author&gt;&lt;Year&gt;2005&lt;/Year&gt;&lt;RecNum&gt;5425&lt;/RecNum&gt;&lt;DisplayText&gt;&lt;style face="superscript"&gt;41, 42&lt;/style&gt;&lt;/DisplayText&gt;&lt;record&gt;&lt;rec-number&gt;5425&lt;/rec-number&gt;&lt;foreign-keys&gt;&lt;key app="EN" db-id="t2wadffz0tdfane25rb50ezte9zwtdwpseft"&gt;5425&lt;/key&gt;&lt;/foreign-keys&gt;&lt;ref-type name="Journal Article"&gt;17&lt;/ref-type&gt;&lt;contributors&gt;&lt;authors&gt;&lt;author&gt;Ganz, David A&lt;/author&gt;&lt;author&gt;Higashi, Takahiro&lt;/author&gt;&lt;author&gt;Rubenstein, Laurence Z&lt;/author&gt;&lt;/authors&gt;&lt;/contributors&gt;&lt;titles&gt;&lt;title&gt;Monitoring falls in cohort studies of community‐dwelling older people: effect of the recall interval&lt;/title&gt;&lt;secondary-title&gt;Journal of the American Geriatrics Society&lt;/secondary-title&gt;&lt;/titles&gt;&lt;periodical&gt;&lt;full-title&gt;J Am Geriatr Soc&lt;/full-title&gt;&lt;abbr-1&gt;Journal of the American Geriatrics Society&lt;/abbr-1&gt;&lt;/periodical&gt;&lt;pages&gt;2190-2194&lt;/pages&gt;&lt;volume&gt;53&lt;/volume&gt;&lt;number&gt;12&lt;/number&gt;&lt;dates&gt;&lt;year&gt;2005&lt;/year&gt;&lt;/dates&gt;&lt;isbn&gt;0002-8614&lt;/isbn&gt;&lt;urls&gt;&lt;/urls&gt;&lt;/record&gt;&lt;/Cite&gt;&lt;Cite&gt;&lt;Author&gt;Griffin&lt;/Author&gt;&lt;Year&gt;2019&lt;/Year&gt;&lt;RecNum&gt;5501&lt;/RecNum&gt;&lt;record&gt;&lt;rec-number&gt;5501&lt;/rec-number&gt;&lt;foreign-keys&gt;&lt;key app="EN" db-id="t2wadffz0tdfane25rb50ezte9zwtdwpseft"&gt;5501&lt;/key&gt;&lt;/foreign-keys&gt;&lt;ref-type name="Journal Article"&gt;17&lt;/ref-type&gt;&lt;contributors&gt;&lt;authors&gt;&lt;author&gt;Griffin, James&lt;/author&gt;&lt;author&gt;Lall, Ranjit&lt;/author&gt;&lt;author&gt;Bruce, Julie&lt;/author&gt;&lt;author&gt;Withers, Emma&lt;/author&gt;&lt;author&gt;Finnegan, Susanne&lt;/author&gt;&lt;author&gt;Lamb, Sarah E&lt;/author&gt;&lt;author&gt;Underwood, Martin&lt;/author&gt;&lt;author&gt;Martin, Finbarr&lt;/author&gt;&lt;author&gt;Yardley, Lucy&lt;/author&gt;&lt;author&gt;Skelton, Dawn&lt;/author&gt;&lt;/authors&gt;&lt;/contributors&gt;&lt;titles&gt;&lt;title&gt;Comparison of alternative falls data collection methods in the Prevention of Falls Injury Trial (PreFIT)&lt;/title&gt;&lt;secondary-title&gt;Journal of clinical epidemiology&lt;/secondary-title&gt;&lt;/titles&gt;&lt;periodical&gt;&lt;full-title&gt;Journal of Clinical Epidemiology&lt;/full-title&gt;&lt;/periodical&gt;&lt;pages&gt;32-40&lt;/pages&gt;&lt;volume&gt;106&lt;/volume&gt;&lt;dates&gt;&lt;year&gt;2019&lt;/year&gt;&lt;/dates&gt;&lt;isbn&gt;0895-4356&lt;/isbn&gt;&lt;urls&gt;&lt;/urls&gt;&lt;/record&gt;&lt;/Cite&gt;&lt;/EndNote&gt;</w:instrText>
      </w:r>
      <w:r w:rsidR="00F47BD5" w:rsidRPr="001F50BA">
        <w:rPr>
          <w:rFonts w:cs="Calibri"/>
          <w:kern w:val="1"/>
          <w:lang w:eastAsia="ar-SA"/>
        </w:rPr>
        <w:fldChar w:fldCharType="separate"/>
      </w:r>
      <w:hyperlink w:anchor="_ENREF_41" w:tooltip="Ganz, 2005 #5425" w:history="1">
        <w:r w:rsidR="00762FAD" w:rsidRPr="001F50BA">
          <w:rPr>
            <w:rFonts w:cs="Calibri"/>
            <w:noProof/>
            <w:kern w:val="1"/>
            <w:vertAlign w:val="superscript"/>
            <w:lang w:eastAsia="ar-SA"/>
          </w:rPr>
          <w:t>41</w:t>
        </w:r>
      </w:hyperlink>
      <w:r w:rsidR="009E7CEA" w:rsidRPr="001F50BA">
        <w:rPr>
          <w:rFonts w:cs="Calibri"/>
          <w:noProof/>
          <w:kern w:val="1"/>
          <w:vertAlign w:val="superscript"/>
          <w:lang w:eastAsia="ar-SA"/>
        </w:rPr>
        <w:t xml:space="preserve">, </w:t>
      </w:r>
      <w:hyperlink w:anchor="_ENREF_42" w:tooltip="Griffin, 2019 #5501" w:history="1">
        <w:r w:rsidR="00762FAD" w:rsidRPr="001F50BA">
          <w:rPr>
            <w:rFonts w:cs="Calibri"/>
            <w:noProof/>
            <w:kern w:val="1"/>
            <w:vertAlign w:val="superscript"/>
            <w:lang w:eastAsia="ar-SA"/>
          </w:rPr>
          <w:t>42</w:t>
        </w:r>
      </w:hyperlink>
      <w:r w:rsidR="00F47BD5" w:rsidRPr="001F50BA">
        <w:rPr>
          <w:rFonts w:cs="Calibri"/>
          <w:kern w:val="1"/>
          <w:lang w:eastAsia="ar-SA"/>
        </w:rPr>
        <w:fldChar w:fldCharType="end"/>
      </w:r>
      <w:r w:rsidR="0089052F" w:rsidRPr="001F50BA">
        <w:rPr>
          <w:rFonts w:cs="Calibri"/>
          <w:kern w:val="1"/>
          <w:lang w:eastAsia="ar-SA"/>
        </w:rPr>
        <w:t xml:space="preserve"> </w:t>
      </w:r>
      <w:r w:rsidR="00762FAD" w:rsidRPr="001F50BA">
        <w:rPr>
          <w:rFonts w:cs="Calibri"/>
          <w:kern w:val="1"/>
          <w:lang w:eastAsia="ar-SA"/>
        </w:rPr>
        <w:t>Third, our analysis should be considered as preliminary in the context of the OAI. For example, MPI was validated only in Whites and, consequently, if our results can be applied in other populations is still to be explored that, according to the literature, have a different falls’ risk.</w:t>
      </w:r>
      <w:hyperlink w:anchor="_ENREF_43" w:tooltip="Geng, 2017 #8117" w:history="1">
        <w:r w:rsidR="00762FAD" w:rsidRPr="001F50BA">
          <w:rPr>
            <w:rFonts w:cs="Calibri"/>
            <w:kern w:val="1"/>
            <w:lang w:eastAsia="ar-SA"/>
          </w:rPr>
          <w:fldChar w:fldCharType="begin"/>
        </w:r>
        <w:r w:rsidR="00762FAD" w:rsidRPr="001F50BA">
          <w:rPr>
            <w:rFonts w:cs="Calibri"/>
            <w:kern w:val="1"/>
            <w:lang w:eastAsia="ar-SA"/>
          </w:rPr>
          <w:instrText xml:space="preserve"> ADDIN EN.CITE &lt;EndNote&gt;&lt;Cite&gt;&lt;Author&gt;Geng&lt;/Author&gt;&lt;Year&gt;2017&lt;/Year&gt;&lt;RecNum&gt;8117&lt;/RecNum&gt;&lt;DisplayText&gt;&lt;style face="superscript"&gt;43&lt;/style&gt;&lt;/DisplayText&gt;&lt;record&gt;&lt;rec-number&gt;8117&lt;/rec-number&gt;&lt;foreign-keys&gt;&lt;key app="EN" db-id="t2wadffz0tdfane25rb50ezte9zwtdwpseft"&gt;8117&lt;/key&gt;&lt;/foreign-keys&gt;&lt;ref-type name="Journal Article"&gt;17&lt;/ref-type&gt;&lt;contributors&gt;&lt;authors&gt;&lt;author&gt;Geng, Yifan&lt;/author&gt;&lt;author&gt;Lo, Joan C&lt;/author&gt;&lt;author&gt;Brickner, Leslea&lt;/author&gt;&lt;author&gt;Gordon, Nancy P&lt;/author&gt;&lt;/authors&gt;&lt;/contributors&gt;&lt;titles&gt;&lt;title&gt;Racial-ethnic differences in fall prevalence among older women: a cross-sectional survey study&lt;/title&gt;&lt;secondary-title&gt;BMC geriatrics&lt;/secondary-title&gt;&lt;/titles&gt;&lt;periodical&gt;&lt;full-title&gt;BMC Geriatr&lt;/full-title&gt;&lt;abbr-1&gt;BMC geriatrics&lt;/abbr-1&gt;&lt;/periodical&gt;&lt;pages&gt;65&lt;/pages&gt;&lt;volume&gt;17&lt;/volume&gt;&lt;number&gt;1&lt;/number&gt;&lt;dates&gt;&lt;year&gt;2017&lt;/year&gt;&lt;/dates&gt;&lt;isbn&gt;1471-2318&lt;/isbn&gt;&lt;urls&gt;&lt;/urls&gt;&lt;/record&gt;&lt;/Cite&gt;&lt;/EndNote&gt;</w:instrText>
        </w:r>
        <w:r w:rsidR="00762FAD" w:rsidRPr="001F50BA">
          <w:rPr>
            <w:rFonts w:cs="Calibri"/>
            <w:kern w:val="1"/>
            <w:lang w:eastAsia="ar-SA"/>
          </w:rPr>
          <w:fldChar w:fldCharType="separate"/>
        </w:r>
        <w:r w:rsidR="00762FAD" w:rsidRPr="001F50BA">
          <w:rPr>
            <w:rFonts w:cs="Calibri"/>
            <w:noProof/>
            <w:kern w:val="1"/>
            <w:vertAlign w:val="superscript"/>
            <w:lang w:eastAsia="ar-SA"/>
          </w:rPr>
          <w:t>43</w:t>
        </w:r>
        <w:r w:rsidR="00762FAD" w:rsidRPr="001F50BA">
          <w:rPr>
            <w:rFonts w:cs="Calibri"/>
            <w:kern w:val="1"/>
            <w:lang w:eastAsia="ar-SA"/>
          </w:rPr>
          <w:fldChar w:fldCharType="end"/>
        </w:r>
      </w:hyperlink>
    </w:p>
    <w:p w14:paraId="0D0B0294" w14:textId="77777777" w:rsidR="008775E0" w:rsidRPr="001F50BA" w:rsidRDefault="008775E0" w:rsidP="00A35C32">
      <w:pPr>
        <w:suppressAutoHyphens/>
        <w:spacing w:line="480" w:lineRule="auto"/>
        <w:jc w:val="both"/>
        <w:rPr>
          <w:rFonts w:cs="Calibri"/>
          <w:kern w:val="1"/>
          <w:lang w:eastAsia="ar-SA"/>
        </w:rPr>
      </w:pPr>
    </w:p>
    <w:p w14:paraId="7FD0907E" w14:textId="113E802A" w:rsidR="008775E0" w:rsidRPr="001F50BA" w:rsidRDefault="008775E0" w:rsidP="00A35C32">
      <w:pPr>
        <w:suppressAutoHyphens/>
        <w:spacing w:line="480" w:lineRule="auto"/>
        <w:jc w:val="both"/>
        <w:rPr>
          <w:rFonts w:cs="Calibri"/>
          <w:b/>
          <w:bCs/>
          <w:kern w:val="1"/>
          <w:lang w:eastAsia="ar-SA"/>
        </w:rPr>
      </w:pPr>
      <w:r w:rsidRPr="001F50BA">
        <w:rPr>
          <w:rFonts w:cs="Calibri"/>
          <w:b/>
          <w:bCs/>
          <w:kern w:val="1"/>
          <w:lang w:eastAsia="ar-SA"/>
        </w:rPr>
        <w:lastRenderedPageBreak/>
        <w:t>CONCLUSIONS AND IMPLICATIONS</w:t>
      </w:r>
    </w:p>
    <w:p w14:paraId="4E0C32E7" w14:textId="3FBE74C2" w:rsidR="00797E6A" w:rsidRPr="00BE26C0" w:rsidRDefault="008775E0" w:rsidP="00A35C32">
      <w:pPr>
        <w:suppressAutoHyphens/>
        <w:spacing w:line="480" w:lineRule="auto"/>
        <w:jc w:val="both"/>
      </w:pPr>
      <w:r w:rsidRPr="001F50BA">
        <w:rPr>
          <w:rFonts w:cs="Calibri"/>
          <w:kern w:val="1"/>
          <w:lang w:eastAsia="ar-SA"/>
        </w:rPr>
        <w:t>O</w:t>
      </w:r>
      <w:r w:rsidR="00FD70E3" w:rsidRPr="001F50BA">
        <w:rPr>
          <w:rFonts w:cs="Calibri"/>
          <w:kern w:val="1"/>
          <w:lang w:eastAsia="ar-SA"/>
        </w:rPr>
        <w:t>ur data suggest that</w:t>
      </w:r>
      <w:r w:rsidR="006A4D51" w:rsidRPr="001F50BA">
        <w:rPr>
          <w:rFonts w:cs="Calibri"/>
          <w:kern w:val="1"/>
          <w:lang w:eastAsia="ar-SA"/>
        </w:rPr>
        <w:t xml:space="preserve">, </w:t>
      </w:r>
      <w:r w:rsidR="006A4D51" w:rsidRPr="001F50BA">
        <w:t xml:space="preserve">in this cohort of people affected by knee osteoarthritis or at high risk for this condition, </w:t>
      </w:r>
      <w:r w:rsidR="001917FA" w:rsidRPr="001F50BA">
        <w:rPr>
          <w:rFonts w:cs="Calibri"/>
          <w:kern w:val="1"/>
          <w:lang w:eastAsia="ar-SA"/>
        </w:rPr>
        <w:t>higher MPI values at baseline</w:t>
      </w:r>
      <w:r w:rsidR="00495B71" w:rsidRPr="001F50BA">
        <w:t xml:space="preserve"> </w:t>
      </w:r>
      <w:r w:rsidR="006F3266" w:rsidRPr="001F50BA">
        <w:t xml:space="preserve">may be </w:t>
      </w:r>
      <w:r w:rsidR="00495B71" w:rsidRPr="001F50BA">
        <w:t xml:space="preserve">associated with an increased risk of </w:t>
      </w:r>
      <w:r w:rsidR="001917FA" w:rsidRPr="001F50BA">
        <w:t xml:space="preserve">recurrent </w:t>
      </w:r>
      <w:r w:rsidR="00495B71" w:rsidRPr="001F50BA">
        <w:t>falls</w:t>
      </w:r>
      <w:r w:rsidR="001917FA" w:rsidRPr="001F50BA">
        <w:t xml:space="preserve"> suggesting the importance of comprehensive geriatric assessment in predicting this condition in older people</w:t>
      </w:r>
      <w:r w:rsidR="00495B71" w:rsidRPr="001F50BA">
        <w:t xml:space="preserve">. </w:t>
      </w:r>
      <w:r w:rsidR="001917FA" w:rsidRPr="001F50BA">
        <w:t xml:space="preserve">Future longitudinal studies (also in other settings) are needed to confirm our findings. </w:t>
      </w:r>
      <w:r w:rsidR="00B46DD5" w:rsidRPr="001F50BA">
        <w:t xml:space="preserve"> </w:t>
      </w:r>
      <w:r w:rsidR="00797E6A" w:rsidRPr="001F50BA">
        <w:rPr>
          <w:rFonts w:cs="Times New Roman"/>
          <w:b/>
        </w:rPr>
        <w:br w:type="page"/>
      </w:r>
    </w:p>
    <w:p w14:paraId="2218BA2D" w14:textId="77777777" w:rsidR="0035618C" w:rsidRPr="001F50BA" w:rsidRDefault="00127FA9" w:rsidP="00127FA9">
      <w:pPr>
        <w:spacing w:after="200" w:line="276" w:lineRule="auto"/>
        <w:jc w:val="center"/>
        <w:rPr>
          <w:b/>
        </w:rPr>
      </w:pPr>
      <w:r w:rsidRPr="001F50BA">
        <w:rPr>
          <w:b/>
        </w:rPr>
        <w:lastRenderedPageBreak/>
        <w:t>REFERENCES</w:t>
      </w:r>
    </w:p>
    <w:p w14:paraId="686FE9AF" w14:textId="06B5120F" w:rsidR="00762FAD" w:rsidRPr="001F50BA" w:rsidRDefault="00F47BD5" w:rsidP="00762FAD">
      <w:pPr>
        <w:pStyle w:val="EndNoteBibliography"/>
        <w:ind w:left="720" w:hanging="720"/>
      </w:pPr>
      <w:r w:rsidRPr="001F50BA">
        <w:rPr>
          <w:rFonts w:asciiTheme="minorHAnsi" w:hAnsiTheme="minorHAnsi" w:cs="Times New Roman"/>
        </w:rPr>
        <w:fldChar w:fldCharType="begin"/>
      </w:r>
      <w:r w:rsidR="0035618C" w:rsidRPr="001F50BA">
        <w:rPr>
          <w:rFonts w:asciiTheme="minorHAnsi" w:hAnsiTheme="minorHAnsi" w:cs="Times New Roman"/>
        </w:rPr>
        <w:instrText xml:space="preserve"> ADDIN EN.REFLIST </w:instrText>
      </w:r>
      <w:r w:rsidRPr="001F50BA">
        <w:rPr>
          <w:rFonts w:asciiTheme="minorHAnsi" w:hAnsiTheme="minorHAnsi" w:cs="Times New Roman"/>
        </w:rPr>
        <w:fldChar w:fldCharType="separate"/>
      </w:r>
      <w:bookmarkStart w:id="5" w:name="_ENREF_1"/>
      <w:r w:rsidR="00762FAD" w:rsidRPr="001F50BA">
        <w:t>1.</w:t>
      </w:r>
      <w:r w:rsidR="00762FAD" w:rsidRPr="001F50BA">
        <w:tab/>
        <w:t>Rubenstein, LZ. Falls in older people: epidemiology, risk factors and strategies for prevention. Age ageing 2006;35(suppl_2):ii37-ii41.</w:t>
      </w:r>
      <w:bookmarkEnd w:id="5"/>
    </w:p>
    <w:p w14:paraId="3DD7EB97" w14:textId="66501F2B" w:rsidR="00762FAD" w:rsidRPr="001F50BA" w:rsidRDefault="00762FAD" w:rsidP="00762FAD">
      <w:pPr>
        <w:pStyle w:val="EndNoteBibliography"/>
        <w:ind w:left="720" w:hanging="720"/>
      </w:pPr>
      <w:bookmarkStart w:id="6" w:name="_ENREF_2"/>
      <w:r w:rsidRPr="001F50BA">
        <w:t>2.</w:t>
      </w:r>
      <w:r w:rsidRPr="001F50BA">
        <w:tab/>
        <w:t xml:space="preserve">Pahor, M. Falls in older adults: prevention, mortality, and costs. </w:t>
      </w:r>
      <w:r w:rsidR="004512DA" w:rsidRPr="001F50BA">
        <w:t>JAMA</w:t>
      </w:r>
      <w:r w:rsidRPr="001F50BA">
        <w:t xml:space="preserve"> 2019;321(21):2080-2081.</w:t>
      </w:r>
      <w:bookmarkEnd w:id="6"/>
    </w:p>
    <w:p w14:paraId="59558439" w14:textId="553F984A" w:rsidR="00762FAD" w:rsidRPr="001F50BA" w:rsidRDefault="00762FAD" w:rsidP="00762FAD">
      <w:pPr>
        <w:pStyle w:val="EndNoteBibliography"/>
        <w:ind w:left="720" w:hanging="720"/>
      </w:pPr>
      <w:bookmarkStart w:id="7" w:name="_ENREF_3"/>
      <w:r w:rsidRPr="001F50BA">
        <w:t>3.</w:t>
      </w:r>
      <w:r w:rsidRPr="001F50BA">
        <w:tab/>
        <w:t xml:space="preserve">Hartholt, KA, Lee, R, Burns, ER, et al. Mortality from falls among US adults aged 75 years or older, 2000-2016. </w:t>
      </w:r>
      <w:r w:rsidR="004512DA" w:rsidRPr="001F50BA">
        <w:t>JAMA</w:t>
      </w:r>
      <w:r w:rsidRPr="001F50BA">
        <w:t xml:space="preserve"> 2019;321(21):2131-2133.</w:t>
      </w:r>
      <w:bookmarkEnd w:id="7"/>
    </w:p>
    <w:p w14:paraId="518A3CB9" w14:textId="77777777" w:rsidR="00762FAD" w:rsidRPr="001F50BA" w:rsidRDefault="00762FAD" w:rsidP="00762FAD">
      <w:pPr>
        <w:pStyle w:val="EndNoteBibliography"/>
        <w:ind w:left="720" w:hanging="720"/>
      </w:pPr>
      <w:bookmarkStart w:id="8" w:name="_ENREF_4"/>
      <w:r w:rsidRPr="001F50BA">
        <w:t>4.</w:t>
      </w:r>
      <w:r w:rsidRPr="001F50BA">
        <w:tab/>
        <w:t>Reis, P, Moro, A, Bins Ely, V, et al. Universal design and accessibility: an approach of the influence of muscle strength loss in the risk of falls in the elderly. Work 2012;41(Supplement 1):374-379.</w:t>
      </w:r>
      <w:bookmarkEnd w:id="8"/>
    </w:p>
    <w:p w14:paraId="5736983C" w14:textId="015965B9" w:rsidR="00762FAD" w:rsidRPr="001F50BA" w:rsidRDefault="00762FAD" w:rsidP="00762FAD">
      <w:pPr>
        <w:pStyle w:val="EndNoteBibliography"/>
        <w:ind w:left="720" w:hanging="720"/>
      </w:pPr>
      <w:bookmarkStart w:id="9" w:name="_ENREF_5"/>
      <w:r w:rsidRPr="001F50BA">
        <w:t>5.</w:t>
      </w:r>
      <w:r w:rsidRPr="001F50BA">
        <w:tab/>
        <w:t>Shumway-Cook, A, Baldwin, M, Polissar, NL, et al. Predicting the probability for falls in community-dwelling older adults. Phys ther 1997;77(8):812-819.</w:t>
      </w:r>
      <w:bookmarkEnd w:id="9"/>
    </w:p>
    <w:p w14:paraId="32E0F096" w14:textId="77777777" w:rsidR="00762FAD" w:rsidRPr="001F50BA" w:rsidRDefault="00762FAD" w:rsidP="00762FAD">
      <w:pPr>
        <w:pStyle w:val="EndNoteBibliography"/>
        <w:ind w:left="720" w:hanging="720"/>
      </w:pPr>
      <w:bookmarkStart w:id="10" w:name="_ENREF_6"/>
      <w:r w:rsidRPr="001F50BA">
        <w:t>6.</w:t>
      </w:r>
      <w:r w:rsidRPr="001F50BA">
        <w:tab/>
        <w:t>Dhital, A, Pey, T, Stanford, MR. Visual loss and falls: a review. Eye 2010;24(9):1437.</w:t>
      </w:r>
      <w:bookmarkEnd w:id="10"/>
    </w:p>
    <w:p w14:paraId="49DD1AEC" w14:textId="79C257F3" w:rsidR="00762FAD" w:rsidRPr="001F50BA" w:rsidRDefault="00762FAD" w:rsidP="00762FAD">
      <w:pPr>
        <w:pStyle w:val="EndNoteBibliography"/>
        <w:ind w:left="720" w:hanging="720"/>
      </w:pPr>
      <w:bookmarkStart w:id="11" w:name="_ENREF_7"/>
      <w:r w:rsidRPr="001F50BA">
        <w:t>7.</w:t>
      </w:r>
      <w:r w:rsidRPr="001F50BA">
        <w:tab/>
        <w:t>Ng, CT, Tan, MP. Osteoarthritis and falls in the older person. Age ageing 2013;42(5):561-566.</w:t>
      </w:r>
      <w:bookmarkEnd w:id="11"/>
    </w:p>
    <w:p w14:paraId="0C1097C2" w14:textId="1B28356E" w:rsidR="00762FAD" w:rsidRPr="001F50BA" w:rsidRDefault="00762FAD" w:rsidP="00762FAD">
      <w:pPr>
        <w:pStyle w:val="EndNoteBibliography"/>
        <w:ind w:left="720" w:hanging="720"/>
      </w:pPr>
      <w:bookmarkStart w:id="12" w:name="_ENREF_8"/>
      <w:r w:rsidRPr="001F50BA">
        <w:t>8.</w:t>
      </w:r>
      <w:r w:rsidRPr="001F50BA">
        <w:tab/>
        <w:t>Van Doorn, C, Gruber‐Baldini, AL, Zimmerman, S, et al. Dementia as a risk factor for falls and fall injuries among nursing home residents. J Am Ger Soc 2003;51(9):1213-1218.</w:t>
      </w:r>
      <w:bookmarkEnd w:id="12"/>
    </w:p>
    <w:p w14:paraId="115660D3" w14:textId="2CC12553" w:rsidR="00762FAD" w:rsidRPr="001F50BA" w:rsidRDefault="00762FAD" w:rsidP="00762FAD">
      <w:pPr>
        <w:pStyle w:val="EndNoteBibliography"/>
        <w:ind w:left="720" w:hanging="720"/>
      </w:pPr>
      <w:bookmarkStart w:id="13" w:name="_ENREF_9"/>
      <w:r w:rsidRPr="001F50BA">
        <w:t>9.</w:t>
      </w:r>
      <w:r w:rsidRPr="001F50BA">
        <w:tab/>
        <w:t xml:space="preserve">Iaboni, A, Flint, AJ. The complex interplay of depression and falls in older adults: a clinical review. Am </w:t>
      </w:r>
      <w:r w:rsidR="00B75D4A" w:rsidRPr="001F50BA">
        <w:t>J</w:t>
      </w:r>
      <w:r w:rsidRPr="001F50BA">
        <w:t xml:space="preserve"> Ger Psyc</w:t>
      </w:r>
      <w:r w:rsidR="00B75D4A" w:rsidRPr="001F50BA">
        <w:t>h</w:t>
      </w:r>
      <w:r w:rsidRPr="001F50BA">
        <w:t xml:space="preserve"> 2013;21(5):484-492.</w:t>
      </w:r>
      <w:bookmarkEnd w:id="13"/>
    </w:p>
    <w:p w14:paraId="13E8A10C" w14:textId="77777777" w:rsidR="00762FAD" w:rsidRPr="001F50BA" w:rsidRDefault="00762FAD" w:rsidP="00762FAD">
      <w:pPr>
        <w:pStyle w:val="EndNoteBibliography"/>
        <w:ind w:left="720" w:hanging="720"/>
      </w:pPr>
      <w:bookmarkStart w:id="14" w:name="_ENREF_10"/>
      <w:r w:rsidRPr="001F50BA">
        <w:t>10.</w:t>
      </w:r>
      <w:r w:rsidRPr="001F50BA">
        <w:tab/>
        <w:t>Callaghan, B, Kerber, K, Langa, KM, et al. Longitudinal patient-oriented outcomes in neuropathy: importance of early detection and falls. Neurology 2015;85(1):71-79.</w:t>
      </w:r>
      <w:bookmarkEnd w:id="14"/>
    </w:p>
    <w:p w14:paraId="3B67C0F1" w14:textId="5F15C17C" w:rsidR="00762FAD" w:rsidRPr="001F50BA" w:rsidRDefault="00762FAD" w:rsidP="00762FAD">
      <w:pPr>
        <w:pStyle w:val="EndNoteBibliography"/>
        <w:ind w:left="720" w:hanging="720"/>
      </w:pPr>
      <w:bookmarkStart w:id="15" w:name="_ENREF_11"/>
      <w:r w:rsidRPr="001F50BA">
        <w:t>11.</w:t>
      </w:r>
      <w:r w:rsidRPr="001F50BA">
        <w:tab/>
        <w:t>Hazzard, WR, Halter, JB. Hazzard's geriatric medicine and gerontology</w:t>
      </w:r>
      <w:r w:rsidR="00B75D4A" w:rsidRPr="001F50BA">
        <w:rPr>
          <w:i/>
        </w:rPr>
        <w:t xml:space="preserve">, </w:t>
      </w:r>
      <w:r w:rsidRPr="001F50BA">
        <w:t>2009.</w:t>
      </w:r>
      <w:bookmarkEnd w:id="15"/>
    </w:p>
    <w:p w14:paraId="3FB3B2C2" w14:textId="313CC930" w:rsidR="00762FAD" w:rsidRPr="001F50BA" w:rsidRDefault="00762FAD" w:rsidP="00762FAD">
      <w:pPr>
        <w:pStyle w:val="EndNoteBibliography"/>
        <w:ind w:left="720" w:hanging="720"/>
      </w:pPr>
      <w:bookmarkStart w:id="16" w:name="_ENREF_12"/>
      <w:r w:rsidRPr="001F50BA">
        <w:t>12.</w:t>
      </w:r>
      <w:r w:rsidRPr="001F50BA">
        <w:tab/>
        <w:t xml:space="preserve">Park, S-H. Tools for assessing fall risk in the elderly: a systematic review and meta-analysis. </w:t>
      </w:r>
      <w:r w:rsidR="00B75D4A" w:rsidRPr="001F50BA">
        <w:t>Aging Clin Exp Res</w:t>
      </w:r>
      <w:r w:rsidRPr="001F50BA">
        <w:t xml:space="preserve"> 2018;30(1):1-16.</w:t>
      </w:r>
      <w:bookmarkEnd w:id="16"/>
    </w:p>
    <w:p w14:paraId="2974F6CF" w14:textId="227F35DF" w:rsidR="00762FAD" w:rsidRPr="001F50BA" w:rsidRDefault="00762FAD" w:rsidP="00762FAD">
      <w:pPr>
        <w:pStyle w:val="EndNoteBibliography"/>
        <w:ind w:left="720" w:hanging="720"/>
        <w:rPr>
          <w:lang w:val="it-IT"/>
        </w:rPr>
      </w:pPr>
      <w:bookmarkStart w:id="17" w:name="_ENREF_13"/>
      <w:r w:rsidRPr="001F50BA">
        <w:t>13.</w:t>
      </w:r>
      <w:r w:rsidRPr="001F50BA">
        <w:tab/>
        <w:t xml:space="preserve">Barry, E, Galvin, R, Keogh, C, et al. Is the Timed Up and Go test a useful predictor of risk of falls in community dwelling older adults: a systematic review and meta-analysis. </w:t>
      </w:r>
      <w:r w:rsidRPr="001F50BA">
        <w:rPr>
          <w:lang w:val="it-IT"/>
        </w:rPr>
        <w:t>BMC ger 2014;14(1):14.</w:t>
      </w:r>
      <w:bookmarkEnd w:id="17"/>
    </w:p>
    <w:p w14:paraId="7C144361" w14:textId="355E5314" w:rsidR="00762FAD" w:rsidRPr="001F50BA" w:rsidRDefault="00762FAD" w:rsidP="00762FAD">
      <w:pPr>
        <w:pStyle w:val="EndNoteBibliography"/>
        <w:ind w:left="720" w:hanging="720"/>
        <w:rPr>
          <w:lang w:val="it-IT"/>
        </w:rPr>
      </w:pPr>
      <w:bookmarkStart w:id="18" w:name="_ENREF_14"/>
      <w:r w:rsidRPr="001F50BA">
        <w:rPr>
          <w:lang w:val="it-IT"/>
        </w:rPr>
        <w:t>14.</w:t>
      </w:r>
      <w:r w:rsidRPr="001F50BA">
        <w:rPr>
          <w:lang w:val="it-IT"/>
        </w:rPr>
        <w:tab/>
        <w:t xml:space="preserve">Pilotto, A, Ferrucci, L, Franceschi, M, et al. </w:t>
      </w:r>
      <w:r w:rsidRPr="001F50BA">
        <w:t xml:space="preserve">Development and validation of a multidimensional prognostic index for one-year mortality from comprehensive geriatric assessment in hospitalized older patients. </w:t>
      </w:r>
      <w:r w:rsidRPr="001F50BA">
        <w:rPr>
          <w:lang w:val="it-IT"/>
        </w:rPr>
        <w:t>Rej res 2008;11(1):151-161.</w:t>
      </w:r>
      <w:bookmarkEnd w:id="18"/>
    </w:p>
    <w:p w14:paraId="01AE1BC9" w14:textId="77777777" w:rsidR="00762FAD" w:rsidRPr="001F50BA" w:rsidRDefault="00762FAD" w:rsidP="00762FAD">
      <w:pPr>
        <w:pStyle w:val="EndNoteBibliography"/>
        <w:ind w:left="720" w:hanging="720"/>
      </w:pPr>
      <w:bookmarkStart w:id="19" w:name="_ENREF_15"/>
      <w:r w:rsidRPr="001F50BA">
        <w:rPr>
          <w:lang w:val="it-IT"/>
        </w:rPr>
        <w:t>15.</w:t>
      </w:r>
      <w:r w:rsidRPr="001F50BA">
        <w:rPr>
          <w:lang w:val="it-IT"/>
        </w:rPr>
        <w:tab/>
        <w:t xml:space="preserve">Sancarlo, D, D'Onofrio, G, Franceschi, M, et al. </w:t>
      </w:r>
      <w:r w:rsidRPr="001F50BA">
        <w:t>Validation of a Modified-Multidimensional Prognostic Index (m-MPI) including the Mini Nutritional Assessment Short-Form (MNA-SF) for the prediction of one-year mortality in hospitalized elderly patients. J Nutr Health Aging 2011;15(3):169-173.</w:t>
      </w:r>
      <w:bookmarkEnd w:id="19"/>
    </w:p>
    <w:p w14:paraId="1A1A7CA2" w14:textId="77777777" w:rsidR="00762FAD" w:rsidRPr="001F50BA" w:rsidRDefault="00762FAD" w:rsidP="00762FAD">
      <w:pPr>
        <w:pStyle w:val="EndNoteBibliography"/>
        <w:ind w:left="720" w:hanging="720"/>
      </w:pPr>
      <w:bookmarkStart w:id="20" w:name="_ENREF_16"/>
      <w:r w:rsidRPr="001F50BA">
        <w:t>16.</w:t>
      </w:r>
      <w:r w:rsidRPr="001F50BA">
        <w:tab/>
        <w:t>Angleman, SB, Santoni, G, Pilotto, A, et al. Multidimensional Prognostic Index in Association with Future Mortality and Number of Hospital Days in a Population-Based Sample of Older Adults: Results of the EU Funded MPI_AGE Project. PloS one 2015;10(7):e0133789-e0133789.</w:t>
      </w:r>
      <w:bookmarkEnd w:id="20"/>
    </w:p>
    <w:p w14:paraId="07825918" w14:textId="62A3B528" w:rsidR="00762FAD" w:rsidRPr="001F50BA" w:rsidRDefault="00762FAD" w:rsidP="00762FAD">
      <w:pPr>
        <w:pStyle w:val="EndNoteBibliography"/>
        <w:ind w:left="720" w:hanging="720"/>
      </w:pPr>
      <w:bookmarkStart w:id="21" w:name="_ENREF_17"/>
      <w:r w:rsidRPr="001F50BA">
        <w:t>17.</w:t>
      </w:r>
      <w:r w:rsidRPr="001F50BA">
        <w:tab/>
        <w:t xml:space="preserve">Yourman, LC, Lee, SJ, Schonberg, MA, et al. Prognostic indices for older adults: a systematic review. </w:t>
      </w:r>
      <w:r w:rsidR="004512DA" w:rsidRPr="001F50BA">
        <w:t>JAMA</w:t>
      </w:r>
      <w:r w:rsidRPr="001F50BA">
        <w:t xml:space="preserve"> 2012;307(2):182-192.</w:t>
      </w:r>
      <w:bookmarkEnd w:id="21"/>
    </w:p>
    <w:p w14:paraId="37AE8F4D" w14:textId="77777777" w:rsidR="00762FAD" w:rsidRPr="001F50BA" w:rsidRDefault="00762FAD" w:rsidP="00762FAD">
      <w:pPr>
        <w:pStyle w:val="EndNoteBibliography"/>
        <w:ind w:left="720" w:hanging="720"/>
        <w:rPr>
          <w:lang w:val="it-IT"/>
        </w:rPr>
      </w:pPr>
      <w:bookmarkStart w:id="22" w:name="_ENREF_18"/>
      <w:r w:rsidRPr="001F50BA">
        <w:t>18.</w:t>
      </w:r>
      <w:r w:rsidRPr="001F50BA">
        <w:tab/>
        <w:t xml:space="preserve">Bureau, ML, Liuu, E, Christiaens, L, et al. Using a multidimensional prognostic index (MPI) based on comprehensive geriatric assessment (CGA) to predict mortality in elderly undergoing transcatheter aortic valve implantation. </w:t>
      </w:r>
      <w:r w:rsidRPr="001F50BA">
        <w:rPr>
          <w:lang w:val="it-IT"/>
        </w:rPr>
        <w:t>Int J Cardiol 2017;236:381-386.</w:t>
      </w:r>
      <w:bookmarkEnd w:id="22"/>
    </w:p>
    <w:p w14:paraId="734799FE" w14:textId="77777777" w:rsidR="00762FAD" w:rsidRPr="001F50BA" w:rsidRDefault="00762FAD" w:rsidP="00762FAD">
      <w:pPr>
        <w:pStyle w:val="EndNoteBibliography"/>
        <w:ind w:left="720" w:hanging="720"/>
        <w:rPr>
          <w:lang w:val="it-IT"/>
        </w:rPr>
      </w:pPr>
      <w:bookmarkStart w:id="23" w:name="_ENREF_19"/>
      <w:r w:rsidRPr="001F50BA">
        <w:rPr>
          <w:lang w:val="it-IT"/>
        </w:rPr>
        <w:t>19.</w:t>
      </w:r>
      <w:r w:rsidRPr="001F50BA">
        <w:rPr>
          <w:lang w:val="it-IT"/>
        </w:rPr>
        <w:tab/>
        <w:t xml:space="preserve">Pilotto, A, Addante, F, Ferrucci, L, et al. </w:t>
      </w:r>
      <w:r w:rsidRPr="001F50BA">
        <w:t xml:space="preserve">The multidimensional prognostic index predicts short- and long-term mortality in hospitalized geriatric patients with pneumonia. </w:t>
      </w:r>
      <w:r w:rsidRPr="001F50BA">
        <w:rPr>
          <w:lang w:val="it-IT"/>
        </w:rPr>
        <w:t>J Gerontol A Biol Sci Med Sci 2009;64(8):880-887.</w:t>
      </w:r>
      <w:bookmarkEnd w:id="23"/>
    </w:p>
    <w:p w14:paraId="07B4D9AD" w14:textId="037F3CA1" w:rsidR="00762FAD" w:rsidRPr="001F50BA" w:rsidRDefault="00762FAD" w:rsidP="00762FAD">
      <w:pPr>
        <w:pStyle w:val="EndNoteBibliography"/>
        <w:ind w:left="720" w:hanging="720"/>
      </w:pPr>
      <w:bookmarkStart w:id="24" w:name="_ENREF_20"/>
      <w:r w:rsidRPr="001F50BA">
        <w:rPr>
          <w:lang w:val="it-IT"/>
        </w:rPr>
        <w:lastRenderedPageBreak/>
        <w:t>20.</w:t>
      </w:r>
      <w:r w:rsidRPr="001F50BA">
        <w:rPr>
          <w:lang w:val="it-IT"/>
        </w:rPr>
        <w:tab/>
        <w:t xml:space="preserve">Pilotto, A, Sancarlo, D, Panza, F, et al. </w:t>
      </w:r>
      <w:r w:rsidRPr="001F50BA">
        <w:t>Multidimensional Prognostic Index based on a comprehensive geriatric assessment predicts short-term mortality in older patients with heart failure. Circ Heart fai</w:t>
      </w:r>
      <w:r w:rsidR="00B75D4A" w:rsidRPr="001F50BA">
        <w:t>l</w:t>
      </w:r>
      <w:r w:rsidRPr="001F50BA">
        <w:t xml:space="preserve"> 2010;3(1):191-199.</w:t>
      </w:r>
      <w:bookmarkEnd w:id="24"/>
    </w:p>
    <w:p w14:paraId="62DBEB12" w14:textId="77777777" w:rsidR="00762FAD" w:rsidRPr="001F50BA" w:rsidRDefault="00762FAD" w:rsidP="00762FAD">
      <w:pPr>
        <w:pStyle w:val="EndNoteBibliography"/>
        <w:ind w:left="720" w:hanging="720"/>
        <w:rPr>
          <w:lang w:val="it-IT"/>
        </w:rPr>
      </w:pPr>
      <w:bookmarkStart w:id="25" w:name="_ENREF_21"/>
      <w:r w:rsidRPr="001F50BA">
        <w:t>21.</w:t>
      </w:r>
      <w:r w:rsidRPr="001F50BA">
        <w:tab/>
        <w:t xml:space="preserve">Sancarlo, D, Pilotto, A, Panza, F, et al. A Multidimensional Prognostic Index (MPI) based on a comprehensive geriatric assessment predicts short- and long-term all-cause mortality in older hospitalized patients with transient ischemic attack. </w:t>
      </w:r>
      <w:r w:rsidRPr="001F50BA">
        <w:rPr>
          <w:lang w:val="it-IT"/>
        </w:rPr>
        <w:t>J Neurol 2012;259(4):670-678.</w:t>
      </w:r>
      <w:bookmarkEnd w:id="25"/>
    </w:p>
    <w:p w14:paraId="54DE8126" w14:textId="596143A8" w:rsidR="00762FAD" w:rsidRPr="001F50BA" w:rsidRDefault="00762FAD" w:rsidP="00762FAD">
      <w:pPr>
        <w:pStyle w:val="EndNoteBibliography"/>
        <w:ind w:left="720" w:hanging="720"/>
        <w:rPr>
          <w:lang w:val="it-IT"/>
        </w:rPr>
      </w:pPr>
      <w:bookmarkStart w:id="26" w:name="_ENREF_22"/>
      <w:r w:rsidRPr="001F50BA">
        <w:rPr>
          <w:lang w:val="it-IT"/>
        </w:rPr>
        <w:t>22.</w:t>
      </w:r>
      <w:r w:rsidRPr="001F50BA">
        <w:rPr>
          <w:lang w:val="it-IT"/>
        </w:rPr>
        <w:tab/>
        <w:t xml:space="preserve">Volpato, S, Bazzano, S, Fontana, A, et al. </w:t>
      </w:r>
      <w:r w:rsidRPr="001F50BA">
        <w:t xml:space="preserve">Multidimensional Prognostic Index predicts mortality and length of stay during hospitalization in the older patients: a multicenter prospective study. </w:t>
      </w:r>
      <w:r w:rsidR="00B75D4A" w:rsidRPr="001F50BA">
        <w:rPr>
          <w:lang w:val="it-IT"/>
        </w:rPr>
        <w:t xml:space="preserve">J Gerontol A Biol Sci Med Sci </w:t>
      </w:r>
      <w:r w:rsidRPr="001F50BA">
        <w:rPr>
          <w:lang w:val="it-IT"/>
        </w:rPr>
        <w:t>2015;70(3):325-331.</w:t>
      </w:r>
      <w:bookmarkEnd w:id="26"/>
    </w:p>
    <w:p w14:paraId="38EB4B13" w14:textId="77777777" w:rsidR="00762FAD" w:rsidRPr="001F50BA" w:rsidRDefault="00762FAD" w:rsidP="00762FAD">
      <w:pPr>
        <w:pStyle w:val="EndNoteBibliography"/>
        <w:ind w:left="720" w:hanging="720"/>
      </w:pPr>
      <w:bookmarkStart w:id="27" w:name="_ENREF_23"/>
      <w:r w:rsidRPr="001F50BA">
        <w:rPr>
          <w:lang w:val="it-IT"/>
        </w:rPr>
        <w:t>23.</w:t>
      </w:r>
      <w:r w:rsidRPr="001F50BA">
        <w:rPr>
          <w:lang w:val="it-IT"/>
        </w:rPr>
        <w:tab/>
        <w:t xml:space="preserve">Pilotto, A, Veronese, N, Daragjati, J, et al. </w:t>
      </w:r>
      <w:r w:rsidRPr="001F50BA">
        <w:t>Using the Multidimensional Prognostic Index to Predict Clinical Outcomes of Hospitalized Older Persons: a Prospective, Multicentre, International Study. J Gerontol A Biol Sci Med Sci 2018.</w:t>
      </w:r>
      <w:bookmarkEnd w:id="27"/>
    </w:p>
    <w:p w14:paraId="6C954528" w14:textId="15F723BC" w:rsidR="00762FAD" w:rsidRPr="001F50BA" w:rsidRDefault="00762FAD" w:rsidP="00762FAD">
      <w:pPr>
        <w:pStyle w:val="EndNoteBibliography"/>
        <w:ind w:left="720" w:hanging="720"/>
      </w:pPr>
      <w:bookmarkStart w:id="28" w:name="_ENREF_24"/>
      <w:r w:rsidRPr="001F50BA">
        <w:t>24.</w:t>
      </w:r>
      <w:r w:rsidRPr="001F50BA">
        <w:tab/>
        <w:t>Eby, GA, Eby, KL. Rapid recovery from major depression using magnesium treatment. Med Hypoth 2006;67(2):362-370.</w:t>
      </w:r>
      <w:bookmarkEnd w:id="28"/>
    </w:p>
    <w:p w14:paraId="64B172D7" w14:textId="50FF0501" w:rsidR="00762FAD" w:rsidRPr="001F50BA" w:rsidRDefault="00762FAD" w:rsidP="00762FAD">
      <w:pPr>
        <w:pStyle w:val="EndNoteBibliography"/>
        <w:ind w:left="720" w:hanging="720"/>
      </w:pPr>
      <w:bookmarkStart w:id="29" w:name="_ENREF_25"/>
      <w:r w:rsidRPr="001F50BA">
        <w:t>25.</w:t>
      </w:r>
      <w:r w:rsidRPr="001F50BA">
        <w:tab/>
        <w:t xml:space="preserve">Bellamy, N, Buchanan, WW, Goldsmith, CH, et al. Validation study of WOMAC: a health status instrument for measuring clinically important patient relevant outcomes to antirheumatic drug therapy in patients with osteoarthritis of the hip or knee. </w:t>
      </w:r>
      <w:r w:rsidR="00B75D4A" w:rsidRPr="001F50BA">
        <w:t>J</w:t>
      </w:r>
      <w:r w:rsidRPr="001F50BA">
        <w:t xml:space="preserve"> rheuma</w:t>
      </w:r>
      <w:r w:rsidR="00B75D4A" w:rsidRPr="001F50BA">
        <w:t>t</w:t>
      </w:r>
      <w:r w:rsidRPr="001F50BA">
        <w:t xml:space="preserve"> 1988;15(12):1833-1840.</w:t>
      </w:r>
      <w:bookmarkEnd w:id="29"/>
    </w:p>
    <w:p w14:paraId="4E0AD11D" w14:textId="425CD7F2" w:rsidR="00762FAD" w:rsidRPr="001F50BA" w:rsidRDefault="00762FAD" w:rsidP="00762FAD">
      <w:pPr>
        <w:pStyle w:val="EndNoteBibliography"/>
        <w:ind w:left="720" w:hanging="720"/>
        <w:rPr>
          <w:lang w:val="it-IT"/>
        </w:rPr>
      </w:pPr>
      <w:bookmarkStart w:id="30" w:name="_ENREF_26"/>
      <w:r w:rsidRPr="001F50BA">
        <w:t>26.</w:t>
      </w:r>
      <w:r w:rsidRPr="001F50BA">
        <w:tab/>
        <w:t xml:space="preserve">Washburn, RA, McAuley, E, Katula, J, et al. The physical activity scale for the elderly (PASE): evidence for validity. </w:t>
      </w:r>
      <w:r w:rsidRPr="001F50BA">
        <w:rPr>
          <w:lang w:val="it-IT"/>
        </w:rPr>
        <w:t>J clin epid 1999;52(7):643-651.</w:t>
      </w:r>
      <w:bookmarkEnd w:id="30"/>
    </w:p>
    <w:p w14:paraId="2BA5B221" w14:textId="7E2E9111" w:rsidR="00762FAD" w:rsidRPr="001F50BA" w:rsidRDefault="00762FAD" w:rsidP="00762FAD">
      <w:pPr>
        <w:pStyle w:val="EndNoteBibliography"/>
        <w:ind w:left="720" w:hanging="720"/>
      </w:pPr>
      <w:bookmarkStart w:id="31" w:name="_ENREF_27"/>
      <w:r w:rsidRPr="001F50BA">
        <w:rPr>
          <w:lang w:val="it-IT"/>
        </w:rPr>
        <w:t>27.</w:t>
      </w:r>
      <w:r w:rsidRPr="001F50BA">
        <w:rPr>
          <w:lang w:val="it-IT"/>
        </w:rPr>
        <w:tab/>
        <w:t xml:space="preserve">Katz, JN, Chang, LC, Sangha, O, et al. </w:t>
      </w:r>
      <w:r w:rsidRPr="001F50BA">
        <w:t>Can comorbidity be measured by questionnaire rather than medical record review? Med care 1996;34(1):73-84.</w:t>
      </w:r>
      <w:bookmarkEnd w:id="31"/>
    </w:p>
    <w:p w14:paraId="1853DDA8" w14:textId="690E8764" w:rsidR="00762FAD" w:rsidRPr="001F50BA" w:rsidRDefault="00762FAD" w:rsidP="00762FAD">
      <w:pPr>
        <w:pStyle w:val="EndNoteBibliography"/>
        <w:ind w:left="720" w:hanging="720"/>
      </w:pPr>
      <w:bookmarkStart w:id="32" w:name="_ENREF_28"/>
      <w:r w:rsidRPr="001F50BA">
        <w:t>28.</w:t>
      </w:r>
      <w:r w:rsidRPr="001F50BA">
        <w:tab/>
        <w:t xml:space="preserve">Lewinsohn, PM, Seeley, JR, Roberts, RE, et al. Center for Epidemiologic Studies Depression Scale (CES-D) as a screening instrument for depression among community-residing older adults. </w:t>
      </w:r>
      <w:r w:rsidR="006F4DDE" w:rsidRPr="001F50BA">
        <w:t>Psychol Aging</w:t>
      </w:r>
      <w:r w:rsidRPr="001F50BA">
        <w:t xml:space="preserve"> 1997;12(2):277-287.</w:t>
      </w:r>
      <w:bookmarkEnd w:id="32"/>
    </w:p>
    <w:p w14:paraId="24350B52" w14:textId="71072BDB" w:rsidR="00762FAD" w:rsidRPr="001F50BA" w:rsidRDefault="00762FAD" w:rsidP="00762FAD">
      <w:pPr>
        <w:pStyle w:val="EndNoteBibliography"/>
        <w:ind w:left="720" w:hanging="720"/>
      </w:pPr>
      <w:bookmarkStart w:id="33" w:name="_ENREF_29"/>
      <w:r w:rsidRPr="001F50BA">
        <w:t>29.</w:t>
      </w:r>
      <w:r w:rsidRPr="001F50BA">
        <w:tab/>
        <w:t>Roos, EM, Roos, HP, Lohmander, LS, et al. Knee Injury and Osteoarthritis Outcome Score (KOOS)—development of a self-administered outcome measure. J</w:t>
      </w:r>
      <w:r w:rsidR="006F4DDE" w:rsidRPr="001F50BA">
        <w:t xml:space="preserve"> Knee Surg Sports Traumatol Arthrosc </w:t>
      </w:r>
      <w:r w:rsidRPr="001F50BA">
        <w:t>1998;28(2):88-96.</w:t>
      </w:r>
      <w:bookmarkEnd w:id="33"/>
    </w:p>
    <w:p w14:paraId="77458A00" w14:textId="77777777" w:rsidR="00762FAD" w:rsidRPr="001F50BA" w:rsidRDefault="00762FAD" w:rsidP="00762FAD">
      <w:pPr>
        <w:pStyle w:val="EndNoteBibliography"/>
        <w:ind w:left="720" w:hanging="720"/>
      </w:pPr>
      <w:bookmarkStart w:id="34" w:name="_ENREF_30"/>
      <w:r w:rsidRPr="001F50BA">
        <w:t>30.</w:t>
      </w:r>
      <w:r w:rsidRPr="001F50BA">
        <w:tab/>
        <w:t>Chang, C, Hsieh, M-K, Chang, W-Y, et al. Determining the optimal number and location of cutoff points with application to data of cervical cancer. PloS one 2017;12(4):e0176231.</w:t>
      </w:r>
      <w:bookmarkEnd w:id="34"/>
    </w:p>
    <w:p w14:paraId="4BA5A08A" w14:textId="77777777" w:rsidR="00762FAD" w:rsidRPr="001F50BA" w:rsidRDefault="00762FAD" w:rsidP="00762FAD">
      <w:pPr>
        <w:pStyle w:val="EndNoteBibliography"/>
        <w:ind w:left="720" w:hanging="720"/>
      </w:pPr>
      <w:bookmarkStart w:id="35" w:name="_ENREF_31"/>
      <w:r w:rsidRPr="001F50BA">
        <w:t>31.</w:t>
      </w:r>
      <w:r w:rsidRPr="001F50BA">
        <w:tab/>
        <w:t>Organization, WH. Ageing; Life Course Unit. WHO global report on falls prevention in older age. World Health Organization 2008.</w:t>
      </w:r>
      <w:bookmarkEnd w:id="35"/>
    </w:p>
    <w:p w14:paraId="59FAE3CC" w14:textId="5DFF8403" w:rsidR="00762FAD" w:rsidRPr="001F50BA" w:rsidRDefault="00762FAD" w:rsidP="00762FAD">
      <w:pPr>
        <w:pStyle w:val="EndNoteBibliography"/>
        <w:ind w:left="720" w:hanging="720"/>
      </w:pPr>
      <w:bookmarkStart w:id="36" w:name="_ENREF_32"/>
      <w:r w:rsidRPr="001F50BA">
        <w:t>32.</w:t>
      </w:r>
      <w:r w:rsidRPr="001F50BA">
        <w:tab/>
        <w:t xml:space="preserve">Cheng, MH, Chang, SF. Frailty as a Risk Factor for Falls Among Community Dwelling People: Evidence From a Meta‐Analysis. </w:t>
      </w:r>
      <w:r w:rsidR="006F4DDE" w:rsidRPr="001F50BA">
        <w:t>J Nurs Scholarsh</w:t>
      </w:r>
      <w:r w:rsidRPr="001F50BA">
        <w:t xml:space="preserve"> 2017;49(5):529-536.</w:t>
      </w:r>
      <w:bookmarkEnd w:id="36"/>
    </w:p>
    <w:p w14:paraId="277AECBE" w14:textId="1CFD72DC" w:rsidR="00762FAD" w:rsidRPr="001F50BA" w:rsidRDefault="00762FAD" w:rsidP="00762FAD">
      <w:pPr>
        <w:pStyle w:val="EndNoteBibliography"/>
        <w:ind w:left="720" w:hanging="720"/>
      </w:pPr>
      <w:bookmarkStart w:id="37" w:name="_ENREF_33"/>
      <w:r w:rsidRPr="001F50BA">
        <w:t>33.</w:t>
      </w:r>
      <w:r w:rsidRPr="001F50BA">
        <w:tab/>
        <w:t xml:space="preserve">Kojima, G. Frailty as a predictor of future falls among community-dwelling older people: a systematic review and meta-analysis. </w:t>
      </w:r>
      <w:r w:rsidR="006F4DDE" w:rsidRPr="001F50BA">
        <w:t>JAMDA</w:t>
      </w:r>
      <w:r w:rsidRPr="001F50BA">
        <w:t xml:space="preserve"> 2015;16(12):1027-1033.</w:t>
      </w:r>
      <w:bookmarkEnd w:id="37"/>
    </w:p>
    <w:p w14:paraId="6C8403D4" w14:textId="066936FB" w:rsidR="00762FAD" w:rsidRPr="001F50BA" w:rsidRDefault="00762FAD" w:rsidP="00762FAD">
      <w:pPr>
        <w:pStyle w:val="EndNoteBibliography"/>
        <w:ind w:left="720" w:hanging="720"/>
      </w:pPr>
      <w:bookmarkStart w:id="38" w:name="_ENREF_34"/>
      <w:r w:rsidRPr="001F50BA">
        <w:t>34.</w:t>
      </w:r>
      <w:r w:rsidRPr="001F50BA">
        <w:tab/>
        <w:t xml:space="preserve">Chen, KW, Chang, SF, Lin, PL. Frailty as a Predictor of Future Fracture in Older Adults: A Systematic Review and Meta‐Analysis. </w:t>
      </w:r>
      <w:r w:rsidR="006F4DDE" w:rsidRPr="001F50BA">
        <w:t>Worldviews Evid Based Nurs</w:t>
      </w:r>
      <w:r w:rsidRPr="001F50BA">
        <w:t xml:space="preserve"> 2017;14(4):282-293.</w:t>
      </w:r>
      <w:bookmarkEnd w:id="38"/>
    </w:p>
    <w:p w14:paraId="2E87C5A1" w14:textId="78EB360B" w:rsidR="00762FAD" w:rsidRPr="001F50BA" w:rsidRDefault="00762FAD" w:rsidP="00762FAD">
      <w:pPr>
        <w:pStyle w:val="EndNoteBibliography"/>
        <w:ind w:left="720" w:hanging="720"/>
      </w:pPr>
      <w:bookmarkStart w:id="39" w:name="_ENREF_35"/>
      <w:r w:rsidRPr="001F50BA">
        <w:t>35.</w:t>
      </w:r>
      <w:r w:rsidRPr="001F50BA">
        <w:tab/>
        <w:t>Pilotto, A, Sancarlo, D, Daragjati, J, et al. Perspective: the challenge of clinical decision-making for drug treatment in older people. The role of multidimensional assessment and prognosis. Frontiers med 2014;1:61-61.</w:t>
      </w:r>
      <w:bookmarkEnd w:id="39"/>
    </w:p>
    <w:p w14:paraId="11F13E0A" w14:textId="77777777" w:rsidR="00762FAD" w:rsidRPr="001F50BA" w:rsidRDefault="00762FAD" w:rsidP="00762FAD">
      <w:pPr>
        <w:pStyle w:val="EndNoteBibliography"/>
        <w:ind w:left="720" w:hanging="720"/>
      </w:pPr>
      <w:bookmarkStart w:id="40" w:name="_ENREF_36"/>
      <w:r w:rsidRPr="001F50BA">
        <w:t>36.</w:t>
      </w:r>
      <w:r w:rsidRPr="001F50BA">
        <w:tab/>
        <w:t>Pilotto, A, Panza, F, Ferrucci, L. A multidimensional prognostic index in common conditions leading to death in older patients. Arch Intern Med 2012;172(7):594; discussion 594-595.</w:t>
      </w:r>
      <w:bookmarkEnd w:id="40"/>
    </w:p>
    <w:p w14:paraId="5CC833FB" w14:textId="77777777" w:rsidR="00762FAD" w:rsidRPr="001F50BA" w:rsidRDefault="00762FAD" w:rsidP="00762FAD">
      <w:pPr>
        <w:pStyle w:val="EndNoteBibliography"/>
        <w:ind w:left="720" w:hanging="720"/>
        <w:rPr>
          <w:lang w:val="it-IT"/>
        </w:rPr>
      </w:pPr>
      <w:bookmarkStart w:id="41" w:name="_ENREF_37"/>
      <w:r w:rsidRPr="001F50BA">
        <w:t>37.</w:t>
      </w:r>
      <w:r w:rsidRPr="001F50BA">
        <w:tab/>
        <w:t xml:space="preserve">Pilotto, A, Rengo, F, Marchionni, N, et al. Comparing the prognostic accuracy for all-cause mortality of frailty instruments: a multicentre 1-year follow-up in hospitalized older patients. </w:t>
      </w:r>
      <w:r w:rsidRPr="001F50BA">
        <w:rPr>
          <w:lang w:val="it-IT"/>
        </w:rPr>
        <w:t>PLoS One 2012;7(1):e29090.</w:t>
      </w:r>
      <w:bookmarkEnd w:id="41"/>
    </w:p>
    <w:p w14:paraId="56ED6681" w14:textId="054C2FF0" w:rsidR="00762FAD" w:rsidRPr="001F50BA" w:rsidRDefault="00762FAD" w:rsidP="00762FAD">
      <w:pPr>
        <w:pStyle w:val="EndNoteBibliography"/>
        <w:ind w:left="720" w:hanging="720"/>
        <w:rPr>
          <w:lang w:val="it-IT"/>
        </w:rPr>
      </w:pPr>
      <w:bookmarkStart w:id="42" w:name="_ENREF_38"/>
      <w:r w:rsidRPr="001F50BA">
        <w:rPr>
          <w:lang w:val="it-IT"/>
        </w:rPr>
        <w:lastRenderedPageBreak/>
        <w:t>38.</w:t>
      </w:r>
      <w:r w:rsidRPr="001F50BA">
        <w:rPr>
          <w:lang w:val="it-IT"/>
        </w:rPr>
        <w:tab/>
        <w:t xml:space="preserve">Pilotto, A, Veronese, N, Daragjati, J, et al. </w:t>
      </w:r>
      <w:r w:rsidRPr="001F50BA">
        <w:t xml:space="preserve">Using the Multidimensional Prognostic Index to Predict Clinical Outcomes of Hospitalized Older Persons: A Prospective, Multicenter, International Study. </w:t>
      </w:r>
      <w:r w:rsidR="00686A9E" w:rsidRPr="001F50BA">
        <w:rPr>
          <w:lang w:val="it-IT"/>
        </w:rPr>
        <w:t>J Gerontol A Biol Sci Med Sci</w:t>
      </w:r>
      <w:r w:rsidRPr="001F50BA">
        <w:rPr>
          <w:lang w:val="it-IT"/>
        </w:rPr>
        <w:t xml:space="preserve"> 2018</w:t>
      </w:r>
      <w:bookmarkEnd w:id="42"/>
      <w:r w:rsidR="00686A9E" w:rsidRPr="001F50BA">
        <w:rPr>
          <w:lang w:val="it-IT"/>
        </w:rPr>
        <w:t>; doi: 10.1093/gerona/gly239.</w:t>
      </w:r>
    </w:p>
    <w:p w14:paraId="2BF081C6" w14:textId="25D12F90" w:rsidR="00762FAD" w:rsidRPr="001F50BA" w:rsidRDefault="00762FAD" w:rsidP="00762FAD">
      <w:pPr>
        <w:pStyle w:val="EndNoteBibliography"/>
        <w:ind w:left="720" w:hanging="720"/>
      </w:pPr>
      <w:bookmarkStart w:id="43" w:name="_ENREF_39"/>
      <w:r w:rsidRPr="001F50BA">
        <w:t>39.</w:t>
      </w:r>
      <w:r w:rsidRPr="001F50BA">
        <w:tab/>
        <w:t>Panel on Prevention of Falls in Older Persons, AGS, Society, BG. Summary of the updated American Geriatrics Society/British Geriatrics Society clinical practice guideline for prevention of falls in older persons. J Am Ger Soc 2011;59(1):148-157.</w:t>
      </w:r>
      <w:bookmarkEnd w:id="43"/>
    </w:p>
    <w:p w14:paraId="579992BE" w14:textId="55BBEC4D" w:rsidR="00762FAD" w:rsidRPr="001F50BA" w:rsidRDefault="00762FAD" w:rsidP="00762FAD">
      <w:pPr>
        <w:pStyle w:val="EndNoteBibliography"/>
        <w:ind w:left="720" w:hanging="720"/>
      </w:pPr>
      <w:bookmarkStart w:id="44" w:name="_ENREF_40"/>
      <w:r w:rsidRPr="001F50BA">
        <w:t>40.</w:t>
      </w:r>
      <w:r w:rsidRPr="001F50BA">
        <w:tab/>
        <w:t xml:space="preserve">Liu-Ambrose, T, Davis, JC, Best, JR, et al. Effect of a home-based exercise program on subsequent falls among community-dwelling high-risk older adults after a fall: a randomized clinical trial. </w:t>
      </w:r>
      <w:r w:rsidR="004512DA" w:rsidRPr="001F50BA">
        <w:t>JAMA</w:t>
      </w:r>
      <w:r w:rsidRPr="001F50BA">
        <w:t xml:space="preserve"> 2019;321(21):2092-2100.</w:t>
      </w:r>
      <w:bookmarkEnd w:id="44"/>
    </w:p>
    <w:p w14:paraId="7E12035F" w14:textId="19C5D5CA" w:rsidR="00762FAD" w:rsidRPr="001F50BA" w:rsidRDefault="00762FAD" w:rsidP="00762FAD">
      <w:pPr>
        <w:pStyle w:val="EndNoteBibliography"/>
        <w:ind w:left="720" w:hanging="720"/>
      </w:pPr>
      <w:bookmarkStart w:id="45" w:name="_ENREF_41"/>
      <w:r w:rsidRPr="001F50BA">
        <w:t>41.</w:t>
      </w:r>
      <w:r w:rsidRPr="001F50BA">
        <w:tab/>
        <w:t xml:space="preserve">Ganz, DA, Higashi, T, Rubenstein, LZ. Monitoring falls in cohort studies of community‐dwelling older people: effect of the recall interval. </w:t>
      </w:r>
      <w:r w:rsidR="00686A9E" w:rsidRPr="001F50BA">
        <w:t xml:space="preserve">J Am Ger Soc </w:t>
      </w:r>
      <w:r w:rsidRPr="001F50BA">
        <w:t>2005;53(12):2190-2194.</w:t>
      </w:r>
      <w:bookmarkEnd w:id="45"/>
    </w:p>
    <w:p w14:paraId="05DFF354" w14:textId="039CD2D0" w:rsidR="00762FAD" w:rsidRPr="001F50BA" w:rsidRDefault="00762FAD" w:rsidP="00762FAD">
      <w:pPr>
        <w:pStyle w:val="EndNoteBibliography"/>
        <w:ind w:left="720" w:hanging="720"/>
      </w:pPr>
      <w:bookmarkStart w:id="46" w:name="_ENREF_42"/>
      <w:r w:rsidRPr="001F50BA">
        <w:t>42.</w:t>
      </w:r>
      <w:r w:rsidRPr="001F50BA">
        <w:tab/>
        <w:t>Griffin, J, Lall, R, Bruce, J, et al. Comparison of alternative falls data collection methods in the Prevention of Falls Injury Trial (PreFIT). J clin epid 2019;106:32-40.</w:t>
      </w:r>
      <w:bookmarkEnd w:id="46"/>
    </w:p>
    <w:p w14:paraId="6C2CD8DE" w14:textId="5AEE0AC1" w:rsidR="00762FAD" w:rsidRPr="001F50BA" w:rsidRDefault="00762FAD" w:rsidP="00762FAD">
      <w:pPr>
        <w:pStyle w:val="EndNoteBibliography"/>
        <w:ind w:left="720" w:hanging="720"/>
      </w:pPr>
      <w:bookmarkStart w:id="47" w:name="_ENREF_43"/>
      <w:r w:rsidRPr="001F50BA">
        <w:t>43.</w:t>
      </w:r>
      <w:r w:rsidRPr="001F50BA">
        <w:tab/>
        <w:t>Geng, Y, Lo, JC, Brickner, L, et al. Racial-ethnic differences in fall prevalence among older women: a cross-sectional survey study. BMC ger 2017;17(1):65.</w:t>
      </w:r>
      <w:bookmarkEnd w:id="47"/>
    </w:p>
    <w:p w14:paraId="6F8EBDD0" w14:textId="66997F18" w:rsidR="001F50BA" w:rsidRPr="001F50BA" w:rsidRDefault="00F47BD5" w:rsidP="004564E8">
      <w:pPr>
        <w:pStyle w:val="EndNoteBibliography"/>
        <w:ind w:left="720" w:hanging="720"/>
        <w:rPr>
          <w:rFonts w:asciiTheme="minorHAnsi" w:hAnsiTheme="minorHAnsi" w:cs="Times New Roman"/>
        </w:rPr>
      </w:pPr>
      <w:r w:rsidRPr="001F50BA">
        <w:rPr>
          <w:rFonts w:asciiTheme="minorHAnsi" w:hAnsiTheme="minorHAnsi" w:cs="Times New Roman"/>
        </w:rPr>
        <w:fldChar w:fldCharType="end"/>
      </w:r>
    </w:p>
    <w:p w14:paraId="29ADB3FB" w14:textId="77777777" w:rsidR="001F50BA" w:rsidRPr="001F50BA" w:rsidRDefault="001F50BA">
      <w:pPr>
        <w:spacing w:after="200" w:line="276" w:lineRule="auto"/>
        <w:rPr>
          <w:rFonts w:cs="Times New Roman"/>
          <w:noProof/>
        </w:rPr>
      </w:pPr>
      <w:r w:rsidRPr="001F50BA">
        <w:rPr>
          <w:rFonts w:cs="Times New Roman"/>
        </w:rPr>
        <w:br w:type="page"/>
      </w:r>
    </w:p>
    <w:p w14:paraId="2DD3B5BB" w14:textId="41237B31" w:rsidR="001F50BA" w:rsidRPr="001F50BA" w:rsidRDefault="001F50BA" w:rsidP="001F50BA">
      <w:pPr>
        <w:spacing w:line="480" w:lineRule="auto"/>
        <w:jc w:val="both"/>
        <w:rPr>
          <w:rFonts w:cs="Times New Roman"/>
          <w:b/>
          <w:bCs/>
        </w:rPr>
      </w:pPr>
      <w:r w:rsidRPr="001F50BA">
        <w:rPr>
          <w:rFonts w:cs="Times New Roman"/>
          <w:b/>
          <w:bCs/>
        </w:rPr>
        <w:lastRenderedPageBreak/>
        <w:t xml:space="preserve">Figure 1. Domains and weights of multidimensional prognostic index (MPI) used in the Osteoarthritis Initiative. </w:t>
      </w:r>
    </w:p>
    <w:p w14:paraId="0939D5EE" w14:textId="2B072CC6" w:rsidR="001F50BA" w:rsidRPr="001F50BA" w:rsidRDefault="001F50BA" w:rsidP="001F50BA">
      <w:pPr>
        <w:spacing w:line="480" w:lineRule="auto"/>
        <w:jc w:val="both"/>
        <w:rPr>
          <w:rFonts w:cs="Times New Roman"/>
          <w:b/>
          <w:bCs/>
        </w:rPr>
      </w:pPr>
    </w:p>
    <w:p w14:paraId="4B6FCE8A" w14:textId="77777777" w:rsidR="001F50BA" w:rsidRPr="001F50BA" w:rsidRDefault="001F50BA" w:rsidP="001F50BA">
      <w:pPr>
        <w:spacing w:line="480" w:lineRule="auto"/>
        <w:jc w:val="both"/>
        <w:rPr>
          <w:rFonts w:cs="Courier New"/>
          <w:i/>
        </w:rPr>
      </w:pPr>
      <w:r w:rsidRPr="001F50BA">
        <w:rPr>
          <w:rFonts w:cs="Courier New"/>
          <w:i/>
        </w:rPr>
        <w:t>Notes:</w:t>
      </w:r>
    </w:p>
    <w:p w14:paraId="1B53634B" w14:textId="77777777" w:rsidR="001F50BA" w:rsidRPr="001F50BA" w:rsidRDefault="001F50BA" w:rsidP="001F50BA">
      <w:pPr>
        <w:spacing w:line="480" w:lineRule="auto"/>
        <w:jc w:val="both"/>
        <w:rPr>
          <w:rStyle w:val="st"/>
          <w:i/>
        </w:rPr>
      </w:pPr>
      <w:r w:rsidRPr="001F50BA">
        <w:rPr>
          <w:rFonts w:cs="Courier New"/>
        </w:rPr>
        <w:t>(1)</w:t>
      </w:r>
      <w:r w:rsidRPr="001F50BA">
        <w:rPr>
          <w:rFonts w:cs="Times New Roman"/>
          <w:i/>
        </w:rPr>
        <w:t xml:space="preserve"> CES-D:  Center for Epidemiologic Studies – Depression; WOMAC: </w:t>
      </w:r>
      <w:r w:rsidRPr="001F50BA">
        <w:rPr>
          <w:rStyle w:val="st"/>
          <w:i/>
        </w:rPr>
        <w:t>Western Ontario and Mc Master University; PASE: Physical Activity Scale for Elderly; KOOS: Knee Injury and Osteoarthritis Outcome Score; QoL: quality of life; BMI: body mass index; MPI: Multidimensional Prognostic Index.</w:t>
      </w:r>
    </w:p>
    <w:p w14:paraId="691501F2" w14:textId="77777777" w:rsidR="001F50BA" w:rsidRPr="002337A4" w:rsidRDefault="001F50BA" w:rsidP="001F50BA">
      <w:pPr>
        <w:spacing w:line="480" w:lineRule="auto"/>
        <w:jc w:val="both"/>
        <w:rPr>
          <w:rFonts w:cs="Times New Roman"/>
        </w:rPr>
      </w:pPr>
      <w:r w:rsidRPr="001F50BA">
        <w:rPr>
          <w:i/>
        </w:rPr>
        <w:t>(2) round brackets “(“ or “)” stay for excluded value, square brackets “[“ or “]” stay for included value.</w:t>
      </w:r>
    </w:p>
    <w:p w14:paraId="4D4D6239" w14:textId="77777777" w:rsidR="001F50BA" w:rsidRPr="001F50BA" w:rsidRDefault="001F50BA" w:rsidP="001F50BA">
      <w:pPr>
        <w:spacing w:line="480" w:lineRule="auto"/>
        <w:jc w:val="both"/>
        <w:rPr>
          <w:rFonts w:cs="Times New Roman"/>
          <w:b/>
          <w:bCs/>
        </w:rPr>
      </w:pPr>
    </w:p>
    <w:p w14:paraId="46C3F4F7" w14:textId="7EC18731" w:rsidR="00F131CA" w:rsidRDefault="00F131CA" w:rsidP="004564E8">
      <w:pPr>
        <w:pStyle w:val="EndNoteBibliography"/>
        <w:ind w:left="720" w:hanging="720"/>
        <w:rPr>
          <w:rFonts w:cs="Times New Roman"/>
        </w:rPr>
      </w:pPr>
    </w:p>
    <w:p w14:paraId="616C5657" w14:textId="74D8BC59" w:rsidR="00BE26C0" w:rsidRDefault="00BE26C0" w:rsidP="004564E8">
      <w:pPr>
        <w:pStyle w:val="EndNoteBibliography"/>
        <w:ind w:left="720" w:hanging="720"/>
        <w:rPr>
          <w:rFonts w:cs="Times New Roman"/>
        </w:rPr>
      </w:pPr>
    </w:p>
    <w:p w14:paraId="39BE98F2" w14:textId="67D26D2E" w:rsidR="00BE26C0" w:rsidRDefault="00BE26C0" w:rsidP="004564E8">
      <w:pPr>
        <w:pStyle w:val="EndNoteBibliography"/>
        <w:ind w:left="720" w:hanging="720"/>
        <w:rPr>
          <w:rFonts w:cs="Times New Roman"/>
        </w:rPr>
      </w:pPr>
    </w:p>
    <w:p w14:paraId="0EB366C4" w14:textId="659C9C8C" w:rsidR="00BE26C0" w:rsidRDefault="00BE26C0" w:rsidP="004564E8">
      <w:pPr>
        <w:pStyle w:val="EndNoteBibliography"/>
        <w:ind w:left="720" w:hanging="720"/>
        <w:rPr>
          <w:rFonts w:cs="Times New Roman"/>
        </w:rPr>
      </w:pPr>
    </w:p>
    <w:p w14:paraId="442E8472" w14:textId="338FA00B" w:rsidR="00BE26C0" w:rsidRDefault="00BE26C0" w:rsidP="004564E8">
      <w:pPr>
        <w:pStyle w:val="EndNoteBibliography"/>
        <w:ind w:left="720" w:hanging="720"/>
        <w:rPr>
          <w:rFonts w:cs="Times New Roman"/>
        </w:rPr>
      </w:pPr>
    </w:p>
    <w:p w14:paraId="27FB9173" w14:textId="45B851FA" w:rsidR="00BE26C0" w:rsidRDefault="00BE26C0" w:rsidP="004564E8">
      <w:pPr>
        <w:pStyle w:val="EndNoteBibliography"/>
        <w:ind w:left="720" w:hanging="720"/>
        <w:rPr>
          <w:rFonts w:cs="Times New Roman"/>
        </w:rPr>
      </w:pPr>
    </w:p>
    <w:p w14:paraId="4B2DB6C4" w14:textId="5B1A9B11" w:rsidR="00BE26C0" w:rsidRDefault="00BE26C0" w:rsidP="004564E8">
      <w:pPr>
        <w:pStyle w:val="EndNoteBibliography"/>
        <w:ind w:left="720" w:hanging="720"/>
        <w:rPr>
          <w:rFonts w:cs="Times New Roman"/>
        </w:rPr>
      </w:pPr>
    </w:p>
    <w:p w14:paraId="26BBCF8B" w14:textId="3C37BE54" w:rsidR="00BE26C0" w:rsidRDefault="00BE26C0" w:rsidP="004564E8">
      <w:pPr>
        <w:pStyle w:val="EndNoteBibliography"/>
        <w:ind w:left="720" w:hanging="720"/>
        <w:rPr>
          <w:rFonts w:cs="Times New Roman"/>
        </w:rPr>
      </w:pPr>
    </w:p>
    <w:p w14:paraId="418D803F" w14:textId="401844CB" w:rsidR="00BE26C0" w:rsidRDefault="00BE26C0" w:rsidP="004564E8">
      <w:pPr>
        <w:pStyle w:val="EndNoteBibliography"/>
        <w:ind w:left="720" w:hanging="720"/>
        <w:rPr>
          <w:rFonts w:cs="Times New Roman"/>
        </w:rPr>
      </w:pPr>
    </w:p>
    <w:p w14:paraId="7E13EBCB" w14:textId="7836763B" w:rsidR="00BE26C0" w:rsidRDefault="00BE26C0" w:rsidP="004564E8">
      <w:pPr>
        <w:pStyle w:val="EndNoteBibliography"/>
        <w:ind w:left="720" w:hanging="720"/>
        <w:rPr>
          <w:rFonts w:cs="Times New Roman"/>
        </w:rPr>
      </w:pPr>
    </w:p>
    <w:p w14:paraId="5C62ADFE" w14:textId="67CE16D2" w:rsidR="00BE26C0" w:rsidRDefault="00BE26C0" w:rsidP="004564E8">
      <w:pPr>
        <w:pStyle w:val="EndNoteBibliography"/>
        <w:ind w:left="720" w:hanging="720"/>
        <w:rPr>
          <w:rFonts w:cs="Times New Roman"/>
        </w:rPr>
      </w:pPr>
    </w:p>
    <w:p w14:paraId="684E609C" w14:textId="0003DF0D" w:rsidR="00BE26C0" w:rsidRDefault="00BE26C0" w:rsidP="004564E8">
      <w:pPr>
        <w:pStyle w:val="EndNoteBibliography"/>
        <w:ind w:left="720" w:hanging="720"/>
        <w:rPr>
          <w:rFonts w:cs="Times New Roman"/>
        </w:rPr>
      </w:pPr>
    </w:p>
    <w:p w14:paraId="2F90AD52" w14:textId="7BCF6F6D" w:rsidR="00BE26C0" w:rsidRDefault="00BE26C0" w:rsidP="004564E8">
      <w:pPr>
        <w:pStyle w:val="EndNoteBibliography"/>
        <w:ind w:left="720" w:hanging="720"/>
        <w:rPr>
          <w:rFonts w:cs="Times New Roman"/>
        </w:rPr>
      </w:pPr>
    </w:p>
    <w:p w14:paraId="5FF2A667" w14:textId="03B6F4CF" w:rsidR="00BE26C0" w:rsidRDefault="00BE26C0" w:rsidP="004564E8">
      <w:pPr>
        <w:pStyle w:val="EndNoteBibliography"/>
        <w:ind w:left="720" w:hanging="720"/>
        <w:rPr>
          <w:rFonts w:cs="Times New Roman"/>
        </w:rPr>
      </w:pPr>
    </w:p>
    <w:p w14:paraId="1CDA5CAD" w14:textId="5C50B468" w:rsidR="00BE26C0" w:rsidRDefault="00BE26C0" w:rsidP="004564E8">
      <w:pPr>
        <w:pStyle w:val="EndNoteBibliography"/>
        <w:ind w:left="720" w:hanging="720"/>
        <w:rPr>
          <w:rFonts w:cs="Times New Roman"/>
        </w:rPr>
      </w:pPr>
    </w:p>
    <w:p w14:paraId="1F25F005" w14:textId="5F43909D" w:rsidR="00BE26C0" w:rsidRDefault="00BE26C0" w:rsidP="004564E8">
      <w:pPr>
        <w:pStyle w:val="EndNoteBibliography"/>
        <w:ind w:left="720" w:hanging="720"/>
        <w:rPr>
          <w:rFonts w:cs="Times New Roman"/>
        </w:rPr>
      </w:pPr>
    </w:p>
    <w:p w14:paraId="3E0FC734" w14:textId="2557808B" w:rsidR="00BE26C0" w:rsidRDefault="00BE26C0" w:rsidP="004564E8">
      <w:pPr>
        <w:pStyle w:val="EndNoteBibliography"/>
        <w:ind w:left="720" w:hanging="720"/>
        <w:rPr>
          <w:rFonts w:cs="Times New Roman"/>
        </w:rPr>
      </w:pPr>
    </w:p>
    <w:p w14:paraId="28EB0C18" w14:textId="0B067241" w:rsidR="00BE26C0" w:rsidRDefault="00BE26C0" w:rsidP="004564E8">
      <w:pPr>
        <w:pStyle w:val="EndNoteBibliography"/>
        <w:ind w:left="720" w:hanging="720"/>
        <w:rPr>
          <w:rFonts w:cs="Times New Roman"/>
        </w:rPr>
      </w:pPr>
    </w:p>
    <w:p w14:paraId="1159D1F3" w14:textId="2A56CACA" w:rsidR="00BE26C0" w:rsidRDefault="00BE26C0" w:rsidP="004564E8">
      <w:pPr>
        <w:pStyle w:val="EndNoteBibliography"/>
        <w:ind w:left="720" w:hanging="720"/>
        <w:rPr>
          <w:rFonts w:cs="Times New Roman"/>
        </w:rPr>
      </w:pPr>
    </w:p>
    <w:p w14:paraId="5EAE6A84" w14:textId="4884421F" w:rsidR="00BE26C0" w:rsidRDefault="00BE26C0" w:rsidP="004564E8">
      <w:pPr>
        <w:pStyle w:val="EndNoteBibliography"/>
        <w:ind w:left="720" w:hanging="720"/>
        <w:rPr>
          <w:rFonts w:cs="Times New Roman"/>
        </w:rPr>
      </w:pPr>
    </w:p>
    <w:p w14:paraId="14E98804" w14:textId="5F9A2C74" w:rsidR="00BE26C0" w:rsidRDefault="00BE26C0" w:rsidP="004564E8">
      <w:pPr>
        <w:pStyle w:val="EndNoteBibliography"/>
        <w:ind w:left="720" w:hanging="720"/>
        <w:rPr>
          <w:rFonts w:cs="Times New Roman"/>
        </w:rPr>
      </w:pPr>
    </w:p>
    <w:p w14:paraId="38A85A86" w14:textId="01F49840" w:rsidR="00BE26C0" w:rsidRDefault="00BE26C0" w:rsidP="004564E8">
      <w:pPr>
        <w:pStyle w:val="EndNoteBibliography"/>
        <w:ind w:left="720" w:hanging="720"/>
        <w:rPr>
          <w:rFonts w:cs="Times New Roman"/>
        </w:rPr>
      </w:pPr>
    </w:p>
    <w:p w14:paraId="1F8176F7" w14:textId="467BB923" w:rsidR="00BE26C0" w:rsidRDefault="00BE26C0" w:rsidP="004564E8">
      <w:pPr>
        <w:pStyle w:val="EndNoteBibliography"/>
        <w:ind w:left="720" w:hanging="720"/>
        <w:rPr>
          <w:rFonts w:cs="Times New Roman"/>
        </w:rPr>
      </w:pPr>
    </w:p>
    <w:p w14:paraId="137A5A72" w14:textId="1FC2FD60" w:rsidR="00BE26C0" w:rsidRDefault="00BE26C0" w:rsidP="004564E8">
      <w:pPr>
        <w:pStyle w:val="EndNoteBibliography"/>
        <w:ind w:left="720" w:hanging="720"/>
        <w:rPr>
          <w:rFonts w:cs="Times New Roman"/>
        </w:rPr>
      </w:pPr>
    </w:p>
    <w:p w14:paraId="167F15D5" w14:textId="3576DB42" w:rsidR="00BE26C0" w:rsidRDefault="00BE26C0" w:rsidP="004564E8">
      <w:pPr>
        <w:pStyle w:val="EndNoteBibliography"/>
        <w:ind w:left="720" w:hanging="720"/>
        <w:rPr>
          <w:rFonts w:cs="Times New Roman"/>
        </w:rPr>
      </w:pPr>
    </w:p>
    <w:p w14:paraId="2BC64660" w14:textId="67575E4C" w:rsidR="00BE26C0" w:rsidRDefault="00BE26C0" w:rsidP="004564E8">
      <w:pPr>
        <w:pStyle w:val="EndNoteBibliography"/>
        <w:ind w:left="720" w:hanging="720"/>
        <w:rPr>
          <w:rFonts w:cs="Times New Roman"/>
        </w:rPr>
      </w:pPr>
    </w:p>
    <w:p w14:paraId="1DC98578" w14:textId="065A2213" w:rsidR="00BE26C0" w:rsidRDefault="00BE26C0" w:rsidP="004564E8">
      <w:pPr>
        <w:pStyle w:val="EndNoteBibliography"/>
        <w:ind w:left="720" w:hanging="720"/>
        <w:rPr>
          <w:rFonts w:cs="Times New Roman"/>
        </w:rPr>
      </w:pPr>
    </w:p>
    <w:p w14:paraId="4AD9D478" w14:textId="4DBB022A" w:rsidR="00BE26C0" w:rsidRDefault="00BE26C0" w:rsidP="004564E8">
      <w:pPr>
        <w:pStyle w:val="EndNoteBibliography"/>
        <w:ind w:left="720" w:hanging="720"/>
        <w:rPr>
          <w:rFonts w:cs="Times New Roman"/>
        </w:rPr>
      </w:pPr>
    </w:p>
    <w:p w14:paraId="1A4EF2CE" w14:textId="0146776B" w:rsidR="00BE26C0" w:rsidRDefault="00BE26C0" w:rsidP="004564E8">
      <w:pPr>
        <w:pStyle w:val="EndNoteBibliography"/>
        <w:ind w:left="720" w:hanging="720"/>
        <w:rPr>
          <w:rFonts w:cs="Times New Roman"/>
        </w:rPr>
      </w:pPr>
    </w:p>
    <w:p w14:paraId="075FF45A" w14:textId="4C9EF161" w:rsidR="00BE26C0" w:rsidRDefault="00BE26C0" w:rsidP="004564E8">
      <w:pPr>
        <w:pStyle w:val="EndNoteBibliography"/>
        <w:ind w:left="720" w:hanging="720"/>
        <w:rPr>
          <w:rFonts w:cs="Times New Roman"/>
        </w:rPr>
      </w:pPr>
    </w:p>
    <w:p w14:paraId="3DE48EDD" w14:textId="77777777" w:rsidR="00BE26C0" w:rsidRPr="002337A4" w:rsidRDefault="00BE26C0" w:rsidP="00BE26C0">
      <w:pPr>
        <w:pStyle w:val="EndNoteBibliography"/>
        <w:spacing w:line="480" w:lineRule="auto"/>
        <w:jc w:val="both"/>
        <w:rPr>
          <w:rFonts w:asciiTheme="minorHAnsi" w:hAnsiTheme="minorHAnsi" w:cs="Times New Roman"/>
          <w:b/>
        </w:rPr>
      </w:pPr>
      <w:r w:rsidRPr="002337A4">
        <w:rPr>
          <w:rFonts w:asciiTheme="minorHAnsi" w:hAnsiTheme="minorHAnsi" w:cs="Times New Roman"/>
          <w:b/>
        </w:rPr>
        <w:lastRenderedPageBreak/>
        <w:t>Table 1. Multivariate logistic model for recurrent fallers and weight for a multidimensional score (adjusted for age and sex).</w:t>
      </w:r>
    </w:p>
    <w:p w14:paraId="04499180" w14:textId="77777777" w:rsidR="00BE26C0" w:rsidRPr="002337A4" w:rsidRDefault="00BE26C0" w:rsidP="00BE26C0">
      <w:pPr>
        <w:rPr>
          <w:rFonts w:cs="Times New Roman"/>
        </w:rPr>
      </w:pPr>
    </w:p>
    <w:tbl>
      <w:tblPr>
        <w:tblW w:w="8931" w:type="dxa"/>
        <w:jc w:val="center"/>
        <w:tblLook w:val="04A0" w:firstRow="1" w:lastRow="0" w:firstColumn="1" w:lastColumn="0" w:noHBand="0" w:noVBand="1"/>
      </w:tblPr>
      <w:tblGrid>
        <w:gridCol w:w="2115"/>
        <w:gridCol w:w="1283"/>
        <w:gridCol w:w="2746"/>
        <w:gridCol w:w="1393"/>
        <w:gridCol w:w="1394"/>
      </w:tblGrid>
      <w:tr w:rsidR="00BE26C0" w:rsidRPr="002337A4" w14:paraId="4D8DCB6B" w14:textId="77777777" w:rsidTr="000978C5">
        <w:trPr>
          <w:trHeight w:val="1231"/>
          <w:jc w:val="center"/>
        </w:trPr>
        <w:tc>
          <w:tcPr>
            <w:tcW w:w="3398" w:type="dxa"/>
            <w:gridSpan w:val="2"/>
            <w:tcBorders>
              <w:top w:val="single" w:sz="18" w:space="0" w:color="auto"/>
              <w:left w:val="nil"/>
              <w:bottom w:val="single" w:sz="18" w:space="0" w:color="auto"/>
              <w:right w:val="single" w:sz="18" w:space="0" w:color="auto"/>
            </w:tcBorders>
            <w:vAlign w:val="center"/>
          </w:tcPr>
          <w:p w14:paraId="155F8D7B" w14:textId="77777777" w:rsidR="00BE26C0" w:rsidRPr="002337A4" w:rsidRDefault="00BE26C0" w:rsidP="000978C5">
            <w:pPr>
              <w:rPr>
                <w:rFonts w:cs="Times New Roman"/>
                <w:b/>
              </w:rPr>
            </w:pPr>
          </w:p>
        </w:tc>
        <w:tc>
          <w:tcPr>
            <w:tcW w:w="2746" w:type="dxa"/>
            <w:tcBorders>
              <w:top w:val="single" w:sz="18" w:space="0" w:color="auto"/>
              <w:left w:val="single" w:sz="18" w:space="0" w:color="auto"/>
              <w:bottom w:val="single" w:sz="18" w:space="0" w:color="auto"/>
              <w:right w:val="single" w:sz="6" w:space="0" w:color="auto"/>
            </w:tcBorders>
            <w:vAlign w:val="center"/>
          </w:tcPr>
          <w:p w14:paraId="0DC36115" w14:textId="77777777" w:rsidR="00BE26C0" w:rsidRPr="002337A4" w:rsidRDefault="00BE26C0" w:rsidP="000978C5">
            <w:pPr>
              <w:jc w:val="center"/>
              <w:rPr>
                <w:rFonts w:cs="Times New Roman"/>
                <w:b/>
              </w:rPr>
            </w:pPr>
            <w:r w:rsidRPr="002337A4">
              <w:rPr>
                <w:rFonts w:cs="Times New Roman"/>
                <w:b/>
              </w:rPr>
              <w:t>OR (95%CI)</w:t>
            </w:r>
          </w:p>
        </w:tc>
        <w:tc>
          <w:tcPr>
            <w:tcW w:w="1393" w:type="dxa"/>
            <w:tcBorders>
              <w:top w:val="single" w:sz="18" w:space="0" w:color="auto"/>
              <w:left w:val="single" w:sz="6" w:space="0" w:color="auto"/>
              <w:bottom w:val="single" w:sz="18" w:space="0" w:color="auto"/>
              <w:right w:val="single" w:sz="18" w:space="0" w:color="auto"/>
            </w:tcBorders>
            <w:vAlign w:val="center"/>
          </w:tcPr>
          <w:p w14:paraId="1B701B5A" w14:textId="77777777" w:rsidR="00BE26C0" w:rsidRPr="002337A4" w:rsidRDefault="00BE26C0" w:rsidP="000978C5">
            <w:pPr>
              <w:jc w:val="center"/>
              <w:rPr>
                <w:rFonts w:cs="Times New Roman"/>
                <w:b/>
              </w:rPr>
            </w:pPr>
            <w:r w:rsidRPr="002337A4">
              <w:rPr>
                <w:rFonts w:cs="Times New Roman"/>
                <w:b/>
              </w:rPr>
              <w:t>p-value</w:t>
            </w:r>
          </w:p>
        </w:tc>
        <w:tc>
          <w:tcPr>
            <w:tcW w:w="1394" w:type="dxa"/>
            <w:tcBorders>
              <w:top w:val="single" w:sz="18" w:space="0" w:color="auto"/>
              <w:left w:val="single" w:sz="18" w:space="0" w:color="auto"/>
              <w:bottom w:val="single" w:sz="18" w:space="0" w:color="auto"/>
              <w:right w:val="nil"/>
            </w:tcBorders>
            <w:vAlign w:val="center"/>
          </w:tcPr>
          <w:p w14:paraId="36D6126E" w14:textId="77777777" w:rsidR="00BE26C0" w:rsidRPr="002337A4" w:rsidRDefault="00BE26C0" w:rsidP="000978C5">
            <w:pPr>
              <w:jc w:val="center"/>
              <w:rPr>
                <w:rFonts w:cs="Times New Roman"/>
                <w:b/>
              </w:rPr>
            </w:pPr>
            <w:r w:rsidRPr="002337A4">
              <w:rPr>
                <w:rFonts w:cs="Times New Roman"/>
                <w:b/>
              </w:rPr>
              <w:t>Weights for MPI</w:t>
            </w:r>
          </w:p>
        </w:tc>
      </w:tr>
      <w:tr w:rsidR="00BE26C0" w:rsidRPr="002337A4" w14:paraId="5FF94940" w14:textId="77777777" w:rsidTr="000978C5">
        <w:trPr>
          <w:trHeight w:val="397"/>
          <w:jc w:val="center"/>
        </w:trPr>
        <w:tc>
          <w:tcPr>
            <w:tcW w:w="2115" w:type="dxa"/>
            <w:vMerge w:val="restart"/>
            <w:tcBorders>
              <w:top w:val="single" w:sz="6" w:space="0" w:color="auto"/>
              <w:left w:val="nil"/>
              <w:bottom w:val="nil"/>
              <w:right w:val="nil"/>
            </w:tcBorders>
            <w:vAlign w:val="center"/>
          </w:tcPr>
          <w:p w14:paraId="53C1B052" w14:textId="77777777" w:rsidR="00BE26C0" w:rsidRPr="002337A4" w:rsidRDefault="00BE26C0" w:rsidP="000978C5">
            <w:pPr>
              <w:rPr>
                <w:rFonts w:cs="Times New Roman"/>
                <w:i/>
              </w:rPr>
            </w:pPr>
            <w:r w:rsidRPr="002337A4">
              <w:rPr>
                <w:rFonts w:cs="Times New Roman"/>
                <w:b/>
              </w:rPr>
              <w:t>Living alone</w:t>
            </w:r>
          </w:p>
        </w:tc>
        <w:tc>
          <w:tcPr>
            <w:tcW w:w="1283" w:type="dxa"/>
            <w:tcBorders>
              <w:top w:val="single" w:sz="18" w:space="0" w:color="auto"/>
              <w:left w:val="nil"/>
              <w:bottom w:val="nil"/>
              <w:right w:val="single" w:sz="18" w:space="0" w:color="auto"/>
            </w:tcBorders>
            <w:vAlign w:val="center"/>
          </w:tcPr>
          <w:p w14:paraId="48961B92" w14:textId="77777777" w:rsidR="00BE26C0" w:rsidRPr="002337A4" w:rsidRDefault="00BE26C0" w:rsidP="000978C5">
            <w:pPr>
              <w:jc w:val="center"/>
              <w:rPr>
                <w:rFonts w:cs="Times New Roman"/>
              </w:rPr>
            </w:pPr>
            <w:r w:rsidRPr="002337A4">
              <w:rPr>
                <w:rFonts w:cs="Times New Roman"/>
              </w:rPr>
              <w:t>no</w:t>
            </w:r>
          </w:p>
        </w:tc>
        <w:tc>
          <w:tcPr>
            <w:tcW w:w="2746" w:type="dxa"/>
            <w:tcBorders>
              <w:top w:val="single" w:sz="18" w:space="0" w:color="auto"/>
              <w:left w:val="single" w:sz="18" w:space="0" w:color="auto"/>
              <w:bottom w:val="nil"/>
              <w:right w:val="single" w:sz="6" w:space="0" w:color="auto"/>
            </w:tcBorders>
            <w:vAlign w:val="center"/>
          </w:tcPr>
          <w:p w14:paraId="41AC8B74"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single" w:sz="18" w:space="0" w:color="auto"/>
              <w:left w:val="single" w:sz="6" w:space="0" w:color="auto"/>
              <w:right w:val="single" w:sz="18" w:space="0" w:color="auto"/>
            </w:tcBorders>
            <w:vAlign w:val="center"/>
          </w:tcPr>
          <w:p w14:paraId="136EABB3" w14:textId="77777777" w:rsidR="00BE26C0" w:rsidRPr="002337A4" w:rsidRDefault="00BE26C0" w:rsidP="000978C5">
            <w:pPr>
              <w:jc w:val="center"/>
              <w:rPr>
                <w:rFonts w:cs="Times New Roman"/>
              </w:rPr>
            </w:pPr>
            <w:r w:rsidRPr="002337A4">
              <w:rPr>
                <w:rFonts w:cs="Times New Roman"/>
              </w:rPr>
              <w:t>0.280</w:t>
            </w:r>
          </w:p>
        </w:tc>
        <w:tc>
          <w:tcPr>
            <w:tcW w:w="1394" w:type="dxa"/>
            <w:tcBorders>
              <w:top w:val="single" w:sz="18" w:space="0" w:color="auto"/>
              <w:left w:val="single" w:sz="18" w:space="0" w:color="auto"/>
              <w:bottom w:val="nil"/>
              <w:right w:val="nil"/>
            </w:tcBorders>
            <w:vAlign w:val="center"/>
          </w:tcPr>
          <w:p w14:paraId="17BD9B3E" w14:textId="77777777" w:rsidR="00BE26C0" w:rsidRPr="002337A4" w:rsidRDefault="00BE26C0" w:rsidP="000978C5">
            <w:pPr>
              <w:jc w:val="center"/>
              <w:rPr>
                <w:rFonts w:cs="Times New Roman"/>
              </w:rPr>
            </w:pPr>
            <w:r w:rsidRPr="002337A4">
              <w:rPr>
                <w:rFonts w:cs="Times New Roman"/>
              </w:rPr>
              <w:t>0</w:t>
            </w:r>
            <w:r>
              <w:rPr>
                <w:rFonts w:cs="Times New Roman"/>
              </w:rPr>
              <w:t>.00</w:t>
            </w:r>
          </w:p>
        </w:tc>
      </w:tr>
      <w:tr w:rsidR="00BE26C0" w:rsidRPr="002337A4" w14:paraId="13FA55BA" w14:textId="77777777" w:rsidTr="000978C5">
        <w:trPr>
          <w:trHeight w:val="397"/>
          <w:jc w:val="center"/>
        </w:trPr>
        <w:tc>
          <w:tcPr>
            <w:tcW w:w="2115" w:type="dxa"/>
            <w:vMerge/>
            <w:tcBorders>
              <w:top w:val="nil"/>
              <w:left w:val="nil"/>
              <w:bottom w:val="single" w:sz="6" w:space="0" w:color="auto"/>
              <w:right w:val="nil"/>
            </w:tcBorders>
            <w:vAlign w:val="center"/>
          </w:tcPr>
          <w:p w14:paraId="797C1123" w14:textId="77777777" w:rsidR="00BE26C0" w:rsidRPr="002337A4" w:rsidRDefault="00BE26C0" w:rsidP="000978C5">
            <w:pPr>
              <w:rPr>
                <w:rFonts w:cs="Times New Roman"/>
                <w:b/>
              </w:rPr>
            </w:pPr>
          </w:p>
        </w:tc>
        <w:tc>
          <w:tcPr>
            <w:tcW w:w="1283" w:type="dxa"/>
            <w:tcBorders>
              <w:top w:val="nil"/>
              <w:left w:val="nil"/>
              <w:bottom w:val="single" w:sz="6" w:space="0" w:color="auto"/>
              <w:right w:val="single" w:sz="18" w:space="0" w:color="auto"/>
            </w:tcBorders>
            <w:vAlign w:val="center"/>
          </w:tcPr>
          <w:p w14:paraId="27AA5358" w14:textId="77777777" w:rsidR="00BE26C0" w:rsidRPr="002337A4" w:rsidRDefault="00BE26C0" w:rsidP="000978C5">
            <w:pPr>
              <w:jc w:val="center"/>
              <w:rPr>
                <w:rFonts w:cs="Times New Roman"/>
              </w:rPr>
            </w:pPr>
            <w:r w:rsidRPr="002337A4">
              <w:rPr>
                <w:rFonts w:cs="Times New Roman"/>
              </w:rPr>
              <w:t>Yes</w:t>
            </w:r>
          </w:p>
        </w:tc>
        <w:tc>
          <w:tcPr>
            <w:tcW w:w="2746" w:type="dxa"/>
            <w:tcBorders>
              <w:top w:val="nil"/>
              <w:left w:val="single" w:sz="18" w:space="0" w:color="auto"/>
              <w:bottom w:val="single" w:sz="6" w:space="0" w:color="auto"/>
              <w:right w:val="single" w:sz="6" w:space="0" w:color="auto"/>
            </w:tcBorders>
            <w:vAlign w:val="center"/>
          </w:tcPr>
          <w:p w14:paraId="4C4C1289" w14:textId="77777777" w:rsidR="00BE26C0" w:rsidRPr="002337A4" w:rsidRDefault="00BE26C0" w:rsidP="000978C5">
            <w:pPr>
              <w:jc w:val="center"/>
              <w:rPr>
                <w:rFonts w:cs="Times New Roman"/>
              </w:rPr>
            </w:pPr>
            <w:r w:rsidRPr="002337A4">
              <w:rPr>
                <w:rFonts w:cs="Times New Roman"/>
              </w:rPr>
              <w:t>1.23 (0.85 – 1.78)</w:t>
            </w:r>
          </w:p>
        </w:tc>
        <w:tc>
          <w:tcPr>
            <w:tcW w:w="1393" w:type="dxa"/>
            <w:vMerge/>
            <w:tcBorders>
              <w:left w:val="single" w:sz="6" w:space="0" w:color="auto"/>
              <w:bottom w:val="single" w:sz="6" w:space="0" w:color="auto"/>
              <w:right w:val="single" w:sz="18" w:space="0" w:color="auto"/>
            </w:tcBorders>
            <w:vAlign w:val="center"/>
          </w:tcPr>
          <w:p w14:paraId="1D6FFB1F" w14:textId="77777777" w:rsidR="00BE26C0" w:rsidRPr="002337A4" w:rsidRDefault="00BE26C0" w:rsidP="000978C5">
            <w:pPr>
              <w:jc w:val="center"/>
              <w:rPr>
                <w:rFonts w:cs="Times New Roman"/>
              </w:rPr>
            </w:pPr>
          </w:p>
        </w:tc>
        <w:tc>
          <w:tcPr>
            <w:tcW w:w="1394" w:type="dxa"/>
            <w:tcBorders>
              <w:top w:val="nil"/>
              <w:left w:val="single" w:sz="18" w:space="0" w:color="auto"/>
              <w:bottom w:val="single" w:sz="4" w:space="0" w:color="auto"/>
              <w:right w:val="nil"/>
            </w:tcBorders>
            <w:vAlign w:val="center"/>
          </w:tcPr>
          <w:p w14:paraId="6C019692" w14:textId="77777777" w:rsidR="00BE26C0" w:rsidRPr="002337A4" w:rsidRDefault="00BE26C0" w:rsidP="000978C5">
            <w:pPr>
              <w:jc w:val="center"/>
              <w:rPr>
                <w:rFonts w:cs="Times New Roman"/>
              </w:rPr>
            </w:pPr>
            <w:r>
              <w:rPr>
                <w:rFonts w:cs="Times New Roman"/>
              </w:rPr>
              <w:t>0.0</w:t>
            </w:r>
            <w:r w:rsidRPr="002337A4">
              <w:rPr>
                <w:rFonts w:cs="Times New Roman"/>
              </w:rPr>
              <w:t>7</w:t>
            </w:r>
          </w:p>
        </w:tc>
      </w:tr>
      <w:tr w:rsidR="00BE26C0" w:rsidRPr="002337A4" w14:paraId="4ED9CB93" w14:textId="77777777" w:rsidTr="000978C5">
        <w:trPr>
          <w:trHeight w:val="397"/>
          <w:jc w:val="center"/>
        </w:trPr>
        <w:tc>
          <w:tcPr>
            <w:tcW w:w="2115" w:type="dxa"/>
            <w:vMerge w:val="restart"/>
            <w:tcBorders>
              <w:top w:val="nil"/>
              <w:left w:val="nil"/>
              <w:right w:val="nil"/>
            </w:tcBorders>
            <w:vAlign w:val="center"/>
          </w:tcPr>
          <w:p w14:paraId="05B78FA0" w14:textId="77777777" w:rsidR="00BE26C0" w:rsidRPr="002337A4" w:rsidRDefault="00BE26C0" w:rsidP="000978C5">
            <w:pPr>
              <w:rPr>
                <w:rFonts w:cs="Times New Roman"/>
                <w:i/>
              </w:rPr>
            </w:pPr>
            <w:r w:rsidRPr="002337A4">
              <w:rPr>
                <w:rFonts w:cs="Times New Roman"/>
                <w:b/>
              </w:rPr>
              <w:t>CES-D</w:t>
            </w:r>
          </w:p>
        </w:tc>
        <w:tc>
          <w:tcPr>
            <w:tcW w:w="1283" w:type="dxa"/>
            <w:tcBorders>
              <w:top w:val="nil"/>
              <w:left w:val="nil"/>
              <w:bottom w:val="nil"/>
              <w:right w:val="single" w:sz="18" w:space="0" w:color="auto"/>
            </w:tcBorders>
            <w:vAlign w:val="center"/>
          </w:tcPr>
          <w:p w14:paraId="6E0D9270" w14:textId="77777777" w:rsidR="00BE26C0" w:rsidRPr="002337A4" w:rsidRDefault="00BE26C0" w:rsidP="000978C5">
            <w:pPr>
              <w:jc w:val="center"/>
              <w:rPr>
                <w:rFonts w:cs="Times New Roman"/>
              </w:rPr>
            </w:pPr>
            <w:r w:rsidRPr="002337A4">
              <w:rPr>
                <w:rFonts w:cs="Times New Roman"/>
              </w:rPr>
              <w:t>[0 – 1]</w:t>
            </w:r>
          </w:p>
        </w:tc>
        <w:tc>
          <w:tcPr>
            <w:tcW w:w="2746" w:type="dxa"/>
            <w:tcBorders>
              <w:top w:val="nil"/>
              <w:left w:val="single" w:sz="18" w:space="0" w:color="auto"/>
              <w:bottom w:val="nil"/>
              <w:right w:val="single" w:sz="6" w:space="0" w:color="auto"/>
            </w:tcBorders>
            <w:vAlign w:val="center"/>
          </w:tcPr>
          <w:p w14:paraId="19B7BE10"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nil"/>
              <w:left w:val="single" w:sz="6" w:space="0" w:color="auto"/>
              <w:right w:val="single" w:sz="18" w:space="0" w:color="auto"/>
            </w:tcBorders>
            <w:vAlign w:val="center"/>
          </w:tcPr>
          <w:p w14:paraId="39032A87" w14:textId="77777777" w:rsidR="00BE26C0" w:rsidRPr="002337A4" w:rsidRDefault="00BE26C0" w:rsidP="000978C5">
            <w:pPr>
              <w:jc w:val="center"/>
              <w:rPr>
                <w:rFonts w:cs="Times New Roman"/>
              </w:rPr>
            </w:pPr>
            <w:r w:rsidRPr="002337A4">
              <w:rPr>
                <w:rFonts w:cs="Times New Roman"/>
              </w:rPr>
              <w:t>0.001</w:t>
            </w:r>
          </w:p>
        </w:tc>
        <w:tc>
          <w:tcPr>
            <w:tcW w:w="1394" w:type="dxa"/>
            <w:tcBorders>
              <w:top w:val="single" w:sz="4" w:space="0" w:color="auto"/>
              <w:left w:val="single" w:sz="18" w:space="0" w:color="auto"/>
              <w:bottom w:val="nil"/>
              <w:right w:val="nil"/>
            </w:tcBorders>
            <w:vAlign w:val="center"/>
          </w:tcPr>
          <w:p w14:paraId="49835828" w14:textId="77777777" w:rsidR="00BE26C0" w:rsidRPr="002337A4" w:rsidRDefault="00BE26C0" w:rsidP="000978C5">
            <w:pPr>
              <w:jc w:val="center"/>
              <w:rPr>
                <w:rFonts w:cs="Times New Roman"/>
              </w:rPr>
            </w:pPr>
            <w:r w:rsidRPr="002337A4">
              <w:rPr>
                <w:rFonts w:cs="Times New Roman"/>
              </w:rPr>
              <w:t>0</w:t>
            </w:r>
            <w:r>
              <w:rPr>
                <w:rFonts w:cs="Times New Roman"/>
              </w:rPr>
              <w:t>.00</w:t>
            </w:r>
          </w:p>
        </w:tc>
      </w:tr>
      <w:tr w:rsidR="00BE26C0" w:rsidRPr="002337A4" w14:paraId="089087A4" w14:textId="77777777" w:rsidTr="000978C5">
        <w:trPr>
          <w:trHeight w:val="397"/>
          <w:jc w:val="center"/>
        </w:trPr>
        <w:tc>
          <w:tcPr>
            <w:tcW w:w="2115" w:type="dxa"/>
            <w:vMerge/>
            <w:tcBorders>
              <w:left w:val="nil"/>
              <w:right w:val="nil"/>
            </w:tcBorders>
            <w:vAlign w:val="center"/>
          </w:tcPr>
          <w:p w14:paraId="1463A677" w14:textId="77777777" w:rsidR="00BE26C0" w:rsidRPr="002337A4" w:rsidRDefault="00BE26C0" w:rsidP="000978C5">
            <w:pPr>
              <w:rPr>
                <w:rFonts w:cs="Times New Roman"/>
                <w:b/>
              </w:rPr>
            </w:pPr>
          </w:p>
        </w:tc>
        <w:tc>
          <w:tcPr>
            <w:tcW w:w="1283" w:type="dxa"/>
            <w:tcBorders>
              <w:top w:val="nil"/>
              <w:left w:val="nil"/>
              <w:bottom w:val="nil"/>
              <w:right w:val="single" w:sz="18" w:space="0" w:color="auto"/>
            </w:tcBorders>
            <w:vAlign w:val="center"/>
          </w:tcPr>
          <w:p w14:paraId="4DF5D176" w14:textId="77777777" w:rsidR="00BE26C0" w:rsidRPr="002337A4" w:rsidRDefault="00BE26C0" w:rsidP="000978C5">
            <w:pPr>
              <w:jc w:val="center"/>
              <w:rPr>
                <w:rFonts w:cs="Times New Roman"/>
              </w:rPr>
            </w:pPr>
            <w:r w:rsidRPr="002337A4">
              <w:rPr>
                <w:rFonts w:cs="Times New Roman"/>
              </w:rPr>
              <w:t>(1 – 11]</w:t>
            </w:r>
          </w:p>
        </w:tc>
        <w:tc>
          <w:tcPr>
            <w:tcW w:w="2746" w:type="dxa"/>
            <w:tcBorders>
              <w:top w:val="nil"/>
              <w:left w:val="single" w:sz="18" w:space="0" w:color="auto"/>
              <w:bottom w:val="nil"/>
              <w:right w:val="single" w:sz="6" w:space="0" w:color="auto"/>
            </w:tcBorders>
            <w:vAlign w:val="center"/>
          </w:tcPr>
          <w:p w14:paraId="6A71787A" w14:textId="77777777" w:rsidR="00BE26C0" w:rsidRPr="002337A4" w:rsidRDefault="00BE26C0" w:rsidP="000978C5">
            <w:pPr>
              <w:jc w:val="center"/>
              <w:rPr>
                <w:rFonts w:cs="Times New Roman"/>
              </w:rPr>
            </w:pPr>
            <w:r w:rsidRPr="002337A4">
              <w:rPr>
                <w:rFonts w:cs="Times New Roman"/>
              </w:rPr>
              <w:t>1.70 (1.15 – 2.50)</w:t>
            </w:r>
          </w:p>
        </w:tc>
        <w:tc>
          <w:tcPr>
            <w:tcW w:w="1393" w:type="dxa"/>
            <w:vMerge/>
            <w:tcBorders>
              <w:left w:val="single" w:sz="6" w:space="0" w:color="auto"/>
              <w:right w:val="single" w:sz="18" w:space="0" w:color="auto"/>
            </w:tcBorders>
            <w:vAlign w:val="center"/>
          </w:tcPr>
          <w:p w14:paraId="1E27CDA5" w14:textId="77777777" w:rsidR="00BE26C0" w:rsidRPr="002337A4" w:rsidRDefault="00BE26C0" w:rsidP="000978C5">
            <w:pPr>
              <w:jc w:val="center"/>
              <w:rPr>
                <w:rFonts w:cs="Times New Roman"/>
              </w:rPr>
            </w:pPr>
          </w:p>
        </w:tc>
        <w:tc>
          <w:tcPr>
            <w:tcW w:w="1394" w:type="dxa"/>
            <w:tcBorders>
              <w:top w:val="nil"/>
              <w:left w:val="single" w:sz="18" w:space="0" w:color="auto"/>
              <w:bottom w:val="nil"/>
              <w:right w:val="nil"/>
            </w:tcBorders>
            <w:vAlign w:val="center"/>
          </w:tcPr>
          <w:p w14:paraId="7808E6F0" w14:textId="77777777" w:rsidR="00BE26C0" w:rsidRPr="002337A4" w:rsidRDefault="00BE26C0" w:rsidP="000978C5">
            <w:pPr>
              <w:jc w:val="center"/>
              <w:rPr>
                <w:rFonts w:cs="Times New Roman"/>
              </w:rPr>
            </w:pPr>
            <w:r>
              <w:rPr>
                <w:rFonts w:cs="Times New Roman"/>
              </w:rPr>
              <w:t>0.</w:t>
            </w:r>
            <w:r w:rsidRPr="002337A4">
              <w:rPr>
                <w:rFonts w:cs="Times New Roman"/>
              </w:rPr>
              <w:t>18</w:t>
            </w:r>
          </w:p>
        </w:tc>
      </w:tr>
      <w:tr w:rsidR="00BE26C0" w:rsidRPr="002337A4" w14:paraId="201A168E" w14:textId="77777777" w:rsidTr="000978C5">
        <w:trPr>
          <w:trHeight w:val="397"/>
          <w:jc w:val="center"/>
        </w:trPr>
        <w:tc>
          <w:tcPr>
            <w:tcW w:w="2115" w:type="dxa"/>
            <w:vMerge/>
            <w:tcBorders>
              <w:left w:val="nil"/>
              <w:bottom w:val="single" w:sz="4" w:space="0" w:color="auto"/>
              <w:right w:val="nil"/>
            </w:tcBorders>
            <w:vAlign w:val="center"/>
          </w:tcPr>
          <w:p w14:paraId="2BB05B32" w14:textId="77777777" w:rsidR="00BE26C0" w:rsidRPr="002337A4" w:rsidRDefault="00BE26C0" w:rsidP="000978C5">
            <w:pPr>
              <w:rPr>
                <w:rFonts w:cs="Times New Roman"/>
                <w:b/>
              </w:rPr>
            </w:pPr>
          </w:p>
        </w:tc>
        <w:tc>
          <w:tcPr>
            <w:tcW w:w="1283" w:type="dxa"/>
            <w:tcBorders>
              <w:top w:val="nil"/>
              <w:left w:val="nil"/>
              <w:bottom w:val="single" w:sz="4" w:space="0" w:color="auto"/>
              <w:right w:val="single" w:sz="18" w:space="0" w:color="auto"/>
            </w:tcBorders>
            <w:vAlign w:val="center"/>
          </w:tcPr>
          <w:p w14:paraId="27A764FB" w14:textId="77777777" w:rsidR="00BE26C0" w:rsidRPr="002337A4" w:rsidRDefault="00BE26C0" w:rsidP="000978C5">
            <w:pPr>
              <w:jc w:val="center"/>
              <w:rPr>
                <w:rFonts w:cs="Times New Roman"/>
              </w:rPr>
            </w:pPr>
            <w:r w:rsidRPr="002337A4">
              <w:rPr>
                <w:rFonts w:cs="Times New Roman"/>
              </w:rPr>
              <w:t>(11 – 60]</w:t>
            </w:r>
          </w:p>
        </w:tc>
        <w:tc>
          <w:tcPr>
            <w:tcW w:w="2746" w:type="dxa"/>
            <w:tcBorders>
              <w:top w:val="nil"/>
              <w:left w:val="single" w:sz="18" w:space="0" w:color="auto"/>
              <w:bottom w:val="single" w:sz="4" w:space="0" w:color="auto"/>
              <w:right w:val="single" w:sz="6" w:space="0" w:color="auto"/>
            </w:tcBorders>
            <w:vAlign w:val="center"/>
          </w:tcPr>
          <w:p w14:paraId="5BD9C687" w14:textId="77777777" w:rsidR="00BE26C0" w:rsidRPr="002337A4" w:rsidRDefault="00BE26C0" w:rsidP="000978C5">
            <w:pPr>
              <w:jc w:val="center"/>
              <w:rPr>
                <w:rFonts w:cs="Times New Roman"/>
              </w:rPr>
            </w:pPr>
            <w:r w:rsidRPr="002337A4">
              <w:rPr>
                <w:rFonts w:cs="Times New Roman"/>
              </w:rPr>
              <w:t>2.82 (1.65 – 4.83)</w:t>
            </w:r>
          </w:p>
        </w:tc>
        <w:tc>
          <w:tcPr>
            <w:tcW w:w="1393" w:type="dxa"/>
            <w:vMerge/>
            <w:tcBorders>
              <w:left w:val="single" w:sz="6" w:space="0" w:color="auto"/>
              <w:bottom w:val="single" w:sz="4" w:space="0" w:color="auto"/>
              <w:right w:val="single" w:sz="18" w:space="0" w:color="auto"/>
            </w:tcBorders>
            <w:vAlign w:val="center"/>
          </w:tcPr>
          <w:p w14:paraId="4CA1FE9C" w14:textId="77777777" w:rsidR="00BE26C0" w:rsidRPr="002337A4" w:rsidRDefault="00BE26C0" w:rsidP="000978C5">
            <w:pPr>
              <w:jc w:val="center"/>
              <w:rPr>
                <w:rFonts w:cs="Times New Roman"/>
              </w:rPr>
            </w:pPr>
          </w:p>
        </w:tc>
        <w:tc>
          <w:tcPr>
            <w:tcW w:w="1394" w:type="dxa"/>
            <w:tcBorders>
              <w:top w:val="nil"/>
              <w:left w:val="single" w:sz="18" w:space="0" w:color="auto"/>
              <w:bottom w:val="single" w:sz="4" w:space="0" w:color="auto"/>
              <w:right w:val="nil"/>
            </w:tcBorders>
            <w:vAlign w:val="center"/>
          </w:tcPr>
          <w:p w14:paraId="7DB19124" w14:textId="77777777" w:rsidR="00BE26C0" w:rsidRPr="002337A4" w:rsidRDefault="00BE26C0" w:rsidP="000978C5">
            <w:pPr>
              <w:jc w:val="center"/>
              <w:rPr>
                <w:rFonts w:cs="Times New Roman"/>
              </w:rPr>
            </w:pPr>
            <w:r>
              <w:rPr>
                <w:rFonts w:cs="Times New Roman"/>
              </w:rPr>
              <w:t>0.</w:t>
            </w:r>
            <w:r w:rsidRPr="002337A4">
              <w:rPr>
                <w:rFonts w:cs="Times New Roman"/>
              </w:rPr>
              <w:t>35</w:t>
            </w:r>
          </w:p>
        </w:tc>
      </w:tr>
      <w:tr w:rsidR="00BE26C0" w:rsidRPr="002337A4" w14:paraId="44403115" w14:textId="77777777" w:rsidTr="000978C5">
        <w:trPr>
          <w:trHeight w:val="397"/>
          <w:jc w:val="center"/>
        </w:trPr>
        <w:tc>
          <w:tcPr>
            <w:tcW w:w="2115" w:type="dxa"/>
            <w:vMerge w:val="restart"/>
            <w:tcBorders>
              <w:top w:val="single" w:sz="4" w:space="0" w:color="auto"/>
              <w:left w:val="nil"/>
              <w:right w:val="nil"/>
            </w:tcBorders>
            <w:vAlign w:val="center"/>
          </w:tcPr>
          <w:p w14:paraId="23DFFE75" w14:textId="77777777" w:rsidR="00BE26C0" w:rsidRPr="002337A4" w:rsidRDefault="00BE26C0" w:rsidP="000978C5">
            <w:pPr>
              <w:rPr>
                <w:rFonts w:cs="Times New Roman"/>
                <w:i/>
              </w:rPr>
            </w:pPr>
            <w:r w:rsidRPr="002337A4">
              <w:rPr>
                <w:rFonts w:cs="Times New Roman"/>
                <w:b/>
              </w:rPr>
              <w:t>WOMAC-mean</w:t>
            </w:r>
          </w:p>
        </w:tc>
        <w:tc>
          <w:tcPr>
            <w:tcW w:w="1283" w:type="dxa"/>
            <w:tcBorders>
              <w:top w:val="single" w:sz="4" w:space="0" w:color="auto"/>
              <w:left w:val="nil"/>
              <w:bottom w:val="nil"/>
              <w:right w:val="single" w:sz="18" w:space="0" w:color="auto"/>
            </w:tcBorders>
            <w:vAlign w:val="center"/>
          </w:tcPr>
          <w:p w14:paraId="6331A32C" w14:textId="77777777" w:rsidR="00BE26C0" w:rsidRPr="002337A4" w:rsidRDefault="00BE26C0" w:rsidP="000978C5">
            <w:pPr>
              <w:jc w:val="center"/>
              <w:rPr>
                <w:rFonts w:cs="Times New Roman"/>
              </w:rPr>
            </w:pPr>
            <w:r w:rsidRPr="002337A4">
              <w:rPr>
                <w:rFonts w:cs="Times New Roman"/>
              </w:rPr>
              <w:t>[0 – 3]</w:t>
            </w:r>
          </w:p>
        </w:tc>
        <w:tc>
          <w:tcPr>
            <w:tcW w:w="2746" w:type="dxa"/>
            <w:tcBorders>
              <w:top w:val="single" w:sz="4" w:space="0" w:color="auto"/>
              <w:left w:val="single" w:sz="18" w:space="0" w:color="auto"/>
              <w:bottom w:val="nil"/>
              <w:right w:val="single" w:sz="6" w:space="0" w:color="auto"/>
            </w:tcBorders>
            <w:vAlign w:val="center"/>
          </w:tcPr>
          <w:p w14:paraId="024DB291"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single" w:sz="4" w:space="0" w:color="auto"/>
              <w:left w:val="single" w:sz="6" w:space="0" w:color="auto"/>
              <w:right w:val="single" w:sz="18" w:space="0" w:color="auto"/>
            </w:tcBorders>
            <w:vAlign w:val="center"/>
          </w:tcPr>
          <w:p w14:paraId="79C82782" w14:textId="77777777" w:rsidR="00BE26C0" w:rsidRPr="002337A4" w:rsidRDefault="00BE26C0" w:rsidP="000978C5">
            <w:pPr>
              <w:jc w:val="center"/>
              <w:rPr>
                <w:rFonts w:cs="Times New Roman"/>
              </w:rPr>
            </w:pPr>
            <w:r w:rsidRPr="002337A4">
              <w:rPr>
                <w:rFonts w:cs="Times New Roman"/>
              </w:rPr>
              <w:t>0.247</w:t>
            </w:r>
          </w:p>
        </w:tc>
        <w:tc>
          <w:tcPr>
            <w:tcW w:w="1394" w:type="dxa"/>
            <w:tcBorders>
              <w:top w:val="single" w:sz="4" w:space="0" w:color="auto"/>
              <w:left w:val="single" w:sz="18" w:space="0" w:color="auto"/>
              <w:bottom w:val="nil"/>
              <w:right w:val="nil"/>
            </w:tcBorders>
            <w:vAlign w:val="center"/>
          </w:tcPr>
          <w:p w14:paraId="0EA0A755" w14:textId="77777777" w:rsidR="00BE26C0" w:rsidRPr="002337A4" w:rsidRDefault="00BE26C0" w:rsidP="000978C5">
            <w:pPr>
              <w:jc w:val="center"/>
              <w:rPr>
                <w:rFonts w:cs="Times New Roman"/>
              </w:rPr>
            </w:pPr>
            <w:r w:rsidRPr="002337A4">
              <w:rPr>
                <w:rFonts w:cs="Times New Roman"/>
              </w:rPr>
              <w:t>0</w:t>
            </w:r>
            <w:r>
              <w:rPr>
                <w:rFonts w:cs="Times New Roman"/>
              </w:rPr>
              <w:t>.00</w:t>
            </w:r>
          </w:p>
        </w:tc>
      </w:tr>
      <w:tr w:rsidR="00BE26C0" w:rsidRPr="002337A4" w14:paraId="1764A121" w14:textId="77777777" w:rsidTr="000978C5">
        <w:trPr>
          <w:trHeight w:val="397"/>
          <w:jc w:val="center"/>
        </w:trPr>
        <w:tc>
          <w:tcPr>
            <w:tcW w:w="2115" w:type="dxa"/>
            <w:vMerge/>
            <w:tcBorders>
              <w:left w:val="nil"/>
              <w:bottom w:val="single" w:sz="4" w:space="0" w:color="auto"/>
              <w:right w:val="nil"/>
            </w:tcBorders>
            <w:vAlign w:val="center"/>
          </w:tcPr>
          <w:p w14:paraId="6DA7DE39" w14:textId="77777777" w:rsidR="00BE26C0" w:rsidRPr="002337A4" w:rsidRDefault="00BE26C0" w:rsidP="000978C5">
            <w:pPr>
              <w:rPr>
                <w:rFonts w:cs="Times New Roman"/>
                <w:b/>
              </w:rPr>
            </w:pPr>
          </w:p>
        </w:tc>
        <w:tc>
          <w:tcPr>
            <w:tcW w:w="1283" w:type="dxa"/>
            <w:tcBorders>
              <w:top w:val="nil"/>
              <w:left w:val="nil"/>
              <w:bottom w:val="single" w:sz="4" w:space="0" w:color="auto"/>
              <w:right w:val="single" w:sz="18" w:space="0" w:color="auto"/>
            </w:tcBorders>
            <w:vAlign w:val="center"/>
          </w:tcPr>
          <w:p w14:paraId="5C052A9D" w14:textId="77777777" w:rsidR="00BE26C0" w:rsidRPr="002337A4" w:rsidRDefault="00BE26C0" w:rsidP="000978C5">
            <w:pPr>
              <w:jc w:val="center"/>
              <w:rPr>
                <w:rFonts w:cs="Times New Roman"/>
              </w:rPr>
            </w:pPr>
            <w:r w:rsidRPr="002337A4">
              <w:rPr>
                <w:rFonts w:cs="Times New Roman"/>
              </w:rPr>
              <w:t xml:space="preserve">(3 – 68] </w:t>
            </w:r>
          </w:p>
        </w:tc>
        <w:tc>
          <w:tcPr>
            <w:tcW w:w="2746" w:type="dxa"/>
            <w:tcBorders>
              <w:top w:val="nil"/>
              <w:left w:val="single" w:sz="18" w:space="0" w:color="auto"/>
              <w:bottom w:val="single" w:sz="4" w:space="0" w:color="auto"/>
              <w:right w:val="single" w:sz="6" w:space="0" w:color="auto"/>
            </w:tcBorders>
            <w:vAlign w:val="center"/>
          </w:tcPr>
          <w:p w14:paraId="4D40B741" w14:textId="77777777" w:rsidR="00BE26C0" w:rsidRPr="002337A4" w:rsidRDefault="00BE26C0" w:rsidP="000978C5">
            <w:pPr>
              <w:jc w:val="center"/>
              <w:rPr>
                <w:rFonts w:cs="Times New Roman"/>
              </w:rPr>
            </w:pPr>
            <w:r w:rsidRPr="002337A4">
              <w:rPr>
                <w:rFonts w:cs="Times New Roman"/>
              </w:rPr>
              <w:t>1.27 (0.85 – 1.90)</w:t>
            </w:r>
          </w:p>
        </w:tc>
        <w:tc>
          <w:tcPr>
            <w:tcW w:w="1393" w:type="dxa"/>
            <w:vMerge/>
            <w:tcBorders>
              <w:left w:val="single" w:sz="6" w:space="0" w:color="auto"/>
              <w:bottom w:val="single" w:sz="4" w:space="0" w:color="auto"/>
              <w:right w:val="single" w:sz="18" w:space="0" w:color="auto"/>
            </w:tcBorders>
            <w:vAlign w:val="center"/>
          </w:tcPr>
          <w:p w14:paraId="46C319DF" w14:textId="77777777" w:rsidR="00BE26C0" w:rsidRPr="002337A4" w:rsidRDefault="00BE26C0" w:rsidP="000978C5">
            <w:pPr>
              <w:jc w:val="center"/>
              <w:rPr>
                <w:rFonts w:cs="Times New Roman"/>
              </w:rPr>
            </w:pPr>
          </w:p>
        </w:tc>
        <w:tc>
          <w:tcPr>
            <w:tcW w:w="1394" w:type="dxa"/>
            <w:tcBorders>
              <w:top w:val="nil"/>
              <w:left w:val="single" w:sz="18" w:space="0" w:color="auto"/>
              <w:bottom w:val="single" w:sz="4" w:space="0" w:color="auto"/>
              <w:right w:val="nil"/>
            </w:tcBorders>
            <w:vAlign w:val="center"/>
          </w:tcPr>
          <w:p w14:paraId="45C45102" w14:textId="77777777" w:rsidR="00BE26C0" w:rsidRPr="002337A4" w:rsidRDefault="00BE26C0" w:rsidP="000978C5">
            <w:pPr>
              <w:jc w:val="center"/>
              <w:rPr>
                <w:rFonts w:cs="Times New Roman"/>
              </w:rPr>
            </w:pPr>
            <w:r>
              <w:rPr>
                <w:rFonts w:cs="Times New Roman"/>
              </w:rPr>
              <w:t>0.0</w:t>
            </w:r>
            <w:r w:rsidRPr="002337A4">
              <w:rPr>
                <w:rFonts w:cs="Times New Roman"/>
              </w:rPr>
              <w:t>8</w:t>
            </w:r>
          </w:p>
        </w:tc>
      </w:tr>
      <w:tr w:rsidR="00BE26C0" w:rsidRPr="002337A4" w14:paraId="688C1D5C" w14:textId="77777777" w:rsidTr="000978C5">
        <w:trPr>
          <w:trHeight w:val="397"/>
          <w:jc w:val="center"/>
        </w:trPr>
        <w:tc>
          <w:tcPr>
            <w:tcW w:w="2115" w:type="dxa"/>
            <w:vMerge w:val="restart"/>
            <w:tcBorders>
              <w:top w:val="single" w:sz="4" w:space="0" w:color="auto"/>
              <w:left w:val="nil"/>
              <w:right w:val="nil"/>
            </w:tcBorders>
            <w:vAlign w:val="center"/>
          </w:tcPr>
          <w:p w14:paraId="0A863BF1" w14:textId="77777777" w:rsidR="00BE26C0" w:rsidRPr="002337A4" w:rsidRDefault="00BE26C0" w:rsidP="000978C5">
            <w:pPr>
              <w:rPr>
                <w:rFonts w:cs="Times New Roman"/>
                <w:i/>
              </w:rPr>
            </w:pPr>
            <w:r w:rsidRPr="002337A4">
              <w:rPr>
                <w:rFonts w:cs="Times New Roman"/>
                <w:b/>
              </w:rPr>
              <w:t>PASE</w:t>
            </w:r>
          </w:p>
        </w:tc>
        <w:tc>
          <w:tcPr>
            <w:tcW w:w="1283" w:type="dxa"/>
            <w:tcBorders>
              <w:top w:val="single" w:sz="4" w:space="0" w:color="auto"/>
              <w:left w:val="nil"/>
              <w:bottom w:val="nil"/>
              <w:right w:val="single" w:sz="18" w:space="0" w:color="auto"/>
            </w:tcBorders>
            <w:vAlign w:val="center"/>
          </w:tcPr>
          <w:p w14:paraId="5AB654EE" w14:textId="77777777" w:rsidR="00BE26C0" w:rsidRPr="002337A4" w:rsidRDefault="00BE26C0" w:rsidP="000978C5">
            <w:pPr>
              <w:jc w:val="center"/>
              <w:rPr>
                <w:rFonts w:cs="Times New Roman"/>
              </w:rPr>
            </w:pPr>
            <w:r w:rsidRPr="002337A4">
              <w:rPr>
                <w:rFonts w:cs="Times New Roman"/>
              </w:rPr>
              <w:t>&gt; 230</w:t>
            </w:r>
          </w:p>
        </w:tc>
        <w:tc>
          <w:tcPr>
            <w:tcW w:w="2746" w:type="dxa"/>
            <w:tcBorders>
              <w:top w:val="single" w:sz="4" w:space="0" w:color="auto"/>
              <w:left w:val="single" w:sz="18" w:space="0" w:color="auto"/>
              <w:bottom w:val="nil"/>
              <w:right w:val="single" w:sz="6" w:space="0" w:color="auto"/>
            </w:tcBorders>
            <w:vAlign w:val="center"/>
          </w:tcPr>
          <w:p w14:paraId="1FE51A23"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single" w:sz="4" w:space="0" w:color="auto"/>
              <w:left w:val="single" w:sz="6" w:space="0" w:color="auto"/>
              <w:right w:val="single" w:sz="18" w:space="0" w:color="auto"/>
            </w:tcBorders>
            <w:vAlign w:val="center"/>
          </w:tcPr>
          <w:p w14:paraId="332864DE" w14:textId="77777777" w:rsidR="00BE26C0" w:rsidRPr="002337A4" w:rsidRDefault="00BE26C0" w:rsidP="000978C5">
            <w:pPr>
              <w:jc w:val="center"/>
              <w:rPr>
                <w:rFonts w:cs="Times New Roman"/>
              </w:rPr>
            </w:pPr>
            <w:r w:rsidRPr="002337A4">
              <w:rPr>
                <w:rFonts w:cs="Times New Roman"/>
              </w:rPr>
              <w:t>0.412</w:t>
            </w:r>
          </w:p>
        </w:tc>
        <w:tc>
          <w:tcPr>
            <w:tcW w:w="1394" w:type="dxa"/>
            <w:tcBorders>
              <w:top w:val="single" w:sz="4" w:space="0" w:color="auto"/>
              <w:left w:val="single" w:sz="18" w:space="0" w:color="auto"/>
              <w:bottom w:val="nil"/>
              <w:right w:val="nil"/>
            </w:tcBorders>
            <w:vAlign w:val="center"/>
          </w:tcPr>
          <w:p w14:paraId="2FB25C4F" w14:textId="77777777" w:rsidR="00BE26C0" w:rsidRPr="002337A4" w:rsidRDefault="00BE26C0" w:rsidP="000978C5">
            <w:pPr>
              <w:jc w:val="center"/>
              <w:rPr>
                <w:rFonts w:cs="Times New Roman"/>
              </w:rPr>
            </w:pPr>
            <w:r w:rsidRPr="002337A4">
              <w:rPr>
                <w:rFonts w:cs="Times New Roman"/>
              </w:rPr>
              <w:t>0</w:t>
            </w:r>
            <w:r>
              <w:rPr>
                <w:rFonts w:cs="Times New Roman"/>
              </w:rPr>
              <w:t>.00</w:t>
            </w:r>
          </w:p>
        </w:tc>
      </w:tr>
      <w:tr w:rsidR="00BE26C0" w:rsidRPr="002337A4" w14:paraId="4E4DF329" w14:textId="77777777" w:rsidTr="000978C5">
        <w:trPr>
          <w:trHeight w:val="397"/>
          <w:jc w:val="center"/>
        </w:trPr>
        <w:tc>
          <w:tcPr>
            <w:tcW w:w="2115" w:type="dxa"/>
            <w:vMerge/>
            <w:tcBorders>
              <w:left w:val="nil"/>
              <w:right w:val="nil"/>
            </w:tcBorders>
            <w:vAlign w:val="center"/>
          </w:tcPr>
          <w:p w14:paraId="624F4A61" w14:textId="77777777" w:rsidR="00BE26C0" w:rsidRPr="002337A4" w:rsidRDefault="00BE26C0" w:rsidP="000978C5">
            <w:pPr>
              <w:rPr>
                <w:rFonts w:cs="Times New Roman"/>
                <w:b/>
              </w:rPr>
            </w:pPr>
          </w:p>
        </w:tc>
        <w:tc>
          <w:tcPr>
            <w:tcW w:w="1283" w:type="dxa"/>
            <w:tcBorders>
              <w:top w:val="nil"/>
              <w:left w:val="nil"/>
              <w:bottom w:val="nil"/>
              <w:right w:val="single" w:sz="18" w:space="0" w:color="auto"/>
            </w:tcBorders>
            <w:vAlign w:val="center"/>
          </w:tcPr>
          <w:p w14:paraId="16E56407" w14:textId="77777777" w:rsidR="00BE26C0" w:rsidRPr="002337A4" w:rsidRDefault="00BE26C0" w:rsidP="000978C5">
            <w:pPr>
              <w:jc w:val="center"/>
              <w:rPr>
                <w:rFonts w:cs="Times New Roman"/>
              </w:rPr>
            </w:pPr>
            <w:r w:rsidRPr="002337A4">
              <w:rPr>
                <w:rFonts w:cs="Times New Roman"/>
              </w:rPr>
              <w:t>(147 – 230]</w:t>
            </w:r>
          </w:p>
        </w:tc>
        <w:tc>
          <w:tcPr>
            <w:tcW w:w="2746" w:type="dxa"/>
            <w:tcBorders>
              <w:top w:val="nil"/>
              <w:left w:val="single" w:sz="18" w:space="0" w:color="auto"/>
              <w:bottom w:val="nil"/>
              <w:right w:val="single" w:sz="6" w:space="0" w:color="auto"/>
            </w:tcBorders>
            <w:vAlign w:val="center"/>
          </w:tcPr>
          <w:p w14:paraId="793B0C86" w14:textId="77777777" w:rsidR="00BE26C0" w:rsidRPr="002337A4" w:rsidRDefault="00BE26C0" w:rsidP="000978C5">
            <w:pPr>
              <w:jc w:val="center"/>
              <w:rPr>
                <w:rFonts w:cs="Times New Roman"/>
              </w:rPr>
            </w:pPr>
            <w:r w:rsidRPr="002337A4">
              <w:rPr>
                <w:rFonts w:cs="Times New Roman"/>
              </w:rPr>
              <w:t>1.34 (0.65 – 2.77)</w:t>
            </w:r>
          </w:p>
        </w:tc>
        <w:tc>
          <w:tcPr>
            <w:tcW w:w="1393" w:type="dxa"/>
            <w:vMerge/>
            <w:tcBorders>
              <w:left w:val="single" w:sz="6" w:space="0" w:color="auto"/>
              <w:right w:val="single" w:sz="18" w:space="0" w:color="auto"/>
            </w:tcBorders>
            <w:vAlign w:val="center"/>
          </w:tcPr>
          <w:p w14:paraId="695C626B" w14:textId="77777777" w:rsidR="00BE26C0" w:rsidRPr="002337A4" w:rsidRDefault="00BE26C0" w:rsidP="000978C5">
            <w:pPr>
              <w:jc w:val="center"/>
              <w:rPr>
                <w:rFonts w:cs="Times New Roman"/>
              </w:rPr>
            </w:pPr>
          </w:p>
        </w:tc>
        <w:tc>
          <w:tcPr>
            <w:tcW w:w="1394" w:type="dxa"/>
            <w:tcBorders>
              <w:top w:val="nil"/>
              <w:left w:val="single" w:sz="18" w:space="0" w:color="auto"/>
              <w:bottom w:val="nil"/>
              <w:right w:val="nil"/>
            </w:tcBorders>
            <w:vAlign w:val="center"/>
          </w:tcPr>
          <w:p w14:paraId="183898E3" w14:textId="77777777" w:rsidR="00BE26C0" w:rsidRPr="002337A4" w:rsidRDefault="00BE26C0" w:rsidP="000978C5">
            <w:pPr>
              <w:jc w:val="center"/>
              <w:rPr>
                <w:rFonts w:cs="Times New Roman"/>
              </w:rPr>
            </w:pPr>
            <w:r>
              <w:rPr>
                <w:rFonts w:cs="Times New Roman"/>
              </w:rPr>
              <w:t>0.</w:t>
            </w:r>
            <w:r w:rsidRPr="002337A4">
              <w:rPr>
                <w:rFonts w:cs="Times New Roman"/>
              </w:rPr>
              <w:t>10</w:t>
            </w:r>
          </w:p>
        </w:tc>
      </w:tr>
      <w:tr w:rsidR="00BE26C0" w:rsidRPr="002337A4" w14:paraId="05148D6D" w14:textId="77777777" w:rsidTr="000978C5">
        <w:trPr>
          <w:trHeight w:val="397"/>
          <w:jc w:val="center"/>
        </w:trPr>
        <w:tc>
          <w:tcPr>
            <w:tcW w:w="2115" w:type="dxa"/>
            <w:vMerge/>
            <w:tcBorders>
              <w:left w:val="nil"/>
              <w:bottom w:val="single" w:sz="4" w:space="0" w:color="auto"/>
              <w:right w:val="nil"/>
            </w:tcBorders>
            <w:vAlign w:val="center"/>
          </w:tcPr>
          <w:p w14:paraId="1F765CAA" w14:textId="77777777" w:rsidR="00BE26C0" w:rsidRPr="002337A4" w:rsidRDefault="00BE26C0" w:rsidP="000978C5">
            <w:pPr>
              <w:rPr>
                <w:rFonts w:cs="Times New Roman"/>
                <w:b/>
              </w:rPr>
            </w:pPr>
          </w:p>
        </w:tc>
        <w:tc>
          <w:tcPr>
            <w:tcW w:w="1283" w:type="dxa"/>
            <w:tcBorders>
              <w:top w:val="nil"/>
              <w:left w:val="nil"/>
              <w:bottom w:val="single" w:sz="4" w:space="0" w:color="auto"/>
              <w:right w:val="single" w:sz="18" w:space="0" w:color="auto"/>
            </w:tcBorders>
            <w:vAlign w:val="center"/>
          </w:tcPr>
          <w:p w14:paraId="1ACDA766" w14:textId="77777777" w:rsidR="00BE26C0" w:rsidRPr="002337A4" w:rsidRDefault="00BE26C0" w:rsidP="000978C5">
            <w:pPr>
              <w:jc w:val="center"/>
              <w:rPr>
                <w:rFonts w:cs="Times New Roman"/>
              </w:rPr>
            </w:pPr>
            <w:r w:rsidRPr="002337A4">
              <w:rPr>
                <w:rFonts w:cs="Times New Roman"/>
              </w:rPr>
              <w:t>[0 – 147]</w:t>
            </w:r>
          </w:p>
        </w:tc>
        <w:tc>
          <w:tcPr>
            <w:tcW w:w="2746" w:type="dxa"/>
            <w:tcBorders>
              <w:top w:val="nil"/>
              <w:left w:val="single" w:sz="18" w:space="0" w:color="auto"/>
              <w:bottom w:val="single" w:sz="4" w:space="0" w:color="auto"/>
              <w:right w:val="single" w:sz="6" w:space="0" w:color="auto"/>
            </w:tcBorders>
            <w:vAlign w:val="center"/>
          </w:tcPr>
          <w:p w14:paraId="5E9BAC06" w14:textId="77777777" w:rsidR="00BE26C0" w:rsidRPr="002337A4" w:rsidRDefault="00BE26C0" w:rsidP="000978C5">
            <w:pPr>
              <w:jc w:val="center"/>
              <w:rPr>
                <w:rFonts w:cs="Times New Roman"/>
              </w:rPr>
            </w:pPr>
            <w:r w:rsidRPr="002337A4">
              <w:rPr>
                <w:rFonts w:cs="Times New Roman"/>
              </w:rPr>
              <w:t>1.53 (0.76 – 3.09)</w:t>
            </w:r>
          </w:p>
        </w:tc>
        <w:tc>
          <w:tcPr>
            <w:tcW w:w="1393" w:type="dxa"/>
            <w:vMerge/>
            <w:tcBorders>
              <w:left w:val="single" w:sz="6" w:space="0" w:color="auto"/>
              <w:bottom w:val="single" w:sz="4" w:space="0" w:color="auto"/>
              <w:right w:val="single" w:sz="18" w:space="0" w:color="auto"/>
            </w:tcBorders>
            <w:vAlign w:val="center"/>
          </w:tcPr>
          <w:p w14:paraId="15235652" w14:textId="77777777" w:rsidR="00BE26C0" w:rsidRPr="002337A4" w:rsidRDefault="00BE26C0" w:rsidP="000978C5">
            <w:pPr>
              <w:jc w:val="center"/>
              <w:rPr>
                <w:rFonts w:cs="Times New Roman"/>
              </w:rPr>
            </w:pPr>
          </w:p>
        </w:tc>
        <w:tc>
          <w:tcPr>
            <w:tcW w:w="1394" w:type="dxa"/>
            <w:tcBorders>
              <w:top w:val="nil"/>
              <w:left w:val="single" w:sz="18" w:space="0" w:color="auto"/>
              <w:bottom w:val="single" w:sz="4" w:space="0" w:color="auto"/>
              <w:right w:val="nil"/>
            </w:tcBorders>
            <w:vAlign w:val="center"/>
          </w:tcPr>
          <w:p w14:paraId="07B35019" w14:textId="77777777" w:rsidR="00BE26C0" w:rsidRPr="002337A4" w:rsidRDefault="00BE26C0" w:rsidP="000978C5">
            <w:pPr>
              <w:jc w:val="center"/>
              <w:rPr>
                <w:rFonts w:cs="Times New Roman"/>
              </w:rPr>
            </w:pPr>
            <w:r>
              <w:rPr>
                <w:rFonts w:cs="Times New Roman"/>
              </w:rPr>
              <w:t>0.</w:t>
            </w:r>
            <w:r w:rsidRPr="002337A4">
              <w:rPr>
                <w:rFonts w:cs="Times New Roman"/>
              </w:rPr>
              <w:t>14</w:t>
            </w:r>
          </w:p>
        </w:tc>
      </w:tr>
      <w:tr w:rsidR="00BE26C0" w:rsidRPr="002337A4" w14:paraId="732C4CDC" w14:textId="77777777" w:rsidTr="000978C5">
        <w:trPr>
          <w:trHeight w:val="397"/>
          <w:jc w:val="center"/>
        </w:trPr>
        <w:tc>
          <w:tcPr>
            <w:tcW w:w="2115" w:type="dxa"/>
            <w:vMerge w:val="restart"/>
            <w:tcBorders>
              <w:top w:val="single" w:sz="4" w:space="0" w:color="auto"/>
              <w:left w:val="nil"/>
              <w:right w:val="nil"/>
            </w:tcBorders>
            <w:vAlign w:val="center"/>
          </w:tcPr>
          <w:p w14:paraId="008246DF" w14:textId="77777777" w:rsidR="00BE26C0" w:rsidRPr="002337A4" w:rsidRDefault="00BE26C0" w:rsidP="000978C5">
            <w:pPr>
              <w:rPr>
                <w:rFonts w:cs="Times New Roman"/>
                <w:i/>
              </w:rPr>
            </w:pPr>
            <w:r w:rsidRPr="002337A4">
              <w:rPr>
                <w:rFonts w:cs="Times New Roman"/>
                <w:b/>
              </w:rPr>
              <w:t>Comorbidity</w:t>
            </w:r>
          </w:p>
        </w:tc>
        <w:tc>
          <w:tcPr>
            <w:tcW w:w="1283" w:type="dxa"/>
            <w:tcBorders>
              <w:top w:val="single" w:sz="4" w:space="0" w:color="auto"/>
              <w:left w:val="nil"/>
              <w:bottom w:val="nil"/>
              <w:right w:val="single" w:sz="18" w:space="0" w:color="auto"/>
            </w:tcBorders>
            <w:vAlign w:val="center"/>
          </w:tcPr>
          <w:p w14:paraId="20E59C4D" w14:textId="77777777" w:rsidR="00BE26C0" w:rsidRPr="002337A4" w:rsidRDefault="00BE26C0" w:rsidP="000978C5">
            <w:pPr>
              <w:jc w:val="center"/>
              <w:rPr>
                <w:rFonts w:cs="Times New Roman"/>
              </w:rPr>
            </w:pPr>
            <w:r w:rsidRPr="002337A4">
              <w:rPr>
                <w:rFonts w:cs="Times New Roman"/>
              </w:rPr>
              <w:t>[0 – 1]</w:t>
            </w:r>
          </w:p>
        </w:tc>
        <w:tc>
          <w:tcPr>
            <w:tcW w:w="2746" w:type="dxa"/>
            <w:tcBorders>
              <w:top w:val="single" w:sz="4" w:space="0" w:color="auto"/>
              <w:left w:val="single" w:sz="18" w:space="0" w:color="auto"/>
              <w:bottom w:val="nil"/>
              <w:right w:val="single" w:sz="6" w:space="0" w:color="auto"/>
            </w:tcBorders>
            <w:vAlign w:val="center"/>
          </w:tcPr>
          <w:p w14:paraId="23A9EDCC"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single" w:sz="4" w:space="0" w:color="auto"/>
              <w:left w:val="single" w:sz="6" w:space="0" w:color="auto"/>
              <w:right w:val="single" w:sz="18" w:space="0" w:color="auto"/>
            </w:tcBorders>
            <w:vAlign w:val="center"/>
          </w:tcPr>
          <w:p w14:paraId="49147673" w14:textId="77777777" w:rsidR="00BE26C0" w:rsidRPr="002337A4" w:rsidRDefault="00BE26C0" w:rsidP="000978C5">
            <w:pPr>
              <w:jc w:val="center"/>
              <w:rPr>
                <w:rFonts w:cs="Times New Roman"/>
              </w:rPr>
            </w:pPr>
            <w:r w:rsidRPr="002337A4">
              <w:rPr>
                <w:rFonts w:cs="Times New Roman"/>
              </w:rPr>
              <w:t>0.082</w:t>
            </w:r>
          </w:p>
        </w:tc>
        <w:tc>
          <w:tcPr>
            <w:tcW w:w="1394" w:type="dxa"/>
            <w:tcBorders>
              <w:top w:val="single" w:sz="4" w:space="0" w:color="auto"/>
              <w:left w:val="single" w:sz="18" w:space="0" w:color="auto"/>
              <w:bottom w:val="nil"/>
              <w:right w:val="nil"/>
            </w:tcBorders>
            <w:vAlign w:val="center"/>
          </w:tcPr>
          <w:p w14:paraId="3110F8FA" w14:textId="77777777" w:rsidR="00BE26C0" w:rsidRPr="002337A4" w:rsidRDefault="00BE26C0" w:rsidP="000978C5">
            <w:pPr>
              <w:jc w:val="center"/>
              <w:rPr>
                <w:rFonts w:cs="Times New Roman"/>
              </w:rPr>
            </w:pPr>
            <w:r>
              <w:rPr>
                <w:rFonts w:cs="Times New Roman"/>
              </w:rPr>
              <w:t>0.0</w:t>
            </w:r>
            <w:r w:rsidRPr="002337A4">
              <w:rPr>
                <w:rFonts w:cs="Times New Roman"/>
              </w:rPr>
              <w:t>0</w:t>
            </w:r>
          </w:p>
        </w:tc>
      </w:tr>
      <w:tr w:rsidR="00BE26C0" w:rsidRPr="002337A4" w14:paraId="338DEED1" w14:textId="77777777" w:rsidTr="000978C5">
        <w:trPr>
          <w:trHeight w:val="397"/>
          <w:jc w:val="center"/>
        </w:trPr>
        <w:tc>
          <w:tcPr>
            <w:tcW w:w="2115" w:type="dxa"/>
            <w:vMerge/>
            <w:tcBorders>
              <w:left w:val="nil"/>
              <w:bottom w:val="single" w:sz="4" w:space="0" w:color="auto"/>
              <w:right w:val="nil"/>
            </w:tcBorders>
            <w:vAlign w:val="center"/>
          </w:tcPr>
          <w:p w14:paraId="058D7D0D" w14:textId="77777777" w:rsidR="00BE26C0" w:rsidRPr="002337A4" w:rsidRDefault="00BE26C0" w:rsidP="000978C5">
            <w:pPr>
              <w:rPr>
                <w:rFonts w:cs="Times New Roman"/>
                <w:b/>
              </w:rPr>
            </w:pPr>
          </w:p>
        </w:tc>
        <w:tc>
          <w:tcPr>
            <w:tcW w:w="1283" w:type="dxa"/>
            <w:tcBorders>
              <w:top w:val="nil"/>
              <w:left w:val="nil"/>
              <w:bottom w:val="single" w:sz="4" w:space="0" w:color="auto"/>
              <w:right w:val="single" w:sz="18" w:space="0" w:color="auto"/>
            </w:tcBorders>
            <w:vAlign w:val="center"/>
          </w:tcPr>
          <w:p w14:paraId="20030935" w14:textId="77777777" w:rsidR="00BE26C0" w:rsidRPr="002337A4" w:rsidRDefault="00BE26C0" w:rsidP="000978C5">
            <w:pPr>
              <w:jc w:val="center"/>
              <w:rPr>
                <w:rFonts w:cs="Times New Roman"/>
              </w:rPr>
            </w:pPr>
            <w:r w:rsidRPr="002337A4">
              <w:rPr>
                <w:rFonts w:cs="Times New Roman"/>
              </w:rPr>
              <w:t>&gt;1</w:t>
            </w:r>
          </w:p>
        </w:tc>
        <w:tc>
          <w:tcPr>
            <w:tcW w:w="2746" w:type="dxa"/>
            <w:tcBorders>
              <w:top w:val="nil"/>
              <w:left w:val="single" w:sz="18" w:space="0" w:color="auto"/>
              <w:bottom w:val="single" w:sz="4" w:space="0" w:color="auto"/>
              <w:right w:val="single" w:sz="6" w:space="0" w:color="auto"/>
            </w:tcBorders>
            <w:vAlign w:val="center"/>
          </w:tcPr>
          <w:p w14:paraId="2F84F38C" w14:textId="77777777" w:rsidR="00BE26C0" w:rsidRPr="002337A4" w:rsidRDefault="00BE26C0" w:rsidP="000978C5">
            <w:pPr>
              <w:jc w:val="center"/>
              <w:rPr>
                <w:rFonts w:cs="Times New Roman"/>
              </w:rPr>
            </w:pPr>
            <w:r w:rsidRPr="002337A4">
              <w:rPr>
                <w:rFonts w:cs="Times New Roman"/>
              </w:rPr>
              <w:t>1.48 (0.95 – 2.30)</w:t>
            </w:r>
          </w:p>
        </w:tc>
        <w:tc>
          <w:tcPr>
            <w:tcW w:w="1393" w:type="dxa"/>
            <w:vMerge/>
            <w:tcBorders>
              <w:left w:val="single" w:sz="6" w:space="0" w:color="auto"/>
              <w:bottom w:val="single" w:sz="4" w:space="0" w:color="auto"/>
              <w:right w:val="single" w:sz="18" w:space="0" w:color="auto"/>
            </w:tcBorders>
            <w:vAlign w:val="center"/>
          </w:tcPr>
          <w:p w14:paraId="1A800BAB" w14:textId="77777777" w:rsidR="00BE26C0" w:rsidRPr="002337A4" w:rsidRDefault="00BE26C0" w:rsidP="000978C5">
            <w:pPr>
              <w:jc w:val="center"/>
              <w:rPr>
                <w:rFonts w:cs="Times New Roman"/>
              </w:rPr>
            </w:pPr>
          </w:p>
        </w:tc>
        <w:tc>
          <w:tcPr>
            <w:tcW w:w="1394" w:type="dxa"/>
            <w:tcBorders>
              <w:top w:val="nil"/>
              <w:left w:val="single" w:sz="18" w:space="0" w:color="auto"/>
              <w:bottom w:val="single" w:sz="4" w:space="0" w:color="auto"/>
              <w:right w:val="nil"/>
            </w:tcBorders>
            <w:vAlign w:val="center"/>
          </w:tcPr>
          <w:p w14:paraId="3D4C4F60" w14:textId="77777777" w:rsidR="00BE26C0" w:rsidRPr="002337A4" w:rsidRDefault="00BE26C0" w:rsidP="000978C5">
            <w:pPr>
              <w:jc w:val="center"/>
              <w:rPr>
                <w:rFonts w:cs="Times New Roman"/>
              </w:rPr>
            </w:pPr>
            <w:r>
              <w:rPr>
                <w:rFonts w:cs="Times New Roman"/>
              </w:rPr>
              <w:t>0.</w:t>
            </w:r>
            <w:r w:rsidRPr="002337A4">
              <w:rPr>
                <w:rFonts w:cs="Times New Roman"/>
              </w:rPr>
              <w:t>13</w:t>
            </w:r>
          </w:p>
        </w:tc>
      </w:tr>
      <w:tr w:rsidR="00BE26C0" w:rsidRPr="002337A4" w14:paraId="208E1F6A" w14:textId="77777777" w:rsidTr="000978C5">
        <w:trPr>
          <w:trHeight w:val="397"/>
          <w:jc w:val="center"/>
        </w:trPr>
        <w:tc>
          <w:tcPr>
            <w:tcW w:w="2115" w:type="dxa"/>
            <w:vMerge w:val="restart"/>
            <w:tcBorders>
              <w:top w:val="single" w:sz="4" w:space="0" w:color="auto"/>
              <w:left w:val="nil"/>
              <w:right w:val="nil"/>
            </w:tcBorders>
            <w:vAlign w:val="center"/>
          </w:tcPr>
          <w:p w14:paraId="670F92B4" w14:textId="77777777" w:rsidR="00BE26C0" w:rsidRPr="002337A4" w:rsidRDefault="00BE26C0" w:rsidP="000978C5">
            <w:pPr>
              <w:rPr>
                <w:rFonts w:cs="Times New Roman"/>
                <w:i/>
              </w:rPr>
            </w:pPr>
            <w:r>
              <w:rPr>
                <w:rFonts w:cs="Times New Roman"/>
                <w:b/>
              </w:rPr>
              <w:t xml:space="preserve">Number of </w:t>
            </w:r>
            <w:r w:rsidRPr="002337A4">
              <w:rPr>
                <w:rFonts w:cs="Times New Roman"/>
                <w:b/>
              </w:rPr>
              <w:t>Drugs</w:t>
            </w:r>
          </w:p>
        </w:tc>
        <w:tc>
          <w:tcPr>
            <w:tcW w:w="1283" w:type="dxa"/>
            <w:tcBorders>
              <w:top w:val="single" w:sz="4" w:space="0" w:color="auto"/>
              <w:left w:val="nil"/>
              <w:bottom w:val="nil"/>
              <w:right w:val="single" w:sz="18" w:space="0" w:color="auto"/>
            </w:tcBorders>
            <w:vAlign w:val="center"/>
          </w:tcPr>
          <w:p w14:paraId="5B7BE7DE" w14:textId="77777777" w:rsidR="00BE26C0" w:rsidRPr="002337A4" w:rsidRDefault="00BE26C0" w:rsidP="000978C5">
            <w:pPr>
              <w:jc w:val="center"/>
              <w:rPr>
                <w:rFonts w:cs="Times New Roman"/>
              </w:rPr>
            </w:pPr>
            <w:r w:rsidRPr="002337A4">
              <w:rPr>
                <w:rFonts w:cs="Times New Roman"/>
              </w:rPr>
              <w:t>[0 – 4]</w:t>
            </w:r>
          </w:p>
        </w:tc>
        <w:tc>
          <w:tcPr>
            <w:tcW w:w="2746" w:type="dxa"/>
            <w:tcBorders>
              <w:top w:val="single" w:sz="4" w:space="0" w:color="auto"/>
              <w:left w:val="single" w:sz="18" w:space="0" w:color="auto"/>
              <w:bottom w:val="nil"/>
              <w:right w:val="single" w:sz="6" w:space="0" w:color="auto"/>
            </w:tcBorders>
            <w:vAlign w:val="center"/>
          </w:tcPr>
          <w:p w14:paraId="3B7B1FBE"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single" w:sz="4" w:space="0" w:color="auto"/>
              <w:left w:val="single" w:sz="6" w:space="0" w:color="auto"/>
              <w:right w:val="single" w:sz="18" w:space="0" w:color="auto"/>
            </w:tcBorders>
            <w:vAlign w:val="center"/>
          </w:tcPr>
          <w:p w14:paraId="7D7D8BAB" w14:textId="77777777" w:rsidR="00BE26C0" w:rsidRPr="002337A4" w:rsidRDefault="00BE26C0" w:rsidP="000978C5">
            <w:pPr>
              <w:jc w:val="center"/>
              <w:rPr>
                <w:rFonts w:cs="Times New Roman"/>
              </w:rPr>
            </w:pPr>
            <w:r w:rsidRPr="002337A4">
              <w:rPr>
                <w:rFonts w:cs="Times New Roman"/>
              </w:rPr>
              <w:t>0.478</w:t>
            </w:r>
          </w:p>
        </w:tc>
        <w:tc>
          <w:tcPr>
            <w:tcW w:w="1394" w:type="dxa"/>
            <w:tcBorders>
              <w:top w:val="single" w:sz="4" w:space="0" w:color="auto"/>
              <w:left w:val="single" w:sz="18" w:space="0" w:color="auto"/>
              <w:bottom w:val="nil"/>
              <w:right w:val="nil"/>
            </w:tcBorders>
            <w:vAlign w:val="center"/>
          </w:tcPr>
          <w:p w14:paraId="5464228B" w14:textId="77777777" w:rsidR="00BE26C0" w:rsidRPr="002337A4" w:rsidRDefault="00BE26C0" w:rsidP="000978C5">
            <w:pPr>
              <w:jc w:val="center"/>
              <w:rPr>
                <w:rFonts w:cs="Times New Roman"/>
              </w:rPr>
            </w:pPr>
            <w:r>
              <w:rPr>
                <w:rFonts w:cs="Times New Roman"/>
              </w:rPr>
              <w:t>0.0</w:t>
            </w:r>
            <w:r w:rsidRPr="002337A4">
              <w:rPr>
                <w:rFonts w:cs="Times New Roman"/>
              </w:rPr>
              <w:t>0</w:t>
            </w:r>
          </w:p>
        </w:tc>
      </w:tr>
      <w:tr w:rsidR="00BE26C0" w:rsidRPr="002337A4" w14:paraId="321CE838" w14:textId="77777777" w:rsidTr="000978C5">
        <w:trPr>
          <w:trHeight w:val="397"/>
          <w:jc w:val="center"/>
        </w:trPr>
        <w:tc>
          <w:tcPr>
            <w:tcW w:w="2115" w:type="dxa"/>
            <w:vMerge/>
            <w:tcBorders>
              <w:left w:val="nil"/>
              <w:right w:val="nil"/>
            </w:tcBorders>
            <w:vAlign w:val="center"/>
          </w:tcPr>
          <w:p w14:paraId="0757F516" w14:textId="77777777" w:rsidR="00BE26C0" w:rsidRPr="002337A4" w:rsidRDefault="00BE26C0" w:rsidP="000978C5">
            <w:pPr>
              <w:rPr>
                <w:rFonts w:cs="Times New Roman"/>
                <w:b/>
              </w:rPr>
            </w:pPr>
          </w:p>
        </w:tc>
        <w:tc>
          <w:tcPr>
            <w:tcW w:w="1283" w:type="dxa"/>
            <w:tcBorders>
              <w:top w:val="nil"/>
              <w:left w:val="nil"/>
              <w:bottom w:val="nil"/>
              <w:right w:val="single" w:sz="18" w:space="0" w:color="auto"/>
            </w:tcBorders>
            <w:vAlign w:val="center"/>
          </w:tcPr>
          <w:p w14:paraId="5461FCB8" w14:textId="77777777" w:rsidR="00BE26C0" w:rsidRPr="002337A4" w:rsidRDefault="00BE26C0" w:rsidP="000978C5">
            <w:pPr>
              <w:jc w:val="center"/>
              <w:rPr>
                <w:rFonts w:cs="Times New Roman"/>
              </w:rPr>
            </w:pPr>
            <w:r w:rsidRPr="002337A4">
              <w:rPr>
                <w:rFonts w:cs="Times New Roman"/>
              </w:rPr>
              <w:t>[5 – 7]</w:t>
            </w:r>
          </w:p>
        </w:tc>
        <w:tc>
          <w:tcPr>
            <w:tcW w:w="2746" w:type="dxa"/>
            <w:tcBorders>
              <w:top w:val="nil"/>
              <w:left w:val="single" w:sz="18" w:space="0" w:color="auto"/>
              <w:bottom w:val="nil"/>
              <w:right w:val="single" w:sz="6" w:space="0" w:color="auto"/>
            </w:tcBorders>
            <w:vAlign w:val="center"/>
          </w:tcPr>
          <w:p w14:paraId="4E2913BB" w14:textId="77777777" w:rsidR="00BE26C0" w:rsidRPr="002337A4" w:rsidRDefault="00BE26C0" w:rsidP="000978C5">
            <w:pPr>
              <w:jc w:val="center"/>
              <w:rPr>
                <w:rFonts w:cs="Times New Roman"/>
              </w:rPr>
            </w:pPr>
            <w:r w:rsidRPr="002337A4">
              <w:rPr>
                <w:rFonts w:cs="Times New Roman"/>
              </w:rPr>
              <w:t>1.10 (0.76 – 1.60)</w:t>
            </w:r>
          </w:p>
        </w:tc>
        <w:tc>
          <w:tcPr>
            <w:tcW w:w="1393" w:type="dxa"/>
            <w:vMerge/>
            <w:tcBorders>
              <w:left w:val="single" w:sz="6" w:space="0" w:color="auto"/>
              <w:right w:val="single" w:sz="18" w:space="0" w:color="auto"/>
            </w:tcBorders>
            <w:vAlign w:val="center"/>
          </w:tcPr>
          <w:p w14:paraId="18E6D490" w14:textId="77777777" w:rsidR="00BE26C0" w:rsidRPr="002337A4" w:rsidRDefault="00BE26C0" w:rsidP="000978C5">
            <w:pPr>
              <w:jc w:val="center"/>
              <w:rPr>
                <w:rFonts w:cs="Times New Roman"/>
              </w:rPr>
            </w:pPr>
          </w:p>
        </w:tc>
        <w:tc>
          <w:tcPr>
            <w:tcW w:w="1394" w:type="dxa"/>
            <w:tcBorders>
              <w:top w:val="nil"/>
              <w:left w:val="single" w:sz="18" w:space="0" w:color="auto"/>
              <w:bottom w:val="nil"/>
              <w:right w:val="nil"/>
            </w:tcBorders>
            <w:vAlign w:val="center"/>
          </w:tcPr>
          <w:p w14:paraId="6A7553CE" w14:textId="77777777" w:rsidR="00BE26C0" w:rsidRPr="002337A4" w:rsidRDefault="00BE26C0" w:rsidP="000978C5">
            <w:pPr>
              <w:jc w:val="center"/>
              <w:rPr>
                <w:rFonts w:cs="Times New Roman"/>
              </w:rPr>
            </w:pPr>
            <w:r>
              <w:rPr>
                <w:rFonts w:cs="Times New Roman"/>
              </w:rPr>
              <w:t>0.0</w:t>
            </w:r>
            <w:r w:rsidRPr="002337A4">
              <w:rPr>
                <w:rFonts w:cs="Times New Roman"/>
              </w:rPr>
              <w:t>3</w:t>
            </w:r>
          </w:p>
        </w:tc>
      </w:tr>
      <w:tr w:rsidR="00BE26C0" w:rsidRPr="002337A4" w14:paraId="668001BF" w14:textId="77777777" w:rsidTr="000978C5">
        <w:trPr>
          <w:trHeight w:val="397"/>
          <w:jc w:val="center"/>
        </w:trPr>
        <w:tc>
          <w:tcPr>
            <w:tcW w:w="2115" w:type="dxa"/>
            <w:vMerge/>
            <w:tcBorders>
              <w:left w:val="nil"/>
              <w:bottom w:val="single" w:sz="4" w:space="0" w:color="auto"/>
              <w:right w:val="nil"/>
            </w:tcBorders>
            <w:vAlign w:val="center"/>
          </w:tcPr>
          <w:p w14:paraId="1A0572C7" w14:textId="77777777" w:rsidR="00BE26C0" w:rsidRPr="002337A4" w:rsidRDefault="00BE26C0" w:rsidP="000978C5">
            <w:pPr>
              <w:rPr>
                <w:rFonts w:cs="Times New Roman"/>
                <w:b/>
              </w:rPr>
            </w:pPr>
          </w:p>
        </w:tc>
        <w:tc>
          <w:tcPr>
            <w:tcW w:w="1283" w:type="dxa"/>
            <w:tcBorders>
              <w:top w:val="nil"/>
              <w:left w:val="nil"/>
              <w:bottom w:val="single" w:sz="4" w:space="0" w:color="auto"/>
              <w:right w:val="single" w:sz="18" w:space="0" w:color="auto"/>
            </w:tcBorders>
            <w:vAlign w:val="center"/>
          </w:tcPr>
          <w:p w14:paraId="5E110C3D" w14:textId="77777777" w:rsidR="00BE26C0" w:rsidRPr="002337A4" w:rsidRDefault="00BE26C0" w:rsidP="000978C5">
            <w:pPr>
              <w:jc w:val="center"/>
              <w:rPr>
                <w:rFonts w:cs="Times New Roman"/>
              </w:rPr>
            </w:pPr>
            <w:r w:rsidRPr="002337A4">
              <w:rPr>
                <w:rFonts w:cs="Times New Roman"/>
              </w:rPr>
              <w:t>&gt; 7</w:t>
            </w:r>
          </w:p>
        </w:tc>
        <w:tc>
          <w:tcPr>
            <w:tcW w:w="2746" w:type="dxa"/>
            <w:tcBorders>
              <w:top w:val="nil"/>
              <w:left w:val="single" w:sz="18" w:space="0" w:color="auto"/>
              <w:bottom w:val="single" w:sz="4" w:space="0" w:color="auto"/>
              <w:right w:val="single" w:sz="6" w:space="0" w:color="auto"/>
            </w:tcBorders>
            <w:vAlign w:val="center"/>
          </w:tcPr>
          <w:p w14:paraId="4F0F7918" w14:textId="77777777" w:rsidR="00BE26C0" w:rsidRPr="002337A4" w:rsidRDefault="00BE26C0" w:rsidP="000978C5">
            <w:pPr>
              <w:jc w:val="center"/>
              <w:rPr>
                <w:rFonts w:cs="Times New Roman"/>
              </w:rPr>
            </w:pPr>
            <w:r w:rsidRPr="002337A4">
              <w:rPr>
                <w:rFonts w:cs="Times New Roman"/>
              </w:rPr>
              <w:t>1.39 (0.81 – 2.40)</w:t>
            </w:r>
          </w:p>
        </w:tc>
        <w:tc>
          <w:tcPr>
            <w:tcW w:w="1393" w:type="dxa"/>
            <w:vMerge/>
            <w:tcBorders>
              <w:left w:val="single" w:sz="6" w:space="0" w:color="auto"/>
              <w:bottom w:val="single" w:sz="4" w:space="0" w:color="auto"/>
              <w:right w:val="single" w:sz="18" w:space="0" w:color="auto"/>
            </w:tcBorders>
            <w:vAlign w:val="center"/>
          </w:tcPr>
          <w:p w14:paraId="1FA56E01" w14:textId="77777777" w:rsidR="00BE26C0" w:rsidRPr="002337A4" w:rsidRDefault="00BE26C0" w:rsidP="000978C5">
            <w:pPr>
              <w:jc w:val="center"/>
              <w:rPr>
                <w:rFonts w:cs="Times New Roman"/>
              </w:rPr>
            </w:pPr>
          </w:p>
        </w:tc>
        <w:tc>
          <w:tcPr>
            <w:tcW w:w="1394" w:type="dxa"/>
            <w:tcBorders>
              <w:top w:val="nil"/>
              <w:left w:val="single" w:sz="18" w:space="0" w:color="auto"/>
              <w:bottom w:val="single" w:sz="4" w:space="0" w:color="auto"/>
              <w:right w:val="nil"/>
            </w:tcBorders>
            <w:vAlign w:val="center"/>
          </w:tcPr>
          <w:p w14:paraId="2879DF80" w14:textId="77777777" w:rsidR="00BE26C0" w:rsidRPr="002337A4" w:rsidRDefault="00BE26C0" w:rsidP="000978C5">
            <w:pPr>
              <w:jc w:val="center"/>
              <w:rPr>
                <w:rFonts w:cs="Times New Roman"/>
              </w:rPr>
            </w:pPr>
            <w:r>
              <w:rPr>
                <w:rFonts w:cs="Times New Roman"/>
              </w:rPr>
              <w:t>0.</w:t>
            </w:r>
            <w:r w:rsidRPr="002337A4">
              <w:rPr>
                <w:rFonts w:cs="Times New Roman"/>
              </w:rPr>
              <w:t>11</w:t>
            </w:r>
          </w:p>
        </w:tc>
      </w:tr>
      <w:tr w:rsidR="00BE26C0" w:rsidRPr="002337A4" w14:paraId="655DBFF8" w14:textId="77777777" w:rsidTr="000978C5">
        <w:trPr>
          <w:trHeight w:val="397"/>
          <w:jc w:val="center"/>
        </w:trPr>
        <w:tc>
          <w:tcPr>
            <w:tcW w:w="2115" w:type="dxa"/>
            <w:vMerge w:val="restart"/>
            <w:tcBorders>
              <w:top w:val="single" w:sz="4" w:space="0" w:color="auto"/>
              <w:left w:val="nil"/>
              <w:right w:val="nil"/>
            </w:tcBorders>
            <w:vAlign w:val="center"/>
          </w:tcPr>
          <w:p w14:paraId="57CFEAD4" w14:textId="77777777" w:rsidR="00BE26C0" w:rsidRPr="002337A4" w:rsidRDefault="00BE26C0" w:rsidP="000978C5">
            <w:pPr>
              <w:rPr>
                <w:rFonts w:cs="Times New Roman"/>
                <w:i/>
              </w:rPr>
            </w:pPr>
            <w:r w:rsidRPr="002337A4">
              <w:rPr>
                <w:rFonts w:cs="Times New Roman"/>
                <w:b/>
              </w:rPr>
              <w:t>KOOS – QoL</w:t>
            </w:r>
          </w:p>
        </w:tc>
        <w:tc>
          <w:tcPr>
            <w:tcW w:w="1283" w:type="dxa"/>
            <w:tcBorders>
              <w:top w:val="single" w:sz="4" w:space="0" w:color="auto"/>
              <w:left w:val="nil"/>
              <w:bottom w:val="nil"/>
              <w:right w:val="single" w:sz="18" w:space="0" w:color="auto"/>
            </w:tcBorders>
            <w:vAlign w:val="center"/>
          </w:tcPr>
          <w:p w14:paraId="5E70BD2D" w14:textId="77777777" w:rsidR="00BE26C0" w:rsidRPr="002337A4" w:rsidRDefault="00BE26C0" w:rsidP="000978C5">
            <w:pPr>
              <w:jc w:val="center"/>
              <w:rPr>
                <w:rFonts w:cs="Times New Roman"/>
              </w:rPr>
            </w:pPr>
            <w:r w:rsidRPr="002337A4">
              <w:rPr>
                <w:rFonts w:cs="Times New Roman"/>
              </w:rPr>
              <w:t>(76 – 100]</w:t>
            </w:r>
          </w:p>
        </w:tc>
        <w:tc>
          <w:tcPr>
            <w:tcW w:w="2746" w:type="dxa"/>
            <w:tcBorders>
              <w:top w:val="single" w:sz="4" w:space="0" w:color="auto"/>
              <w:left w:val="single" w:sz="18" w:space="0" w:color="auto"/>
              <w:bottom w:val="nil"/>
              <w:right w:val="single" w:sz="6" w:space="0" w:color="auto"/>
            </w:tcBorders>
            <w:vAlign w:val="center"/>
          </w:tcPr>
          <w:p w14:paraId="26165259"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single" w:sz="4" w:space="0" w:color="auto"/>
              <w:left w:val="single" w:sz="6" w:space="0" w:color="auto"/>
              <w:bottom w:val="nil"/>
              <w:right w:val="single" w:sz="18" w:space="0" w:color="auto"/>
            </w:tcBorders>
            <w:vAlign w:val="center"/>
          </w:tcPr>
          <w:p w14:paraId="4161E27E" w14:textId="77777777" w:rsidR="00BE26C0" w:rsidRPr="002337A4" w:rsidRDefault="00BE26C0" w:rsidP="000978C5">
            <w:pPr>
              <w:jc w:val="center"/>
              <w:rPr>
                <w:rFonts w:cs="Times New Roman"/>
              </w:rPr>
            </w:pPr>
            <w:r w:rsidRPr="002337A4">
              <w:rPr>
                <w:rFonts w:cs="Times New Roman"/>
              </w:rPr>
              <w:t>0.770</w:t>
            </w:r>
          </w:p>
        </w:tc>
        <w:tc>
          <w:tcPr>
            <w:tcW w:w="1394" w:type="dxa"/>
            <w:tcBorders>
              <w:top w:val="single" w:sz="4" w:space="0" w:color="auto"/>
              <w:left w:val="single" w:sz="18" w:space="0" w:color="auto"/>
              <w:bottom w:val="nil"/>
              <w:right w:val="nil"/>
            </w:tcBorders>
            <w:vAlign w:val="center"/>
          </w:tcPr>
          <w:p w14:paraId="633AE485" w14:textId="77777777" w:rsidR="00BE26C0" w:rsidRPr="002337A4" w:rsidRDefault="00BE26C0" w:rsidP="000978C5">
            <w:pPr>
              <w:jc w:val="center"/>
              <w:rPr>
                <w:rFonts w:cs="Times New Roman"/>
              </w:rPr>
            </w:pPr>
            <w:r>
              <w:rPr>
                <w:rFonts w:cs="Times New Roman"/>
              </w:rPr>
              <w:t>0.0</w:t>
            </w:r>
            <w:r w:rsidRPr="002337A4">
              <w:rPr>
                <w:rFonts w:cs="Times New Roman"/>
              </w:rPr>
              <w:t>0</w:t>
            </w:r>
          </w:p>
        </w:tc>
      </w:tr>
      <w:tr w:rsidR="00BE26C0" w:rsidRPr="002337A4" w14:paraId="725E91FB" w14:textId="77777777" w:rsidTr="000978C5">
        <w:trPr>
          <w:trHeight w:val="397"/>
          <w:jc w:val="center"/>
        </w:trPr>
        <w:tc>
          <w:tcPr>
            <w:tcW w:w="2115" w:type="dxa"/>
            <w:vMerge/>
            <w:tcBorders>
              <w:top w:val="single" w:sz="4" w:space="0" w:color="auto"/>
              <w:left w:val="nil"/>
              <w:right w:val="nil"/>
            </w:tcBorders>
            <w:vAlign w:val="center"/>
          </w:tcPr>
          <w:p w14:paraId="589A7E62" w14:textId="77777777" w:rsidR="00BE26C0" w:rsidRPr="002337A4" w:rsidRDefault="00BE26C0" w:rsidP="000978C5">
            <w:pPr>
              <w:rPr>
                <w:rFonts w:cs="Times New Roman"/>
                <w:b/>
              </w:rPr>
            </w:pPr>
          </w:p>
        </w:tc>
        <w:tc>
          <w:tcPr>
            <w:tcW w:w="1283" w:type="dxa"/>
            <w:tcBorders>
              <w:top w:val="nil"/>
              <w:left w:val="nil"/>
              <w:bottom w:val="nil"/>
              <w:right w:val="single" w:sz="18" w:space="0" w:color="auto"/>
            </w:tcBorders>
            <w:vAlign w:val="center"/>
          </w:tcPr>
          <w:p w14:paraId="39EF6805" w14:textId="77777777" w:rsidR="00BE26C0" w:rsidRPr="002337A4" w:rsidRDefault="00BE26C0" w:rsidP="000978C5">
            <w:pPr>
              <w:jc w:val="center"/>
              <w:rPr>
                <w:rFonts w:cs="Times New Roman"/>
              </w:rPr>
            </w:pPr>
            <w:r w:rsidRPr="002337A4">
              <w:rPr>
                <w:rFonts w:cs="Times New Roman"/>
              </w:rPr>
              <w:t>(63 – 76]</w:t>
            </w:r>
          </w:p>
        </w:tc>
        <w:tc>
          <w:tcPr>
            <w:tcW w:w="2746" w:type="dxa"/>
            <w:tcBorders>
              <w:top w:val="nil"/>
              <w:left w:val="single" w:sz="18" w:space="0" w:color="auto"/>
              <w:bottom w:val="nil"/>
              <w:right w:val="single" w:sz="6" w:space="0" w:color="auto"/>
            </w:tcBorders>
            <w:vAlign w:val="center"/>
          </w:tcPr>
          <w:p w14:paraId="3076494E" w14:textId="77777777" w:rsidR="00BE26C0" w:rsidRPr="002337A4" w:rsidRDefault="00BE26C0" w:rsidP="000978C5">
            <w:pPr>
              <w:jc w:val="center"/>
              <w:rPr>
                <w:rFonts w:cs="Times New Roman"/>
              </w:rPr>
            </w:pPr>
            <w:r w:rsidRPr="002337A4">
              <w:rPr>
                <w:rFonts w:cs="Times New Roman"/>
              </w:rPr>
              <w:t>1.10 (0.70 – 1.73)</w:t>
            </w:r>
          </w:p>
        </w:tc>
        <w:tc>
          <w:tcPr>
            <w:tcW w:w="1393" w:type="dxa"/>
            <w:vMerge/>
            <w:tcBorders>
              <w:top w:val="nil"/>
              <w:left w:val="single" w:sz="6" w:space="0" w:color="auto"/>
              <w:right w:val="single" w:sz="18" w:space="0" w:color="auto"/>
            </w:tcBorders>
            <w:vAlign w:val="center"/>
          </w:tcPr>
          <w:p w14:paraId="44E705BC" w14:textId="77777777" w:rsidR="00BE26C0" w:rsidRPr="002337A4" w:rsidRDefault="00BE26C0" w:rsidP="000978C5">
            <w:pPr>
              <w:jc w:val="center"/>
              <w:rPr>
                <w:rFonts w:cs="Times New Roman"/>
              </w:rPr>
            </w:pPr>
          </w:p>
        </w:tc>
        <w:tc>
          <w:tcPr>
            <w:tcW w:w="1394" w:type="dxa"/>
            <w:tcBorders>
              <w:top w:val="nil"/>
              <w:left w:val="single" w:sz="18" w:space="0" w:color="auto"/>
              <w:bottom w:val="nil"/>
              <w:right w:val="nil"/>
            </w:tcBorders>
            <w:vAlign w:val="center"/>
          </w:tcPr>
          <w:p w14:paraId="6DD3D350" w14:textId="77777777" w:rsidR="00BE26C0" w:rsidRPr="002337A4" w:rsidRDefault="00BE26C0" w:rsidP="000978C5">
            <w:pPr>
              <w:jc w:val="center"/>
              <w:rPr>
                <w:rFonts w:cs="Times New Roman"/>
              </w:rPr>
            </w:pPr>
            <w:r>
              <w:rPr>
                <w:rFonts w:cs="Times New Roman"/>
              </w:rPr>
              <w:t>0.0</w:t>
            </w:r>
            <w:r w:rsidRPr="002337A4">
              <w:rPr>
                <w:rFonts w:cs="Times New Roman"/>
              </w:rPr>
              <w:t>3</w:t>
            </w:r>
          </w:p>
        </w:tc>
      </w:tr>
      <w:tr w:rsidR="00BE26C0" w:rsidRPr="002337A4" w14:paraId="431C4779" w14:textId="77777777" w:rsidTr="000978C5">
        <w:trPr>
          <w:trHeight w:val="397"/>
          <w:jc w:val="center"/>
        </w:trPr>
        <w:tc>
          <w:tcPr>
            <w:tcW w:w="2115" w:type="dxa"/>
            <w:vMerge/>
            <w:tcBorders>
              <w:left w:val="nil"/>
              <w:bottom w:val="single" w:sz="4" w:space="0" w:color="auto"/>
              <w:right w:val="nil"/>
            </w:tcBorders>
            <w:vAlign w:val="center"/>
          </w:tcPr>
          <w:p w14:paraId="31133602" w14:textId="77777777" w:rsidR="00BE26C0" w:rsidRPr="002337A4" w:rsidRDefault="00BE26C0" w:rsidP="000978C5">
            <w:pPr>
              <w:rPr>
                <w:rFonts w:cs="Times New Roman"/>
                <w:b/>
              </w:rPr>
            </w:pPr>
          </w:p>
        </w:tc>
        <w:tc>
          <w:tcPr>
            <w:tcW w:w="1283" w:type="dxa"/>
            <w:tcBorders>
              <w:top w:val="nil"/>
              <w:left w:val="nil"/>
              <w:bottom w:val="single" w:sz="4" w:space="0" w:color="auto"/>
              <w:right w:val="single" w:sz="18" w:space="0" w:color="auto"/>
            </w:tcBorders>
            <w:vAlign w:val="center"/>
          </w:tcPr>
          <w:p w14:paraId="490BACE3" w14:textId="77777777" w:rsidR="00BE26C0" w:rsidRPr="002337A4" w:rsidRDefault="00BE26C0" w:rsidP="000978C5">
            <w:pPr>
              <w:jc w:val="center"/>
              <w:rPr>
                <w:rFonts w:cs="Times New Roman"/>
              </w:rPr>
            </w:pPr>
            <w:r w:rsidRPr="002337A4">
              <w:rPr>
                <w:rFonts w:cs="Times New Roman"/>
              </w:rPr>
              <w:t>[0 – 63]</w:t>
            </w:r>
          </w:p>
        </w:tc>
        <w:tc>
          <w:tcPr>
            <w:tcW w:w="2746" w:type="dxa"/>
            <w:tcBorders>
              <w:top w:val="nil"/>
              <w:left w:val="single" w:sz="18" w:space="0" w:color="auto"/>
              <w:bottom w:val="single" w:sz="4" w:space="0" w:color="auto"/>
              <w:right w:val="single" w:sz="6" w:space="0" w:color="auto"/>
            </w:tcBorders>
            <w:vAlign w:val="center"/>
          </w:tcPr>
          <w:p w14:paraId="5FF46937" w14:textId="77777777" w:rsidR="00BE26C0" w:rsidRPr="002337A4" w:rsidRDefault="00BE26C0" w:rsidP="000978C5">
            <w:pPr>
              <w:jc w:val="center"/>
              <w:rPr>
                <w:rFonts w:cs="Times New Roman"/>
              </w:rPr>
            </w:pPr>
            <w:r w:rsidRPr="002337A4">
              <w:rPr>
                <w:rFonts w:cs="Times New Roman"/>
              </w:rPr>
              <w:t>1.19 (0.75 – 1.88)</w:t>
            </w:r>
          </w:p>
        </w:tc>
        <w:tc>
          <w:tcPr>
            <w:tcW w:w="1393" w:type="dxa"/>
            <w:vMerge/>
            <w:tcBorders>
              <w:left w:val="single" w:sz="6" w:space="0" w:color="auto"/>
              <w:bottom w:val="single" w:sz="4" w:space="0" w:color="auto"/>
              <w:right w:val="single" w:sz="18" w:space="0" w:color="auto"/>
            </w:tcBorders>
            <w:vAlign w:val="center"/>
          </w:tcPr>
          <w:p w14:paraId="3E753A46" w14:textId="77777777" w:rsidR="00BE26C0" w:rsidRPr="002337A4" w:rsidRDefault="00BE26C0" w:rsidP="000978C5">
            <w:pPr>
              <w:jc w:val="center"/>
              <w:rPr>
                <w:rFonts w:cs="Times New Roman"/>
              </w:rPr>
            </w:pPr>
          </w:p>
        </w:tc>
        <w:tc>
          <w:tcPr>
            <w:tcW w:w="1394" w:type="dxa"/>
            <w:tcBorders>
              <w:top w:val="nil"/>
              <w:left w:val="single" w:sz="18" w:space="0" w:color="auto"/>
              <w:bottom w:val="single" w:sz="4" w:space="0" w:color="auto"/>
              <w:right w:val="nil"/>
            </w:tcBorders>
            <w:vAlign w:val="center"/>
          </w:tcPr>
          <w:p w14:paraId="32495A5C" w14:textId="77777777" w:rsidR="00BE26C0" w:rsidRPr="002337A4" w:rsidRDefault="00BE26C0" w:rsidP="000978C5">
            <w:pPr>
              <w:jc w:val="center"/>
              <w:rPr>
                <w:rFonts w:cs="Times New Roman"/>
              </w:rPr>
            </w:pPr>
            <w:r>
              <w:rPr>
                <w:rFonts w:cs="Times New Roman"/>
              </w:rPr>
              <w:t>0.0</w:t>
            </w:r>
            <w:r w:rsidRPr="002337A4">
              <w:rPr>
                <w:rFonts w:cs="Times New Roman"/>
              </w:rPr>
              <w:t>6</w:t>
            </w:r>
          </w:p>
        </w:tc>
      </w:tr>
      <w:tr w:rsidR="00BE26C0" w:rsidRPr="002337A4" w14:paraId="77C2AF5E" w14:textId="77777777" w:rsidTr="000978C5">
        <w:trPr>
          <w:trHeight w:val="397"/>
          <w:jc w:val="center"/>
        </w:trPr>
        <w:tc>
          <w:tcPr>
            <w:tcW w:w="2115" w:type="dxa"/>
            <w:vMerge w:val="restart"/>
            <w:tcBorders>
              <w:top w:val="single" w:sz="4" w:space="0" w:color="auto"/>
              <w:left w:val="nil"/>
              <w:right w:val="nil"/>
            </w:tcBorders>
            <w:vAlign w:val="center"/>
          </w:tcPr>
          <w:p w14:paraId="2EEED4CF" w14:textId="77777777" w:rsidR="00BE26C0" w:rsidRPr="002337A4" w:rsidRDefault="00BE26C0" w:rsidP="000978C5">
            <w:pPr>
              <w:rPr>
                <w:rFonts w:cs="Times New Roman"/>
                <w:i/>
              </w:rPr>
            </w:pPr>
            <w:r w:rsidRPr="002337A4">
              <w:rPr>
                <w:rFonts w:cs="Times New Roman"/>
                <w:b/>
              </w:rPr>
              <w:t>BMI</w:t>
            </w:r>
          </w:p>
        </w:tc>
        <w:tc>
          <w:tcPr>
            <w:tcW w:w="1283" w:type="dxa"/>
            <w:tcBorders>
              <w:top w:val="single" w:sz="4" w:space="0" w:color="auto"/>
              <w:left w:val="nil"/>
              <w:bottom w:val="nil"/>
              <w:right w:val="single" w:sz="18" w:space="0" w:color="auto"/>
            </w:tcBorders>
            <w:vAlign w:val="center"/>
          </w:tcPr>
          <w:p w14:paraId="1B66D99A" w14:textId="77777777" w:rsidR="00BE26C0" w:rsidRPr="002337A4" w:rsidRDefault="00BE26C0" w:rsidP="000978C5">
            <w:pPr>
              <w:jc w:val="center"/>
              <w:rPr>
                <w:rFonts w:cs="Times New Roman"/>
              </w:rPr>
            </w:pPr>
            <w:r w:rsidRPr="002337A4">
              <w:rPr>
                <w:rFonts w:cs="Times New Roman"/>
              </w:rPr>
              <w:t>&lt; 30</w:t>
            </w:r>
          </w:p>
        </w:tc>
        <w:tc>
          <w:tcPr>
            <w:tcW w:w="2746" w:type="dxa"/>
            <w:tcBorders>
              <w:top w:val="single" w:sz="4" w:space="0" w:color="auto"/>
              <w:left w:val="single" w:sz="18" w:space="0" w:color="auto"/>
              <w:bottom w:val="nil"/>
              <w:right w:val="single" w:sz="6" w:space="0" w:color="auto"/>
            </w:tcBorders>
            <w:vAlign w:val="center"/>
          </w:tcPr>
          <w:p w14:paraId="53B69899" w14:textId="77777777" w:rsidR="00BE26C0" w:rsidRPr="002337A4" w:rsidRDefault="00BE26C0" w:rsidP="000978C5">
            <w:pPr>
              <w:jc w:val="center"/>
              <w:rPr>
                <w:rFonts w:cs="Times New Roman"/>
                <w:i/>
              </w:rPr>
            </w:pPr>
            <w:r w:rsidRPr="002337A4">
              <w:rPr>
                <w:rFonts w:cs="Times New Roman"/>
                <w:i/>
              </w:rPr>
              <w:t>ref.</w:t>
            </w:r>
          </w:p>
        </w:tc>
        <w:tc>
          <w:tcPr>
            <w:tcW w:w="1393" w:type="dxa"/>
            <w:vMerge w:val="restart"/>
            <w:tcBorders>
              <w:top w:val="single" w:sz="4" w:space="0" w:color="auto"/>
              <w:left w:val="single" w:sz="6" w:space="0" w:color="auto"/>
              <w:right w:val="single" w:sz="18" w:space="0" w:color="auto"/>
            </w:tcBorders>
            <w:vAlign w:val="center"/>
          </w:tcPr>
          <w:p w14:paraId="1F091381" w14:textId="77777777" w:rsidR="00BE26C0" w:rsidRPr="002337A4" w:rsidRDefault="00BE26C0" w:rsidP="000978C5">
            <w:pPr>
              <w:jc w:val="center"/>
              <w:rPr>
                <w:rFonts w:cs="Times New Roman"/>
              </w:rPr>
            </w:pPr>
            <w:r w:rsidRPr="002337A4">
              <w:rPr>
                <w:rFonts w:cs="Times New Roman"/>
              </w:rPr>
              <w:t>0.301</w:t>
            </w:r>
          </w:p>
        </w:tc>
        <w:tc>
          <w:tcPr>
            <w:tcW w:w="1394" w:type="dxa"/>
            <w:tcBorders>
              <w:top w:val="single" w:sz="4" w:space="0" w:color="auto"/>
              <w:left w:val="single" w:sz="18" w:space="0" w:color="auto"/>
              <w:bottom w:val="nil"/>
              <w:right w:val="nil"/>
            </w:tcBorders>
            <w:vAlign w:val="center"/>
          </w:tcPr>
          <w:p w14:paraId="3A3E013F" w14:textId="77777777" w:rsidR="00BE26C0" w:rsidRPr="002337A4" w:rsidRDefault="00BE26C0" w:rsidP="000978C5">
            <w:pPr>
              <w:jc w:val="center"/>
              <w:rPr>
                <w:rFonts w:cs="Times New Roman"/>
              </w:rPr>
            </w:pPr>
            <w:r>
              <w:rPr>
                <w:rFonts w:cs="Times New Roman"/>
              </w:rPr>
              <w:t>0.0</w:t>
            </w:r>
            <w:r w:rsidRPr="002337A4">
              <w:rPr>
                <w:rFonts w:cs="Times New Roman"/>
              </w:rPr>
              <w:t>0</w:t>
            </w:r>
          </w:p>
        </w:tc>
      </w:tr>
      <w:tr w:rsidR="00BE26C0" w:rsidRPr="002337A4" w14:paraId="2A741599" w14:textId="77777777" w:rsidTr="000978C5">
        <w:trPr>
          <w:trHeight w:val="397"/>
          <w:jc w:val="center"/>
        </w:trPr>
        <w:tc>
          <w:tcPr>
            <w:tcW w:w="2115" w:type="dxa"/>
            <w:vMerge/>
            <w:tcBorders>
              <w:left w:val="nil"/>
              <w:bottom w:val="single" w:sz="18" w:space="0" w:color="auto"/>
              <w:right w:val="nil"/>
            </w:tcBorders>
            <w:vAlign w:val="center"/>
          </w:tcPr>
          <w:p w14:paraId="02CE8F0E" w14:textId="77777777" w:rsidR="00BE26C0" w:rsidRPr="002337A4" w:rsidRDefault="00BE26C0" w:rsidP="000978C5">
            <w:pPr>
              <w:rPr>
                <w:rFonts w:cs="Times New Roman"/>
                <w:b/>
              </w:rPr>
            </w:pPr>
          </w:p>
        </w:tc>
        <w:tc>
          <w:tcPr>
            <w:tcW w:w="1283" w:type="dxa"/>
            <w:tcBorders>
              <w:top w:val="nil"/>
              <w:left w:val="nil"/>
              <w:bottom w:val="single" w:sz="18" w:space="0" w:color="auto"/>
              <w:right w:val="single" w:sz="18" w:space="0" w:color="auto"/>
            </w:tcBorders>
            <w:vAlign w:val="center"/>
          </w:tcPr>
          <w:p w14:paraId="4952C0C3" w14:textId="77777777" w:rsidR="00BE26C0" w:rsidRPr="002337A4" w:rsidRDefault="00BE26C0" w:rsidP="000978C5">
            <w:pPr>
              <w:jc w:val="center"/>
              <w:rPr>
                <w:rFonts w:cs="Times New Roman"/>
              </w:rPr>
            </w:pPr>
            <w:r w:rsidRPr="002337A4">
              <w:rPr>
                <w:rFonts w:cs="Times New Roman"/>
              </w:rPr>
              <w:t>≥ 30</w:t>
            </w:r>
          </w:p>
        </w:tc>
        <w:tc>
          <w:tcPr>
            <w:tcW w:w="2746" w:type="dxa"/>
            <w:tcBorders>
              <w:top w:val="nil"/>
              <w:left w:val="single" w:sz="18" w:space="0" w:color="auto"/>
              <w:bottom w:val="single" w:sz="18" w:space="0" w:color="auto"/>
              <w:right w:val="single" w:sz="6" w:space="0" w:color="auto"/>
            </w:tcBorders>
            <w:vAlign w:val="center"/>
          </w:tcPr>
          <w:p w14:paraId="06B9C6EC" w14:textId="77777777" w:rsidR="00BE26C0" w:rsidRPr="002337A4" w:rsidRDefault="00BE26C0" w:rsidP="000978C5">
            <w:pPr>
              <w:jc w:val="center"/>
              <w:rPr>
                <w:rFonts w:cs="Times New Roman"/>
              </w:rPr>
            </w:pPr>
            <w:r w:rsidRPr="002337A4">
              <w:rPr>
                <w:rFonts w:cs="Times New Roman"/>
              </w:rPr>
              <w:t>1.20 (0.85 – 1.69)</w:t>
            </w:r>
          </w:p>
        </w:tc>
        <w:tc>
          <w:tcPr>
            <w:tcW w:w="1393" w:type="dxa"/>
            <w:vMerge/>
            <w:tcBorders>
              <w:left w:val="single" w:sz="6" w:space="0" w:color="auto"/>
              <w:bottom w:val="single" w:sz="18" w:space="0" w:color="auto"/>
              <w:right w:val="single" w:sz="18" w:space="0" w:color="auto"/>
            </w:tcBorders>
            <w:vAlign w:val="center"/>
          </w:tcPr>
          <w:p w14:paraId="2010FA31" w14:textId="77777777" w:rsidR="00BE26C0" w:rsidRPr="002337A4" w:rsidRDefault="00BE26C0" w:rsidP="000978C5">
            <w:pPr>
              <w:jc w:val="center"/>
              <w:rPr>
                <w:rFonts w:cs="Times New Roman"/>
              </w:rPr>
            </w:pPr>
          </w:p>
        </w:tc>
        <w:tc>
          <w:tcPr>
            <w:tcW w:w="1394" w:type="dxa"/>
            <w:tcBorders>
              <w:top w:val="nil"/>
              <w:left w:val="single" w:sz="18" w:space="0" w:color="auto"/>
              <w:bottom w:val="single" w:sz="18" w:space="0" w:color="auto"/>
              <w:right w:val="nil"/>
            </w:tcBorders>
            <w:vAlign w:val="center"/>
          </w:tcPr>
          <w:p w14:paraId="465AF4F4" w14:textId="77777777" w:rsidR="00BE26C0" w:rsidRPr="002337A4" w:rsidRDefault="00BE26C0" w:rsidP="000978C5">
            <w:pPr>
              <w:jc w:val="center"/>
              <w:rPr>
                <w:rFonts w:cs="Times New Roman"/>
              </w:rPr>
            </w:pPr>
            <w:r>
              <w:rPr>
                <w:rFonts w:cs="Times New Roman"/>
              </w:rPr>
              <w:t>0.0</w:t>
            </w:r>
            <w:r w:rsidRPr="002337A4">
              <w:rPr>
                <w:rFonts w:cs="Times New Roman"/>
              </w:rPr>
              <w:t>6</w:t>
            </w:r>
          </w:p>
        </w:tc>
      </w:tr>
    </w:tbl>
    <w:p w14:paraId="426D6A12" w14:textId="77777777" w:rsidR="00BE26C0" w:rsidRPr="002337A4" w:rsidRDefault="00BE26C0" w:rsidP="00BE26C0">
      <w:pPr>
        <w:rPr>
          <w:rFonts w:cs="Times New Roman"/>
        </w:rPr>
      </w:pPr>
    </w:p>
    <w:p w14:paraId="7A8B060F" w14:textId="77777777" w:rsidR="00BE26C0" w:rsidRPr="002337A4" w:rsidRDefault="00BE26C0" w:rsidP="00BE26C0">
      <w:pPr>
        <w:rPr>
          <w:rFonts w:cs="Times New Roman"/>
        </w:rPr>
      </w:pPr>
    </w:p>
    <w:p w14:paraId="42745F44" w14:textId="10AF852D" w:rsidR="00BE26C0" w:rsidRDefault="00BE26C0" w:rsidP="00BE26C0">
      <w:pPr>
        <w:rPr>
          <w:rStyle w:val="st"/>
          <w:i/>
        </w:rPr>
      </w:pPr>
      <w:r w:rsidRPr="00BE26C0">
        <w:rPr>
          <w:rFonts w:cs="Times New Roman"/>
          <w:i/>
        </w:rPr>
        <w:t xml:space="preserve">Abbreviations: CES-D:  Center for Epidemiologic Studies – Depression; WOMAC: </w:t>
      </w:r>
      <w:r w:rsidRPr="00BE26C0">
        <w:rPr>
          <w:rStyle w:val="st"/>
          <w:i/>
        </w:rPr>
        <w:t>Western Ontario and Mc Master University; PASE: Physical Activity Scale for Elderly; KOOS: Knee Injury and Osteoarthritis Outcome Score; QoL: quality of life; BMI: body mass index; MPI: Multidimensional Prognostic Index</w:t>
      </w:r>
      <w:r w:rsidRPr="00921F8B">
        <w:rPr>
          <w:rStyle w:val="st"/>
          <w:i/>
        </w:rPr>
        <w:t xml:space="preserve"> </w:t>
      </w:r>
    </w:p>
    <w:p w14:paraId="3894C380" w14:textId="419CAA3A" w:rsidR="00BE26C0" w:rsidRDefault="00BE26C0" w:rsidP="00BE26C0">
      <w:pPr>
        <w:rPr>
          <w:rStyle w:val="st"/>
          <w:i/>
        </w:rPr>
      </w:pPr>
    </w:p>
    <w:p w14:paraId="323B3EAD" w14:textId="1A0093B3" w:rsidR="00BE26C0" w:rsidRDefault="00BE26C0" w:rsidP="00BE26C0">
      <w:pPr>
        <w:rPr>
          <w:rStyle w:val="st"/>
          <w:i/>
        </w:rPr>
      </w:pPr>
    </w:p>
    <w:p w14:paraId="232EF692" w14:textId="62556F75" w:rsidR="00BE26C0" w:rsidRDefault="00BE26C0" w:rsidP="00BE26C0">
      <w:pPr>
        <w:rPr>
          <w:rStyle w:val="st"/>
          <w:i/>
        </w:rPr>
      </w:pPr>
    </w:p>
    <w:p w14:paraId="02A1CD19" w14:textId="21759C88" w:rsidR="00BE26C0" w:rsidRDefault="00BE26C0" w:rsidP="00BE26C0">
      <w:pPr>
        <w:rPr>
          <w:rStyle w:val="st"/>
          <w:i/>
        </w:rPr>
      </w:pPr>
    </w:p>
    <w:p w14:paraId="2A944467" w14:textId="77777777" w:rsidR="00BE26C0" w:rsidRPr="002337A4" w:rsidRDefault="00BE26C0" w:rsidP="00BE26C0">
      <w:pPr>
        <w:pStyle w:val="EndNoteBibliography"/>
        <w:spacing w:line="480" w:lineRule="auto"/>
        <w:jc w:val="both"/>
        <w:rPr>
          <w:rFonts w:asciiTheme="minorHAnsi" w:hAnsiTheme="minorHAnsi" w:cs="Times New Roman"/>
          <w:b/>
        </w:rPr>
      </w:pPr>
      <w:r w:rsidRPr="002337A4">
        <w:rPr>
          <w:rFonts w:asciiTheme="minorHAnsi" w:hAnsiTheme="minorHAnsi" w:cs="Times New Roman"/>
          <w:b/>
        </w:rPr>
        <w:lastRenderedPageBreak/>
        <w:t xml:space="preserve">Table </w:t>
      </w:r>
      <w:r>
        <w:rPr>
          <w:rFonts w:asciiTheme="minorHAnsi" w:hAnsiTheme="minorHAnsi" w:cs="Times New Roman"/>
          <w:b/>
        </w:rPr>
        <w:t>2</w:t>
      </w:r>
      <w:r w:rsidRPr="002337A4">
        <w:rPr>
          <w:rFonts w:asciiTheme="minorHAnsi" w:hAnsiTheme="minorHAnsi" w:cs="Times New Roman"/>
          <w:b/>
        </w:rPr>
        <w:t xml:space="preserve">. Descriptive statistics of patients’ characteristics according to </w:t>
      </w:r>
      <w:r>
        <w:rPr>
          <w:rFonts w:asciiTheme="minorHAnsi" w:hAnsiTheme="minorHAnsi" w:cs="Times New Roman"/>
          <w:b/>
        </w:rPr>
        <w:t>fall risk</w:t>
      </w:r>
      <w:r w:rsidRPr="002337A4">
        <w:rPr>
          <w:rFonts w:asciiTheme="minorHAnsi" w:hAnsiTheme="minorHAnsi" w:cs="Times New Roman"/>
          <w:b/>
        </w:rPr>
        <w:t>.</w:t>
      </w:r>
    </w:p>
    <w:tbl>
      <w:tblPr>
        <w:tblpPr w:leftFromText="141" w:rightFromText="141" w:vertAnchor="text" w:horzAnchor="margin" w:tblpXSpec="center" w:tblpY="109"/>
        <w:tblW w:w="11209" w:type="dxa"/>
        <w:tblLayout w:type="fixed"/>
        <w:tblLook w:val="04A0" w:firstRow="1" w:lastRow="0" w:firstColumn="1" w:lastColumn="0" w:noHBand="0" w:noVBand="1"/>
      </w:tblPr>
      <w:tblGrid>
        <w:gridCol w:w="2269"/>
        <w:gridCol w:w="1417"/>
        <w:gridCol w:w="2173"/>
        <w:gridCol w:w="2174"/>
        <w:gridCol w:w="2174"/>
        <w:gridCol w:w="1002"/>
      </w:tblGrid>
      <w:tr w:rsidR="00BE26C0" w:rsidRPr="002337A4" w14:paraId="6EE4106E" w14:textId="77777777" w:rsidTr="000978C5">
        <w:trPr>
          <w:trHeight w:val="397"/>
        </w:trPr>
        <w:tc>
          <w:tcPr>
            <w:tcW w:w="3686" w:type="dxa"/>
            <w:gridSpan w:val="2"/>
            <w:vMerge w:val="restart"/>
            <w:tcBorders>
              <w:top w:val="single" w:sz="18" w:space="0" w:color="auto"/>
              <w:left w:val="nil"/>
              <w:bottom w:val="single" w:sz="18" w:space="0" w:color="auto"/>
              <w:right w:val="single" w:sz="18" w:space="0" w:color="auto"/>
            </w:tcBorders>
          </w:tcPr>
          <w:p w14:paraId="1510E0A3" w14:textId="77777777" w:rsidR="00BE26C0" w:rsidRPr="002337A4" w:rsidRDefault="00BE26C0" w:rsidP="000978C5">
            <w:pPr>
              <w:rPr>
                <w:rFonts w:cs="Times New Roman"/>
                <w:b/>
              </w:rPr>
            </w:pPr>
          </w:p>
        </w:tc>
        <w:tc>
          <w:tcPr>
            <w:tcW w:w="6521" w:type="dxa"/>
            <w:gridSpan w:val="3"/>
            <w:tcBorders>
              <w:top w:val="single" w:sz="18" w:space="0" w:color="auto"/>
              <w:left w:val="single" w:sz="18" w:space="0" w:color="auto"/>
              <w:bottom w:val="single" w:sz="6" w:space="0" w:color="auto"/>
              <w:right w:val="single" w:sz="18" w:space="0" w:color="auto"/>
            </w:tcBorders>
            <w:vAlign w:val="center"/>
          </w:tcPr>
          <w:p w14:paraId="4386900D" w14:textId="77777777" w:rsidR="00BE26C0" w:rsidRPr="002337A4" w:rsidRDefault="00BE26C0" w:rsidP="000978C5">
            <w:pPr>
              <w:jc w:val="center"/>
              <w:rPr>
                <w:rFonts w:cs="Times New Roman"/>
                <w:b/>
              </w:rPr>
            </w:pPr>
            <w:r w:rsidRPr="002337A4">
              <w:rPr>
                <w:rFonts w:cs="Times New Roman"/>
                <w:b/>
              </w:rPr>
              <w:t>Recurrent fallers</w:t>
            </w:r>
          </w:p>
        </w:tc>
        <w:tc>
          <w:tcPr>
            <w:tcW w:w="1002" w:type="dxa"/>
            <w:vMerge w:val="restart"/>
            <w:tcBorders>
              <w:top w:val="single" w:sz="18" w:space="0" w:color="auto"/>
              <w:left w:val="single" w:sz="18" w:space="0" w:color="auto"/>
              <w:right w:val="nil"/>
            </w:tcBorders>
            <w:vAlign w:val="center"/>
          </w:tcPr>
          <w:p w14:paraId="1C511D77" w14:textId="77777777" w:rsidR="00BE26C0" w:rsidRPr="002337A4" w:rsidRDefault="00BE26C0" w:rsidP="000978C5">
            <w:pPr>
              <w:jc w:val="center"/>
              <w:rPr>
                <w:rFonts w:cs="Times New Roman"/>
                <w:b/>
              </w:rPr>
            </w:pPr>
            <w:r w:rsidRPr="002337A4">
              <w:rPr>
                <w:rFonts w:cs="Times New Roman"/>
                <w:b/>
              </w:rPr>
              <w:t>p-value</w:t>
            </w:r>
          </w:p>
        </w:tc>
      </w:tr>
      <w:tr w:rsidR="00BE26C0" w:rsidRPr="002337A4" w14:paraId="05952B61" w14:textId="77777777" w:rsidTr="000978C5">
        <w:trPr>
          <w:trHeight w:val="397"/>
        </w:trPr>
        <w:tc>
          <w:tcPr>
            <w:tcW w:w="3686" w:type="dxa"/>
            <w:gridSpan w:val="2"/>
            <w:vMerge/>
            <w:tcBorders>
              <w:left w:val="nil"/>
              <w:bottom w:val="single" w:sz="18" w:space="0" w:color="auto"/>
              <w:right w:val="single" w:sz="18" w:space="0" w:color="auto"/>
            </w:tcBorders>
            <w:vAlign w:val="center"/>
          </w:tcPr>
          <w:p w14:paraId="3E5740A0" w14:textId="77777777" w:rsidR="00BE26C0" w:rsidRPr="002337A4" w:rsidRDefault="00BE26C0" w:rsidP="000978C5">
            <w:pPr>
              <w:jc w:val="center"/>
              <w:rPr>
                <w:rFonts w:cs="Times New Roman"/>
              </w:rPr>
            </w:pPr>
          </w:p>
        </w:tc>
        <w:tc>
          <w:tcPr>
            <w:tcW w:w="2173" w:type="dxa"/>
            <w:tcBorders>
              <w:top w:val="single" w:sz="6" w:space="0" w:color="auto"/>
              <w:left w:val="single" w:sz="18" w:space="0" w:color="auto"/>
              <w:bottom w:val="single" w:sz="18" w:space="0" w:color="auto"/>
              <w:right w:val="single" w:sz="6" w:space="0" w:color="auto"/>
            </w:tcBorders>
            <w:vAlign w:val="center"/>
          </w:tcPr>
          <w:p w14:paraId="34570CEC" w14:textId="77777777" w:rsidR="00BE26C0" w:rsidRPr="002337A4" w:rsidRDefault="00BE26C0" w:rsidP="000978C5">
            <w:pPr>
              <w:jc w:val="center"/>
              <w:rPr>
                <w:rFonts w:cs="Times New Roman"/>
                <w:b/>
              </w:rPr>
            </w:pPr>
            <w:r w:rsidRPr="002337A4">
              <w:rPr>
                <w:rFonts w:cs="Times New Roman"/>
                <w:b/>
              </w:rPr>
              <w:t>Overall</w:t>
            </w:r>
          </w:p>
          <w:p w14:paraId="0A978890" w14:textId="77777777" w:rsidR="00BE26C0" w:rsidRPr="002337A4" w:rsidRDefault="00BE26C0" w:rsidP="000978C5">
            <w:pPr>
              <w:jc w:val="center"/>
              <w:rPr>
                <w:rFonts w:cs="Times New Roman"/>
                <w:b/>
              </w:rPr>
            </w:pPr>
            <w:r w:rsidRPr="002337A4">
              <w:rPr>
                <w:rFonts w:cs="Times New Roman"/>
                <w:b/>
              </w:rPr>
              <w:t>885 (100.0%)</w:t>
            </w:r>
          </w:p>
        </w:tc>
        <w:tc>
          <w:tcPr>
            <w:tcW w:w="2174" w:type="dxa"/>
            <w:tcBorders>
              <w:top w:val="single" w:sz="6" w:space="0" w:color="auto"/>
              <w:left w:val="single" w:sz="6" w:space="0" w:color="auto"/>
              <w:bottom w:val="single" w:sz="18" w:space="0" w:color="auto"/>
              <w:right w:val="single" w:sz="6" w:space="0" w:color="auto"/>
            </w:tcBorders>
            <w:vAlign w:val="center"/>
          </w:tcPr>
          <w:p w14:paraId="725EB315" w14:textId="77777777" w:rsidR="00BE26C0" w:rsidRPr="002337A4" w:rsidRDefault="00BE26C0" w:rsidP="000978C5">
            <w:pPr>
              <w:jc w:val="center"/>
              <w:rPr>
                <w:rFonts w:cs="Times New Roman"/>
                <w:b/>
              </w:rPr>
            </w:pPr>
            <w:r w:rsidRPr="002337A4">
              <w:rPr>
                <w:rFonts w:cs="Times New Roman"/>
                <w:b/>
              </w:rPr>
              <w:t>No</w:t>
            </w:r>
          </w:p>
          <w:p w14:paraId="3609245E" w14:textId="77777777" w:rsidR="00BE26C0" w:rsidRPr="002337A4" w:rsidRDefault="00BE26C0" w:rsidP="000978C5">
            <w:pPr>
              <w:jc w:val="center"/>
              <w:rPr>
                <w:rFonts w:cs="Times New Roman"/>
                <w:b/>
              </w:rPr>
            </w:pPr>
            <w:r w:rsidRPr="002337A4">
              <w:rPr>
                <w:rFonts w:cs="Times New Roman"/>
                <w:b/>
              </w:rPr>
              <w:t>662 (74.8%)</w:t>
            </w:r>
          </w:p>
        </w:tc>
        <w:tc>
          <w:tcPr>
            <w:tcW w:w="2174" w:type="dxa"/>
            <w:tcBorders>
              <w:top w:val="single" w:sz="6" w:space="0" w:color="auto"/>
              <w:left w:val="single" w:sz="6" w:space="0" w:color="auto"/>
              <w:bottom w:val="single" w:sz="18" w:space="0" w:color="auto"/>
              <w:right w:val="single" w:sz="18" w:space="0" w:color="auto"/>
            </w:tcBorders>
            <w:vAlign w:val="center"/>
          </w:tcPr>
          <w:p w14:paraId="17C4E7D1" w14:textId="77777777" w:rsidR="00BE26C0" w:rsidRPr="002337A4" w:rsidRDefault="00BE26C0" w:rsidP="000978C5">
            <w:pPr>
              <w:jc w:val="center"/>
              <w:rPr>
                <w:rFonts w:cs="Times New Roman"/>
                <w:b/>
              </w:rPr>
            </w:pPr>
            <w:r w:rsidRPr="002337A4">
              <w:rPr>
                <w:rFonts w:cs="Times New Roman"/>
                <w:b/>
              </w:rPr>
              <w:t>Yes</w:t>
            </w:r>
          </w:p>
          <w:p w14:paraId="77FE0335" w14:textId="77777777" w:rsidR="00BE26C0" w:rsidRPr="002337A4" w:rsidRDefault="00BE26C0" w:rsidP="000978C5">
            <w:pPr>
              <w:jc w:val="center"/>
              <w:rPr>
                <w:rFonts w:cs="Times New Roman"/>
                <w:b/>
              </w:rPr>
            </w:pPr>
            <w:r w:rsidRPr="002337A4">
              <w:rPr>
                <w:rFonts w:cs="Times New Roman"/>
                <w:b/>
              </w:rPr>
              <w:t>223 (25.2%)</w:t>
            </w:r>
          </w:p>
        </w:tc>
        <w:tc>
          <w:tcPr>
            <w:tcW w:w="1002" w:type="dxa"/>
            <w:vMerge/>
            <w:tcBorders>
              <w:left w:val="single" w:sz="18" w:space="0" w:color="auto"/>
              <w:bottom w:val="single" w:sz="18" w:space="0" w:color="auto"/>
              <w:right w:val="nil"/>
            </w:tcBorders>
            <w:vAlign w:val="center"/>
          </w:tcPr>
          <w:p w14:paraId="66CDF0A1" w14:textId="77777777" w:rsidR="00BE26C0" w:rsidRPr="002337A4" w:rsidRDefault="00BE26C0" w:rsidP="000978C5">
            <w:pPr>
              <w:jc w:val="center"/>
              <w:rPr>
                <w:rFonts w:cs="Times New Roman"/>
              </w:rPr>
            </w:pPr>
          </w:p>
        </w:tc>
      </w:tr>
      <w:tr w:rsidR="00BE26C0" w:rsidRPr="002337A4" w14:paraId="7E5E711B" w14:textId="77777777" w:rsidTr="000978C5">
        <w:trPr>
          <w:trHeight w:val="397"/>
        </w:trPr>
        <w:tc>
          <w:tcPr>
            <w:tcW w:w="2269" w:type="dxa"/>
            <w:vMerge w:val="restart"/>
            <w:tcBorders>
              <w:top w:val="single" w:sz="18" w:space="0" w:color="auto"/>
              <w:left w:val="nil"/>
              <w:right w:val="nil"/>
            </w:tcBorders>
            <w:vAlign w:val="center"/>
          </w:tcPr>
          <w:p w14:paraId="46ADE860" w14:textId="77777777" w:rsidR="00BE26C0" w:rsidRPr="002337A4" w:rsidRDefault="00BE26C0" w:rsidP="000978C5">
            <w:pPr>
              <w:rPr>
                <w:rFonts w:cs="Times New Roman"/>
                <w:b/>
              </w:rPr>
            </w:pPr>
            <w:r w:rsidRPr="002337A4">
              <w:rPr>
                <w:rFonts w:cs="Times New Roman"/>
                <w:b/>
              </w:rPr>
              <w:t xml:space="preserve">Sex, </w:t>
            </w:r>
            <w:r w:rsidRPr="002337A4">
              <w:rPr>
                <w:rFonts w:cs="Times New Roman"/>
                <w:i/>
              </w:rPr>
              <w:t>n(%)</w:t>
            </w:r>
          </w:p>
        </w:tc>
        <w:tc>
          <w:tcPr>
            <w:tcW w:w="1417" w:type="dxa"/>
            <w:tcBorders>
              <w:top w:val="single" w:sz="18" w:space="0" w:color="auto"/>
              <w:left w:val="nil"/>
              <w:bottom w:val="nil"/>
              <w:right w:val="single" w:sz="18" w:space="0" w:color="auto"/>
            </w:tcBorders>
            <w:vAlign w:val="center"/>
          </w:tcPr>
          <w:p w14:paraId="18B8974D" w14:textId="77777777" w:rsidR="00BE26C0" w:rsidRPr="002337A4" w:rsidRDefault="00BE26C0" w:rsidP="000978C5">
            <w:pPr>
              <w:jc w:val="center"/>
              <w:rPr>
                <w:rFonts w:cs="Times New Roman"/>
              </w:rPr>
            </w:pPr>
            <w:r w:rsidRPr="002337A4">
              <w:rPr>
                <w:rFonts w:cs="Times New Roman"/>
              </w:rPr>
              <w:t>F</w:t>
            </w:r>
          </w:p>
        </w:tc>
        <w:tc>
          <w:tcPr>
            <w:tcW w:w="2173" w:type="dxa"/>
            <w:tcBorders>
              <w:top w:val="single" w:sz="18" w:space="0" w:color="auto"/>
              <w:left w:val="single" w:sz="18" w:space="0" w:color="auto"/>
              <w:bottom w:val="nil"/>
              <w:right w:val="single" w:sz="6" w:space="0" w:color="auto"/>
            </w:tcBorders>
            <w:vAlign w:val="center"/>
          </w:tcPr>
          <w:p w14:paraId="7C911213" w14:textId="77777777" w:rsidR="00BE26C0" w:rsidRPr="002337A4" w:rsidRDefault="00BE26C0" w:rsidP="000978C5">
            <w:pPr>
              <w:jc w:val="center"/>
              <w:rPr>
                <w:rFonts w:cs="Times New Roman"/>
              </w:rPr>
            </w:pPr>
            <w:r w:rsidRPr="002337A4">
              <w:rPr>
                <w:rFonts w:cs="Times New Roman"/>
              </w:rPr>
              <w:t>483 (54.6)</w:t>
            </w:r>
          </w:p>
        </w:tc>
        <w:tc>
          <w:tcPr>
            <w:tcW w:w="2174" w:type="dxa"/>
            <w:tcBorders>
              <w:top w:val="single" w:sz="18" w:space="0" w:color="auto"/>
              <w:left w:val="single" w:sz="6" w:space="0" w:color="auto"/>
              <w:bottom w:val="nil"/>
              <w:right w:val="single" w:sz="6" w:space="0" w:color="auto"/>
            </w:tcBorders>
            <w:vAlign w:val="center"/>
          </w:tcPr>
          <w:p w14:paraId="646F7071" w14:textId="77777777" w:rsidR="00BE26C0" w:rsidRPr="002337A4" w:rsidRDefault="00BE26C0" w:rsidP="000978C5">
            <w:pPr>
              <w:jc w:val="center"/>
              <w:rPr>
                <w:rFonts w:cs="Times New Roman"/>
              </w:rPr>
            </w:pPr>
            <w:r w:rsidRPr="002337A4">
              <w:rPr>
                <w:rFonts w:cs="Times New Roman"/>
              </w:rPr>
              <w:t>363 (</w:t>
            </w:r>
            <w:r>
              <w:rPr>
                <w:rFonts w:cs="Times New Roman"/>
              </w:rPr>
              <w:t>54.8</w:t>
            </w:r>
            <w:r w:rsidRPr="002337A4">
              <w:rPr>
                <w:rFonts w:cs="Times New Roman"/>
              </w:rPr>
              <w:t>)</w:t>
            </w:r>
          </w:p>
        </w:tc>
        <w:tc>
          <w:tcPr>
            <w:tcW w:w="2174" w:type="dxa"/>
            <w:tcBorders>
              <w:top w:val="single" w:sz="18" w:space="0" w:color="auto"/>
              <w:left w:val="single" w:sz="6" w:space="0" w:color="auto"/>
              <w:bottom w:val="nil"/>
              <w:right w:val="single" w:sz="18" w:space="0" w:color="auto"/>
            </w:tcBorders>
            <w:vAlign w:val="center"/>
          </w:tcPr>
          <w:p w14:paraId="22397D8A" w14:textId="77777777" w:rsidR="00BE26C0" w:rsidRPr="002337A4" w:rsidRDefault="00BE26C0" w:rsidP="000978C5">
            <w:pPr>
              <w:jc w:val="center"/>
              <w:rPr>
                <w:rFonts w:cs="Times New Roman"/>
              </w:rPr>
            </w:pPr>
            <w:r w:rsidRPr="002337A4">
              <w:rPr>
                <w:rFonts w:cs="Times New Roman"/>
              </w:rPr>
              <w:t>120 (</w:t>
            </w:r>
            <w:r>
              <w:rPr>
                <w:rFonts w:cs="Times New Roman"/>
              </w:rPr>
              <w:t>53</w:t>
            </w:r>
            <w:r w:rsidRPr="002337A4">
              <w:rPr>
                <w:rFonts w:cs="Times New Roman"/>
              </w:rPr>
              <w:t>.8)</w:t>
            </w:r>
          </w:p>
        </w:tc>
        <w:tc>
          <w:tcPr>
            <w:tcW w:w="1002" w:type="dxa"/>
            <w:vMerge w:val="restart"/>
            <w:tcBorders>
              <w:top w:val="single" w:sz="18" w:space="0" w:color="auto"/>
              <w:left w:val="single" w:sz="18" w:space="0" w:color="auto"/>
              <w:right w:val="nil"/>
            </w:tcBorders>
            <w:vAlign w:val="center"/>
          </w:tcPr>
          <w:p w14:paraId="1291CC7C" w14:textId="77777777" w:rsidR="00BE26C0" w:rsidRPr="002337A4" w:rsidRDefault="00BE26C0" w:rsidP="000978C5">
            <w:pPr>
              <w:jc w:val="center"/>
              <w:rPr>
                <w:rFonts w:cs="Times New Roman"/>
              </w:rPr>
            </w:pPr>
            <w:r w:rsidRPr="002337A4">
              <w:rPr>
                <w:rFonts w:cs="Times New Roman"/>
              </w:rPr>
              <w:t>0.816</w:t>
            </w:r>
          </w:p>
        </w:tc>
      </w:tr>
      <w:tr w:rsidR="00BE26C0" w:rsidRPr="002337A4" w14:paraId="64C9C74A" w14:textId="77777777" w:rsidTr="000978C5">
        <w:trPr>
          <w:trHeight w:val="397"/>
        </w:trPr>
        <w:tc>
          <w:tcPr>
            <w:tcW w:w="2269" w:type="dxa"/>
            <w:vMerge/>
            <w:tcBorders>
              <w:left w:val="nil"/>
              <w:bottom w:val="single" w:sz="6" w:space="0" w:color="auto"/>
              <w:right w:val="nil"/>
            </w:tcBorders>
            <w:vAlign w:val="center"/>
          </w:tcPr>
          <w:p w14:paraId="082624A1"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3A57E5DE" w14:textId="77777777" w:rsidR="00BE26C0" w:rsidRPr="002337A4" w:rsidRDefault="00BE26C0" w:rsidP="000978C5">
            <w:pPr>
              <w:jc w:val="center"/>
              <w:rPr>
                <w:rFonts w:cs="Times New Roman"/>
              </w:rPr>
            </w:pPr>
            <w:r w:rsidRPr="002337A4">
              <w:rPr>
                <w:rFonts w:cs="Times New Roman"/>
              </w:rPr>
              <w:t>M</w:t>
            </w:r>
          </w:p>
        </w:tc>
        <w:tc>
          <w:tcPr>
            <w:tcW w:w="2173" w:type="dxa"/>
            <w:tcBorders>
              <w:top w:val="nil"/>
              <w:left w:val="single" w:sz="18" w:space="0" w:color="auto"/>
              <w:bottom w:val="single" w:sz="6" w:space="0" w:color="auto"/>
              <w:right w:val="single" w:sz="6" w:space="0" w:color="auto"/>
            </w:tcBorders>
            <w:vAlign w:val="center"/>
          </w:tcPr>
          <w:p w14:paraId="591A4406" w14:textId="77777777" w:rsidR="00BE26C0" w:rsidRPr="002337A4" w:rsidRDefault="00BE26C0" w:rsidP="000978C5">
            <w:pPr>
              <w:jc w:val="center"/>
              <w:rPr>
                <w:rFonts w:cs="Times New Roman"/>
              </w:rPr>
            </w:pPr>
            <w:r w:rsidRPr="002337A4">
              <w:rPr>
                <w:rFonts w:cs="Times New Roman"/>
              </w:rPr>
              <w:t>402 (45.4)</w:t>
            </w:r>
          </w:p>
        </w:tc>
        <w:tc>
          <w:tcPr>
            <w:tcW w:w="2174" w:type="dxa"/>
            <w:tcBorders>
              <w:top w:val="nil"/>
              <w:left w:val="single" w:sz="6" w:space="0" w:color="auto"/>
              <w:bottom w:val="single" w:sz="6" w:space="0" w:color="auto"/>
              <w:right w:val="single" w:sz="6" w:space="0" w:color="auto"/>
            </w:tcBorders>
            <w:vAlign w:val="center"/>
          </w:tcPr>
          <w:p w14:paraId="5FB073DE" w14:textId="77777777" w:rsidR="00BE26C0" w:rsidRPr="002337A4" w:rsidRDefault="00BE26C0" w:rsidP="000978C5">
            <w:pPr>
              <w:jc w:val="center"/>
              <w:rPr>
                <w:rFonts w:cs="Times New Roman"/>
              </w:rPr>
            </w:pPr>
            <w:r w:rsidRPr="002337A4">
              <w:rPr>
                <w:rFonts w:cs="Times New Roman"/>
              </w:rPr>
              <w:t>299 (</w:t>
            </w:r>
            <w:r>
              <w:rPr>
                <w:rFonts w:cs="Times New Roman"/>
              </w:rPr>
              <w:t>45.2</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0F59F5C0" w14:textId="77777777" w:rsidR="00BE26C0" w:rsidRPr="002337A4" w:rsidRDefault="00BE26C0" w:rsidP="000978C5">
            <w:pPr>
              <w:jc w:val="center"/>
              <w:rPr>
                <w:rFonts w:cs="Times New Roman"/>
              </w:rPr>
            </w:pPr>
            <w:r w:rsidRPr="002337A4">
              <w:rPr>
                <w:rFonts w:cs="Times New Roman"/>
              </w:rPr>
              <w:t>103 (</w:t>
            </w:r>
            <w:r>
              <w:rPr>
                <w:rFonts w:cs="Times New Roman"/>
              </w:rPr>
              <w:t>46</w:t>
            </w:r>
            <w:r w:rsidRPr="002337A4">
              <w:rPr>
                <w:rFonts w:cs="Times New Roman"/>
              </w:rPr>
              <w:t>.</w:t>
            </w:r>
            <w:r>
              <w:rPr>
                <w:rFonts w:cs="Times New Roman"/>
              </w:rPr>
              <w:t>2</w:t>
            </w:r>
            <w:r w:rsidRPr="002337A4">
              <w:rPr>
                <w:rFonts w:cs="Times New Roman"/>
              </w:rPr>
              <w:t>)</w:t>
            </w:r>
          </w:p>
        </w:tc>
        <w:tc>
          <w:tcPr>
            <w:tcW w:w="1002" w:type="dxa"/>
            <w:vMerge/>
            <w:tcBorders>
              <w:left w:val="single" w:sz="18" w:space="0" w:color="auto"/>
              <w:bottom w:val="single" w:sz="6" w:space="0" w:color="auto"/>
              <w:right w:val="nil"/>
            </w:tcBorders>
            <w:vAlign w:val="center"/>
          </w:tcPr>
          <w:p w14:paraId="09358206" w14:textId="77777777" w:rsidR="00BE26C0" w:rsidRPr="002337A4" w:rsidRDefault="00BE26C0" w:rsidP="000978C5">
            <w:pPr>
              <w:jc w:val="center"/>
              <w:rPr>
                <w:rFonts w:cs="Times New Roman"/>
              </w:rPr>
            </w:pPr>
          </w:p>
        </w:tc>
      </w:tr>
      <w:tr w:rsidR="00BE26C0" w:rsidRPr="002337A4" w14:paraId="01695A2C" w14:textId="77777777" w:rsidTr="000978C5">
        <w:trPr>
          <w:trHeight w:val="397"/>
        </w:trPr>
        <w:tc>
          <w:tcPr>
            <w:tcW w:w="3686" w:type="dxa"/>
            <w:gridSpan w:val="2"/>
            <w:tcBorders>
              <w:top w:val="single" w:sz="6" w:space="0" w:color="auto"/>
              <w:left w:val="nil"/>
              <w:bottom w:val="single" w:sz="6" w:space="0" w:color="auto"/>
              <w:right w:val="single" w:sz="18" w:space="0" w:color="auto"/>
            </w:tcBorders>
            <w:vAlign w:val="center"/>
          </w:tcPr>
          <w:p w14:paraId="2BEF5B0B" w14:textId="77777777" w:rsidR="00BE26C0" w:rsidRPr="002337A4" w:rsidRDefault="00BE26C0" w:rsidP="000978C5">
            <w:pPr>
              <w:rPr>
                <w:rFonts w:cs="Times New Roman"/>
              </w:rPr>
            </w:pPr>
            <w:r w:rsidRPr="002337A4">
              <w:rPr>
                <w:rFonts w:cs="Times New Roman"/>
                <w:b/>
              </w:rPr>
              <w:t xml:space="preserve">Age, </w:t>
            </w:r>
            <w:r w:rsidRPr="002337A4">
              <w:rPr>
                <w:rFonts w:cs="Times New Roman"/>
                <w:i/>
              </w:rPr>
              <w:t>mean(</w:t>
            </w:r>
            <w:proofErr w:type="spellStart"/>
            <w:r w:rsidRPr="002337A4">
              <w:rPr>
                <w:rFonts w:cs="Times New Roman"/>
                <w:i/>
              </w:rPr>
              <w:t>sd</w:t>
            </w:r>
            <w:proofErr w:type="spellEnd"/>
            <w:r w:rsidRPr="002337A4">
              <w:rPr>
                <w:rFonts w:cs="Times New Roman"/>
                <w:i/>
              </w:rPr>
              <w:t>)</w:t>
            </w:r>
          </w:p>
        </w:tc>
        <w:tc>
          <w:tcPr>
            <w:tcW w:w="2173" w:type="dxa"/>
            <w:tcBorders>
              <w:top w:val="single" w:sz="6" w:space="0" w:color="auto"/>
              <w:left w:val="single" w:sz="18" w:space="0" w:color="auto"/>
              <w:bottom w:val="single" w:sz="6" w:space="0" w:color="auto"/>
              <w:right w:val="single" w:sz="6" w:space="0" w:color="auto"/>
            </w:tcBorders>
            <w:vAlign w:val="center"/>
          </w:tcPr>
          <w:p w14:paraId="188483D3" w14:textId="77777777" w:rsidR="00BE26C0" w:rsidRPr="002337A4" w:rsidRDefault="00BE26C0" w:rsidP="000978C5">
            <w:pPr>
              <w:jc w:val="center"/>
              <w:rPr>
                <w:rFonts w:cs="Times New Roman"/>
              </w:rPr>
            </w:pPr>
            <w:r w:rsidRPr="002337A4">
              <w:rPr>
                <w:rFonts w:cs="Times New Roman"/>
              </w:rPr>
              <w:t>71.3 (4.0)</w:t>
            </w:r>
          </w:p>
        </w:tc>
        <w:tc>
          <w:tcPr>
            <w:tcW w:w="2174" w:type="dxa"/>
            <w:tcBorders>
              <w:top w:val="single" w:sz="6" w:space="0" w:color="auto"/>
              <w:left w:val="single" w:sz="6" w:space="0" w:color="auto"/>
              <w:bottom w:val="single" w:sz="6" w:space="0" w:color="auto"/>
              <w:right w:val="single" w:sz="6" w:space="0" w:color="auto"/>
            </w:tcBorders>
            <w:vAlign w:val="center"/>
          </w:tcPr>
          <w:p w14:paraId="2EC1EC6D" w14:textId="77777777" w:rsidR="00BE26C0" w:rsidRPr="002337A4" w:rsidRDefault="00BE26C0" w:rsidP="000978C5">
            <w:pPr>
              <w:jc w:val="center"/>
              <w:rPr>
                <w:rFonts w:cs="Times New Roman"/>
              </w:rPr>
            </w:pPr>
            <w:r w:rsidRPr="002337A4">
              <w:rPr>
                <w:rFonts w:cs="Times New Roman"/>
              </w:rPr>
              <w:t>71.3 (4.0)</w:t>
            </w:r>
          </w:p>
        </w:tc>
        <w:tc>
          <w:tcPr>
            <w:tcW w:w="2174" w:type="dxa"/>
            <w:tcBorders>
              <w:top w:val="single" w:sz="6" w:space="0" w:color="auto"/>
              <w:left w:val="single" w:sz="6" w:space="0" w:color="auto"/>
              <w:bottom w:val="single" w:sz="4" w:space="0" w:color="auto"/>
              <w:right w:val="single" w:sz="18" w:space="0" w:color="auto"/>
            </w:tcBorders>
            <w:vAlign w:val="center"/>
          </w:tcPr>
          <w:p w14:paraId="6097E2F8" w14:textId="77777777" w:rsidR="00BE26C0" w:rsidRPr="002337A4" w:rsidRDefault="00BE26C0" w:rsidP="000978C5">
            <w:pPr>
              <w:jc w:val="center"/>
              <w:rPr>
                <w:rFonts w:cs="Times New Roman"/>
              </w:rPr>
            </w:pPr>
            <w:r w:rsidRPr="002337A4">
              <w:rPr>
                <w:rFonts w:cs="Times New Roman"/>
              </w:rPr>
              <w:t>71.5 (3.9)</w:t>
            </w:r>
          </w:p>
        </w:tc>
        <w:tc>
          <w:tcPr>
            <w:tcW w:w="1002" w:type="dxa"/>
            <w:tcBorders>
              <w:top w:val="single" w:sz="6" w:space="0" w:color="auto"/>
              <w:left w:val="single" w:sz="18" w:space="0" w:color="auto"/>
              <w:bottom w:val="single" w:sz="4" w:space="0" w:color="auto"/>
              <w:right w:val="nil"/>
            </w:tcBorders>
            <w:vAlign w:val="center"/>
          </w:tcPr>
          <w:p w14:paraId="3DEB27F9" w14:textId="77777777" w:rsidR="00BE26C0" w:rsidRPr="002337A4" w:rsidRDefault="00BE26C0" w:rsidP="000978C5">
            <w:pPr>
              <w:jc w:val="center"/>
              <w:rPr>
                <w:rFonts w:cs="Times New Roman"/>
              </w:rPr>
            </w:pPr>
            <w:r w:rsidRPr="002337A4">
              <w:rPr>
                <w:rFonts w:cs="Times New Roman"/>
              </w:rPr>
              <w:t>0.458</w:t>
            </w:r>
          </w:p>
        </w:tc>
      </w:tr>
      <w:tr w:rsidR="00BE26C0" w:rsidRPr="002337A4" w14:paraId="50024019" w14:textId="77777777" w:rsidTr="000978C5">
        <w:trPr>
          <w:trHeight w:val="397"/>
        </w:trPr>
        <w:tc>
          <w:tcPr>
            <w:tcW w:w="2269" w:type="dxa"/>
            <w:vMerge w:val="restart"/>
            <w:tcBorders>
              <w:top w:val="single" w:sz="6" w:space="0" w:color="auto"/>
              <w:left w:val="nil"/>
              <w:bottom w:val="nil"/>
              <w:right w:val="nil"/>
            </w:tcBorders>
            <w:vAlign w:val="center"/>
          </w:tcPr>
          <w:p w14:paraId="41B4EDE0" w14:textId="77777777" w:rsidR="00BE26C0" w:rsidRPr="002337A4" w:rsidRDefault="00BE26C0" w:rsidP="000978C5">
            <w:pPr>
              <w:rPr>
                <w:rFonts w:cs="Times New Roman"/>
                <w:i/>
              </w:rPr>
            </w:pPr>
            <w:r w:rsidRPr="002337A4">
              <w:rPr>
                <w:rFonts w:cs="Times New Roman"/>
                <w:b/>
              </w:rPr>
              <w:t xml:space="preserve">Living alone, </w:t>
            </w:r>
            <w:r w:rsidRPr="002337A4">
              <w:rPr>
                <w:rFonts w:cs="Times New Roman"/>
                <w:i/>
              </w:rPr>
              <w:t>n(%)</w:t>
            </w:r>
          </w:p>
        </w:tc>
        <w:tc>
          <w:tcPr>
            <w:tcW w:w="1417" w:type="dxa"/>
            <w:tcBorders>
              <w:top w:val="single" w:sz="6" w:space="0" w:color="auto"/>
              <w:left w:val="nil"/>
              <w:bottom w:val="nil"/>
              <w:right w:val="single" w:sz="18" w:space="0" w:color="auto"/>
            </w:tcBorders>
            <w:vAlign w:val="center"/>
          </w:tcPr>
          <w:p w14:paraId="55168470" w14:textId="77777777" w:rsidR="00BE26C0" w:rsidRPr="002337A4" w:rsidRDefault="00BE26C0" w:rsidP="000978C5">
            <w:pPr>
              <w:jc w:val="center"/>
              <w:rPr>
                <w:rFonts w:cs="Times New Roman"/>
              </w:rPr>
            </w:pPr>
            <w:r w:rsidRPr="002337A4">
              <w:rPr>
                <w:rFonts w:cs="Times New Roman"/>
              </w:rPr>
              <w:t>No</w:t>
            </w:r>
          </w:p>
        </w:tc>
        <w:tc>
          <w:tcPr>
            <w:tcW w:w="2173" w:type="dxa"/>
            <w:tcBorders>
              <w:top w:val="single" w:sz="6" w:space="0" w:color="auto"/>
              <w:left w:val="single" w:sz="18" w:space="0" w:color="auto"/>
              <w:bottom w:val="nil"/>
              <w:right w:val="single" w:sz="6" w:space="0" w:color="auto"/>
            </w:tcBorders>
            <w:vAlign w:val="center"/>
          </w:tcPr>
          <w:p w14:paraId="5BE3AEBA" w14:textId="77777777" w:rsidR="00BE26C0" w:rsidRPr="002337A4" w:rsidRDefault="00BE26C0" w:rsidP="000978C5">
            <w:pPr>
              <w:jc w:val="center"/>
              <w:rPr>
                <w:rFonts w:cs="Times New Roman"/>
              </w:rPr>
            </w:pPr>
            <w:r w:rsidRPr="002337A4">
              <w:rPr>
                <w:rFonts w:cs="Times New Roman"/>
              </w:rPr>
              <w:t>674 (76.2)</w:t>
            </w:r>
          </w:p>
        </w:tc>
        <w:tc>
          <w:tcPr>
            <w:tcW w:w="2174" w:type="dxa"/>
            <w:tcBorders>
              <w:top w:val="single" w:sz="6" w:space="0" w:color="auto"/>
              <w:left w:val="single" w:sz="6" w:space="0" w:color="auto"/>
              <w:bottom w:val="nil"/>
              <w:right w:val="single" w:sz="6" w:space="0" w:color="auto"/>
            </w:tcBorders>
            <w:vAlign w:val="center"/>
          </w:tcPr>
          <w:p w14:paraId="48B300F1" w14:textId="77777777" w:rsidR="00BE26C0" w:rsidRPr="002337A4" w:rsidRDefault="00BE26C0" w:rsidP="000978C5">
            <w:pPr>
              <w:jc w:val="center"/>
              <w:rPr>
                <w:rFonts w:cs="Times New Roman"/>
              </w:rPr>
            </w:pPr>
            <w:r w:rsidRPr="002337A4">
              <w:rPr>
                <w:rFonts w:cs="Times New Roman"/>
              </w:rPr>
              <w:t>512 (7</w:t>
            </w:r>
            <w:r>
              <w:rPr>
                <w:rFonts w:cs="Times New Roman"/>
              </w:rPr>
              <w:t>7</w:t>
            </w:r>
            <w:r w:rsidRPr="002337A4">
              <w:rPr>
                <w:rFonts w:cs="Times New Roman"/>
              </w:rPr>
              <w:t>.</w:t>
            </w:r>
            <w:r>
              <w:rPr>
                <w:rFonts w:cs="Times New Roman"/>
              </w:rPr>
              <w:t>3</w:t>
            </w:r>
            <w:r w:rsidRPr="002337A4">
              <w:rPr>
                <w:rFonts w:cs="Times New Roman"/>
              </w:rPr>
              <w:t>)</w:t>
            </w:r>
          </w:p>
        </w:tc>
        <w:tc>
          <w:tcPr>
            <w:tcW w:w="2174" w:type="dxa"/>
            <w:tcBorders>
              <w:top w:val="single" w:sz="6" w:space="0" w:color="auto"/>
              <w:left w:val="single" w:sz="6" w:space="0" w:color="auto"/>
              <w:bottom w:val="nil"/>
              <w:right w:val="single" w:sz="18" w:space="0" w:color="auto"/>
            </w:tcBorders>
            <w:vAlign w:val="center"/>
          </w:tcPr>
          <w:p w14:paraId="1638028F" w14:textId="77777777" w:rsidR="00BE26C0" w:rsidRPr="002337A4" w:rsidRDefault="00BE26C0" w:rsidP="000978C5">
            <w:pPr>
              <w:jc w:val="center"/>
              <w:rPr>
                <w:rFonts w:cs="Times New Roman"/>
              </w:rPr>
            </w:pPr>
            <w:r w:rsidRPr="002337A4">
              <w:rPr>
                <w:rFonts w:cs="Times New Roman"/>
              </w:rPr>
              <w:t>162 (</w:t>
            </w:r>
            <w:r>
              <w:rPr>
                <w:rFonts w:cs="Times New Roman"/>
              </w:rPr>
              <w:t>72.6</w:t>
            </w:r>
            <w:r w:rsidRPr="002337A4">
              <w:rPr>
                <w:rFonts w:cs="Times New Roman"/>
              </w:rPr>
              <w:t>)</w:t>
            </w:r>
          </w:p>
        </w:tc>
        <w:tc>
          <w:tcPr>
            <w:tcW w:w="1002" w:type="dxa"/>
            <w:vMerge w:val="restart"/>
            <w:tcBorders>
              <w:top w:val="single" w:sz="4" w:space="0" w:color="auto"/>
              <w:left w:val="single" w:sz="18" w:space="0" w:color="auto"/>
              <w:right w:val="nil"/>
            </w:tcBorders>
            <w:vAlign w:val="center"/>
          </w:tcPr>
          <w:p w14:paraId="7DC6D5BA" w14:textId="77777777" w:rsidR="00BE26C0" w:rsidRPr="002337A4" w:rsidRDefault="00BE26C0" w:rsidP="000978C5">
            <w:pPr>
              <w:jc w:val="center"/>
              <w:rPr>
                <w:rFonts w:cs="Times New Roman"/>
              </w:rPr>
            </w:pPr>
            <w:r w:rsidRPr="002337A4">
              <w:rPr>
                <w:rFonts w:cs="Times New Roman"/>
              </w:rPr>
              <w:t>0.173</w:t>
            </w:r>
          </w:p>
        </w:tc>
      </w:tr>
      <w:tr w:rsidR="00BE26C0" w:rsidRPr="002337A4" w14:paraId="41FB1ABD" w14:textId="77777777" w:rsidTr="000978C5">
        <w:trPr>
          <w:trHeight w:val="397"/>
        </w:trPr>
        <w:tc>
          <w:tcPr>
            <w:tcW w:w="2269" w:type="dxa"/>
            <w:vMerge/>
            <w:tcBorders>
              <w:top w:val="nil"/>
              <w:left w:val="nil"/>
              <w:bottom w:val="single" w:sz="6" w:space="0" w:color="auto"/>
              <w:right w:val="nil"/>
            </w:tcBorders>
            <w:vAlign w:val="center"/>
          </w:tcPr>
          <w:p w14:paraId="0161DEEB"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22B19D10" w14:textId="77777777" w:rsidR="00BE26C0" w:rsidRPr="002337A4" w:rsidRDefault="00BE26C0" w:rsidP="000978C5">
            <w:pPr>
              <w:jc w:val="center"/>
              <w:rPr>
                <w:rFonts w:cs="Times New Roman"/>
              </w:rPr>
            </w:pPr>
            <w:r w:rsidRPr="002337A4">
              <w:rPr>
                <w:rFonts w:cs="Times New Roman"/>
              </w:rPr>
              <w:t>Yes</w:t>
            </w:r>
          </w:p>
        </w:tc>
        <w:tc>
          <w:tcPr>
            <w:tcW w:w="2173" w:type="dxa"/>
            <w:tcBorders>
              <w:top w:val="nil"/>
              <w:left w:val="single" w:sz="18" w:space="0" w:color="auto"/>
              <w:bottom w:val="single" w:sz="6" w:space="0" w:color="auto"/>
              <w:right w:val="single" w:sz="6" w:space="0" w:color="auto"/>
            </w:tcBorders>
            <w:vAlign w:val="center"/>
          </w:tcPr>
          <w:p w14:paraId="12E3316E" w14:textId="77777777" w:rsidR="00BE26C0" w:rsidRPr="002337A4" w:rsidRDefault="00BE26C0" w:rsidP="000978C5">
            <w:pPr>
              <w:jc w:val="center"/>
              <w:rPr>
                <w:rFonts w:cs="Times New Roman"/>
              </w:rPr>
            </w:pPr>
            <w:r w:rsidRPr="002337A4">
              <w:rPr>
                <w:rFonts w:cs="Times New Roman"/>
              </w:rPr>
              <w:t>211 (23.8)</w:t>
            </w:r>
          </w:p>
        </w:tc>
        <w:tc>
          <w:tcPr>
            <w:tcW w:w="2174" w:type="dxa"/>
            <w:tcBorders>
              <w:top w:val="nil"/>
              <w:left w:val="single" w:sz="6" w:space="0" w:color="auto"/>
              <w:bottom w:val="single" w:sz="6" w:space="0" w:color="auto"/>
              <w:right w:val="single" w:sz="6" w:space="0" w:color="auto"/>
            </w:tcBorders>
            <w:vAlign w:val="center"/>
          </w:tcPr>
          <w:p w14:paraId="30EBF3EF" w14:textId="77777777" w:rsidR="00BE26C0" w:rsidRPr="002337A4" w:rsidRDefault="00BE26C0" w:rsidP="000978C5">
            <w:pPr>
              <w:jc w:val="center"/>
              <w:rPr>
                <w:rFonts w:cs="Times New Roman"/>
              </w:rPr>
            </w:pPr>
            <w:r w:rsidRPr="002337A4">
              <w:rPr>
                <w:rFonts w:cs="Times New Roman"/>
              </w:rPr>
              <w:t>150 (</w:t>
            </w:r>
            <w:r>
              <w:rPr>
                <w:rFonts w:cs="Times New Roman"/>
              </w:rPr>
              <w:t>22.7</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66F9E509" w14:textId="77777777" w:rsidR="00BE26C0" w:rsidRPr="002337A4" w:rsidRDefault="00BE26C0" w:rsidP="000978C5">
            <w:pPr>
              <w:jc w:val="center"/>
              <w:rPr>
                <w:rFonts w:cs="Times New Roman"/>
              </w:rPr>
            </w:pPr>
            <w:r w:rsidRPr="002337A4">
              <w:rPr>
                <w:rFonts w:cs="Times New Roman"/>
              </w:rPr>
              <w:t>61 (2</w:t>
            </w:r>
            <w:r>
              <w:rPr>
                <w:rFonts w:cs="Times New Roman"/>
              </w:rPr>
              <w:t>7.4</w:t>
            </w:r>
            <w:r w:rsidRPr="002337A4">
              <w:rPr>
                <w:rFonts w:cs="Times New Roman"/>
              </w:rPr>
              <w:t>)</w:t>
            </w:r>
          </w:p>
        </w:tc>
        <w:tc>
          <w:tcPr>
            <w:tcW w:w="1002" w:type="dxa"/>
            <w:vMerge/>
            <w:tcBorders>
              <w:left w:val="single" w:sz="18" w:space="0" w:color="auto"/>
              <w:bottom w:val="nil"/>
              <w:right w:val="nil"/>
            </w:tcBorders>
            <w:vAlign w:val="center"/>
          </w:tcPr>
          <w:p w14:paraId="1BD47E39" w14:textId="77777777" w:rsidR="00BE26C0" w:rsidRPr="002337A4" w:rsidRDefault="00BE26C0" w:rsidP="000978C5">
            <w:pPr>
              <w:jc w:val="center"/>
              <w:rPr>
                <w:rFonts w:cs="Times New Roman"/>
              </w:rPr>
            </w:pPr>
          </w:p>
        </w:tc>
      </w:tr>
      <w:tr w:rsidR="00BE26C0" w:rsidRPr="002337A4" w14:paraId="688D8F53" w14:textId="77777777" w:rsidTr="000978C5">
        <w:trPr>
          <w:trHeight w:val="397"/>
        </w:trPr>
        <w:tc>
          <w:tcPr>
            <w:tcW w:w="3686" w:type="dxa"/>
            <w:gridSpan w:val="2"/>
            <w:tcBorders>
              <w:top w:val="single" w:sz="6" w:space="0" w:color="auto"/>
              <w:left w:val="nil"/>
              <w:bottom w:val="nil"/>
              <w:right w:val="single" w:sz="18" w:space="0" w:color="auto"/>
            </w:tcBorders>
            <w:vAlign w:val="center"/>
          </w:tcPr>
          <w:p w14:paraId="593D89D1" w14:textId="77777777" w:rsidR="00BE26C0" w:rsidRPr="002337A4" w:rsidRDefault="00BE26C0" w:rsidP="000978C5">
            <w:pPr>
              <w:rPr>
                <w:rFonts w:cs="Times New Roman"/>
              </w:rPr>
            </w:pPr>
            <w:r w:rsidRPr="002337A4">
              <w:rPr>
                <w:rFonts w:cs="Times New Roman"/>
                <w:b/>
              </w:rPr>
              <w:t xml:space="preserve">CES-D, </w:t>
            </w:r>
            <w:r w:rsidRPr="002337A4">
              <w:rPr>
                <w:rFonts w:cs="Times New Roman"/>
                <w:i/>
              </w:rPr>
              <w:t>median (IQR)</w:t>
            </w:r>
          </w:p>
        </w:tc>
        <w:tc>
          <w:tcPr>
            <w:tcW w:w="2173" w:type="dxa"/>
            <w:tcBorders>
              <w:top w:val="single" w:sz="6" w:space="0" w:color="auto"/>
              <w:left w:val="single" w:sz="18" w:space="0" w:color="auto"/>
              <w:bottom w:val="nil"/>
              <w:right w:val="single" w:sz="6" w:space="0" w:color="auto"/>
            </w:tcBorders>
            <w:vAlign w:val="center"/>
          </w:tcPr>
          <w:p w14:paraId="28DD09DE" w14:textId="77777777" w:rsidR="00BE26C0" w:rsidRPr="002337A4" w:rsidRDefault="00BE26C0" w:rsidP="000978C5">
            <w:pPr>
              <w:jc w:val="center"/>
              <w:rPr>
                <w:rFonts w:cs="Times New Roman"/>
              </w:rPr>
            </w:pPr>
            <w:r w:rsidRPr="002337A4">
              <w:rPr>
                <w:rFonts w:cs="Times New Roman"/>
              </w:rPr>
              <w:t>4 (1 – 8)</w:t>
            </w:r>
          </w:p>
        </w:tc>
        <w:tc>
          <w:tcPr>
            <w:tcW w:w="2174" w:type="dxa"/>
            <w:tcBorders>
              <w:top w:val="single" w:sz="6" w:space="0" w:color="auto"/>
              <w:left w:val="single" w:sz="6" w:space="0" w:color="auto"/>
              <w:bottom w:val="nil"/>
              <w:right w:val="single" w:sz="6" w:space="0" w:color="auto"/>
            </w:tcBorders>
            <w:vAlign w:val="center"/>
          </w:tcPr>
          <w:p w14:paraId="42D0558D" w14:textId="77777777" w:rsidR="00BE26C0" w:rsidRPr="002337A4" w:rsidRDefault="00BE26C0" w:rsidP="000978C5">
            <w:pPr>
              <w:jc w:val="center"/>
              <w:rPr>
                <w:rFonts w:cs="Times New Roman"/>
              </w:rPr>
            </w:pPr>
            <w:r w:rsidRPr="002337A4">
              <w:rPr>
                <w:rFonts w:cs="Times New Roman"/>
              </w:rPr>
              <w:t>3 (1 – 7)</w:t>
            </w:r>
          </w:p>
        </w:tc>
        <w:tc>
          <w:tcPr>
            <w:tcW w:w="2174" w:type="dxa"/>
            <w:tcBorders>
              <w:top w:val="single" w:sz="6" w:space="0" w:color="auto"/>
              <w:left w:val="single" w:sz="6" w:space="0" w:color="auto"/>
              <w:bottom w:val="nil"/>
              <w:right w:val="single" w:sz="18" w:space="0" w:color="auto"/>
            </w:tcBorders>
            <w:vAlign w:val="center"/>
          </w:tcPr>
          <w:p w14:paraId="4D6EDC23" w14:textId="77777777" w:rsidR="00BE26C0" w:rsidRPr="002337A4" w:rsidRDefault="00BE26C0" w:rsidP="000978C5">
            <w:pPr>
              <w:jc w:val="center"/>
              <w:rPr>
                <w:rFonts w:cs="Times New Roman"/>
              </w:rPr>
            </w:pPr>
            <w:r w:rsidRPr="002337A4">
              <w:rPr>
                <w:rFonts w:cs="Times New Roman"/>
              </w:rPr>
              <w:t>5 (2 – 9)</w:t>
            </w:r>
          </w:p>
        </w:tc>
        <w:tc>
          <w:tcPr>
            <w:tcW w:w="1002" w:type="dxa"/>
            <w:tcBorders>
              <w:top w:val="single" w:sz="6" w:space="0" w:color="auto"/>
              <w:left w:val="single" w:sz="18" w:space="0" w:color="auto"/>
              <w:bottom w:val="nil"/>
              <w:right w:val="nil"/>
            </w:tcBorders>
            <w:vAlign w:val="center"/>
          </w:tcPr>
          <w:p w14:paraId="3100035B" w14:textId="77777777" w:rsidR="00BE26C0" w:rsidRPr="002337A4" w:rsidRDefault="00BE26C0" w:rsidP="000978C5">
            <w:pPr>
              <w:jc w:val="center"/>
              <w:rPr>
                <w:rFonts w:cs="Times New Roman"/>
              </w:rPr>
            </w:pPr>
            <w:r w:rsidRPr="002337A4">
              <w:rPr>
                <w:rFonts w:cs="Times New Roman"/>
              </w:rPr>
              <w:t>0.002</w:t>
            </w:r>
          </w:p>
        </w:tc>
      </w:tr>
      <w:tr w:rsidR="00BE26C0" w:rsidRPr="002337A4" w14:paraId="42E61166" w14:textId="77777777" w:rsidTr="000978C5">
        <w:trPr>
          <w:trHeight w:val="397"/>
        </w:trPr>
        <w:tc>
          <w:tcPr>
            <w:tcW w:w="2269" w:type="dxa"/>
            <w:vMerge w:val="restart"/>
            <w:tcBorders>
              <w:top w:val="nil"/>
              <w:left w:val="nil"/>
              <w:right w:val="nil"/>
            </w:tcBorders>
            <w:vAlign w:val="center"/>
          </w:tcPr>
          <w:p w14:paraId="19C0581E" w14:textId="77777777" w:rsidR="00BE26C0" w:rsidRPr="002337A4" w:rsidRDefault="00BE26C0" w:rsidP="000978C5">
            <w:pPr>
              <w:rPr>
                <w:rFonts w:cs="Times New Roman"/>
                <w:i/>
              </w:rPr>
            </w:pPr>
            <w:r w:rsidRPr="002337A4">
              <w:rPr>
                <w:rFonts w:cs="Times New Roman"/>
                <w:b/>
              </w:rPr>
              <w:t xml:space="preserve">CES-D, </w:t>
            </w:r>
            <w:r w:rsidRPr="002337A4">
              <w:rPr>
                <w:rFonts w:cs="Times New Roman"/>
                <w:i/>
              </w:rPr>
              <w:t>n(%)</w:t>
            </w:r>
          </w:p>
        </w:tc>
        <w:tc>
          <w:tcPr>
            <w:tcW w:w="1417" w:type="dxa"/>
            <w:tcBorders>
              <w:top w:val="nil"/>
              <w:left w:val="nil"/>
              <w:bottom w:val="nil"/>
              <w:right w:val="single" w:sz="18" w:space="0" w:color="auto"/>
            </w:tcBorders>
            <w:vAlign w:val="center"/>
          </w:tcPr>
          <w:p w14:paraId="03013F22" w14:textId="77777777" w:rsidR="00BE26C0" w:rsidRPr="002337A4" w:rsidRDefault="00BE26C0" w:rsidP="000978C5">
            <w:pPr>
              <w:jc w:val="center"/>
              <w:rPr>
                <w:rFonts w:cs="Times New Roman"/>
              </w:rPr>
            </w:pPr>
            <w:r w:rsidRPr="002337A4">
              <w:rPr>
                <w:rFonts w:cs="Times New Roman"/>
              </w:rPr>
              <w:t>[0 – 1]</w:t>
            </w:r>
          </w:p>
        </w:tc>
        <w:tc>
          <w:tcPr>
            <w:tcW w:w="2173" w:type="dxa"/>
            <w:tcBorders>
              <w:top w:val="nil"/>
              <w:left w:val="single" w:sz="18" w:space="0" w:color="auto"/>
              <w:bottom w:val="nil"/>
              <w:right w:val="single" w:sz="6" w:space="0" w:color="auto"/>
            </w:tcBorders>
            <w:vAlign w:val="center"/>
          </w:tcPr>
          <w:p w14:paraId="61DFB2B9" w14:textId="77777777" w:rsidR="00BE26C0" w:rsidRPr="002337A4" w:rsidRDefault="00BE26C0" w:rsidP="000978C5">
            <w:pPr>
              <w:jc w:val="center"/>
              <w:rPr>
                <w:rFonts w:cs="Times New Roman"/>
              </w:rPr>
            </w:pPr>
            <w:r w:rsidRPr="002337A4">
              <w:rPr>
                <w:rFonts w:cs="Times New Roman"/>
              </w:rPr>
              <w:t>260 (29.4)</w:t>
            </w:r>
          </w:p>
        </w:tc>
        <w:tc>
          <w:tcPr>
            <w:tcW w:w="2174" w:type="dxa"/>
            <w:tcBorders>
              <w:top w:val="nil"/>
              <w:left w:val="single" w:sz="6" w:space="0" w:color="auto"/>
              <w:bottom w:val="nil"/>
              <w:right w:val="single" w:sz="6" w:space="0" w:color="auto"/>
            </w:tcBorders>
            <w:vAlign w:val="center"/>
          </w:tcPr>
          <w:p w14:paraId="5DD845F7" w14:textId="77777777" w:rsidR="00BE26C0" w:rsidRPr="002337A4" w:rsidRDefault="00BE26C0" w:rsidP="000978C5">
            <w:pPr>
              <w:jc w:val="center"/>
              <w:rPr>
                <w:rFonts w:cs="Times New Roman"/>
              </w:rPr>
            </w:pPr>
            <w:r w:rsidRPr="002337A4">
              <w:rPr>
                <w:rFonts w:cs="Times New Roman"/>
              </w:rPr>
              <w:t>216 (</w:t>
            </w:r>
            <w:r>
              <w:rPr>
                <w:rFonts w:cs="Times New Roman"/>
              </w:rPr>
              <w:t>32.6</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4D00EEA5" w14:textId="77777777" w:rsidR="00BE26C0" w:rsidRPr="002337A4" w:rsidRDefault="00BE26C0" w:rsidP="000978C5">
            <w:pPr>
              <w:jc w:val="center"/>
              <w:rPr>
                <w:rFonts w:cs="Times New Roman"/>
              </w:rPr>
            </w:pPr>
            <w:r w:rsidRPr="002337A4">
              <w:rPr>
                <w:rFonts w:cs="Times New Roman"/>
              </w:rPr>
              <w:t>44 (1</w:t>
            </w:r>
            <w:r>
              <w:rPr>
                <w:rFonts w:cs="Times New Roman"/>
              </w:rPr>
              <w:t>9.7</w:t>
            </w:r>
            <w:r w:rsidRPr="002337A4">
              <w:rPr>
                <w:rFonts w:cs="Times New Roman"/>
              </w:rPr>
              <w:t>)</w:t>
            </w:r>
          </w:p>
        </w:tc>
        <w:tc>
          <w:tcPr>
            <w:tcW w:w="1002" w:type="dxa"/>
            <w:vMerge w:val="restart"/>
            <w:tcBorders>
              <w:top w:val="nil"/>
              <w:left w:val="single" w:sz="18" w:space="0" w:color="auto"/>
              <w:right w:val="nil"/>
            </w:tcBorders>
            <w:vAlign w:val="center"/>
          </w:tcPr>
          <w:p w14:paraId="37D00895" w14:textId="77777777" w:rsidR="00BE26C0" w:rsidRPr="002337A4" w:rsidRDefault="00BE26C0" w:rsidP="000978C5">
            <w:pPr>
              <w:jc w:val="center"/>
              <w:rPr>
                <w:rFonts w:cs="Times New Roman"/>
              </w:rPr>
            </w:pPr>
            <w:r w:rsidRPr="002337A4">
              <w:rPr>
                <w:rFonts w:cs="Times New Roman"/>
              </w:rPr>
              <w:t>&lt; 0.001</w:t>
            </w:r>
          </w:p>
        </w:tc>
      </w:tr>
      <w:tr w:rsidR="00BE26C0" w:rsidRPr="002337A4" w14:paraId="28DB4E71" w14:textId="77777777" w:rsidTr="000978C5">
        <w:trPr>
          <w:trHeight w:val="397"/>
        </w:trPr>
        <w:tc>
          <w:tcPr>
            <w:tcW w:w="2269" w:type="dxa"/>
            <w:vMerge/>
            <w:tcBorders>
              <w:left w:val="nil"/>
              <w:right w:val="nil"/>
            </w:tcBorders>
            <w:vAlign w:val="center"/>
          </w:tcPr>
          <w:p w14:paraId="0F3644A8" w14:textId="77777777" w:rsidR="00BE26C0" w:rsidRPr="002337A4" w:rsidRDefault="00BE26C0" w:rsidP="000978C5">
            <w:pPr>
              <w:rPr>
                <w:rFonts w:cs="Times New Roman"/>
                <w:b/>
              </w:rPr>
            </w:pPr>
          </w:p>
        </w:tc>
        <w:tc>
          <w:tcPr>
            <w:tcW w:w="1417" w:type="dxa"/>
            <w:tcBorders>
              <w:top w:val="nil"/>
              <w:left w:val="nil"/>
              <w:bottom w:val="nil"/>
              <w:right w:val="single" w:sz="18" w:space="0" w:color="auto"/>
            </w:tcBorders>
            <w:vAlign w:val="center"/>
          </w:tcPr>
          <w:p w14:paraId="2FF4A943" w14:textId="77777777" w:rsidR="00BE26C0" w:rsidRPr="002337A4" w:rsidRDefault="00BE26C0" w:rsidP="000978C5">
            <w:pPr>
              <w:jc w:val="center"/>
              <w:rPr>
                <w:rFonts w:cs="Times New Roman"/>
              </w:rPr>
            </w:pPr>
            <w:r w:rsidRPr="002337A4">
              <w:rPr>
                <w:rFonts w:cs="Times New Roman"/>
              </w:rPr>
              <w:t>(1 – 11]</w:t>
            </w:r>
          </w:p>
        </w:tc>
        <w:tc>
          <w:tcPr>
            <w:tcW w:w="2173" w:type="dxa"/>
            <w:tcBorders>
              <w:top w:val="nil"/>
              <w:left w:val="single" w:sz="18" w:space="0" w:color="auto"/>
              <w:bottom w:val="nil"/>
              <w:right w:val="single" w:sz="6" w:space="0" w:color="auto"/>
            </w:tcBorders>
            <w:vAlign w:val="center"/>
          </w:tcPr>
          <w:p w14:paraId="580E4D13" w14:textId="77777777" w:rsidR="00BE26C0" w:rsidRPr="002337A4" w:rsidRDefault="00BE26C0" w:rsidP="000978C5">
            <w:pPr>
              <w:jc w:val="center"/>
              <w:rPr>
                <w:rFonts w:cs="Times New Roman"/>
              </w:rPr>
            </w:pPr>
            <w:r w:rsidRPr="002337A4">
              <w:rPr>
                <w:rFonts w:cs="Times New Roman"/>
              </w:rPr>
              <w:t>528 (59.6)</w:t>
            </w:r>
          </w:p>
        </w:tc>
        <w:tc>
          <w:tcPr>
            <w:tcW w:w="2174" w:type="dxa"/>
            <w:tcBorders>
              <w:top w:val="nil"/>
              <w:left w:val="single" w:sz="6" w:space="0" w:color="auto"/>
              <w:bottom w:val="nil"/>
              <w:right w:val="single" w:sz="6" w:space="0" w:color="auto"/>
            </w:tcBorders>
            <w:vAlign w:val="center"/>
          </w:tcPr>
          <w:p w14:paraId="37AFB4A9" w14:textId="77777777" w:rsidR="00BE26C0" w:rsidRPr="002337A4" w:rsidRDefault="00BE26C0" w:rsidP="000978C5">
            <w:pPr>
              <w:jc w:val="center"/>
              <w:rPr>
                <w:rFonts w:cs="Times New Roman"/>
              </w:rPr>
            </w:pPr>
            <w:r w:rsidRPr="002337A4">
              <w:rPr>
                <w:rFonts w:cs="Times New Roman"/>
              </w:rPr>
              <w:t>388 (</w:t>
            </w:r>
            <w:r>
              <w:rPr>
                <w:rFonts w:cs="Times New Roman"/>
              </w:rPr>
              <w:t>58.6</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6AB27A4E" w14:textId="77777777" w:rsidR="00BE26C0" w:rsidRPr="002337A4" w:rsidRDefault="00BE26C0" w:rsidP="000978C5">
            <w:pPr>
              <w:jc w:val="center"/>
              <w:rPr>
                <w:rFonts w:cs="Times New Roman"/>
              </w:rPr>
            </w:pPr>
            <w:r w:rsidRPr="002337A4">
              <w:rPr>
                <w:rFonts w:cs="Times New Roman"/>
              </w:rPr>
              <w:t>140 (</w:t>
            </w:r>
            <w:r>
              <w:rPr>
                <w:rFonts w:cs="Times New Roman"/>
              </w:rPr>
              <w:t>62.8</w:t>
            </w:r>
            <w:r w:rsidRPr="002337A4">
              <w:rPr>
                <w:rFonts w:cs="Times New Roman"/>
              </w:rPr>
              <w:t>)</w:t>
            </w:r>
          </w:p>
        </w:tc>
        <w:tc>
          <w:tcPr>
            <w:tcW w:w="1002" w:type="dxa"/>
            <w:vMerge/>
            <w:tcBorders>
              <w:left w:val="single" w:sz="18" w:space="0" w:color="auto"/>
              <w:right w:val="nil"/>
            </w:tcBorders>
            <w:vAlign w:val="center"/>
          </w:tcPr>
          <w:p w14:paraId="5C0AE40B" w14:textId="77777777" w:rsidR="00BE26C0" w:rsidRPr="002337A4" w:rsidRDefault="00BE26C0" w:rsidP="000978C5">
            <w:pPr>
              <w:jc w:val="center"/>
              <w:rPr>
                <w:rFonts w:cs="Times New Roman"/>
              </w:rPr>
            </w:pPr>
          </w:p>
        </w:tc>
      </w:tr>
      <w:tr w:rsidR="00BE26C0" w:rsidRPr="002337A4" w14:paraId="6B5F22D9" w14:textId="77777777" w:rsidTr="000978C5">
        <w:trPr>
          <w:trHeight w:val="397"/>
        </w:trPr>
        <w:tc>
          <w:tcPr>
            <w:tcW w:w="2269" w:type="dxa"/>
            <w:vMerge/>
            <w:tcBorders>
              <w:left w:val="nil"/>
              <w:bottom w:val="single" w:sz="6" w:space="0" w:color="auto"/>
              <w:right w:val="nil"/>
            </w:tcBorders>
            <w:vAlign w:val="center"/>
          </w:tcPr>
          <w:p w14:paraId="005D13BB"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0DCA95C6" w14:textId="77777777" w:rsidR="00BE26C0" w:rsidRPr="002337A4" w:rsidRDefault="00BE26C0" w:rsidP="000978C5">
            <w:pPr>
              <w:jc w:val="center"/>
              <w:rPr>
                <w:rFonts w:cs="Times New Roman"/>
              </w:rPr>
            </w:pPr>
            <w:r w:rsidRPr="002337A4">
              <w:rPr>
                <w:rFonts w:cs="Times New Roman"/>
              </w:rPr>
              <w:t>(11 – 60]</w:t>
            </w:r>
          </w:p>
        </w:tc>
        <w:tc>
          <w:tcPr>
            <w:tcW w:w="2173" w:type="dxa"/>
            <w:tcBorders>
              <w:top w:val="nil"/>
              <w:left w:val="single" w:sz="18" w:space="0" w:color="auto"/>
              <w:bottom w:val="single" w:sz="6" w:space="0" w:color="auto"/>
              <w:right w:val="single" w:sz="6" w:space="0" w:color="auto"/>
            </w:tcBorders>
            <w:vAlign w:val="center"/>
          </w:tcPr>
          <w:p w14:paraId="2FE0802F" w14:textId="77777777" w:rsidR="00BE26C0" w:rsidRPr="002337A4" w:rsidRDefault="00BE26C0" w:rsidP="000978C5">
            <w:pPr>
              <w:jc w:val="center"/>
              <w:rPr>
                <w:rFonts w:cs="Times New Roman"/>
              </w:rPr>
            </w:pPr>
            <w:r w:rsidRPr="002337A4">
              <w:rPr>
                <w:rFonts w:cs="Times New Roman"/>
              </w:rPr>
              <w:t>97 (11.0)</w:t>
            </w:r>
          </w:p>
        </w:tc>
        <w:tc>
          <w:tcPr>
            <w:tcW w:w="2174" w:type="dxa"/>
            <w:tcBorders>
              <w:top w:val="nil"/>
              <w:left w:val="single" w:sz="6" w:space="0" w:color="auto"/>
              <w:bottom w:val="single" w:sz="6" w:space="0" w:color="auto"/>
              <w:right w:val="single" w:sz="6" w:space="0" w:color="auto"/>
            </w:tcBorders>
            <w:vAlign w:val="center"/>
          </w:tcPr>
          <w:p w14:paraId="52A25635" w14:textId="77777777" w:rsidR="00BE26C0" w:rsidRPr="002337A4" w:rsidRDefault="00BE26C0" w:rsidP="000978C5">
            <w:pPr>
              <w:jc w:val="center"/>
              <w:rPr>
                <w:rFonts w:cs="Times New Roman"/>
              </w:rPr>
            </w:pPr>
            <w:r w:rsidRPr="002337A4">
              <w:rPr>
                <w:rFonts w:cs="Times New Roman"/>
              </w:rPr>
              <w:t>58 (</w:t>
            </w:r>
            <w:r>
              <w:rPr>
                <w:rFonts w:cs="Times New Roman"/>
              </w:rPr>
              <w:t>8</w:t>
            </w:r>
            <w:r w:rsidRPr="002337A4">
              <w:rPr>
                <w:rFonts w:cs="Times New Roman"/>
              </w:rPr>
              <w:t>.8)</w:t>
            </w:r>
          </w:p>
        </w:tc>
        <w:tc>
          <w:tcPr>
            <w:tcW w:w="2174" w:type="dxa"/>
            <w:tcBorders>
              <w:top w:val="nil"/>
              <w:left w:val="single" w:sz="6" w:space="0" w:color="auto"/>
              <w:bottom w:val="single" w:sz="6" w:space="0" w:color="auto"/>
              <w:right w:val="single" w:sz="18" w:space="0" w:color="auto"/>
            </w:tcBorders>
            <w:vAlign w:val="center"/>
          </w:tcPr>
          <w:p w14:paraId="38D21814" w14:textId="77777777" w:rsidR="00BE26C0" w:rsidRPr="002337A4" w:rsidRDefault="00BE26C0" w:rsidP="000978C5">
            <w:pPr>
              <w:jc w:val="center"/>
              <w:rPr>
                <w:rFonts w:cs="Times New Roman"/>
              </w:rPr>
            </w:pPr>
            <w:r w:rsidRPr="002337A4">
              <w:rPr>
                <w:rFonts w:cs="Times New Roman"/>
              </w:rPr>
              <w:t>39 (</w:t>
            </w:r>
            <w:r>
              <w:rPr>
                <w:rFonts w:cs="Times New Roman"/>
              </w:rPr>
              <w:t>17.5</w:t>
            </w:r>
            <w:r w:rsidRPr="002337A4">
              <w:rPr>
                <w:rFonts w:cs="Times New Roman"/>
              </w:rPr>
              <w:t>)</w:t>
            </w:r>
          </w:p>
        </w:tc>
        <w:tc>
          <w:tcPr>
            <w:tcW w:w="1002" w:type="dxa"/>
            <w:vMerge/>
            <w:tcBorders>
              <w:left w:val="single" w:sz="18" w:space="0" w:color="auto"/>
              <w:bottom w:val="single" w:sz="6" w:space="0" w:color="auto"/>
              <w:right w:val="nil"/>
            </w:tcBorders>
            <w:vAlign w:val="center"/>
          </w:tcPr>
          <w:p w14:paraId="6EF29586" w14:textId="77777777" w:rsidR="00BE26C0" w:rsidRPr="002337A4" w:rsidRDefault="00BE26C0" w:rsidP="000978C5">
            <w:pPr>
              <w:jc w:val="center"/>
              <w:rPr>
                <w:rFonts w:cs="Times New Roman"/>
              </w:rPr>
            </w:pPr>
          </w:p>
        </w:tc>
      </w:tr>
      <w:tr w:rsidR="00BE26C0" w:rsidRPr="002337A4" w14:paraId="4AC43E3B" w14:textId="77777777" w:rsidTr="000978C5">
        <w:trPr>
          <w:trHeight w:val="397"/>
        </w:trPr>
        <w:tc>
          <w:tcPr>
            <w:tcW w:w="3686" w:type="dxa"/>
            <w:gridSpan w:val="2"/>
            <w:tcBorders>
              <w:top w:val="single" w:sz="6" w:space="0" w:color="auto"/>
              <w:left w:val="nil"/>
              <w:bottom w:val="nil"/>
              <w:right w:val="single" w:sz="18" w:space="0" w:color="auto"/>
            </w:tcBorders>
            <w:vAlign w:val="center"/>
          </w:tcPr>
          <w:p w14:paraId="3BC8D1B3" w14:textId="77777777" w:rsidR="00BE26C0" w:rsidRPr="002337A4" w:rsidRDefault="00BE26C0" w:rsidP="000978C5">
            <w:pPr>
              <w:rPr>
                <w:rFonts w:cs="Times New Roman"/>
              </w:rPr>
            </w:pPr>
            <w:r w:rsidRPr="002337A4">
              <w:rPr>
                <w:rFonts w:cs="Times New Roman"/>
                <w:b/>
              </w:rPr>
              <w:t xml:space="preserve">WOMAC-mean, </w:t>
            </w:r>
            <w:r w:rsidRPr="002337A4">
              <w:rPr>
                <w:rFonts w:cs="Times New Roman"/>
                <w:i/>
              </w:rPr>
              <w:t>median(IQR)</w:t>
            </w:r>
          </w:p>
        </w:tc>
        <w:tc>
          <w:tcPr>
            <w:tcW w:w="2173" w:type="dxa"/>
            <w:tcBorders>
              <w:top w:val="single" w:sz="6" w:space="0" w:color="auto"/>
              <w:left w:val="single" w:sz="18" w:space="0" w:color="auto"/>
              <w:bottom w:val="nil"/>
              <w:right w:val="single" w:sz="6" w:space="0" w:color="auto"/>
            </w:tcBorders>
            <w:vAlign w:val="center"/>
          </w:tcPr>
          <w:p w14:paraId="2221850A" w14:textId="77777777" w:rsidR="00BE26C0" w:rsidRPr="002337A4" w:rsidRDefault="00BE26C0" w:rsidP="000978C5">
            <w:pPr>
              <w:jc w:val="center"/>
              <w:rPr>
                <w:rFonts w:cs="Times New Roman"/>
              </w:rPr>
            </w:pPr>
            <w:r w:rsidRPr="002337A4">
              <w:rPr>
                <w:rFonts w:cs="Times New Roman"/>
              </w:rPr>
              <w:t>3.2 (0.0 – 10.5)</w:t>
            </w:r>
          </w:p>
        </w:tc>
        <w:tc>
          <w:tcPr>
            <w:tcW w:w="2174" w:type="dxa"/>
            <w:tcBorders>
              <w:top w:val="single" w:sz="6" w:space="0" w:color="auto"/>
              <w:left w:val="single" w:sz="6" w:space="0" w:color="auto"/>
              <w:bottom w:val="nil"/>
              <w:right w:val="single" w:sz="6" w:space="0" w:color="auto"/>
            </w:tcBorders>
            <w:vAlign w:val="center"/>
          </w:tcPr>
          <w:p w14:paraId="7AF98F45" w14:textId="77777777" w:rsidR="00BE26C0" w:rsidRPr="002337A4" w:rsidRDefault="00BE26C0" w:rsidP="000978C5">
            <w:pPr>
              <w:jc w:val="center"/>
              <w:rPr>
                <w:rFonts w:cs="Times New Roman"/>
              </w:rPr>
            </w:pPr>
            <w:r w:rsidRPr="002337A4">
              <w:rPr>
                <w:rFonts w:cs="Times New Roman"/>
              </w:rPr>
              <w:t>3.0 (0.0 – 10.0)</w:t>
            </w:r>
          </w:p>
        </w:tc>
        <w:tc>
          <w:tcPr>
            <w:tcW w:w="2174" w:type="dxa"/>
            <w:tcBorders>
              <w:top w:val="single" w:sz="6" w:space="0" w:color="auto"/>
              <w:left w:val="single" w:sz="6" w:space="0" w:color="auto"/>
              <w:bottom w:val="nil"/>
              <w:right w:val="single" w:sz="18" w:space="0" w:color="auto"/>
            </w:tcBorders>
            <w:vAlign w:val="center"/>
          </w:tcPr>
          <w:p w14:paraId="52FA4493" w14:textId="77777777" w:rsidR="00BE26C0" w:rsidRPr="002337A4" w:rsidRDefault="00BE26C0" w:rsidP="000978C5">
            <w:pPr>
              <w:jc w:val="center"/>
              <w:rPr>
                <w:rFonts w:cs="Times New Roman"/>
              </w:rPr>
            </w:pPr>
            <w:r w:rsidRPr="002337A4">
              <w:rPr>
                <w:rFonts w:cs="Times New Roman"/>
              </w:rPr>
              <w:t>4.8 (0.5 – 12.5)</w:t>
            </w:r>
          </w:p>
        </w:tc>
        <w:tc>
          <w:tcPr>
            <w:tcW w:w="1002" w:type="dxa"/>
            <w:tcBorders>
              <w:top w:val="single" w:sz="6" w:space="0" w:color="auto"/>
              <w:left w:val="single" w:sz="18" w:space="0" w:color="auto"/>
              <w:bottom w:val="nil"/>
              <w:right w:val="nil"/>
            </w:tcBorders>
            <w:vAlign w:val="center"/>
          </w:tcPr>
          <w:p w14:paraId="662594A4" w14:textId="77777777" w:rsidR="00BE26C0" w:rsidRPr="002337A4" w:rsidRDefault="00BE26C0" w:rsidP="000978C5">
            <w:pPr>
              <w:jc w:val="center"/>
              <w:rPr>
                <w:rFonts w:cs="Times New Roman"/>
              </w:rPr>
            </w:pPr>
            <w:r w:rsidRPr="002337A4">
              <w:rPr>
                <w:rFonts w:cs="Times New Roman"/>
              </w:rPr>
              <w:t>0.008</w:t>
            </w:r>
          </w:p>
        </w:tc>
      </w:tr>
      <w:tr w:rsidR="00BE26C0" w:rsidRPr="002337A4" w14:paraId="1B989F77" w14:textId="77777777" w:rsidTr="000978C5">
        <w:trPr>
          <w:trHeight w:val="397"/>
        </w:trPr>
        <w:tc>
          <w:tcPr>
            <w:tcW w:w="2269" w:type="dxa"/>
            <w:vMerge w:val="restart"/>
            <w:tcBorders>
              <w:top w:val="nil"/>
              <w:left w:val="nil"/>
              <w:right w:val="nil"/>
            </w:tcBorders>
            <w:vAlign w:val="center"/>
          </w:tcPr>
          <w:p w14:paraId="6594316D" w14:textId="77777777" w:rsidR="00BE26C0" w:rsidRPr="002337A4" w:rsidRDefault="00BE26C0" w:rsidP="000978C5">
            <w:pPr>
              <w:rPr>
                <w:rFonts w:cs="Times New Roman"/>
                <w:i/>
              </w:rPr>
            </w:pPr>
            <w:r w:rsidRPr="002337A4">
              <w:rPr>
                <w:rFonts w:cs="Times New Roman"/>
                <w:b/>
              </w:rPr>
              <w:t xml:space="preserve">WOMAC-mean, </w:t>
            </w:r>
            <w:r w:rsidRPr="002337A4">
              <w:rPr>
                <w:rFonts w:cs="Times New Roman"/>
                <w:i/>
              </w:rPr>
              <w:t>n(%)</w:t>
            </w:r>
          </w:p>
        </w:tc>
        <w:tc>
          <w:tcPr>
            <w:tcW w:w="1417" w:type="dxa"/>
            <w:tcBorders>
              <w:top w:val="nil"/>
              <w:left w:val="nil"/>
              <w:bottom w:val="nil"/>
              <w:right w:val="single" w:sz="18" w:space="0" w:color="auto"/>
            </w:tcBorders>
            <w:vAlign w:val="center"/>
          </w:tcPr>
          <w:p w14:paraId="01391431" w14:textId="77777777" w:rsidR="00BE26C0" w:rsidRPr="002337A4" w:rsidRDefault="00BE26C0" w:rsidP="000978C5">
            <w:pPr>
              <w:jc w:val="center"/>
              <w:rPr>
                <w:rFonts w:cs="Times New Roman"/>
              </w:rPr>
            </w:pPr>
            <w:r w:rsidRPr="002337A4">
              <w:rPr>
                <w:rFonts w:cs="Times New Roman"/>
              </w:rPr>
              <w:t>[0 – 3]</w:t>
            </w:r>
          </w:p>
        </w:tc>
        <w:tc>
          <w:tcPr>
            <w:tcW w:w="2173" w:type="dxa"/>
            <w:tcBorders>
              <w:top w:val="nil"/>
              <w:left w:val="single" w:sz="18" w:space="0" w:color="auto"/>
              <w:bottom w:val="nil"/>
              <w:right w:val="single" w:sz="6" w:space="0" w:color="auto"/>
            </w:tcBorders>
            <w:vAlign w:val="center"/>
          </w:tcPr>
          <w:p w14:paraId="05C85D5E" w14:textId="77777777" w:rsidR="00BE26C0" w:rsidRPr="002337A4" w:rsidRDefault="00BE26C0" w:rsidP="000978C5">
            <w:pPr>
              <w:jc w:val="center"/>
              <w:rPr>
                <w:rFonts w:cs="Times New Roman"/>
              </w:rPr>
            </w:pPr>
            <w:r w:rsidRPr="002337A4">
              <w:rPr>
                <w:rFonts w:cs="Times New Roman"/>
              </w:rPr>
              <w:t>438 (49.5)</w:t>
            </w:r>
          </w:p>
        </w:tc>
        <w:tc>
          <w:tcPr>
            <w:tcW w:w="2174" w:type="dxa"/>
            <w:tcBorders>
              <w:top w:val="nil"/>
              <w:left w:val="single" w:sz="6" w:space="0" w:color="auto"/>
              <w:bottom w:val="nil"/>
              <w:right w:val="single" w:sz="6" w:space="0" w:color="auto"/>
            </w:tcBorders>
            <w:vAlign w:val="center"/>
          </w:tcPr>
          <w:p w14:paraId="72B29026" w14:textId="77777777" w:rsidR="00BE26C0" w:rsidRPr="002337A4" w:rsidRDefault="00BE26C0" w:rsidP="000978C5">
            <w:pPr>
              <w:jc w:val="center"/>
              <w:rPr>
                <w:rFonts w:cs="Times New Roman"/>
              </w:rPr>
            </w:pPr>
            <w:r w:rsidRPr="002337A4">
              <w:rPr>
                <w:rFonts w:cs="Times New Roman"/>
              </w:rPr>
              <w:t>345 (</w:t>
            </w:r>
            <w:r>
              <w:rPr>
                <w:rFonts w:cs="Times New Roman"/>
              </w:rPr>
              <w:t>52.1</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47510590" w14:textId="77777777" w:rsidR="00BE26C0" w:rsidRPr="002337A4" w:rsidRDefault="00BE26C0" w:rsidP="000978C5">
            <w:pPr>
              <w:jc w:val="center"/>
              <w:rPr>
                <w:rFonts w:cs="Times New Roman"/>
              </w:rPr>
            </w:pPr>
            <w:r w:rsidRPr="002337A4">
              <w:rPr>
                <w:rFonts w:cs="Times New Roman"/>
              </w:rPr>
              <w:t>93 (</w:t>
            </w:r>
            <w:r>
              <w:rPr>
                <w:rFonts w:cs="Times New Roman"/>
              </w:rPr>
              <w:t>41.7</w:t>
            </w:r>
            <w:r w:rsidRPr="002337A4">
              <w:rPr>
                <w:rFonts w:cs="Times New Roman"/>
              </w:rPr>
              <w:t>)</w:t>
            </w:r>
          </w:p>
        </w:tc>
        <w:tc>
          <w:tcPr>
            <w:tcW w:w="1002" w:type="dxa"/>
            <w:vMerge w:val="restart"/>
            <w:tcBorders>
              <w:top w:val="nil"/>
              <w:left w:val="single" w:sz="18" w:space="0" w:color="auto"/>
              <w:right w:val="nil"/>
            </w:tcBorders>
            <w:vAlign w:val="center"/>
          </w:tcPr>
          <w:p w14:paraId="0A4F345E" w14:textId="77777777" w:rsidR="00BE26C0" w:rsidRPr="002337A4" w:rsidRDefault="00BE26C0" w:rsidP="000978C5">
            <w:pPr>
              <w:jc w:val="center"/>
              <w:rPr>
                <w:rFonts w:cs="Times New Roman"/>
              </w:rPr>
            </w:pPr>
            <w:r w:rsidRPr="002337A4">
              <w:rPr>
                <w:rFonts w:cs="Times New Roman"/>
              </w:rPr>
              <w:t>0.016</w:t>
            </w:r>
          </w:p>
        </w:tc>
      </w:tr>
      <w:tr w:rsidR="00BE26C0" w:rsidRPr="002337A4" w14:paraId="43C47144" w14:textId="77777777" w:rsidTr="000978C5">
        <w:trPr>
          <w:trHeight w:val="397"/>
        </w:trPr>
        <w:tc>
          <w:tcPr>
            <w:tcW w:w="2269" w:type="dxa"/>
            <w:vMerge/>
            <w:tcBorders>
              <w:top w:val="nil"/>
              <w:left w:val="nil"/>
              <w:right w:val="nil"/>
            </w:tcBorders>
            <w:vAlign w:val="center"/>
          </w:tcPr>
          <w:p w14:paraId="492A5D3D" w14:textId="77777777" w:rsidR="00BE26C0" w:rsidRPr="002337A4" w:rsidRDefault="00BE26C0" w:rsidP="000978C5">
            <w:pPr>
              <w:rPr>
                <w:rFonts w:cs="Times New Roman"/>
                <w:b/>
              </w:rPr>
            </w:pPr>
          </w:p>
        </w:tc>
        <w:tc>
          <w:tcPr>
            <w:tcW w:w="1417" w:type="dxa"/>
            <w:tcBorders>
              <w:top w:val="nil"/>
              <w:left w:val="nil"/>
              <w:bottom w:val="nil"/>
              <w:right w:val="single" w:sz="18" w:space="0" w:color="auto"/>
            </w:tcBorders>
            <w:vAlign w:val="center"/>
          </w:tcPr>
          <w:p w14:paraId="7947D229" w14:textId="77777777" w:rsidR="00BE26C0" w:rsidRPr="002337A4" w:rsidRDefault="00BE26C0" w:rsidP="000978C5">
            <w:pPr>
              <w:jc w:val="center"/>
              <w:rPr>
                <w:rFonts w:cs="Times New Roman"/>
              </w:rPr>
            </w:pPr>
            <w:r w:rsidRPr="002337A4">
              <w:rPr>
                <w:rFonts w:cs="Times New Roman"/>
              </w:rPr>
              <w:t>(3 – 8]</w:t>
            </w:r>
          </w:p>
        </w:tc>
        <w:tc>
          <w:tcPr>
            <w:tcW w:w="2173" w:type="dxa"/>
            <w:tcBorders>
              <w:top w:val="nil"/>
              <w:left w:val="single" w:sz="18" w:space="0" w:color="auto"/>
              <w:bottom w:val="nil"/>
              <w:right w:val="single" w:sz="6" w:space="0" w:color="auto"/>
            </w:tcBorders>
            <w:vAlign w:val="center"/>
          </w:tcPr>
          <w:p w14:paraId="53566967" w14:textId="77777777" w:rsidR="00BE26C0" w:rsidRPr="002337A4" w:rsidRDefault="00BE26C0" w:rsidP="000978C5">
            <w:pPr>
              <w:jc w:val="center"/>
              <w:rPr>
                <w:rFonts w:cs="Times New Roman"/>
              </w:rPr>
            </w:pPr>
            <w:r w:rsidRPr="002337A4">
              <w:rPr>
                <w:rFonts w:cs="Times New Roman"/>
              </w:rPr>
              <w:t>164 (18.5)</w:t>
            </w:r>
          </w:p>
        </w:tc>
        <w:tc>
          <w:tcPr>
            <w:tcW w:w="2174" w:type="dxa"/>
            <w:tcBorders>
              <w:top w:val="nil"/>
              <w:left w:val="single" w:sz="6" w:space="0" w:color="auto"/>
              <w:bottom w:val="nil"/>
              <w:right w:val="single" w:sz="6" w:space="0" w:color="auto"/>
            </w:tcBorders>
            <w:vAlign w:val="center"/>
          </w:tcPr>
          <w:p w14:paraId="35166DA9" w14:textId="77777777" w:rsidR="00BE26C0" w:rsidRPr="002337A4" w:rsidRDefault="00BE26C0" w:rsidP="000978C5">
            <w:pPr>
              <w:jc w:val="center"/>
              <w:rPr>
                <w:rFonts w:cs="Times New Roman"/>
              </w:rPr>
            </w:pPr>
            <w:r w:rsidRPr="002337A4">
              <w:rPr>
                <w:rFonts w:cs="Times New Roman"/>
              </w:rPr>
              <w:t>121 (</w:t>
            </w:r>
            <w:r>
              <w:rPr>
                <w:rFonts w:cs="Times New Roman"/>
              </w:rPr>
              <w:t>18.3</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3879ACAF" w14:textId="77777777" w:rsidR="00BE26C0" w:rsidRPr="002337A4" w:rsidRDefault="00BE26C0" w:rsidP="000978C5">
            <w:pPr>
              <w:jc w:val="center"/>
              <w:rPr>
                <w:rFonts w:cs="Times New Roman"/>
              </w:rPr>
            </w:pPr>
            <w:r w:rsidRPr="002337A4">
              <w:rPr>
                <w:rFonts w:cs="Times New Roman"/>
              </w:rPr>
              <w:t>43 (</w:t>
            </w:r>
            <w:r>
              <w:rPr>
                <w:rFonts w:cs="Times New Roman"/>
              </w:rPr>
              <w:t>19.3</w:t>
            </w:r>
            <w:r w:rsidRPr="002337A4">
              <w:rPr>
                <w:rFonts w:cs="Times New Roman"/>
              </w:rPr>
              <w:t>)</w:t>
            </w:r>
          </w:p>
        </w:tc>
        <w:tc>
          <w:tcPr>
            <w:tcW w:w="1002" w:type="dxa"/>
            <w:vMerge/>
            <w:tcBorders>
              <w:top w:val="nil"/>
              <w:left w:val="single" w:sz="18" w:space="0" w:color="auto"/>
              <w:right w:val="nil"/>
            </w:tcBorders>
            <w:vAlign w:val="center"/>
          </w:tcPr>
          <w:p w14:paraId="2EE28992" w14:textId="77777777" w:rsidR="00BE26C0" w:rsidRPr="002337A4" w:rsidRDefault="00BE26C0" w:rsidP="000978C5">
            <w:pPr>
              <w:jc w:val="center"/>
              <w:rPr>
                <w:rFonts w:cs="Times New Roman"/>
              </w:rPr>
            </w:pPr>
          </w:p>
        </w:tc>
      </w:tr>
      <w:tr w:rsidR="00BE26C0" w:rsidRPr="002337A4" w14:paraId="5C60B20F" w14:textId="77777777" w:rsidTr="000978C5">
        <w:trPr>
          <w:trHeight w:val="397"/>
        </w:trPr>
        <w:tc>
          <w:tcPr>
            <w:tcW w:w="2269" w:type="dxa"/>
            <w:vMerge/>
            <w:tcBorders>
              <w:left w:val="nil"/>
              <w:bottom w:val="single" w:sz="6" w:space="0" w:color="auto"/>
              <w:right w:val="nil"/>
            </w:tcBorders>
            <w:vAlign w:val="center"/>
          </w:tcPr>
          <w:p w14:paraId="623A25A0"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6BC268DA" w14:textId="77777777" w:rsidR="00BE26C0" w:rsidRPr="002337A4" w:rsidRDefault="00BE26C0" w:rsidP="000978C5">
            <w:pPr>
              <w:jc w:val="center"/>
              <w:rPr>
                <w:rFonts w:cs="Times New Roman"/>
              </w:rPr>
            </w:pPr>
            <w:r w:rsidRPr="002337A4">
              <w:rPr>
                <w:rFonts w:cs="Times New Roman"/>
              </w:rPr>
              <w:t xml:space="preserve">(8 – 68] </w:t>
            </w:r>
          </w:p>
        </w:tc>
        <w:tc>
          <w:tcPr>
            <w:tcW w:w="2173" w:type="dxa"/>
            <w:tcBorders>
              <w:top w:val="nil"/>
              <w:left w:val="single" w:sz="18" w:space="0" w:color="auto"/>
              <w:bottom w:val="single" w:sz="6" w:space="0" w:color="auto"/>
              <w:right w:val="single" w:sz="6" w:space="0" w:color="auto"/>
            </w:tcBorders>
            <w:vAlign w:val="center"/>
          </w:tcPr>
          <w:p w14:paraId="1C3D6B75" w14:textId="77777777" w:rsidR="00BE26C0" w:rsidRPr="002337A4" w:rsidRDefault="00BE26C0" w:rsidP="000978C5">
            <w:pPr>
              <w:jc w:val="center"/>
              <w:rPr>
                <w:rFonts w:cs="Times New Roman"/>
              </w:rPr>
            </w:pPr>
            <w:r w:rsidRPr="002337A4">
              <w:rPr>
                <w:rFonts w:cs="Times New Roman"/>
              </w:rPr>
              <w:t>283 (32.0)</w:t>
            </w:r>
          </w:p>
        </w:tc>
        <w:tc>
          <w:tcPr>
            <w:tcW w:w="2174" w:type="dxa"/>
            <w:tcBorders>
              <w:top w:val="nil"/>
              <w:left w:val="single" w:sz="6" w:space="0" w:color="auto"/>
              <w:bottom w:val="single" w:sz="6" w:space="0" w:color="auto"/>
              <w:right w:val="single" w:sz="6" w:space="0" w:color="auto"/>
            </w:tcBorders>
            <w:vAlign w:val="center"/>
          </w:tcPr>
          <w:p w14:paraId="7B502F82" w14:textId="77777777" w:rsidR="00BE26C0" w:rsidRPr="002337A4" w:rsidRDefault="00BE26C0" w:rsidP="000978C5">
            <w:pPr>
              <w:jc w:val="center"/>
              <w:rPr>
                <w:rFonts w:cs="Times New Roman"/>
              </w:rPr>
            </w:pPr>
            <w:r w:rsidRPr="002337A4">
              <w:rPr>
                <w:rFonts w:cs="Times New Roman"/>
              </w:rPr>
              <w:t>196 (</w:t>
            </w:r>
            <w:r>
              <w:rPr>
                <w:rFonts w:cs="Times New Roman"/>
              </w:rPr>
              <w:t>2</w:t>
            </w:r>
            <w:r w:rsidRPr="002337A4">
              <w:rPr>
                <w:rFonts w:cs="Times New Roman"/>
              </w:rPr>
              <w:t>9.</w:t>
            </w:r>
            <w:r>
              <w:rPr>
                <w:rFonts w:cs="Times New Roman"/>
              </w:rPr>
              <w:t>6</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4E3B7D6B" w14:textId="77777777" w:rsidR="00BE26C0" w:rsidRPr="002337A4" w:rsidRDefault="00BE26C0" w:rsidP="000978C5">
            <w:pPr>
              <w:jc w:val="center"/>
              <w:rPr>
                <w:rFonts w:cs="Times New Roman"/>
              </w:rPr>
            </w:pPr>
            <w:r w:rsidRPr="002337A4">
              <w:rPr>
                <w:rFonts w:cs="Times New Roman"/>
              </w:rPr>
              <w:t>87 (3</w:t>
            </w:r>
            <w:r>
              <w:rPr>
                <w:rFonts w:cs="Times New Roman"/>
              </w:rPr>
              <w:t>9.0</w:t>
            </w:r>
            <w:r w:rsidRPr="002337A4">
              <w:rPr>
                <w:rFonts w:cs="Times New Roman"/>
              </w:rPr>
              <w:t>)</w:t>
            </w:r>
          </w:p>
        </w:tc>
        <w:tc>
          <w:tcPr>
            <w:tcW w:w="1002" w:type="dxa"/>
            <w:vMerge/>
            <w:tcBorders>
              <w:left w:val="single" w:sz="18" w:space="0" w:color="auto"/>
              <w:bottom w:val="single" w:sz="6" w:space="0" w:color="auto"/>
              <w:right w:val="nil"/>
            </w:tcBorders>
            <w:vAlign w:val="center"/>
          </w:tcPr>
          <w:p w14:paraId="5B4760FD" w14:textId="77777777" w:rsidR="00BE26C0" w:rsidRPr="002337A4" w:rsidRDefault="00BE26C0" w:rsidP="000978C5">
            <w:pPr>
              <w:jc w:val="center"/>
              <w:rPr>
                <w:rFonts w:cs="Times New Roman"/>
              </w:rPr>
            </w:pPr>
          </w:p>
        </w:tc>
      </w:tr>
      <w:tr w:rsidR="00BE26C0" w:rsidRPr="002337A4" w14:paraId="6117E078" w14:textId="77777777" w:rsidTr="000978C5">
        <w:trPr>
          <w:trHeight w:val="397"/>
        </w:trPr>
        <w:tc>
          <w:tcPr>
            <w:tcW w:w="2269" w:type="dxa"/>
            <w:tcBorders>
              <w:top w:val="single" w:sz="6" w:space="0" w:color="auto"/>
              <w:left w:val="nil"/>
              <w:bottom w:val="nil"/>
              <w:right w:val="nil"/>
            </w:tcBorders>
            <w:vAlign w:val="center"/>
          </w:tcPr>
          <w:p w14:paraId="049BD5B9" w14:textId="77777777" w:rsidR="00BE26C0" w:rsidRPr="002337A4" w:rsidRDefault="00BE26C0" w:rsidP="000978C5">
            <w:pPr>
              <w:rPr>
                <w:rFonts w:cs="Times New Roman"/>
                <w:i/>
              </w:rPr>
            </w:pPr>
            <w:r w:rsidRPr="002337A4">
              <w:rPr>
                <w:rFonts w:cs="Times New Roman"/>
                <w:b/>
              </w:rPr>
              <w:t xml:space="preserve">PASE, </w:t>
            </w:r>
            <w:r w:rsidRPr="002337A4">
              <w:rPr>
                <w:rFonts w:cs="Times New Roman"/>
                <w:i/>
              </w:rPr>
              <w:t>median(IQR)</w:t>
            </w:r>
          </w:p>
        </w:tc>
        <w:tc>
          <w:tcPr>
            <w:tcW w:w="1417" w:type="dxa"/>
            <w:tcBorders>
              <w:top w:val="single" w:sz="6" w:space="0" w:color="auto"/>
              <w:left w:val="nil"/>
              <w:bottom w:val="nil"/>
              <w:right w:val="single" w:sz="18" w:space="0" w:color="auto"/>
            </w:tcBorders>
            <w:vAlign w:val="center"/>
          </w:tcPr>
          <w:p w14:paraId="6962DFBD" w14:textId="77777777" w:rsidR="00BE26C0" w:rsidRPr="002337A4" w:rsidRDefault="00BE26C0" w:rsidP="000978C5">
            <w:pPr>
              <w:jc w:val="center"/>
              <w:rPr>
                <w:rFonts w:cs="Times New Roman"/>
              </w:rPr>
            </w:pPr>
          </w:p>
        </w:tc>
        <w:tc>
          <w:tcPr>
            <w:tcW w:w="2173" w:type="dxa"/>
            <w:tcBorders>
              <w:top w:val="single" w:sz="6" w:space="0" w:color="auto"/>
              <w:left w:val="single" w:sz="18" w:space="0" w:color="auto"/>
              <w:bottom w:val="nil"/>
              <w:right w:val="single" w:sz="6" w:space="0" w:color="auto"/>
            </w:tcBorders>
            <w:vAlign w:val="center"/>
          </w:tcPr>
          <w:p w14:paraId="112E4515" w14:textId="77777777" w:rsidR="00BE26C0" w:rsidRPr="002337A4" w:rsidRDefault="00BE26C0" w:rsidP="000978C5">
            <w:pPr>
              <w:jc w:val="center"/>
              <w:rPr>
                <w:rFonts w:cs="Times New Roman"/>
              </w:rPr>
            </w:pPr>
            <w:r w:rsidRPr="002337A4">
              <w:rPr>
                <w:rFonts w:cs="Times New Roman"/>
              </w:rPr>
              <w:t>129 (93 – 168)</w:t>
            </w:r>
          </w:p>
        </w:tc>
        <w:tc>
          <w:tcPr>
            <w:tcW w:w="2174" w:type="dxa"/>
            <w:tcBorders>
              <w:top w:val="single" w:sz="6" w:space="0" w:color="auto"/>
              <w:left w:val="single" w:sz="6" w:space="0" w:color="auto"/>
              <w:bottom w:val="nil"/>
              <w:right w:val="single" w:sz="6" w:space="0" w:color="auto"/>
            </w:tcBorders>
            <w:vAlign w:val="center"/>
          </w:tcPr>
          <w:p w14:paraId="371CEDED" w14:textId="77777777" w:rsidR="00BE26C0" w:rsidRPr="002337A4" w:rsidRDefault="00BE26C0" w:rsidP="000978C5">
            <w:pPr>
              <w:jc w:val="center"/>
              <w:rPr>
                <w:rFonts w:cs="Times New Roman"/>
              </w:rPr>
            </w:pPr>
            <w:r w:rsidRPr="002337A4">
              <w:rPr>
                <w:rFonts w:cs="Times New Roman"/>
              </w:rPr>
              <w:t>131 (93 – 170)</w:t>
            </w:r>
          </w:p>
        </w:tc>
        <w:tc>
          <w:tcPr>
            <w:tcW w:w="2174" w:type="dxa"/>
            <w:tcBorders>
              <w:top w:val="single" w:sz="6" w:space="0" w:color="auto"/>
              <w:left w:val="single" w:sz="6" w:space="0" w:color="auto"/>
              <w:bottom w:val="nil"/>
              <w:right w:val="single" w:sz="18" w:space="0" w:color="auto"/>
            </w:tcBorders>
            <w:vAlign w:val="center"/>
          </w:tcPr>
          <w:p w14:paraId="6BE078E2" w14:textId="77777777" w:rsidR="00BE26C0" w:rsidRPr="002337A4" w:rsidRDefault="00BE26C0" w:rsidP="000978C5">
            <w:pPr>
              <w:jc w:val="center"/>
              <w:rPr>
                <w:rFonts w:cs="Times New Roman"/>
              </w:rPr>
            </w:pPr>
            <w:r w:rsidRPr="002337A4">
              <w:rPr>
                <w:rFonts w:cs="Times New Roman"/>
              </w:rPr>
              <w:t>126 (92 – 162)</w:t>
            </w:r>
          </w:p>
        </w:tc>
        <w:tc>
          <w:tcPr>
            <w:tcW w:w="1002" w:type="dxa"/>
            <w:tcBorders>
              <w:top w:val="single" w:sz="6" w:space="0" w:color="auto"/>
              <w:left w:val="single" w:sz="18" w:space="0" w:color="auto"/>
              <w:bottom w:val="nil"/>
              <w:right w:val="nil"/>
            </w:tcBorders>
            <w:vAlign w:val="center"/>
          </w:tcPr>
          <w:p w14:paraId="1D8A6380" w14:textId="77777777" w:rsidR="00BE26C0" w:rsidRPr="002337A4" w:rsidRDefault="00BE26C0" w:rsidP="000978C5">
            <w:pPr>
              <w:jc w:val="center"/>
              <w:rPr>
                <w:rFonts w:cs="Times New Roman"/>
              </w:rPr>
            </w:pPr>
            <w:r w:rsidRPr="002337A4">
              <w:rPr>
                <w:rFonts w:cs="Times New Roman"/>
              </w:rPr>
              <w:t>0.305</w:t>
            </w:r>
          </w:p>
        </w:tc>
      </w:tr>
      <w:tr w:rsidR="00BE26C0" w:rsidRPr="002337A4" w14:paraId="0C9A83BF" w14:textId="77777777" w:rsidTr="000978C5">
        <w:trPr>
          <w:trHeight w:val="397"/>
        </w:trPr>
        <w:tc>
          <w:tcPr>
            <w:tcW w:w="2269" w:type="dxa"/>
            <w:vMerge w:val="restart"/>
            <w:tcBorders>
              <w:top w:val="nil"/>
              <w:left w:val="nil"/>
              <w:right w:val="nil"/>
            </w:tcBorders>
            <w:vAlign w:val="center"/>
          </w:tcPr>
          <w:p w14:paraId="6C0B338F" w14:textId="77777777" w:rsidR="00BE26C0" w:rsidRPr="002337A4" w:rsidRDefault="00BE26C0" w:rsidP="000978C5">
            <w:pPr>
              <w:rPr>
                <w:rFonts w:cs="Times New Roman"/>
                <w:i/>
              </w:rPr>
            </w:pPr>
            <w:r w:rsidRPr="002337A4">
              <w:rPr>
                <w:rFonts w:cs="Times New Roman"/>
                <w:b/>
              </w:rPr>
              <w:t xml:space="preserve">PASE, </w:t>
            </w:r>
            <w:r w:rsidRPr="002337A4">
              <w:rPr>
                <w:rFonts w:cs="Times New Roman"/>
                <w:i/>
              </w:rPr>
              <w:t>n(%)</w:t>
            </w:r>
          </w:p>
        </w:tc>
        <w:tc>
          <w:tcPr>
            <w:tcW w:w="1417" w:type="dxa"/>
            <w:tcBorders>
              <w:top w:val="nil"/>
              <w:left w:val="nil"/>
              <w:bottom w:val="nil"/>
              <w:right w:val="single" w:sz="18" w:space="0" w:color="auto"/>
            </w:tcBorders>
            <w:vAlign w:val="center"/>
          </w:tcPr>
          <w:p w14:paraId="04C5D83C" w14:textId="77777777" w:rsidR="00BE26C0" w:rsidRPr="002337A4" w:rsidRDefault="00BE26C0" w:rsidP="000978C5">
            <w:pPr>
              <w:jc w:val="center"/>
              <w:rPr>
                <w:rFonts w:cs="Times New Roman"/>
              </w:rPr>
            </w:pPr>
            <w:r w:rsidRPr="002337A4">
              <w:rPr>
                <w:rFonts w:cs="Times New Roman"/>
              </w:rPr>
              <w:t>[0 – 147]</w:t>
            </w:r>
          </w:p>
        </w:tc>
        <w:tc>
          <w:tcPr>
            <w:tcW w:w="2173" w:type="dxa"/>
            <w:tcBorders>
              <w:top w:val="nil"/>
              <w:left w:val="single" w:sz="18" w:space="0" w:color="auto"/>
              <w:bottom w:val="nil"/>
              <w:right w:val="single" w:sz="6" w:space="0" w:color="auto"/>
            </w:tcBorders>
            <w:vAlign w:val="center"/>
          </w:tcPr>
          <w:p w14:paraId="35051CD6" w14:textId="77777777" w:rsidR="00BE26C0" w:rsidRPr="002337A4" w:rsidRDefault="00BE26C0" w:rsidP="000978C5">
            <w:pPr>
              <w:jc w:val="center"/>
              <w:rPr>
                <w:rFonts w:cs="Times New Roman"/>
              </w:rPr>
            </w:pPr>
            <w:r w:rsidRPr="002337A4">
              <w:rPr>
                <w:rFonts w:cs="Times New Roman"/>
              </w:rPr>
              <w:t>551 (62.2)</w:t>
            </w:r>
          </w:p>
        </w:tc>
        <w:tc>
          <w:tcPr>
            <w:tcW w:w="2174" w:type="dxa"/>
            <w:tcBorders>
              <w:top w:val="nil"/>
              <w:left w:val="single" w:sz="6" w:space="0" w:color="auto"/>
              <w:bottom w:val="nil"/>
              <w:right w:val="single" w:sz="6" w:space="0" w:color="auto"/>
            </w:tcBorders>
            <w:vAlign w:val="center"/>
          </w:tcPr>
          <w:p w14:paraId="20300992" w14:textId="77777777" w:rsidR="00BE26C0" w:rsidRPr="002337A4" w:rsidRDefault="00BE26C0" w:rsidP="000978C5">
            <w:pPr>
              <w:jc w:val="center"/>
              <w:rPr>
                <w:rFonts w:cs="Times New Roman"/>
              </w:rPr>
            </w:pPr>
            <w:r w:rsidRPr="002337A4">
              <w:rPr>
                <w:rFonts w:cs="Times New Roman"/>
              </w:rPr>
              <w:t>403 (</w:t>
            </w:r>
            <w:r>
              <w:rPr>
                <w:rFonts w:cs="Times New Roman"/>
              </w:rPr>
              <w:t>60.9</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6DEBF8FB" w14:textId="77777777" w:rsidR="00BE26C0" w:rsidRPr="002337A4" w:rsidRDefault="00BE26C0" w:rsidP="000978C5">
            <w:pPr>
              <w:jc w:val="center"/>
              <w:rPr>
                <w:rFonts w:cs="Times New Roman"/>
              </w:rPr>
            </w:pPr>
            <w:r w:rsidRPr="002337A4">
              <w:rPr>
                <w:rFonts w:cs="Times New Roman"/>
              </w:rPr>
              <w:t>148 (</w:t>
            </w:r>
            <w:r>
              <w:rPr>
                <w:rFonts w:cs="Times New Roman"/>
              </w:rPr>
              <w:t>62.3</w:t>
            </w:r>
            <w:r w:rsidRPr="002337A4">
              <w:rPr>
                <w:rFonts w:cs="Times New Roman"/>
              </w:rPr>
              <w:t>)</w:t>
            </w:r>
          </w:p>
        </w:tc>
        <w:tc>
          <w:tcPr>
            <w:tcW w:w="1002" w:type="dxa"/>
            <w:vMerge w:val="restart"/>
            <w:tcBorders>
              <w:top w:val="nil"/>
              <w:left w:val="single" w:sz="18" w:space="0" w:color="auto"/>
              <w:right w:val="nil"/>
            </w:tcBorders>
            <w:vAlign w:val="center"/>
          </w:tcPr>
          <w:p w14:paraId="10BBB850" w14:textId="77777777" w:rsidR="00BE26C0" w:rsidRPr="002337A4" w:rsidRDefault="00BE26C0" w:rsidP="000978C5">
            <w:pPr>
              <w:jc w:val="center"/>
              <w:rPr>
                <w:rFonts w:cs="Times New Roman"/>
              </w:rPr>
            </w:pPr>
            <w:r w:rsidRPr="002337A4">
              <w:rPr>
                <w:rFonts w:cs="Times New Roman"/>
              </w:rPr>
              <w:t>0.257</w:t>
            </w:r>
          </w:p>
        </w:tc>
      </w:tr>
      <w:tr w:rsidR="00BE26C0" w:rsidRPr="002337A4" w14:paraId="1C1B258A" w14:textId="77777777" w:rsidTr="000978C5">
        <w:trPr>
          <w:trHeight w:val="397"/>
        </w:trPr>
        <w:tc>
          <w:tcPr>
            <w:tcW w:w="2269" w:type="dxa"/>
            <w:vMerge/>
            <w:tcBorders>
              <w:left w:val="nil"/>
              <w:right w:val="nil"/>
            </w:tcBorders>
            <w:vAlign w:val="center"/>
          </w:tcPr>
          <w:p w14:paraId="1EBCF015" w14:textId="77777777" w:rsidR="00BE26C0" w:rsidRPr="002337A4" w:rsidRDefault="00BE26C0" w:rsidP="000978C5">
            <w:pPr>
              <w:rPr>
                <w:rFonts w:cs="Times New Roman"/>
                <w:b/>
              </w:rPr>
            </w:pPr>
          </w:p>
        </w:tc>
        <w:tc>
          <w:tcPr>
            <w:tcW w:w="1417" w:type="dxa"/>
            <w:tcBorders>
              <w:top w:val="nil"/>
              <w:left w:val="nil"/>
              <w:bottom w:val="nil"/>
              <w:right w:val="single" w:sz="18" w:space="0" w:color="auto"/>
            </w:tcBorders>
            <w:vAlign w:val="center"/>
          </w:tcPr>
          <w:p w14:paraId="51532A39" w14:textId="77777777" w:rsidR="00BE26C0" w:rsidRPr="002337A4" w:rsidRDefault="00BE26C0" w:rsidP="000978C5">
            <w:pPr>
              <w:jc w:val="center"/>
              <w:rPr>
                <w:rFonts w:cs="Times New Roman"/>
              </w:rPr>
            </w:pPr>
            <w:r w:rsidRPr="002337A4">
              <w:rPr>
                <w:rFonts w:cs="Times New Roman"/>
              </w:rPr>
              <w:t>(147 – 230]</w:t>
            </w:r>
          </w:p>
        </w:tc>
        <w:tc>
          <w:tcPr>
            <w:tcW w:w="2173" w:type="dxa"/>
            <w:tcBorders>
              <w:top w:val="nil"/>
              <w:left w:val="single" w:sz="18" w:space="0" w:color="auto"/>
              <w:bottom w:val="nil"/>
              <w:right w:val="single" w:sz="6" w:space="0" w:color="auto"/>
            </w:tcBorders>
            <w:vAlign w:val="center"/>
          </w:tcPr>
          <w:p w14:paraId="7E87A951" w14:textId="77777777" w:rsidR="00BE26C0" w:rsidRPr="002337A4" w:rsidRDefault="00BE26C0" w:rsidP="000978C5">
            <w:pPr>
              <w:jc w:val="center"/>
              <w:rPr>
                <w:rFonts w:cs="Times New Roman"/>
              </w:rPr>
            </w:pPr>
            <w:r w:rsidRPr="002337A4">
              <w:rPr>
                <w:rFonts w:cs="Times New Roman"/>
              </w:rPr>
              <w:t>274 (31.0)</w:t>
            </w:r>
          </w:p>
        </w:tc>
        <w:tc>
          <w:tcPr>
            <w:tcW w:w="2174" w:type="dxa"/>
            <w:tcBorders>
              <w:top w:val="nil"/>
              <w:left w:val="single" w:sz="6" w:space="0" w:color="auto"/>
              <w:bottom w:val="nil"/>
              <w:right w:val="single" w:sz="6" w:space="0" w:color="auto"/>
            </w:tcBorders>
            <w:vAlign w:val="center"/>
          </w:tcPr>
          <w:p w14:paraId="357775BF" w14:textId="77777777" w:rsidR="00BE26C0" w:rsidRPr="002337A4" w:rsidRDefault="00BE26C0" w:rsidP="000978C5">
            <w:pPr>
              <w:jc w:val="center"/>
              <w:rPr>
                <w:rFonts w:cs="Times New Roman"/>
              </w:rPr>
            </w:pPr>
            <w:r w:rsidRPr="002337A4">
              <w:rPr>
                <w:rFonts w:cs="Times New Roman"/>
              </w:rPr>
              <w:t>210 (</w:t>
            </w:r>
            <w:r>
              <w:rPr>
                <w:rFonts w:cs="Times New Roman"/>
              </w:rPr>
              <w:t>31.7</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42ECFAD3" w14:textId="77777777" w:rsidR="00BE26C0" w:rsidRPr="002337A4" w:rsidRDefault="00BE26C0" w:rsidP="000978C5">
            <w:pPr>
              <w:jc w:val="center"/>
              <w:rPr>
                <w:rFonts w:cs="Times New Roman"/>
              </w:rPr>
            </w:pPr>
            <w:r w:rsidRPr="002337A4">
              <w:rPr>
                <w:rFonts w:cs="Times New Roman"/>
              </w:rPr>
              <w:t>64 (</w:t>
            </w:r>
            <w:r>
              <w:rPr>
                <w:rFonts w:cs="Times New Roman"/>
              </w:rPr>
              <w:t>28.7</w:t>
            </w:r>
            <w:r w:rsidRPr="002337A4">
              <w:rPr>
                <w:rFonts w:cs="Times New Roman"/>
              </w:rPr>
              <w:t>)</w:t>
            </w:r>
          </w:p>
        </w:tc>
        <w:tc>
          <w:tcPr>
            <w:tcW w:w="1002" w:type="dxa"/>
            <w:vMerge/>
            <w:tcBorders>
              <w:left w:val="single" w:sz="18" w:space="0" w:color="auto"/>
              <w:right w:val="nil"/>
            </w:tcBorders>
            <w:vAlign w:val="center"/>
          </w:tcPr>
          <w:p w14:paraId="185F53B6" w14:textId="77777777" w:rsidR="00BE26C0" w:rsidRPr="002337A4" w:rsidRDefault="00BE26C0" w:rsidP="000978C5">
            <w:pPr>
              <w:jc w:val="center"/>
              <w:rPr>
                <w:rFonts w:cs="Times New Roman"/>
              </w:rPr>
            </w:pPr>
          </w:p>
        </w:tc>
      </w:tr>
      <w:tr w:rsidR="00BE26C0" w:rsidRPr="002337A4" w14:paraId="7389C0B0" w14:textId="77777777" w:rsidTr="000978C5">
        <w:trPr>
          <w:trHeight w:val="397"/>
        </w:trPr>
        <w:tc>
          <w:tcPr>
            <w:tcW w:w="2269" w:type="dxa"/>
            <w:vMerge/>
            <w:tcBorders>
              <w:left w:val="nil"/>
              <w:bottom w:val="single" w:sz="6" w:space="0" w:color="auto"/>
              <w:right w:val="nil"/>
            </w:tcBorders>
            <w:vAlign w:val="center"/>
          </w:tcPr>
          <w:p w14:paraId="587BF05B"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25C0A901" w14:textId="77777777" w:rsidR="00BE26C0" w:rsidRPr="002337A4" w:rsidRDefault="00BE26C0" w:rsidP="000978C5">
            <w:pPr>
              <w:jc w:val="center"/>
              <w:rPr>
                <w:rFonts w:cs="Times New Roman"/>
              </w:rPr>
            </w:pPr>
            <w:r w:rsidRPr="002337A4">
              <w:rPr>
                <w:rFonts w:cs="Times New Roman"/>
              </w:rPr>
              <w:t>&gt; 230</w:t>
            </w:r>
          </w:p>
        </w:tc>
        <w:tc>
          <w:tcPr>
            <w:tcW w:w="2173" w:type="dxa"/>
            <w:tcBorders>
              <w:top w:val="nil"/>
              <w:left w:val="single" w:sz="18" w:space="0" w:color="auto"/>
              <w:bottom w:val="single" w:sz="6" w:space="0" w:color="auto"/>
              <w:right w:val="single" w:sz="6" w:space="0" w:color="auto"/>
            </w:tcBorders>
            <w:vAlign w:val="center"/>
          </w:tcPr>
          <w:p w14:paraId="6B204BF3" w14:textId="77777777" w:rsidR="00BE26C0" w:rsidRPr="002337A4" w:rsidRDefault="00BE26C0" w:rsidP="000978C5">
            <w:pPr>
              <w:jc w:val="center"/>
              <w:rPr>
                <w:rFonts w:cs="Times New Roman"/>
              </w:rPr>
            </w:pPr>
            <w:r w:rsidRPr="002337A4">
              <w:rPr>
                <w:rFonts w:cs="Times New Roman"/>
              </w:rPr>
              <w:t>60 (6.8)</w:t>
            </w:r>
          </w:p>
        </w:tc>
        <w:tc>
          <w:tcPr>
            <w:tcW w:w="2174" w:type="dxa"/>
            <w:tcBorders>
              <w:top w:val="nil"/>
              <w:left w:val="single" w:sz="6" w:space="0" w:color="auto"/>
              <w:bottom w:val="single" w:sz="6" w:space="0" w:color="auto"/>
              <w:right w:val="single" w:sz="6" w:space="0" w:color="auto"/>
            </w:tcBorders>
            <w:vAlign w:val="center"/>
          </w:tcPr>
          <w:p w14:paraId="510E9925" w14:textId="77777777" w:rsidR="00BE26C0" w:rsidRPr="002337A4" w:rsidRDefault="00BE26C0" w:rsidP="000978C5">
            <w:pPr>
              <w:jc w:val="center"/>
              <w:rPr>
                <w:rFonts w:cs="Times New Roman"/>
              </w:rPr>
            </w:pPr>
            <w:r w:rsidRPr="002337A4">
              <w:rPr>
                <w:rFonts w:cs="Times New Roman"/>
              </w:rPr>
              <w:t>49 (</w:t>
            </w:r>
            <w:r>
              <w:rPr>
                <w:rFonts w:cs="Times New Roman"/>
              </w:rPr>
              <w:t>7.4</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381601A0" w14:textId="77777777" w:rsidR="00BE26C0" w:rsidRPr="002337A4" w:rsidRDefault="00BE26C0" w:rsidP="000978C5">
            <w:pPr>
              <w:jc w:val="center"/>
              <w:rPr>
                <w:rFonts w:cs="Times New Roman"/>
              </w:rPr>
            </w:pPr>
            <w:r w:rsidRPr="002337A4">
              <w:rPr>
                <w:rFonts w:cs="Times New Roman"/>
              </w:rPr>
              <w:t>11 (</w:t>
            </w:r>
            <w:r>
              <w:rPr>
                <w:rFonts w:cs="Times New Roman"/>
              </w:rPr>
              <w:t>4.9</w:t>
            </w:r>
            <w:r w:rsidRPr="002337A4">
              <w:rPr>
                <w:rFonts w:cs="Times New Roman"/>
              </w:rPr>
              <w:t>)</w:t>
            </w:r>
          </w:p>
        </w:tc>
        <w:tc>
          <w:tcPr>
            <w:tcW w:w="1002" w:type="dxa"/>
            <w:vMerge/>
            <w:tcBorders>
              <w:left w:val="single" w:sz="18" w:space="0" w:color="auto"/>
              <w:bottom w:val="single" w:sz="6" w:space="0" w:color="auto"/>
              <w:right w:val="nil"/>
            </w:tcBorders>
            <w:vAlign w:val="center"/>
          </w:tcPr>
          <w:p w14:paraId="3F492128" w14:textId="77777777" w:rsidR="00BE26C0" w:rsidRPr="002337A4" w:rsidRDefault="00BE26C0" w:rsidP="000978C5">
            <w:pPr>
              <w:jc w:val="center"/>
              <w:rPr>
                <w:rFonts w:cs="Times New Roman"/>
              </w:rPr>
            </w:pPr>
          </w:p>
        </w:tc>
      </w:tr>
      <w:tr w:rsidR="00BE26C0" w:rsidRPr="002337A4" w14:paraId="6E15B6A3" w14:textId="77777777" w:rsidTr="000978C5">
        <w:trPr>
          <w:trHeight w:val="397"/>
        </w:trPr>
        <w:tc>
          <w:tcPr>
            <w:tcW w:w="2269" w:type="dxa"/>
            <w:vMerge w:val="restart"/>
            <w:tcBorders>
              <w:top w:val="single" w:sz="6" w:space="0" w:color="auto"/>
              <w:left w:val="nil"/>
              <w:right w:val="nil"/>
            </w:tcBorders>
            <w:vAlign w:val="center"/>
          </w:tcPr>
          <w:p w14:paraId="06B212E2" w14:textId="77777777" w:rsidR="00BE26C0" w:rsidRPr="002337A4" w:rsidRDefault="00BE26C0" w:rsidP="000978C5">
            <w:pPr>
              <w:rPr>
                <w:rFonts w:cs="Times New Roman"/>
                <w:i/>
              </w:rPr>
            </w:pPr>
            <w:r w:rsidRPr="002337A4">
              <w:rPr>
                <w:rFonts w:cs="Times New Roman"/>
                <w:b/>
              </w:rPr>
              <w:t xml:space="preserve">Comorbidity, </w:t>
            </w:r>
            <w:r w:rsidRPr="002337A4">
              <w:rPr>
                <w:rFonts w:cs="Times New Roman"/>
                <w:i/>
              </w:rPr>
              <w:t>n(%)</w:t>
            </w:r>
          </w:p>
        </w:tc>
        <w:tc>
          <w:tcPr>
            <w:tcW w:w="1417" w:type="dxa"/>
            <w:tcBorders>
              <w:top w:val="single" w:sz="6" w:space="0" w:color="auto"/>
              <w:left w:val="nil"/>
              <w:bottom w:val="nil"/>
              <w:right w:val="single" w:sz="18" w:space="0" w:color="auto"/>
            </w:tcBorders>
            <w:vAlign w:val="center"/>
          </w:tcPr>
          <w:p w14:paraId="788B0DCA" w14:textId="77777777" w:rsidR="00BE26C0" w:rsidRPr="002337A4" w:rsidRDefault="00BE26C0" w:rsidP="000978C5">
            <w:pPr>
              <w:jc w:val="center"/>
              <w:rPr>
                <w:rFonts w:cs="Times New Roman"/>
              </w:rPr>
            </w:pPr>
            <w:r w:rsidRPr="002337A4">
              <w:rPr>
                <w:rFonts w:cs="Times New Roman"/>
              </w:rPr>
              <w:t>[0 – 1]</w:t>
            </w:r>
          </w:p>
        </w:tc>
        <w:tc>
          <w:tcPr>
            <w:tcW w:w="2173" w:type="dxa"/>
            <w:tcBorders>
              <w:top w:val="single" w:sz="6" w:space="0" w:color="auto"/>
              <w:left w:val="single" w:sz="18" w:space="0" w:color="auto"/>
              <w:bottom w:val="nil"/>
              <w:right w:val="single" w:sz="6" w:space="0" w:color="auto"/>
            </w:tcBorders>
            <w:vAlign w:val="center"/>
          </w:tcPr>
          <w:p w14:paraId="099CE63D" w14:textId="77777777" w:rsidR="00BE26C0" w:rsidRPr="002337A4" w:rsidRDefault="00BE26C0" w:rsidP="000978C5">
            <w:pPr>
              <w:jc w:val="center"/>
              <w:rPr>
                <w:rFonts w:cs="Times New Roman"/>
              </w:rPr>
            </w:pPr>
            <w:r w:rsidRPr="002337A4">
              <w:rPr>
                <w:rFonts w:cs="Times New Roman"/>
              </w:rPr>
              <w:t>763 (86.2)</w:t>
            </w:r>
          </w:p>
        </w:tc>
        <w:tc>
          <w:tcPr>
            <w:tcW w:w="2174" w:type="dxa"/>
            <w:tcBorders>
              <w:top w:val="single" w:sz="6" w:space="0" w:color="auto"/>
              <w:left w:val="single" w:sz="6" w:space="0" w:color="auto"/>
              <w:bottom w:val="nil"/>
              <w:right w:val="single" w:sz="6" w:space="0" w:color="auto"/>
            </w:tcBorders>
            <w:vAlign w:val="center"/>
          </w:tcPr>
          <w:p w14:paraId="63395C58" w14:textId="77777777" w:rsidR="00BE26C0" w:rsidRPr="002337A4" w:rsidRDefault="00BE26C0" w:rsidP="000978C5">
            <w:pPr>
              <w:jc w:val="center"/>
              <w:rPr>
                <w:rFonts w:cs="Times New Roman"/>
              </w:rPr>
            </w:pPr>
            <w:r w:rsidRPr="002337A4">
              <w:rPr>
                <w:rFonts w:cs="Times New Roman"/>
              </w:rPr>
              <w:t>583 (</w:t>
            </w:r>
            <w:r>
              <w:rPr>
                <w:rFonts w:cs="Times New Roman"/>
              </w:rPr>
              <w:t>88.1</w:t>
            </w:r>
            <w:r w:rsidRPr="002337A4">
              <w:rPr>
                <w:rFonts w:cs="Times New Roman"/>
              </w:rPr>
              <w:t>)</w:t>
            </w:r>
          </w:p>
        </w:tc>
        <w:tc>
          <w:tcPr>
            <w:tcW w:w="2174" w:type="dxa"/>
            <w:tcBorders>
              <w:top w:val="single" w:sz="6" w:space="0" w:color="auto"/>
              <w:left w:val="single" w:sz="6" w:space="0" w:color="auto"/>
              <w:bottom w:val="nil"/>
              <w:right w:val="single" w:sz="18" w:space="0" w:color="auto"/>
            </w:tcBorders>
            <w:vAlign w:val="center"/>
          </w:tcPr>
          <w:p w14:paraId="2A987FED" w14:textId="77777777" w:rsidR="00BE26C0" w:rsidRPr="002337A4" w:rsidRDefault="00BE26C0" w:rsidP="000978C5">
            <w:pPr>
              <w:jc w:val="center"/>
              <w:rPr>
                <w:rFonts w:cs="Times New Roman"/>
              </w:rPr>
            </w:pPr>
            <w:r w:rsidRPr="002337A4">
              <w:rPr>
                <w:rFonts w:cs="Times New Roman"/>
              </w:rPr>
              <w:t>180 (</w:t>
            </w:r>
            <w:r>
              <w:rPr>
                <w:rFonts w:cs="Times New Roman"/>
              </w:rPr>
              <w:t>80.7</w:t>
            </w:r>
            <w:r w:rsidRPr="002337A4">
              <w:rPr>
                <w:rFonts w:cs="Times New Roman"/>
              </w:rPr>
              <w:t>)</w:t>
            </w:r>
          </w:p>
        </w:tc>
        <w:tc>
          <w:tcPr>
            <w:tcW w:w="1002" w:type="dxa"/>
            <w:vMerge w:val="restart"/>
            <w:tcBorders>
              <w:top w:val="single" w:sz="6" w:space="0" w:color="auto"/>
              <w:left w:val="single" w:sz="18" w:space="0" w:color="auto"/>
              <w:right w:val="nil"/>
            </w:tcBorders>
            <w:vAlign w:val="center"/>
          </w:tcPr>
          <w:p w14:paraId="3770666A" w14:textId="77777777" w:rsidR="00BE26C0" w:rsidRPr="002337A4" w:rsidRDefault="00BE26C0" w:rsidP="000978C5">
            <w:pPr>
              <w:jc w:val="center"/>
              <w:rPr>
                <w:rFonts w:cs="Times New Roman"/>
              </w:rPr>
            </w:pPr>
            <w:r w:rsidRPr="002337A4">
              <w:rPr>
                <w:rFonts w:cs="Times New Roman"/>
              </w:rPr>
              <w:t>0.009</w:t>
            </w:r>
          </w:p>
        </w:tc>
      </w:tr>
      <w:tr w:rsidR="00BE26C0" w:rsidRPr="002337A4" w14:paraId="33F6D9D7" w14:textId="77777777" w:rsidTr="000978C5">
        <w:trPr>
          <w:trHeight w:val="397"/>
        </w:trPr>
        <w:tc>
          <w:tcPr>
            <w:tcW w:w="2269" w:type="dxa"/>
            <w:vMerge/>
            <w:tcBorders>
              <w:left w:val="nil"/>
              <w:bottom w:val="single" w:sz="6" w:space="0" w:color="auto"/>
              <w:right w:val="nil"/>
            </w:tcBorders>
            <w:vAlign w:val="center"/>
          </w:tcPr>
          <w:p w14:paraId="520C8C04"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46645895" w14:textId="77777777" w:rsidR="00BE26C0" w:rsidRPr="002337A4" w:rsidRDefault="00BE26C0" w:rsidP="000978C5">
            <w:pPr>
              <w:jc w:val="center"/>
              <w:rPr>
                <w:rFonts w:cs="Times New Roman"/>
              </w:rPr>
            </w:pPr>
            <w:r w:rsidRPr="002337A4">
              <w:rPr>
                <w:rFonts w:cs="Times New Roman"/>
              </w:rPr>
              <w:t>&gt;1</w:t>
            </w:r>
          </w:p>
        </w:tc>
        <w:tc>
          <w:tcPr>
            <w:tcW w:w="2173" w:type="dxa"/>
            <w:tcBorders>
              <w:top w:val="nil"/>
              <w:left w:val="single" w:sz="18" w:space="0" w:color="auto"/>
              <w:bottom w:val="single" w:sz="6" w:space="0" w:color="auto"/>
              <w:right w:val="single" w:sz="6" w:space="0" w:color="auto"/>
            </w:tcBorders>
            <w:vAlign w:val="center"/>
          </w:tcPr>
          <w:p w14:paraId="12A731E2" w14:textId="77777777" w:rsidR="00BE26C0" w:rsidRPr="002337A4" w:rsidRDefault="00BE26C0" w:rsidP="000978C5">
            <w:pPr>
              <w:jc w:val="center"/>
              <w:rPr>
                <w:rFonts w:cs="Times New Roman"/>
              </w:rPr>
            </w:pPr>
            <w:r w:rsidRPr="002337A4">
              <w:rPr>
                <w:rFonts w:cs="Times New Roman"/>
              </w:rPr>
              <w:t>122 (13.8)</w:t>
            </w:r>
          </w:p>
        </w:tc>
        <w:tc>
          <w:tcPr>
            <w:tcW w:w="2174" w:type="dxa"/>
            <w:tcBorders>
              <w:top w:val="nil"/>
              <w:left w:val="single" w:sz="6" w:space="0" w:color="auto"/>
              <w:bottom w:val="single" w:sz="6" w:space="0" w:color="auto"/>
              <w:right w:val="single" w:sz="6" w:space="0" w:color="auto"/>
            </w:tcBorders>
            <w:vAlign w:val="center"/>
          </w:tcPr>
          <w:p w14:paraId="33317834" w14:textId="77777777" w:rsidR="00BE26C0" w:rsidRPr="002337A4" w:rsidRDefault="00BE26C0" w:rsidP="000978C5">
            <w:pPr>
              <w:jc w:val="center"/>
              <w:rPr>
                <w:rFonts w:cs="Times New Roman"/>
              </w:rPr>
            </w:pPr>
            <w:r w:rsidRPr="002337A4">
              <w:rPr>
                <w:rFonts w:cs="Times New Roman"/>
              </w:rPr>
              <w:t>79 (</w:t>
            </w:r>
            <w:r>
              <w:rPr>
                <w:rFonts w:cs="Times New Roman"/>
              </w:rPr>
              <w:t>11.9</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0BDD3936" w14:textId="77777777" w:rsidR="00BE26C0" w:rsidRPr="002337A4" w:rsidRDefault="00BE26C0" w:rsidP="000978C5">
            <w:pPr>
              <w:jc w:val="center"/>
              <w:rPr>
                <w:rFonts w:cs="Times New Roman"/>
              </w:rPr>
            </w:pPr>
            <w:r w:rsidRPr="002337A4">
              <w:rPr>
                <w:rFonts w:cs="Times New Roman"/>
              </w:rPr>
              <w:t>43 (</w:t>
            </w:r>
            <w:r>
              <w:rPr>
                <w:rFonts w:cs="Times New Roman"/>
              </w:rPr>
              <w:t>19.3</w:t>
            </w:r>
            <w:r w:rsidRPr="002337A4">
              <w:rPr>
                <w:rFonts w:cs="Times New Roman"/>
              </w:rPr>
              <w:t>)</w:t>
            </w:r>
          </w:p>
        </w:tc>
        <w:tc>
          <w:tcPr>
            <w:tcW w:w="1002" w:type="dxa"/>
            <w:vMerge/>
            <w:tcBorders>
              <w:left w:val="single" w:sz="18" w:space="0" w:color="auto"/>
              <w:bottom w:val="single" w:sz="6" w:space="0" w:color="auto"/>
              <w:right w:val="nil"/>
            </w:tcBorders>
            <w:vAlign w:val="center"/>
          </w:tcPr>
          <w:p w14:paraId="40E889AF" w14:textId="77777777" w:rsidR="00BE26C0" w:rsidRPr="002337A4" w:rsidRDefault="00BE26C0" w:rsidP="000978C5">
            <w:pPr>
              <w:jc w:val="center"/>
              <w:rPr>
                <w:rFonts w:cs="Times New Roman"/>
              </w:rPr>
            </w:pPr>
          </w:p>
        </w:tc>
      </w:tr>
      <w:tr w:rsidR="00BE26C0" w:rsidRPr="002337A4" w14:paraId="0B2279A5" w14:textId="77777777" w:rsidTr="000978C5">
        <w:trPr>
          <w:trHeight w:val="397"/>
        </w:trPr>
        <w:tc>
          <w:tcPr>
            <w:tcW w:w="2269" w:type="dxa"/>
            <w:tcBorders>
              <w:top w:val="single" w:sz="6" w:space="0" w:color="auto"/>
              <w:left w:val="nil"/>
              <w:bottom w:val="nil"/>
              <w:right w:val="nil"/>
            </w:tcBorders>
            <w:vAlign w:val="center"/>
          </w:tcPr>
          <w:p w14:paraId="200FC9BA" w14:textId="77777777" w:rsidR="00BE26C0" w:rsidRPr="002337A4" w:rsidRDefault="00BE26C0" w:rsidP="000978C5">
            <w:pPr>
              <w:rPr>
                <w:rFonts w:cs="Times New Roman"/>
                <w:i/>
              </w:rPr>
            </w:pPr>
            <w:r>
              <w:rPr>
                <w:rFonts w:cs="Times New Roman"/>
                <w:b/>
              </w:rPr>
              <w:t>Number of Drugs</w:t>
            </w:r>
            <w:r w:rsidRPr="002337A4">
              <w:rPr>
                <w:rFonts w:cs="Times New Roman"/>
              </w:rPr>
              <w:t xml:space="preserve"> </w:t>
            </w:r>
            <w:r w:rsidRPr="002337A4">
              <w:rPr>
                <w:rFonts w:cs="Times New Roman"/>
                <w:i/>
              </w:rPr>
              <w:t>median(IQR)</w:t>
            </w:r>
          </w:p>
        </w:tc>
        <w:tc>
          <w:tcPr>
            <w:tcW w:w="1417" w:type="dxa"/>
            <w:tcBorders>
              <w:top w:val="single" w:sz="6" w:space="0" w:color="auto"/>
              <w:left w:val="nil"/>
              <w:bottom w:val="nil"/>
              <w:right w:val="single" w:sz="18" w:space="0" w:color="auto"/>
            </w:tcBorders>
            <w:vAlign w:val="center"/>
          </w:tcPr>
          <w:p w14:paraId="18BA9607" w14:textId="77777777" w:rsidR="00BE26C0" w:rsidRPr="002337A4" w:rsidRDefault="00BE26C0" w:rsidP="000978C5">
            <w:pPr>
              <w:jc w:val="center"/>
              <w:rPr>
                <w:rFonts w:cs="Times New Roman"/>
              </w:rPr>
            </w:pPr>
          </w:p>
        </w:tc>
        <w:tc>
          <w:tcPr>
            <w:tcW w:w="2173" w:type="dxa"/>
            <w:tcBorders>
              <w:top w:val="single" w:sz="6" w:space="0" w:color="auto"/>
              <w:left w:val="single" w:sz="18" w:space="0" w:color="auto"/>
              <w:bottom w:val="nil"/>
              <w:right w:val="single" w:sz="6" w:space="0" w:color="auto"/>
            </w:tcBorders>
            <w:vAlign w:val="center"/>
          </w:tcPr>
          <w:p w14:paraId="491A3986" w14:textId="77777777" w:rsidR="00BE26C0" w:rsidRPr="002337A4" w:rsidRDefault="00BE26C0" w:rsidP="000978C5">
            <w:pPr>
              <w:jc w:val="center"/>
              <w:rPr>
                <w:rFonts w:cs="Times New Roman"/>
              </w:rPr>
            </w:pPr>
            <w:r w:rsidRPr="002337A4">
              <w:rPr>
                <w:rFonts w:cs="Times New Roman"/>
              </w:rPr>
              <w:t>3 (2 – 5)</w:t>
            </w:r>
          </w:p>
        </w:tc>
        <w:tc>
          <w:tcPr>
            <w:tcW w:w="2174" w:type="dxa"/>
            <w:tcBorders>
              <w:top w:val="single" w:sz="6" w:space="0" w:color="auto"/>
              <w:left w:val="single" w:sz="6" w:space="0" w:color="auto"/>
              <w:bottom w:val="nil"/>
              <w:right w:val="single" w:sz="6" w:space="0" w:color="auto"/>
            </w:tcBorders>
            <w:vAlign w:val="center"/>
          </w:tcPr>
          <w:p w14:paraId="0E1D9F40" w14:textId="77777777" w:rsidR="00BE26C0" w:rsidRPr="002337A4" w:rsidRDefault="00BE26C0" w:rsidP="000978C5">
            <w:pPr>
              <w:jc w:val="center"/>
              <w:rPr>
                <w:rFonts w:cs="Times New Roman"/>
              </w:rPr>
            </w:pPr>
            <w:r w:rsidRPr="002337A4">
              <w:rPr>
                <w:rFonts w:cs="Times New Roman"/>
              </w:rPr>
              <w:t>3 (2 – 5)</w:t>
            </w:r>
          </w:p>
        </w:tc>
        <w:tc>
          <w:tcPr>
            <w:tcW w:w="2174" w:type="dxa"/>
            <w:tcBorders>
              <w:top w:val="single" w:sz="6" w:space="0" w:color="auto"/>
              <w:left w:val="single" w:sz="6" w:space="0" w:color="auto"/>
              <w:bottom w:val="nil"/>
              <w:right w:val="single" w:sz="18" w:space="0" w:color="auto"/>
            </w:tcBorders>
            <w:vAlign w:val="center"/>
          </w:tcPr>
          <w:p w14:paraId="21731E5D" w14:textId="77777777" w:rsidR="00BE26C0" w:rsidRPr="002337A4" w:rsidRDefault="00BE26C0" w:rsidP="000978C5">
            <w:pPr>
              <w:jc w:val="center"/>
              <w:rPr>
                <w:rFonts w:cs="Times New Roman"/>
              </w:rPr>
            </w:pPr>
            <w:r w:rsidRPr="002337A4">
              <w:rPr>
                <w:rFonts w:cs="Times New Roman"/>
              </w:rPr>
              <w:t>4 (2 – 5)</w:t>
            </w:r>
          </w:p>
        </w:tc>
        <w:tc>
          <w:tcPr>
            <w:tcW w:w="1002" w:type="dxa"/>
            <w:tcBorders>
              <w:top w:val="single" w:sz="6" w:space="0" w:color="auto"/>
              <w:left w:val="single" w:sz="18" w:space="0" w:color="auto"/>
              <w:bottom w:val="nil"/>
              <w:right w:val="nil"/>
            </w:tcBorders>
            <w:vAlign w:val="center"/>
          </w:tcPr>
          <w:p w14:paraId="58608D88" w14:textId="77777777" w:rsidR="00BE26C0" w:rsidRPr="002337A4" w:rsidRDefault="00BE26C0" w:rsidP="000978C5">
            <w:pPr>
              <w:jc w:val="center"/>
              <w:rPr>
                <w:rFonts w:cs="Times New Roman"/>
              </w:rPr>
            </w:pPr>
            <w:r w:rsidRPr="002337A4">
              <w:rPr>
                <w:rFonts w:cs="Times New Roman"/>
              </w:rPr>
              <w:t>0.116</w:t>
            </w:r>
          </w:p>
        </w:tc>
      </w:tr>
      <w:tr w:rsidR="00BE26C0" w:rsidRPr="002337A4" w14:paraId="388BD581" w14:textId="77777777" w:rsidTr="000978C5">
        <w:trPr>
          <w:trHeight w:val="397"/>
        </w:trPr>
        <w:tc>
          <w:tcPr>
            <w:tcW w:w="2269" w:type="dxa"/>
            <w:vMerge w:val="restart"/>
            <w:tcBorders>
              <w:top w:val="nil"/>
              <w:left w:val="nil"/>
              <w:right w:val="nil"/>
            </w:tcBorders>
            <w:vAlign w:val="center"/>
          </w:tcPr>
          <w:p w14:paraId="44A15D3F" w14:textId="77777777" w:rsidR="00BE26C0" w:rsidRPr="002337A4" w:rsidRDefault="00BE26C0" w:rsidP="000978C5">
            <w:pPr>
              <w:rPr>
                <w:rFonts w:cs="Times New Roman"/>
                <w:i/>
              </w:rPr>
            </w:pPr>
            <w:r>
              <w:rPr>
                <w:rFonts w:cs="Times New Roman"/>
                <w:b/>
              </w:rPr>
              <w:t xml:space="preserve">Number of </w:t>
            </w:r>
            <w:r w:rsidRPr="002337A4">
              <w:rPr>
                <w:rFonts w:cs="Times New Roman"/>
                <w:b/>
              </w:rPr>
              <w:t xml:space="preserve">Drugs, </w:t>
            </w:r>
            <w:r w:rsidRPr="002337A4">
              <w:rPr>
                <w:rFonts w:cs="Times New Roman"/>
                <w:i/>
              </w:rPr>
              <w:t>n(%)</w:t>
            </w:r>
          </w:p>
        </w:tc>
        <w:tc>
          <w:tcPr>
            <w:tcW w:w="1417" w:type="dxa"/>
            <w:tcBorders>
              <w:top w:val="nil"/>
              <w:left w:val="nil"/>
              <w:bottom w:val="nil"/>
              <w:right w:val="single" w:sz="18" w:space="0" w:color="auto"/>
            </w:tcBorders>
            <w:vAlign w:val="center"/>
          </w:tcPr>
          <w:p w14:paraId="7D831D77" w14:textId="77777777" w:rsidR="00BE26C0" w:rsidRPr="002337A4" w:rsidRDefault="00BE26C0" w:rsidP="000978C5">
            <w:pPr>
              <w:jc w:val="center"/>
              <w:rPr>
                <w:rFonts w:cs="Times New Roman"/>
              </w:rPr>
            </w:pPr>
            <w:r w:rsidRPr="002337A4">
              <w:rPr>
                <w:rFonts w:cs="Times New Roman"/>
              </w:rPr>
              <w:t>[0 – 4]</w:t>
            </w:r>
          </w:p>
        </w:tc>
        <w:tc>
          <w:tcPr>
            <w:tcW w:w="2173" w:type="dxa"/>
            <w:tcBorders>
              <w:top w:val="nil"/>
              <w:left w:val="single" w:sz="18" w:space="0" w:color="auto"/>
              <w:bottom w:val="nil"/>
              <w:right w:val="single" w:sz="6" w:space="0" w:color="auto"/>
            </w:tcBorders>
            <w:vAlign w:val="center"/>
          </w:tcPr>
          <w:p w14:paraId="2A0E476E" w14:textId="77777777" w:rsidR="00BE26C0" w:rsidRPr="002337A4" w:rsidRDefault="00BE26C0" w:rsidP="000978C5">
            <w:pPr>
              <w:jc w:val="center"/>
              <w:rPr>
                <w:rFonts w:cs="Times New Roman"/>
              </w:rPr>
            </w:pPr>
            <w:r w:rsidRPr="002337A4">
              <w:rPr>
                <w:rFonts w:cs="Times New Roman"/>
              </w:rPr>
              <w:t>604 (68.2)</w:t>
            </w:r>
          </w:p>
        </w:tc>
        <w:tc>
          <w:tcPr>
            <w:tcW w:w="2174" w:type="dxa"/>
            <w:tcBorders>
              <w:top w:val="nil"/>
              <w:left w:val="single" w:sz="6" w:space="0" w:color="auto"/>
              <w:bottom w:val="nil"/>
              <w:right w:val="single" w:sz="6" w:space="0" w:color="auto"/>
            </w:tcBorders>
            <w:vAlign w:val="center"/>
          </w:tcPr>
          <w:p w14:paraId="00D721B4" w14:textId="77777777" w:rsidR="00BE26C0" w:rsidRPr="002337A4" w:rsidRDefault="00BE26C0" w:rsidP="000978C5">
            <w:pPr>
              <w:jc w:val="center"/>
              <w:rPr>
                <w:rFonts w:cs="Times New Roman"/>
              </w:rPr>
            </w:pPr>
            <w:r w:rsidRPr="002337A4">
              <w:rPr>
                <w:rFonts w:cs="Times New Roman"/>
              </w:rPr>
              <w:t>465 (70</w:t>
            </w:r>
            <w:r>
              <w:rPr>
                <w:rFonts w:cs="Times New Roman"/>
              </w:rPr>
              <w:t>.2</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5834A897" w14:textId="77777777" w:rsidR="00BE26C0" w:rsidRPr="002337A4" w:rsidRDefault="00BE26C0" w:rsidP="000978C5">
            <w:pPr>
              <w:jc w:val="center"/>
              <w:rPr>
                <w:rFonts w:cs="Times New Roman"/>
              </w:rPr>
            </w:pPr>
            <w:r w:rsidRPr="002337A4">
              <w:rPr>
                <w:rFonts w:cs="Times New Roman"/>
              </w:rPr>
              <w:t>139 (</w:t>
            </w:r>
            <w:r>
              <w:rPr>
                <w:rFonts w:cs="Times New Roman"/>
              </w:rPr>
              <w:t>6</w:t>
            </w:r>
            <w:r w:rsidRPr="002337A4">
              <w:rPr>
                <w:rFonts w:cs="Times New Roman"/>
              </w:rPr>
              <w:t>2</w:t>
            </w:r>
            <w:r>
              <w:rPr>
                <w:rFonts w:cs="Times New Roman"/>
              </w:rPr>
              <w:t>.</w:t>
            </w:r>
            <w:r w:rsidRPr="002337A4">
              <w:rPr>
                <w:rFonts w:cs="Times New Roman"/>
              </w:rPr>
              <w:t>3)</w:t>
            </w:r>
          </w:p>
        </w:tc>
        <w:tc>
          <w:tcPr>
            <w:tcW w:w="1002" w:type="dxa"/>
            <w:vMerge w:val="restart"/>
            <w:tcBorders>
              <w:top w:val="nil"/>
              <w:left w:val="single" w:sz="18" w:space="0" w:color="auto"/>
              <w:right w:val="nil"/>
            </w:tcBorders>
            <w:vAlign w:val="center"/>
          </w:tcPr>
          <w:p w14:paraId="77349D84" w14:textId="77777777" w:rsidR="00BE26C0" w:rsidRPr="002337A4" w:rsidRDefault="00BE26C0" w:rsidP="000978C5">
            <w:pPr>
              <w:jc w:val="center"/>
              <w:rPr>
                <w:rFonts w:cs="Times New Roman"/>
              </w:rPr>
            </w:pPr>
            <w:r w:rsidRPr="002337A4">
              <w:rPr>
                <w:rFonts w:cs="Times New Roman"/>
              </w:rPr>
              <w:t>0.050</w:t>
            </w:r>
          </w:p>
        </w:tc>
      </w:tr>
      <w:tr w:rsidR="00BE26C0" w:rsidRPr="002337A4" w14:paraId="1B959B62" w14:textId="77777777" w:rsidTr="000978C5">
        <w:trPr>
          <w:trHeight w:val="397"/>
        </w:trPr>
        <w:tc>
          <w:tcPr>
            <w:tcW w:w="2269" w:type="dxa"/>
            <w:vMerge/>
            <w:tcBorders>
              <w:left w:val="nil"/>
              <w:right w:val="nil"/>
            </w:tcBorders>
            <w:vAlign w:val="center"/>
          </w:tcPr>
          <w:p w14:paraId="678A75C6" w14:textId="77777777" w:rsidR="00BE26C0" w:rsidRPr="002337A4" w:rsidRDefault="00BE26C0" w:rsidP="000978C5">
            <w:pPr>
              <w:rPr>
                <w:rFonts w:cs="Times New Roman"/>
                <w:b/>
              </w:rPr>
            </w:pPr>
          </w:p>
        </w:tc>
        <w:tc>
          <w:tcPr>
            <w:tcW w:w="1417" w:type="dxa"/>
            <w:tcBorders>
              <w:top w:val="nil"/>
              <w:left w:val="nil"/>
              <w:bottom w:val="nil"/>
              <w:right w:val="single" w:sz="18" w:space="0" w:color="auto"/>
            </w:tcBorders>
            <w:vAlign w:val="center"/>
          </w:tcPr>
          <w:p w14:paraId="45D52ACF" w14:textId="77777777" w:rsidR="00BE26C0" w:rsidRPr="002337A4" w:rsidRDefault="00BE26C0" w:rsidP="000978C5">
            <w:pPr>
              <w:jc w:val="center"/>
              <w:rPr>
                <w:rFonts w:cs="Times New Roman"/>
              </w:rPr>
            </w:pPr>
            <w:r w:rsidRPr="002337A4">
              <w:rPr>
                <w:rFonts w:cs="Times New Roman"/>
              </w:rPr>
              <w:t>[5 – 7]</w:t>
            </w:r>
          </w:p>
        </w:tc>
        <w:tc>
          <w:tcPr>
            <w:tcW w:w="2173" w:type="dxa"/>
            <w:tcBorders>
              <w:top w:val="nil"/>
              <w:left w:val="single" w:sz="18" w:space="0" w:color="auto"/>
              <w:bottom w:val="nil"/>
              <w:right w:val="single" w:sz="6" w:space="0" w:color="auto"/>
            </w:tcBorders>
            <w:vAlign w:val="center"/>
          </w:tcPr>
          <w:p w14:paraId="1DD82709" w14:textId="77777777" w:rsidR="00BE26C0" w:rsidRPr="002337A4" w:rsidRDefault="00BE26C0" w:rsidP="000978C5">
            <w:pPr>
              <w:jc w:val="center"/>
              <w:rPr>
                <w:rFonts w:cs="Times New Roman"/>
              </w:rPr>
            </w:pPr>
            <w:r w:rsidRPr="002337A4">
              <w:rPr>
                <w:rFonts w:cs="Times New Roman"/>
              </w:rPr>
              <w:t>206 (23.3)</w:t>
            </w:r>
          </w:p>
        </w:tc>
        <w:tc>
          <w:tcPr>
            <w:tcW w:w="2174" w:type="dxa"/>
            <w:tcBorders>
              <w:top w:val="nil"/>
              <w:left w:val="single" w:sz="6" w:space="0" w:color="auto"/>
              <w:bottom w:val="nil"/>
              <w:right w:val="single" w:sz="6" w:space="0" w:color="auto"/>
            </w:tcBorders>
            <w:vAlign w:val="center"/>
          </w:tcPr>
          <w:p w14:paraId="085E43F6" w14:textId="77777777" w:rsidR="00BE26C0" w:rsidRPr="002337A4" w:rsidRDefault="00BE26C0" w:rsidP="000978C5">
            <w:pPr>
              <w:jc w:val="center"/>
              <w:rPr>
                <w:rFonts w:cs="Times New Roman"/>
              </w:rPr>
            </w:pPr>
            <w:r w:rsidRPr="002337A4">
              <w:rPr>
                <w:rFonts w:cs="Times New Roman"/>
              </w:rPr>
              <w:t>148 (</w:t>
            </w:r>
            <w:r>
              <w:rPr>
                <w:rFonts w:cs="Times New Roman"/>
              </w:rPr>
              <w:t>22.4</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2361F6FB" w14:textId="77777777" w:rsidR="00BE26C0" w:rsidRPr="002337A4" w:rsidRDefault="00BE26C0" w:rsidP="000978C5">
            <w:pPr>
              <w:jc w:val="center"/>
              <w:rPr>
                <w:rFonts w:cs="Times New Roman"/>
              </w:rPr>
            </w:pPr>
            <w:r w:rsidRPr="002337A4">
              <w:rPr>
                <w:rFonts w:cs="Times New Roman"/>
              </w:rPr>
              <w:t>58 (2</w:t>
            </w:r>
            <w:r>
              <w:rPr>
                <w:rFonts w:cs="Times New Roman"/>
              </w:rPr>
              <w:t>6.0</w:t>
            </w:r>
            <w:r w:rsidRPr="002337A4">
              <w:rPr>
                <w:rFonts w:cs="Times New Roman"/>
              </w:rPr>
              <w:t>)</w:t>
            </w:r>
          </w:p>
        </w:tc>
        <w:tc>
          <w:tcPr>
            <w:tcW w:w="1002" w:type="dxa"/>
            <w:vMerge/>
            <w:tcBorders>
              <w:left w:val="single" w:sz="18" w:space="0" w:color="auto"/>
              <w:right w:val="nil"/>
            </w:tcBorders>
            <w:vAlign w:val="center"/>
          </w:tcPr>
          <w:p w14:paraId="004CC105" w14:textId="77777777" w:rsidR="00BE26C0" w:rsidRPr="002337A4" w:rsidRDefault="00BE26C0" w:rsidP="000978C5">
            <w:pPr>
              <w:jc w:val="center"/>
              <w:rPr>
                <w:rFonts w:cs="Times New Roman"/>
              </w:rPr>
            </w:pPr>
          </w:p>
        </w:tc>
      </w:tr>
      <w:tr w:rsidR="00BE26C0" w:rsidRPr="002337A4" w14:paraId="1EFE4F37" w14:textId="77777777" w:rsidTr="000978C5">
        <w:trPr>
          <w:trHeight w:val="397"/>
        </w:trPr>
        <w:tc>
          <w:tcPr>
            <w:tcW w:w="2269" w:type="dxa"/>
            <w:vMerge/>
            <w:tcBorders>
              <w:left w:val="nil"/>
              <w:bottom w:val="single" w:sz="6" w:space="0" w:color="auto"/>
              <w:right w:val="nil"/>
            </w:tcBorders>
            <w:vAlign w:val="center"/>
          </w:tcPr>
          <w:p w14:paraId="5576CBC7"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49747CF7" w14:textId="77777777" w:rsidR="00BE26C0" w:rsidRPr="002337A4" w:rsidRDefault="00BE26C0" w:rsidP="000978C5">
            <w:pPr>
              <w:jc w:val="center"/>
              <w:rPr>
                <w:rFonts w:cs="Times New Roman"/>
              </w:rPr>
            </w:pPr>
            <w:r w:rsidRPr="002337A4">
              <w:rPr>
                <w:rFonts w:cs="Times New Roman"/>
              </w:rPr>
              <w:t>&gt; 7</w:t>
            </w:r>
          </w:p>
        </w:tc>
        <w:tc>
          <w:tcPr>
            <w:tcW w:w="2173" w:type="dxa"/>
            <w:tcBorders>
              <w:top w:val="nil"/>
              <w:left w:val="single" w:sz="18" w:space="0" w:color="auto"/>
              <w:bottom w:val="single" w:sz="6" w:space="0" w:color="auto"/>
              <w:right w:val="single" w:sz="6" w:space="0" w:color="auto"/>
            </w:tcBorders>
            <w:vAlign w:val="center"/>
          </w:tcPr>
          <w:p w14:paraId="14EAEA3F" w14:textId="77777777" w:rsidR="00BE26C0" w:rsidRPr="002337A4" w:rsidRDefault="00BE26C0" w:rsidP="000978C5">
            <w:pPr>
              <w:jc w:val="center"/>
              <w:rPr>
                <w:rFonts w:cs="Times New Roman"/>
              </w:rPr>
            </w:pPr>
            <w:r w:rsidRPr="002337A4">
              <w:rPr>
                <w:rFonts w:cs="Times New Roman"/>
              </w:rPr>
              <w:t>75 (8.5)</w:t>
            </w:r>
          </w:p>
        </w:tc>
        <w:tc>
          <w:tcPr>
            <w:tcW w:w="2174" w:type="dxa"/>
            <w:tcBorders>
              <w:top w:val="nil"/>
              <w:left w:val="single" w:sz="6" w:space="0" w:color="auto"/>
              <w:bottom w:val="single" w:sz="6" w:space="0" w:color="auto"/>
              <w:right w:val="single" w:sz="6" w:space="0" w:color="auto"/>
            </w:tcBorders>
            <w:vAlign w:val="center"/>
          </w:tcPr>
          <w:p w14:paraId="1329368D" w14:textId="77777777" w:rsidR="00BE26C0" w:rsidRPr="002337A4" w:rsidRDefault="00BE26C0" w:rsidP="000978C5">
            <w:pPr>
              <w:jc w:val="center"/>
              <w:rPr>
                <w:rFonts w:cs="Times New Roman"/>
              </w:rPr>
            </w:pPr>
            <w:r w:rsidRPr="002337A4">
              <w:rPr>
                <w:rFonts w:cs="Times New Roman"/>
              </w:rPr>
              <w:t>49 (</w:t>
            </w:r>
            <w:r>
              <w:rPr>
                <w:rFonts w:cs="Times New Roman"/>
              </w:rPr>
              <w:t>7.4</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2F1E7386" w14:textId="77777777" w:rsidR="00BE26C0" w:rsidRPr="002337A4" w:rsidRDefault="00BE26C0" w:rsidP="000978C5">
            <w:pPr>
              <w:jc w:val="center"/>
              <w:rPr>
                <w:rFonts w:cs="Times New Roman"/>
              </w:rPr>
            </w:pPr>
            <w:r w:rsidRPr="002337A4">
              <w:rPr>
                <w:rFonts w:cs="Times New Roman"/>
              </w:rPr>
              <w:t>26 (</w:t>
            </w:r>
            <w:r>
              <w:rPr>
                <w:rFonts w:cs="Times New Roman"/>
              </w:rPr>
              <w:t>11.7</w:t>
            </w:r>
            <w:r w:rsidRPr="002337A4">
              <w:rPr>
                <w:rFonts w:cs="Times New Roman"/>
              </w:rPr>
              <w:t>)</w:t>
            </w:r>
          </w:p>
        </w:tc>
        <w:tc>
          <w:tcPr>
            <w:tcW w:w="1002" w:type="dxa"/>
            <w:vMerge/>
            <w:tcBorders>
              <w:left w:val="single" w:sz="18" w:space="0" w:color="auto"/>
              <w:bottom w:val="single" w:sz="6" w:space="0" w:color="auto"/>
              <w:right w:val="nil"/>
            </w:tcBorders>
            <w:vAlign w:val="center"/>
          </w:tcPr>
          <w:p w14:paraId="3E42AD47" w14:textId="77777777" w:rsidR="00BE26C0" w:rsidRPr="002337A4" w:rsidRDefault="00BE26C0" w:rsidP="000978C5">
            <w:pPr>
              <w:jc w:val="center"/>
              <w:rPr>
                <w:rFonts w:cs="Times New Roman"/>
              </w:rPr>
            </w:pPr>
          </w:p>
        </w:tc>
      </w:tr>
      <w:tr w:rsidR="00BE26C0" w:rsidRPr="002337A4" w14:paraId="5A30CEC6" w14:textId="77777777" w:rsidTr="000978C5">
        <w:trPr>
          <w:trHeight w:val="397"/>
        </w:trPr>
        <w:tc>
          <w:tcPr>
            <w:tcW w:w="3686" w:type="dxa"/>
            <w:gridSpan w:val="2"/>
            <w:tcBorders>
              <w:top w:val="single" w:sz="6" w:space="0" w:color="auto"/>
              <w:left w:val="nil"/>
              <w:bottom w:val="nil"/>
              <w:right w:val="single" w:sz="18" w:space="0" w:color="auto"/>
            </w:tcBorders>
            <w:vAlign w:val="center"/>
          </w:tcPr>
          <w:p w14:paraId="1D31C354" w14:textId="77777777" w:rsidR="00BE26C0" w:rsidRPr="002337A4" w:rsidRDefault="00BE26C0" w:rsidP="000978C5">
            <w:pPr>
              <w:rPr>
                <w:rFonts w:cs="Times New Roman"/>
              </w:rPr>
            </w:pPr>
            <w:r w:rsidRPr="002337A4">
              <w:rPr>
                <w:rFonts w:cs="Times New Roman"/>
                <w:b/>
              </w:rPr>
              <w:t xml:space="preserve">KOOS – QoL, </w:t>
            </w:r>
            <w:r w:rsidRPr="002337A4">
              <w:rPr>
                <w:rFonts w:cs="Times New Roman"/>
                <w:i/>
              </w:rPr>
              <w:t>median(IQR)</w:t>
            </w:r>
          </w:p>
        </w:tc>
        <w:tc>
          <w:tcPr>
            <w:tcW w:w="2173" w:type="dxa"/>
            <w:tcBorders>
              <w:top w:val="single" w:sz="6" w:space="0" w:color="auto"/>
              <w:left w:val="single" w:sz="18" w:space="0" w:color="auto"/>
              <w:bottom w:val="nil"/>
              <w:right w:val="single" w:sz="6" w:space="0" w:color="auto"/>
            </w:tcBorders>
            <w:vAlign w:val="center"/>
          </w:tcPr>
          <w:p w14:paraId="191F38E5" w14:textId="77777777" w:rsidR="00BE26C0" w:rsidRPr="002337A4" w:rsidRDefault="00BE26C0" w:rsidP="000978C5">
            <w:pPr>
              <w:jc w:val="center"/>
              <w:rPr>
                <w:rFonts w:cs="Times New Roman"/>
              </w:rPr>
            </w:pPr>
            <w:r w:rsidRPr="002337A4">
              <w:rPr>
                <w:rFonts w:cs="Times New Roman"/>
              </w:rPr>
              <w:t>75.0 (56.3 – 87.5)</w:t>
            </w:r>
          </w:p>
        </w:tc>
        <w:tc>
          <w:tcPr>
            <w:tcW w:w="2174" w:type="dxa"/>
            <w:tcBorders>
              <w:top w:val="single" w:sz="6" w:space="0" w:color="auto"/>
              <w:left w:val="single" w:sz="6" w:space="0" w:color="auto"/>
              <w:bottom w:val="nil"/>
              <w:right w:val="single" w:sz="6" w:space="0" w:color="auto"/>
            </w:tcBorders>
            <w:vAlign w:val="center"/>
          </w:tcPr>
          <w:p w14:paraId="5DD678B0" w14:textId="77777777" w:rsidR="00BE26C0" w:rsidRPr="002337A4" w:rsidRDefault="00BE26C0" w:rsidP="000978C5">
            <w:pPr>
              <w:jc w:val="center"/>
              <w:rPr>
                <w:rFonts w:cs="Times New Roman"/>
              </w:rPr>
            </w:pPr>
            <w:r w:rsidRPr="002337A4">
              <w:rPr>
                <w:rFonts w:cs="Times New Roman"/>
              </w:rPr>
              <w:t>75.0 (62.5 – 87.5)</w:t>
            </w:r>
          </w:p>
        </w:tc>
        <w:tc>
          <w:tcPr>
            <w:tcW w:w="2174" w:type="dxa"/>
            <w:tcBorders>
              <w:top w:val="single" w:sz="6" w:space="0" w:color="auto"/>
              <w:left w:val="single" w:sz="6" w:space="0" w:color="auto"/>
              <w:bottom w:val="nil"/>
              <w:right w:val="single" w:sz="18" w:space="0" w:color="auto"/>
            </w:tcBorders>
            <w:vAlign w:val="center"/>
          </w:tcPr>
          <w:p w14:paraId="07E0ED6E" w14:textId="77777777" w:rsidR="00BE26C0" w:rsidRPr="002337A4" w:rsidRDefault="00BE26C0" w:rsidP="000978C5">
            <w:pPr>
              <w:jc w:val="center"/>
              <w:rPr>
                <w:rFonts w:cs="Times New Roman"/>
              </w:rPr>
            </w:pPr>
            <w:r w:rsidRPr="002337A4">
              <w:rPr>
                <w:rFonts w:cs="Times New Roman"/>
              </w:rPr>
              <w:t>68.8 (56.3 – 87.5)</w:t>
            </w:r>
          </w:p>
        </w:tc>
        <w:tc>
          <w:tcPr>
            <w:tcW w:w="1002" w:type="dxa"/>
            <w:tcBorders>
              <w:top w:val="single" w:sz="6" w:space="0" w:color="auto"/>
              <w:left w:val="single" w:sz="18" w:space="0" w:color="auto"/>
              <w:bottom w:val="nil"/>
              <w:right w:val="nil"/>
            </w:tcBorders>
            <w:vAlign w:val="center"/>
          </w:tcPr>
          <w:p w14:paraId="5B01413E" w14:textId="77777777" w:rsidR="00BE26C0" w:rsidRPr="002337A4" w:rsidRDefault="00BE26C0" w:rsidP="000978C5">
            <w:pPr>
              <w:jc w:val="center"/>
              <w:rPr>
                <w:rFonts w:cs="Times New Roman"/>
              </w:rPr>
            </w:pPr>
            <w:r w:rsidRPr="002337A4">
              <w:rPr>
                <w:rFonts w:cs="Times New Roman"/>
              </w:rPr>
              <w:t>0.020</w:t>
            </w:r>
          </w:p>
        </w:tc>
      </w:tr>
      <w:tr w:rsidR="00BE26C0" w:rsidRPr="002337A4" w14:paraId="5B11A645" w14:textId="77777777" w:rsidTr="000978C5">
        <w:trPr>
          <w:trHeight w:val="397"/>
        </w:trPr>
        <w:tc>
          <w:tcPr>
            <w:tcW w:w="2269" w:type="dxa"/>
            <w:vMerge w:val="restart"/>
            <w:tcBorders>
              <w:top w:val="nil"/>
              <w:left w:val="nil"/>
              <w:right w:val="nil"/>
            </w:tcBorders>
            <w:vAlign w:val="center"/>
          </w:tcPr>
          <w:p w14:paraId="1D79674F" w14:textId="77777777" w:rsidR="00BE26C0" w:rsidRPr="002337A4" w:rsidRDefault="00BE26C0" w:rsidP="000978C5">
            <w:pPr>
              <w:rPr>
                <w:rFonts w:cs="Times New Roman"/>
                <w:i/>
              </w:rPr>
            </w:pPr>
            <w:r w:rsidRPr="002337A4">
              <w:rPr>
                <w:rFonts w:cs="Times New Roman"/>
                <w:b/>
              </w:rPr>
              <w:t xml:space="preserve">KOOS – QoL, </w:t>
            </w:r>
            <w:r w:rsidRPr="002337A4">
              <w:rPr>
                <w:rFonts w:cs="Times New Roman"/>
                <w:i/>
              </w:rPr>
              <w:t>n(%)</w:t>
            </w:r>
          </w:p>
        </w:tc>
        <w:tc>
          <w:tcPr>
            <w:tcW w:w="1417" w:type="dxa"/>
            <w:tcBorders>
              <w:top w:val="nil"/>
              <w:left w:val="nil"/>
              <w:bottom w:val="nil"/>
              <w:right w:val="single" w:sz="18" w:space="0" w:color="auto"/>
            </w:tcBorders>
            <w:vAlign w:val="center"/>
          </w:tcPr>
          <w:p w14:paraId="557D1252" w14:textId="77777777" w:rsidR="00BE26C0" w:rsidRPr="002337A4" w:rsidRDefault="00BE26C0" w:rsidP="000978C5">
            <w:pPr>
              <w:jc w:val="center"/>
              <w:rPr>
                <w:rFonts w:cs="Times New Roman"/>
              </w:rPr>
            </w:pPr>
            <w:r w:rsidRPr="002337A4">
              <w:rPr>
                <w:rFonts w:cs="Times New Roman"/>
              </w:rPr>
              <w:t>[0 – 63]</w:t>
            </w:r>
          </w:p>
        </w:tc>
        <w:tc>
          <w:tcPr>
            <w:tcW w:w="2173" w:type="dxa"/>
            <w:tcBorders>
              <w:top w:val="nil"/>
              <w:left w:val="single" w:sz="18" w:space="0" w:color="auto"/>
              <w:bottom w:val="nil"/>
              <w:right w:val="single" w:sz="6" w:space="0" w:color="auto"/>
            </w:tcBorders>
            <w:vAlign w:val="center"/>
          </w:tcPr>
          <w:p w14:paraId="3A34BEB6" w14:textId="77777777" w:rsidR="00BE26C0" w:rsidRPr="002337A4" w:rsidRDefault="00BE26C0" w:rsidP="000978C5">
            <w:pPr>
              <w:jc w:val="center"/>
              <w:rPr>
                <w:rFonts w:cs="Times New Roman"/>
              </w:rPr>
            </w:pPr>
            <w:r w:rsidRPr="002337A4">
              <w:rPr>
                <w:rFonts w:cs="Times New Roman"/>
              </w:rPr>
              <w:t>332 (37.5)</w:t>
            </w:r>
          </w:p>
        </w:tc>
        <w:tc>
          <w:tcPr>
            <w:tcW w:w="2174" w:type="dxa"/>
            <w:tcBorders>
              <w:top w:val="nil"/>
              <w:left w:val="single" w:sz="6" w:space="0" w:color="auto"/>
              <w:bottom w:val="nil"/>
              <w:right w:val="single" w:sz="6" w:space="0" w:color="auto"/>
            </w:tcBorders>
            <w:vAlign w:val="center"/>
          </w:tcPr>
          <w:p w14:paraId="14852DAD" w14:textId="77777777" w:rsidR="00BE26C0" w:rsidRPr="002337A4" w:rsidRDefault="00BE26C0" w:rsidP="000978C5">
            <w:pPr>
              <w:jc w:val="center"/>
              <w:rPr>
                <w:rFonts w:cs="Times New Roman"/>
              </w:rPr>
            </w:pPr>
            <w:r w:rsidRPr="002337A4">
              <w:rPr>
                <w:rFonts w:cs="Times New Roman"/>
              </w:rPr>
              <w:t>235 (</w:t>
            </w:r>
            <w:r>
              <w:rPr>
                <w:rFonts w:cs="Times New Roman"/>
              </w:rPr>
              <w:t>35.5</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54360C5B" w14:textId="77777777" w:rsidR="00BE26C0" w:rsidRPr="002337A4" w:rsidRDefault="00BE26C0" w:rsidP="000978C5">
            <w:pPr>
              <w:jc w:val="center"/>
              <w:rPr>
                <w:rFonts w:cs="Times New Roman"/>
              </w:rPr>
            </w:pPr>
            <w:r w:rsidRPr="002337A4">
              <w:rPr>
                <w:rFonts w:cs="Times New Roman"/>
              </w:rPr>
              <w:t>97 (</w:t>
            </w:r>
            <w:r>
              <w:rPr>
                <w:rFonts w:cs="Times New Roman"/>
              </w:rPr>
              <w:t>43.5</w:t>
            </w:r>
            <w:r w:rsidRPr="002337A4">
              <w:rPr>
                <w:rFonts w:cs="Times New Roman"/>
              </w:rPr>
              <w:t>)</w:t>
            </w:r>
          </w:p>
        </w:tc>
        <w:tc>
          <w:tcPr>
            <w:tcW w:w="1002" w:type="dxa"/>
            <w:vMerge w:val="restart"/>
            <w:tcBorders>
              <w:top w:val="nil"/>
              <w:left w:val="single" w:sz="18" w:space="0" w:color="auto"/>
              <w:right w:val="nil"/>
            </w:tcBorders>
            <w:vAlign w:val="center"/>
          </w:tcPr>
          <w:p w14:paraId="3884D5FA" w14:textId="77777777" w:rsidR="00BE26C0" w:rsidRPr="002337A4" w:rsidRDefault="00BE26C0" w:rsidP="000978C5">
            <w:pPr>
              <w:jc w:val="center"/>
              <w:rPr>
                <w:rFonts w:cs="Times New Roman"/>
              </w:rPr>
            </w:pPr>
            <w:r w:rsidRPr="002337A4">
              <w:rPr>
                <w:rFonts w:cs="Times New Roman"/>
              </w:rPr>
              <w:t>0.045</w:t>
            </w:r>
          </w:p>
        </w:tc>
      </w:tr>
      <w:tr w:rsidR="00BE26C0" w:rsidRPr="002337A4" w14:paraId="1C683AF6" w14:textId="77777777" w:rsidTr="000978C5">
        <w:trPr>
          <w:trHeight w:val="397"/>
        </w:trPr>
        <w:tc>
          <w:tcPr>
            <w:tcW w:w="2269" w:type="dxa"/>
            <w:vMerge/>
            <w:tcBorders>
              <w:top w:val="nil"/>
              <w:left w:val="nil"/>
              <w:right w:val="nil"/>
            </w:tcBorders>
            <w:vAlign w:val="center"/>
          </w:tcPr>
          <w:p w14:paraId="4F2485B9" w14:textId="77777777" w:rsidR="00BE26C0" w:rsidRPr="002337A4" w:rsidRDefault="00BE26C0" w:rsidP="000978C5">
            <w:pPr>
              <w:rPr>
                <w:rFonts w:cs="Times New Roman"/>
                <w:b/>
              </w:rPr>
            </w:pPr>
          </w:p>
        </w:tc>
        <w:tc>
          <w:tcPr>
            <w:tcW w:w="1417" w:type="dxa"/>
            <w:tcBorders>
              <w:top w:val="nil"/>
              <w:left w:val="nil"/>
              <w:bottom w:val="nil"/>
              <w:right w:val="single" w:sz="18" w:space="0" w:color="auto"/>
            </w:tcBorders>
            <w:vAlign w:val="center"/>
          </w:tcPr>
          <w:p w14:paraId="472AF02F" w14:textId="77777777" w:rsidR="00BE26C0" w:rsidRPr="002337A4" w:rsidRDefault="00BE26C0" w:rsidP="000978C5">
            <w:pPr>
              <w:jc w:val="center"/>
              <w:rPr>
                <w:rFonts w:cs="Times New Roman"/>
              </w:rPr>
            </w:pPr>
            <w:r w:rsidRPr="002337A4">
              <w:rPr>
                <w:rFonts w:cs="Times New Roman"/>
              </w:rPr>
              <w:t>(63 – 76]</w:t>
            </w:r>
          </w:p>
        </w:tc>
        <w:tc>
          <w:tcPr>
            <w:tcW w:w="2173" w:type="dxa"/>
            <w:tcBorders>
              <w:top w:val="nil"/>
              <w:left w:val="single" w:sz="18" w:space="0" w:color="auto"/>
              <w:bottom w:val="nil"/>
              <w:right w:val="single" w:sz="6" w:space="0" w:color="auto"/>
            </w:tcBorders>
            <w:vAlign w:val="center"/>
          </w:tcPr>
          <w:p w14:paraId="554D1D14" w14:textId="77777777" w:rsidR="00BE26C0" w:rsidRPr="002337A4" w:rsidRDefault="00BE26C0" w:rsidP="000978C5">
            <w:pPr>
              <w:jc w:val="center"/>
              <w:rPr>
                <w:rFonts w:cs="Times New Roman"/>
              </w:rPr>
            </w:pPr>
            <w:r w:rsidRPr="002337A4">
              <w:rPr>
                <w:rFonts w:cs="Times New Roman"/>
              </w:rPr>
              <w:t>209 (23.6)</w:t>
            </w:r>
          </w:p>
        </w:tc>
        <w:tc>
          <w:tcPr>
            <w:tcW w:w="2174" w:type="dxa"/>
            <w:tcBorders>
              <w:top w:val="nil"/>
              <w:left w:val="single" w:sz="6" w:space="0" w:color="auto"/>
              <w:bottom w:val="nil"/>
              <w:right w:val="single" w:sz="6" w:space="0" w:color="auto"/>
            </w:tcBorders>
            <w:vAlign w:val="center"/>
          </w:tcPr>
          <w:p w14:paraId="0A617896" w14:textId="77777777" w:rsidR="00BE26C0" w:rsidRPr="002337A4" w:rsidRDefault="00BE26C0" w:rsidP="000978C5">
            <w:pPr>
              <w:jc w:val="center"/>
              <w:rPr>
                <w:rFonts w:cs="Times New Roman"/>
              </w:rPr>
            </w:pPr>
            <w:r w:rsidRPr="002337A4">
              <w:rPr>
                <w:rFonts w:cs="Times New Roman"/>
              </w:rPr>
              <w:t>155 (</w:t>
            </w:r>
            <w:r>
              <w:rPr>
                <w:rFonts w:cs="Times New Roman"/>
              </w:rPr>
              <w:t>23.4</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585BD0AE" w14:textId="77777777" w:rsidR="00BE26C0" w:rsidRPr="002337A4" w:rsidRDefault="00BE26C0" w:rsidP="000978C5">
            <w:pPr>
              <w:jc w:val="center"/>
              <w:rPr>
                <w:rFonts w:cs="Times New Roman"/>
              </w:rPr>
            </w:pPr>
            <w:r w:rsidRPr="002337A4">
              <w:rPr>
                <w:rFonts w:cs="Times New Roman"/>
              </w:rPr>
              <w:t>54 (</w:t>
            </w:r>
            <w:r>
              <w:rPr>
                <w:rFonts w:cs="Times New Roman"/>
              </w:rPr>
              <w:t>24.2</w:t>
            </w:r>
            <w:r w:rsidRPr="002337A4">
              <w:rPr>
                <w:rFonts w:cs="Times New Roman"/>
              </w:rPr>
              <w:t>)</w:t>
            </w:r>
          </w:p>
        </w:tc>
        <w:tc>
          <w:tcPr>
            <w:tcW w:w="1002" w:type="dxa"/>
            <w:vMerge/>
            <w:tcBorders>
              <w:top w:val="nil"/>
              <w:left w:val="single" w:sz="18" w:space="0" w:color="auto"/>
              <w:right w:val="nil"/>
            </w:tcBorders>
            <w:vAlign w:val="center"/>
          </w:tcPr>
          <w:p w14:paraId="55619A45" w14:textId="77777777" w:rsidR="00BE26C0" w:rsidRPr="002337A4" w:rsidRDefault="00BE26C0" w:rsidP="000978C5">
            <w:pPr>
              <w:jc w:val="center"/>
              <w:rPr>
                <w:rFonts w:cs="Times New Roman"/>
              </w:rPr>
            </w:pPr>
          </w:p>
        </w:tc>
      </w:tr>
      <w:tr w:rsidR="00BE26C0" w:rsidRPr="002337A4" w14:paraId="0BE876C2" w14:textId="77777777" w:rsidTr="000978C5">
        <w:trPr>
          <w:trHeight w:val="397"/>
        </w:trPr>
        <w:tc>
          <w:tcPr>
            <w:tcW w:w="2269" w:type="dxa"/>
            <w:vMerge/>
            <w:tcBorders>
              <w:left w:val="nil"/>
              <w:bottom w:val="single" w:sz="6" w:space="0" w:color="auto"/>
              <w:right w:val="nil"/>
            </w:tcBorders>
            <w:vAlign w:val="center"/>
          </w:tcPr>
          <w:p w14:paraId="65AAA670"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5EC003EE" w14:textId="77777777" w:rsidR="00BE26C0" w:rsidRPr="002337A4" w:rsidRDefault="00BE26C0" w:rsidP="000978C5">
            <w:pPr>
              <w:jc w:val="center"/>
              <w:rPr>
                <w:rFonts w:cs="Times New Roman"/>
              </w:rPr>
            </w:pPr>
            <w:r w:rsidRPr="002337A4">
              <w:rPr>
                <w:rFonts w:cs="Times New Roman"/>
              </w:rPr>
              <w:t>(76 – 100]</w:t>
            </w:r>
          </w:p>
        </w:tc>
        <w:tc>
          <w:tcPr>
            <w:tcW w:w="2173" w:type="dxa"/>
            <w:tcBorders>
              <w:top w:val="nil"/>
              <w:left w:val="single" w:sz="18" w:space="0" w:color="auto"/>
              <w:bottom w:val="single" w:sz="6" w:space="0" w:color="auto"/>
              <w:right w:val="single" w:sz="6" w:space="0" w:color="auto"/>
            </w:tcBorders>
            <w:vAlign w:val="center"/>
          </w:tcPr>
          <w:p w14:paraId="0763BB39" w14:textId="77777777" w:rsidR="00BE26C0" w:rsidRPr="002337A4" w:rsidRDefault="00BE26C0" w:rsidP="000978C5">
            <w:pPr>
              <w:jc w:val="center"/>
              <w:rPr>
                <w:rFonts w:cs="Times New Roman"/>
              </w:rPr>
            </w:pPr>
            <w:r w:rsidRPr="002337A4">
              <w:rPr>
                <w:rFonts w:cs="Times New Roman"/>
              </w:rPr>
              <w:t>344 (38.9)</w:t>
            </w:r>
          </w:p>
        </w:tc>
        <w:tc>
          <w:tcPr>
            <w:tcW w:w="2174" w:type="dxa"/>
            <w:tcBorders>
              <w:top w:val="nil"/>
              <w:left w:val="single" w:sz="6" w:space="0" w:color="auto"/>
              <w:bottom w:val="single" w:sz="6" w:space="0" w:color="auto"/>
              <w:right w:val="single" w:sz="6" w:space="0" w:color="auto"/>
            </w:tcBorders>
            <w:vAlign w:val="center"/>
          </w:tcPr>
          <w:p w14:paraId="1812338E" w14:textId="77777777" w:rsidR="00BE26C0" w:rsidRPr="002337A4" w:rsidRDefault="00BE26C0" w:rsidP="000978C5">
            <w:pPr>
              <w:jc w:val="center"/>
              <w:rPr>
                <w:rFonts w:cs="Times New Roman"/>
              </w:rPr>
            </w:pPr>
            <w:r w:rsidRPr="002337A4">
              <w:rPr>
                <w:rFonts w:cs="Times New Roman"/>
              </w:rPr>
              <w:t>272 (</w:t>
            </w:r>
            <w:r>
              <w:rPr>
                <w:rFonts w:cs="Times New Roman"/>
              </w:rPr>
              <w:t>41.1</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0D508AC2" w14:textId="77777777" w:rsidR="00BE26C0" w:rsidRPr="002337A4" w:rsidRDefault="00BE26C0" w:rsidP="000978C5">
            <w:pPr>
              <w:jc w:val="center"/>
              <w:rPr>
                <w:rFonts w:cs="Times New Roman"/>
              </w:rPr>
            </w:pPr>
            <w:r w:rsidRPr="002337A4">
              <w:rPr>
                <w:rFonts w:cs="Times New Roman"/>
              </w:rPr>
              <w:t>72 (</w:t>
            </w:r>
            <w:r>
              <w:rPr>
                <w:rFonts w:cs="Times New Roman"/>
              </w:rPr>
              <w:t>32.3</w:t>
            </w:r>
            <w:r w:rsidRPr="002337A4">
              <w:rPr>
                <w:rFonts w:cs="Times New Roman"/>
              </w:rPr>
              <w:t>)</w:t>
            </w:r>
          </w:p>
        </w:tc>
        <w:tc>
          <w:tcPr>
            <w:tcW w:w="1002" w:type="dxa"/>
            <w:vMerge/>
            <w:tcBorders>
              <w:left w:val="single" w:sz="18" w:space="0" w:color="auto"/>
              <w:bottom w:val="single" w:sz="6" w:space="0" w:color="auto"/>
              <w:right w:val="nil"/>
            </w:tcBorders>
            <w:vAlign w:val="center"/>
          </w:tcPr>
          <w:p w14:paraId="65E7E27B" w14:textId="77777777" w:rsidR="00BE26C0" w:rsidRPr="002337A4" w:rsidRDefault="00BE26C0" w:rsidP="000978C5">
            <w:pPr>
              <w:jc w:val="center"/>
              <w:rPr>
                <w:rFonts w:cs="Times New Roman"/>
              </w:rPr>
            </w:pPr>
          </w:p>
        </w:tc>
      </w:tr>
      <w:tr w:rsidR="00BE26C0" w:rsidRPr="002337A4" w14:paraId="7493B4DF" w14:textId="77777777" w:rsidTr="000978C5">
        <w:trPr>
          <w:trHeight w:val="397"/>
        </w:trPr>
        <w:tc>
          <w:tcPr>
            <w:tcW w:w="2269" w:type="dxa"/>
            <w:vMerge w:val="restart"/>
            <w:tcBorders>
              <w:top w:val="nil"/>
              <w:left w:val="nil"/>
              <w:right w:val="nil"/>
            </w:tcBorders>
            <w:vAlign w:val="center"/>
          </w:tcPr>
          <w:p w14:paraId="70209D6E" w14:textId="77777777" w:rsidR="00BE26C0" w:rsidRPr="002337A4" w:rsidRDefault="00BE26C0" w:rsidP="000978C5">
            <w:pPr>
              <w:rPr>
                <w:rFonts w:cs="Times New Roman"/>
                <w:i/>
              </w:rPr>
            </w:pPr>
            <w:r w:rsidRPr="002337A4">
              <w:rPr>
                <w:rFonts w:cs="Times New Roman"/>
                <w:b/>
              </w:rPr>
              <w:t xml:space="preserve">BMI, </w:t>
            </w:r>
            <w:r w:rsidRPr="002337A4">
              <w:rPr>
                <w:rFonts w:cs="Times New Roman"/>
                <w:i/>
              </w:rPr>
              <w:t>n(%)</w:t>
            </w:r>
          </w:p>
        </w:tc>
        <w:tc>
          <w:tcPr>
            <w:tcW w:w="1417" w:type="dxa"/>
            <w:tcBorders>
              <w:top w:val="nil"/>
              <w:left w:val="nil"/>
              <w:bottom w:val="nil"/>
              <w:right w:val="single" w:sz="18" w:space="0" w:color="auto"/>
            </w:tcBorders>
            <w:vAlign w:val="center"/>
          </w:tcPr>
          <w:p w14:paraId="2E448491" w14:textId="77777777" w:rsidR="00BE26C0" w:rsidRPr="002337A4" w:rsidRDefault="00BE26C0" w:rsidP="000978C5">
            <w:pPr>
              <w:jc w:val="center"/>
              <w:rPr>
                <w:rFonts w:cs="Times New Roman"/>
              </w:rPr>
            </w:pPr>
            <w:r w:rsidRPr="002337A4">
              <w:rPr>
                <w:rFonts w:cs="Times New Roman"/>
              </w:rPr>
              <w:t>&lt; 30</w:t>
            </w:r>
          </w:p>
        </w:tc>
        <w:tc>
          <w:tcPr>
            <w:tcW w:w="2173" w:type="dxa"/>
            <w:tcBorders>
              <w:top w:val="nil"/>
              <w:left w:val="single" w:sz="18" w:space="0" w:color="auto"/>
              <w:bottom w:val="nil"/>
              <w:right w:val="single" w:sz="6" w:space="0" w:color="auto"/>
            </w:tcBorders>
            <w:vAlign w:val="center"/>
          </w:tcPr>
          <w:p w14:paraId="159E6F0B" w14:textId="77777777" w:rsidR="00BE26C0" w:rsidRPr="002337A4" w:rsidRDefault="00BE26C0" w:rsidP="000978C5">
            <w:pPr>
              <w:jc w:val="center"/>
              <w:rPr>
                <w:rFonts w:cs="Times New Roman"/>
              </w:rPr>
            </w:pPr>
            <w:r w:rsidRPr="002337A4">
              <w:rPr>
                <w:rFonts w:cs="Times New Roman"/>
              </w:rPr>
              <w:t>627 (70.9)</w:t>
            </w:r>
          </w:p>
        </w:tc>
        <w:tc>
          <w:tcPr>
            <w:tcW w:w="2174" w:type="dxa"/>
            <w:tcBorders>
              <w:top w:val="nil"/>
              <w:left w:val="single" w:sz="6" w:space="0" w:color="auto"/>
              <w:bottom w:val="nil"/>
              <w:right w:val="single" w:sz="6" w:space="0" w:color="auto"/>
            </w:tcBorders>
            <w:vAlign w:val="center"/>
          </w:tcPr>
          <w:p w14:paraId="7A16AD98" w14:textId="77777777" w:rsidR="00BE26C0" w:rsidRPr="002337A4" w:rsidRDefault="00BE26C0" w:rsidP="000978C5">
            <w:pPr>
              <w:jc w:val="center"/>
              <w:rPr>
                <w:rFonts w:cs="Times New Roman"/>
              </w:rPr>
            </w:pPr>
            <w:r w:rsidRPr="002337A4">
              <w:rPr>
                <w:rFonts w:cs="Times New Roman"/>
              </w:rPr>
              <w:t>480 (7</w:t>
            </w:r>
            <w:r>
              <w:rPr>
                <w:rFonts w:cs="Times New Roman"/>
              </w:rPr>
              <w:t>2.5</w:t>
            </w:r>
            <w:r w:rsidRPr="002337A4">
              <w:rPr>
                <w:rFonts w:cs="Times New Roman"/>
              </w:rPr>
              <w:t>)</w:t>
            </w:r>
          </w:p>
        </w:tc>
        <w:tc>
          <w:tcPr>
            <w:tcW w:w="2174" w:type="dxa"/>
            <w:tcBorders>
              <w:top w:val="nil"/>
              <w:left w:val="single" w:sz="6" w:space="0" w:color="auto"/>
              <w:bottom w:val="nil"/>
              <w:right w:val="single" w:sz="18" w:space="0" w:color="auto"/>
            </w:tcBorders>
            <w:vAlign w:val="center"/>
          </w:tcPr>
          <w:p w14:paraId="530E8DB0" w14:textId="77777777" w:rsidR="00BE26C0" w:rsidRPr="002337A4" w:rsidRDefault="00BE26C0" w:rsidP="000978C5">
            <w:pPr>
              <w:jc w:val="center"/>
              <w:rPr>
                <w:rFonts w:cs="Times New Roman"/>
              </w:rPr>
            </w:pPr>
            <w:r w:rsidRPr="002337A4">
              <w:rPr>
                <w:rFonts w:cs="Times New Roman"/>
              </w:rPr>
              <w:t>147 (</w:t>
            </w:r>
            <w:r>
              <w:rPr>
                <w:rFonts w:cs="Times New Roman"/>
              </w:rPr>
              <w:t>65.9</w:t>
            </w:r>
            <w:r w:rsidRPr="002337A4">
              <w:rPr>
                <w:rFonts w:cs="Times New Roman"/>
              </w:rPr>
              <w:t>)</w:t>
            </w:r>
          </w:p>
        </w:tc>
        <w:tc>
          <w:tcPr>
            <w:tcW w:w="1002" w:type="dxa"/>
            <w:vMerge w:val="restart"/>
            <w:tcBorders>
              <w:top w:val="nil"/>
              <w:left w:val="single" w:sz="18" w:space="0" w:color="auto"/>
              <w:right w:val="nil"/>
            </w:tcBorders>
            <w:vAlign w:val="center"/>
          </w:tcPr>
          <w:p w14:paraId="705E814F" w14:textId="77777777" w:rsidR="00BE26C0" w:rsidRPr="002337A4" w:rsidRDefault="00BE26C0" w:rsidP="000978C5">
            <w:pPr>
              <w:jc w:val="center"/>
              <w:rPr>
                <w:rFonts w:cs="Times New Roman"/>
              </w:rPr>
            </w:pPr>
            <w:r w:rsidRPr="002337A4">
              <w:rPr>
                <w:rFonts w:cs="Times New Roman"/>
              </w:rPr>
              <w:t>0.073</w:t>
            </w:r>
          </w:p>
        </w:tc>
      </w:tr>
      <w:tr w:rsidR="00BE26C0" w:rsidRPr="002337A4" w14:paraId="09444344" w14:textId="77777777" w:rsidTr="000978C5">
        <w:trPr>
          <w:trHeight w:val="397"/>
        </w:trPr>
        <w:tc>
          <w:tcPr>
            <w:tcW w:w="2269" w:type="dxa"/>
            <w:vMerge/>
            <w:tcBorders>
              <w:left w:val="nil"/>
              <w:bottom w:val="single" w:sz="6" w:space="0" w:color="auto"/>
              <w:right w:val="nil"/>
            </w:tcBorders>
            <w:vAlign w:val="center"/>
          </w:tcPr>
          <w:p w14:paraId="618ED4E8" w14:textId="77777777" w:rsidR="00BE26C0" w:rsidRPr="002337A4" w:rsidRDefault="00BE26C0" w:rsidP="000978C5">
            <w:pPr>
              <w:rPr>
                <w:rFonts w:cs="Times New Roman"/>
                <w:b/>
              </w:rPr>
            </w:pPr>
          </w:p>
        </w:tc>
        <w:tc>
          <w:tcPr>
            <w:tcW w:w="1417" w:type="dxa"/>
            <w:tcBorders>
              <w:top w:val="nil"/>
              <w:left w:val="nil"/>
              <w:bottom w:val="single" w:sz="6" w:space="0" w:color="auto"/>
              <w:right w:val="single" w:sz="18" w:space="0" w:color="auto"/>
            </w:tcBorders>
            <w:vAlign w:val="center"/>
          </w:tcPr>
          <w:p w14:paraId="3F8AB8E6" w14:textId="77777777" w:rsidR="00BE26C0" w:rsidRPr="002337A4" w:rsidRDefault="00BE26C0" w:rsidP="000978C5">
            <w:pPr>
              <w:jc w:val="center"/>
              <w:rPr>
                <w:rFonts w:cs="Times New Roman"/>
              </w:rPr>
            </w:pPr>
            <w:r w:rsidRPr="002337A4">
              <w:rPr>
                <w:rFonts w:cs="Times New Roman"/>
              </w:rPr>
              <w:t>≥ 30</w:t>
            </w:r>
          </w:p>
        </w:tc>
        <w:tc>
          <w:tcPr>
            <w:tcW w:w="2173" w:type="dxa"/>
            <w:tcBorders>
              <w:top w:val="nil"/>
              <w:left w:val="single" w:sz="18" w:space="0" w:color="auto"/>
              <w:bottom w:val="single" w:sz="6" w:space="0" w:color="auto"/>
              <w:right w:val="single" w:sz="6" w:space="0" w:color="auto"/>
            </w:tcBorders>
            <w:vAlign w:val="center"/>
          </w:tcPr>
          <w:p w14:paraId="47E4299E" w14:textId="77777777" w:rsidR="00BE26C0" w:rsidRPr="002337A4" w:rsidRDefault="00BE26C0" w:rsidP="000978C5">
            <w:pPr>
              <w:jc w:val="center"/>
              <w:rPr>
                <w:rFonts w:cs="Times New Roman"/>
              </w:rPr>
            </w:pPr>
            <w:r w:rsidRPr="002337A4">
              <w:rPr>
                <w:rFonts w:cs="Times New Roman"/>
              </w:rPr>
              <w:t>258 (29.1)</w:t>
            </w:r>
          </w:p>
        </w:tc>
        <w:tc>
          <w:tcPr>
            <w:tcW w:w="2174" w:type="dxa"/>
            <w:tcBorders>
              <w:top w:val="nil"/>
              <w:left w:val="single" w:sz="6" w:space="0" w:color="auto"/>
              <w:bottom w:val="single" w:sz="6" w:space="0" w:color="auto"/>
              <w:right w:val="single" w:sz="6" w:space="0" w:color="auto"/>
            </w:tcBorders>
            <w:vAlign w:val="center"/>
          </w:tcPr>
          <w:p w14:paraId="171D78FA" w14:textId="77777777" w:rsidR="00BE26C0" w:rsidRPr="002337A4" w:rsidRDefault="00BE26C0" w:rsidP="000978C5">
            <w:pPr>
              <w:jc w:val="center"/>
              <w:rPr>
                <w:rFonts w:cs="Times New Roman"/>
              </w:rPr>
            </w:pPr>
            <w:r w:rsidRPr="002337A4">
              <w:rPr>
                <w:rFonts w:cs="Times New Roman"/>
              </w:rPr>
              <w:t>182 (</w:t>
            </w:r>
            <w:r>
              <w:rPr>
                <w:rFonts w:cs="Times New Roman"/>
              </w:rPr>
              <w:t>27.5</w:t>
            </w:r>
            <w:r w:rsidRPr="002337A4">
              <w:rPr>
                <w:rFonts w:cs="Times New Roman"/>
              </w:rPr>
              <w:t>)</w:t>
            </w:r>
          </w:p>
        </w:tc>
        <w:tc>
          <w:tcPr>
            <w:tcW w:w="2174" w:type="dxa"/>
            <w:tcBorders>
              <w:top w:val="nil"/>
              <w:left w:val="single" w:sz="6" w:space="0" w:color="auto"/>
              <w:bottom w:val="single" w:sz="6" w:space="0" w:color="auto"/>
              <w:right w:val="single" w:sz="18" w:space="0" w:color="auto"/>
            </w:tcBorders>
            <w:vAlign w:val="center"/>
          </w:tcPr>
          <w:p w14:paraId="60B6DBD8" w14:textId="77777777" w:rsidR="00BE26C0" w:rsidRPr="002337A4" w:rsidRDefault="00BE26C0" w:rsidP="000978C5">
            <w:pPr>
              <w:jc w:val="center"/>
              <w:rPr>
                <w:rFonts w:cs="Times New Roman"/>
              </w:rPr>
            </w:pPr>
            <w:r w:rsidRPr="002337A4">
              <w:rPr>
                <w:rFonts w:cs="Times New Roman"/>
              </w:rPr>
              <w:t>76 (</w:t>
            </w:r>
            <w:r>
              <w:rPr>
                <w:rFonts w:cs="Times New Roman"/>
              </w:rPr>
              <w:t>34.1</w:t>
            </w:r>
            <w:r w:rsidRPr="002337A4">
              <w:rPr>
                <w:rFonts w:cs="Times New Roman"/>
              </w:rPr>
              <w:t>)</w:t>
            </w:r>
          </w:p>
        </w:tc>
        <w:tc>
          <w:tcPr>
            <w:tcW w:w="1002" w:type="dxa"/>
            <w:vMerge/>
            <w:tcBorders>
              <w:left w:val="single" w:sz="18" w:space="0" w:color="auto"/>
              <w:bottom w:val="single" w:sz="6" w:space="0" w:color="auto"/>
              <w:right w:val="nil"/>
            </w:tcBorders>
            <w:vAlign w:val="center"/>
          </w:tcPr>
          <w:p w14:paraId="621CE32E" w14:textId="77777777" w:rsidR="00BE26C0" w:rsidRPr="002337A4" w:rsidRDefault="00BE26C0" w:rsidP="000978C5">
            <w:pPr>
              <w:jc w:val="center"/>
              <w:rPr>
                <w:rFonts w:cs="Times New Roman"/>
              </w:rPr>
            </w:pPr>
          </w:p>
        </w:tc>
      </w:tr>
      <w:tr w:rsidR="00BE26C0" w:rsidRPr="00891F4E" w14:paraId="14D8FB40" w14:textId="77777777" w:rsidTr="000978C5">
        <w:trPr>
          <w:trHeight w:val="397"/>
        </w:trPr>
        <w:tc>
          <w:tcPr>
            <w:tcW w:w="2269" w:type="dxa"/>
            <w:tcBorders>
              <w:top w:val="single" w:sz="6" w:space="0" w:color="auto"/>
              <w:left w:val="nil"/>
              <w:right w:val="nil"/>
            </w:tcBorders>
            <w:vAlign w:val="center"/>
          </w:tcPr>
          <w:p w14:paraId="1AD53C3B" w14:textId="77777777" w:rsidR="00BE26C0" w:rsidRPr="00891F4E" w:rsidRDefault="00BE26C0" w:rsidP="000978C5">
            <w:pPr>
              <w:rPr>
                <w:rFonts w:cs="Times New Roman"/>
              </w:rPr>
            </w:pPr>
            <w:r w:rsidRPr="00891F4E">
              <w:rPr>
                <w:rFonts w:cs="Times New Roman"/>
                <w:b/>
              </w:rPr>
              <w:t xml:space="preserve">MPI, </w:t>
            </w:r>
            <w:r w:rsidRPr="00891F4E">
              <w:rPr>
                <w:rFonts w:cs="Times New Roman"/>
              </w:rPr>
              <w:t>mean(</w:t>
            </w:r>
            <w:proofErr w:type="spellStart"/>
            <w:r w:rsidRPr="00891F4E">
              <w:rPr>
                <w:rFonts w:cs="Times New Roman"/>
              </w:rPr>
              <w:t>sd</w:t>
            </w:r>
            <w:proofErr w:type="spellEnd"/>
            <w:r w:rsidRPr="00891F4E">
              <w:rPr>
                <w:rFonts w:cs="Times New Roman"/>
              </w:rPr>
              <w:t>)</w:t>
            </w:r>
          </w:p>
        </w:tc>
        <w:tc>
          <w:tcPr>
            <w:tcW w:w="1417" w:type="dxa"/>
            <w:tcBorders>
              <w:top w:val="single" w:sz="6" w:space="0" w:color="auto"/>
              <w:left w:val="nil"/>
              <w:right w:val="single" w:sz="18" w:space="0" w:color="auto"/>
            </w:tcBorders>
            <w:vAlign w:val="center"/>
          </w:tcPr>
          <w:p w14:paraId="01746394" w14:textId="77777777" w:rsidR="00BE26C0" w:rsidRPr="00891F4E" w:rsidRDefault="00BE26C0" w:rsidP="000978C5">
            <w:pPr>
              <w:jc w:val="center"/>
              <w:rPr>
                <w:rFonts w:cs="Times New Roman"/>
              </w:rPr>
            </w:pPr>
          </w:p>
        </w:tc>
        <w:tc>
          <w:tcPr>
            <w:tcW w:w="2173" w:type="dxa"/>
            <w:tcBorders>
              <w:top w:val="single" w:sz="6" w:space="0" w:color="auto"/>
              <w:left w:val="single" w:sz="18" w:space="0" w:color="auto"/>
              <w:right w:val="single" w:sz="6" w:space="0" w:color="auto"/>
            </w:tcBorders>
            <w:vAlign w:val="center"/>
          </w:tcPr>
          <w:p w14:paraId="691CC475" w14:textId="77777777" w:rsidR="00BE26C0" w:rsidRPr="00891F4E" w:rsidRDefault="00BE26C0" w:rsidP="000978C5">
            <w:pPr>
              <w:jc w:val="center"/>
              <w:rPr>
                <w:rFonts w:cs="Times New Roman"/>
              </w:rPr>
            </w:pPr>
            <w:r>
              <w:rPr>
                <w:rFonts w:cs="Times New Roman"/>
              </w:rPr>
              <w:t>0.</w:t>
            </w:r>
            <w:r w:rsidRPr="00891F4E">
              <w:rPr>
                <w:rFonts w:cs="Times New Roman"/>
              </w:rPr>
              <w:t>40 (</w:t>
            </w:r>
            <w:r>
              <w:rPr>
                <w:rFonts w:cs="Times New Roman"/>
              </w:rPr>
              <w:t>0.</w:t>
            </w:r>
            <w:r w:rsidRPr="00891F4E">
              <w:rPr>
                <w:rFonts w:cs="Times New Roman"/>
              </w:rPr>
              <w:t>1</w:t>
            </w:r>
            <w:r>
              <w:rPr>
                <w:rFonts w:cs="Times New Roman"/>
              </w:rPr>
              <w:t>7</w:t>
            </w:r>
            <w:r w:rsidRPr="00891F4E">
              <w:rPr>
                <w:rFonts w:cs="Times New Roman"/>
              </w:rPr>
              <w:t>)</w:t>
            </w:r>
          </w:p>
        </w:tc>
        <w:tc>
          <w:tcPr>
            <w:tcW w:w="2174" w:type="dxa"/>
            <w:tcBorders>
              <w:top w:val="single" w:sz="6" w:space="0" w:color="auto"/>
              <w:left w:val="single" w:sz="6" w:space="0" w:color="auto"/>
              <w:right w:val="single" w:sz="6" w:space="0" w:color="auto"/>
            </w:tcBorders>
            <w:vAlign w:val="center"/>
          </w:tcPr>
          <w:p w14:paraId="0FA9B657" w14:textId="77777777" w:rsidR="00BE26C0" w:rsidRPr="00891F4E" w:rsidRDefault="00BE26C0" w:rsidP="000978C5">
            <w:pPr>
              <w:jc w:val="center"/>
              <w:rPr>
                <w:rFonts w:cs="Times New Roman"/>
              </w:rPr>
            </w:pPr>
            <w:r>
              <w:rPr>
                <w:rFonts w:cs="Times New Roman"/>
              </w:rPr>
              <w:t>0.</w:t>
            </w:r>
            <w:r w:rsidRPr="00891F4E">
              <w:rPr>
                <w:rFonts w:cs="Times New Roman"/>
              </w:rPr>
              <w:t>38 (</w:t>
            </w:r>
            <w:r>
              <w:rPr>
                <w:rFonts w:cs="Times New Roman"/>
              </w:rPr>
              <w:t>0.</w:t>
            </w:r>
            <w:r w:rsidRPr="00891F4E">
              <w:rPr>
                <w:rFonts w:cs="Times New Roman"/>
              </w:rPr>
              <w:t>1</w:t>
            </w:r>
            <w:r>
              <w:rPr>
                <w:rFonts w:cs="Times New Roman"/>
              </w:rPr>
              <w:t>6</w:t>
            </w:r>
            <w:r w:rsidRPr="00891F4E">
              <w:rPr>
                <w:rFonts w:cs="Times New Roman"/>
              </w:rPr>
              <w:t>)</w:t>
            </w:r>
          </w:p>
        </w:tc>
        <w:tc>
          <w:tcPr>
            <w:tcW w:w="2174" w:type="dxa"/>
            <w:tcBorders>
              <w:top w:val="single" w:sz="6" w:space="0" w:color="auto"/>
              <w:left w:val="single" w:sz="6" w:space="0" w:color="auto"/>
              <w:right w:val="single" w:sz="18" w:space="0" w:color="auto"/>
            </w:tcBorders>
            <w:vAlign w:val="center"/>
          </w:tcPr>
          <w:p w14:paraId="7CC4F3E1" w14:textId="77777777" w:rsidR="00BE26C0" w:rsidRPr="00891F4E" w:rsidRDefault="00BE26C0" w:rsidP="000978C5">
            <w:pPr>
              <w:jc w:val="center"/>
              <w:rPr>
                <w:rFonts w:cs="Times New Roman"/>
              </w:rPr>
            </w:pPr>
            <w:r>
              <w:rPr>
                <w:rFonts w:cs="Times New Roman"/>
              </w:rPr>
              <w:t>0.</w:t>
            </w:r>
            <w:r w:rsidRPr="00891F4E">
              <w:rPr>
                <w:rFonts w:cs="Times New Roman"/>
              </w:rPr>
              <w:t>46 (</w:t>
            </w:r>
            <w:r>
              <w:rPr>
                <w:rFonts w:cs="Times New Roman"/>
              </w:rPr>
              <w:t>0.</w:t>
            </w:r>
            <w:r w:rsidRPr="00891F4E">
              <w:rPr>
                <w:rFonts w:cs="Times New Roman"/>
              </w:rPr>
              <w:t>17)</w:t>
            </w:r>
          </w:p>
        </w:tc>
        <w:tc>
          <w:tcPr>
            <w:tcW w:w="1002" w:type="dxa"/>
            <w:tcBorders>
              <w:top w:val="single" w:sz="6" w:space="0" w:color="auto"/>
              <w:left w:val="single" w:sz="18" w:space="0" w:color="auto"/>
              <w:right w:val="nil"/>
            </w:tcBorders>
            <w:vAlign w:val="center"/>
          </w:tcPr>
          <w:p w14:paraId="2ACCFB7F" w14:textId="77777777" w:rsidR="00BE26C0" w:rsidRPr="00891F4E" w:rsidRDefault="00BE26C0" w:rsidP="000978C5">
            <w:pPr>
              <w:jc w:val="center"/>
              <w:rPr>
                <w:rFonts w:cs="Times New Roman"/>
              </w:rPr>
            </w:pPr>
            <w:r w:rsidRPr="00891F4E">
              <w:rPr>
                <w:rFonts w:cs="Times New Roman"/>
              </w:rPr>
              <w:t>&lt; 0.001</w:t>
            </w:r>
          </w:p>
        </w:tc>
      </w:tr>
      <w:tr w:rsidR="00BE26C0" w:rsidRPr="00891F4E" w14:paraId="3F706CE1" w14:textId="77777777" w:rsidTr="000978C5">
        <w:trPr>
          <w:trHeight w:val="397"/>
        </w:trPr>
        <w:tc>
          <w:tcPr>
            <w:tcW w:w="2269" w:type="dxa"/>
            <w:vMerge w:val="restart"/>
            <w:tcBorders>
              <w:left w:val="nil"/>
              <w:right w:val="nil"/>
            </w:tcBorders>
            <w:vAlign w:val="center"/>
          </w:tcPr>
          <w:p w14:paraId="632B7DFF" w14:textId="77777777" w:rsidR="00BE26C0" w:rsidRPr="00891F4E" w:rsidRDefault="00BE26C0" w:rsidP="000978C5">
            <w:pPr>
              <w:rPr>
                <w:rFonts w:cs="Times New Roman"/>
                <w:b/>
              </w:rPr>
            </w:pPr>
            <w:r w:rsidRPr="00891F4E">
              <w:rPr>
                <w:rFonts w:cs="Times New Roman"/>
                <w:b/>
              </w:rPr>
              <w:lastRenderedPageBreak/>
              <w:t>MPI</w:t>
            </w:r>
          </w:p>
          <w:p w14:paraId="168D7EE0" w14:textId="77777777" w:rsidR="00BE26C0" w:rsidRPr="00891F4E" w:rsidRDefault="00BE26C0" w:rsidP="000978C5">
            <w:pPr>
              <w:rPr>
                <w:rFonts w:cs="Times New Roman"/>
                <w:i/>
              </w:rPr>
            </w:pPr>
            <w:r w:rsidRPr="00891F4E">
              <w:rPr>
                <w:rFonts w:cs="Times New Roman"/>
                <w:b/>
              </w:rPr>
              <w:t xml:space="preserve">risk group, </w:t>
            </w:r>
            <w:r w:rsidRPr="00891F4E">
              <w:rPr>
                <w:rFonts w:cs="Times New Roman"/>
                <w:i/>
              </w:rPr>
              <w:t>n(%)</w:t>
            </w:r>
          </w:p>
        </w:tc>
        <w:tc>
          <w:tcPr>
            <w:tcW w:w="1417" w:type="dxa"/>
            <w:tcBorders>
              <w:left w:val="nil"/>
              <w:right w:val="single" w:sz="18" w:space="0" w:color="auto"/>
            </w:tcBorders>
            <w:vAlign w:val="center"/>
          </w:tcPr>
          <w:p w14:paraId="4D4905AE" w14:textId="77777777" w:rsidR="00BE26C0" w:rsidRPr="00891F4E" w:rsidRDefault="00BE26C0" w:rsidP="000978C5">
            <w:pPr>
              <w:jc w:val="center"/>
              <w:rPr>
                <w:rFonts w:cs="Times New Roman"/>
              </w:rPr>
            </w:pPr>
            <w:r w:rsidRPr="00891F4E">
              <w:rPr>
                <w:rFonts w:cs="Times New Roman"/>
              </w:rPr>
              <w:t>Low</w:t>
            </w:r>
          </w:p>
          <w:p w14:paraId="056BC7CB" w14:textId="77777777" w:rsidR="00BE26C0" w:rsidRPr="00891F4E" w:rsidRDefault="00BE26C0" w:rsidP="000978C5">
            <w:pPr>
              <w:jc w:val="center"/>
              <w:rPr>
                <w:rFonts w:cs="Times New Roman"/>
              </w:rPr>
            </w:pPr>
            <w:r>
              <w:rPr>
                <w:rFonts w:cs="Times New Roman"/>
              </w:rPr>
              <w:t>(</w:t>
            </w:r>
            <w:r w:rsidRPr="00891F4E">
              <w:rPr>
                <w:rFonts w:cs="Times New Roman"/>
              </w:rPr>
              <w:t>0</w:t>
            </w:r>
            <w:r>
              <w:rPr>
                <w:rFonts w:cs="Times New Roman"/>
              </w:rPr>
              <w:t>-0.4</w:t>
            </w:r>
            <w:r w:rsidRPr="00891F4E">
              <w:rPr>
                <w:rFonts w:cs="Times New Roman"/>
              </w:rPr>
              <w:t>1</w:t>
            </w:r>
            <w:r>
              <w:rPr>
                <w:rFonts w:cs="Times New Roman"/>
              </w:rPr>
              <w:t>)</w:t>
            </w:r>
          </w:p>
        </w:tc>
        <w:tc>
          <w:tcPr>
            <w:tcW w:w="2173" w:type="dxa"/>
            <w:tcBorders>
              <w:left w:val="single" w:sz="18" w:space="0" w:color="auto"/>
              <w:right w:val="single" w:sz="6" w:space="0" w:color="auto"/>
            </w:tcBorders>
            <w:vAlign w:val="center"/>
          </w:tcPr>
          <w:p w14:paraId="12DC7996" w14:textId="77777777" w:rsidR="00BE26C0" w:rsidRPr="00891F4E" w:rsidRDefault="00BE26C0" w:rsidP="000978C5">
            <w:pPr>
              <w:jc w:val="center"/>
              <w:rPr>
                <w:rFonts w:cs="Times New Roman"/>
              </w:rPr>
            </w:pPr>
            <w:r w:rsidRPr="00891F4E">
              <w:rPr>
                <w:rFonts w:cs="Times New Roman"/>
              </w:rPr>
              <w:t>471 (53.2)</w:t>
            </w:r>
          </w:p>
        </w:tc>
        <w:tc>
          <w:tcPr>
            <w:tcW w:w="2174" w:type="dxa"/>
            <w:tcBorders>
              <w:left w:val="single" w:sz="6" w:space="0" w:color="auto"/>
              <w:right w:val="single" w:sz="6" w:space="0" w:color="auto"/>
            </w:tcBorders>
            <w:vAlign w:val="center"/>
          </w:tcPr>
          <w:p w14:paraId="2F3123DE" w14:textId="77777777" w:rsidR="00BE26C0" w:rsidRPr="00891F4E" w:rsidRDefault="00BE26C0" w:rsidP="000978C5">
            <w:pPr>
              <w:jc w:val="center"/>
              <w:rPr>
                <w:rFonts w:cs="Times New Roman"/>
              </w:rPr>
            </w:pPr>
            <w:r w:rsidRPr="00891F4E">
              <w:rPr>
                <w:rFonts w:cs="Times New Roman"/>
              </w:rPr>
              <w:t>389 (</w:t>
            </w:r>
            <w:r>
              <w:rPr>
                <w:rFonts w:cs="Times New Roman"/>
              </w:rPr>
              <w:t>58.8</w:t>
            </w:r>
            <w:r w:rsidRPr="00891F4E">
              <w:rPr>
                <w:rFonts w:cs="Times New Roman"/>
              </w:rPr>
              <w:t>)</w:t>
            </w:r>
          </w:p>
        </w:tc>
        <w:tc>
          <w:tcPr>
            <w:tcW w:w="2174" w:type="dxa"/>
            <w:tcBorders>
              <w:left w:val="single" w:sz="6" w:space="0" w:color="auto"/>
              <w:right w:val="single" w:sz="18" w:space="0" w:color="auto"/>
            </w:tcBorders>
            <w:vAlign w:val="center"/>
          </w:tcPr>
          <w:p w14:paraId="0B39D438" w14:textId="77777777" w:rsidR="00BE26C0" w:rsidRPr="00891F4E" w:rsidRDefault="00BE26C0" w:rsidP="000978C5">
            <w:pPr>
              <w:jc w:val="center"/>
              <w:rPr>
                <w:rFonts w:cs="Times New Roman"/>
              </w:rPr>
            </w:pPr>
            <w:r w:rsidRPr="00891F4E">
              <w:rPr>
                <w:rFonts w:cs="Times New Roman"/>
              </w:rPr>
              <w:t>82 (</w:t>
            </w:r>
            <w:r>
              <w:rPr>
                <w:rFonts w:cs="Times New Roman"/>
              </w:rPr>
              <w:t>36.8</w:t>
            </w:r>
            <w:r w:rsidRPr="00891F4E">
              <w:rPr>
                <w:rFonts w:cs="Times New Roman"/>
              </w:rPr>
              <w:t>)</w:t>
            </w:r>
          </w:p>
        </w:tc>
        <w:tc>
          <w:tcPr>
            <w:tcW w:w="1002" w:type="dxa"/>
            <w:vMerge w:val="restart"/>
            <w:tcBorders>
              <w:left w:val="single" w:sz="18" w:space="0" w:color="auto"/>
              <w:right w:val="nil"/>
            </w:tcBorders>
            <w:vAlign w:val="center"/>
          </w:tcPr>
          <w:p w14:paraId="448F1048" w14:textId="77777777" w:rsidR="00BE26C0" w:rsidRPr="00891F4E" w:rsidRDefault="00BE26C0" w:rsidP="000978C5">
            <w:pPr>
              <w:jc w:val="center"/>
              <w:rPr>
                <w:rFonts w:cs="Times New Roman"/>
              </w:rPr>
            </w:pPr>
            <w:r w:rsidRPr="00891F4E">
              <w:rPr>
                <w:rFonts w:cs="Times New Roman"/>
              </w:rPr>
              <w:t>&lt; 0.001</w:t>
            </w:r>
          </w:p>
        </w:tc>
      </w:tr>
      <w:tr w:rsidR="00BE26C0" w:rsidRPr="00891F4E" w14:paraId="5FD09900" w14:textId="77777777" w:rsidTr="000978C5">
        <w:trPr>
          <w:trHeight w:val="397"/>
        </w:trPr>
        <w:tc>
          <w:tcPr>
            <w:tcW w:w="2269" w:type="dxa"/>
            <w:vMerge/>
            <w:tcBorders>
              <w:left w:val="nil"/>
              <w:right w:val="nil"/>
            </w:tcBorders>
            <w:vAlign w:val="center"/>
          </w:tcPr>
          <w:p w14:paraId="570DBB98" w14:textId="77777777" w:rsidR="00BE26C0" w:rsidRPr="00891F4E" w:rsidRDefault="00BE26C0" w:rsidP="000978C5">
            <w:pPr>
              <w:rPr>
                <w:rFonts w:cs="Times New Roman"/>
                <w:b/>
              </w:rPr>
            </w:pPr>
          </w:p>
        </w:tc>
        <w:tc>
          <w:tcPr>
            <w:tcW w:w="1417" w:type="dxa"/>
            <w:tcBorders>
              <w:left w:val="nil"/>
              <w:right w:val="single" w:sz="18" w:space="0" w:color="auto"/>
            </w:tcBorders>
            <w:vAlign w:val="center"/>
          </w:tcPr>
          <w:p w14:paraId="44E2977A" w14:textId="77777777" w:rsidR="00BE26C0" w:rsidRPr="00891F4E" w:rsidRDefault="00BE26C0" w:rsidP="000978C5">
            <w:pPr>
              <w:jc w:val="center"/>
              <w:rPr>
                <w:rFonts w:cs="Times New Roman"/>
              </w:rPr>
            </w:pPr>
            <w:r w:rsidRPr="00891F4E">
              <w:rPr>
                <w:rFonts w:cs="Times New Roman"/>
              </w:rPr>
              <w:t xml:space="preserve">moderate </w:t>
            </w:r>
          </w:p>
          <w:p w14:paraId="43D9F451" w14:textId="77777777" w:rsidR="00BE26C0" w:rsidRPr="00891F4E" w:rsidRDefault="00BE26C0" w:rsidP="000978C5">
            <w:pPr>
              <w:jc w:val="center"/>
              <w:rPr>
                <w:rFonts w:cs="Times New Roman"/>
              </w:rPr>
            </w:pPr>
            <w:r w:rsidRPr="00891F4E">
              <w:rPr>
                <w:rFonts w:cs="Times New Roman"/>
              </w:rPr>
              <w:t>(</w:t>
            </w:r>
            <w:r>
              <w:rPr>
                <w:rFonts w:cs="Times New Roman"/>
              </w:rPr>
              <w:t>0.</w:t>
            </w:r>
            <w:r w:rsidRPr="00891F4E">
              <w:rPr>
                <w:rFonts w:cs="Times New Roman"/>
              </w:rPr>
              <w:t>4</w:t>
            </w:r>
            <w:r>
              <w:rPr>
                <w:rFonts w:cs="Times New Roman"/>
              </w:rPr>
              <w:t>2-0.</w:t>
            </w:r>
            <w:r w:rsidRPr="00891F4E">
              <w:rPr>
                <w:rFonts w:cs="Times New Roman"/>
              </w:rPr>
              <w:t>67</w:t>
            </w:r>
            <w:r>
              <w:rPr>
                <w:rFonts w:cs="Times New Roman"/>
              </w:rPr>
              <w:t>)</w:t>
            </w:r>
          </w:p>
        </w:tc>
        <w:tc>
          <w:tcPr>
            <w:tcW w:w="2173" w:type="dxa"/>
            <w:tcBorders>
              <w:left w:val="single" w:sz="18" w:space="0" w:color="auto"/>
              <w:right w:val="single" w:sz="6" w:space="0" w:color="auto"/>
            </w:tcBorders>
            <w:vAlign w:val="center"/>
          </w:tcPr>
          <w:p w14:paraId="1B7EAED4" w14:textId="77777777" w:rsidR="00BE26C0" w:rsidRPr="00891F4E" w:rsidRDefault="00BE26C0" w:rsidP="000978C5">
            <w:pPr>
              <w:jc w:val="center"/>
              <w:rPr>
                <w:rFonts w:cs="Times New Roman"/>
              </w:rPr>
            </w:pPr>
            <w:r w:rsidRPr="00891F4E">
              <w:rPr>
                <w:rFonts w:cs="Times New Roman"/>
              </w:rPr>
              <w:t>362 (40.9)</w:t>
            </w:r>
          </w:p>
        </w:tc>
        <w:tc>
          <w:tcPr>
            <w:tcW w:w="2174" w:type="dxa"/>
            <w:tcBorders>
              <w:left w:val="single" w:sz="6" w:space="0" w:color="auto"/>
              <w:right w:val="single" w:sz="6" w:space="0" w:color="auto"/>
            </w:tcBorders>
            <w:vAlign w:val="center"/>
          </w:tcPr>
          <w:p w14:paraId="6605C7F7" w14:textId="77777777" w:rsidR="00BE26C0" w:rsidRPr="00891F4E" w:rsidRDefault="00BE26C0" w:rsidP="000978C5">
            <w:pPr>
              <w:jc w:val="center"/>
              <w:rPr>
                <w:rFonts w:cs="Times New Roman"/>
              </w:rPr>
            </w:pPr>
            <w:r w:rsidRPr="00891F4E">
              <w:rPr>
                <w:rFonts w:cs="Times New Roman"/>
              </w:rPr>
              <w:t>250 (</w:t>
            </w:r>
            <w:r>
              <w:rPr>
                <w:rFonts w:cs="Times New Roman"/>
              </w:rPr>
              <w:t>37.8</w:t>
            </w:r>
            <w:r w:rsidRPr="00891F4E">
              <w:rPr>
                <w:rFonts w:cs="Times New Roman"/>
              </w:rPr>
              <w:t>)</w:t>
            </w:r>
          </w:p>
        </w:tc>
        <w:tc>
          <w:tcPr>
            <w:tcW w:w="2174" w:type="dxa"/>
            <w:tcBorders>
              <w:left w:val="single" w:sz="6" w:space="0" w:color="auto"/>
              <w:right w:val="single" w:sz="18" w:space="0" w:color="auto"/>
            </w:tcBorders>
            <w:vAlign w:val="center"/>
          </w:tcPr>
          <w:p w14:paraId="06D53D7A" w14:textId="77777777" w:rsidR="00BE26C0" w:rsidRPr="00891F4E" w:rsidRDefault="00BE26C0" w:rsidP="000978C5">
            <w:pPr>
              <w:jc w:val="center"/>
              <w:rPr>
                <w:rFonts w:cs="Times New Roman"/>
              </w:rPr>
            </w:pPr>
            <w:r w:rsidRPr="00891F4E">
              <w:rPr>
                <w:rFonts w:cs="Times New Roman"/>
              </w:rPr>
              <w:t>112 (</w:t>
            </w:r>
            <w:r>
              <w:rPr>
                <w:rFonts w:cs="Times New Roman"/>
              </w:rPr>
              <w:t>50.2</w:t>
            </w:r>
            <w:r w:rsidRPr="00891F4E">
              <w:rPr>
                <w:rFonts w:cs="Times New Roman"/>
              </w:rPr>
              <w:t>)</w:t>
            </w:r>
          </w:p>
        </w:tc>
        <w:tc>
          <w:tcPr>
            <w:tcW w:w="1002" w:type="dxa"/>
            <w:vMerge/>
            <w:tcBorders>
              <w:left w:val="single" w:sz="18" w:space="0" w:color="auto"/>
              <w:right w:val="nil"/>
            </w:tcBorders>
            <w:vAlign w:val="center"/>
          </w:tcPr>
          <w:p w14:paraId="3DA436A1" w14:textId="77777777" w:rsidR="00BE26C0" w:rsidRPr="00891F4E" w:rsidRDefault="00BE26C0" w:rsidP="000978C5">
            <w:pPr>
              <w:jc w:val="center"/>
              <w:rPr>
                <w:rFonts w:cs="Times New Roman"/>
              </w:rPr>
            </w:pPr>
          </w:p>
        </w:tc>
      </w:tr>
      <w:tr w:rsidR="00BE26C0" w:rsidRPr="00891F4E" w14:paraId="2D39856F" w14:textId="77777777" w:rsidTr="000978C5">
        <w:trPr>
          <w:trHeight w:val="397"/>
        </w:trPr>
        <w:tc>
          <w:tcPr>
            <w:tcW w:w="2269" w:type="dxa"/>
            <w:vMerge/>
            <w:tcBorders>
              <w:left w:val="nil"/>
              <w:bottom w:val="single" w:sz="18" w:space="0" w:color="auto"/>
              <w:right w:val="nil"/>
            </w:tcBorders>
            <w:vAlign w:val="center"/>
          </w:tcPr>
          <w:p w14:paraId="608A7F06" w14:textId="77777777" w:rsidR="00BE26C0" w:rsidRPr="00891F4E" w:rsidRDefault="00BE26C0" w:rsidP="000978C5">
            <w:pPr>
              <w:rPr>
                <w:rFonts w:cs="Times New Roman"/>
                <w:b/>
              </w:rPr>
            </w:pPr>
          </w:p>
        </w:tc>
        <w:tc>
          <w:tcPr>
            <w:tcW w:w="1417" w:type="dxa"/>
            <w:tcBorders>
              <w:left w:val="nil"/>
              <w:bottom w:val="single" w:sz="18" w:space="0" w:color="auto"/>
              <w:right w:val="single" w:sz="18" w:space="0" w:color="auto"/>
            </w:tcBorders>
            <w:vAlign w:val="center"/>
          </w:tcPr>
          <w:p w14:paraId="3C37E3D8" w14:textId="77777777" w:rsidR="00BE26C0" w:rsidRPr="00891F4E" w:rsidRDefault="00BE26C0" w:rsidP="000978C5">
            <w:pPr>
              <w:jc w:val="center"/>
              <w:rPr>
                <w:rFonts w:cs="Times New Roman"/>
              </w:rPr>
            </w:pPr>
            <w:r w:rsidRPr="00891F4E">
              <w:rPr>
                <w:rFonts w:cs="Times New Roman"/>
              </w:rPr>
              <w:t xml:space="preserve">severe </w:t>
            </w:r>
          </w:p>
          <w:p w14:paraId="472CA711" w14:textId="77777777" w:rsidR="00BE26C0" w:rsidRPr="00891F4E" w:rsidRDefault="00BE26C0" w:rsidP="000978C5">
            <w:pPr>
              <w:jc w:val="center"/>
              <w:rPr>
                <w:rFonts w:cs="Times New Roman"/>
              </w:rPr>
            </w:pPr>
            <w:r w:rsidRPr="00891F4E">
              <w:rPr>
                <w:rFonts w:cs="Times New Roman"/>
              </w:rPr>
              <w:t>(</w:t>
            </w:r>
            <w:r>
              <w:rPr>
                <w:rFonts w:cs="Times New Roman"/>
              </w:rPr>
              <w:t>0.</w:t>
            </w:r>
            <w:r w:rsidRPr="00891F4E">
              <w:rPr>
                <w:rFonts w:cs="Times New Roman"/>
              </w:rPr>
              <w:t>6</w:t>
            </w:r>
            <w:r>
              <w:rPr>
                <w:rFonts w:cs="Times New Roman"/>
              </w:rPr>
              <w:t>8-</w:t>
            </w:r>
            <w:r w:rsidRPr="00891F4E">
              <w:rPr>
                <w:rFonts w:cs="Times New Roman"/>
              </w:rPr>
              <w:t>1</w:t>
            </w:r>
            <w:r>
              <w:rPr>
                <w:rFonts w:cs="Times New Roman"/>
              </w:rPr>
              <w:t>.</w:t>
            </w:r>
            <w:r w:rsidRPr="00891F4E">
              <w:rPr>
                <w:rFonts w:cs="Times New Roman"/>
              </w:rPr>
              <w:t>0</w:t>
            </w:r>
            <w:r>
              <w:rPr>
                <w:rFonts w:cs="Times New Roman"/>
              </w:rPr>
              <w:t>)</w:t>
            </w:r>
          </w:p>
        </w:tc>
        <w:tc>
          <w:tcPr>
            <w:tcW w:w="2173" w:type="dxa"/>
            <w:tcBorders>
              <w:left w:val="single" w:sz="18" w:space="0" w:color="auto"/>
              <w:bottom w:val="single" w:sz="18" w:space="0" w:color="auto"/>
              <w:right w:val="single" w:sz="6" w:space="0" w:color="auto"/>
            </w:tcBorders>
            <w:vAlign w:val="center"/>
          </w:tcPr>
          <w:p w14:paraId="1712099A" w14:textId="77777777" w:rsidR="00BE26C0" w:rsidRPr="00891F4E" w:rsidRDefault="00BE26C0" w:rsidP="000978C5">
            <w:pPr>
              <w:jc w:val="center"/>
              <w:rPr>
                <w:rFonts w:cs="Times New Roman"/>
              </w:rPr>
            </w:pPr>
            <w:r w:rsidRPr="00891F4E">
              <w:rPr>
                <w:rFonts w:cs="Times New Roman"/>
              </w:rPr>
              <w:t>52 (5.9)</w:t>
            </w:r>
          </w:p>
        </w:tc>
        <w:tc>
          <w:tcPr>
            <w:tcW w:w="2174" w:type="dxa"/>
            <w:tcBorders>
              <w:left w:val="single" w:sz="6" w:space="0" w:color="auto"/>
              <w:bottom w:val="single" w:sz="18" w:space="0" w:color="auto"/>
              <w:right w:val="single" w:sz="6" w:space="0" w:color="auto"/>
            </w:tcBorders>
            <w:vAlign w:val="center"/>
          </w:tcPr>
          <w:p w14:paraId="2A0704EE" w14:textId="77777777" w:rsidR="00BE26C0" w:rsidRPr="00891F4E" w:rsidRDefault="00BE26C0" w:rsidP="000978C5">
            <w:pPr>
              <w:jc w:val="center"/>
              <w:rPr>
                <w:rFonts w:cs="Times New Roman"/>
              </w:rPr>
            </w:pPr>
            <w:r w:rsidRPr="00891F4E">
              <w:rPr>
                <w:rFonts w:cs="Times New Roman"/>
              </w:rPr>
              <w:t>23 (</w:t>
            </w:r>
            <w:r>
              <w:rPr>
                <w:rFonts w:cs="Times New Roman"/>
              </w:rPr>
              <w:t>3.4</w:t>
            </w:r>
            <w:r w:rsidRPr="00891F4E">
              <w:rPr>
                <w:rFonts w:cs="Times New Roman"/>
              </w:rPr>
              <w:t>)</w:t>
            </w:r>
          </w:p>
        </w:tc>
        <w:tc>
          <w:tcPr>
            <w:tcW w:w="2174" w:type="dxa"/>
            <w:tcBorders>
              <w:left w:val="single" w:sz="6" w:space="0" w:color="auto"/>
              <w:bottom w:val="single" w:sz="18" w:space="0" w:color="auto"/>
              <w:right w:val="single" w:sz="18" w:space="0" w:color="auto"/>
            </w:tcBorders>
            <w:vAlign w:val="center"/>
          </w:tcPr>
          <w:p w14:paraId="6A54E9D6" w14:textId="77777777" w:rsidR="00BE26C0" w:rsidRPr="00891F4E" w:rsidRDefault="00BE26C0" w:rsidP="000978C5">
            <w:pPr>
              <w:jc w:val="center"/>
              <w:rPr>
                <w:rFonts w:cs="Times New Roman"/>
              </w:rPr>
            </w:pPr>
            <w:r w:rsidRPr="00891F4E">
              <w:rPr>
                <w:rFonts w:cs="Times New Roman"/>
              </w:rPr>
              <w:t>29 (</w:t>
            </w:r>
            <w:r>
              <w:rPr>
                <w:rFonts w:cs="Times New Roman"/>
              </w:rPr>
              <w:t>13.0</w:t>
            </w:r>
            <w:r w:rsidRPr="00891F4E">
              <w:rPr>
                <w:rFonts w:cs="Times New Roman"/>
              </w:rPr>
              <w:t>)</w:t>
            </w:r>
          </w:p>
        </w:tc>
        <w:tc>
          <w:tcPr>
            <w:tcW w:w="1002" w:type="dxa"/>
            <w:vMerge/>
            <w:tcBorders>
              <w:left w:val="single" w:sz="18" w:space="0" w:color="auto"/>
              <w:bottom w:val="single" w:sz="18" w:space="0" w:color="auto"/>
              <w:right w:val="nil"/>
            </w:tcBorders>
            <w:vAlign w:val="center"/>
          </w:tcPr>
          <w:p w14:paraId="569BAC9A" w14:textId="77777777" w:rsidR="00BE26C0" w:rsidRPr="00891F4E" w:rsidRDefault="00BE26C0" w:rsidP="000978C5">
            <w:pPr>
              <w:jc w:val="center"/>
              <w:rPr>
                <w:rFonts w:cs="Times New Roman"/>
              </w:rPr>
            </w:pPr>
          </w:p>
        </w:tc>
      </w:tr>
    </w:tbl>
    <w:p w14:paraId="12C0C5F9" w14:textId="77777777" w:rsidR="00BE26C0" w:rsidRDefault="00BE26C0" w:rsidP="00BE26C0">
      <w:pPr>
        <w:rPr>
          <w:rFonts w:cs="Times New Roman"/>
          <w:i/>
        </w:rPr>
      </w:pPr>
      <w:r w:rsidRPr="00891F4E">
        <w:rPr>
          <w:rFonts w:cs="Times New Roman"/>
          <w:i/>
        </w:rPr>
        <w:t>Notes: p-values were referred to Fisher’s Exact test for frequencies, Mann-Whitney test for medians and t-Test for means.</w:t>
      </w:r>
    </w:p>
    <w:p w14:paraId="0877A259" w14:textId="77777777" w:rsidR="00BE26C0" w:rsidRDefault="00BE26C0" w:rsidP="00BE26C0">
      <w:pPr>
        <w:rPr>
          <w:rFonts w:cs="Times New Roman"/>
          <w:i/>
          <w:highlight w:val="yellow"/>
        </w:rPr>
      </w:pPr>
    </w:p>
    <w:p w14:paraId="69EDDE2E" w14:textId="77777777" w:rsidR="00BE26C0" w:rsidRDefault="00BE26C0" w:rsidP="00BE26C0">
      <w:pPr>
        <w:rPr>
          <w:rStyle w:val="st"/>
          <w:i/>
        </w:rPr>
      </w:pPr>
      <w:r w:rsidRPr="00BE26C0">
        <w:rPr>
          <w:rFonts w:cs="Times New Roman"/>
          <w:i/>
        </w:rPr>
        <w:t xml:space="preserve">Abbreviations: CES-D:  Center for Epidemiologic Studies – Depression; WOMAC: </w:t>
      </w:r>
      <w:r w:rsidRPr="00BE26C0">
        <w:rPr>
          <w:rStyle w:val="st"/>
          <w:i/>
        </w:rPr>
        <w:t>Western Ontario and Mc Master University; PASE: Physical Activity Scale for Elderly; KOOS: Knee Injury and Osteoarthritis Outcome Score; QoL: quality of life; BMI: body mass index; MPI: Multidimensional Prognostic Index</w:t>
      </w:r>
    </w:p>
    <w:p w14:paraId="5CEADC03" w14:textId="77777777" w:rsidR="00BE26C0" w:rsidRDefault="00BE26C0" w:rsidP="00BE26C0">
      <w:pPr>
        <w:rPr>
          <w:rStyle w:val="st"/>
          <w:i/>
        </w:rPr>
      </w:pPr>
    </w:p>
    <w:p w14:paraId="521D5398" w14:textId="77777777" w:rsidR="00BE26C0" w:rsidRDefault="00BE26C0" w:rsidP="00BE26C0">
      <w:pPr>
        <w:rPr>
          <w:rStyle w:val="st"/>
          <w:i/>
        </w:rPr>
      </w:pPr>
    </w:p>
    <w:p w14:paraId="133EC098" w14:textId="77777777" w:rsidR="00BE26C0" w:rsidRDefault="00BE26C0" w:rsidP="00BE26C0">
      <w:pPr>
        <w:rPr>
          <w:rStyle w:val="st"/>
          <w:i/>
        </w:rPr>
      </w:pPr>
    </w:p>
    <w:p w14:paraId="3E91F9B6" w14:textId="77777777" w:rsidR="00BE26C0" w:rsidRDefault="00BE26C0" w:rsidP="00BE26C0">
      <w:pPr>
        <w:rPr>
          <w:rStyle w:val="st"/>
          <w:i/>
        </w:rPr>
      </w:pPr>
    </w:p>
    <w:p w14:paraId="04986031" w14:textId="77777777" w:rsidR="00BE26C0" w:rsidRDefault="00BE26C0" w:rsidP="00BE26C0">
      <w:pPr>
        <w:rPr>
          <w:rStyle w:val="st"/>
          <w:i/>
        </w:rPr>
      </w:pPr>
    </w:p>
    <w:p w14:paraId="016C9B33" w14:textId="77777777" w:rsidR="00BE26C0" w:rsidRDefault="00BE26C0" w:rsidP="00BE26C0">
      <w:pPr>
        <w:rPr>
          <w:rStyle w:val="st"/>
          <w:i/>
        </w:rPr>
      </w:pPr>
    </w:p>
    <w:p w14:paraId="0C27EA1D" w14:textId="77777777" w:rsidR="00BE26C0" w:rsidRDefault="00BE26C0" w:rsidP="00BE26C0">
      <w:pPr>
        <w:rPr>
          <w:rStyle w:val="st"/>
          <w:i/>
        </w:rPr>
      </w:pPr>
    </w:p>
    <w:p w14:paraId="6A2B115A" w14:textId="77777777" w:rsidR="00BE26C0" w:rsidRDefault="00BE26C0" w:rsidP="00BE26C0">
      <w:pPr>
        <w:rPr>
          <w:rStyle w:val="st"/>
          <w:i/>
        </w:rPr>
      </w:pPr>
    </w:p>
    <w:p w14:paraId="74267312" w14:textId="77777777" w:rsidR="00BE26C0" w:rsidRDefault="00BE26C0" w:rsidP="00BE26C0">
      <w:pPr>
        <w:rPr>
          <w:rStyle w:val="st"/>
          <w:i/>
        </w:rPr>
      </w:pPr>
    </w:p>
    <w:p w14:paraId="043A2BF1" w14:textId="77777777" w:rsidR="00BE26C0" w:rsidRDefault="00BE26C0" w:rsidP="00BE26C0">
      <w:pPr>
        <w:rPr>
          <w:rStyle w:val="st"/>
          <w:i/>
        </w:rPr>
      </w:pPr>
    </w:p>
    <w:p w14:paraId="577E02A6" w14:textId="77777777" w:rsidR="00BE26C0" w:rsidRDefault="00BE26C0" w:rsidP="00BE26C0">
      <w:pPr>
        <w:rPr>
          <w:rStyle w:val="st"/>
          <w:i/>
        </w:rPr>
      </w:pPr>
    </w:p>
    <w:p w14:paraId="213A58BF" w14:textId="77777777" w:rsidR="00BE26C0" w:rsidRDefault="00BE26C0" w:rsidP="00BE26C0">
      <w:pPr>
        <w:rPr>
          <w:rStyle w:val="st"/>
          <w:i/>
        </w:rPr>
      </w:pPr>
    </w:p>
    <w:p w14:paraId="1DC269F5" w14:textId="77777777" w:rsidR="00BE26C0" w:rsidRDefault="00BE26C0" w:rsidP="00BE26C0">
      <w:pPr>
        <w:rPr>
          <w:rStyle w:val="st"/>
          <w:i/>
        </w:rPr>
      </w:pPr>
    </w:p>
    <w:p w14:paraId="1416C6D7" w14:textId="77777777" w:rsidR="00BE26C0" w:rsidRDefault="00BE26C0" w:rsidP="00BE26C0">
      <w:pPr>
        <w:rPr>
          <w:rStyle w:val="st"/>
          <w:i/>
        </w:rPr>
      </w:pPr>
    </w:p>
    <w:p w14:paraId="609DBD51" w14:textId="77777777" w:rsidR="00BE26C0" w:rsidRDefault="00BE26C0" w:rsidP="00BE26C0">
      <w:pPr>
        <w:rPr>
          <w:rStyle w:val="st"/>
          <w:i/>
        </w:rPr>
      </w:pPr>
    </w:p>
    <w:p w14:paraId="25650E26" w14:textId="77777777" w:rsidR="00BE26C0" w:rsidRDefault="00BE26C0" w:rsidP="00BE26C0">
      <w:pPr>
        <w:rPr>
          <w:rStyle w:val="st"/>
          <w:i/>
        </w:rPr>
      </w:pPr>
    </w:p>
    <w:p w14:paraId="075C9ED0" w14:textId="77777777" w:rsidR="00BE26C0" w:rsidRDefault="00BE26C0" w:rsidP="00BE26C0">
      <w:pPr>
        <w:rPr>
          <w:rStyle w:val="st"/>
          <w:i/>
        </w:rPr>
      </w:pPr>
    </w:p>
    <w:p w14:paraId="4CDD51BB" w14:textId="77777777" w:rsidR="00BE26C0" w:rsidRDefault="00BE26C0" w:rsidP="00BE26C0">
      <w:pPr>
        <w:rPr>
          <w:rStyle w:val="st"/>
          <w:i/>
        </w:rPr>
      </w:pPr>
    </w:p>
    <w:p w14:paraId="57A96175" w14:textId="77777777" w:rsidR="00BE26C0" w:rsidRDefault="00BE26C0" w:rsidP="00BE26C0">
      <w:pPr>
        <w:rPr>
          <w:rStyle w:val="st"/>
          <w:i/>
        </w:rPr>
      </w:pPr>
    </w:p>
    <w:p w14:paraId="31BA17BC" w14:textId="77777777" w:rsidR="00BE26C0" w:rsidRDefault="00BE26C0" w:rsidP="00BE26C0">
      <w:pPr>
        <w:rPr>
          <w:rStyle w:val="st"/>
          <w:i/>
        </w:rPr>
      </w:pPr>
    </w:p>
    <w:p w14:paraId="1F899EEF" w14:textId="77777777" w:rsidR="00BE26C0" w:rsidRDefault="00BE26C0" w:rsidP="00BE26C0">
      <w:pPr>
        <w:rPr>
          <w:rStyle w:val="st"/>
          <w:i/>
        </w:rPr>
      </w:pPr>
    </w:p>
    <w:p w14:paraId="79274301" w14:textId="77777777" w:rsidR="00BE26C0" w:rsidRDefault="00BE26C0" w:rsidP="00BE26C0">
      <w:pPr>
        <w:rPr>
          <w:rStyle w:val="st"/>
          <w:i/>
        </w:rPr>
      </w:pPr>
    </w:p>
    <w:p w14:paraId="5A577F7E" w14:textId="77777777" w:rsidR="00BE26C0" w:rsidRDefault="00BE26C0" w:rsidP="00BE26C0">
      <w:pPr>
        <w:rPr>
          <w:rStyle w:val="st"/>
          <w:i/>
        </w:rPr>
      </w:pPr>
    </w:p>
    <w:p w14:paraId="01ABAE7F" w14:textId="77777777" w:rsidR="00BE26C0" w:rsidRDefault="00BE26C0" w:rsidP="00BE26C0">
      <w:pPr>
        <w:rPr>
          <w:rStyle w:val="st"/>
          <w:i/>
        </w:rPr>
      </w:pPr>
    </w:p>
    <w:p w14:paraId="1F1BBE23" w14:textId="77777777" w:rsidR="00BE26C0" w:rsidRDefault="00BE26C0" w:rsidP="00BE26C0">
      <w:pPr>
        <w:rPr>
          <w:rStyle w:val="st"/>
          <w:i/>
        </w:rPr>
      </w:pPr>
    </w:p>
    <w:p w14:paraId="2B195392" w14:textId="77777777" w:rsidR="00BE26C0" w:rsidRDefault="00BE26C0" w:rsidP="00BE26C0">
      <w:pPr>
        <w:rPr>
          <w:rStyle w:val="st"/>
          <w:i/>
        </w:rPr>
      </w:pPr>
    </w:p>
    <w:p w14:paraId="1D389280" w14:textId="77777777" w:rsidR="00BE26C0" w:rsidRDefault="00BE26C0" w:rsidP="00BE26C0">
      <w:pPr>
        <w:rPr>
          <w:rStyle w:val="st"/>
          <w:i/>
        </w:rPr>
      </w:pPr>
    </w:p>
    <w:p w14:paraId="59994BC8" w14:textId="77777777" w:rsidR="00BE26C0" w:rsidRDefault="00BE26C0" w:rsidP="00BE26C0">
      <w:pPr>
        <w:rPr>
          <w:rStyle w:val="st"/>
          <w:i/>
        </w:rPr>
      </w:pPr>
    </w:p>
    <w:p w14:paraId="22F6D887" w14:textId="77777777" w:rsidR="00BE26C0" w:rsidRDefault="00BE26C0" w:rsidP="00BE26C0">
      <w:pPr>
        <w:rPr>
          <w:rStyle w:val="st"/>
          <w:i/>
        </w:rPr>
      </w:pPr>
    </w:p>
    <w:p w14:paraId="5DA6CE86" w14:textId="77777777" w:rsidR="00BE26C0" w:rsidRDefault="00BE26C0" w:rsidP="00BE26C0">
      <w:pPr>
        <w:rPr>
          <w:rStyle w:val="st"/>
          <w:i/>
        </w:rPr>
      </w:pPr>
    </w:p>
    <w:p w14:paraId="375EF687" w14:textId="77777777" w:rsidR="00BE26C0" w:rsidRDefault="00BE26C0" w:rsidP="00BE26C0">
      <w:pPr>
        <w:rPr>
          <w:rStyle w:val="st"/>
          <w:i/>
        </w:rPr>
      </w:pPr>
    </w:p>
    <w:p w14:paraId="03F372AE" w14:textId="77777777" w:rsidR="00BE26C0" w:rsidRDefault="00BE26C0" w:rsidP="00BE26C0">
      <w:pPr>
        <w:rPr>
          <w:rStyle w:val="st"/>
          <w:i/>
        </w:rPr>
      </w:pPr>
    </w:p>
    <w:p w14:paraId="2A5593B7" w14:textId="77777777" w:rsidR="00BE26C0" w:rsidRDefault="00BE26C0" w:rsidP="00BE26C0">
      <w:pPr>
        <w:rPr>
          <w:rStyle w:val="st"/>
          <w:i/>
        </w:rPr>
      </w:pPr>
    </w:p>
    <w:p w14:paraId="10093479" w14:textId="77777777" w:rsidR="00BE26C0" w:rsidRDefault="00BE26C0" w:rsidP="00BE26C0">
      <w:pPr>
        <w:rPr>
          <w:rStyle w:val="st"/>
          <w:i/>
        </w:rPr>
      </w:pPr>
    </w:p>
    <w:p w14:paraId="11A97744" w14:textId="77777777" w:rsidR="00BE26C0" w:rsidRDefault="00BE26C0" w:rsidP="00BE26C0">
      <w:pPr>
        <w:rPr>
          <w:rStyle w:val="st"/>
          <w:i/>
        </w:rPr>
      </w:pPr>
    </w:p>
    <w:p w14:paraId="709BEF58" w14:textId="52A4A70D" w:rsidR="00BE26C0" w:rsidRPr="00921F8B" w:rsidRDefault="00BE26C0" w:rsidP="00BE26C0">
      <w:pPr>
        <w:rPr>
          <w:i/>
        </w:rPr>
      </w:pPr>
      <w:r w:rsidRPr="00921F8B">
        <w:rPr>
          <w:rStyle w:val="st"/>
          <w:i/>
        </w:rPr>
        <w:lastRenderedPageBreak/>
        <w:t xml:space="preserve"> </w:t>
      </w:r>
    </w:p>
    <w:p w14:paraId="7F0DA3D7" w14:textId="77777777" w:rsidR="00BE26C0" w:rsidRPr="002337A4" w:rsidRDefault="00BE26C0" w:rsidP="00BE26C0">
      <w:pPr>
        <w:spacing w:line="480" w:lineRule="auto"/>
        <w:jc w:val="both"/>
        <w:rPr>
          <w:rFonts w:cs="Times New Roman"/>
        </w:rPr>
      </w:pPr>
      <w:r w:rsidRPr="002337A4">
        <w:rPr>
          <w:rFonts w:cs="Times New Roman"/>
          <w:b/>
        </w:rPr>
        <w:t xml:space="preserve">Table </w:t>
      </w:r>
      <w:r>
        <w:rPr>
          <w:rFonts w:cs="Times New Roman"/>
          <w:b/>
        </w:rPr>
        <w:t>3</w:t>
      </w:r>
      <w:r w:rsidRPr="002337A4">
        <w:rPr>
          <w:rFonts w:cs="Times New Roman"/>
          <w:b/>
        </w:rPr>
        <w:t>. Logistic regression and prediction capability of MPI on</w:t>
      </w:r>
      <w:r>
        <w:rPr>
          <w:rFonts w:cs="Times New Roman"/>
          <w:b/>
        </w:rPr>
        <w:t xml:space="preserve"> a</w:t>
      </w:r>
      <w:r w:rsidRPr="002337A4">
        <w:rPr>
          <w:rFonts w:cs="Times New Roman"/>
          <w:b/>
        </w:rPr>
        <w:t xml:space="preserve"> continuous scale and stratified by several group</w:t>
      </w:r>
      <w:r>
        <w:rPr>
          <w:rFonts w:cs="Times New Roman"/>
          <w:b/>
        </w:rPr>
        <w:t>s</w:t>
      </w:r>
      <w:r w:rsidRPr="002337A4">
        <w:rPr>
          <w:rFonts w:cs="Times New Roman"/>
          <w:b/>
        </w:rPr>
        <w:t xml:space="preserve"> of risk, taking recurrent fallers during 8 years of follow-up as </w:t>
      </w:r>
      <w:r>
        <w:rPr>
          <w:rFonts w:cs="Times New Roman"/>
          <w:b/>
        </w:rPr>
        <w:t xml:space="preserve">the </w:t>
      </w:r>
      <w:r w:rsidRPr="002337A4">
        <w:rPr>
          <w:rFonts w:cs="Times New Roman"/>
          <w:b/>
        </w:rPr>
        <w:t>outcome.</w:t>
      </w:r>
    </w:p>
    <w:p w14:paraId="49535F1F" w14:textId="77777777" w:rsidR="00BE26C0" w:rsidRPr="002337A4" w:rsidRDefault="00BE26C0" w:rsidP="00BE26C0"/>
    <w:tbl>
      <w:tblPr>
        <w:tblW w:w="5000" w:type="pct"/>
        <w:jc w:val="center"/>
        <w:tblLook w:val="04A0" w:firstRow="1" w:lastRow="0" w:firstColumn="1" w:lastColumn="0" w:noHBand="0" w:noVBand="1"/>
      </w:tblPr>
      <w:tblGrid>
        <w:gridCol w:w="1930"/>
        <w:gridCol w:w="1750"/>
        <w:gridCol w:w="1756"/>
        <w:gridCol w:w="2452"/>
        <w:gridCol w:w="1750"/>
      </w:tblGrid>
      <w:tr w:rsidR="00BE26C0" w:rsidRPr="002337A4" w14:paraId="0D0ECC64" w14:textId="77777777" w:rsidTr="000978C5">
        <w:trPr>
          <w:trHeight w:val="339"/>
          <w:jc w:val="center"/>
        </w:trPr>
        <w:tc>
          <w:tcPr>
            <w:tcW w:w="5000" w:type="pct"/>
            <w:gridSpan w:val="5"/>
            <w:tcBorders>
              <w:top w:val="single" w:sz="18" w:space="0" w:color="auto"/>
              <w:left w:val="nil"/>
              <w:bottom w:val="single" w:sz="18" w:space="0" w:color="auto"/>
            </w:tcBorders>
            <w:vAlign w:val="center"/>
          </w:tcPr>
          <w:p w14:paraId="1E751762" w14:textId="77777777" w:rsidR="00BE26C0" w:rsidRPr="002337A4" w:rsidRDefault="00BE26C0" w:rsidP="000978C5">
            <w:pPr>
              <w:jc w:val="center"/>
              <w:rPr>
                <w:rFonts w:cs="Times New Roman"/>
                <w:b/>
              </w:rPr>
            </w:pPr>
            <w:r w:rsidRPr="002337A4">
              <w:rPr>
                <w:rFonts w:cs="Times New Roman"/>
                <w:b/>
              </w:rPr>
              <w:t>Recurrent fallers</w:t>
            </w:r>
            <w:r>
              <w:rPr>
                <w:rFonts w:cs="Times New Roman"/>
                <w:b/>
              </w:rPr>
              <w:t xml:space="preserve"> (during follow-up)</w:t>
            </w:r>
          </w:p>
        </w:tc>
      </w:tr>
      <w:tr w:rsidR="00BE26C0" w:rsidRPr="002337A4" w14:paraId="3ACC4590" w14:textId="77777777" w:rsidTr="000978C5">
        <w:trPr>
          <w:trHeight w:val="1231"/>
          <w:jc w:val="center"/>
        </w:trPr>
        <w:tc>
          <w:tcPr>
            <w:tcW w:w="1909" w:type="pct"/>
            <w:gridSpan w:val="2"/>
            <w:tcBorders>
              <w:top w:val="single" w:sz="18" w:space="0" w:color="auto"/>
              <w:left w:val="nil"/>
              <w:bottom w:val="single" w:sz="18" w:space="0" w:color="auto"/>
              <w:right w:val="single" w:sz="18" w:space="0" w:color="auto"/>
            </w:tcBorders>
            <w:vAlign w:val="center"/>
          </w:tcPr>
          <w:p w14:paraId="0BC3DE3D" w14:textId="77777777" w:rsidR="00BE26C0" w:rsidRPr="002337A4" w:rsidRDefault="00BE26C0" w:rsidP="000978C5">
            <w:pPr>
              <w:rPr>
                <w:rFonts w:cs="Times New Roman"/>
                <w:b/>
              </w:rPr>
            </w:pPr>
          </w:p>
        </w:tc>
        <w:tc>
          <w:tcPr>
            <w:tcW w:w="911" w:type="pct"/>
            <w:tcBorders>
              <w:top w:val="single" w:sz="18" w:space="0" w:color="auto"/>
              <w:left w:val="single" w:sz="18" w:space="0" w:color="auto"/>
              <w:bottom w:val="single" w:sz="18" w:space="0" w:color="auto"/>
              <w:right w:val="single" w:sz="18" w:space="0" w:color="auto"/>
            </w:tcBorders>
            <w:vAlign w:val="center"/>
          </w:tcPr>
          <w:p w14:paraId="74318FB1" w14:textId="77777777" w:rsidR="00BE26C0" w:rsidRPr="002337A4" w:rsidRDefault="00BE26C0" w:rsidP="000978C5">
            <w:pPr>
              <w:jc w:val="center"/>
              <w:rPr>
                <w:rFonts w:cs="Times New Roman"/>
                <w:b/>
              </w:rPr>
            </w:pPr>
            <w:r w:rsidRPr="002337A4">
              <w:rPr>
                <w:rFonts w:cs="Times New Roman"/>
                <w:b/>
              </w:rPr>
              <w:t>Recurrent fallers</w:t>
            </w:r>
          </w:p>
          <w:p w14:paraId="2C6268B8" w14:textId="77777777" w:rsidR="00BE26C0" w:rsidRPr="002337A4" w:rsidRDefault="00BE26C0" w:rsidP="000978C5">
            <w:pPr>
              <w:jc w:val="center"/>
              <w:rPr>
                <w:rFonts w:cs="Times New Roman"/>
                <w:b/>
              </w:rPr>
            </w:pPr>
            <w:r w:rsidRPr="002337A4">
              <w:rPr>
                <w:rFonts w:cs="Times New Roman"/>
                <w:b/>
              </w:rPr>
              <w:t>(%)</w:t>
            </w:r>
          </w:p>
        </w:tc>
        <w:tc>
          <w:tcPr>
            <w:tcW w:w="1272" w:type="pct"/>
            <w:tcBorders>
              <w:top w:val="single" w:sz="18" w:space="0" w:color="auto"/>
              <w:left w:val="single" w:sz="18" w:space="0" w:color="auto"/>
              <w:bottom w:val="single" w:sz="18" w:space="0" w:color="auto"/>
              <w:right w:val="single" w:sz="6" w:space="0" w:color="auto"/>
            </w:tcBorders>
            <w:vAlign w:val="center"/>
          </w:tcPr>
          <w:p w14:paraId="56583894" w14:textId="77777777" w:rsidR="00BE26C0" w:rsidRPr="002337A4" w:rsidRDefault="00BE26C0" w:rsidP="000978C5">
            <w:pPr>
              <w:jc w:val="center"/>
              <w:rPr>
                <w:rFonts w:cs="Times New Roman"/>
                <w:b/>
              </w:rPr>
            </w:pPr>
            <w:r w:rsidRPr="002337A4">
              <w:rPr>
                <w:rFonts w:cs="Times New Roman"/>
                <w:b/>
              </w:rPr>
              <w:t xml:space="preserve">OR </w:t>
            </w:r>
          </w:p>
          <w:p w14:paraId="117F6886" w14:textId="77777777" w:rsidR="00BE26C0" w:rsidRPr="002337A4" w:rsidRDefault="00BE26C0" w:rsidP="000978C5">
            <w:pPr>
              <w:jc w:val="center"/>
              <w:rPr>
                <w:rFonts w:cs="Times New Roman"/>
                <w:b/>
              </w:rPr>
            </w:pPr>
            <w:r w:rsidRPr="002337A4">
              <w:rPr>
                <w:rFonts w:cs="Times New Roman"/>
                <w:b/>
              </w:rPr>
              <w:t>(95%CI)</w:t>
            </w:r>
          </w:p>
        </w:tc>
        <w:tc>
          <w:tcPr>
            <w:tcW w:w="908" w:type="pct"/>
            <w:tcBorders>
              <w:top w:val="single" w:sz="18" w:space="0" w:color="auto"/>
              <w:left w:val="single" w:sz="6" w:space="0" w:color="auto"/>
              <w:bottom w:val="single" w:sz="18" w:space="0" w:color="auto"/>
            </w:tcBorders>
            <w:vAlign w:val="center"/>
          </w:tcPr>
          <w:p w14:paraId="5FD99F97" w14:textId="77777777" w:rsidR="00BE26C0" w:rsidRPr="002337A4" w:rsidRDefault="00BE26C0" w:rsidP="000978C5">
            <w:pPr>
              <w:jc w:val="center"/>
              <w:rPr>
                <w:rFonts w:cs="Times New Roman"/>
                <w:b/>
              </w:rPr>
            </w:pPr>
            <w:r w:rsidRPr="002337A4">
              <w:rPr>
                <w:rFonts w:cs="Times New Roman"/>
                <w:b/>
              </w:rPr>
              <w:t>p-value</w:t>
            </w:r>
          </w:p>
        </w:tc>
      </w:tr>
      <w:tr w:rsidR="00BE26C0" w:rsidRPr="002337A4" w14:paraId="3CE27ED9" w14:textId="77777777" w:rsidTr="000978C5">
        <w:trPr>
          <w:trHeight w:val="680"/>
          <w:jc w:val="center"/>
        </w:trPr>
        <w:tc>
          <w:tcPr>
            <w:tcW w:w="1909" w:type="pct"/>
            <w:gridSpan w:val="2"/>
            <w:tcBorders>
              <w:top w:val="nil"/>
              <w:left w:val="nil"/>
              <w:bottom w:val="single" w:sz="6" w:space="0" w:color="auto"/>
              <w:right w:val="single" w:sz="18" w:space="0" w:color="auto"/>
            </w:tcBorders>
            <w:vAlign w:val="center"/>
          </w:tcPr>
          <w:p w14:paraId="499579C2" w14:textId="77777777" w:rsidR="00BE26C0" w:rsidRPr="002337A4" w:rsidRDefault="00BE26C0" w:rsidP="000978C5">
            <w:pPr>
              <w:rPr>
                <w:rFonts w:cs="Times New Roman"/>
              </w:rPr>
            </w:pPr>
            <w:r w:rsidRPr="002337A4">
              <w:rPr>
                <w:rFonts w:cs="Times New Roman"/>
                <w:b/>
              </w:rPr>
              <w:t xml:space="preserve">MPI (x </w:t>
            </w:r>
            <w:r>
              <w:rPr>
                <w:rFonts w:cs="Times New Roman"/>
                <w:b/>
              </w:rPr>
              <w:t>0.1</w:t>
            </w:r>
            <w:r w:rsidRPr="002337A4">
              <w:rPr>
                <w:rFonts w:cs="Times New Roman"/>
                <w:b/>
              </w:rPr>
              <w:t xml:space="preserve"> increase)</w:t>
            </w:r>
          </w:p>
        </w:tc>
        <w:tc>
          <w:tcPr>
            <w:tcW w:w="911" w:type="pct"/>
            <w:tcBorders>
              <w:top w:val="nil"/>
              <w:left w:val="single" w:sz="18" w:space="0" w:color="auto"/>
              <w:bottom w:val="single" w:sz="6" w:space="0" w:color="auto"/>
              <w:right w:val="single" w:sz="18" w:space="0" w:color="auto"/>
            </w:tcBorders>
            <w:vAlign w:val="center"/>
          </w:tcPr>
          <w:p w14:paraId="066CD628" w14:textId="77777777" w:rsidR="00BE26C0" w:rsidRPr="002337A4" w:rsidRDefault="00BE26C0" w:rsidP="000978C5">
            <w:pPr>
              <w:jc w:val="center"/>
              <w:rPr>
                <w:rFonts w:cs="Times New Roman"/>
              </w:rPr>
            </w:pPr>
            <w:r w:rsidRPr="002337A4">
              <w:rPr>
                <w:rFonts w:cs="Times New Roman"/>
              </w:rPr>
              <w:t>223/885 (25.2%)</w:t>
            </w:r>
          </w:p>
        </w:tc>
        <w:tc>
          <w:tcPr>
            <w:tcW w:w="1272" w:type="pct"/>
            <w:tcBorders>
              <w:top w:val="nil"/>
              <w:left w:val="single" w:sz="18" w:space="0" w:color="auto"/>
              <w:bottom w:val="single" w:sz="6" w:space="0" w:color="auto"/>
              <w:right w:val="single" w:sz="6" w:space="0" w:color="auto"/>
            </w:tcBorders>
            <w:vAlign w:val="center"/>
          </w:tcPr>
          <w:p w14:paraId="1860655F" w14:textId="77777777" w:rsidR="00BE26C0" w:rsidRPr="002337A4" w:rsidRDefault="00BE26C0" w:rsidP="000978C5">
            <w:pPr>
              <w:jc w:val="center"/>
              <w:rPr>
                <w:rFonts w:cs="Times New Roman"/>
              </w:rPr>
            </w:pPr>
            <w:r w:rsidRPr="002337A4">
              <w:rPr>
                <w:rFonts w:cs="Times New Roman"/>
              </w:rPr>
              <w:t>1.34</w:t>
            </w:r>
          </w:p>
          <w:p w14:paraId="451DA0C3" w14:textId="77777777" w:rsidR="00BE26C0" w:rsidRPr="002337A4" w:rsidRDefault="00BE26C0" w:rsidP="000978C5">
            <w:pPr>
              <w:jc w:val="center"/>
              <w:rPr>
                <w:rFonts w:cs="Times New Roman"/>
              </w:rPr>
            </w:pPr>
            <w:r w:rsidRPr="002337A4">
              <w:rPr>
                <w:rFonts w:cs="Times New Roman"/>
              </w:rPr>
              <w:t>(1.22 – 1.48)</w:t>
            </w:r>
          </w:p>
        </w:tc>
        <w:tc>
          <w:tcPr>
            <w:tcW w:w="908" w:type="pct"/>
            <w:tcBorders>
              <w:top w:val="single" w:sz="18" w:space="0" w:color="auto"/>
              <w:left w:val="single" w:sz="6" w:space="0" w:color="auto"/>
              <w:bottom w:val="single" w:sz="6" w:space="0" w:color="auto"/>
            </w:tcBorders>
            <w:vAlign w:val="center"/>
          </w:tcPr>
          <w:p w14:paraId="1CAD3BF9" w14:textId="77777777" w:rsidR="00BE26C0" w:rsidRPr="002337A4" w:rsidRDefault="00BE26C0" w:rsidP="000978C5">
            <w:pPr>
              <w:jc w:val="center"/>
              <w:rPr>
                <w:rFonts w:cs="Times New Roman"/>
              </w:rPr>
            </w:pPr>
            <w:r w:rsidRPr="002337A4">
              <w:rPr>
                <w:rFonts w:cs="Times New Roman"/>
              </w:rPr>
              <w:t>&lt; 0.001</w:t>
            </w:r>
          </w:p>
        </w:tc>
      </w:tr>
      <w:tr w:rsidR="00BE26C0" w:rsidRPr="002337A4" w14:paraId="57D10EFE" w14:textId="77777777" w:rsidTr="000978C5">
        <w:trPr>
          <w:trHeight w:val="680"/>
          <w:jc w:val="center"/>
        </w:trPr>
        <w:tc>
          <w:tcPr>
            <w:tcW w:w="1001" w:type="pct"/>
            <w:vMerge w:val="restart"/>
            <w:tcBorders>
              <w:top w:val="nil"/>
              <w:left w:val="nil"/>
              <w:right w:val="nil"/>
            </w:tcBorders>
            <w:vAlign w:val="center"/>
          </w:tcPr>
          <w:p w14:paraId="582917EF" w14:textId="77777777" w:rsidR="00BE26C0" w:rsidRPr="002337A4" w:rsidRDefault="00BE26C0" w:rsidP="000978C5">
            <w:pPr>
              <w:rPr>
                <w:rFonts w:cs="Times New Roman"/>
                <w:i/>
              </w:rPr>
            </w:pPr>
            <w:r w:rsidRPr="002337A4">
              <w:rPr>
                <w:rFonts w:cs="Times New Roman"/>
                <w:b/>
              </w:rPr>
              <w:t>MPI</w:t>
            </w:r>
          </w:p>
        </w:tc>
        <w:tc>
          <w:tcPr>
            <w:tcW w:w="908" w:type="pct"/>
            <w:tcBorders>
              <w:top w:val="nil"/>
              <w:left w:val="nil"/>
              <w:bottom w:val="nil"/>
              <w:right w:val="single" w:sz="18" w:space="0" w:color="auto"/>
            </w:tcBorders>
            <w:vAlign w:val="center"/>
          </w:tcPr>
          <w:p w14:paraId="3B880224" w14:textId="77777777" w:rsidR="00BE26C0" w:rsidRPr="00891F4E" w:rsidRDefault="00BE26C0" w:rsidP="000978C5">
            <w:pPr>
              <w:jc w:val="center"/>
              <w:rPr>
                <w:rFonts w:cs="Times New Roman"/>
              </w:rPr>
            </w:pPr>
            <w:r w:rsidRPr="00891F4E">
              <w:rPr>
                <w:rFonts w:cs="Times New Roman"/>
              </w:rPr>
              <w:t>Low</w:t>
            </w:r>
          </w:p>
          <w:p w14:paraId="6BC70281" w14:textId="77777777" w:rsidR="00BE26C0" w:rsidRPr="00891F4E" w:rsidRDefault="00BE26C0" w:rsidP="000978C5">
            <w:pPr>
              <w:jc w:val="center"/>
              <w:rPr>
                <w:rFonts w:cs="Times New Roman"/>
              </w:rPr>
            </w:pPr>
            <w:r>
              <w:rPr>
                <w:rFonts w:cs="Times New Roman"/>
              </w:rPr>
              <w:t>(</w:t>
            </w:r>
            <w:r w:rsidRPr="00891F4E">
              <w:rPr>
                <w:rFonts w:cs="Times New Roman"/>
              </w:rPr>
              <w:t>0</w:t>
            </w:r>
            <w:r>
              <w:rPr>
                <w:rFonts w:cs="Times New Roman"/>
              </w:rPr>
              <w:t>-0.4</w:t>
            </w:r>
            <w:r w:rsidRPr="00891F4E">
              <w:rPr>
                <w:rFonts w:cs="Times New Roman"/>
              </w:rPr>
              <w:t>1</w:t>
            </w:r>
            <w:r>
              <w:rPr>
                <w:rFonts w:cs="Times New Roman"/>
              </w:rPr>
              <w:t>)</w:t>
            </w:r>
          </w:p>
        </w:tc>
        <w:tc>
          <w:tcPr>
            <w:tcW w:w="911" w:type="pct"/>
            <w:tcBorders>
              <w:top w:val="nil"/>
              <w:left w:val="single" w:sz="18" w:space="0" w:color="auto"/>
              <w:bottom w:val="nil"/>
              <w:right w:val="single" w:sz="18" w:space="0" w:color="auto"/>
            </w:tcBorders>
            <w:vAlign w:val="center"/>
          </w:tcPr>
          <w:p w14:paraId="4CB8107D" w14:textId="77777777" w:rsidR="00BE26C0" w:rsidRPr="002337A4" w:rsidRDefault="00BE26C0" w:rsidP="000978C5">
            <w:pPr>
              <w:jc w:val="center"/>
              <w:rPr>
                <w:rFonts w:cs="Times New Roman"/>
              </w:rPr>
            </w:pPr>
            <w:r w:rsidRPr="002337A4">
              <w:rPr>
                <w:rFonts w:cs="Times New Roman"/>
              </w:rPr>
              <w:t>82/471</w:t>
            </w:r>
          </w:p>
          <w:p w14:paraId="4C5D6E8A" w14:textId="77777777" w:rsidR="00BE26C0" w:rsidRPr="002337A4" w:rsidRDefault="00BE26C0" w:rsidP="000978C5">
            <w:pPr>
              <w:jc w:val="center"/>
              <w:rPr>
                <w:rFonts w:cs="Times New Roman"/>
              </w:rPr>
            </w:pPr>
            <w:r w:rsidRPr="002337A4">
              <w:rPr>
                <w:rFonts w:cs="Times New Roman"/>
              </w:rPr>
              <w:t>(17.4%)</w:t>
            </w:r>
          </w:p>
        </w:tc>
        <w:tc>
          <w:tcPr>
            <w:tcW w:w="1272" w:type="pct"/>
            <w:tcBorders>
              <w:top w:val="nil"/>
              <w:left w:val="single" w:sz="18" w:space="0" w:color="auto"/>
              <w:bottom w:val="nil"/>
              <w:right w:val="single" w:sz="6" w:space="0" w:color="auto"/>
            </w:tcBorders>
            <w:vAlign w:val="center"/>
          </w:tcPr>
          <w:p w14:paraId="376689E3" w14:textId="77777777" w:rsidR="00BE26C0" w:rsidRPr="002337A4" w:rsidRDefault="00BE26C0" w:rsidP="000978C5">
            <w:pPr>
              <w:jc w:val="center"/>
              <w:rPr>
                <w:rFonts w:cs="Times New Roman"/>
                <w:i/>
              </w:rPr>
            </w:pPr>
            <w:r w:rsidRPr="002337A4">
              <w:rPr>
                <w:rFonts w:cs="Times New Roman"/>
                <w:i/>
              </w:rPr>
              <w:t>ref.</w:t>
            </w:r>
          </w:p>
        </w:tc>
        <w:tc>
          <w:tcPr>
            <w:tcW w:w="908" w:type="pct"/>
            <w:vMerge w:val="restart"/>
            <w:tcBorders>
              <w:top w:val="nil"/>
              <w:left w:val="single" w:sz="6" w:space="0" w:color="auto"/>
              <w:bottom w:val="single" w:sz="6" w:space="0" w:color="auto"/>
            </w:tcBorders>
            <w:vAlign w:val="center"/>
          </w:tcPr>
          <w:p w14:paraId="73C49690" w14:textId="77777777" w:rsidR="00BE26C0" w:rsidRPr="002337A4" w:rsidRDefault="00BE26C0" w:rsidP="000978C5">
            <w:pPr>
              <w:jc w:val="center"/>
              <w:rPr>
                <w:rFonts w:cs="Times New Roman"/>
              </w:rPr>
            </w:pPr>
            <w:r w:rsidRPr="002337A4">
              <w:rPr>
                <w:rFonts w:cs="Times New Roman"/>
              </w:rPr>
              <w:t>&lt; 0.001</w:t>
            </w:r>
          </w:p>
        </w:tc>
      </w:tr>
      <w:tr w:rsidR="00BE26C0" w:rsidRPr="002337A4" w14:paraId="32F6AD15" w14:textId="77777777" w:rsidTr="000978C5">
        <w:trPr>
          <w:trHeight w:val="680"/>
          <w:jc w:val="center"/>
        </w:trPr>
        <w:tc>
          <w:tcPr>
            <w:tcW w:w="1001" w:type="pct"/>
            <w:vMerge/>
            <w:tcBorders>
              <w:left w:val="nil"/>
              <w:right w:val="nil"/>
            </w:tcBorders>
            <w:vAlign w:val="center"/>
          </w:tcPr>
          <w:p w14:paraId="0A3909B5" w14:textId="77777777" w:rsidR="00BE26C0" w:rsidRPr="002337A4" w:rsidRDefault="00BE26C0" w:rsidP="000978C5">
            <w:pPr>
              <w:rPr>
                <w:rFonts w:cs="Times New Roman"/>
                <w:b/>
              </w:rPr>
            </w:pPr>
          </w:p>
        </w:tc>
        <w:tc>
          <w:tcPr>
            <w:tcW w:w="908" w:type="pct"/>
            <w:tcBorders>
              <w:top w:val="nil"/>
              <w:left w:val="nil"/>
              <w:bottom w:val="nil"/>
              <w:right w:val="single" w:sz="18" w:space="0" w:color="auto"/>
            </w:tcBorders>
            <w:vAlign w:val="center"/>
          </w:tcPr>
          <w:p w14:paraId="493619A7" w14:textId="77777777" w:rsidR="00BE26C0" w:rsidRPr="00891F4E" w:rsidRDefault="00BE26C0" w:rsidP="000978C5">
            <w:pPr>
              <w:jc w:val="center"/>
              <w:rPr>
                <w:rFonts w:cs="Times New Roman"/>
              </w:rPr>
            </w:pPr>
            <w:r w:rsidRPr="00891F4E">
              <w:rPr>
                <w:rFonts w:cs="Times New Roman"/>
              </w:rPr>
              <w:t xml:space="preserve">moderate </w:t>
            </w:r>
          </w:p>
          <w:p w14:paraId="3B82FEA6" w14:textId="77777777" w:rsidR="00BE26C0" w:rsidRPr="00891F4E" w:rsidRDefault="00BE26C0" w:rsidP="000978C5">
            <w:pPr>
              <w:jc w:val="center"/>
              <w:rPr>
                <w:rFonts w:cs="Times New Roman"/>
              </w:rPr>
            </w:pPr>
            <w:r w:rsidRPr="00891F4E">
              <w:rPr>
                <w:rFonts w:cs="Times New Roman"/>
              </w:rPr>
              <w:t>(</w:t>
            </w:r>
            <w:r>
              <w:rPr>
                <w:rFonts w:cs="Times New Roman"/>
              </w:rPr>
              <w:t>0.</w:t>
            </w:r>
            <w:r w:rsidRPr="00891F4E">
              <w:rPr>
                <w:rFonts w:cs="Times New Roman"/>
              </w:rPr>
              <w:t>4</w:t>
            </w:r>
            <w:r>
              <w:rPr>
                <w:rFonts w:cs="Times New Roman"/>
              </w:rPr>
              <w:t>2-0.</w:t>
            </w:r>
            <w:r w:rsidRPr="00891F4E">
              <w:rPr>
                <w:rFonts w:cs="Times New Roman"/>
              </w:rPr>
              <w:t>67</w:t>
            </w:r>
            <w:r>
              <w:rPr>
                <w:rFonts w:cs="Times New Roman"/>
              </w:rPr>
              <w:t>)</w:t>
            </w:r>
          </w:p>
        </w:tc>
        <w:tc>
          <w:tcPr>
            <w:tcW w:w="911" w:type="pct"/>
            <w:tcBorders>
              <w:top w:val="nil"/>
              <w:left w:val="single" w:sz="18" w:space="0" w:color="auto"/>
              <w:bottom w:val="nil"/>
              <w:right w:val="single" w:sz="18" w:space="0" w:color="auto"/>
            </w:tcBorders>
            <w:vAlign w:val="center"/>
          </w:tcPr>
          <w:p w14:paraId="2B6FFE1F" w14:textId="77777777" w:rsidR="00BE26C0" w:rsidRPr="002337A4" w:rsidRDefault="00BE26C0" w:rsidP="000978C5">
            <w:pPr>
              <w:jc w:val="center"/>
              <w:rPr>
                <w:rFonts w:cs="Times New Roman"/>
              </w:rPr>
            </w:pPr>
            <w:r w:rsidRPr="002337A4">
              <w:rPr>
                <w:rFonts w:cs="Times New Roman"/>
              </w:rPr>
              <w:t>112/362</w:t>
            </w:r>
          </w:p>
          <w:p w14:paraId="0274C09C" w14:textId="77777777" w:rsidR="00BE26C0" w:rsidRPr="002337A4" w:rsidRDefault="00BE26C0" w:rsidP="000978C5">
            <w:pPr>
              <w:jc w:val="center"/>
              <w:rPr>
                <w:rFonts w:cs="Times New Roman"/>
              </w:rPr>
            </w:pPr>
            <w:r w:rsidRPr="002337A4">
              <w:rPr>
                <w:rFonts w:cs="Times New Roman"/>
              </w:rPr>
              <w:t>(30.9%)</w:t>
            </w:r>
          </w:p>
        </w:tc>
        <w:tc>
          <w:tcPr>
            <w:tcW w:w="1272" w:type="pct"/>
            <w:tcBorders>
              <w:top w:val="nil"/>
              <w:left w:val="single" w:sz="18" w:space="0" w:color="auto"/>
              <w:bottom w:val="nil"/>
              <w:right w:val="single" w:sz="6" w:space="0" w:color="auto"/>
            </w:tcBorders>
            <w:vAlign w:val="center"/>
          </w:tcPr>
          <w:p w14:paraId="540DCFE0" w14:textId="77777777" w:rsidR="00BE26C0" w:rsidRPr="002337A4" w:rsidRDefault="00BE26C0" w:rsidP="000978C5">
            <w:pPr>
              <w:jc w:val="center"/>
              <w:rPr>
                <w:rFonts w:cs="Times New Roman"/>
              </w:rPr>
            </w:pPr>
            <w:r w:rsidRPr="002337A4">
              <w:rPr>
                <w:rFonts w:cs="Times New Roman"/>
              </w:rPr>
              <w:t>2.13</w:t>
            </w:r>
          </w:p>
          <w:p w14:paraId="30ECAEDA" w14:textId="77777777" w:rsidR="00BE26C0" w:rsidRPr="002337A4" w:rsidRDefault="00BE26C0" w:rsidP="000978C5">
            <w:pPr>
              <w:jc w:val="center"/>
              <w:rPr>
                <w:rFonts w:cs="Times New Roman"/>
              </w:rPr>
            </w:pPr>
            <w:r w:rsidRPr="002337A4">
              <w:rPr>
                <w:rFonts w:cs="Times New Roman"/>
              </w:rPr>
              <w:t>(1.53 – 2.94)</w:t>
            </w:r>
          </w:p>
        </w:tc>
        <w:tc>
          <w:tcPr>
            <w:tcW w:w="908" w:type="pct"/>
            <w:vMerge/>
            <w:tcBorders>
              <w:left w:val="single" w:sz="6" w:space="0" w:color="auto"/>
              <w:bottom w:val="single" w:sz="6" w:space="0" w:color="auto"/>
            </w:tcBorders>
            <w:vAlign w:val="center"/>
          </w:tcPr>
          <w:p w14:paraId="02FCAFF3" w14:textId="77777777" w:rsidR="00BE26C0" w:rsidRPr="002337A4" w:rsidRDefault="00BE26C0" w:rsidP="000978C5">
            <w:pPr>
              <w:jc w:val="center"/>
              <w:rPr>
                <w:rFonts w:cs="Times New Roman"/>
              </w:rPr>
            </w:pPr>
          </w:p>
        </w:tc>
      </w:tr>
      <w:tr w:rsidR="00BE26C0" w:rsidRPr="002337A4" w14:paraId="4090E0E7" w14:textId="77777777" w:rsidTr="000978C5">
        <w:trPr>
          <w:trHeight w:val="680"/>
          <w:jc w:val="center"/>
        </w:trPr>
        <w:tc>
          <w:tcPr>
            <w:tcW w:w="1001" w:type="pct"/>
            <w:vMerge/>
            <w:tcBorders>
              <w:left w:val="nil"/>
              <w:bottom w:val="single" w:sz="18" w:space="0" w:color="auto"/>
              <w:right w:val="nil"/>
            </w:tcBorders>
            <w:vAlign w:val="center"/>
          </w:tcPr>
          <w:p w14:paraId="3C5AD420" w14:textId="77777777" w:rsidR="00BE26C0" w:rsidRPr="002337A4" w:rsidRDefault="00BE26C0" w:rsidP="000978C5">
            <w:pPr>
              <w:rPr>
                <w:rFonts w:cs="Times New Roman"/>
                <w:b/>
              </w:rPr>
            </w:pPr>
          </w:p>
        </w:tc>
        <w:tc>
          <w:tcPr>
            <w:tcW w:w="908" w:type="pct"/>
            <w:tcBorders>
              <w:top w:val="nil"/>
              <w:left w:val="nil"/>
              <w:bottom w:val="single" w:sz="18" w:space="0" w:color="auto"/>
              <w:right w:val="single" w:sz="18" w:space="0" w:color="auto"/>
            </w:tcBorders>
            <w:vAlign w:val="center"/>
          </w:tcPr>
          <w:p w14:paraId="0388A3C6" w14:textId="77777777" w:rsidR="00BE26C0" w:rsidRPr="00891F4E" w:rsidRDefault="00BE26C0" w:rsidP="000978C5">
            <w:pPr>
              <w:jc w:val="center"/>
              <w:rPr>
                <w:rFonts w:cs="Times New Roman"/>
              </w:rPr>
            </w:pPr>
            <w:r w:rsidRPr="00891F4E">
              <w:rPr>
                <w:rFonts w:cs="Times New Roman"/>
              </w:rPr>
              <w:t xml:space="preserve">severe </w:t>
            </w:r>
          </w:p>
          <w:p w14:paraId="2BFF95BC" w14:textId="77777777" w:rsidR="00BE26C0" w:rsidRPr="00891F4E" w:rsidRDefault="00BE26C0" w:rsidP="000978C5">
            <w:pPr>
              <w:jc w:val="center"/>
              <w:rPr>
                <w:rFonts w:cs="Times New Roman"/>
              </w:rPr>
            </w:pPr>
            <w:r w:rsidRPr="00891F4E">
              <w:rPr>
                <w:rFonts w:cs="Times New Roman"/>
              </w:rPr>
              <w:t>(</w:t>
            </w:r>
            <w:r>
              <w:rPr>
                <w:rFonts w:cs="Times New Roman"/>
              </w:rPr>
              <w:t>0.</w:t>
            </w:r>
            <w:r w:rsidRPr="00891F4E">
              <w:rPr>
                <w:rFonts w:cs="Times New Roman"/>
              </w:rPr>
              <w:t>6</w:t>
            </w:r>
            <w:r>
              <w:rPr>
                <w:rFonts w:cs="Times New Roman"/>
              </w:rPr>
              <w:t>8-</w:t>
            </w:r>
            <w:r w:rsidRPr="00891F4E">
              <w:rPr>
                <w:rFonts w:cs="Times New Roman"/>
              </w:rPr>
              <w:t>1</w:t>
            </w:r>
            <w:r>
              <w:rPr>
                <w:rFonts w:cs="Times New Roman"/>
              </w:rPr>
              <w:t>.</w:t>
            </w:r>
            <w:r w:rsidRPr="00891F4E">
              <w:rPr>
                <w:rFonts w:cs="Times New Roman"/>
              </w:rPr>
              <w:t>0</w:t>
            </w:r>
            <w:r>
              <w:rPr>
                <w:rFonts w:cs="Times New Roman"/>
              </w:rPr>
              <w:t>)</w:t>
            </w:r>
          </w:p>
        </w:tc>
        <w:tc>
          <w:tcPr>
            <w:tcW w:w="911" w:type="pct"/>
            <w:tcBorders>
              <w:top w:val="nil"/>
              <w:left w:val="single" w:sz="18" w:space="0" w:color="auto"/>
              <w:bottom w:val="single" w:sz="18" w:space="0" w:color="auto"/>
              <w:right w:val="single" w:sz="18" w:space="0" w:color="auto"/>
            </w:tcBorders>
            <w:vAlign w:val="center"/>
          </w:tcPr>
          <w:p w14:paraId="0720069F" w14:textId="77777777" w:rsidR="00BE26C0" w:rsidRPr="002337A4" w:rsidRDefault="00BE26C0" w:rsidP="000978C5">
            <w:pPr>
              <w:jc w:val="center"/>
              <w:rPr>
                <w:rFonts w:cs="Times New Roman"/>
              </w:rPr>
            </w:pPr>
            <w:r w:rsidRPr="002337A4">
              <w:rPr>
                <w:rFonts w:cs="Times New Roman"/>
              </w:rPr>
              <w:t>29/52</w:t>
            </w:r>
          </w:p>
          <w:p w14:paraId="72AAB383" w14:textId="77777777" w:rsidR="00BE26C0" w:rsidRPr="002337A4" w:rsidRDefault="00BE26C0" w:rsidP="000978C5">
            <w:pPr>
              <w:jc w:val="center"/>
              <w:rPr>
                <w:rFonts w:cs="Times New Roman"/>
              </w:rPr>
            </w:pPr>
            <w:r w:rsidRPr="002337A4">
              <w:rPr>
                <w:rFonts w:cs="Times New Roman"/>
              </w:rPr>
              <w:t>(55.8%)</w:t>
            </w:r>
          </w:p>
        </w:tc>
        <w:tc>
          <w:tcPr>
            <w:tcW w:w="1272" w:type="pct"/>
            <w:tcBorders>
              <w:top w:val="nil"/>
              <w:left w:val="single" w:sz="18" w:space="0" w:color="auto"/>
              <w:bottom w:val="single" w:sz="18" w:space="0" w:color="auto"/>
              <w:right w:val="single" w:sz="6" w:space="0" w:color="auto"/>
            </w:tcBorders>
            <w:vAlign w:val="center"/>
          </w:tcPr>
          <w:p w14:paraId="19B599CF" w14:textId="77777777" w:rsidR="00BE26C0" w:rsidRPr="002337A4" w:rsidRDefault="00BE26C0" w:rsidP="000978C5">
            <w:pPr>
              <w:jc w:val="center"/>
              <w:rPr>
                <w:rFonts w:cs="Times New Roman"/>
              </w:rPr>
            </w:pPr>
            <w:r w:rsidRPr="002337A4">
              <w:rPr>
                <w:rFonts w:cs="Times New Roman"/>
              </w:rPr>
              <w:t>5.98</w:t>
            </w:r>
          </w:p>
          <w:p w14:paraId="66DA5F5B" w14:textId="77777777" w:rsidR="00BE26C0" w:rsidRPr="002337A4" w:rsidRDefault="00BE26C0" w:rsidP="000978C5">
            <w:pPr>
              <w:jc w:val="center"/>
              <w:rPr>
                <w:rFonts w:cs="Times New Roman"/>
              </w:rPr>
            </w:pPr>
            <w:r w:rsidRPr="002337A4">
              <w:rPr>
                <w:rFonts w:cs="Times New Roman"/>
              </w:rPr>
              <w:t>(3.29 – 10.86)</w:t>
            </w:r>
          </w:p>
        </w:tc>
        <w:tc>
          <w:tcPr>
            <w:tcW w:w="908" w:type="pct"/>
            <w:vMerge/>
            <w:tcBorders>
              <w:left w:val="single" w:sz="6" w:space="0" w:color="auto"/>
              <w:bottom w:val="single" w:sz="18" w:space="0" w:color="auto"/>
            </w:tcBorders>
            <w:vAlign w:val="center"/>
          </w:tcPr>
          <w:p w14:paraId="628918FF" w14:textId="77777777" w:rsidR="00BE26C0" w:rsidRPr="002337A4" w:rsidRDefault="00BE26C0" w:rsidP="000978C5">
            <w:pPr>
              <w:jc w:val="center"/>
              <w:rPr>
                <w:rFonts w:cs="Times New Roman"/>
              </w:rPr>
            </w:pPr>
          </w:p>
        </w:tc>
      </w:tr>
      <w:tr w:rsidR="00BE26C0" w:rsidRPr="002337A4" w14:paraId="4E34DF05" w14:textId="77777777" w:rsidTr="000978C5">
        <w:trPr>
          <w:trHeight w:val="119"/>
          <w:jc w:val="center"/>
        </w:trPr>
        <w:tc>
          <w:tcPr>
            <w:tcW w:w="5000" w:type="pct"/>
            <w:gridSpan w:val="5"/>
            <w:tcBorders>
              <w:top w:val="single" w:sz="18" w:space="0" w:color="auto"/>
              <w:left w:val="nil"/>
              <w:bottom w:val="single" w:sz="18" w:space="0" w:color="auto"/>
            </w:tcBorders>
            <w:vAlign w:val="center"/>
          </w:tcPr>
          <w:p w14:paraId="1110D7D6" w14:textId="77777777" w:rsidR="00BE26C0" w:rsidRPr="002337A4" w:rsidRDefault="00BE26C0" w:rsidP="000978C5">
            <w:pPr>
              <w:jc w:val="center"/>
              <w:rPr>
                <w:rFonts w:cs="Times New Roman"/>
                <w:b/>
              </w:rPr>
            </w:pPr>
            <w:r w:rsidRPr="002337A4">
              <w:rPr>
                <w:rFonts w:cs="Times New Roman"/>
                <w:b/>
              </w:rPr>
              <w:t>Recurrent fallers</w:t>
            </w:r>
            <w:r>
              <w:rPr>
                <w:rFonts w:cs="Times New Roman"/>
                <w:b/>
              </w:rPr>
              <w:t xml:space="preserve"> at one year</w:t>
            </w:r>
          </w:p>
        </w:tc>
      </w:tr>
      <w:tr w:rsidR="00BE26C0" w:rsidRPr="002337A4" w14:paraId="787D0B3A" w14:textId="77777777" w:rsidTr="000978C5">
        <w:trPr>
          <w:trHeight w:val="1231"/>
          <w:jc w:val="center"/>
        </w:trPr>
        <w:tc>
          <w:tcPr>
            <w:tcW w:w="1909" w:type="pct"/>
            <w:gridSpan w:val="2"/>
            <w:tcBorders>
              <w:top w:val="single" w:sz="18" w:space="0" w:color="auto"/>
              <w:left w:val="nil"/>
              <w:bottom w:val="single" w:sz="18" w:space="0" w:color="auto"/>
              <w:right w:val="single" w:sz="18" w:space="0" w:color="auto"/>
            </w:tcBorders>
            <w:vAlign w:val="center"/>
          </w:tcPr>
          <w:p w14:paraId="5D5C9815" w14:textId="77777777" w:rsidR="00BE26C0" w:rsidRPr="002337A4" w:rsidRDefault="00BE26C0" w:rsidP="000978C5">
            <w:pPr>
              <w:rPr>
                <w:rFonts w:cs="Times New Roman"/>
                <w:b/>
              </w:rPr>
            </w:pPr>
          </w:p>
        </w:tc>
        <w:tc>
          <w:tcPr>
            <w:tcW w:w="911" w:type="pct"/>
            <w:tcBorders>
              <w:top w:val="single" w:sz="18" w:space="0" w:color="auto"/>
              <w:left w:val="single" w:sz="18" w:space="0" w:color="auto"/>
              <w:bottom w:val="single" w:sz="18" w:space="0" w:color="auto"/>
              <w:right w:val="single" w:sz="18" w:space="0" w:color="auto"/>
            </w:tcBorders>
            <w:vAlign w:val="center"/>
          </w:tcPr>
          <w:p w14:paraId="44435298" w14:textId="77777777" w:rsidR="00BE26C0" w:rsidRPr="002337A4" w:rsidRDefault="00BE26C0" w:rsidP="000978C5">
            <w:pPr>
              <w:jc w:val="center"/>
              <w:rPr>
                <w:rFonts w:cs="Times New Roman"/>
                <w:b/>
              </w:rPr>
            </w:pPr>
            <w:r w:rsidRPr="002337A4">
              <w:rPr>
                <w:rFonts w:cs="Times New Roman"/>
                <w:b/>
              </w:rPr>
              <w:t xml:space="preserve">Recurrent fallers </w:t>
            </w:r>
            <w:r w:rsidRPr="002337A4">
              <w:rPr>
                <w:rFonts w:cs="Times New Roman"/>
                <w:b/>
              </w:rPr>
              <w:br/>
              <w:t>at 1 year</w:t>
            </w:r>
          </w:p>
          <w:p w14:paraId="65C45973" w14:textId="77777777" w:rsidR="00BE26C0" w:rsidRPr="002337A4" w:rsidRDefault="00BE26C0" w:rsidP="000978C5">
            <w:pPr>
              <w:jc w:val="center"/>
              <w:rPr>
                <w:rFonts w:cs="Times New Roman"/>
                <w:b/>
              </w:rPr>
            </w:pPr>
            <w:r w:rsidRPr="002337A4">
              <w:rPr>
                <w:rFonts w:cs="Times New Roman"/>
                <w:b/>
              </w:rPr>
              <w:t>(%)</w:t>
            </w:r>
          </w:p>
        </w:tc>
        <w:tc>
          <w:tcPr>
            <w:tcW w:w="1272" w:type="pct"/>
            <w:tcBorders>
              <w:top w:val="single" w:sz="18" w:space="0" w:color="auto"/>
              <w:left w:val="single" w:sz="18" w:space="0" w:color="auto"/>
              <w:bottom w:val="single" w:sz="18" w:space="0" w:color="auto"/>
              <w:right w:val="single" w:sz="6" w:space="0" w:color="auto"/>
            </w:tcBorders>
            <w:vAlign w:val="center"/>
          </w:tcPr>
          <w:p w14:paraId="38A86E83" w14:textId="77777777" w:rsidR="00BE26C0" w:rsidRPr="002337A4" w:rsidRDefault="00BE26C0" w:rsidP="000978C5">
            <w:pPr>
              <w:jc w:val="center"/>
              <w:rPr>
                <w:rFonts w:cs="Times New Roman"/>
                <w:b/>
              </w:rPr>
            </w:pPr>
            <w:r w:rsidRPr="002337A4">
              <w:rPr>
                <w:rFonts w:cs="Times New Roman"/>
                <w:b/>
              </w:rPr>
              <w:t xml:space="preserve">OR </w:t>
            </w:r>
          </w:p>
          <w:p w14:paraId="30A47A59" w14:textId="77777777" w:rsidR="00BE26C0" w:rsidRPr="002337A4" w:rsidRDefault="00BE26C0" w:rsidP="000978C5">
            <w:pPr>
              <w:jc w:val="center"/>
              <w:rPr>
                <w:rFonts w:cs="Times New Roman"/>
                <w:b/>
              </w:rPr>
            </w:pPr>
            <w:r w:rsidRPr="002337A4">
              <w:rPr>
                <w:rFonts w:cs="Times New Roman"/>
                <w:b/>
              </w:rPr>
              <w:t>(95%CI)</w:t>
            </w:r>
          </w:p>
        </w:tc>
        <w:tc>
          <w:tcPr>
            <w:tcW w:w="908" w:type="pct"/>
            <w:tcBorders>
              <w:top w:val="single" w:sz="18" w:space="0" w:color="auto"/>
              <w:left w:val="single" w:sz="6" w:space="0" w:color="auto"/>
              <w:bottom w:val="single" w:sz="18" w:space="0" w:color="auto"/>
            </w:tcBorders>
            <w:vAlign w:val="center"/>
          </w:tcPr>
          <w:p w14:paraId="30F66B3F" w14:textId="77777777" w:rsidR="00BE26C0" w:rsidRPr="002337A4" w:rsidRDefault="00BE26C0" w:rsidP="000978C5">
            <w:pPr>
              <w:jc w:val="center"/>
              <w:rPr>
                <w:rFonts w:cs="Times New Roman"/>
                <w:b/>
              </w:rPr>
            </w:pPr>
            <w:r w:rsidRPr="002337A4">
              <w:rPr>
                <w:rFonts w:cs="Times New Roman"/>
                <w:b/>
              </w:rPr>
              <w:t>p-value</w:t>
            </w:r>
          </w:p>
        </w:tc>
      </w:tr>
      <w:tr w:rsidR="00BE26C0" w:rsidRPr="00A54FBF" w14:paraId="6384E41E" w14:textId="77777777" w:rsidTr="000978C5">
        <w:trPr>
          <w:trHeight w:val="680"/>
          <w:jc w:val="center"/>
        </w:trPr>
        <w:tc>
          <w:tcPr>
            <w:tcW w:w="1909" w:type="pct"/>
            <w:gridSpan w:val="2"/>
            <w:tcBorders>
              <w:top w:val="nil"/>
              <w:left w:val="nil"/>
              <w:bottom w:val="single" w:sz="6" w:space="0" w:color="auto"/>
              <w:right w:val="single" w:sz="18" w:space="0" w:color="auto"/>
            </w:tcBorders>
            <w:vAlign w:val="center"/>
          </w:tcPr>
          <w:p w14:paraId="7024AAE0" w14:textId="77777777" w:rsidR="00BE26C0" w:rsidRPr="00A54FBF" w:rsidRDefault="00BE26C0" w:rsidP="000978C5">
            <w:pPr>
              <w:rPr>
                <w:rFonts w:cs="Times New Roman"/>
                <w:lang w:val="it-IT"/>
              </w:rPr>
            </w:pPr>
            <w:r w:rsidRPr="00A54FBF">
              <w:rPr>
                <w:rFonts w:cs="Times New Roman"/>
                <w:b/>
                <w:lang w:val="it-IT"/>
              </w:rPr>
              <w:t>MPI (x</w:t>
            </w:r>
            <w:r>
              <w:rPr>
                <w:rFonts w:cs="Times New Roman"/>
                <w:b/>
                <w:lang w:val="it-IT"/>
              </w:rPr>
              <w:t xml:space="preserve"> </w:t>
            </w:r>
            <w:r w:rsidRPr="00A54FBF">
              <w:rPr>
                <w:rFonts w:cs="Times New Roman"/>
                <w:b/>
                <w:lang w:val="it-IT"/>
              </w:rPr>
              <w:t>0.</w:t>
            </w:r>
            <w:r>
              <w:rPr>
                <w:rFonts w:cs="Times New Roman"/>
                <w:b/>
                <w:lang w:val="it-IT"/>
              </w:rPr>
              <w:t>1</w:t>
            </w:r>
            <w:r w:rsidRPr="00A54FBF">
              <w:rPr>
                <w:rFonts w:cs="Times New Roman"/>
                <w:b/>
                <w:lang w:val="it-IT"/>
              </w:rPr>
              <w:t xml:space="preserve"> increase)</w:t>
            </w:r>
          </w:p>
        </w:tc>
        <w:tc>
          <w:tcPr>
            <w:tcW w:w="911" w:type="pct"/>
            <w:tcBorders>
              <w:top w:val="nil"/>
              <w:left w:val="single" w:sz="18" w:space="0" w:color="auto"/>
              <w:bottom w:val="single" w:sz="6" w:space="0" w:color="auto"/>
              <w:right w:val="single" w:sz="18" w:space="0" w:color="auto"/>
            </w:tcBorders>
            <w:vAlign w:val="center"/>
          </w:tcPr>
          <w:p w14:paraId="49BC487D" w14:textId="77777777" w:rsidR="00BE26C0" w:rsidRPr="00A54FBF" w:rsidRDefault="00BE26C0" w:rsidP="000978C5">
            <w:pPr>
              <w:jc w:val="center"/>
              <w:rPr>
                <w:rFonts w:cs="Times New Roman"/>
                <w:lang w:val="it-IT"/>
              </w:rPr>
            </w:pPr>
            <w:r w:rsidRPr="00A54FBF">
              <w:rPr>
                <w:rFonts w:cs="Times New Roman"/>
                <w:lang w:val="it-IT"/>
              </w:rPr>
              <w:t xml:space="preserve">49/885 </w:t>
            </w:r>
            <w:r w:rsidRPr="00A54FBF">
              <w:rPr>
                <w:rFonts w:cs="Times New Roman"/>
                <w:lang w:val="it-IT"/>
              </w:rPr>
              <w:br/>
              <w:t>(5.5%)</w:t>
            </w:r>
          </w:p>
        </w:tc>
        <w:tc>
          <w:tcPr>
            <w:tcW w:w="1272" w:type="pct"/>
            <w:tcBorders>
              <w:top w:val="nil"/>
              <w:left w:val="single" w:sz="18" w:space="0" w:color="auto"/>
              <w:bottom w:val="single" w:sz="6" w:space="0" w:color="auto"/>
              <w:right w:val="single" w:sz="6" w:space="0" w:color="auto"/>
            </w:tcBorders>
            <w:vAlign w:val="center"/>
          </w:tcPr>
          <w:p w14:paraId="5735B9A7" w14:textId="77777777" w:rsidR="00BE26C0" w:rsidRPr="00A54FBF" w:rsidRDefault="00BE26C0" w:rsidP="000978C5">
            <w:pPr>
              <w:jc w:val="center"/>
              <w:rPr>
                <w:rFonts w:cs="Times New Roman"/>
                <w:lang w:val="it-IT"/>
              </w:rPr>
            </w:pPr>
            <w:r w:rsidRPr="00A54FBF">
              <w:rPr>
                <w:rFonts w:cs="Times New Roman"/>
                <w:lang w:val="it-IT"/>
              </w:rPr>
              <w:t>1.48</w:t>
            </w:r>
          </w:p>
          <w:p w14:paraId="43201821" w14:textId="77777777" w:rsidR="00BE26C0" w:rsidRPr="00A54FBF" w:rsidRDefault="00BE26C0" w:rsidP="000978C5">
            <w:pPr>
              <w:jc w:val="center"/>
              <w:rPr>
                <w:rFonts w:cs="Times New Roman"/>
                <w:lang w:val="it-IT"/>
              </w:rPr>
            </w:pPr>
            <w:r w:rsidRPr="00A54FBF">
              <w:rPr>
                <w:rFonts w:cs="Times New Roman"/>
                <w:lang w:val="it-IT"/>
              </w:rPr>
              <w:t>(1.25 – 1.76)</w:t>
            </w:r>
          </w:p>
        </w:tc>
        <w:tc>
          <w:tcPr>
            <w:tcW w:w="908" w:type="pct"/>
            <w:tcBorders>
              <w:top w:val="single" w:sz="18" w:space="0" w:color="auto"/>
              <w:left w:val="single" w:sz="6" w:space="0" w:color="auto"/>
            </w:tcBorders>
            <w:vAlign w:val="center"/>
          </w:tcPr>
          <w:p w14:paraId="414A895F" w14:textId="77777777" w:rsidR="00BE26C0" w:rsidRPr="00A54FBF" w:rsidRDefault="00BE26C0" w:rsidP="000978C5">
            <w:pPr>
              <w:jc w:val="center"/>
              <w:rPr>
                <w:rFonts w:cs="Times New Roman"/>
                <w:lang w:val="it-IT"/>
              </w:rPr>
            </w:pPr>
            <w:r w:rsidRPr="00A54FBF">
              <w:rPr>
                <w:rFonts w:cs="Times New Roman"/>
                <w:lang w:val="it-IT"/>
              </w:rPr>
              <w:t>&lt; 0.001</w:t>
            </w:r>
          </w:p>
        </w:tc>
      </w:tr>
      <w:tr w:rsidR="00BE26C0" w:rsidRPr="00A54FBF" w14:paraId="7938342E" w14:textId="77777777" w:rsidTr="000978C5">
        <w:trPr>
          <w:trHeight w:val="680"/>
          <w:jc w:val="center"/>
        </w:trPr>
        <w:tc>
          <w:tcPr>
            <w:tcW w:w="1001" w:type="pct"/>
            <w:vMerge w:val="restart"/>
            <w:tcBorders>
              <w:top w:val="nil"/>
              <w:left w:val="nil"/>
              <w:right w:val="nil"/>
            </w:tcBorders>
            <w:vAlign w:val="center"/>
          </w:tcPr>
          <w:p w14:paraId="7C302E3C" w14:textId="77777777" w:rsidR="00BE26C0" w:rsidRPr="00A54FBF" w:rsidRDefault="00BE26C0" w:rsidP="000978C5">
            <w:pPr>
              <w:rPr>
                <w:rFonts w:cs="Times New Roman"/>
                <w:i/>
                <w:lang w:val="it-IT"/>
              </w:rPr>
            </w:pPr>
            <w:r w:rsidRPr="00A54FBF">
              <w:rPr>
                <w:rFonts w:cs="Times New Roman"/>
                <w:b/>
                <w:lang w:val="it-IT"/>
              </w:rPr>
              <w:t>MPI</w:t>
            </w:r>
          </w:p>
        </w:tc>
        <w:tc>
          <w:tcPr>
            <w:tcW w:w="908" w:type="pct"/>
            <w:tcBorders>
              <w:top w:val="nil"/>
              <w:left w:val="nil"/>
              <w:bottom w:val="nil"/>
              <w:right w:val="single" w:sz="18" w:space="0" w:color="auto"/>
            </w:tcBorders>
            <w:vAlign w:val="center"/>
          </w:tcPr>
          <w:p w14:paraId="5F6A9DBE" w14:textId="77777777" w:rsidR="00BE26C0" w:rsidRPr="00891F4E" w:rsidRDefault="00BE26C0" w:rsidP="000978C5">
            <w:pPr>
              <w:jc w:val="center"/>
              <w:rPr>
                <w:rFonts w:cs="Times New Roman"/>
              </w:rPr>
            </w:pPr>
            <w:r w:rsidRPr="00891F4E">
              <w:rPr>
                <w:rFonts w:cs="Times New Roman"/>
              </w:rPr>
              <w:t>Low</w:t>
            </w:r>
          </w:p>
          <w:p w14:paraId="18327C3C" w14:textId="77777777" w:rsidR="00BE26C0" w:rsidRPr="00891F4E" w:rsidRDefault="00BE26C0" w:rsidP="000978C5">
            <w:pPr>
              <w:jc w:val="center"/>
              <w:rPr>
                <w:rFonts w:cs="Times New Roman"/>
              </w:rPr>
            </w:pPr>
            <w:r>
              <w:rPr>
                <w:rFonts w:cs="Times New Roman"/>
              </w:rPr>
              <w:t>(</w:t>
            </w:r>
            <w:r w:rsidRPr="00891F4E">
              <w:rPr>
                <w:rFonts w:cs="Times New Roman"/>
              </w:rPr>
              <w:t>0</w:t>
            </w:r>
            <w:r>
              <w:rPr>
                <w:rFonts w:cs="Times New Roman"/>
              </w:rPr>
              <w:t>-0.4</w:t>
            </w:r>
            <w:r w:rsidRPr="00891F4E">
              <w:rPr>
                <w:rFonts w:cs="Times New Roman"/>
              </w:rPr>
              <w:t>1</w:t>
            </w:r>
            <w:r>
              <w:rPr>
                <w:rFonts w:cs="Times New Roman"/>
              </w:rPr>
              <w:t>)</w:t>
            </w:r>
          </w:p>
        </w:tc>
        <w:tc>
          <w:tcPr>
            <w:tcW w:w="911" w:type="pct"/>
            <w:tcBorders>
              <w:top w:val="nil"/>
              <w:left w:val="single" w:sz="18" w:space="0" w:color="auto"/>
              <w:bottom w:val="nil"/>
              <w:right w:val="single" w:sz="18" w:space="0" w:color="auto"/>
            </w:tcBorders>
            <w:vAlign w:val="center"/>
          </w:tcPr>
          <w:p w14:paraId="63D4C716" w14:textId="77777777" w:rsidR="00BE26C0" w:rsidRPr="00A54FBF" w:rsidRDefault="00BE26C0" w:rsidP="000978C5">
            <w:pPr>
              <w:jc w:val="center"/>
              <w:rPr>
                <w:rFonts w:cs="Times New Roman"/>
                <w:lang w:val="it-IT"/>
              </w:rPr>
            </w:pPr>
            <w:r w:rsidRPr="00A54FBF">
              <w:rPr>
                <w:rFonts w:cs="Times New Roman"/>
                <w:lang w:val="it-IT"/>
              </w:rPr>
              <w:t>13/471</w:t>
            </w:r>
          </w:p>
          <w:p w14:paraId="74E68728" w14:textId="77777777" w:rsidR="00BE26C0" w:rsidRPr="00A54FBF" w:rsidRDefault="00BE26C0" w:rsidP="000978C5">
            <w:pPr>
              <w:jc w:val="center"/>
              <w:rPr>
                <w:rFonts w:cs="Times New Roman"/>
                <w:lang w:val="it-IT"/>
              </w:rPr>
            </w:pPr>
            <w:r w:rsidRPr="00A54FBF">
              <w:rPr>
                <w:rFonts w:cs="Times New Roman"/>
                <w:lang w:val="it-IT"/>
              </w:rPr>
              <w:t>(2.8%)</w:t>
            </w:r>
          </w:p>
        </w:tc>
        <w:tc>
          <w:tcPr>
            <w:tcW w:w="1272" w:type="pct"/>
            <w:tcBorders>
              <w:top w:val="nil"/>
              <w:left w:val="single" w:sz="18" w:space="0" w:color="auto"/>
              <w:bottom w:val="nil"/>
              <w:right w:val="single" w:sz="6" w:space="0" w:color="auto"/>
            </w:tcBorders>
            <w:vAlign w:val="center"/>
          </w:tcPr>
          <w:p w14:paraId="4ADC0683" w14:textId="77777777" w:rsidR="00BE26C0" w:rsidRPr="00A54FBF" w:rsidRDefault="00BE26C0" w:rsidP="000978C5">
            <w:pPr>
              <w:jc w:val="center"/>
              <w:rPr>
                <w:rFonts w:cs="Times New Roman"/>
                <w:i/>
                <w:lang w:val="it-IT"/>
              </w:rPr>
            </w:pPr>
            <w:r w:rsidRPr="00A54FBF">
              <w:rPr>
                <w:rFonts w:cs="Times New Roman"/>
                <w:i/>
                <w:lang w:val="it-IT"/>
              </w:rPr>
              <w:t>ref.</w:t>
            </w:r>
          </w:p>
        </w:tc>
        <w:tc>
          <w:tcPr>
            <w:tcW w:w="908" w:type="pct"/>
            <w:vMerge w:val="restart"/>
            <w:tcBorders>
              <w:top w:val="nil"/>
              <w:left w:val="single" w:sz="6" w:space="0" w:color="auto"/>
            </w:tcBorders>
            <w:vAlign w:val="center"/>
          </w:tcPr>
          <w:p w14:paraId="75F2A887" w14:textId="77777777" w:rsidR="00BE26C0" w:rsidRPr="00A54FBF" w:rsidRDefault="00BE26C0" w:rsidP="000978C5">
            <w:pPr>
              <w:jc w:val="center"/>
              <w:rPr>
                <w:rFonts w:cs="Times New Roman"/>
                <w:lang w:val="it-IT"/>
              </w:rPr>
            </w:pPr>
            <w:r w:rsidRPr="00A54FBF">
              <w:rPr>
                <w:rFonts w:cs="Times New Roman"/>
                <w:lang w:val="it-IT"/>
              </w:rPr>
              <w:t>&lt; 0.001</w:t>
            </w:r>
          </w:p>
        </w:tc>
      </w:tr>
      <w:tr w:rsidR="00BE26C0" w:rsidRPr="002337A4" w14:paraId="6FC43F8D" w14:textId="77777777" w:rsidTr="000978C5">
        <w:trPr>
          <w:trHeight w:val="680"/>
          <w:jc w:val="center"/>
        </w:trPr>
        <w:tc>
          <w:tcPr>
            <w:tcW w:w="1001" w:type="pct"/>
            <w:vMerge/>
            <w:tcBorders>
              <w:left w:val="nil"/>
              <w:right w:val="nil"/>
            </w:tcBorders>
            <w:vAlign w:val="center"/>
          </w:tcPr>
          <w:p w14:paraId="7C36D3B3" w14:textId="77777777" w:rsidR="00BE26C0" w:rsidRPr="00A54FBF" w:rsidRDefault="00BE26C0" w:rsidP="000978C5">
            <w:pPr>
              <w:rPr>
                <w:rFonts w:cs="Times New Roman"/>
                <w:b/>
                <w:lang w:val="it-IT"/>
              </w:rPr>
            </w:pPr>
          </w:p>
        </w:tc>
        <w:tc>
          <w:tcPr>
            <w:tcW w:w="908" w:type="pct"/>
            <w:tcBorders>
              <w:top w:val="nil"/>
              <w:left w:val="nil"/>
              <w:bottom w:val="nil"/>
              <w:right w:val="single" w:sz="18" w:space="0" w:color="auto"/>
            </w:tcBorders>
            <w:vAlign w:val="center"/>
          </w:tcPr>
          <w:p w14:paraId="5E647821" w14:textId="77777777" w:rsidR="00BE26C0" w:rsidRPr="00891F4E" w:rsidRDefault="00BE26C0" w:rsidP="000978C5">
            <w:pPr>
              <w:jc w:val="center"/>
              <w:rPr>
                <w:rFonts w:cs="Times New Roman"/>
              </w:rPr>
            </w:pPr>
            <w:r w:rsidRPr="00891F4E">
              <w:rPr>
                <w:rFonts w:cs="Times New Roman"/>
              </w:rPr>
              <w:t xml:space="preserve">moderate </w:t>
            </w:r>
          </w:p>
          <w:p w14:paraId="4F617ECD" w14:textId="77777777" w:rsidR="00BE26C0" w:rsidRPr="00891F4E" w:rsidRDefault="00BE26C0" w:rsidP="000978C5">
            <w:pPr>
              <w:jc w:val="center"/>
              <w:rPr>
                <w:rFonts w:cs="Times New Roman"/>
              </w:rPr>
            </w:pPr>
            <w:r w:rsidRPr="00891F4E">
              <w:rPr>
                <w:rFonts w:cs="Times New Roman"/>
              </w:rPr>
              <w:t>(</w:t>
            </w:r>
            <w:r>
              <w:rPr>
                <w:rFonts w:cs="Times New Roman"/>
              </w:rPr>
              <w:t>0.</w:t>
            </w:r>
            <w:r w:rsidRPr="00891F4E">
              <w:rPr>
                <w:rFonts w:cs="Times New Roman"/>
              </w:rPr>
              <w:t>4</w:t>
            </w:r>
            <w:r>
              <w:rPr>
                <w:rFonts w:cs="Times New Roman"/>
              </w:rPr>
              <w:t>2-0.</w:t>
            </w:r>
            <w:r w:rsidRPr="00891F4E">
              <w:rPr>
                <w:rFonts w:cs="Times New Roman"/>
              </w:rPr>
              <w:t>67</w:t>
            </w:r>
            <w:r>
              <w:rPr>
                <w:rFonts w:cs="Times New Roman"/>
              </w:rPr>
              <w:t>)</w:t>
            </w:r>
          </w:p>
        </w:tc>
        <w:tc>
          <w:tcPr>
            <w:tcW w:w="911" w:type="pct"/>
            <w:tcBorders>
              <w:top w:val="nil"/>
              <w:left w:val="single" w:sz="18" w:space="0" w:color="auto"/>
              <w:bottom w:val="nil"/>
              <w:right w:val="single" w:sz="18" w:space="0" w:color="auto"/>
            </w:tcBorders>
            <w:vAlign w:val="center"/>
          </w:tcPr>
          <w:p w14:paraId="6A4A5F21" w14:textId="77777777" w:rsidR="00BE26C0" w:rsidRPr="00A54FBF" w:rsidRDefault="00BE26C0" w:rsidP="000978C5">
            <w:pPr>
              <w:jc w:val="center"/>
              <w:rPr>
                <w:rFonts w:cs="Times New Roman"/>
                <w:lang w:val="it-IT"/>
              </w:rPr>
            </w:pPr>
            <w:r w:rsidRPr="00A54FBF">
              <w:rPr>
                <w:rFonts w:cs="Times New Roman"/>
                <w:lang w:val="it-IT"/>
              </w:rPr>
              <w:t>26/362</w:t>
            </w:r>
          </w:p>
          <w:p w14:paraId="42305AF7" w14:textId="77777777" w:rsidR="00BE26C0" w:rsidRPr="00A54FBF" w:rsidRDefault="00BE26C0" w:rsidP="000978C5">
            <w:pPr>
              <w:jc w:val="center"/>
              <w:rPr>
                <w:rFonts w:cs="Times New Roman"/>
                <w:lang w:val="it-IT"/>
              </w:rPr>
            </w:pPr>
            <w:r w:rsidRPr="00A54FBF">
              <w:rPr>
                <w:rFonts w:cs="Times New Roman"/>
                <w:lang w:val="it-IT"/>
              </w:rPr>
              <w:t>(7.2%)</w:t>
            </w:r>
          </w:p>
        </w:tc>
        <w:tc>
          <w:tcPr>
            <w:tcW w:w="1272" w:type="pct"/>
            <w:tcBorders>
              <w:top w:val="nil"/>
              <w:left w:val="single" w:sz="18" w:space="0" w:color="auto"/>
              <w:bottom w:val="nil"/>
              <w:right w:val="single" w:sz="6" w:space="0" w:color="auto"/>
            </w:tcBorders>
            <w:vAlign w:val="center"/>
          </w:tcPr>
          <w:p w14:paraId="541E97BC" w14:textId="77777777" w:rsidR="00BE26C0" w:rsidRPr="002337A4" w:rsidRDefault="00BE26C0" w:rsidP="000978C5">
            <w:pPr>
              <w:jc w:val="center"/>
              <w:rPr>
                <w:rFonts w:cs="Times New Roman"/>
              </w:rPr>
            </w:pPr>
            <w:r w:rsidRPr="00A54FBF">
              <w:rPr>
                <w:rFonts w:cs="Times New Roman"/>
                <w:lang w:val="it-IT"/>
              </w:rPr>
              <w:t>2.</w:t>
            </w:r>
            <w:r w:rsidRPr="002337A4">
              <w:rPr>
                <w:rFonts w:cs="Times New Roman"/>
              </w:rPr>
              <w:t>73</w:t>
            </w:r>
          </w:p>
          <w:p w14:paraId="34AFF79E" w14:textId="77777777" w:rsidR="00BE26C0" w:rsidRPr="002337A4" w:rsidRDefault="00BE26C0" w:rsidP="000978C5">
            <w:pPr>
              <w:jc w:val="center"/>
              <w:rPr>
                <w:rFonts w:cs="Times New Roman"/>
              </w:rPr>
            </w:pPr>
            <w:r w:rsidRPr="002337A4">
              <w:rPr>
                <w:rFonts w:cs="Times New Roman"/>
              </w:rPr>
              <w:t>(1.38 – 5.38)</w:t>
            </w:r>
          </w:p>
        </w:tc>
        <w:tc>
          <w:tcPr>
            <w:tcW w:w="908" w:type="pct"/>
            <w:vMerge/>
            <w:tcBorders>
              <w:left w:val="single" w:sz="6" w:space="0" w:color="auto"/>
            </w:tcBorders>
            <w:vAlign w:val="center"/>
          </w:tcPr>
          <w:p w14:paraId="5DBB2696" w14:textId="77777777" w:rsidR="00BE26C0" w:rsidRPr="002337A4" w:rsidRDefault="00BE26C0" w:rsidP="000978C5">
            <w:pPr>
              <w:jc w:val="center"/>
              <w:rPr>
                <w:rFonts w:cs="Times New Roman"/>
              </w:rPr>
            </w:pPr>
          </w:p>
        </w:tc>
      </w:tr>
      <w:tr w:rsidR="00BE26C0" w:rsidRPr="002337A4" w14:paraId="7C861196" w14:textId="77777777" w:rsidTr="000978C5">
        <w:trPr>
          <w:trHeight w:val="680"/>
          <w:jc w:val="center"/>
        </w:trPr>
        <w:tc>
          <w:tcPr>
            <w:tcW w:w="1001" w:type="pct"/>
            <w:vMerge/>
            <w:tcBorders>
              <w:left w:val="nil"/>
              <w:bottom w:val="single" w:sz="18" w:space="0" w:color="auto"/>
              <w:right w:val="nil"/>
            </w:tcBorders>
            <w:vAlign w:val="center"/>
          </w:tcPr>
          <w:p w14:paraId="56C6F61D" w14:textId="77777777" w:rsidR="00BE26C0" w:rsidRPr="002337A4" w:rsidRDefault="00BE26C0" w:rsidP="000978C5">
            <w:pPr>
              <w:rPr>
                <w:rFonts w:cs="Times New Roman"/>
                <w:b/>
              </w:rPr>
            </w:pPr>
          </w:p>
        </w:tc>
        <w:tc>
          <w:tcPr>
            <w:tcW w:w="908" w:type="pct"/>
            <w:tcBorders>
              <w:top w:val="nil"/>
              <w:left w:val="nil"/>
              <w:bottom w:val="single" w:sz="18" w:space="0" w:color="auto"/>
              <w:right w:val="single" w:sz="18" w:space="0" w:color="auto"/>
            </w:tcBorders>
            <w:vAlign w:val="center"/>
          </w:tcPr>
          <w:p w14:paraId="29DC93F9" w14:textId="77777777" w:rsidR="00BE26C0" w:rsidRPr="00891F4E" w:rsidRDefault="00BE26C0" w:rsidP="000978C5">
            <w:pPr>
              <w:jc w:val="center"/>
              <w:rPr>
                <w:rFonts w:cs="Times New Roman"/>
              </w:rPr>
            </w:pPr>
            <w:r w:rsidRPr="00891F4E">
              <w:rPr>
                <w:rFonts w:cs="Times New Roman"/>
              </w:rPr>
              <w:t xml:space="preserve">severe </w:t>
            </w:r>
          </w:p>
          <w:p w14:paraId="0E257E58" w14:textId="77777777" w:rsidR="00BE26C0" w:rsidRPr="00891F4E" w:rsidRDefault="00BE26C0" w:rsidP="000978C5">
            <w:pPr>
              <w:jc w:val="center"/>
              <w:rPr>
                <w:rFonts w:cs="Times New Roman"/>
              </w:rPr>
            </w:pPr>
            <w:r w:rsidRPr="00891F4E">
              <w:rPr>
                <w:rFonts w:cs="Times New Roman"/>
              </w:rPr>
              <w:t>(</w:t>
            </w:r>
            <w:r>
              <w:rPr>
                <w:rFonts w:cs="Times New Roman"/>
              </w:rPr>
              <w:t>0.</w:t>
            </w:r>
            <w:r w:rsidRPr="00891F4E">
              <w:rPr>
                <w:rFonts w:cs="Times New Roman"/>
              </w:rPr>
              <w:t>6</w:t>
            </w:r>
            <w:r>
              <w:rPr>
                <w:rFonts w:cs="Times New Roman"/>
              </w:rPr>
              <w:t>8-</w:t>
            </w:r>
            <w:r w:rsidRPr="00891F4E">
              <w:rPr>
                <w:rFonts w:cs="Times New Roman"/>
              </w:rPr>
              <w:t>1</w:t>
            </w:r>
            <w:r>
              <w:rPr>
                <w:rFonts w:cs="Times New Roman"/>
              </w:rPr>
              <w:t>.</w:t>
            </w:r>
            <w:r w:rsidRPr="00891F4E">
              <w:rPr>
                <w:rFonts w:cs="Times New Roman"/>
              </w:rPr>
              <w:t>0</w:t>
            </w:r>
            <w:r>
              <w:rPr>
                <w:rFonts w:cs="Times New Roman"/>
              </w:rPr>
              <w:t>)</w:t>
            </w:r>
          </w:p>
        </w:tc>
        <w:tc>
          <w:tcPr>
            <w:tcW w:w="911" w:type="pct"/>
            <w:tcBorders>
              <w:top w:val="nil"/>
              <w:left w:val="single" w:sz="18" w:space="0" w:color="auto"/>
              <w:bottom w:val="single" w:sz="18" w:space="0" w:color="auto"/>
              <w:right w:val="single" w:sz="18" w:space="0" w:color="auto"/>
            </w:tcBorders>
            <w:vAlign w:val="center"/>
          </w:tcPr>
          <w:p w14:paraId="4F6CA300" w14:textId="77777777" w:rsidR="00BE26C0" w:rsidRPr="002337A4" w:rsidRDefault="00BE26C0" w:rsidP="000978C5">
            <w:pPr>
              <w:jc w:val="center"/>
              <w:rPr>
                <w:rFonts w:cs="Times New Roman"/>
              </w:rPr>
            </w:pPr>
            <w:r w:rsidRPr="002337A4">
              <w:rPr>
                <w:rFonts w:cs="Times New Roman"/>
              </w:rPr>
              <w:t>10/52</w:t>
            </w:r>
          </w:p>
          <w:p w14:paraId="15B61736" w14:textId="77777777" w:rsidR="00BE26C0" w:rsidRPr="002337A4" w:rsidRDefault="00BE26C0" w:rsidP="000978C5">
            <w:pPr>
              <w:jc w:val="center"/>
              <w:rPr>
                <w:rFonts w:cs="Times New Roman"/>
              </w:rPr>
            </w:pPr>
            <w:r w:rsidRPr="002337A4">
              <w:rPr>
                <w:rFonts w:cs="Times New Roman"/>
              </w:rPr>
              <w:t>(19.2%)</w:t>
            </w:r>
          </w:p>
        </w:tc>
        <w:tc>
          <w:tcPr>
            <w:tcW w:w="1272" w:type="pct"/>
            <w:tcBorders>
              <w:top w:val="nil"/>
              <w:left w:val="single" w:sz="18" w:space="0" w:color="auto"/>
              <w:bottom w:val="single" w:sz="18" w:space="0" w:color="auto"/>
              <w:right w:val="single" w:sz="6" w:space="0" w:color="auto"/>
            </w:tcBorders>
            <w:vAlign w:val="center"/>
          </w:tcPr>
          <w:p w14:paraId="05A52ECA" w14:textId="77777777" w:rsidR="00BE26C0" w:rsidRPr="002337A4" w:rsidRDefault="00BE26C0" w:rsidP="000978C5">
            <w:pPr>
              <w:jc w:val="center"/>
              <w:rPr>
                <w:rFonts w:cs="Times New Roman"/>
              </w:rPr>
            </w:pPr>
            <w:r w:rsidRPr="002337A4">
              <w:rPr>
                <w:rFonts w:cs="Times New Roman"/>
              </w:rPr>
              <w:t>8.39</w:t>
            </w:r>
          </w:p>
          <w:p w14:paraId="2D00A964" w14:textId="77777777" w:rsidR="00BE26C0" w:rsidRPr="002337A4" w:rsidRDefault="00BE26C0" w:rsidP="000978C5">
            <w:pPr>
              <w:jc w:val="center"/>
              <w:rPr>
                <w:rFonts w:cs="Times New Roman"/>
              </w:rPr>
            </w:pPr>
            <w:r w:rsidRPr="002337A4">
              <w:rPr>
                <w:rFonts w:cs="Times New Roman"/>
              </w:rPr>
              <w:t>(3.47 – 20.28)</w:t>
            </w:r>
          </w:p>
        </w:tc>
        <w:tc>
          <w:tcPr>
            <w:tcW w:w="908" w:type="pct"/>
            <w:vMerge/>
            <w:tcBorders>
              <w:left w:val="single" w:sz="6" w:space="0" w:color="auto"/>
              <w:bottom w:val="single" w:sz="18" w:space="0" w:color="auto"/>
            </w:tcBorders>
            <w:vAlign w:val="center"/>
          </w:tcPr>
          <w:p w14:paraId="0D6F290A" w14:textId="77777777" w:rsidR="00BE26C0" w:rsidRPr="002337A4" w:rsidRDefault="00BE26C0" w:rsidP="000978C5">
            <w:pPr>
              <w:jc w:val="center"/>
              <w:rPr>
                <w:rFonts w:cs="Times New Roman"/>
              </w:rPr>
            </w:pPr>
          </w:p>
        </w:tc>
      </w:tr>
    </w:tbl>
    <w:p w14:paraId="3E5DA718" w14:textId="77777777" w:rsidR="00BE26C0" w:rsidRDefault="00BE26C0" w:rsidP="00BE26C0"/>
    <w:p w14:paraId="29E02A72" w14:textId="77777777" w:rsidR="00BE26C0" w:rsidRPr="007A37CF" w:rsidRDefault="00BE26C0" w:rsidP="00BE26C0">
      <w:pPr>
        <w:rPr>
          <w:i/>
          <w:iCs/>
          <w:lang w:val="it-IT"/>
        </w:rPr>
      </w:pPr>
      <w:r w:rsidRPr="00BE26C0">
        <w:rPr>
          <w:i/>
          <w:iCs/>
          <w:lang w:val="it-IT"/>
        </w:rPr>
        <w:t>Abbreviations: MPI: Multidimensional Prognostic Index; OR: odds ratio; CI: confidence interval</w:t>
      </w:r>
    </w:p>
    <w:p w14:paraId="3802DAF5" w14:textId="77777777" w:rsidR="00BE26C0" w:rsidRPr="00921F8B" w:rsidRDefault="00BE26C0" w:rsidP="00BE26C0">
      <w:pPr>
        <w:rPr>
          <w:i/>
        </w:rPr>
      </w:pPr>
    </w:p>
    <w:p w14:paraId="05778A40" w14:textId="77777777" w:rsidR="00BE26C0" w:rsidRPr="002337A4" w:rsidRDefault="00BE26C0" w:rsidP="00BE26C0"/>
    <w:p w14:paraId="55FF64DB" w14:textId="2F20FFAB" w:rsidR="00BE26C0" w:rsidRDefault="00BE26C0" w:rsidP="00BE26C0">
      <w:pPr>
        <w:pStyle w:val="EndNoteBibliography"/>
        <w:spacing w:line="480" w:lineRule="auto"/>
        <w:jc w:val="both"/>
        <w:rPr>
          <w:rFonts w:asciiTheme="minorHAnsi" w:hAnsiTheme="minorHAnsi"/>
          <w:b/>
        </w:rPr>
      </w:pPr>
    </w:p>
    <w:p w14:paraId="1FFD2248" w14:textId="29A2073D" w:rsidR="00BE26C0" w:rsidRDefault="00BE26C0" w:rsidP="00BE26C0">
      <w:pPr>
        <w:pStyle w:val="EndNoteBibliography"/>
        <w:spacing w:line="480" w:lineRule="auto"/>
        <w:jc w:val="both"/>
        <w:rPr>
          <w:rFonts w:asciiTheme="minorHAnsi" w:hAnsiTheme="minorHAnsi"/>
          <w:b/>
        </w:rPr>
      </w:pPr>
    </w:p>
    <w:p w14:paraId="47FC6D20" w14:textId="35A52FF0" w:rsidR="00BE26C0" w:rsidRDefault="00BE26C0" w:rsidP="00BE26C0">
      <w:pPr>
        <w:pStyle w:val="EndNoteBibliography"/>
        <w:spacing w:line="480" w:lineRule="auto"/>
        <w:jc w:val="both"/>
        <w:rPr>
          <w:rFonts w:asciiTheme="minorHAnsi" w:hAnsiTheme="minorHAnsi"/>
          <w:b/>
        </w:rPr>
      </w:pPr>
    </w:p>
    <w:p w14:paraId="1D2CE2C1" w14:textId="5DBD3A4D" w:rsidR="00BE26C0" w:rsidRDefault="00BE26C0" w:rsidP="00BE26C0">
      <w:pPr>
        <w:pStyle w:val="EndNoteBibliography"/>
        <w:spacing w:line="480" w:lineRule="auto"/>
        <w:jc w:val="both"/>
        <w:rPr>
          <w:rFonts w:asciiTheme="minorHAnsi" w:hAnsiTheme="minorHAnsi"/>
          <w:b/>
        </w:rPr>
      </w:pPr>
    </w:p>
    <w:p w14:paraId="3F728F4A" w14:textId="77777777" w:rsidR="00BE26C0" w:rsidRPr="002337A4" w:rsidRDefault="00BE26C0" w:rsidP="00BE26C0">
      <w:pPr>
        <w:pStyle w:val="EndNoteBibliography"/>
        <w:spacing w:line="480" w:lineRule="auto"/>
        <w:jc w:val="both"/>
        <w:rPr>
          <w:rFonts w:asciiTheme="minorHAnsi" w:hAnsiTheme="minorHAnsi"/>
          <w:b/>
        </w:rPr>
      </w:pPr>
    </w:p>
    <w:p w14:paraId="089EECB6" w14:textId="06D4BF51" w:rsidR="00BE26C0" w:rsidRPr="002337A4" w:rsidRDefault="00BE26C0" w:rsidP="004564E8">
      <w:pPr>
        <w:pStyle w:val="EndNoteBibliography"/>
        <w:ind w:left="720" w:hanging="720"/>
        <w:rPr>
          <w:rFonts w:cs="Times New Roman"/>
        </w:rPr>
      </w:pPr>
      <w:r>
        <w:drawing>
          <wp:inline distT="0" distB="0" distL="0" distR="0" wp14:anchorId="7AD0ECE0" wp14:editId="3FF06A2B">
            <wp:extent cx="6120130" cy="6069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069965"/>
                    </a:xfrm>
                    <a:prstGeom prst="rect">
                      <a:avLst/>
                    </a:prstGeom>
                    <a:noFill/>
                    <a:ln>
                      <a:noFill/>
                    </a:ln>
                  </pic:spPr>
                </pic:pic>
              </a:graphicData>
            </a:graphic>
          </wp:inline>
        </w:drawing>
      </w:r>
      <w:bookmarkStart w:id="48" w:name="_GoBack"/>
      <w:bookmarkEnd w:id="48"/>
    </w:p>
    <w:sectPr w:rsidR="00BE26C0" w:rsidRPr="002337A4" w:rsidSect="00D47006">
      <w:headerReference w:type="default" r:id="rId10"/>
      <w:footerReference w:type="default" r:id="rId11"/>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8D07" w14:textId="77777777" w:rsidR="004D5F59" w:rsidRDefault="004D5F59" w:rsidP="00CE33FA">
      <w:r>
        <w:separator/>
      </w:r>
    </w:p>
  </w:endnote>
  <w:endnote w:type="continuationSeparator" w:id="0">
    <w:p w14:paraId="65A75EA7" w14:textId="77777777" w:rsidR="004D5F59" w:rsidRDefault="004D5F59"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
    <w:altName w:val="Arial Unicode MS"/>
    <w:panose1 w:val="00000000000000000000"/>
    <w:charset w:val="51"/>
    <w:family w:val="auto"/>
    <w:notTrueType/>
    <w:pitch w:val="variable"/>
    <w:sig w:usb0="00000001" w:usb1="00000000" w:usb2="00000000" w:usb3="00000000" w:csb0="00000000" w:csb1="00000000"/>
  </w:font>
  <w:font w:name="AdvOTa9103878">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806435"/>
      <w:docPartObj>
        <w:docPartGallery w:val="Page Numbers (Bottom of Page)"/>
        <w:docPartUnique/>
      </w:docPartObj>
    </w:sdtPr>
    <w:sdtEndPr/>
    <w:sdtContent>
      <w:p w14:paraId="35F1B3A7" w14:textId="77777777" w:rsidR="00777C68" w:rsidRDefault="00F47BD5">
        <w:pPr>
          <w:pStyle w:val="Footer"/>
          <w:jc w:val="right"/>
        </w:pPr>
        <w:r>
          <w:fldChar w:fldCharType="begin"/>
        </w:r>
        <w:r w:rsidR="00777C68">
          <w:instrText>PAGE   \* MERGEFORMAT</w:instrText>
        </w:r>
        <w:r>
          <w:fldChar w:fldCharType="separate"/>
        </w:r>
        <w:r w:rsidR="00086BF1" w:rsidRPr="00086BF1">
          <w:rPr>
            <w:noProof/>
            <w:lang w:val="it-IT"/>
          </w:rPr>
          <w:t>21</w:t>
        </w:r>
        <w:r>
          <w:rPr>
            <w:noProof/>
            <w:lang w:val="it-IT"/>
          </w:rPr>
          <w:fldChar w:fldCharType="end"/>
        </w:r>
      </w:p>
    </w:sdtContent>
  </w:sdt>
  <w:p w14:paraId="1485CBB6" w14:textId="77777777" w:rsidR="00777C68" w:rsidRDefault="0077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6FBF" w14:textId="77777777" w:rsidR="004D5F59" w:rsidRDefault="004D5F59" w:rsidP="00CE33FA">
      <w:r>
        <w:separator/>
      </w:r>
    </w:p>
  </w:footnote>
  <w:footnote w:type="continuationSeparator" w:id="0">
    <w:p w14:paraId="0D82E94B" w14:textId="77777777" w:rsidR="004D5F59" w:rsidRDefault="004D5F59" w:rsidP="00CE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6C4B" w14:textId="77777777" w:rsidR="00777C68" w:rsidRPr="00283AB4" w:rsidRDefault="00777C68" w:rsidP="00283AB4">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65A4"/>
    <w:multiLevelType w:val="hybridMultilevel"/>
    <w:tmpl w:val="8D5EE6B6"/>
    <w:lvl w:ilvl="0" w:tplc="3588EBFA">
      <w:start w:val="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762A7618"/>
    <w:multiLevelType w:val="hybridMultilevel"/>
    <w:tmpl w:val="960CB8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9FD2D05"/>
    <w:multiLevelType w:val="hybridMultilevel"/>
    <w:tmpl w:val="AEF801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DA48CD-B620-418A-AF95-08C60C65A241}"/>
    <w:docVar w:name="dgnword-eventsink" w:val="305041688"/>
    <w:docVar w:name="EN.InstantFormat" w:val="&lt;ENInstantFormat&gt;&lt;Enabled&gt;0&lt;/Enabled&gt;&lt;ScanUnformatted&gt;1&lt;/ScanUnformatted&gt;&lt;ScanChanges&gt;1&lt;/ScanChanges&gt;&lt;Suspended&gt;0&lt;/Suspended&gt;&lt;/ENInstantFormat&gt;"/>
    <w:docVar w:name="EN.Layout" w:val="&lt;ENLayout&gt;&lt;Style&gt;JAMD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69&lt;/item&gt;&lt;item&gt;156&lt;/item&gt;&lt;item&gt;994&lt;/item&gt;&lt;item&gt;1153&lt;/item&gt;&lt;item&gt;1523&lt;/item&gt;&lt;item&gt;1526&lt;/item&gt;&lt;item&gt;1528&lt;/item&gt;&lt;item&gt;2060&lt;/item&gt;&lt;item&gt;2090&lt;/item&gt;&lt;item&gt;2571&lt;/item&gt;&lt;item&gt;2572&lt;/item&gt;&lt;item&gt;2573&lt;/item&gt;&lt;item&gt;2600&lt;/item&gt;&lt;item&gt;2655&lt;/item&gt;&lt;item&gt;3272&lt;/item&gt;&lt;item&gt;3274&lt;/item&gt;&lt;item&gt;3870&lt;/item&gt;&lt;item&gt;4798&lt;/item&gt;&lt;item&gt;5411&lt;/item&gt;&lt;item&gt;5412&lt;/item&gt;&lt;item&gt;5425&lt;/item&gt;&lt;item&gt;5501&lt;/item&gt;&lt;item&gt;7040&lt;/item&gt;&lt;item&gt;7152&lt;/item&gt;&lt;item&gt;7153&lt;/item&gt;&lt;item&gt;7154&lt;/item&gt;&lt;item&gt;7155&lt;/item&gt;&lt;item&gt;7156&lt;/item&gt;&lt;item&gt;7157&lt;/item&gt;&lt;item&gt;7158&lt;/item&gt;&lt;item&gt;7159&lt;/item&gt;&lt;item&gt;7161&lt;/item&gt;&lt;item&gt;7162&lt;/item&gt;&lt;item&gt;7163&lt;/item&gt;&lt;item&gt;7164&lt;/item&gt;&lt;item&gt;7165&lt;/item&gt;&lt;item&gt;7166&lt;/item&gt;&lt;item&gt;7167&lt;/item&gt;&lt;item&gt;7170&lt;/item&gt;&lt;item&gt;7171&lt;/item&gt;&lt;item&gt;7172&lt;/item&gt;&lt;item&gt;7195&lt;/item&gt;&lt;item&gt;8117&lt;/item&gt;&lt;/record-ids&gt;&lt;/item&gt;&lt;/Libraries&gt;"/>
  </w:docVars>
  <w:rsids>
    <w:rsidRoot w:val="00685873"/>
    <w:rsid w:val="0000138E"/>
    <w:rsid w:val="000015E4"/>
    <w:rsid w:val="00001894"/>
    <w:rsid w:val="0000430E"/>
    <w:rsid w:val="00005688"/>
    <w:rsid w:val="000064F3"/>
    <w:rsid w:val="00006CA3"/>
    <w:rsid w:val="00010B76"/>
    <w:rsid w:val="00010EE9"/>
    <w:rsid w:val="00011719"/>
    <w:rsid w:val="0001222A"/>
    <w:rsid w:val="000122CD"/>
    <w:rsid w:val="00013527"/>
    <w:rsid w:val="00014028"/>
    <w:rsid w:val="000142B8"/>
    <w:rsid w:val="00016558"/>
    <w:rsid w:val="00017020"/>
    <w:rsid w:val="00025027"/>
    <w:rsid w:val="0002566F"/>
    <w:rsid w:val="0003012B"/>
    <w:rsid w:val="0003391E"/>
    <w:rsid w:val="000343E4"/>
    <w:rsid w:val="00034C38"/>
    <w:rsid w:val="00035EFA"/>
    <w:rsid w:val="000363F2"/>
    <w:rsid w:val="0003653F"/>
    <w:rsid w:val="00043CF0"/>
    <w:rsid w:val="00044127"/>
    <w:rsid w:val="00045F25"/>
    <w:rsid w:val="00046A71"/>
    <w:rsid w:val="00047583"/>
    <w:rsid w:val="000516AA"/>
    <w:rsid w:val="000535B7"/>
    <w:rsid w:val="0005377D"/>
    <w:rsid w:val="000572E7"/>
    <w:rsid w:val="0005768A"/>
    <w:rsid w:val="000602D2"/>
    <w:rsid w:val="0006065C"/>
    <w:rsid w:val="00061689"/>
    <w:rsid w:val="00061770"/>
    <w:rsid w:val="00063472"/>
    <w:rsid w:val="0006383A"/>
    <w:rsid w:val="0006685B"/>
    <w:rsid w:val="00067787"/>
    <w:rsid w:val="00067FBD"/>
    <w:rsid w:val="000715C8"/>
    <w:rsid w:val="00071E42"/>
    <w:rsid w:val="000720FC"/>
    <w:rsid w:val="00074F0B"/>
    <w:rsid w:val="00074F5B"/>
    <w:rsid w:val="0007516C"/>
    <w:rsid w:val="00075C0D"/>
    <w:rsid w:val="00077308"/>
    <w:rsid w:val="000778BD"/>
    <w:rsid w:val="000779F0"/>
    <w:rsid w:val="00077D54"/>
    <w:rsid w:val="00080236"/>
    <w:rsid w:val="0008190D"/>
    <w:rsid w:val="00082552"/>
    <w:rsid w:val="00082A36"/>
    <w:rsid w:val="00085E05"/>
    <w:rsid w:val="00086BF1"/>
    <w:rsid w:val="0009117C"/>
    <w:rsid w:val="000917D8"/>
    <w:rsid w:val="000919C6"/>
    <w:rsid w:val="000933F3"/>
    <w:rsid w:val="000938C7"/>
    <w:rsid w:val="0009403B"/>
    <w:rsid w:val="00095B45"/>
    <w:rsid w:val="00096A59"/>
    <w:rsid w:val="000A052B"/>
    <w:rsid w:val="000A0EBE"/>
    <w:rsid w:val="000A1742"/>
    <w:rsid w:val="000A1BCA"/>
    <w:rsid w:val="000A333F"/>
    <w:rsid w:val="000A3E39"/>
    <w:rsid w:val="000A5F7E"/>
    <w:rsid w:val="000A65CF"/>
    <w:rsid w:val="000A7628"/>
    <w:rsid w:val="000B090B"/>
    <w:rsid w:val="000B1B58"/>
    <w:rsid w:val="000B229D"/>
    <w:rsid w:val="000B271F"/>
    <w:rsid w:val="000B2955"/>
    <w:rsid w:val="000B3B75"/>
    <w:rsid w:val="000B3DC2"/>
    <w:rsid w:val="000B576F"/>
    <w:rsid w:val="000C0F61"/>
    <w:rsid w:val="000C4655"/>
    <w:rsid w:val="000C4851"/>
    <w:rsid w:val="000C647D"/>
    <w:rsid w:val="000D10C7"/>
    <w:rsid w:val="000D1573"/>
    <w:rsid w:val="000D27D7"/>
    <w:rsid w:val="000D2AE5"/>
    <w:rsid w:val="000D2DBE"/>
    <w:rsid w:val="000D3744"/>
    <w:rsid w:val="000D3AD2"/>
    <w:rsid w:val="000D5480"/>
    <w:rsid w:val="000D5B06"/>
    <w:rsid w:val="000D67CD"/>
    <w:rsid w:val="000D7B7E"/>
    <w:rsid w:val="000E03B2"/>
    <w:rsid w:val="000E1660"/>
    <w:rsid w:val="000E2C12"/>
    <w:rsid w:val="000E2C44"/>
    <w:rsid w:val="000E2D3E"/>
    <w:rsid w:val="000E461A"/>
    <w:rsid w:val="000E5E6B"/>
    <w:rsid w:val="000E777B"/>
    <w:rsid w:val="000F0186"/>
    <w:rsid w:val="000F11D1"/>
    <w:rsid w:val="000F1211"/>
    <w:rsid w:val="000F1816"/>
    <w:rsid w:val="000F2521"/>
    <w:rsid w:val="000F3D4A"/>
    <w:rsid w:val="000F46B8"/>
    <w:rsid w:val="000F7C35"/>
    <w:rsid w:val="0010015A"/>
    <w:rsid w:val="00100C7B"/>
    <w:rsid w:val="001022A1"/>
    <w:rsid w:val="001038D2"/>
    <w:rsid w:val="00104CD4"/>
    <w:rsid w:val="0010582B"/>
    <w:rsid w:val="0010616E"/>
    <w:rsid w:val="00106B63"/>
    <w:rsid w:val="00106CBD"/>
    <w:rsid w:val="00110055"/>
    <w:rsid w:val="001108F5"/>
    <w:rsid w:val="00112431"/>
    <w:rsid w:val="00113965"/>
    <w:rsid w:val="001139F1"/>
    <w:rsid w:val="001177F6"/>
    <w:rsid w:val="00122403"/>
    <w:rsid w:val="00122B12"/>
    <w:rsid w:val="00122F2E"/>
    <w:rsid w:val="00126EA7"/>
    <w:rsid w:val="001279CF"/>
    <w:rsid w:val="00127FA9"/>
    <w:rsid w:val="0013230E"/>
    <w:rsid w:val="001347EA"/>
    <w:rsid w:val="00135981"/>
    <w:rsid w:val="0013604C"/>
    <w:rsid w:val="001368F0"/>
    <w:rsid w:val="00137A00"/>
    <w:rsid w:val="00137E61"/>
    <w:rsid w:val="0014049D"/>
    <w:rsid w:val="0014228F"/>
    <w:rsid w:val="001425FB"/>
    <w:rsid w:val="00143002"/>
    <w:rsid w:val="00143B1F"/>
    <w:rsid w:val="001441A3"/>
    <w:rsid w:val="00144DC3"/>
    <w:rsid w:val="001476E4"/>
    <w:rsid w:val="00147CA7"/>
    <w:rsid w:val="00151EB6"/>
    <w:rsid w:val="00152303"/>
    <w:rsid w:val="00153AF3"/>
    <w:rsid w:val="00155014"/>
    <w:rsid w:val="0015558A"/>
    <w:rsid w:val="00156CF5"/>
    <w:rsid w:val="001572A8"/>
    <w:rsid w:val="001609B1"/>
    <w:rsid w:val="00161D26"/>
    <w:rsid w:val="00163B51"/>
    <w:rsid w:val="00163DC4"/>
    <w:rsid w:val="00164198"/>
    <w:rsid w:val="001648AB"/>
    <w:rsid w:val="001651CA"/>
    <w:rsid w:val="001655C0"/>
    <w:rsid w:val="00165727"/>
    <w:rsid w:val="00165F65"/>
    <w:rsid w:val="001664C5"/>
    <w:rsid w:val="00166902"/>
    <w:rsid w:val="0016699A"/>
    <w:rsid w:val="001670D2"/>
    <w:rsid w:val="00170DBE"/>
    <w:rsid w:val="00171AA1"/>
    <w:rsid w:val="00171EF6"/>
    <w:rsid w:val="00172609"/>
    <w:rsid w:val="00174F62"/>
    <w:rsid w:val="00175040"/>
    <w:rsid w:val="0017553B"/>
    <w:rsid w:val="00175645"/>
    <w:rsid w:val="00175EBD"/>
    <w:rsid w:val="001767F0"/>
    <w:rsid w:val="0018164F"/>
    <w:rsid w:val="00184F6A"/>
    <w:rsid w:val="00187F94"/>
    <w:rsid w:val="001902DC"/>
    <w:rsid w:val="00190ED2"/>
    <w:rsid w:val="001917FA"/>
    <w:rsid w:val="00192A3D"/>
    <w:rsid w:val="00193851"/>
    <w:rsid w:val="001945CA"/>
    <w:rsid w:val="0019555D"/>
    <w:rsid w:val="00197438"/>
    <w:rsid w:val="001A0BCD"/>
    <w:rsid w:val="001A1537"/>
    <w:rsid w:val="001A1903"/>
    <w:rsid w:val="001A24D5"/>
    <w:rsid w:val="001A25F3"/>
    <w:rsid w:val="001A29A2"/>
    <w:rsid w:val="001A4060"/>
    <w:rsid w:val="001A6C88"/>
    <w:rsid w:val="001B0536"/>
    <w:rsid w:val="001B2357"/>
    <w:rsid w:val="001B2416"/>
    <w:rsid w:val="001B4C58"/>
    <w:rsid w:val="001B5C61"/>
    <w:rsid w:val="001C2228"/>
    <w:rsid w:val="001C48D4"/>
    <w:rsid w:val="001C521A"/>
    <w:rsid w:val="001C5F58"/>
    <w:rsid w:val="001D01D4"/>
    <w:rsid w:val="001D2A53"/>
    <w:rsid w:val="001D334C"/>
    <w:rsid w:val="001D3C84"/>
    <w:rsid w:val="001D6428"/>
    <w:rsid w:val="001D65EC"/>
    <w:rsid w:val="001E0270"/>
    <w:rsid w:val="001E2F6E"/>
    <w:rsid w:val="001E4745"/>
    <w:rsid w:val="001E687C"/>
    <w:rsid w:val="001E7CFA"/>
    <w:rsid w:val="001F048F"/>
    <w:rsid w:val="001F1AF6"/>
    <w:rsid w:val="001F22B3"/>
    <w:rsid w:val="001F3D93"/>
    <w:rsid w:val="001F3EC7"/>
    <w:rsid w:val="001F50BA"/>
    <w:rsid w:val="001F584E"/>
    <w:rsid w:val="0020168F"/>
    <w:rsid w:val="00201D0D"/>
    <w:rsid w:val="00203F8C"/>
    <w:rsid w:val="00205121"/>
    <w:rsid w:val="002070BD"/>
    <w:rsid w:val="0020788A"/>
    <w:rsid w:val="0021039E"/>
    <w:rsid w:val="00210533"/>
    <w:rsid w:val="00215485"/>
    <w:rsid w:val="00216C15"/>
    <w:rsid w:val="00220D09"/>
    <w:rsid w:val="00221B9D"/>
    <w:rsid w:val="00222072"/>
    <w:rsid w:val="00223560"/>
    <w:rsid w:val="002245A4"/>
    <w:rsid w:val="002245C6"/>
    <w:rsid w:val="0023020A"/>
    <w:rsid w:val="0023081A"/>
    <w:rsid w:val="00230D6E"/>
    <w:rsid w:val="00230DC1"/>
    <w:rsid w:val="00230F45"/>
    <w:rsid w:val="00231DF2"/>
    <w:rsid w:val="0023297A"/>
    <w:rsid w:val="002337A4"/>
    <w:rsid w:val="0023486D"/>
    <w:rsid w:val="00234FCB"/>
    <w:rsid w:val="0023512E"/>
    <w:rsid w:val="00236C8C"/>
    <w:rsid w:val="00237930"/>
    <w:rsid w:val="00237B3D"/>
    <w:rsid w:val="00237C7B"/>
    <w:rsid w:val="00240E64"/>
    <w:rsid w:val="00244423"/>
    <w:rsid w:val="002444BA"/>
    <w:rsid w:val="0024532D"/>
    <w:rsid w:val="002458AF"/>
    <w:rsid w:val="00245F40"/>
    <w:rsid w:val="00246714"/>
    <w:rsid w:val="0024782E"/>
    <w:rsid w:val="0025111C"/>
    <w:rsid w:val="00251D96"/>
    <w:rsid w:val="00252986"/>
    <w:rsid w:val="00256140"/>
    <w:rsid w:val="00256207"/>
    <w:rsid w:val="0025627F"/>
    <w:rsid w:val="00256753"/>
    <w:rsid w:val="00256D80"/>
    <w:rsid w:val="00256E04"/>
    <w:rsid w:val="00256EF4"/>
    <w:rsid w:val="00262471"/>
    <w:rsid w:val="00263827"/>
    <w:rsid w:val="00263A55"/>
    <w:rsid w:val="0026488B"/>
    <w:rsid w:val="002649EF"/>
    <w:rsid w:val="00266F71"/>
    <w:rsid w:val="00267227"/>
    <w:rsid w:val="0026754A"/>
    <w:rsid w:val="0026760D"/>
    <w:rsid w:val="00267A8C"/>
    <w:rsid w:val="00270C3E"/>
    <w:rsid w:val="002723F0"/>
    <w:rsid w:val="00272A5F"/>
    <w:rsid w:val="00273589"/>
    <w:rsid w:val="002742DA"/>
    <w:rsid w:val="002752B1"/>
    <w:rsid w:val="0027573C"/>
    <w:rsid w:val="00281C41"/>
    <w:rsid w:val="00282078"/>
    <w:rsid w:val="00282C5C"/>
    <w:rsid w:val="00283863"/>
    <w:rsid w:val="00283AB4"/>
    <w:rsid w:val="00284A5E"/>
    <w:rsid w:val="00284E56"/>
    <w:rsid w:val="002852A8"/>
    <w:rsid w:val="00285738"/>
    <w:rsid w:val="00286ED0"/>
    <w:rsid w:val="00291AEF"/>
    <w:rsid w:val="00291C96"/>
    <w:rsid w:val="00292F16"/>
    <w:rsid w:val="00295885"/>
    <w:rsid w:val="00297241"/>
    <w:rsid w:val="00297DFE"/>
    <w:rsid w:val="002A06F8"/>
    <w:rsid w:val="002A3C7F"/>
    <w:rsid w:val="002A4603"/>
    <w:rsid w:val="002A5A6B"/>
    <w:rsid w:val="002A697F"/>
    <w:rsid w:val="002A7798"/>
    <w:rsid w:val="002B0D6D"/>
    <w:rsid w:val="002B0F15"/>
    <w:rsid w:val="002B1159"/>
    <w:rsid w:val="002B3808"/>
    <w:rsid w:val="002B3EF8"/>
    <w:rsid w:val="002B46F0"/>
    <w:rsid w:val="002B67F5"/>
    <w:rsid w:val="002B6912"/>
    <w:rsid w:val="002C00D0"/>
    <w:rsid w:val="002C04F7"/>
    <w:rsid w:val="002C1884"/>
    <w:rsid w:val="002C3134"/>
    <w:rsid w:val="002C4F95"/>
    <w:rsid w:val="002D0A69"/>
    <w:rsid w:val="002D32EC"/>
    <w:rsid w:val="002D5E19"/>
    <w:rsid w:val="002E0530"/>
    <w:rsid w:val="002E1852"/>
    <w:rsid w:val="002E2588"/>
    <w:rsid w:val="002E4947"/>
    <w:rsid w:val="002E65C8"/>
    <w:rsid w:val="002E79FB"/>
    <w:rsid w:val="002E7D21"/>
    <w:rsid w:val="002F2575"/>
    <w:rsid w:val="002F2FA3"/>
    <w:rsid w:val="002F36E7"/>
    <w:rsid w:val="002F3D36"/>
    <w:rsid w:val="002F4B6F"/>
    <w:rsid w:val="002F53ED"/>
    <w:rsid w:val="00300591"/>
    <w:rsid w:val="00301203"/>
    <w:rsid w:val="00303C8C"/>
    <w:rsid w:val="0030417A"/>
    <w:rsid w:val="00304BDF"/>
    <w:rsid w:val="00306919"/>
    <w:rsid w:val="003075E3"/>
    <w:rsid w:val="003108D2"/>
    <w:rsid w:val="00312894"/>
    <w:rsid w:val="00313033"/>
    <w:rsid w:val="00313FC2"/>
    <w:rsid w:val="0031456E"/>
    <w:rsid w:val="003165FE"/>
    <w:rsid w:val="00316853"/>
    <w:rsid w:val="00316890"/>
    <w:rsid w:val="00316DED"/>
    <w:rsid w:val="00322816"/>
    <w:rsid w:val="00323F78"/>
    <w:rsid w:val="003247E8"/>
    <w:rsid w:val="00324954"/>
    <w:rsid w:val="003255CA"/>
    <w:rsid w:val="00326735"/>
    <w:rsid w:val="00331B8E"/>
    <w:rsid w:val="00332798"/>
    <w:rsid w:val="00334962"/>
    <w:rsid w:val="003353A2"/>
    <w:rsid w:val="00335DCC"/>
    <w:rsid w:val="0034014F"/>
    <w:rsid w:val="00340331"/>
    <w:rsid w:val="003404A2"/>
    <w:rsid w:val="00340BF4"/>
    <w:rsid w:val="00341737"/>
    <w:rsid w:val="003455FF"/>
    <w:rsid w:val="00345D79"/>
    <w:rsid w:val="0034695B"/>
    <w:rsid w:val="00350BA9"/>
    <w:rsid w:val="00351C3E"/>
    <w:rsid w:val="00352296"/>
    <w:rsid w:val="0035336B"/>
    <w:rsid w:val="0035618C"/>
    <w:rsid w:val="00356BBD"/>
    <w:rsid w:val="00357338"/>
    <w:rsid w:val="00360A21"/>
    <w:rsid w:val="00362165"/>
    <w:rsid w:val="00363B00"/>
    <w:rsid w:val="00365BDF"/>
    <w:rsid w:val="003669E8"/>
    <w:rsid w:val="00366F79"/>
    <w:rsid w:val="00367865"/>
    <w:rsid w:val="003719AB"/>
    <w:rsid w:val="00372835"/>
    <w:rsid w:val="00372B11"/>
    <w:rsid w:val="0037364A"/>
    <w:rsid w:val="00374203"/>
    <w:rsid w:val="00374F12"/>
    <w:rsid w:val="00376BD9"/>
    <w:rsid w:val="00376C2C"/>
    <w:rsid w:val="00377841"/>
    <w:rsid w:val="00377D1D"/>
    <w:rsid w:val="003811E5"/>
    <w:rsid w:val="00381B3F"/>
    <w:rsid w:val="003825D4"/>
    <w:rsid w:val="0038269E"/>
    <w:rsid w:val="00382919"/>
    <w:rsid w:val="00383173"/>
    <w:rsid w:val="00386AAA"/>
    <w:rsid w:val="00393016"/>
    <w:rsid w:val="00393681"/>
    <w:rsid w:val="003938E8"/>
    <w:rsid w:val="00394CEC"/>
    <w:rsid w:val="00395724"/>
    <w:rsid w:val="003A1A30"/>
    <w:rsid w:val="003A2165"/>
    <w:rsid w:val="003A31A8"/>
    <w:rsid w:val="003A49A8"/>
    <w:rsid w:val="003A61E0"/>
    <w:rsid w:val="003A7C9B"/>
    <w:rsid w:val="003B1257"/>
    <w:rsid w:val="003B174E"/>
    <w:rsid w:val="003B1D0D"/>
    <w:rsid w:val="003B375A"/>
    <w:rsid w:val="003B3C7B"/>
    <w:rsid w:val="003B3E9C"/>
    <w:rsid w:val="003B4200"/>
    <w:rsid w:val="003B567A"/>
    <w:rsid w:val="003C03E2"/>
    <w:rsid w:val="003C0858"/>
    <w:rsid w:val="003C08A9"/>
    <w:rsid w:val="003C137B"/>
    <w:rsid w:val="003C3051"/>
    <w:rsid w:val="003C3E90"/>
    <w:rsid w:val="003C5DBF"/>
    <w:rsid w:val="003C5DFC"/>
    <w:rsid w:val="003D32C8"/>
    <w:rsid w:val="003D3CA9"/>
    <w:rsid w:val="003D582A"/>
    <w:rsid w:val="003D5ACD"/>
    <w:rsid w:val="003D5B71"/>
    <w:rsid w:val="003D6E18"/>
    <w:rsid w:val="003D79AD"/>
    <w:rsid w:val="003E060E"/>
    <w:rsid w:val="003E16C9"/>
    <w:rsid w:val="003E1BE2"/>
    <w:rsid w:val="003E355C"/>
    <w:rsid w:val="003E3669"/>
    <w:rsid w:val="003E4038"/>
    <w:rsid w:val="003E415B"/>
    <w:rsid w:val="003E4F46"/>
    <w:rsid w:val="003F01C2"/>
    <w:rsid w:val="003F162D"/>
    <w:rsid w:val="003F2E64"/>
    <w:rsid w:val="003F2F82"/>
    <w:rsid w:val="003F3636"/>
    <w:rsid w:val="003F3C44"/>
    <w:rsid w:val="003F3D86"/>
    <w:rsid w:val="00400A2A"/>
    <w:rsid w:val="00400B21"/>
    <w:rsid w:val="00401241"/>
    <w:rsid w:val="004016FD"/>
    <w:rsid w:val="004018C1"/>
    <w:rsid w:val="00401E04"/>
    <w:rsid w:val="004025CB"/>
    <w:rsid w:val="00402693"/>
    <w:rsid w:val="00402FCF"/>
    <w:rsid w:val="004042CF"/>
    <w:rsid w:val="00404938"/>
    <w:rsid w:val="00406AE1"/>
    <w:rsid w:val="00406CCA"/>
    <w:rsid w:val="0040713B"/>
    <w:rsid w:val="00407668"/>
    <w:rsid w:val="00407CDF"/>
    <w:rsid w:val="004107A9"/>
    <w:rsid w:val="00412FA3"/>
    <w:rsid w:val="004136E3"/>
    <w:rsid w:val="00413A6A"/>
    <w:rsid w:val="00414917"/>
    <w:rsid w:val="00415274"/>
    <w:rsid w:val="004157A0"/>
    <w:rsid w:val="004158C4"/>
    <w:rsid w:val="00416B0E"/>
    <w:rsid w:val="00417207"/>
    <w:rsid w:val="00420256"/>
    <w:rsid w:val="0042076A"/>
    <w:rsid w:val="00420A4F"/>
    <w:rsid w:val="00420BD2"/>
    <w:rsid w:val="00421081"/>
    <w:rsid w:val="00421A0C"/>
    <w:rsid w:val="0042209A"/>
    <w:rsid w:val="00422C5C"/>
    <w:rsid w:val="00423A9E"/>
    <w:rsid w:val="00423D26"/>
    <w:rsid w:val="00426E5F"/>
    <w:rsid w:val="00431637"/>
    <w:rsid w:val="004330B0"/>
    <w:rsid w:val="004339BD"/>
    <w:rsid w:val="00434556"/>
    <w:rsid w:val="00435BB4"/>
    <w:rsid w:val="00442F8B"/>
    <w:rsid w:val="00444160"/>
    <w:rsid w:val="00444D30"/>
    <w:rsid w:val="0044516F"/>
    <w:rsid w:val="00445225"/>
    <w:rsid w:val="00446C7E"/>
    <w:rsid w:val="004512DA"/>
    <w:rsid w:val="00452012"/>
    <w:rsid w:val="0045252E"/>
    <w:rsid w:val="004536DB"/>
    <w:rsid w:val="00453EE5"/>
    <w:rsid w:val="00455472"/>
    <w:rsid w:val="00455621"/>
    <w:rsid w:val="00456326"/>
    <w:rsid w:val="004564E8"/>
    <w:rsid w:val="00462552"/>
    <w:rsid w:val="00463349"/>
    <w:rsid w:val="00463A5F"/>
    <w:rsid w:val="00465833"/>
    <w:rsid w:val="004717FF"/>
    <w:rsid w:val="004721E5"/>
    <w:rsid w:val="00472AB2"/>
    <w:rsid w:val="00472F08"/>
    <w:rsid w:val="00475A26"/>
    <w:rsid w:val="00475CDC"/>
    <w:rsid w:val="004766DE"/>
    <w:rsid w:val="004770A4"/>
    <w:rsid w:val="00477180"/>
    <w:rsid w:val="004806A6"/>
    <w:rsid w:val="004806ED"/>
    <w:rsid w:val="0048170B"/>
    <w:rsid w:val="00481D28"/>
    <w:rsid w:val="00483984"/>
    <w:rsid w:val="00484968"/>
    <w:rsid w:val="00484A17"/>
    <w:rsid w:val="00485233"/>
    <w:rsid w:val="00485359"/>
    <w:rsid w:val="00485973"/>
    <w:rsid w:val="00486F3D"/>
    <w:rsid w:val="004871FE"/>
    <w:rsid w:val="00491379"/>
    <w:rsid w:val="004917D8"/>
    <w:rsid w:val="004921E5"/>
    <w:rsid w:val="004921EA"/>
    <w:rsid w:val="00492AC0"/>
    <w:rsid w:val="00492D9A"/>
    <w:rsid w:val="00492E28"/>
    <w:rsid w:val="00493316"/>
    <w:rsid w:val="00493B31"/>
    <w:rsid w:val="00495B71"/>
    <w:rsid w:val="00496751"/>
    <w:rsid w:val="004972CE"/>
    <w:rsid w:val="004972F6"/>
    <w:rsid w:val="004978D0"/>
    <w:rsid w:val="004A1CAF"/>
    <w:rsid w:val="004A2A50"/>
    <w:rsid w:val="004A2BF5"/>
    <w:rsid w:val="004A3CB8"/>
    <w:rsid w:val="004A4478"/>
    <w:rsid w:val="004A4692"/>
    <w:rsid w:val="004A4EF6"/>
    <w:rsid w:val="004A7723"/>
    <w:rsid w:val="004B4AC3"/>
    <w:rsid w:val="004B6063"/>
    <w:rsid w:val="004B7127"/>
    <w:rsid w:val="004C0014"/>
    <w:rsid w:val="004C095E"/>
    <w:rsid w:val="004C181A"/>
    <w:rsid w:val="004C26C3"/>
    <w:rsid w:val="004C33BF"/>
    <w:rsid w:val="004C3D45"/>
    <w:rsid w:val="004C3DF5"/>
    <w:rsid w:val="004C4B7C"/>
    <w:rsid w:val="004C58BE"/>
    <w:rsid w:val="004C65C1"/>
    <w:rsid w:val="004C677A"/>
    <w:rsid w:val="004C6C9F"/>
    <w:rsid w:val="004C74AB"/>
    <w:rsid w:val="004C7D89"/>
    <w:rsid w:val="004D07D3"/>
    <w:rsid w:val="004D0F3D"/>
    <w:rsid w:val="004D2FA3"/>
    <w:rsid w:val="004D3183"/>
    <w:rsid w:val="004D48D9"/>
    <w:rsid w:val="004D5F59"/>
    <w:rsid w:val="004D64B1"/>
    <w:rsid w:val="004D73CA"/>
    <w:rsid w:val="004D78AC"/>
    <w:rsid w:val="004D7C15"/>
    <w:rsid w:val="004E18CD"/>
    <w:rsid w:val="004E3B37"/>
    <w:rsid w:val="004E5039"/>
    <w:rsid w:val="004F04DF"/>
    <w:rsid w:val="004F0867"/>
    <w:rsid w:val="004F09A8"/>
    <w:rsid w:val="004F12CE"/>
    <w:rsid w:val="004F15A5"/>
    <w:rsid w:val="004F171E"/>
    <w:rsid w:val="004F17ED"/>
    <w:rsid w:val="004F1978"/>
    <w:rsid w:val="004F28EB"/>
    <w:rsid w:val="004F3823"/>
    <w:rsid w:val="004F3F35"/>
    <w:rsid w:val="004F4710"/>
    <w:rsid w:val="004F76F5"/>
    <w:rsid w:val="005012D8"/>
    <w:rsid w:val="00502B16"/>
    <w:rsid w:val="005032BA"/>
    <w:rsid w:val="00503F07"/>
    <w:rsid w:val="00504CDE"/>
    <w:rsid w:val="0050510F"/>
    <w:rsid w:val="00505305"/>
    <w:rsid w:val="005109C5"/>
    <w:rsid w:val="00510AB7"/>
    <w:rsid w:val="00511483"/>
    <w:rsid w:val="00512B80"/>
    <w:rsid w:val="0051385C"/>
    <w:rsid w:val="00513F7C"/>
    <w:rsid w:val="00514020"/>
    <w:rsid w:val="0051583D"/>
    <w:rsid w:val="00517B33"/>
    <w:rsid w:val="00517FBA"/>
    <w:rsid w:val="005209A5"/>
    <w:rsid w:val="0052103B"/>
    <w:rsid w:val="00521255"/>
    <w:rsid w:val="00522A4C"/>
    <w:rsid w:val="00523267"/>
    <w:rsid w:val="00523B83"/>
    <w:rsid w:val="00524B32"/>
    <w:rsid w:val="00526FC2"/>
    <w:rsid w:val="00527BF3"/>
    <w:rsid w:val="00530009"/>
    <w:rsid w:val="005309FB"/>
    <w:rsid w:val="0053133A"/>
    <w:rsid w:val="00533CB8"/>
    <w:rsid w:val="00534E09"/>
    <w:rsid w:val="00535492"/>
    <w:rsid w:val="00535609"/>
    <w:rsid w:val="005373BB"/>
    <w:rsid w:val="00537CF8"/>
    <w:rsid w:val="00537FF5"/>
    <w:rsid w:val="00540855"/>
    <w:rsid w:val="005408D1"/>
    <w:rsid w:val="0054097B"/>
    <w:rsid w:val="0054168D"/>
    <w:rsid w:val="005428FF"/>
    <w:rsid w:val="00542F7E"/>
    <w:rsid w:val="0054312C"/>
    <w:rsid w:val="0054368A"/>
    <w:rsid w:val="00543E8F"/>
    <w:rsid w:val="00544198"/>
    <w:rsid w:val="00545419"/>
    <w:rsid w:val="00546633"/>
    <w:rsid w:val="00547A18"/>
    <w:rsid w:val="00550758"/>
    <w:rsid w:val="005520F6"/>
    <w:rsid w:val="0055280A"/>
    <w:rsid w:val="00552AB4"/>
    <w:rsid w:val="0055349D"/>
    <w:rsid w:val="00554718"/>
    <w:rsid w:val="00554B3C"/>
    <w:rsid w:val="0055564F"/>
    <w:rsid w:val="00556C68"/>
    <w:rsid w:val="00556CC0"/>
    <w:rsid w:val="00561F05"/>
    <w:rsid w:val="0056244F"/>
    <w:rsid w:val="00562B71"/>
    <w:rsid w:val="0056523B"/>
    <w:rsid w:val="005656B7"/>
    <w:rsid w:val="00566717"/>
    <w:rsid w:val="005676AE"/>
    <w:rsid w:val="0057094F"/>
    <w:rsid w:val="00571D12"/>
    <w:rsid w:val="005724F2"/>
    <w:rsid w:val="00574255"/>
    <w:rsid w:val="00574822"/>
    <w:rsid w:val="00576977"/>
    <w:rsid w:val="00576F23"/>
    <w:rsid w:val="005778FE"/>
    <w:rsid w:val="00581D39"/>
    <w:rsid w:val="0058244D"/>
    <w:rsid w:val="00583346"/>
    <w:rsid w:val="005835B0"/>
    <w:rsid w:val="00583C03"/>
    <w:rsid w:val="0058482E"/>
    <w:rsid w:val="005858E0"/>
    <w:rsid w:val="00585AEC"/>
    <w:rsid w:val="00586753"/>
    <w:rsid w:val="005870A2"/>
    <w:rsid w:val="005874BB"/>
    <w:rsid w:val="005874D3"/>
    <w:rsid w:val="00592DF5"/>
    <w:rsid w:val="005931DE"/>
    <w:rsid w:val="00593300"/>
    <w:rsid w:val="00594466"/>
    <w:rsid w:val="00594472"/>
    <w:rsid w:val="00596D5A"/>
    <w:rsid w:val="005A0B72"/>
    <w:rsid w:val="005A1E67"/>
    <w:rsid w:val="005A268E"/>
    <w:rsid w:val="005A4FAE"/>
    <w:rsid w:val="005A5255"/>
    <w:rsid w:val="005A61F5"/>
    <w:rsid w:val="005A6BAB"/>
    <w:rsid w:val="005B2A6A"/>
    <w:rsid w:val="005B2C61"/>
    <w:rsid w:val="005B2EE6"/>
    <w:rsid w:val="005B3206"/>
    <w:rsid w:val="005B32AD"/>
    <w:rsid w:val="005B47D3"/>
    <w:rsid w:val="005B6073"/>
    <w:rsid w:val="005B7009"/>
    <w:rsid w:val="005C0049"/>
    <w:rsid w:val="005C0A0D"/>
    <w:rsid w:val="005C0D61"/>
    <w:rsid w:val="005C4497"/>
    <w:rsid w:val="005C4EFF"/>
    <w:rsid w:val="005C56A9"/>
    <w:rsid w:val="005C5E68"/>
    <w:rsid w:val="005C715C"/>
    <w:rsid w:val="005D008D"/>
    <w:rsid w:val="005D0786"/>
    <w:rsid w:val="005D1323"/>
    <w:rsid w:val="005D1458"/>
    <w:rsid w:val="005D19A4"/>
    <w:rsid w:val="005D22BC"/>
    <w:rsid w:val="005D34C4"/>
    <w:rsid w:val="005D5227"/>
    <w:rsid w:val="005D5846"/>
    <w:rsid w:val="005D5A8C"/>
    <w:rsid w:val="005D6B0A"/>
    <w:rsid w:val="005D760C"/>
    <w:rsid w:val="005E14C0"/>
    <w:rsid w:val="005E16E9"/>
    <w:rsid w:val="005E49B5"/>
    <w:rsid w:val="005E4EB4"/>
    <w:rsid w:val="005E5E88"/>
    <w:rsid w:val="005E601B"/>
    <w:rsid w:val="005E6B1E"/>
    <w:rsid w:val="005E7685"/>
    <w:rsid w:val="005F0E9A"/>
    <w:rsid w:val="005F22A7"/>
    <w:rsid w:val="005F2506"/>
    <w:rsid w:val="005F329F"/>
    <w:rsid w:val="005F58F1"/>
    <w:rsid w:val="005F617C"/>
    <w:rsid w:val="005F6C10"/>
    <w:rsid w:val="00600899"/>
    <w:rsid w:val="00601481"/>
    <w:rsid w:val="00605078"/>
    <w:rsid w:val="0060614D"/>
    <w:rsid w:val="006061E1"/>
    <w:rsid w:val="00606295"/>
    <w:rsid w:val="00611615"/>
    <w:rsid w:val="00611F2A"/>
    <w:rsid w:val="0061213D"/>
    <w:rsid w:val="006121A2"/>
    <w:rsid w:val="00613139"/>
    <w:rsid w:val="006163B4"/>
    <w:rsid w:val="0061677E"/>
    <w:rsid w:val="0061684D"/>
    <w:rsid w:val="00616B03"/>
    <w:rsid w:val="00617D21"/>
    <w:rsid w:val="00617F27"/>
    <w:rsid w:val="006201B1"/>
    <w:rsid w:val="00620934"/>
    <w:rsid w:val="00622849"/>
    <w:rsid w:val="00622E71"/>
    <w:rsid w:val="0062372B"/>
    <w:rsid w:val="006248AC"/>
    <w:rsid w:val="00624A7E"/>
    <w:rsid w:val="00631573"/>
    <w:rsid w:val="00631DB9"/>
    <w:rsid w:val="006349E4"/>
    <w:rsid w:val="00635F2F"/>
    <w:rsid w:val="00637BCD"/>
    <w:rsid w:val="00637D1F"/>
    <w:rsid w:val="00640961"/>
    <w:rsid w:val="00640F67"/>
    <w:rsid w:val="006412AB"/>
    <w:rsid w:val="00642132"/>
    <w:rsid w:val="006442E1"/>
    <w:rsid w:val="006444FA"/>
    <w:rsid w:val="00644C8A"/>
    <w:rsid w:val="006455D3"/>
    <w:rsid w:val="0064576E"/>
    <w:rsid w:val="00645986"/>
    <w:rsid w:val="00650699"/>
    <w:rsid w:val="00651719"/>
    <w:rsid w:val="00651BA2"/>
    <w:rsid w:val="00652866"/>
    <w:rsid w:val="00652AA5"/>
    <w:rsid w:val="00652F38"/>
    <w:rsid w:val="00653343"/>
    <w:rsid w:val="006550D5"/>
    <w:rsid w:val="00655987"/>
    <w:rsid w:val="00655B8A"/>
    <w:rsid w:val="006563A7"/>
    <w:rsid w:val="006579AE"/>
    <w:rsid w:val="00661FAD"/>
    <w:rsid w:val="006622BB"/>
    <w:rsid w:val="0066273F"/>
    <w:rsid w:val="00663044"/>
    <w:rsid w:val="006635A3"/>
    <w:rsid w:val="0066490B"/>
    <w:rsid w:val="0066513F"/>
    <w:rsid w:val="006663AD"/>
    <w:rsid w:val="0066706C"/>
    <w:rsid w:val="00667574"/>
    <w:rsid w:val="00667CC4"/>
    <w:rsid w:val="00672FBA"/>
    <w:rsid w:val="0067499B"/>
    <w:rsid w:val="00675427"/>
    <w:rsid w:val="00675E87"/>
    <w:rsid w:val="006767F6"/>
    <w:rsid w:val="00676DD1"/>
    <w:rsid w:val="0067729C"/>
    <w:rsid w:val="00680DDD"/>
    <w:rsid w:val="00681CA8"/>
    <w:rsid w:val="00683071"/>
    <w:rsid w:val="006837A1"/>
    <w:rsid w:val="00684B61"/>
    <w:rsid w:val="006852D9"/>
    <w:rsid w:val="006853C6"/>
    <w:rsid w:val="00685873"/>
    <w:rsid w:val="00686585"/>
    <w:rsid w:val="00686A9E"/>
    <w:rsid w:val="006900CA"/>
    <w:rsid w:val="006907A6"/>
    <w:rsid w:val="00690822"/>
    <w:rsid w:val="0069190B"/>
    <w:rsid w:val="00692535"/>
    <w:rsid w:val="00692724"/>
    <w:rsid w:val="00692F7D"/>
    <w:rsid w:val="00693058"/>
    <w:rsid w:val="00693235"/>
    <w:rsid w:val="006940AE"/>
    <w:rsid w:val="006940C7"/>
    <w:rsid w:val="00694286"/>
    <w:rsid w:val="0069443B"/>
    <w:rsid w:val="00695A38"/>
    <w:rsid w:val="00695F4C"/>
    <w:rsid w:val="00696675"/>
    <w:rsid w:val="0069697E"/>
    <w:rsid w:val="006A0500"/>
    <w:rsid w:val="006A0E2A"/>
    <w:rsid w:val="006A2584"/>
    <w:rsid w:val="006A2FFB"/>
    <w:rsid w:val="006A440A"/>
    <w:rsid w:val="006A4D51"/>
    <w:rsid w:val="006A5113"/>
    <w:rsid w:val="006A5BFA"/>
    <w:rsid w:val="006A5D85"/>
    <w:rsid w:val="006A5F1A"/>
    <w:rsid w:val="006A637C"/>
    <w:rsid w:val="006A64C6"/>
    <w:rsid w:val="006A6E75"/>
    <w:rsid w:val="006A7906"/>
    <w:rsid w:val="006B0E45"/>
    <w:rsid w:val="006B54BD"/>
    <w:rsid w:val="006B651D"/>
    <w:rsid w:val="006B798E"/>
    <w:rsid w:val="006C25C7"/>
    <w:rsid w:val="006C2C9B"/>
    <w:rsid w:val="006C52DA"/>
    <w:rsid w:val="006C5408"/>
    <w:rsid w:val="006C5AD8"/>
    <w:rsid w:val="006D17D2"/>
    <w:rsid w:val="006D1FB0"/>
    <w:rsid w:val="006D28F8"/>
    <w:rsid w:val="006D3933"/>
    <w:rsid w:val="006D473C"/>
    <w:rsid w:val="006D6885"/>
    <w:rsid w:val="006D6DEA"/>
    <w:rsid w:val="006E038A"/>
    <w:rsid w:val="006E05C6"/>
    <w:rsid w:val="006E2AFE"/>
    <w:rsid w:val="006E3A7C"/>
    <w:rsid w:val="006E566E"/>
    <w:rsid w:val="006E773A"/>
    <w:rsid w:val="006E7935"/>
    <w:rsid w:val="006F04DA"/>
    <w:rsid w:val="006F0A7E"/>
    <w:rsid w:val="006F10B4"/>
    <w:rsid w:val="006F1869"/>
    <w:rsid w:val="006F3266"/>
    <w:rsid w:val="006F4A94"/>
    <w:rsid w:val="006F4DDE"/>
    <w:rsid w:val="006F5053"/>
    <w:rsid w:val="006F52CF"/>
    <w:rsid w:val="006F6823"/>
    <w:rsid w:val="006F7E3E"/>
    <w:rsid w:val="00704E7A"/>
    <w:rsid w:val="0070617D"/>
    <w:rsid w:val="00706A56"/>
    <w:rsid w:val="007071A4"/>
    <w:rsid w:val="0070769A"/>
    <w:rsid w:val="00712327"/>
    <w:rsid w:val="00714B38"/>
    <w:rsid w:val="0071525D"/>
    <w:rsid w:val="00716299"/>
    <w:rsid w:val="007216DC"/>
    <w:rsid w:val="00721DB6"/>
    <w:rsid w:val="00725DDD"/>
    <w:rsid w:val="007277F4"/>
    <w:rsid w:val="0073188B"/>
    <w:rsid w:val="007330EA"/>
    <w:rsid w:val="00733D0B"/>
    <w:rsid w:val="00734B77"/>
    <w:rsid w:val="007353BA"/>
    <w:rsid w:val="00735C19"/>
    <w:rsid w:val="00735CF4"/>
    <w:rsid w:val="00737CBD"/>
    <w:rsid w:val="00740985"/>
    <w:rsid w:val="007421E6"/>
    <w:rsid w:val="0074347F"/>
    <w:rsid w:val="007437C7"/>
    <w:rsid w:val="00745396"/>
    <w:rsid w:val="00750DD0"/>
    <w:rsid w:val="007529C8"/>
    <w:rsid w:val="007530A4"/>
    <w:rsid w:val="007575A9"/>
    <w:rsid w:val="007609D7"/>
    <w:rsid w:val="00760FDC"/>
    <w:rsid w:val="00761679"/>
    <w:rsid w:val="00761D02"/>
    <w:rsid w:val="00762FAD"/>
    <w:rsid w:val="00764120"/>
    <w:rsid w:val="007648E0"/>
    <w:rsid w:val="00764A18"/>
    <w:rsid w:val="007653B3"/>
    <w:rsid w:val="00765EAA"/>
    <w:rsid w:val="00766257"/>
    <w:rsid w:val="00766CB8"/>
    <w:rsid w:val="007723ED"/>
    <w:rsid w:val="00772A4C"/>
    <w:rsid w:val="00773E56"/>
    <w:rsid w:val="00773F7A"/>
    <w:rsid w:val="007756FD"/>
    <w:rsid w:val="00775DE3"/>
    <w:rsid w:val="00777481"/>
    <w:rsid w:val="00777C68"/>
    <w:rsid w:val="007804F9"/>
    <w:rsid w:val="0078109C"/>
    <w:rsid w:val="00783B74"/>
    <w:rsid w:val="00785813"/>
    <w:rsid w:val="00787DBD"/>
    <w:rsid w:val="00791929"/>
    <w:rsid w:val="0079242F"/>
    <w:rsid w:val="00793172"/>
    <w:rsid w:val="00795301"/>
    <w:rsid w:val="00796AD2"/>
    <w:rsid w:val="00797E6A"/>
    <w:rsid w:val="007A1619"/>
    <w:rsid w:val="007A1B81"/>
    <w:rsid w:val="007A1CD7"/>
    <w:rsid w:val="007A2903"/>
    <w:rsid w:val="007A5D9B"/>
    <w:rsid w:val="007A7A61"/>
    <w:rsid w:val="007B1181"/>
    <w:rsid w:val="007B2ECE"/>
    <w:rsid w:val="007B42F0"/>
    <w:rsid w:val="007B4F31"/>
    <w:rsid w:val="007B7A79"/>
    <w:rsid w:val="007B7EBE"/>
    <w:rsid w:val="007C0E3B"/>
    <w:rsid w:val="007C0F09"/>
    <w:rsid w:val="007C1F6A"/>
    <w:rsid w:val="007C29D9"/>
    <w:rsid w:val="007C3B85"/>
    <w:rsid w:val="007C3BA0"/>
    <w:rsid w:val="007C6156"/>
    <w:rsid w:val="007C69F6"/>
    <w:rsid w:val="007C7EDF"/>
    <w:rsid w:val="007D00C8"/>
    <w:rsid w:val="007D122E"/>
    <w:rsid w:val="007D156E"/>
    <w:rsid w:val="007D158D"/>
    <w:rsid w:val="007D1CB8"/>
    <w:rsid w:val="007D2223"/>
    <w:rsid w:val="007D2F41"/>
    <w:rsid w:val="007D42F3"/>
    <w:rsid w:val="007D4737"/>
    <w:rsid w:val="007D5695"/>
    <w:rsid w:val="007D5D84"/>
    <w:rsid w:val="007D65B3"/>
    <w:rsid w:val="007D7625"/>
    <w:rsid w:val="007D79B1"/>
    <w:rsid w:val="007D7AF8"/>
    <w:rsid w:val="007E05A8"/>
    <w:rsid w:val="007E17FF"/>
    <w:rsid w:val="007E2780"/>
    <w:rsid w:val="007E2ACC"/>
    <w:rsid w:val="007E3394"/>
    <w:rsid w:val="007E3742"/>
    <w:rsid w:val="007E41C8"/>
    <w:rsid w:val="007E567F"/>
    <w:rsid w:val="007F017E"/>
    <w:rsid w:val="007F2656"/>
    <w:rsid w:val="007F2F9F"/>
    <w:rsid w:val="007F323D"/>
    <w:rsid w:val="007F3EDB"/>
    <w:rsid w:val="007F40EE"/>
    <w:rsid w:val="007F51C5"/>
    <w:rsid w:val="007F68C5"/>
    <w:rsid w:val="007F704A"/>
    <w:rsid w:val="00800207"/>
    <w:rsid w:val="00800477"/>
    <w:rsid w:val="00801060"/>
    <w:rsid w:val="00801BA8"/>
    <w:rsid w:val="008038AC"/>
    <w:rsid w:val="00803FA1"/>
    <w:rsid w:val="00805228"/>
    <w:rsid w:val="0080655F"/>
    <w:rsid w:val="00806AC1"/>
    <w:rsid w:val="008074EA"/>
    <w:rsid w:val="00810C42"/>
    <w:rsid w:val="00811B65"/>
    <w:rsid w:val="00812A0E"/>
    <w:rsid w:val="008137B7"/>
    <w:rsid w:val="00817223"/>
    <w:rsid w:val="00817634"/>
    <w:rsid w:val="00820221"/>
    <w:rsid w:val="008203F1"/>
    <w:rsid w:val="00820633"/>
    <w:rsid w:val="008229D2"/>
    <w:rsid w:val="0082444F"/>
    <w:rsid w:val="00824DE2"/>
    <w:rsid w:val="0082531A"/>
    <w:rsid w:val="00825A0A"/>
    <w:rsid w:val="00826E02"/>
    <w:rsid w:val="00832227"/>
    <w:rsid w:val="00833409"/>
    <w:rsid w:val="0083380F"/>
    <w:rsid w:val="0083435B"/>
    <w:rsid w:val="00835649"/>
    <w:rsid w:val="00836FB4"/>
    <w:rsid w:val="00837716"/>
    <w:rsid w:val="008401DD"/>
    <w:rsid w:val="008427CC"/>
    <w:rsid w:val="0084387F"/>
    <w:rsid w:val="00844548"/>
    <w:rsid w:val="00846525"/>
    <w:rsid w:val="008476C7"/>
    <w:rsid w:val="00850E95"/>
    <w:rsid w:val="008519E0"/>
    <w:rsid w:val="008525E7"/>
    <w:rsid w:val="00852632"/>
    <w:rsid w:val="0085272F"/>
    <w:rsid w:val="00853023"/>
    <w:rsid w:val="0085362D"/>
    <w:rsid w:val="00854699"/>
    <w:rsid w:val="00857FD0"/>
    <w:rsid w:val="00860B1C"/>
    <w:rsid w:val="00862E1B"/>
    <w:rsid w:val="00865D0A"/>
    <w:rsid w:val="00866688"/>
    <w:rsid w:val="00867EC6"/>
    <w:rsid w:val="00870986"/>
    <w:rsid w:val="00870B75"/>
    <w:rsid w:val="00871C6F"/>
    <w:rsid w:val="00872C9A"/>
    <w:rsid w:val="00872E08"/>
    <w:rsid w:val="00873531"/>
    <w:rsid w:val="00875C03"/>
    <w:rsid w:val="00875DC1"/>
    <w:rsid w:val="00875F66"/>
    <w:rsid w:val="008761AE"/>
    <w:rsid w:val="00876DAB"/>
    <w:rsid w:val="008775E0"/>
    <w:rsid w:val="00880386"/>
    <w:rsid w:val="00881C88"/>
    <w:rsid w:val="008824C6"/>
    <w:rsid w:val="0088260D"/>
    <w:rsid w:val="00882F7C"/>
    <w:rsid w:val="00883D44"/>
    <w:rsid w:val="00884062"/>
    <w:rsid w:val="00884586"/>
    <w:rsid w:val="00887E45"/>
    <w:rsid w:val="0089052F"/>
    <w:rsid w:val="00891083"/>
    <w:rsid w:val="0089176A"/>
    <w:rsid w:val="008919FE"/>
    <w:rsid w:val="00891F4E"/>
    <w:rsid w:val="0089327E"/>
    <w:rsid w:val="00893F1C"/>
    <w:rsid w:val="00897820"/>
    <w:rsid w:val="008A0C0A"/>
    <w:rsid w:val="008A0D34"/>
    <w:rsid w:val="008A25E2"/>
    <w:rsid w:val="008A2988"/>
    <w:rsid w:val="008A3629"/>
    <w:rsid w:val="008A3FF9"/>
    <w:rsid w:val="008A5733"/>
    <w:rsid w:val="008A7100"/>
    <w:rsid w:val="008B02DC"/>
    <w:rsid w:val="008B073A"/>
    <w:rsid w:val="008B11F2"/>
    <w:rsid w:val="008B13F3"/>
    <w:rsid w:val="008B14A4"/>
    <w:rsid w:val="008B2585"/>
    <w:rsid w:val="008B37B3"/>
    <w:rsid w:val="008B3995"/>
    <w:rsid w:val="008B520C"/>
    <w:rsid w:val="008B66BD"/>
    <w:rsid w:val="008B70F1"/>
    <w:rsid w:val="008C0A0D"/>
    <w:rsid w:val="008C1221"/>
    <w:rsid w:val="008C3699"/>
    <w:rsid w:val="008C55EB"/>
    <w:rsid w:val="008C562D"/>
    <w:rsid w:val="008C58A4"/>
    <w:rsid w:val="008C6DF7"/>
    <w:rsid w:val="008C7FB0"/>
    <w:rsid w:val="008D05EA"/>
    <w:rsid w:val="008D08D2"/>
    <w:rsid w:val="008D22D6"/>
    <w:rsid w:val="008D2C22"/>
    <w:rsid w:val="008D3875"/>
    <w:rsid w:val="008D3F36"/>
    <w:rsid w:val="008D407B"/>
    <w:rsid w:val="008D418B"/>
    <w:rsid w:val="008D56E9"/>
    <w:rsid w:val="008D5726"/>
    <w:rsid w:val="008D5E85"/>
    <w:rsid w:val="008D652A"/>
    <w:rsid w:val="008E056E"/>
    <w:rsid w:val="008E0EC4"/>
    <w:rsid w:val="008E4854"/>
    <w:rsid w:val="008E48A7"/>
    <w:rsid w:val="008E4BEF"/>
    <w:rsid w:val="008E53D7"/>
    <w:rsid w:val="008F028B"/>
    <w:rsid w:val="008F168A"/>
    <w:rsid w:val="008F1A57"/>
    <w:rsid w:val="008F2455"/>
    <w:rsid w:val="008F28DC"/>
    <w:rsid w:val="008F3CB2"/>
    <w:rsid w:val="008F3D5A"/>
    <w:rsid w:val="008F4501"/>
    <w:rsid w:val="008F45E2"/>
    <w:rsid w:val="008F5BB7"/>
    <w:rsid w:val="008F7A3F"/>
    <w:rsid w:val="009003FB"/>
    <w:rsid w:val="0090254A"/>
    <w:rsid w:val="00902D95"/>
    <w:rsid w:val="00905E36"/>
    <w:rsid w:val="009069A7"/>
    <w:rsid w:val="00907441"/>
    <w:rsid w:val="00907ED0"/>
    <w:rsid w:val="0091140A"/>
    <w:rsid w:val="00913C8D"/>
    <w:rsid w:val="009144D9"/>
    <w:rsid w:val="0091648A"/>
    <w:rsid w:val="00916C67"/>
    <w:rsid w:val="00917E69"/>
    <w:rsid w:val="00921D9F"/>
    <w:rsid w:val="00922AF4"/>
    <w:rsid w:val="0092324C"/>
    <w:rsid w:val="00923604"/>
    <w:rsid w:val="00923D1E"/>
    <w:rsid w:val="00924435"/>
    <w:rsid w:val="00925D31"/>
    <w:rsid w:val="00927264"/>
    <w:rsid w:val="00931925"/>
    <w:rsid w:val="00931C83"/>
    <w:rsid w:val="00935ECA"/>
    <w:rsid w:val="00937455"/>
    <w:rsid w:val="00937A9E"/>
    <w:rsid w:val="00941089"/>
    <w:rsid w:val="00942945"/>
    <w:rsid w:val="009453BE"/>
    <w:rsid w:val="00946355"/>
    <w:rsid w:val="00946D1A"/>
    <w:rsid w:val="00952146"/>
    <w:rsid w:val="0095269F"/>
    <w:rsid w:val="00954D53"/>
    <w:rsid w:val="00955550"/>
    <w:rsid w:val="00955629"/>
    <w:rsid w:val="00955E7A"/>
    <w:rsid w:val="00956BFA"/>
    <w:rsid w:val="00960715"/>
    <w:rsid w:val="00961DDD"/>
    <w:rsid w:val="00965CA3"/>
    <w:rsid w:val="009661BE"/>
    <w:rsid w:val="00970490"/>
    <w:rsid w:val="00970B9E"/>
    <w:rsid w:val="0097132E"/>
    <w:rsid w:val="009715F4"/>
    <w:rsid w:val="0097201D"/>
    <w:rsid w:val="0097477E"/>
    <w:rsid w:val="00975566"/>
    <w:rsid w:val="009758FC"/>
    <w:rsid w:val="00976C6F"/>
    <w:rsid w:val="00977231"/>
    <w:rsid w:val="009779DF"/>
    <w:rsid w:val="009807DB"/>
    <w:rsid w:val="00980B34"/>
    <w:rsid w:val="00981D0A"/>
    <w:rsid w:val="00982F66"/>
    <w:rsid w:val="009851DB"/>
    <w:rsid w:val="00985CE5"/>
    <w:rsid w:val="00985E7A"/>
    <w:rsid w:val="00987DDB"/>
    <w:rsid w:val="00990EC5"/>
    <w:rsid w:val="00990FA2"/>
    <w:rsid w:val="0099114F"/>
    <w:rsid w:val="0099140A"/>
    <w:rsid w:val="009916F1"/>
    <w:rsid w:val="009923CB"/>
    <w:rsid w:val="00992AC8"/>
    <w:rsid w:val="009930D6"/>
    <w:rsid w:val="00995F6E"/>
    <w:rsid w:val="00997575"/>
    <w:rsid w:val="009A143D"/>
    <w:rsid w:val="009A2FE0"/>
    <w:rsid w:val="009A3061"/>
    <w:rsid w:val="009A491E"/>
    <w:rsid w:val="009A5653"/>
    <w:rsid w:val="009A5B9F"/>
    <w:rsid w:val="009A74F4"/>
    <w:rsid w:val="009B1846"/>
    <w:rsid w:val="009B18F6"/>
    <w:rsid w:val="009B1B5D"/>
    <w:rsid w:val="009B1CEB"/>
    <w:rsid w:val="009B2265"/>
    <w:rsid w:val="009B527A"/>
    <w:rsid w:val="009B69B7"/>
    <w:rsid w:val="009B6D16"/>
    <w:rsid w:val="009B6FAE"/>
    <w:rsid w:val="009C0C04"/>
    <w:rsid w:val="009C0D9E"/>
    <w:rsid w:val="009C1A75"/>
    <w:rsid w:val="009C2FAF"/>
    <w:rsid w:val="009C3126"/>
    <w:rsid w:val="009C3474"/>
    <w:rsid w:val="009C3F90"/>
    <w:rsid w:val="009C4A26"/>
    <w:rsid w:val="009C5524"/>
    <w:rsid w:val="009C6AC3"/>
    <w:rsid w:val="009C766B"/>
    <w:rsid w:val="009D105A"/>
    <w:rsid w:val="009D10F2"/>
    <w:rsid w:val="009D19CF"/>
    <w:rsid w:val="009D1A92"/>
    <w:rsid w:val="009D2CF6"/>
    <w:rsid w:val="009D5143"/>
    <w:rsid w:val="009D5DA2"/>
    <w:rsid w:val="009D7B0A"/>
    <w:rsid w:val="009D7C5F"/>
    <w:rsid w:val="009E0795"/>
    <w:rsid w:val="009E12CF"/>
    <w:rsid w:val="009E1578"/>
    <w:rsid w:val="009E1AF8"/>
    <w:rsid w:val="009E1FE2"/>
    <w:rsid w:val="009E21E8"/>
    <w:rsid w:val="009E24E1"/>
    <w:rsid w:val="009E2565"/>
    <w:rsid w:val="009E2A69"/>
    <w:rsid w:val="009E7328"/>
    <w:rsid w:val="009E7CEA"/>
    <w:rsid w:val="009F01A3"/>
    <w:rsid w:val="009F3C2E"/>
    <w:rsid w:val="009F4E48"/>
    <w:rsid w:val="009F5A96"/>
    <w:rsid w:val="009F7F53"/>
    <w:rsid w:val="00A01376"/>
    <w:rsid w:val="00A0160F"/>
    <w:rsid w:val="00A06AC1"/>
    <w:rsid w:val="00A101A3"/>
    <w:rsid w:val="00A10BAE"/>
    <w:rsid w:val="00A10E9C"/>
    <w:rsid w:val="00A12926"/>
    <w:rsid w:val="00A13D78"/>
    <w:rsid w:val="00A152DE"/>
    <w:rsid w:val="00A152EC"/>
    <w:rsid w:val="00A17450"/>
    <w:rsid w:val="00A17899"/>
    <w:rsid w:val="00A20BBE"/>
    <w:rsid w:val="00A2222B"/>
    <w:rsid w:val="00A22D40"/>
    <w:rsid w:val="00A22E6F"/>
    <w:rsid w:val="00A24762"/>
    <w:rsid w:val="00A2608A"/>
    <w:rsid w:val="00A26874"/>
    <w:rsid w:val="00A26D0A"/>
    <w:rsid w:val="00A26DF0"/>
    <w:rsid w:val="00A27DAB"/>
    <w:rsid w:val="00A3090F"/>
    <w:rsid w:val="00A318FC"/>
    <w:rsid w:val="00A337FF"/>
    <w:rsid w:val="00A34693"/>
    <w:rsid w:val="00A35C32"/>
    <w:rsid w:val="00A37C04"/>
    <w:rsid w:val="00A429BC"/>
    <w:rsid w:val="00A42FA3"/>
    <w:rsid w:val="00A4380C"/>
    <w:rsid w:val="00A43A53"/>
    <w:rsid w:val="00A44959"/>
    <w:rsid w:val="00A459C6"/>
    <w:rsid w:val="00A4690A"/>
    <w:rsid w:val="00A4709E"/>
    <w:rsid w:val="00A470D9"/>
    <w:rsid w:val="00A47776"/>
    <w:rsid w:val="00A4785B"/>
    <w:rsid w:val="00A47973"/>
    <w:rsid w:val="00A5088C"/>
    <w:rsid w:val="00A526B4"/>
    <w:rsid w:val="00A53212"/>
    <w:rsid w:val="00A542D8"/>
    <w:rsid w:val="00A54FBF"/>
    <w:rsid w:val="00A57138"/>
    <w:rsid w:val="00A626E4"/>
    <w:rsid w:val="00A62A61"/>
    <w:rsid w:val="00A66A28"/>
    <w:rsid w:val="00A6789E"/>
    <w:rsid w:val="00A70110"/>
    <w:rsid w:val="00A70D07"/>
    <w:rsid w:val="00A71819"/>
    <w:rsid w:val="00A72588"/>
    <w:rsid w:val="00A72E12"/>
    <w:rsid w:val="00A73876"/>
    <w:rsid w:val="00A739AF"/>
    <w:rsid w:val="00A76F82"/>
    <w:rsid w:val="00A77A6A"/>
    <w:rsid w:val="00A8036D"/>
    <w:rsid w:val="00A81821"/>
    <w:rsid w:val="00A82812"/>
    <w:rsid w:val="00A8349B"/>
    <w:rsid w:val="00A84CD0"/>
    <w:rsid w:val="00A868E2"/>
    <w:rsid w:val="00A905DE"/>
    <w:rsid w:val="00A92757"/>
    <w:rsid w:val="00A92E3E"/>
    <w:rsid w:val="00A95DF8"/>
    <w:rsid w:val="00AA4779"/>
    <w:rsid w:val="00AA4A73"/>
    <w:rsid w:val="00AA4AAA"/>
    <w:rsid w:val="00AA4C78"/>
    <w:rsid w:val="00AA5F9D"/>
    <w:rsid w:val="00AA716F"/>
    <w:rsid w:val="00AB0D53"/>
    <w:rsid w:val="00AB176B"/>
    <w:rsid w:val="00AB2A95"/>
    <w:rsid w:val="00AB2BB1"/>
    <w:rsid w:val="00AB4117"/>
    <w:rsid w:val="00AB4C36"/>
    <w:rsid w:val="00AB54D2"/>
    <w:rsid w:val="00AB65ED"/>
    <w:rsid w:val="00AB774D"/>
    <w:rsid w:val="00AB78C3"/>
    <w:rsid w:val="00AC075D"/>
    <w:rsid w:val="00AC150D"/>
    <w:rsid w:val="00AC2BE9"/>
    <w:rsid w:val="00AC3145"/>
    <w:rsid w:val="00AC356B"/>
    <w:rsid w:val="00AC52FF"/>
    <w:rsid w:val="00AC57CB"/>
    <w:rsid w:val="00AC6150"/>
    <w:rsid w:val="00AC6ED8"/>
    <w:rsid w:val="00AD124A"/>
    <w:rsid w:val="00AD23FD"/>
    <w:rsid w:val="00AD2678"/>
    <w:rsid w:val="00AD2910"/>
    <w:rsid w:val="00AD294D"/>
    <w:rsid w:val="00AD2A79"/>
    <w:rsid w:val="00AD2C73"/>
    <w:rsid w:val="00AD319D"/>
    <w:rsid w:val="00AD322C"/>
    <w:rsid w:val="00AD36AC"/>
    <w:rsid w:val="00AD6001"/>
    <w:rsid w:val="00AD618F"/>
    <w:rsid w:val="00AD7943"/>
    <w:rsid w:val="00AD7B07"/>
    <w:rsid w:val="00AE0545"/>
    <w:rsid w:val="00AE2664"/>
    <w:rsid w:val="00AE2E29"/>
    <w:rsid w:val="00AE368D"/>
    <w:rsid w:val="00AE45D4"/>
    <w:rsid w:val="00AE784D"/>
    <w:rsid w:val="00AF07C2"/>
    <w:rsid w:val="00AF131A"/>
    <w:rsid w:val="00AF2EA4"/>
    <w:rsid w:val="00AF301F"/>
    <w:rsid w:val="00AF317B"/>
    <w:rsid w:val="00AF475F"/>
    <w:rsid w:val="00AF4A53"/>
    <w:rsid w:val="00AF4CD6"/>
    <w:rsid w:val="00AF6509"/>
    <w:rsid w:val="00AF75F7"/>
    <w:rsid w:val="00AF7766"/>
    <w:rsid w:val="00B00979"/>
    <w:rsid w:val="00B0205A"/>
    <w:rsid w:val="00B0290E"/>
    <w:rsid w:val="00B076A3"/>
    <w:rsid w:val="00B1144D"/>
    <w:rsid w:val="00B12BF9"/>
    <w:rsid w:val="00B13865"/>
    <w:rsid w:val="00B13BB9"/>
    <w:rsid w:val="00B15740"/>
    <w:rsid w:val="00B15D82"/>
    <w:rsid w:val="00B1705F"/>
    <w:rsid w:val="00B176B4"/>
    <w:rsid w:val="00B21302"/>
    <w:rsid w:val="00B21D4E"/>
    <w:rsid w:val="00B23705"/>
    <w:rsid w:val="00B24D00"/>
    <w:rsid w:val="00B254D2"/>
    <w:rsid w:val="00B25541"/>
    <w:rsid w:val="00B27EC9"/>
    <w:rsid w:val="00B33A1F"/>
    <w:rsid w:val="00B33CE2"/>
    <w:rsid w:val="00B34781"/>
    <w:rsid w:val="00B4118E"/>
    <w:rsid w:val="00B42A21"/>
    <w:rsid w:val="00B431D9"/>
    <w:rsid w:val="00B43D10"/>
    <w:rsid w:val="00B44DF7"/>
    <w:rsid w:val="00B451CF"/>
    <w:rsid w:val="00B46DD5"/>
    <w:rsid w:val="00B47055"/>
    <w:rsid w:val="00B4715A"/>
    <w:rsid w:val="00B50B6B"/>
    <w:rsid w:val="00B50F8B"/>
    <w:rsid w:val="00B51C9D"/>
    <w:rsid w:val="00B55B17"/>
    <w:rsid w:val="00B61082"/>
    <w:rsid w:val="00B61A43"/>
    <w:rsid w:val="00B62A95"/>
    <w:rsid w:val="00B631BF"/>
    <w:rsid w:val="00B64A1D"/>
    <w:rsid w:val="00B64BE5"/>
    <w:rsid w:val="00B65016"/>
    <w:rsid w:val="00B65580"/>
    <w:rsid w:val="00B65D46"/>
    <w:rsid w:val="00B662F1"/>
    <w:rsid w:val="00B666B5"/>
    <w:rsid w:val="00B677D0"/>
    <w:rsid w:val="00B70814"/>
    <w:rsid w:val="00B71E3F"/>
    <w:rsid w:val="00B728B3"/>
    <w:rsid w:val="00B74F04"/>
    <w:rsid w:val="00B75D4A"/>
    <w:rsid w:val="00B76A5B"/>
    <w:rsid w:val="00B76BC7"/>
    <w:rsid w:val="00B776C1"/>
    <w:rsid w:val="00B810D1"/>
    <w:rsid w:val="00B830FC"/>
    <w:rsid w:val="00B8406F"/>
    <w:rsid w:val="00B84A66"/>
    <w:rsid w:val="00B87A6C"/>
    <w:rsid w:val="00B9123F"/>
    <w:rsid w:val="00B93D2A"/>
    <w:rsid w:val="00B93D71"/>
    <w:rsid w:val="00B93F58"/>
    <w:rsid w:val="00B9407F"/>
    <w:rsid w:val="00B9416D"/>
    <w:rsid w:val="00B95183"/>
    <w:rsid w:val="00B97674"/>
    <w:rsid w:val="00BA0360"/>
    <w:rsid w:val="00BA1C9E"/>
    <w:rsid w:val="00BA2C16"/>
    <w:rsid w:val="00BA72A7"/>
    <w:rsid w:val="00BB152E"/>
    <w:rsid w:val="00BB3200"/>
    <w:rsid w:val="00BB39EC"/>
    <w:rsid w:val="00BB692C"/>
    <w:rsid w:val="00BB73DA"/>
    <w:rsid w:val="00BB754D"/>
    <w:rsid w:val="00BC10D8"/>
    <w:rsid w:val="00BC2250"/>
    <w:rsid w:val="00BC3E91"/>
    <w:rsid w:val="00BC3EFF"/>
    <w:rsid w:val="00BC4D22"/>
    <w:rsid w:val="00BC5C2B"/>
    <w:rsid w:val="00BD1AC3"/>
    <w:rsid w:val="00BD37A8"/>
    <w:rsid w:val="00BD5140"/>
    <w:rsid w:val="00BD65F6"/>
    <w:rsid w:val="00BD73DF"/>
    <w:rsid w:val="00BE0D0C"/>
    <w:rsid w:val="00BE17F5"/>
    <w:rsid w:val="00BE26C0"/>
    <w:rsid w:val="00BE327D"/>
    <w:rsid w:val="00BE34FE"/>
    <w:rsid w:val="00BE386C"/>
    <w:rsid w:val="00BE704D"/>
    <w:rsid w:val="00BE735B"/>
    <w:rsid w:val="00BF0A8F"/>
    <w:rsid w:val="00BF2F22"/>
    <w:rsid w:val="00BF5732"/>
    <w:rsid w:val="00BF575C"/>
    <w:rsid w:val="00BF6988"/>
    <w:rsid w:val="00BF6A40"/>
    <w:rsid w:val="00C00557"/>
    <w:rsid w:val="00C01FC0"/>
    <w:rsid w:val="00C0294A"/>
    <w:rsid w:val="00C03B78"/>
    <w:rsid w:val="00C0569A"/>
    <w:rsid w:val="00C06D21"/>
    <w:rsid w:val="00C075E0"/>
    <w:rsid w:val="00C07C59"/>
    <w:rsid w:val="00C100B1"/>
    <w:rsid w:val="00C106E2"/>
    <w:rsid w:val="00C10752"/>
    <w:rsid w:val="00C108A2"/>
    <w:rsid w:val="00C108CF"/>
    <w:rsid w:val="00C122C0"/>
    <w:rsid w:val="00C1232F"/>
    <w:rsid w:val="00C12854"/>
    <w:rsid w:val="00C1289D"/>
    <w:rsid w:val="00C12C1D"/>
    <w:rsid w:val="00C1396D"/>
    <w:rsid w:val="00C16A47"/>
    <w:rsid w:val="00C17793"/>
    <w:rsid w:val="00C17F91"/>
    <w:rsid w:val="00C20934"/>
    <w:rsid w:val="00C22A8C"/>
    <w:rsid w:val="00C241D7"/>
    <w:rsid w:val="00C263D8"/>
    <w:rsid w:val="00C304AE"/>
    <w:rsid w:val="00C31B6B"/>
    <w:rsid w:val="00C32235"/>
    <w:rsid w:val="00C33994"/>
    <w:rsid w:val="00C34BAA"/>
    <w:rsid w:val="00C3596C"/>
    <w:rsid w:val="00C37148"/>
    <w:rsid w:val="00C378AD"/>
    <w:rsid w:val="00C37920"/>
    <w:rsid w:val="00C40F45"/>
    <w:rsid w:val="00C419C7"/>
    <w:rsid w:val="00C41E49"/>
    <w:rsid w:val="00C43D02"/>
    <w:rsid w:val="00C43ED7"/>
    <w:rsid w:val="00C4439C"/>
    <w:rsid w:val="00C45AFA"/>
    <w:rsid w:val="00C46796"/>
    <w:rsid w:val="00C47DCC"/>
    <w:rsid w:val="00C5326F"/>
    <w:rsid w:val="00C552AD"/>
    <w:rsid w:val="00C55818"/>
    <w:rsid w:val="00C5587E"/>
    <w:rsid w:val="00C566A9"/>
    <w:rsid w:val="00C56F9E"/>
    <w:rsid w:val="00C578A0"/>
    <w:rsid w:val="00C60F8C"/>
    <w:rsid w:val="00C61452"/>
    <w:rsid w:val="00C61E24"/>
    <w:rsid w:val="00C646DE"/>
    <w:rsid w:val="00C64C8C"/>
    <w:rsid w:val="00C64CCB"/>
    <w:rsid w:val="00C6661C"/>
    <w:rsid w:val="00C70524"/>
    <w:rsid w:val="00C71999"/>
    <w:rsid w:val="00C7224D"/>
    <w:rsid w:val="00C733AB"/>
    <w:rsid w:val="00C77627"/>
    <w:rsid w:val="00C81A9C"/>
    <w:rsid w:val="00C8336C"/>
    <w:rsid w:val="00C8370B"/>
    <w:rsid w:val="00C83CEF"/>
    <w:rsid w:val="00C843A7"/>
    <w:rsid w:val="00C849D1"/>
    <w:rsid w:val="00C84E1D"/>
    <w:rsid w:val="00C8531A"/>
    <w:rsid w:val="00C873B5"/>
    <w:rsid w:val="00C90DCA"/>
    <w:rsid w:val="00C90DD2"/>
    <w:rsid w:val="00C9119A"/>
    <w:rsid w:val="00C91EDC"/>
    <w:rsid w:val="00C938FE"/>
    <w:rsid w:val="00C9531B"/>
    <w:rsid w:val="00C95C62"/>
    <w:rsid w:val="00C960ED"/>
    <w:rsid w:val="00CA08AE"/>
    <w:rsid w:val="00CA0E8F"/>
    <w:rsid w:val="00CA18AC"/>
    <w:rsid w:val="00CA24E2"/>
    <w:rsid w:val="00CA256A"/>
    <w:rsid w:val="00CA2D9D"/>
    <w:rsid w:val="00CA43CC"/>
    <w:rsid w:val="00CA45FA"/>
    <w:rsid w:val="00CA4FEC"/>
    <w:rsid w:val="00CA50B5"/>
    <w:rsid w:val="00CA5F41"/>
    <w:rsid w:val="00CA6F61"/>
    <w:rsid w:val="00CA7F46"/>
    <w:rsid w:val="00CB07DE"/>
    <w:rsid w:val="00CB2B8E"/>
    <w:rsid w:val="00CB3F61"/>
    <w:rsid w:val="00CB522A"/>
    <w:rsid w:val="00CC7822"/>
    <w:rsid w:val="00CD25E6"/>
    <w:rsid w:val="00CD4199"/>
    <w:rsid w:val="00CD4DC2"/>
    <w:rsid w:val="00CD539B"/>
    <w:rsid w:val="00CD5427"/>
    <w:rsid w:val="00CD701C"/>
    <w:rsid w:val="00CE33FA"/>
    <w:rsid w:val="00CE56A5"/>
    <w:rsid w:val="00CE6CEE"/>
    <w:rsid w:val="00CE709B"/>
    <w:rsid w:val="00CF107B"/>
    <w:rsid w:val="00CF1C55"/>
    <w:rsid w:val="00CF4CCC"/>
    <w:rsid w:val="00CF4D26"/>
    <w:rsid w:val="00CF4F8B"/>
    <w:rsid w:val="00CF5463"/>
    <w:rsid w:val="00CF6BA5"/>
    <w:rsid w:val="00CF6C80"/>
    <w:rsid w:val="00D01CAF"/>
    <w:rsid w:val="00D021EB"/>
    <w:rsid w:val="00D0240C"/>
    <w:rsid w:val="00D02C92"/>
    <w:rsid w:val="00D030EE"/>
    <w:rsid w:val="00D03570"/>
    <w:rsid w:val="00D0798A"/>
    <w:rsid w:val="00D104EF"/>
    <w:rsid w:val="00D11B4D"/>
    <w:rsid w:val="00D13AA2"/>
    <w:rsid w:val="00D143E4"/>
    <w:rsid w:val="00D161FB"/>
    <w:rsid w:val="00D16748"/>
    <w:rsid w:val="00D1724D"/>
    <w:rsid w:val="00D17323"/>
    <w:rsid w:val="00D177F1"/>
    <w:rsid w:val="00D20C2B"/>
    <w:rsid w:val="00D20E69"/>
    <w:rsid w:val="00D2153F"/>
    <w:rsid w:val="00D22983"/>
    <w:rsid w:val="00D23567"/>
    <w:rsid w:val="00D26783"/>
    <w:rsid w:val="00D26B45"/>
    <w:rsid w:val="00D30AF0"/>
    <w:rsid w:val="00D31215"/>
    <w:rsid w:val="00D31CF3"/>
    <w:rsid w:val="00D31F94"/>
    <w:rsid w:val="00D33258"/>
    <w:rsid w:val="00D36472"/>
    <w:rsid w:val="00D37311"/>
    <w:rsid w:val="00D373BB"/>
    <w:rsid w:val="00D402D2"/>
    <w:rsid w:val="00D4036F"/>
    <w:rsid w:val="00D419A1"/>
    <w:rsid w:val="00D41CFA"/>
    <w:rsid w:val="00D4365F"/>
    <w:rsid w:val="00D44CC8"/>
    <w:rsid w:val="00D455D1"/>
    <w:rsid w:val="00D459AB"/>
    <w:rsid w:val="00D46B20"/>
    <w:rsid w:val="00D47006"/>
    <w:rsid w:val="00D4726B"/>
    <w:rsid w:val="00D476D6"/>
    <w:rsid w:val="00D50260"/>
    <w:rsid w:val="00D50A67"/>
    <w:rsid w:val="00D50C1E"/>
    <w:rsid w:val="00D60311"/>
    <w:rsid w:val="00D61E11"/>
    <w:rsid w:val="00D64577"/>
    <w:rsid w:val="00D65F43"/>
    <w:rsid w:val="00D671F9"/>
    <w:rsid w:val="00D67B6D"/>
    <w:rsid w:val="00D70D86"/>
    <w:rsid w:val="00D7100A"/>
    <w:rsid w:val="00D71013"/>
    <w:rsid w:val="00D729FC"/>
    <w:rsid w:val="00D72E6E"/>
    <w:rsid w:val="00D7467E"/>
    <w:rsid w:val="00D74CDB"/>
    <w:rsid w:val="00D7535C"/>
    <w:rsid w:val="00D8223D"/>
    <w:rsid w:val="00D83BA3"/>
    <w:rsid w:val="00D8411C"/>
    <w:rsid w:val="00D84CC1"/>
    <w:rsid w:val="00D84CD5"/>
    <w:rsid w:val="00D869CC"/>
    <w:rsid w:val="00D8770A"/>
    <w:rsid w:val="00D87FAB"/>
    <w:rsid w:val="00D9097C"/>
    <w:rsid w:val="00D90A8A"/>
    <w:rsid w:val="00D9331A"/>
    <w:rsid w:val="00D95DCE"/>
    <w:rsid w:val="00D9657B"/>
    <w:rsid w:val="00D96D67"/>
    <w:rsid w:val="00D97779"/>
    <w:rsid w:val="00DA09AC"/>
    <w:rsid w:val="00DA0DC5"/>
    <w:rsid w:val="00DA12F5"/>
    <w:rsid w:val="00DA15FE"/>
    <w:rsid w:val="00DA2AAC"/>
    <w:rsid w:val="00DA4013"/>
    <w:rsid w:val="00DA5347"/>
    <w:rsid w:val="00DA6413"/>
    <w:rsid w:val="00DA6562"/>
    <w:rsid w:val="00DA6CBC"/>
    <w:rsid w:val="00DA75C4"/>
    <w:rsid w:val="00DB130A"/>
    <w:rsid w:val="00DB2731"/>
    <w:rsid w:val="00DB4E70"/>
    <w:rsid w:val="00DB5215"/>
    <w:rsid w:val="00DB58B2"/>
    <w:rsid w:val="00DB66F2"/>
    <w:rsid w:val="00DC075D"/>
    <w:rsid w:val="00DC1AA9"/>
    <w:rsid w:val="00DC224B"/>
    <w:rsid w:val="00DC264D"/>
    <w:rsid w:val="00DC7E00"/>
    <w:rsid w:val="00DD103E"/>
    <w:rsid w:val="00DD1EA5"/>
    <w:rsid w:val="00DD298A"/>
    <w:rsid w:val="00DD2D93"/>
    <w:rsid w:val="00DD33BB"/>
    <w:rsid w:val="00DD4DDF"/>
    <w:rsid w:val="00DE2C75"/>
    <w:rsid w:val="00DE3047"/>
    <w:rsid w:val="00DE3B56"/>
    <w:rsid w:val="00DE5FFC"/>
    <w:rsid w:val="00DE6AE5"/>
    <w:rsid w:val="00DE72CA"/>
    <w:rsid w:val="00DF3867"/>
    <w:rsid w:val="00DF3A1F"/>
    <w:rsid w:val="00DF7EDD"/>
    <w:rsid w:val="00E0000F"/>
    <w:rsid w:val="00E01915"/>
    <w:rsid w:val="00E02BF0"/>
    <w:rsid w:val="00E02EFC"/>
    <w:rsid w:val="00E03B9C"/>
    <w:rsid w:val="00E071CB"/>
    <w:rsid w:val="00E07242"/>
    <w:rsid w:val="00E07C04"/>
    <w:rsid w:val="00E10825"/>
    <w:rsid w:val="00E11488"/>
    <w:rsid w:val="00E1190F"/>
    <w:rsid w:val="00E11B98"/>
    <w:rsid w:val="00E120AD"/>
    <w:rsid w:val="00E1532E"/>
    <w:rsid w:val="00E15519"/>
    <w:rsid w:val="00E15621"/>
    <w:rsid w:val="00E20875"/>
    <w:rsid w:val="00E21165"/>
    <w:rsid w:val="00E213C0"/>
    <w:rsid w:val="00E2177F"/>
    <w:rsid w:val="00E21CB6"/>
    <w:rsid w:val="00E23197"/>
    <w:rsid w:val="00E24C55"/>
    <w:rsid w:val="00E251E1"/>
    <w:rsid w:val="00E25962"/>
    <w:rsid w:val="00E25BCD"/>
    <w:rsid w:val="00E267B3"/>
    <w:rsid w:val="00E26EAF"/>
    <w:rsid w:val="00E27CAB"/>
    <w:rsid w:val="00E30802"/>
    <w:rsid w:val="00E30EE4"/>
    <w:rsid w:val="00E31BA9"/>
    <w:rsid w:val="00E334FE"/>
    <w:rsid w:val="00E33CF5"/>
    <w:rsid w:val="00E34609"/>
    <w:rsid w:val="00E3682C"/>
    <w:rsid w:val="00E36BA8"/>
    <w:rsid w:val="00E40CE2"/>
    <w:rsid w:val="00E41009"/>
    <w:rsid w:val="00E41A33"/>
    <w:rsid w:val="00E4331E"/>
    <w:rsid w:val="00E43892"/>
    <w:rsid w:val="00E47B0D"/>
    <w:rsid w:val="00E47D31"/>
    <w:rsid w:val="00E500B9"/>
    <w:rsid w:val="00E51203"/>
    <w:rsid w:val="00E53013"/>
    <w:rsid w:val="00E53EB2"/>
    <w:rsid w:val="00E54365"/>
    <w:rsid w:val="00E547D2"/>
    <w:rsid w:val="00E552E6"/>
    <w:rsid w:val="00E55D86"/>
    <w:rsid w:val="00E56DC0"/>
    <w:rsid w:val="00E56E4E"/>
    <w:rsid w:val="00E60105"/>
    <w:rsid w:val="00E6122C"/>
    <w:rsid w:val="00E62136"/>
    <w:rsid w:val="00E63932"/>
    <w:rsid w:val="00E656A3"/>
    <w:rsid w:val="00E656A4"/>
    <w:rsid w:val="00E670DD"/>
    <w:rsid w:val="00E704B6"/>
    <w:rsid w:val="00E70879"/>
    <w:rsid w:val="00E72344"/>
    <w:rsid w:val="00E733DB"/>
    <w:rsid w:val="00E756B6"/>
    <w:rsid w:val="00E75E54"/>
    <w:rsid w:val="00E7762C"/>
    <w:rsid w:val="00E80ADE"/>
    <w:rsid w:val="00E8133C"/>
    <w:rsid w:val="00E8163B"/>
    <w:rsid w:val="00E82595"/>
    <w:rsid w:val="00E83401"/>
    <w:rsid w:val="00E83946"/>
    <w:rsid w:val="00E847B6"/>
    <w:rsid w:val="00E85B56"/>
    <w:rsid w:val="00E87B92"/>
    <w:rsid w:val="00E904AD"/>
    <w:rsid w:val="00E90AD3"/>
    <w:rsid w:val="00E91F68"/>
    <w:rsid w:val="00E928AA"/>
    <w:rsid w:val="00E93A69"/>
    <w:rsid w:val="00E94B19"/>
    <w:rsid w:val="00E94DB1"/>
    <w:rsid w:val="00E95275"/>
    <w:rsid w:val="00E96771"/>
    <w:rsid w:val="00E96E6E"/>
    <w:rsid w:val="00EA1123"/>
    <w:rsid w:val="00EA2002"/>
    <w:rsid w:val="00EA2649"/>
    <w:rsid w:val="00EA3834"/>
    <w:rsid w:val="00EA52CD"/>
    <w:rsid w:val="00EA56CB"/>
    <w:rsid w:val="00EA6013"/>
    <w:rsid w:val="00EA6698"/>
    <w:rsid w:val="00EA6C1D"/>
    <w:rsid w:val="00EB1017"/>
    <w:rsid w:val="00EB1046"/>
    <w:rsid w:val="00EB18C2"/>
    <w:rsid w:val="00EB271D"/>
    <w:rsid w:val="00EB2813"/>
    <w:rsid w:val="00EB2C26"/>
    <w:rsid w:val="00EB3C38"/>
    <w:rsid w:val="00EB526C"/>
    <w:rsid w:val="00EB7495"/>
    <w:rsid w:val="00EB7629"/>
    <w:rsid w:val="00EC18BB"/>
    <w:rsid w:val="00EC1BEA"/>
    <w:rsid w:val="00EC2ED8"/>
    <w:rsid w:val="00ED16D0"/>
    <w:rsid w:val="00ED351E"/>
    <w:rsid w:val="00ED3A2C"/>
    <w:rsid w:val="00ED4528"/>
    <w:rsid w:val="00ED5686"/>
    <w:rsid w:val="00ED70F9"/>
    <w:rsid w:val="00ED72C7"/>
    <w:rsid w:val="00EE18C2"/>
    <w:rsid w:val="00EE1AC2"/>
    <w:rsid w:val="00EE306E"/>
    <w:rsid w:val="00EE4A91"/>
    <w:rsid w:val="00EE4CD6"/>
    <w:rsid w:val="00EE51B0"/>
    <w:rsid w:val="00EF2F3B"/>
    <w:rsid w:val="00EF3177"/>
    <w:rsid w:val="00EF52DB"/>
    <w:rsid w:val="00EF5E1D"/>
    <w:rsid w:val="00EF6725"/>
    <w:rsid w:val="00F018C7"/>
    <w:rsid w:val="00F020CF"/>
    <w:rsid w:val="00F053CC"/>
    <w:rsid w:val="00F06D8E"/>
    <w:rsid w:val="00F06FD2"/>
    <w:rsid w:val="00F1004A"/>
    <w:rsid w:val="00F1082F"/>
    <w:rsid w:val="00F11BDD"/>
    <w:rsid w:val="00F12463"/>
    <w:rsid w:val="00F12DDC"/>
    <w:rsid w:val="00F131CA"/>
    <w:rsid w:val="00F14478"/>
    <w:rsid w:val="00F15820"/>
    <w:rsid w:val="00F170BC"/>
    <w:rsid w:val="00F1754D"/>
    <w:rsid w:val="00F21B03"/>
    <w:rsid w:val="00F21F77"/>
    <w:rsid w:val="00F222DD"/>
    <w:rsid w:val="00F22F5D"/>
    <w:rsid w:val="00F23B62"/>
    <w:rsid w:val="00F2669C"/>
    <w:rsid w:val="00F26AF7"/>
    <w:rsid w:val="00F30C2A"/>
    <w:rsid w:val="00F31908"/>
    <w:rsid w:val="00F320F9"/>
    <w:rsid w:val="00F32A09"/>
    <w:rsid w:val="00F33D31"/>
    <w:rsid w:val="00F34498"/>
    <w:rsid w:val="00F35080"/>
    <w:rsid w:val="00F37248"/>
    <w:rsid w:val="00F37432"/>
    <w:rsid w:val="00F4063C"/>
    <w:rsid w:val="00F40A16"/>
    <w:rsid w:val="00F425A9"/>
    <w:rsid w:val="00F43254"/>
    <w:rsid w:val="00F47BD5"/>
    <w:rsid w:val="00F50C91"/>
    <w:rsid w:val="00F519F5"/>
    <w:rsid w:val="00F550F2"/>
    <w:rsid w:val="00F5593F"/>
    <w:rsid w:val="00F56AD5"/>
    <w:rsid w:val="00F57392"/>
    <w:rsid w:val="00F606FA"/>
    <w:rsid w:val="00F61027"/>
    <w:rsid w:val="00F620A2"/>
    <w:rsid w:val="00F62863"/>
    <w:rsid w:val="00F641FD"/>
    <w:rsid w:val="00F65CA8"/>
    <w:rsid w:val="00F663DE"/>
    <w:rsid w:val="00F6694B"/>
    <w:rsid w:val="00F67445"/>
    <w:rsid w:val="00F678B4"/>
    <w:rsid w:val="00F71865"/>
    <w:rsid w:val="00F71BA8"/>
    <w:rsid w:val="00F733BB"/>
    <w:rsid w:val="00F73DC3"/>
    <w:rsid w:val="00F75079"/>
    <w:rsid w:val="00F7526D"/>
    <w:rsid w:val="00F75E3E"/>
    <w:rsid w:val="00F7684E"/>
    <w:rsid w:val="00F76935"/>
    <w:rsid w:val="00F76996"/>
    <w:rsid w:val="00F76EFC"/>
    <w:rsid w:val="00F829D6"/>
    <w:rsid w:val="00F83231"/>
    <w:rsid w:val="00F839CA"/>
    <w:rsid w:val="00F83A98"/>
    <w:rsid w:val="00F84822"/>
    <w:rsid w:val="00F851EC"/>
    <w:rsid w:val="00F85C56"/>
    <w:rsid w:val="00F86453"/>
    <w:rsid w:val="00F86911"/>
    <w:rsid w:val="00F900E1"/>
    <w:rsid w:val="00F9100C"/>
    <w:rsid w:val="00F93218"/>
    <w:rsid w:val="00F94406"/>
    <w:rsid w:val="00F96B49"/>
    <w:rsid w:val="00F9721C"/>
    <w:rsid w:val="00FA10EB"/>
    <w:rsid w:val="00FA3233"/>
    <w:rsid w:val="00FA3A50"/>
    <w:rsid w:val="00FA73A1"/>
    <w:rsid w:val="00FA7671"/>
    <w:rsid w:val="00FA7EFE"/>
    <w:rsid w:val="00FB28A4"/>
    <w:rsid w:val="00FB3177"/>
    <w:rsid w:val="00FB47F1"/>
    <w:rsid w:val="00FC088A"/>
    <w:rsid w:val="00FC1801"/>
    <w:rsid w:val="00FC2431"/>
    <w:rsid w:val="00FC2867"/>
    <w:rsid w:val="00FC3234"/>
    <w:rsid w:val="00FC52AE"/>
    <w:rsid w:val="00FC6803"/>
    <w:rsid w:val="00FC68AB"/>
    <w:rsid w:val="00FC7957"/>
    <w:rsid w:val="00FD01B8"/>
    <w:rsid w:val="00FD3185"/>
    <w:rsid w:val="00FD3BF5"/>
    <w:rsid w:val="00FD403F"/>
    <w:rsid w:val="00FD4639"/>
    <w:rsid w:val="00FD4CFC"/>
    <w:rsid w:val="00FD66B6"/>
    <w:rsid w:val="00FD70E3"/>
    <w:rsid w:val="00FE0DEB"/>
    <w:rsid w:val="00FE2736"/>
    <w:rsid w:val="00FE2B70"/>
    <w:rsid w:val="00FE3030"/>
    <w:rsid w:val="00FE38AD"/>
    <w:rsid w:val="00FE44C0"/>
    <w:rsid w:val="00FE55C2"/>
    <w:rsid w:val="00FE6735"/>
    <w:rsid w:val="00FE7A4F"/>
    <w:rsid w:val="00FF0B2F"/>
    <w:rsid w:val="00FF1350"/>
    <w:rsid w:val="00FF1751"/>
    <w:rsid w:val="00FF1CC7"/>
    <w:rsid w:val="00FF1E7B"/>
    <w:rsid w:val="00FF2E41"/>
    <w:rsid w:val="00FF3592"/>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93FAE"/>
  <w15:docId w15:val="{2790EB21-F60E-4CCF-88D4-5F9AFC62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73"/>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C100B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zione3">
    <w:name w:val="Menzione3"/>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EC18BB"/>
    <w:rPr>
      <w:color w:val="808080"/>
      <w:shd w:val="clear" w:color="auto" w:fill="E6E6E6"/>
    </w:rPr>
  </w:style>
  <w:style w:type="character" w:customStyle="1" w:styleId="Menzionenonrisolta2">
    <w:name w:val="Menzione non risolta2"/>
    <w:basedOn w:val="DefaultParagraphFont"/>
    <w:uiPriority w:val="99"/>
    <w:semiHidden/>
    <w:unhideWhenUsed/>
    <w:rsid w:val="007C3B85"/>
    <w:rPr>
      <w:color w:val="808080"/>
      <w:shd w:val="clear" w:color="auto" w:fill="E6E6E6"/>
    </w:rPr>
  </w:style>
  <w:style w:type="character" w:customStyle="1" w:styleId="Menzionenonrisolta3">
    <w:name w:val="Menzione non risolta3"/>
    <w:basedOn w:val="DefaultParagraphFont"/>
    <w:uiPriority w:val="99"/>
    <w:semiHidden/>
    <w:unhideWhenUsed/>
    <w:rsid w:val="00452012"/>
    <w:rPr>
      <w:color w:val="808080"/>
      <w:shd w:val="clear" w:color="auto" w:fill="E6E6E6"/>
    </w:rPr>
  </w:style>
  <w:style w:type="character" w:customStyle="1" w:styleId="Menzionenonrisolta4">
    <w:name w:val="Menzione non risolta4"/>
    <w:basedOn w:val="DefaultParagraphFont"/>
    <w:uiPriority w:val="99"/>
    <w:semiHidden/>
    <w:unhideWhenUsed/>
    <w:rsid w:val="00C108A2"/>
    <w:rPr>
      <w:color w:val="808080"/>
      <w:shd w:val="clear" w:color="auto" w:fill="E6E6E6"/>
    </w:rPr>
  </w:style>
  <w:style w:type="character" w:styleId="LineNumber">
    <w:name w:val="line number"/>
    <w:basedOn w:val="DefaultParagraphFont"/>
    <w:uiPriority w:val="99"/>
    <w:semiHidden/>
    <w:unhideWhenUsed/>
    <w:rsid w:val="00987DDB"/>
  </w:style>
  <w:style w:type="character" w:customStyle="1" w:styleId="Menzionenonrisolta5">
    <w:name w:val="Menzione non risolta5"/>
    <w:basedOn w:val="DefaultParagraphFont"/>
    <w:uiPriority w:val="99"/>
    <w:semiHidden/>
    <w:unhideWhenUsed/>
    <w:rsid w:val="00EE18C2"/>
    <w:rPr>
      <w:color w:val="808080"/>
      <w:shd w:val="clear" w:color="auto" w:fill="E6E6E6"/>
    </w:rPr>
  </w:style>
  <w:style w:type="character" w:customStyle="1" w:styleId="Menzionenonrisolta6">
    <w:name w:val="Menzione non risolta6"/>
    <w:basedOn w:val="DefaultParagraphFont"/>
    <w:uiPriority w:val="99"/>
    <w:semiHidden/>
    <w:unhideWhenUsed/>
    <w:rsid w:val="003C3051"/>
    <w:rPr>
      <w:color w:val="808080"/>
      <w:shd w:val="clear" w:color="auto" w:fill="E6E6E6"/>
    </w:rPr>
  </w:style>
  <w:style w:type="character" w:customStyle="1" w:styleId="Menzionenonrisolta7">
    <w:name w:val="Menzione non risolta7"/>
    <w:basedOn w:val="DefaultParagraphFont"/>
    <w:uiPriority w:val="99"/>
    <w:semiHidden/>
    <w:unhideWhenUsed/>
    <w:rsid w:val="006248AC"/>
    <w:rPr>
      <w:color w:val="808080"/>
      <w:shd w:val="clear" w:color="auto" w:fill="E6E6E6"/>
    </w:rPr>
  </w:style>
  <w:style w:type="character" w:customStyle="1" w:styleId="UnresolvedMention1">
    <w:name w:val="Unresolved Mention1"/>
    <w:basedOn w:val="DefaultParagraphFont"/>
    <w:uiPriority w:val="99"/>
    <w:semiHidden/>
    <w:unhideWhenUsed/>
    <w:rsid w:val="00273589"/>
    <w:rPr>
      <w:color w:val="808080"/>
      <w:shd w:val="clear" w:color="auto" w:fill="E6E6E6"/>
    </w:rPr>
  </w:style>
  <w:style w:type="character" w:customStyle="1" w:styleId="Menzionenonrisolta8">
    <w:name w:val="Menzione non risolta8"/>
    <w:basedOn w:val="DefaultParagraphFont"/>
    <w:uiPriority w:val="99"/>
    <w:semiHidden/>
    <w:unhideWhenUsed/>
    <w:rsid w:val="003B4200"/>
    <w:rPr>
      <w:color w:val="808080"/>
      <w:shd w:val="clear" w:color="auto" w:fill="E6E6E6"/>
    </w:rPr>
  </w:style>
  <w:style w:type="paragraph" w:styleId="ListParagraph">
    <w:name w:val="List Paragraph"/>
    <w:basedOn w:val="Normal"/>
    <w:uiPriority w:val="34"/>
    <w:qFormat/>
    <w:rsid w:val="00B64A1D"/>
    <w:pPr>
      <w:ind w:left="720"/>
      <w:contextualSpacing/>
    </w:pPr>
  </w:style>
  <w:style w:type="character" w:customStyle="1" w:styleId="Menzionenonrisolta9">
    <w:name w:val="Menzione non risolta9"/>
    <w:basedOn w:val="DefaultParagraphFont"/>
    <w:uiPriority w:val="99"/>
    <w:semiHidden/>
    <w:unhideWhenUsed/>
    <w:rsid w:val="00642132"/>
    <w:rPr>
      <w:color w:val="605E5C"/>
      <w:shd w:val="clear" w:color="auto" w:fill="E1DFDD"/>
    </w:rPr>
  </w:style>
  <w:style w:type="character" w:customStyle="1" w:styleId="Menzionenonrisolta10">
    <w:name w:val="Menzione non risolta10"/>
    <w:basedOn w:val="DefaultParagraphFont"/>
    <w:uiPriority w:val="99"/>
    <w:semiHidden/>
    <w:unhideWhenUsed/>
    <w:rsid w:val="00AC075D"/>
    <w:rPr>
      <w:color w:val="605E5C"/>
      <w:shd w:val="clear" w:color="auto" w:fill="E1DFDD"/>
    </w:rPr>
  </w:style>
  <w:style w:type="character" w:customStyle="1" w:styleId="Menzionenonrisolta11">
    <w:name w:val="Menzione non risolta11"/>
    <w:basedOn w:val="DefaultParagraphFont"/>
    <w:uiPriority w:val="99"/>
    <w:semiHidden/>
    <w:unhideWhenUsed/>
    <w:rsid w:val="00A17450"/>
    <w:rPr>
      <w:color w:val="605E5C"/>
      <w:shd w:val="clear" w:color="auto" w:fill="E1DFDD"/>
    </w:rPr>
  </w:style>
  <w:style w:type="paragraph" w:styleId="Title">
    <w:name w:val="Title"/>
    <w:aliases w:val="title"/>
    <w:basedOn w:val="Normal"/>
    <w:link w:val="TitleChar"/>
    <w:uiPriority w:val="10"/>
    <w:qFormat/>
    <w:rsid w:val="004107A9"/>
    <w:pPr>
      <w:spacing w:before="100" w:beforeAutospacing="1" w:after="100" w:afterAutospacing="1"/>
    </w:pPr>
    <w:rPr>
      <w:rFonts w:ascii="Times" w:eastAsiaTheme="minorHAnsi" w:hAnsi="Times"/>
      <w:sz w:val="20"/>
      <w:szCs w:val="20"/>
      <w:lang w:val="en-GB"/>
    </w:rPr>
  </w:style>
  <w:style w:type="character" w:customStyle="1" w:styleId="TitleChar">
    <w:name w:val="Title Char"/>
    <w:aliases w:val="title Char"/>
    <w:basedOn w:val="DefaultParagraphFont"/>
    <w:link w:val="Title"/>
    <w:uiPriority w:val="10"/>
    <w:rsid w:val="004107A9"/>
    <w:rPr>
      <w:rFonts w:ascii="Times" w:hAnsi="Times"/>
      <w:sz w:val="20"/>
      <w:szCs w:val="20"/>
      <w:lang w:val="en-GB"/>
    </w:rPr>
  </w:style>
  <w:style w:type="paragraph" w:customStyle="1" w:styleId="desc">
    <w:name w:val="desc"/>
    <w:basedOn w:val="Normal"/>
    <w:rsid w:val="004107A9"/>
    <w:pPr>
      <w:spacing w:before="100" w:beforeAutospacing="1" w:after="100" w:afterAutospacing="1"/>
    </w:pPr>
    <w:rPr>
      <w:rFonts w:ascii="Times" w:eastAsiaTheme="minorHAnsi" w:hAnsi="Times"/>
      <w:sz w:val="20"/>
      <w:szCs w:val="20"/>
      <w:lang w:val="en-GB"/>
    </w:rPr>
  </w:style>
  <w:style w:type="paragraph" w:customStyle="1" w:styleId="details">
    <w:name w:val="details"/>
    <w:basedOn w:val="Normal"/>
    <w:rsid w:val="004107A9"/>
    <w:pPr>
      <w:spacing w:before="100" w:beforeAutospacing="1" w:after="100" w:afterAutospacing="1"/>
    </w:pPr>
    <w:rPr>
      <w:rFonts w:ascii="Times" w:eastAsiaTheme="minorHAnsi" w:hAnsi="Times"/>
      <w:sz w:val="20"/>
      <w:szCs w:val="20"/>
      <w:lang w:val="en-GB"/>
    </w:rPr>
  </w:style>
  <w:style w:type="character" w:customStyle="1" w:styleId="jrnl">
    <w:name w:val="jrnl"/>
    <w:basedOn w:val="DefaultParagraphFont"/>
    <w:rsid w:val="004107A9"/>
  </w:style>
  <w:style w:type="character" w:customStyle="1" w:styleId="Menzionenonrisolta12">
    <w:name w:val="Menzione non risolta12"/>
    <w:basedOn w:val="DefaultParagraphFont"/>
    <w:uiPriority w:val="99"/>
    <w:semiHidden/>
    <w:unhideWhenUsed/>
    <w:rsid w:val="00170DBE"/>
    <w:rPr>
      <w:color w:val="605E5C"/>
      <w:shd w:val="clear" w:color="auto" w:fill="E1DFDD"/>
    </w:rPr>
  </w:style>
  <w:style w:type="paragraph" w:customStyle="1" w:styleId="Titolo1">
    <w:name w:val="Titolo1"/>
    <w:basedOn w:val="Normal"/>
    <w:rsid w:val="008C7FB0"/>
    <w:pPr>
      <w:spacing w:before="100" w:beforeAutospacing="1" w:after="100" w:afterAutospacing="1"/>
    </w:pPr>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C100B1"/>
    <w:rPr>
      <w:rFonts w:asciiTheme="majorHAnsi" w:eastAsiaTheme="majorEastAsia" w:hAnsiTheme="majorHAnsi" w:cstheme="majorBidi"/>
      <w:color w:val="365F91" w:themeColor="accent1" w:themeShade="BF"/>
      <w:sz w:val="32"/>
      <w:szCs w:val="32"/>
      <w:lang w:eastAsia="it-IT"/>
    </w:rPr>
  </w:style>
  <w:style w:type="paragraph" w:styleId="Bibliography">
    <w:name w:val="Bibliography"/>
    <w:basedOn w:val="Normal"/>
    <w:next w:val="Normal"/>
    <w:uiPriority w:val="37"/>
    <w:unhideWhenUsed/>
    <w:rsid w:val="00C100B1"/>
  </w:style>
  <w:style w:type="character" w:customStyle="1" w:styleId="Menzionenonrisolta13">
    <w:name w:val="Menzione non risolta13"/>
    <w:basedOn w:val="DefaultParagraphFont"/>
    <w:uiPriority w:val="99"/>
    <w:semiHidden/>
    <w:unhideWhenUsed/>
    <w:rsid w:val="00F320F9"/>
    <w:rPr>
      <w:color w:val="605E5C"/>
      <w:shd w:val="clear" w:color="auto" w:fill="E1DFDD"/>
    </w:rPr>
  </w:style>
  <w:style w:type="paragraph" w:styleId="NormalWeb">
    <w:name w:val="Normal (Web)"/>
    <w:basedOn w:val="Normal"/>
    <w:uiPriority w:val="99"/>
    <w:semiHidden/>
    <w:unhideWhenUsed/>
    <w:rsid w:val="00596D5A"/>
    <w:pPr>
      <w:spacing w:before="100" w:beforeAutospacing="1" w:after="100" w:afterAutospacing="1"/>
    </w:pPr>
    <w:rPr>
      <w:rFonts w:ascii="Times New Roman" w:eastAsia="Times New Roman" w:hAnsi="Times New Roman" w:cs="Times New Roman"/>
      <w:lang w:val="it-IT" w:eastAsia="it-IT"/>
    </w:rPr>
  </w:style>
  <w:style w:type="character" w:customStyle="1" w:styleId="Menzionenonrisolta14">
    <w:name w:val="Menzione non risolta14"/>
    <w:basedOn w:val="DefaultParagraphFont"/>
    <w:uiPriority w:val="99"/>
    <w:semiHidden/>
    <w:unhideWhenUsed/>
    <w:rsid w:val="007B1181"/>
    <w:rPr>
      <w:color w:val="605E5C"/>
      <w:shd w:val="clear" w:color="auto" w:fill="E1DFDD"/>
    </w:rPr>
  </w:style>
  <w:style w:type="character" w:customStyle="1" w:styleId="Menzionenonrisolta15">
    <w:name w:val="Menzione non risolta15"/>
    <w:basedOn w:val="DefaultParagraphFont"/>
    <w:uiPriority w:val="99"/>
    <w:semiHidden/>
    <w:unhideWhenUsed/>
    <w:rsid w:val="005A61F5"/>
    <w:rPr>
      <w:color w:val="605E5C"/>
      <w:shd w:val="clear" w:color="auto" w:fill="E1DFDD"/>
    </w:rPr>
  </w:style>
  <w:style w:type="character" w:styleId="UnresolvedMention">
    <w:name w:val="Unresolved Mention"/>
    <w:basedOn w:val="DefaultParagraphFont"/>
    <w:uiPriority w:val="99"/>
    <w:semiHidden/>
    <w:unhideWhenUsed/>
    <w:rsid w:val="009E7CEA"/>
    <w:rPr>
      <w:color w:val="605E5C"/>
      <w:shd w:val="clear" w:color="auto" w:fill="E1DFDD"/>
    </w:rPr>
  </w:style>
  <w:style w:type="character" w:customStyle="1" w:styleId="st">
    <w:name w:val="st"/>
    <w:basedOn w:val="DefaultParagraphFont"/>
    <w:rsid w:val="001F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468">
      <w:bodyDiv w:val="1"/>
      <w:marLeft w:val="0"/>
      <w:marRight w:val="0"/>
      <w:marTop w:val="0"/>
      <w:marBottom w:val="0"/>
      <w:divBdr>
        <w:top w:val="none" w:sz="0" w:space="0" w:color="auto"/>
        <w:left w:val="none" w:sz="0" w:space="0" w:color="auto"/>
        <w:bottom w:val="none" w:sz="0" w:space="0" w:color="auto"/>
        <w:right w:val="none" w:sz="0" w:space="0" w:color="auto"/>
      </w:divBdr>
    </w:div>
    <w:div w:id="32466719">
      <w:bodyDiv w:val="1"/>
      <w:marLeft w:val="0"/>
      <w:marRight w:val="0"/>
      <w:marTop w:val="0"/>
      <w:marBottom w:val="0"/>
      <w:divBdr>
        <w:top w:val="none" w:sz="0" w:space="0" w:color="auto"/>
        <w:left w:val="none" w:sz="0" w:space="0" w:color="auto"/>
        <w:bottom w:val="none" w:sz="0" w:space="0" w:color="auto"/>
        <w:right w:val="none" w:sz="0" w:space="0" w:color="auto"/>
      </w:divBdr>
    </w:div>
    <w:div w:id="35207076">
      <w:bodyDiv w:val="1"/>
      <w:marLeft w:val="0"/>
      <w:marRight w:val="0"/>
      <w:marTop w:val="0"/>
      <w:marBottom w:val="0"/>
      <w:divBdr>
        <w:top w:val="none" w:sz="0" w:space="0" w:color="auto"/>
        <w:left w:val="none" w:sz="0" w:space="0" w:color="auto"/>
        <w:bottom w:val="none" w:sz="0" w:space="0" w:color="auto"/>
        <w:right w:val="none" w:sz="0" w:space="0" w:color="auto"/>
      </w:divBdr>
      <w:divsChild>
        <w:div w:id="1944461344">
          <w:marLeft w:val="0"/>
          <w:marRight w:val="0"/>
          <w:marTop w:val="0"/>
          <w:marBottom w:val="0"/>
          <w:divBdr>
            <w:top w:val="none" w:sz="0" w:space="0" w:color="auto"/>
            <w:left w:val="none" w:sz="0" w:space="0" w:color="auto"/>
            <w:bottom w:val="none" w:sz="0" w:space="0" w:color="auto"/>
            <w:right w:val="none" w:sz="0" w:space="0" w:color="auto"/>
          </w:divBdr>
        </w:div>
      </w:divsChild>
    </w:div>
    <w:div w:id="49117824">
      <w:bodyDiv w:val="1"/>
      <w:marLeft w:val="0"/>
      <w:marRight w:val="0"/>
      <w:marTop w:val="0"/>
      <w:marBottom w:val="0"/>
      <w:divBdr>
        <w:top w:val="none" w:sz="0" w:space="0" w:color="auto"/>
        <w:left w:val="none" w:sz="0" w:space="0" w:color="auto"/>
        <w:bottom w:val="none" w:sz="0" w:space="0" w:color="auto"/>
        <w:right w:val="none" w:sz="0" w:space="0" w:color="auto"/>
      </w:divBdr>
    </w:div>
    <w:div w:id="77601158">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
    <w:div w:id="100607150">
      <w:bodyDiv w:val="1"/>
      <w:marLeft w:val="0"/>
      <w:marRight w:val="0"/>
      <w:marTop w:val="0"/>
      <w:marBottom w:val="0"/>
      <w:divBdr>
        <w:top w:val="none" w:sz="0" w:space="0" w:color="auto"/>
        <w:left w:val="none" w:sz="0" w:space="0" w:color="auto"/>
        <w:bottom w:val="none" w:sz="0" w:space="0" w:color="auto"/>
        <w:right w:val="none" w:sz="0" w:space="0" w:color="auto"/>
      </w:divBdr>
    </w:div>
    <w:div w:id="187255336">
      <w:bodyDiv w:val="1"/>
      <w:marLeft w:val="0"/>
      <w:marRight w:val="0"/>
      <w:marTop w:val="0"/>
      <w:marBottom w:val="0"/>
      <w:divBdr>
        <w:top w:val="none" w:sz="0" w:space="0" w:color="auto"/>
        <w:left w:val="none" w:sz="0" w:space="0" w:color="auto"/>
        <w:bottom w:val="none" w:sz="0" w:space="0" w:color="auto"/>
        <w:right w:val="none" w:sz="0" w:space="0" w:color="auto"/>
      </w:divBdr>
    </w:div>
    <w:div w:id="195123963">
      <w:bodyDiv w:val="1"/>
      <w:marLeft w:val="0"/>
      <w:marRight w:val="0"/>
      <w:marTop w:val="0"/>
      <w:marBottom w:val="0"/>
      <w:divBdr>
        <w:top w:val="none" w:sz="0" w:space="0" w:color="auto"/>
        <w:left w:val="none" w:sz="0" w:space="0" w:color="auto"/>
        <w:bottom w:val="none" w:sz="0" w:space="0" w:color="auto"/>
        <w:right w:val="none" w:sz="0" w:space="0" w:color="auto"/>
      </w:divBdr>
    </w:div>
    <w:div w:id="208616428">
      <w:bodyDiv w:val="1"/>
      <w:marLeft w:val="0"/>
      <w:marRight w:val="0"/>
      <w:marTop w:val="0"/>
      <w:marBottom w:val="0"/>
      <w:divBdr>
        <w:top w:val="none" w:sz="0" w:space="0" w:color="auto"/>
        <w:left w:val="none" w:sz="0" w:space="0" w:color="auto"/>
        <w:bottom w:val="none" w:sz="0" w:space="0" w:color="auto"/>
        <w:right w:val="none" w:sz="0" w:space="0" w:color="auto"/>
      </w:divBdr>
    </w:div>
    <w:div w:id="242882532">
      <w:bodyDiv w:val="1"/>
      <w:marLeft w:val="0"/>
      <w:marRight w:val="0"/>
      <w:marTop w:val="0"/>
      <w:marBottom w:val="0"/>
      <w:divBdr>
        <w:top w:val="none" w:sz="0" w:space="0" w:color="auto"/>
        <w:left w:val="none" w:sz="0" w:space="0" w:color="auto"/>
        <w:bottom w:val="none" w:sz="0" w:space="0" w:color="auto"/>
        <w:right w:val="none" w:sz="0" w:space="0" w:color="auto"/>
      </w:divBdr>
    </w:div>
    <w:div w:id="314187906">
      <w:bodyDiv w:val="1"/>
      <w:marLeft w:val="0"/>
      <w:marRight w:val="0"/>
      <w:marTop w:val="0"/>
      <w:marBottom w:val="0"/>
      <w:divBdr>
        <w:top w:val="none" w:sz="0" w:space="0" w:color="auto"/>
        <w:left w:val="none" w:sz="0" w:space="0" w:color="auto"/>
        <w:bottom w:val="none" w:sz="0" w:space="0" w:color="auto"/>
        <w:right w:val="none" w:sz="0" w:space="0" w:color="auto"/>
      </w:divBdr>
    </w:div>
    <w:div w:id="338654866">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8">
          <w:marLeft w:val="0"/>
          <w:marRight w:val="0"/>
          <w:marTop w:val="34"/>
          <w:marBottom w:val="34"/>
          <w:divBdr>
            <w:top w:val="none" w:sz="0" w:space="0" w:color="auto"/>
            <w:left w:val="none" w:sz="0" w:space="0" w:color="auto"/>
            <w:bottom w:val="none" w:sz="0" w:space="0" w:color="auto"/>
            <w:right w:val="none" w:sz="0" w:space="0" w:color="auto"/>
          </w:divBdr>
        </w:div>
      </w:divsChild>
    </w:div>
    <w:div w:id="380204824">
      <w:bodyDiv w:val="1"/>
      <w:marLeft w:val="0"/>
      <w:marRight w:val="0"/>
      <w:marTop w:val="0"/>
      <w:marBottom w:val="0"/>
      <w:divBdr>
        <w:top w:val="none" w:sz="0" w:space="0" w:color="auto"/>
        <w:left w:val="none" w:sz="0" w:space="0" w:color="auto"/>
        <w:bottom w:val="none" w:sz="0" w:space="0" w:color="auto"/>
        <w:right w:val="none" w:sz="0" w:space="0" w:color="auto"/>
      </w:divBdr>
      <w:divsChild>
        <w:div w:id="1377464561">
          <w:marLeft w:val="288"/>
          <w:marRight w:val="0"/>
          <w:marTop w:val="240"/>
          <w:marBottom w:val="0"/>
          <w:divBdr>
            <w:top w:val="none" w:sz="0" w:space="0" w:color="auto"/>
            <w:left w:val="none" w:sz="0" w:space="0" w:color="auto"/>
            <w:bottom w:val="none" w:sz="0" w:space="0" w:color="auto"/>
            <w:right w:val="none" w:sz="0" w:space="0" w:color="auto"/>
          </w:divBdr>
        </w:div>
        <w:div w:id="791099230">
          <w:marLeft w:val="288"/>
          <w:marRight w:val="0"/>
          <w:marTop w:val="240"/>
          <w:marBottom w:val="0"/>
          <w:divBdr>
            <w:top w:val="none" w:sz="0" w:space="0" w:color="auto"/>
            <w:left w:val="none" w:sz="0" w:space="0" w:color="auto"/>
            <w:bottom w:val="none" w:sz="0" w:space="0" w:color="auto"/>
            <w:right w:val="none" w:sz="0" w:space="0" w:color="auto"/>
          </w:divBdr>
        </w:div>
        <w:div w:id="355926664">
          <w:marLeft w:val="288"/>
          <w:marRight w:val="0"/>
          <w:marTop w:val="240"/>
          <w:marBottom w:val="0"/>
          <w:divBdr>
            <w:top w:val="none" w:sz="0" w:space="0" w:color="auto"/>
            <w:left w:val="none" w:sz="0" w:space="0" w:color="auto"/>
            <w:bottom w:val="none" w:sz="0" w:space="0" w:color="auto"/>
            <w:right w:val="none" w:sz="0" w:space="0" w:color="auto"/>
          </w:divBdr>
        </w:div>
      </w:divsChild>
    </w:div>
    <w:div w:id="425273887">
      <w:bodyDiv w:val="1"/>
      <w:marLeft w:val="0"/>
      <w:marRight w:val="0"/>
      <w:marTop w:val="0"/>
      <w:marBottom w:val="0"/>
      <w:divBdr>
        <w:top w:val="none" w:sz="0" w:space="0" w:color="auto"/>
        <w:left w:val="none" w:sz="0" w:space="0" w:color="auto"/>
        <w:bottom w:val="none" w:sz="0" w:space="0" w:color="auto"/>
        <w:right w:val="none" w:sz="0" w:space="0" w:color="auto"/>
      </w:divBdr>
    </w:div>
    <w:div w:id="425421491">
      <w:bodyDiv w:val="1"/>
      <w:marLeft w:val="0"/>
      <w:marRight w:val="0"/>
      <w:marTop w:val="0"/>
      <w:marBottom w:val="0"/>
      <w:divBdr>
        <w:top w:val="none" w:sz="0" w:space="0" w:color="auto"/>
        <w:left w:val="none" w:sz="0" w:space="0" w:color="auto"/>
        <w:bottom w:val="none" w:sz="0" w:space="0" w:color="auto"/>
        <w:right w:val="none" w:sz="0" w:space="0" w:color="auto"/>
      </w:divBdr>
    </w:div>
    <w:div w:id="547110323">
      <w:bodyDiv w:val="1"/>
      <w:marLeft w:val="0"/>
      <w:marRight w:val="0"/>
      <w:marTop w:val="0"/>
      <w:marBottom w:val="0"/>
      <w:divBdr>
        <w:top w:val="none" w:sz="0" w:space="0" w:color="auto"/>
        <w:left w:val="none" w:sz="0" w:space="0" w:color="auto"/>
        <w:bottom w:val="none" w:sz="0" w:space="0" w:color="auto"/>
        <w:right w:val="none" w:sz="0" w:space="0" w:color="auto"/>
      </w:divBdr>
    </w:div>
    <w:div w:id="597913139">
      <w:bodyDiv w:val="1"/>
      <w:marLeft w:val="0"/>
      <w:marRight w:val="0"/>
      <w:marTop w:val="0"/>
      <w:marBottom w:val="0"/>
      <w:divBdr>
        <w:top w:val="none" w:sz="0" w:space="0" w:color="auto"/>
        <w:left w:val="none" w:sz="0" w:space="0" w:color="auto"/>
        <w:bottom w:val="none" w:sz="0" w:space="0" w:color="auto"/>
        <w:right w:val="none" w:sz="0" w:space="0" w:color="auto"/>
      </w:divBdr>
    </w:div>
    <w:div w:id="691340932">
      <w:bodyDiv w:val="1"/>
      <w:marLeft w:val="0"/>
      <w:marRight w:val="0"/>
      <w:marTop w:val="0"/>
      <w:marBottom w:val="0"/>
      <w:divBdr>
        <w:top w:val="none" w:sz="0" w:space="0" w:color="auto"/>
        <w:left w:val="none" w:sz="0" w:space="0" w:color="auto"/>
        <w:bottom w:val="none" w:sz="0" w:space="0" w:color="auto"/>
        <w:right w:val="none" w:sz="0" w:space="0" w:color="auto"/>
      </w:divBdr>
    </w:div>
    <w:div w:id="708453932">
      <w:bodyDiv w:val="1"/>
      <w:marLeft w:val="0"/>
      <w:marRight w:val="0"/>
      <w:marTop w:val="0"/>
      <w:marBottom w:val="0"/>
      <w:divBdr>
        <w:top w:val="none" w:sz="0" w:space="0" w:color="auto"/>
        <w:left w:val="none" w:sz="0" w:space="0" w:color="auto"/>
        <w:bottom w:val="none" w:sz="0" w:space="0" w:color="auto"/>
        <w:right w:val="none" w:sz="0" w:space="0" w:color="auto"/>
      </w:divBdr>
      <w:divsChild>
        <w:div w:id="1993366866">
          <w:marLeft w:val="0"/>
          <w:marRight w:val="0"/>
          <w:marTop w:val="34"/>
          <w:marBottom w:val="34"/>
          <w:divBdr>
            <w:top w:val="none" w:sz="0" w:space="0" w:color="auto"/>
            <w:left w:val="none" w:sz="0" w:space="0" w:color="auto"/>
            <w:bottom w:val="none" w:sz="0" w:space="0" w:color="auto"/>
            <w:right w:val="none" w:sz="0" w:space="0" w:color="auto"/>
          </w:divBdr>
        </w:div>
      </w:divsChild>
    </w:div>
    <w:div w:id="715662736">
      <w:bodyDiv w:val="1"/>
      <w:marLeft w:val="0"/>
      <w:marRight w:val="0"/>
      <w:marTop w:val="0"/>
      <w:marBottom w:val="0"/>
      <w:divBdr>
        <w:top w:val="none" w:sz="0" w:space="0" w:color="auto"/>
        <w:left w:val="none" w:sz="0" w:space="0" w:color="auto"/>
        <w:bottom w:val="none" w:sz="0" w:space="0" w:color="auto"/>
        <w:right w:val="none" w:sz="0" w:space="0" w:color="auto"/>
      </w:divBdr>
    </w:div>
    <w:div w:id="792134023">
      <w:bodyDiv w:val="1"/>
      <w:marLeft w:val="0"/>
      <w:marRight w:val="0"/>
      <w:marTop w:val="0"/>
      <w:marBottom w:val="0"/>
      <w:divBdr>
        <w:top w:val="none" w:sz="0" w:space="0" w:color="auto"/>
        <w:left w:val="none" w:sz="0" w:space="0" w:color="auto"/>
        <w:bottom w:val="none" w:sz="0" w:space="0" w:color="auto"/>
        <w:right w:val="none" w:sz="0" w:space="0" w:color="auto"/>
      </w:divBdr>
    </w:div>
    <w:div w:id="882250365">
      <w:bodyDiv w:val="1"/>
      <w:marLeft w:val="0"/>
      <w:marRight w:val="0"/>
      <w:marTop w:val="0"/>
      <w:marBottom w:val="0"/>
      <w:divBdr>
        <w:top w:val="none" w:sz="0" w:space="0" w:color="auto"/>
        <w:left w:val="none" w:sz="0" w:space="0" w:color="auto"/>
        <w:bottom w:val="none" w:sz="0" w:space="0" w:color="auto"/>
        <w:right w:val="none" w:sz="0" w:space="0" w:color="auto"/>
      </w:divBdr>
    </w:div>
    <w:div w:id="965814429">
      <w:bodyDiv w:val="1"/>
      <w:marLeft w:val="0"/>
      <w:marRight w:val="0"/>
      <w:marTop w:val="0"/>
      <w:marBottom w:val="0"/>
      <w:divBdr>
        <w:top w:val="none" w:sz="0" w:space="0" w:color="auto"/>
        <w:left w:val="none" w:sz="0" w:space="0" w:color="auto"/>
        <w:bottom w:val="none" w:sz="0" w:space="0" w:color="auto"/>
        <w:right w:val="none" w:sz="0" w:space="0" w:color="auto"/>
      </w:divBdr>
    </w:div>
    <w:div w:id="1007951456">
      <w:bodyDiv w:val="1"/>
      <w:marLeft w:val="0"/>
      <w:marRight w:val="0"/>
      <w:marTop w:val="0"/>
      <w:marBottom w:val="0"/>
      <w:divBdr>
        <w:top w:val="none" w:sz="0" w:space="0" w:color="auto"/>
        <w:left w:val="none" w:sz="0" w:space="0" w:color="auto"/>
        <w:bottom w:val="none" w:sz="0" w:space="0" w:color="auto"/>
        <w:right w:val="none" w:sz="0" w:space="0" w:color="auto"/>
      </w:divBdr>
      <w:divsChild>
        <w:div w:id="1391149589">
          <w:marLeft w:val="0"/>
          <w:marRight w:val="0"/>
          <w:marTop w:val="0"/>
          <w:marBottom w:val="0"/>
          <w:divBdr>
            <w:top w:val="none" w:sz="0" w:space="0" w:color="auto"/>
            <w:left w:val="none" w:sz="0" w:space="0" w:color="auto"/>
            <w:bottom w:val="none" w:sz="0" w:space="0" w:color="auto"/>
            <w:right w:val="none" w:sz="0" w:space="0" w:color="auto"/>
          </w:divBdr>
        </w:div>
        <w:div w:id="600842023">
          <w:marLeft w:val="0"/>
          <w:marRight w:val="0"/>
          <w:marTop w:val="0"/>
          <w:marBottom w:val="295"/>
          <w:divBdr>
            <w:top w:val="none" w:sz="0" w:space="0" w:color="auto"/>
            <w:left w:val="none" w:sz="0" w:space="0" w:color="auto"/>
            <w:bottom w:val="none" w:sz="0" w:space="0" w:color="auto"/>
            <w:right w:val="none" w:sz="0" w:space="0" w:color="auto"/>
          </w:divBdr>
          <w:divsChild>
            <w:div w:id="1456406652">
              <w:marLeft w:val="0"/>
              <w:marRight w:val="0"/>
              <w:marTop w:val="0"/>
              <w:marBottom w:val="0"/>
              <w:divBdr>
                <w:top w:val="none" w:sz="0" w:space="0" w:color="auto"/>
                <w:left w:val="none" w:sz="0" w:space="0" w:color="auto"/>
                <w:bottom w:val="none" w:sz="0" w:space="0" w:color="auto"/>
                <w:right w:val="none" w:sz="0" w:space="0" w:color="auto"/>
              </w:divBdr>
              <w:divsChild>
                <w:div w:id="898319517">
                  <w:marLeft w:val="0"/>
                  <w:marRight w:val="0"/>
                  <w:marTop w:val="48"/>
                  <w:marBottom w:val="0"/>
                  <w:divBdr>
                    <w:top w:val="none" w:sz="0" w:space="0" w:color="auto"/>
                    <w:left w:val="none" w:sz="0" w:space="0" w:color="auto"/>
                    <w:bottom w:val="none" w:sz="0" w:space="0" w:color="auto"/>
                    <w:right w:val="none" w:sz="0" w:space="0" w:color="auto"/>
                  </w:divBdr>
                </w:div>
              </w:divsChild>
            </w:div>
            <w:div w:id="643121644">
              <w:marLeft w:val="3249"/>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sChild>
                    <w:div w:id="2042246589">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204029893">
                              <w:marLeft w:val="0"/>
                              <w:marRight w:val="48"/>
                              <w:marTop w:val="0"/>
                              <w:marBottom w:val="0"/>
                              <w:divBdr>
                                <w:top w:val="single" w:sz="6" w:space="2" w:color="999999"/>
                                <w:left w:val="single" w:sz="6" w:space="2" w:color="999999"/>
                                <w:bottom w:val="single" w:sz="6" w:space="2" w:color="999999"/>
                                <w:right w:val="single" w:sz="6" w:space="15" w:color="999999"/>
                              </w:divBdr>
                              <w:divsChild>
                                <w:div w:id="2525199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702901170">
          <w:marLeft w:val="0"/>
          <w:marRight w:val="178"/>
          <w:marTop w:val="0"/>
          <w:marBottom w:val="0"/>
          <w:divBdr>
            <w:top w:val="none" w:sz="0" w:space="0" w:color="auto"/>
            <w:left w:val="none" w:sz="0" w:space="0" w:color="auto"/>
            <w:bottom w:val="none" w:sz="0" w:space="0" w:color="auto"/>
            <w:right w:val="none" w:sz="0" w:space="0" w:color="auto"/>
          </w:divBdr>
          <w:divsChild>
            <w:div w:id="1475680135">
              <w:marLeft w:val="0"/>
              <w:marRight w:val="0"/>
              <w:marTop w:val="0"/>
              <w:marBottom w:val="0"/>
              <w:divBdr>
                <w:top w:val="none" w:sz="0" w:space="0" w:color="auto"/>
                <w:left w:val="none" w:sz="0" w:space="0" w:color="auto"/>
                <w:bottom w:val="none" w:sz="0" w:space="0" w:color="auto"/>
                <w:right w:val="none" w:sz="0" w:space="0" w:color="auto"/>
              </w:divBdr>
              <w:divsChild>
                <w:div w:id="1734159842">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sChild>
                    <w:div w:id="1083139096">
                      <w:marLeft w:val="0"/>
                      <w:marRight w:val="0"/>
                      <w:marTop w:val="120"/>
                      <w:marBottom w:val="36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891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70958">
      <w:bodyDiv w:val="1"/>
      <w:marLeft w:val="0"/>
      <w:marRight w:val="0"/>
      <w:marTop w:val="0"/>
      <w:marBottom w:val="0"/>
      <w:divBdr>
        <w:top w:val="none" w:sz="0" w:space="0" w:color="auto"/>
        <w:left w:val="none" w:sz="0" w:space="0" w:color="auto"/>
        <w:bottom w:val="none" w:sz="0" w:space="0" w:color="auto"/>
        <w:right w:val="none" w:sz="0" w:space="0" w:color="auto"/>
      </w:divBdr>
    </w:div>
    <w:div w:id="1206407808">
      <w:bodyDiv w:val="1"/>
      <w:marLeft w:val="0"/>
      <w:marRight w:val="0"/>
      <w:marTop w:val="0"/>
      <w:marBottom w:val="0"/>
      <w:divBdr>
        <w:top w:val="none" w:sz="0" w:space="0" w:color="auto"/>
        <w:left w:val="none" w:sz="0" w:space="0" w:color="auto"/>
        <w:bottom w:val="none" w:sz="0" w:space="0" w:color="auto"/>
        <w:right w:val="none" w:sz="0" w:space="0" w:color="auto"/>
      </w:divBdr>
    </w:div>
    <w:div w:id="1253977740">
      <w:bodyDiv w:val="1"/>
      <w:marLeft w:val="0"/>
      <w:marRight w:val="0"/>
      <w:marTop w:val="0"/>
      <w:marBottom w:val="0"/>
      <w:divBdr>
        <w:top w:val="none" w:sz="0" w:space="0" w:color="auto"/>
        <w:left w:val="none" w:sz="0" w:space="0" w:color="auto"/>
        <w:bottom w:val="none" w:sz="0" w:space="0" w:color="auto"/>
        <w:right w:val="none" w:sz="0" w:space="0" w:color="auto"/>
      </w:divBdr>
    </w:div>
    <w:div w:id="1308894721">
      <w:bodyDiv w:val="1"/>
      <w:marLeft w:val="0"/>
      <w:marRight w:val="0"/>
      <w:marTop w:val="0"/>
      <w:marBottom w:val="0"/>
      <w:divBdr>
        <w:top w:val="none" w:sz="0" w:space="0" w:color="auto"/>
        <w:left w:val="none" w:sz="0" w:space="0" w:color="auto"/>
        <w:bottom w:val="none" w:sz="0" w:space="0" w:color="auto"/>
        <w:right w:val="none" w:sz="0" w:space="0" w:color="auto"/>
      </w:divBdr>
      <w:divsChild>
        <w:div w:id="1315993486">
          <w:marLeft w:val="0"/>
          <w:marRight w:val="0"/>
          <w:marTop w:val="0"/>
          <w:marBottom w:val="0"/>
          <w:divBdr>
            <w:top w:val="none" w:sz="0" w:space="0" w:color="auto"/>
            <w:left w:val="none" w:sz="0" w:space="0" w:color="auto"/>
            <w:bottom w:val="none" w:sz="0" w:space="0" w:color="auto"/>
            <w:right w:val="none" w:sz="0" w:space="0" w:color="auto"/>
          </w:divBdr>
        </w:div>
        <w:div w:id="587814463">
          <w:marLeft w:val="0"/>
          <w:marRight w:val="0"/>
          <w:marTop w:val="0"/>
          <w:marBottom w:val="0"/>
          <w:divBdr>
            <w:top w:val="none" w:sz="0" w:space="0" w:color="auto"/>
            <w:left w:val="none" w:sz="0" w:space="0" w:color="auto"/>
            <w:bottom w:val="none" w:sz="0" w:space="0" w:color="auto"/>
            <w:right w:val="none" w:sz="0" w:space="0" w:color="auto"/>
          </w:divBdr>
        </w:div>
      </w:divsChild>
    </w:div>
    <w:div w:id="1340085871">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427649995">
      <w:bodyDiv w:val="1"/>
      <w:marLeft w:val="0"/>
      <w:marRight w:val="0"/>
      <w:marTop w:val="0"/>
      <w:marBottom w:val="0"/>
      <w:divBdr>
        <w:top w:val="none" w:sz="0" w:space="0" w:color="auto"/>
        <w:left w:val="none" w:sz="0" w:space="0" w:color="auto"/>
        <w:bottom w:val="none" w:sz="0" w:space="0" w:color="auto"/>
        <w:right w:val="none" w:sz="0" w:space="0" w:color="auto"/>
      </w:divBdr>
    </w:div>
    <w:div w:id="1647856945">
      <w:bodyDiv w:val="1"/>
      <w:marLeft w:val="0"/>
      <w:marRight w:val="0"/>
      <w:marTop w:val="0"/>
      <w:marBottom w:val="0"/>
      <w:divBdr>
        <w:top w:val="none" w:sz="0" w:space="0" w:color="auto"/>
        <w:left w:val="none" w:sz="0" w:space="0" w:color="auto"/>
        <w:bottom w:val="none" w:sz="0" w:space="0" w:color="auto"/>
        <w:right w:val="none" w:sz="0" w:space="0" w:color="auto"/>
      </w:divBdr>
    </w:div>
    <w:div w:id="1732344279">
      <w:bodyDiv w:val="1"/>
      <w:marLeft w:val="0"/>
      <w:marRight w:val="0"/>
      <w:marTop w:val="0"/>
      <w:marBottom w:val="0"/>
      <w:divBdr>
        <w:top w:val="none" w:sz="0" w:space="0" w:color="auto"/>
        <w:left w:val="none" w:sz="0" w:space="0" w:color="auto"/>
        <w:bottom w:val="none" w:sz="0" w:space="0" w:color="auto"/>
        <w:right w:val="none" w:sz="0" w:space="0" w:color="auto"/>
      </w:divBdr>
    </w:div>
    <w:div w:id="1739130270">
      <w:bodyDiv w:val="1"/>
      <w:marLeft w:val="0"/>
      <w:marRight w:val="0"/>
      <w:marTop w:val="0"/>
      <w:marBottom w:val="0"/>
      <w:divBdr>
        <w:top w:val="none" w:sz="0" w:space="0" w:color="auto"/>
        <w:left w:val="none" w:sz="0" w:space="0" w:color="auto"/>
        <w:bottom w:val="none" w:sz="0" w:space="0" w:color="auto"/>
        <w:right w:val="none" w:sz="0" w:space="0" w:color="auto"/>
      </w:divBdr>
    </w:div>
    <w:div w:id="1742865319">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 w:id="1815105058">
      <w:bodyDiv w:val="1"/>
      <w:marLeft w:val="0"/>
      <w:marRight w:val="0"/>
      <w:marTop w:val="0"/>
      <w:marBottom w:val="0"/>
      <w:divBdr>
        <w:top w:val="none" w:sz="0" w:space="0" w:color="auto"/>
        <w:left w:val="none" w:sz="0" w:space="0" w:color="auto"/>
        <w:bottom w:val="none" w:sz="0" w:space="0" w:color="auto"/>
        <w:right w:val="none" w:sz="0" w:space="0" w:color="auto"/>
      </w:divBdr>
    </w:div>
    <w:div w:id="1859197115">
      <w:bodyDiv w:val="1"/>
      <w:marLeft w:val="0"/>
      <w:marRight w:val="0"/>
      <w:marTop w:val="0"/>
      <w:marBottom w:val="0"/>
      <w:divBdr>
        <w:top w:val="none" w:sz="0" w:space="0" w:color="auto"/>
        <w:left w:val="none" w:sz="0" w:space="0" w:color="auto"/>
        <w:bottom w:val="none" w:sz="0" w:space="0" w:color="auto"/>
        <w:right w:val="none" w:sz="0" w:space="0" w:color="auto"/>
      </w:divBdr>
    </w:div>
    <w:div w:id="187357411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
    <w:div w:id="1886602029">
      <w:bodyDiv w:val="1"/>
      <w:marLeft w:val="0"/>
      <w:marRight w:val="0"/>
      <w:marTop w:val="0"/>
      <w:marBottom w:val="0"/>
      <w:divBdr>
        <w:top w:val="none" w:sz="0" w:space="0" w:color="auto"/>
        <w:left w:val="none" w:sz="0" w:space="0" w:color="auto"/>
        <w:bottom w:val="none" w:sz="0" w:space="0" w:color="auto"/>
        <w:right w:val="none" w:sz="0" w:space="0" w:color="auto"/>
      </w:divBdr>
    </w:div>
    <w:div w:id="1896888607">
      <w:bodyDiv w:val="1"/>
      <w:marLeft w:val="0"/>
      <w:marRight w:val="0"/>
      <w:marTop w:val="0"/>
      <w:marBottom w:val="0"/>
      <w:divBdr>
        <w:top w:val="none" w:sz="0" w:space="0" w:color="auto"/>
        <w:left w:val="none" w:sz="0" w:space="0" w:color="auto"/>
        <w:bottom w:val="none" w:sz="0" w:space="0" w:color="auto"/>
        <w:right w:val="none" w:sz="0" w:space="0" w:color="auto"/>
      </w:divBdr>
    </w:div>
    <w:div w:id="1902213257">
      <w:bodyDiv w:val="1"/>
      <w:marLeft w:val="0"/>
      <w:marRight w:val="0"/>
      <w:marTop w:val="0"/>
      <w:marBottom w:val="0"/>
      <w:divBdr>
        <w:top w:val="none" w:sz="0" w:space="0" w:color="auto"/>
        <w:left w:val="none" w:sz="0" w:space="0" w:color="auto"/>
        <w:bottom w:val="none" w:sz="0" w:space="0" w:color="auto"/>
        <w:right w:val="none" w:sz="0" w:space="0" w:color="auto"/>
      </w:divBdr>
    </w:div>
    <w:div w:id="1973708937">
      <w:bodyDiv w:val="1"/>
      <w:marLeft w:val="0"/>
      <w:marRight w:val="0"/>
      <w:marTop w:val="0"/>
      <w:marBottom w:val="0"/>
      <w:divBdr>
        <w:top w:val="none" w:sz="0" w:space="0" w:color="auto"/>
        <w:left w:val="none" w:sz="0" w:space="0" w:color="auto"/>
        <w:bottom w:val="none" w:sz="0" w:space="0" w:color="auto"/>
        <w:right w:val="none" w:sz="0" w:space="0" w:color="auto"/>
      </w:divBdr>
    </w:div>
    <w:div w:id="1976444119">
      <w:bodyDiv w:val="1"/>
      <w:marLeft w:val="0"/>
      <w:marRight w:val="0"/>
      <w:marTop w:val="0"/>
      <w:marBottom w:val="0"/>
      <w:divBdr>
        <w:top w:val="none" w:sz="0" w:space="0" w:color="auto"/>
        <w:left w:val="none" w:sz="0" w:space="0" w:color="auto"/>
        <w:bottom w:val="none" w:sz="0" w:space="0" w:color="auto"/>
        <w:right w:val="none" w:sz="0" w:space="0" w:color="auto"/>
      </w:divBdr>
    </w:div>
    <w:div w:id="2028680394">
      <w:bodyDiv w:val="1"/>
      <w:marLeft w:val="0"/>
      <w:marRight w:val="0"/>
      <w:marTop w:val="0"/>
      <w:marBottom w:val="0"/>
      <w:divBdr>
        <w:top w:val="none" w:sz="0" w:space="0" w:color="auto"/>
        <w:left w:val="none" w:sz="0" w:space="0" w:color="auto"/>
        <w:bottom w:val="none" w:sz="0" w:space="0" w:color="auto"/>
        <w:right w:val="none" w:sz="0" w:space="0" w:color="auto"/>
      </w:divBdr>
    </w:div>
    <w:div w:id="2049985002">
      <w:bodyDiv w:val="1"/>
      <w:marLeft w:val="0"/>
      <w:marRight w:val="0"/>
      <w:marTop w:val="0"/>
      <w:marBottom w:val="0"/>
      <w:divBdr>
        <w:top w:val="none" w:sz="0" w:space="0" w:color="auto"/>
        <w:left w:val="none" w:sz="0" w:space="0" w:color="auto"/>
        <w:bottom w:val="none" w:sz="0" w:space="0" w:color="auto"/>
        <w:right w:val="none" w:sz="0" w:space="0" w:color="auto"/>
      </w:divBdr>
    </w:div>
    <w:div w:id="21077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pilotto@gallie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Segnaposto1</b:Tag>
    <b:SourceType>Book</b:SourceType>
    <b:Guid>{70DDB3CD-F9BB-4DD2-B7B8-60C1E8FC50E1}</b:Guid>
    <b:RefOrder>1</b:RefOrder>
  </b:Source>
</b:Sources>
</file>

<file path=customXml/itemProps1.xml><?xml version="1.0" encoding="utf-8"?>
<ds:datastoreItem xmlns:ds="http://schemas.openxmlformats.org/officeDocument/2006/customXml" ds:itemID="{453E134B-5409-463E-8CB7-F79F7C92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11798</Words>
  <Characters>67255</Characters>
  <Application>Microsoft Office Word</Application>
  <DocSecurity>0</DocSecurity>
  <Lines>560</Lines>
  <Paragraphs>157</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78896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Lee Smith</cp:lastModifiedBy>
  <cp:revision>2</cp:revision>
  <dcterms:created xsi:type="dcterms:W3CDTF">2019-10-02T19:45:00Z</dcterms:created>
  <dcterms:modified xsi:type="dcterms:W3CDTF">2019-10-02T19:45:00Z</dcterms:modified>
</cp:coreProperties>
</file>