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7C02" w14:textId="1E333631" w:rsidR="009D7EAC" w:rsidRPr="00B647EF" w:rsidRDefault="009D7EAC" w:rsidP="004747C3">
      <w:pPr>
        <w:spacing w:line="480" w:lineRule="auto"/>
        <w:jc w:val="both"/>
        <w:rPr>
          <w:b/>
          <w:sz w:val="22"/>
          <w:szCs w:val="22"/>
          <w:lang w:val="en-US"/>
        </w:rPr>
      </w:pPr>
      <w:r w:rsidRPr="00B647EF">
        <w:rPr>
          <w:b/>
          <w:sz w:val="22"/>
          <w:szCs w:val="22"/>
          <w:lang w:val="en-US"/>
        </w:rPr>
        <w:t>FACTORS</w:t>
      </w:r>
      <w:r w:rsidR="004D6A51" w:rsidRPr="00B647EF">
        <w:rPr>
          <w:b/>
          <w:sz w:val="22"/>
          <w:szCs w:val="22"/>
          <w:lang w:val="en-US"/>
        </w:rPr>
        <w:t xml:space="preserve"> THAT INCREASE RISK OF FALL</w:t>
      </w:r>
      <w:r w:rsidR="00F500A0" w:rsidRPr="00B647EF">
        <w:rPr>
          <w:b/>
          <w:sz w:val="22"/>
          <w:szCs w:val="22"/>
          <w:lang w:val="en-US"/>
        </w:rPr>
        <w:t>I</w:t>
      </w:r>
      <w:r w:rsidR="004D6A51" w:rsidRPr="00B647EF">
        <w:rPr>
          <w:b/>
          <w:sz w:val="22"/>
          <w:szCs w:val="22"/>
          <w:lang w:val="en-US"/>
        </w:rPr>
        <w:t>NG</w:t>
      </w:r>
      <w:r w:rsidRPr="00B647EF">
        <w:rPr>
          <w:b/>
          <w:sz w:val="22"/>
          <w:szCs w:val="22"/>
          <w:lang w:val="en-US"/>
        </w:rPr>
        <w:t xml:space="preserve"> </w:t>
      </w:r>
      <w:r w:rsidR="002772FE" w:rsidRPr="00B647EF">
        <w:rPr>
          <w:b/>
          <w:sz w:val="22"/>
          <w:szCs w:val="22"/>
          <w:lang w:val="en-US"/>
        </w:rPr>
        <w:t>IN</w:t>
      </w:r>
      <w:r w:rsidRPr="00B647EF">
        <w:rPr>
          <w:b/>
          <w:sz w:val="22"/>
          <w:szCs w:val="22"/>
          <w:lang w:val="en-US"/>
        </w:rPr>
        <w:t xml:space="preserve"> OLDER MEN ACCORDING TO FOUR DIFFERENT CLINICAL METHODS</w:t>
      </w:r>
    </w:p>
    <w:p w14:paraId="6EE1E6E6" w14:textId="77777777" w:rsidR="0092687F" w:rsidRPr="00B647EF" w:rsidRDefault="0092687F" w:rsidP="0092687F">
      <w:pPr>
        <w:spacing w:after="160" w:line="480" w:lineRule="auto"/>
        <w:rPr>
          <w:b/>
          <w:sz w:val="22"/>
          <w:szCs w:val="22"/>
          <w:lang w:val="en-US"/>
        </w:rPr>
      </w:pPr>
    </w:p>
    <w:p w14:paraId="0922373B" w14:textId="77777777" w:rsidR="001216CB" w:rsidRPr="001216CB" w:rsidRDefault="001216CB" w:rsidP="001216CB">
      <w:pPr>
        <w:spacing w:after="160" w:line="480" w:lineRule="auto"/>
        <w:rPr>
          <w:b/>
          <w:sz w:val="22"/>
          <w:szCs w:val="22"/>
          <w:lang w:val="en-US"/>
        </w:rPr>
      </w:pPr>
      <w:proofErr w:type="spellStart"/>
      <w:r w:rsidRPr="001216CB">
        <w:rPr>
          <w:b/>
          <w:sz w:val="22"/>
          <w:szCs w:val="22"/>
          <w:lang w:val="en-US"/>
        </w:rPr>
        <w:t>Ozge</w:t>
      </w:r>
      <w:proofErr w:type="spellEnd"/>
      <w:r w:rsidRPr="001216CB">
        <w:rPr>
          <w:b/>
          <w:sz w:val="22"/>
          <w:szCs w:val="22"/>
          <w:lang w:val="en-US"/>
        </w:rPr>
        <w:t xml:space="preserve"> DOKUZLAR, M.D.</w:t>
      </w:r>
    </w:p>
    <w:p w14:paraId="00AD774D" w14:textId="77777777" w:rsidR="001216CB" w:rsidRPr="001216CB" w:rsidRDefault="001216CB" w:rsidP="001216CB">
      <w:pPr>
        <w:spacing w:after="160" w:line="480" w:lineRule="auto"/>
        <w:rPr>
          <w:sz w:val="22"/>
          <w:szCs w:val="22"/>
          <w:lang w:val="en-US"/>
        </w:rPr>
      </w:pPr>
      <w:r w:rsidRPr="001216CB">
        <w:rPr>
          <w:sz w:val="22"/>
          <w:szCs w:val="22"/>
          <w:lang w:val="en-US"/>
        </w:rPr>
        <w:t xml:space="preserve">Department of Geriatric Medicine, </w:t>
      </w:r>
      <w:proofErr w:type="spellStart"/>
      <w:r w:rsidRPr="001216CB">
        <w:rPr>
          <w:sz w:val="22"/>
          <w:szCs w:val="22"/>
          <w:lang w:val="en-US"/>
        </w:rPr>
        <w:t>Dokuz</w:t>
      </w:r>
      <w:proofErr w:type="spellEnd"/>
      <w:r w:rsidRPr="001216CB">
        <w:rPr>
          <w:sz w:val="22"/>
          <w:szCs w:val="22"/>
          <w:lang w:val="en-US"/>
        </w:rPr>
        <w:t xml:space="preserve"> </w:t>
      </w:r>
      <w:proofErr w:type="spellStart"/>
      <w:r w:rsidRPr="001216CB">
        <w:rPr>
          <w:sz w:val="22"/>
          <w:szCs w:val="22"/>
          <w:lang w:val="en-US"/>
        </w:rPr>
        <w:t>Eylul</w:t>
      </w:r>
      <w:proofErr w:type="spellEnd"/>
      <w:r w:rsidRPr="001216CB">
        <w:rPr>
          <w:sz w:val="22"/>
          <w:szCs w:val="22"/>
          <w:lang w:val="en-US"/>
        </w:rPr>
        <w:t xml:space="preserve"> University, Faculty of Medicine, Izmir, Turkey</w:t>
      </w:r>
    </w:p>
    <w:p w14:paraId="19C6868A" w14:textId="77777777" w:rsidR="001216CB" w:rsidRPr="001216CB" w:rsidRDefault="001216CB" w:rsidP="001216CB">
      <w:pPr>
        <w:spacing w:after="160" w:line="480" w:lineRule="auto"/>
        <w:rPr>
          <w:b/>
          <w:sz w:val="22"/>
          <w:szCs w:val="22"/>
          <w:lang w:val="en-US"/>
        </w:rPr>
      </w:pPr>
      <w:proofErr w:type="spellStart"/>
      <w:r w:rsidRPr="001216CB">
        <w:rPr>
          <w:b/>
          <w:sz w:val="22"/>
          <w:szCs w:val="22"/>
          <w:lang w:val="en-US"/>
        </w:rPr>
        <w:t>Saadet</w:t>
      </w:r>
      <w:proofErr w:type="spellEnd"/>
      <w:r w:rsidRPr="001216CB">
        <w:rPr>
          <w:b/>
          <w:sz w:val="22"/>
          <w:szCs w:val="22"/>
          <w:lang w:val="en-US"/>
        </w:rPr>
        <w:t xml:space="preserve"> KOC OKUDUR, M.D.</w:t>
      </w:r>
    </w:p>
    <w:p w14:paraId="70240D22" w14:textId="77777777" w:rsidR="001216CB" w:rsidRPr="001216CB" w:rsidRDefault="001216CB" w:rsidP="001216CB">
      <w:pPr>
        <w:spacing w:after="160" w:line="480" w:lineRule="auto"/>
        <w:rPr>
          <w:sz w:val="22"/>
          <w:szCs w:val="22"/>
          <w:lang w:val="en-US"/>
        </w:rPr>
      </w:pPr>
      <w:r w:rsidRPr="001216CB">
        <w:rPr>
          <w:sz w:val="22"/>
          <w:szCs w:val="22"/>
          <w:lang w:val="en-US"/>
        </w:rPr>
        <w:t xml:space="preserve">Department of Geriatric Medicine, </w:t>
      </w:r>
      <w:proofErr w:type="spellStart"/>
      <w:r w:rsidRPr="001216CB">
        <w:rPr>
          <w:sz w:val="22"/>
          <w:szCs w:val="22"/>
          <w:lang w:val="en-US"/>
        </w:rPr>
        <w:t>Manisa</w:t>
      </w:r>
      <w:proofErr w:type="spellEnd"/>
      <w:r w:rsidRPr="001216CB">
        <w:rPr>
          <w:sz w:val="22"/>
          <w:szCs w:val="22"/>
          <w:lang w:val="en-US"/>
        </w:rPr>
        <w:t xml:space="preserve"> State Hospital, </w:t>
      </w:r>
      <w:proofErr w:type="spellStart"/>
      <w:r w:rsidRPr="001216CB">
        <w:rPr>
          <w:sz w:val="22"/>
          <w:szCs w:val="22"/>
          <w:lang w:val="en-US"/>
        </w:rPr>
        <w:t>Manisa</w:t>
      </w:r>
      <w:proofErr w:type="spellEnd"/>
      <w:r w:rsidRPr="001216CB">
        <w:rPr>
          <w:sz w:val="22"/>
          <w:szCs w:val="22"/>
          <w:lang w:val="en-US"/>
        </w:rPr>
        <w:t>, Turkey</w:t>
      </w:r>
    </w:p>
    <w:p w14:paraId="3218D51D" w14:textId="77777777" w:rsidR="001216CB" w:rsidRPr="001216CB" w:rsidRDefault="001216CB" w:rsidP="001216CB">
      <w:pPr>
        <w:spacing w:after="160" w:line="480" w:lineRule="auto"/>
        <w:rPr>
          <w:b/>
          <w:sz w:val="22"/>
          <w:szCs w:val="22"/>
          <w:lang w:val="en-US"/>
        </w:rPr>
      </w:pPr>
      <w:r w:rsidRPr="001216CB">
        <w:rPr>
          <w:b/>
          <w:sz w:val="22"/>
          <w:szCs w:val="22"/>
          <w:lang w:val="en-US"/>
        </w:rPr>
        <w:t>Pinar SOYSAL, M.D., Associate Professor</w:t>
      </w:r>
    </w:p>
    <w:p w14:paraId="7DB49039" w14:textId="77777777" w:rsidR="001216CB" w:rsidRPr="001216CB" w:rsidRDefault="001216CB" w:rsidP="001216CB">
      <w:pPr>
        <w:spacing w:after="160" w:line="480" w:lineRule="auto"/>
        <w:rPr>
          <w:sz w:val="22"/>
          <w:szCs w:val="22"/>
          <w:lang w:val="en-US"/>
        </w:rPr>
      </w:pPr>
      <w:r w:rsidRPr="001216CB">
        <w:rPr>
          <w:sz w:val="22"/>
          <w:szCs w:val="22"/>
          <w:lang w:val="en-US"/>
        </w:rPr>
        <w:t xml:space="preserve">Department of Geriatric Medicine, </w:t>
      </w:r>
      <w:proofErr w:type="spellStart"/>
      <w:r w:rsidRPr="001216CB">
        <w:rPr>
          <w:sz w:val="22"/>
          <w:szCs w:val="22"/>
          <w:lang w:val="en-US"/>
        </w:rPr>
        <w:t>Bezmialem</w:t>
      </w:r>
      <w:proofErr w:type="spellEnd"/>
      <w:r w:rsidRPr="001216CB">
        <w:rPr>
          <w:sz w:val="22"/>
          <w:szCs w:val="22"/>
          <w:lang w:val="en-US"/>
        </w:rPr>
        <w:t xml:space="preserve"> </w:t>
      </w:r>
      <w:proofErr w:type="spellStart"/>
      <w:r w:rsidRPr="001216CB">
        <w:rPr>
          <w:sz w:val="22"/>
          <w:szCs w:val="22"/>
          <w:lang w:val="en-US"/>
        </w:rPr>
        <w:t>Vakif</w:t>
      </w:r>
      <w:proofErr w:type="spellEnd"/>
      <w:r w:rsidRPr="001216CB">
        <w:rPr>
          <w:sz w:val="22"/>
          <w:szCs w:val="22"/>
          <w:lang w:val="en-US"/>
        </w:rPr>
        <w:t xml:space="preserve"> University, Faculty of Medicine, Istanbul, Turkey</w:t>
      </w:r>
    </w:p>
    <w:p w14:paraId="130DE0FB" w14:textId="77777777" w:rsidR="001216CB" w:rsidRPr="001216CB" w:rsidRDefault="001216CB" w:rsidP="001216CB">
      <w:pPr>
        <w:spacing w:after="160" w:line="480" w:lineRule="auto"/>
        <w:rPr>
          <w:b/>
          <w:sz w:val="22"/>
          <w:szCs w:val="22"/>
          <w:lang w:val="en-US"/>
        </w:rPr>
      </w:pPr>
      <w:r w:rsidRPr="001216CB">
        <w:rPr>
          <w:b/>
          <w:sz w:val="22"/>
          <w:szCs w:val="22"/>
          <w:lang w:val="en-US"/>
        </w:rPr>
        <w:t>Suleyman Emre KOCYIGIT</w:t>
      </w:r>
    </w:p>
    <w:p w14:paraId="167CC3D8" w14:textId="77777777" w:rsidR="001216CB" w:rsidRPr="001216CB" w:rsidRDefault="001216CB" w:rsidP="001216CB">
      <w:pPr>
        <w:spacing w:after="160" w:line="480" w:lineRule="auto"/>
        <w:rPr>
          <w:sz w:val="22"/>
          <w:szCs w:val="22"/>
          <w:lang w:val="en-US"/>
        </w:rPr>
      </w:pPr>
      <w:r w:rsidRPr="001216CB">
        <w:rPr>
          <w:sz w:val="22"/>
          <w:szCs w:val="22"/>
          <w:lang w:val="en-US"/>
        </w:rPr>
        <w:t xml:space="preserve">Department of Geriatric Medicine, </w:t>
      </w:r>
      <w:proofErr w:type="spellStart"/>
      <w:r w:rsidRPr="001216CB">
        <w:rPr>
          <w:sz w:val="22"/>
          <w:szCs w:val="22"/>
          <w:lang w:val="en-US"/>
        </w:rPr>
        <w:t>Dokuz</w:t>
      </w:r>
      <w:proofErr w:type="spellEnd"/>
      <w:r w:rsidRPr="001216CB">
        <w:rPr>
          <w:sz w:val="22"/>
          <w:szCs w:val="22"/>
          <w:lang w:val="en-US"/>
        </w:rPr>
        <w:t xml:space="preserve"> </w:t>
      </w:r>
      <w:proofErr w:type="spellStart"/>
      <w:r w:rsidRPr="001216CB">
        <w:rPr>
          <w:sz w:val="22"/>
          <w:szCs w:val="22"/>
          <w:lang w:val="en-US"/>
        </w:rPr>
        <w:t>Eylul</w:t>
      </w:r>
      <w:proofErr w:type="spellEnd"/>
      <w:r w:rsidRPr="001216CB">
        <w:rPr>
          <w:sz w:val="22"/>
          <w:szCs w:val="22"/>
          <w:lang w:val="en-US"/>
        </w:rPr>
        <w:t xml:space="preserve"> University, Faculty of Medicine, Izmir, Turkey</w:t>
      </w:r>
    </w:p>
    <w:p w14:paraId="4B71F3F5" w14:textId="77777777" w:rsidR="001216CB" w:rsidRPr="001216CB" w:rsidRDefault="001216CB" w:rsidP="001216CB">
      <w:pPr>
        <w:spacing w:after="160" w:line="480" w:lineRule="auto"/>
        <w:rPr>
          <w:b/>
          <w:sz w:val="22"/>
          <w:szCs w:val="22"/>
          <w:lang w:val="en-US"/>
        </w:rPr>
      </w:pPr>
      <w:proofErr w:type="spellStart"/>
      <w:r w:rsidRPr="001216CB">
        <w:rPr>
          <w:b/>
          <w:sz w:val="22"/>
          <w:szCs w:val="22"/>
          <w:lang w:val="en-US"/>
        </w:rPr>
        <w:t>Idil</w:t>
      </w:r>
      <w:proofErr w:type="spellEnd"/>
      <w:r w:rsidRPr="001216CB">
        <w:rPr>
          <w:b/>
          <w:sz w:val="22"/>
          <w:szCs w:val="22"/>
          <w:lang w:val="en-US"/>
        </w:rPr>
        <w:t xml:space="preserve"> YAVUZ, PhD.</w:t>
      </w:r>
    </w:p>
    <w:p w14:paraId="6DA8EA93" w14:textId="77777777" w:rsidR="001216CB" w:rsidRPr="001216CB" w:rsidRDefault="001216CB" w:rsidP="001216CB">
      <w:pPr>
        <w:spacing w:after="160" w:line="480" w:lineRule="auto"/>
        <w:rPr>
          <w:sz w:val="22"/>
          <w:szCs w:val="22"/>
          <w:lang w:val="en-US"/>
        </w:rPr>
      </w:pPr>
      <w:r w:rsidRPr="001216CB">
        <w:rPr>
          <w:sz w:val="22"/>
          <w:szCs w:val="22"/>
          <w:lang w:val="en-US"/>
        </w:rPr>
        <w:t xml:space="preserve">Department of Statistics, </w:t>
      </w:r>
      <w:proofErr w:type="spellStart"/>
      <w:r w:rsidRPr="001216CB">
        <w:rPr>
          <w:sz w:val="22"/>
          <w:szCs w:val="22"/>
          <w:lang w:val="en-US"/>
        </w:rPr>
        <w:t>Dokuz</w:t>
      </w:r>
      <w:proofErr w:type="spellEnd"/>
      <w:r w:rsidRPr="001216CB">
        <w:rPr>
          <w:sz w:val="22"/>
          <w:szCs w:val="22"/>
          <w:lang w:val="en-US"/>
        </w:rPr>
        <w:t xml:space="preserve"> </w:t>
      </w:r>
      <w:proofErr w:type="spellStart"/>
      <w:r w:rsidRPr="001216CB">
        <w:rPr>
          <w:sz w:val="22"/>
          <w:szCs w:val="22"/>
          <w:lang w:val="en-US"/>
        </w:rPr>
        <w:t>Eylul</w:t>
      </w:r>
      <w:proofErr w:type="spellEnd"/>
      <w:r w:rsidRPr="001216CB">
        <w:rPr>
          <w:sz w:val="22"/>
          <w:szCs w:val="22"/>
          <w:lang w:val="en-US"/>
        </w:rPr>
        <w:t xml:space="preserve"> University, Faculty of Science, Izmir, Turkey</w:t>
      </w:r>
    </w:p>
    <w:p w14:paraId="043BEAD0" w14:textId="465480EA" w:rsidR="001216CB" w:rsidRPr="001216CB" w:rsidRDefault="001216CB" w:rsidP="001216CB">
      <w:pPr>
        <w:spacing w:after="160" w:line="480" w:lineRule="auto"/>
        <w:rPr>
          <w:b/>
          <w:sz w:val="22"/>
          <w:szCs w:val="22"/>
          <w:lang w:val="en-US"/>
        </w:rPr>
      </w:pPr>
      <w:r w:rsidRPr="001216CB">
        <w:rPr>
          <w:b/>
          <w:sz w:val="22"/>
          <w:szCs w:val="22"/>
          <w:lang w:val="en-US"/>
        </w:rPr>
        <w:t xml:space="preserve">Lee SMITH, </w:t>
      </w:r>
      <w:r w:rsidR="00BC5B69">
        <w:rPr>
          <w:b/>
          <w:sz w:val="22"/>
          <w:szCs w:val="22"/>
          <w:lang w:val="en-US"/>
        </w:rPr>
        <w:t>PhD</w:t>
      </w:r>
      <w:r w:rsidRPr="001216CB">
        <w:rPr>
          <w:b/>
          <w:sz w:val="22"/>
          <w:szCs w:val="22"/>
          <w:lang w:val="en-US"/>
        </w:rPr>
        <w:t>.</w:t>
      </w:r>
    </w:p>
    <w:p w14:paraId="09ABE623" w14:textId="77777777" w:rsidR="001216CB" w:rsidRPr="001216CB" w:rsidRDefault="001216CB" w:rsidP="001216CB">
      <w:pPr>
        <w:spacing w:after="160" w:line="480" w:lineRule="auto"/>
        <w:rPr>
          <w:sz w:val="22"/>
          <w:szCs w:val="22"/>
          <w:lang w:val="en-US"/>
        </w:rPr>
      </w:pPr>
      <w:r w:rsidRPr="001216CB">
        <w:rPr>
          <w:sz w:val="22"/>
          <w:szCs w:val="22"/>
          <w:lang w:val="en-US"/>
        </w:rPr>
        <w:t>The Cambridge Centre for Sport and Exercise Sciences, Anglia Ruskin University, Cambridge, United Kingdom</w:t>
      </w:r>
    </w:p>
    <w:p w14:paraId="22A88583" w14:textId="77777777" w:rsidR="001216CB" w:rsidRPr="001216CB" w:rsidRDefault="001216CB" w:rsidP="001216CB">
      <w:pPr>
        <w:spacing w:after="160" w:line="480" w:lineRule="auto"/>
        <w:rPr>
          <w:b/>
          <w:sz w:val="22"/>
          <w:szCs w:val="22"/>
          <w:lang w:val="en-US"/>
        </w:rPr>
      </w:pPr>
      <w:proofErr w:type="spellStart"/>
      <w:r w:rsidRPr="001216CB">
        <w:rPr>
          <w:b/>
          <w:sz w:val="22"/>
          <w:szCs w:val="22"/>
          <w:lang w:val="en-US"/>
        </w:rPr>
        <w:t>Esra</w:t>
      </w:r>
      <w:proofErr w:type="spellEnd"/>
      <w:r w:rsidRPr="001216CB">
        <w:rPr>
          <w:b/>
          <w:sz w:val="22"/>
          <w:szCs w:val="22"/>
          <w:lang w:val="en-US"/>
        </w:rPr>
        <w:t xml:space="preserve"> ATES BULUT, M.D.</w:t>
      </w:r>
    </w:p>
    <w:p w14:paraId="3616C04B" w14:textId="77777777" w:rsidR="001216CB" w:rsidRPr="001216CB" w:rsidRDefault="001216CB" w:rsidP="001216CB">
      <w:pPr>
        <w:spacing w:after="160" w:line="480" w:lineRule="auto"/>
        <w:rPr>
          <w:sz w:val="22"/>
          <w:szCs w:val="22"/>
          <w:lang w:val="en-US"/>
        </w:rPr>
      </w:pPr>
      <w:r w:rsidRPr="001216CB">
        <w:rPr>
          <w:sz w:val="22"/>
          <w:szCs w:val="22"/>
          <w:lang w:val="en-US"/>
        </w:rPr>
        <w:t xml:space="preserve">Department of Geriatric Medicine, </w:t>
      </w:r>
      <w:proofErr w:type="spellStart"/>
      <w:r w:rsidRPr="001216CB">
        <w:rPr>
          <w:sz w:val="22"/>
          <w:szCs w:val="22"/>
          <w:lang w:val="en-US"/>
        </w:rPr>
        <w:t>Dokuz</w:t>
      </w:r>
      <w:proofErr w:type="spellEnd"/>
      <w:r w:rsidRPr="001216CB">
        <w:rPr>
          <w:sz w:val="22"/>
          <w:szCs w:val="22"/>
          <w:lang w:val="en-US"/>
        </w:rPr>
        <w:t xml:space="preserve"> </w:t>
      </w:r>
      <w:proofErr w:type="spellStart"/>
      <w:r w:rsidRPr="001216CB">
        <w:rPr>
          <w:sz w:val="22"/>
          <w:szCs w:val="22"/>
          <w:lang w:val="en-US"/>
        </w:rPr>
        <w:t>Eylul</w:t>
      </w:r>
      <w:proofErr w:type="spellEnd"/>
      <w:r w:rsidRPr="001216CB">
        <w:rPr>
          <w:sz w:val="22"/>
          <w:szCs w:val="22"/>
          <w:lang w:val="en-US"/>
        </w:rPr>
        <w:t xml:space="preserve"> University, Faculty of Medicine, Izmir, Turkey</w:t>
      </w:r>
    </w:p>
    <w:p w14:paraId="21DBBE96" w14:textId="77777777" w:rsidR="001216CB" w:rsidRPr="001216CB" w:rsidRDefault="001216CB" w:rsidP="001216CB">
      <w:pPr>
        <w:spacing w:after="160" w:line="480" w:lineRule="auto"/>
        <w:rPr>
          <w:b/>
          <w:sz w:val="22"/>
          <w:szCs w:val="22"/>
          <w:lang w:val="en-US"/>
        </w:rPr>
      </w:pPr>
      <w:r w:rsidRPr="001216CB">
        <w:rPr>
          <w:b/>
          <w:sz w:val="22"/>
          <w:szCs w:val="22"/>
          <w:lang w:val="en-US"/>
        </w:rPr>
        <w:t xml:space="preserve">Ahmet </w:t>
      </w:r>
      <w:proofErr w:type="spellStart"/>
      <w:r w:rsidRPr="001216CB">
        <w:rPr>
          <w:b/>
          <w:sz w:val="22"/>
          <w:szCs w:val="22"/>
          <w:lang w:val="en-US"/>
        </w:rPr>
        <w:t>Turan</w:t>
      </w:r>
      <w:proofErr w:type="spellEnd"/>
      <w:r w:rsidRPr="001216CB">
        <w:rPr>
          <w:b/>
          <w:sz w:val="22"/>
          <w:szCs w:val="22"/>
          <w:lang w:val="en-US"/>
        </w:rPr>
        <w:t xml:space="preserve"> ISIK, M.D., Professor</w:t>
      </w:r>
    </w:p>
    <w:p w14:paraId="10FF5CC2" w14:textId="77777777" w:rsidR="001216CB" w:rsidRDefault="001216CB" w:rsidP="001216CB">
      <w:pPr>
        <w:spacing w:after="160" w:line="480" w:lineRule="auto"/>
        <w:rPr>
          <w:sz w:val="22"/>
          <w:szCs w:val="22"/>
          <w:lang w:val="en-US"/>
        </w:rPr>
      </w:pPr>
      <w:r w:rsidRPr="001216CB">
        <w:rPr>
          <w:sz w:val="22"/>
          <w:szCs w:val="22"/>
          <w:lang w:val="en-US"/>
        </w:rPr>
        <w:t xml:space="preserve">Unit for Aging Brain and Dementia, Department of Geriatric Medicine, </w:t>
      </w:r>
      <w:proofErr w:type="spellStart"/>
      <w:r w:rsidRPr="001216CB">
        <w:rPr>
          <w:sz w:val="22"/>
          <w:szCs w:val="22"/>
          <w:lang w:val="en-US"/>
        </w:rPr>
        <w:t>Dokuz</w:t>
      </w:r>
      <w:proofErr w:type="spellEnd"/>
      <w:r w:rsidRPr="001216CB">
        <w:rPr>
          <w:sz w:val="22"/>
          <w:szCs w:val="22"/>
          <w:lang w:val="en-US"/>
        </w:rPr>
        <w:t xml:space="preserve"> </w:t>
      </w:r>
      <w:proofErr w:type="spellStart"/>
      <w:r w:rsidRPr="001216CB">
        <w:rPr>
          <w:sz w:val="22"/>
          <w:szCs w:val="22"/>
          <w:lang w:val="en-US"/>
        </w:rPr>
        <w:t>Eylul</w:t>
      </w:r>
      <w:proofErr w:type="spellEnd"/>
      <w:r w:rsidRPr="001216CB">
        <w:rPr>
          <w:sz w:val="22"/>
          <w:szCs w:val="22"/>
          <w:lang w:val="en-US"/>
        </w:rPr>
        <w:t xml:space="preserve"> University, Faculty of Medicine, Izmir, Turkey</w:t>
      </w:r>
    </w:p>
    <w:p w14:paraId="58292CB9" w14:textId="1FBC2C62" w:rsidR="001216CB" w:rsidRPr="001216CB" w:rsidRDefault="001216CB" w:rsidP="001216CB">
      <w:pPr>
        <w:spacing w:after="160" w:line="480" w:lineRule="auto"/>
        <w:rPr>
          <w:sz w:val="22"/>
          <w:szCs w:val="22"/>
          <w:lang w:val="en-US"/>
        </w:rPr>
      </w:pPr>
      <w:r w:rsidRPr="001216CB">
        <w:rPr>
          <w:b/>
          <w:sz w:val="22"/>
          <w:szCs w:val="22"/>
          <w:lang w:val="en-US"/>
        </w:rPr>
        <w:lastRenderedPageBreak/>
        <w:t xml:space="preserve">Correspondence to: </w:t>
      </w:r>
    </w:p>
    <w:p w14:paraId="3EA5A7FF" w14:textId="77777777" w:rsidR="001216CB" w:rsidRPr="001216CB" w:rsidRDefault="001216CB" w:rsidP="001216CB">
      <w:pPr>
        <w:spacing w:after="160" w:line="480" w:lineRule="auto"/>
        <w:rPr>
          <w:sz w:val="22"/>
          <w:szCs w:val="22"/>
          <w:lang w:val="en-US"/>
        </w:rPr>
      </w:pPr>
      <w:r w:rsidRPr="001216CB">
        <w:rPr>
          <w:sz w:val="22"/>
          <w:szCs w:val="22"/>
          <w:lang w:val="en-US"/>
        </w:rPr>
        <w:t xml:space="preserve">Ahmet </w:t>
      </w:r>
      <w:proofErr w:type="spellStart"/>
      <w:r w:rsidRPr="001216CB">
        <w:rPr>
          <w:sz w:val="22"/>
          <w:szCs w:val="22"/>
          <w:lang w:val="en-US"/>
        </w:rPr>
        <w:t>Turan</w:t>
      </w:r>
      <w:proofErr w:type="spellEnd"/>
      <w:r w:rsidRPr="001216CB">
        <w:rPr>
          <w:sz w:val="22"/>
          <w:szCs w:val="22"/>
          <w:lang w:val="en-US"/>
        </w:rPr>
        <w:t xml:space="preserve"> ISIK, M.D., </w:t>
      </w:r>
    </w:p>
    <w:p w14:paraId="742AC5F6" w14:textId="77777777" w:rsidR="001216CB" w:rsidRPr="001216CB" w:rsidRDefault="001216CB" w:rsidP="001216CB">
      <w:pPr>
        <w:spacing w:after="160" w:line="480" w:lineRule="auto"/>
        <w:rPr>
          <w:sz w:val="22"/>
          <w:szCs w:val="22"/>
          <w:lang w:val="en-US"/>
        </w:rPr>
      </w:pPr>
      <w:r w:rsidRPr="001216CB">
        <w:rPr>
          <w:sz w:val="22"/>
          <w:szCs w:val="22"/>
          <w:lang w:val="en-US"/>
        </w:rPr>
        <w:t xml:space="preserve">Unit for Aging Brain and Dementia, Department of Geriatric Medicine, </w:t>
      </w:r>
      <w:proofErr w:type="spellStart"/>
      <w:r w:rsidRPr="001216CB">
        <w:rPr>
          <w:sz w:val="22"/>
          <w:szCs w:val="22"/>
          <w:lang w:val="en-US"/>
        </w:rPr>
        <w:t>Dokuz</w:t>
      </w:r>
      <w:proofErr w:type="spellEnd"/>
      <w:r w:rsidRPr="001216CB">
        <w:rPr>
          <w:sz w:val="22"/>
          <w:szCs w:val="22"/>
          <w:lang w:val="en-US"/>
        </w:rPr>
        <w:t xml:space="preserve"> </w:t>
      </w:r>
      <w:proofErr w:type="spellStart"/>
      <w:r w:rsidRPr="001216CB">
        <w:rPr>
          <w:sz w:val="22"/>
          <w:szCs w:val="22"/>
          <w:lang w:val="en-US"/>
        </w:rPr>
        <w:t>Eylul</w:t>
      </w:r>
      <w:proofErr w:type="spellEnd"/>
      <w:r w:rsidRPr="001216CB">
        <w:rPr>
          <w:sz w:val="22"/>
          <w:szCs w:val="22"/>
          <w:lang w:val="en-US"/>
        </w:rPr>
        <w:t xml:space="preserve"> University, Faculty of Medicine, 35340, </w:t>
      </w:r>
      <w:proofErr w:type="spellStart"/>
      <w:r w:rsidRPr="001216CB">
        <w:rPr>
          <w:sz w:val="22"/>
          <w:szCs w:val="22"/>
          <w:lang w:val="en-US"/>
        </w:rPr>
        <w:t>Balcova</w:t>
      </w:r>
      <w:proofErr w:type="spellEnd"/>
      <w:r w:rsidRPr="001216CB">
        <w:rPr>
          <w:sz w:val="22"/>
          <w:szCs w:val="22"/>
          <w:lang w:val="en-US"/>
        </w:rPr>
        <w:t>, Izmir, Turkey</w:t>
      </w:r>
    </w:p>
    <w:p w14:paraId="27F976E3" w14:textId="77777777" w:rsidR="001216CB" w:rsidRPr="001216CB" w:rsidRDefault="001216CB" w:rsidP="001216CB">
      <w:pPr>
        <w:spacing w:after="160" w:line="480" w:lineRule="auto"/>
        <w:rPr>
          <w:sz w:val="22"/>
          <w:szCs w:val="22"/>
          <w:lang w:val="en-US"/>
        </w:rPr>
      </w:pPr>
      <w:r w:rsidRPr="001216CB">
        <w:rPr>
          <w:sz w:val="22"/>
          <w:szCs w:val="22"/>
          <w:lang w:val="en-US"/>
        </w:rPr>
        <w:t>+90 232 412 43 41</w:t>
      </w:r>
    </w:p>
    <w:p w14:paraId="2852BA82" w14:textId="77777777" w:rsidR="001216CB" w:rsidRPr="001216CB" w:rsidRDefault="001216CB" w:rsidP="001216CB">
      <w:pPr>
        <w:spacing w:after="160" w:line="480" w:lineRule="auto"/>
        <w:rPr>
          <w:sz w:val="22"/>
          <w:szCs w:val="22"/>
          <w:lang w:val="en-US"/>
        </w:rPr>
      </w:pPr>
      <w:r w:rsidRPr="001216CB">
        <w:rPr>
          <w:sz w:val="22"/>
          <w:szCs w:val="22"/>
          <w:lang w:val="en-US"/>
        </w:rPr>
        <w:t>atisik@yahoo.com</w:t>
      </w:r>
    </w:p>
    <w:p w14:paraId="500A5442" w14:textId="77777777" w:rsidR="001216CB" w:rsidRPr="001216CB" w:rsidRDefault="001216CB" w:rsidP="001216CB">
      <w:pPr>
        <w:spacing w:after="160" w:line="480" w:lineRule="auto"/>
        <w:rPr>
          <w:sz w:val="22"/>
          <w:szCs w:val="22"/>
          <w:lang w:val="en-US"/>
        </w:rPr>
      </w:pPr>
      <w:r w:rsidRPr="001216CB">
        <w:rPr>
          <w:sz w:val="22"/>
          <w:szCs w:val="22"/>
          <w:lang w:val="en-US"/>
        </w:rPr>
        <w:t>+90 232 412 43 39</w:t>
      </w:r>
    </w:p>
    <w:p w14:paraId="75AB4B75" w14:textId="77777777" w:rsidR="001216CB" w:rsidRDefault="001216CB" w:rsidP="001216CB">
      <w:pPr>
        <w:spacing w:after="160" w:line="480" w:lineRule="auto"/>
        <w:rPr>
          <w:b/>
          <w:sz w:val="22"/>
          <w:szCs w:val="22"/>
          <w:lang w:val="en-US"/>
        </w:rPr>
      </w:pPr>
    </w:p>
    <w:p w14:paraId="30ED24F8" w14:textId="77777777" w:rsidR="001216CB" w:rsidRDefault="001216CB" w:rsidP="001216CB">
      <w:pPr>
        <w:spacing w:after="160" w:line="480" w:lineRule="auto"/>
        <w:rPr>
          <w:b/>
          <w:sz w:val="22"/>
          <w:szCs w:val="22"/>
          <w:lang w:val="en-US"/>
        </w:rPr>
      </w:pPr>
    </w:p>
    <w:p w14:paraId="3F17E596" w14:textId="77777777" w:rsidR="001216CB" w:rsidRDefault="001216CB" w:rsidP="001216CB">
      <w:pPr>
        <w:spacing w:after="160" w:line="480" w:lineRule="auto"/>
        <w:rPr>
          <w:b/>
          <w:sz w:val="22"/>
          <w:szCs w:val="22"/>
          <w:lang w:val="en-US"/>
        </w:rPr>
      </w:pPr>
    </w:p>
    <w:p w14:paraId="3FE44C69" w14:textId="77777777" w:rsidR="001216CB" w:rsidRDefault="001216CB" w:rsidP="001216CB">
      <w:pPr>
        <w:spacing w:after="160" w:line="480" w:lineRule="auto"/>
        <w:rPr>
          <w:b/>
          <w:sz w:val="22"/>
          <w:szCs w:val="22"/>
          <w:lang w:val="en-US"/>
        </w:rPr>
      </w:pPr>
    </w:p>
    <w:p w14:paraId="1D929C46" w14:textId="77777777" w:rsidR="001216CB" w:rsidRDefault="001216CB" w:rsidP="001216CB">
      <w:pPr>
        <w:spacing w:after="160" w:line="480" w:lineRule="auto"/>
        <w:rPr>
          <w:b/>
          <w:sz w:val="22"/>
          <w:szCs w:val="22"/>
          <w:lang w:val="en-US"/>
        </w:rPr>
      </w:pPr>
    </w:p>
    <w:p w14:paraId="3D497EDA" w14:textId="77777777" w:rsidR="001216CB" w:rsidRDefault="001216CB" w:rsidP="001216CB">
      <w:pPr>
        <w:spacing w:after="160" w:line="480" w:lineRule="auto"/>
        <w:rPr>
          <w:b/>
          <w:sz w:val="22"/>
          <w:szCs w:val="22"/>
          <w:lang w:val="en-US"/>
        </w:rPr>
      </w:pPr>
    </w:p>
    <w:p w14:paraId="1BAB5100" w14:textId="77777777" w:rsidR="001216CB" w:rsidRDefault="001216CB" w:rsidP="001216CB">
      <w:pPr>
        <w:spacing w:after="160" w:line="480" w:lineRule="auto"/>
        <w:rPr>
          <w:b/>
          <w:sz w:val="22"/>
          <w:szCs w:val="22"/>
          <w:lang w:val="en-US"/>
        </w:rPr>
      </w:pPr>
    </w:p>
    <w:p w14:paraId="77161D8A" w14:textId="77777777" w:rsidR="001216CB" w:rsidRDefault="001216CB" w:rsidP="001216CB">
      <w:pPr>
        <w:spacing w:after="160" w:line="480" w:lineRule="auto"/>
        <w:rPr>
          <w:b/>
          <w:sz w:val="22"/>
          <w:szCs w:val="22"/>
          <w:lang w:val="en-US"/>
        </w:rPr>
      </w:pPr>
    </w:p>
    <w:p w14:paraId="693B1AAA" w14:textId="77777777" w:rsidR="001216CB" w:rsidRDefault="001216CB" w:rsidP="001216CB">
      <w:pPr>
        <w:spacing w:after="160" w:line="480" w:lineRule="auto"/>
        <w:rPr>
          <w:b/>
          <w:sz w:val="22"/>
          <w:szCs w:val="22"/>
          <w:lang w:val="en-US"/>
        </w:rPr>
      </w:pPr>
    </w:p>
    <w:p w14:paraId="538A8742" w14:textId="77777777" w:rsidR="001216CB" w:rsidRDefault="001216CB" w:rsidP="001216CB">
      <w:pPr>
        <w:spacing w:after="160" w:line="480" w:lineRule="auto"/>
        <w:rPr>
          <w:b/>
          <w:sz w:val="22"/>
          <w:szCs w:val="22"/>
          <w:lang w:val="en-US"/>
        </w:rPr>
      </w:pPr>
    </w:p>
    <w:p w14:paraId="688CEFDD" w14:textId="77777777" w:rsidR="001216CB" w:rsidRDefault="001216CB" w:rsidP="001216CB">
      <w:pPr>
        <w:spacing w:after="160" w:line="480" w:lineRule="auto"/>
        <w:rPr>
          <w:b/>
          <w:sz w:val="22"/>
          <w:szCs w:val="22"/>
          <w:lang w:val="en-US"/>
        </w:rPr>
      </w:pPr>
    </w:p>
    <w:p w14:paraId="44C018FE" w14:textId="77777777" w:rsidR="001216CB" w:rsidRDefault="001216CB" w:rsidP="001216CB">
      <w:pPr>
        <w:spacing w:after="160" w:line="480" w:lineRule="auto"/>
        <w:rPr>
          <w:b/>
          <w:sz w:val="22"/>
          <w:szCs w:val="22"/>
          <w:lang w:val="en-US"/>
        </w:rPr>
      </w:pPr>
    </w:p>
    <w:p w14:paraId="3DE5D195" w14:textId="77777777" w:rsidR="001216CB" w:rsidRDefault="001216CB" w:rsidP="001216CB">
      <w:pPr>
        <w:spacing w:after="160" w:line="480" w:lineRule="auto"/>
        <w:rPr>
          <w:b/>
          <w:sz w:val="22"/>
          <w:szCs w:val="22"/>
          <w:lang w:val="en-US"/>
        </w:rPr>
      </w:pPr>
    </w:p>
    <w:p w14:paraId="6553D785" w14:textId="77777777" w:rsidR="001216CB" w:rsidRDefault="001216CB" w:rsidP="001216CB">
      <w:pPr>
        <w:spacing w:after="160" w:line="480" w:lineRule="auto"/>
        <w:rPr>
          <w:b/>
          <w:sz w:val="22"/>
          <w:szCs w:val="22"/>
          <w:lang w:val="en-US"/>
        </w:rPr>
      </w:pPr>
    </w:p>
    <w:p w14:paraId="3728AE82" w14:textId="34A627DB" w:rsidR="0092687F" w:rsidRPr="00B647EF" w:rsidRDefault="009D7EAC" w:rsidP="001216CB">
      <w:pPr>
        <w:spacing w:after="160" w:line="480" w:lineRule="auto"/>
        <w:rPr>
          <w:b/>
          <w:sz w:val="22"/>
          <w:szCs w:val="22"/>
          <w:lang w:val="en-US"/>
        </w:rPr>
      </w:pPr>
      <w:r w:rsidRPr="00B647EF">
        <w:rPr>
          <w:b/>
          <w:sz w:val="22"/>
          <w:szCs w:val="22"/>
          <w:lang w:val="en-US"/>
        </w:rPr>
        <w:lastRenderedPageBreak/>
        <w:t>Abstract</w:t>
      </w:r>
      <w:r w:rsidR="000D5268" w:rsidRPr="00B647EF">
        <w:rPr>
          <w:b/>
          <w:sz w:val="22"/>
          <w:szCs w:val="22"/>
          <w:lang w:val="en-US"/>
        </w:rPr>
        <w:t xml:space="preserve"> </w:t>
      </w:r>
    </w:p>
    <w:p w14:paraId="27200CE9" w14:textId="77777777" w:rsidR="00B647EF" w:rsidRDefault="007A7806" w:rsidP="00B647EF">
      <w:pPr>
        <w:spacing w:after="160" w:line="480" w:lineRule="auto"/>
        <w:jc w:val="both"/>
        <w:rPr>
          <w:bCs/>
          <w:sz w:val="22"/>
          <w:szCs w:val="22"/>
          <w:lang w:val="en-US"/>
        </w:rPr>
      </w:pPr>
      <w:r w:rsidRPr="00B647EF">
        <w:rPr>
          <w:b/>
          <w:sz w:val="22"/>
          <w:szCs w:val="22"/>
          <w:lang w:val="en-US"/>
        </w:rPr>
        <w:t>Background</w:t>
      </w:r>
      <w:r w:rsidR="009D7EAC" w:rsidRPr="00B647EF">
        <w:rPr>
          <w:b/>
          <w:sz w:val="22"/>
          <w:szCs w:val="22"/>
          <w:lang w:val="en-US"/>
        </w:rPr>
        <w:t xml:space="preserve">: </w:t>
      </w:r>
      <w:r w:rsidR="00A60F1B" w:rsidRPr="00B647EF">
        <w:rPr>
          <w:sz w:val="22"/>
          <w:szCs w:val="22"/>
          <w:lang w:val="en-US"/>
        </w:rPr>
        <w:t xml:space="preserve">Falling is an important health problem for older men. </w:t>
      </w:r>
      <w:r w:rsidR="00A60F1B" w:rsidRPr="00B647EF">
        <w:rPr>
          <w:bCs/>
          <w:sz w:val="22"/>
          <w:szCs w:val="22"/>
          <w:lang w:val="en-US"/>
        </w:rPr>
        <w:t>In this study, we aim to identify factors that increase risk of falling in only older men using four different fall risk assessment methods.</w:t>
      </w:r>
    </w:p>
    <w:p w14:paraId="745E1F75" w14:textId="75505D81" w:rsidR="00B647EF" w:rsidRDefault="009D7EAC" w:rsidP="00B647EF">
      <w:pPr>
        <w:spacing w:after="160" w:line="480" w:lineRule="auto"/>
        <w:jc w:val="both"/>
        <w:rPr>
          <w:bCs/>
          <w:sz w:val="22"/>
          <w:szCs w:val="22"/>
          <w:lang w:val="en-US"/>
        </w:rPr>
      </w:pPr>
      <w:r w:rsidRPr="00B647EF">
        <w:rPr>
          <w:b/>
          <w:sz w:val="22"/>
          <w:szCs w:val="22"/>
          <w:lang w:val="en-US"/>
        </w:rPr>
        <w:t>Method:</w:t>
      </w:r>
      <w:r w:rsidRPr="00B647EF">
        <w:rPr>
          <w:sz w:val="22"/>
          <w:szCs w:val="22"/>
          <w:lang w:val="en-US"/>
        </w:rPr>
        <w:t xml:space="preserve"> </w:t>
      </w:r>
      <w:r w:rsidR="003E1166" w:rsidRPr="00B647EF">
        <w:rPr>
          <w:sz w:val="22"/>
          <w:szCs w:val="22"/>
          <w:lang w:val="en-US"/>
        </w:rPr>
        <w:t xml:space="preserve">334 men, who attended a geriatric outpatient clinic and underwent comprehensive geriatric assessment, were included in the study. History of falling last </w:t>
      </w:r>
      <w:r w:rsidR="00632C57" w:rsidRPr="00B647EF">
        <w:rPr>
          <w:sz w:val="22"/>
          <w:szCs w:val="22"/>
          <w:lang w:val="en-US"/>
        </w:rPr>
        <w:t>year, the Timed Up and Go</w:t>
      </w:r>
      <w:r w:rsidR="003E1166" w:rsidRPr="00B647EF">
        <w:rPr>
          <w:sz w:val="22"/>
          <w:szCs w:val="22"/>
          <w:lang w:val="en-US"/>
        </w:rPr>
        <w:t xml:space="preserve"> test, Performance-Ori</w:t>
      </w:r>
      <w:r w:rsidR="00632C57" w:rsidRPr="00B647EF">
        <w:rPr>
          <w:sz w:val="22"/>
          <w:szCs w:val="22"/>
          <w:lang w:val="en-US"/>
        </w:rPr>
        <w:t>ented Mobility Assessment</w:t>
      </w:r>
      <w:r w:rsidR="003E1166" w:rsidRPr="00B647EF">
        <w:rPr>
          <w:sz w:val="22"/>
          <w:szCs w:val="22"/>
          <w:lang w:val="en-US"/>
        </w:rPr>
        <w:t>, and 4-meter walking speed test were carried out on all patients.</w:t>
      </w:r>
    </w:p>
    <w:p w14:paraId="2E972F48" w14:textId="77777777" w:rsidR="00B647EF" w:rsidRDefault="003E1166" w:rsidP="00B647EF">
      <w:pPr>
        <w:spacing w:after="160" w:line="480" w:lineRule="auto"/>
        <w:jc w:val="both"/>
        <w:rPr>
          <w:bCs/>
          <w:sz w:val="22"/>
          <w:szCs w:val="22"/>
          <w:lang w:val="en-US"/>
        </w:rPr>
      </w:pPr>
      <w:r w:rsidRPr="00B647EF">
        <w:rPr>
          <w:b/>
          <w:sz w:val="22"/>
          <w:szCs w:val="22"/>
          <w:lang w:val="en-US"/>
        </w:rPr>
        <w:t xml:space="preserve">Results: </w:t>
      </w:r>
      <w:r w:rsidRPr="00B647EF">
        <w:rPr>
          <w:sz w:val="22"/>
          <w:szCs w:val="22"/>
          <w:lang w:val="en-US"/>
        </w:rPr>
        <w:t xml:space="preserve">The mean </w:t>
      </w:r>
      <w:r w:rsidR="001B6BFD" w:rsidRPr="00B647EF">
        <w:rPr>
          <w:sz w:val="22"/>
          <w:szCs w:val="22"/>
          <w:lang w:val="en-US"/>
        </w:rPr>
        <w:t>age (SD) of patients were 74.99</w:t>
      </w:r>
      <w:r w:rsidR="00A21FBE" w:rsidRPr="00B647EF">
        <w:rPr>
          <w:sz w:val="22"/>
          <w:szCs w:val="22"/>
          <w:lang w:val="en-US"/>
        </w:rPr>
        <w:t xml:space="preserve"> </w:t>
      </w:r>
      <w:r w:rsidRPr="00B647EF">
        <w:rPr>
          <w:sz w:val="22"/>
          <w:szCs w:val="22"/>
          <w:lang w:val="en-US"/>
        </w:rPr>
        <w:t xml:space="preserve">(7.26) years. </w:t>
      </w:r>
      <w:r w:rsidR="00BA2F89" w:rsidRPr="00B647EF">
        <w:rPr>
          <w:bCs/>
          <w:sz w:val="22"/>
          <w:szCs w:val="22"/>
          <w:lang w:val="en-US"/>
        </w:rPr>
        <w:t>According to all of the four clinical assessments to predict risk of falling</w:t>
      </w:r>
      <w:r w:rsidR="00451DD5" w:rsidRPr="00B647EF">
        <w:rPr>
          <w:bCs/>
          <w:sz w:val="22"/>
          <w:szCs w:val="22"/>
          <w:lang w:val="en-US"/>
        </w:rPr>
        <w:t xml:space="preserve"> the following risk factors for falling were identified</w:t>
      </w:r>
      <w:r w:rsidR="00BA2F89" w:rsidRPr="00B647EF">
        <w:rPr>
          <w:bCs/>
          <w:sz w:val="22"/>
          <w:szCs w:val="22"/>
          <w:lang w:val="en-US"/>
        </w:rPr>
        <w:t xml:space="preserve"> (</w:t>
      </w:r>
      <w:r w:rsidR="00451DD5" w:rsidRPr="00B647EF">
        <w:rPr>
          <w:bCs/>
          <w:sz w:val="22"/>
          <w:szCs w:val="22"/>
          <w:lang w:val="en-US"/>
        </w:rPr>
        <w:t xml:space="preserve">all </w:t>
      </w:r>
      <w:r w:rsidR="00BA2F89" w:rsidRPr="00B647EF">
        <w:rPr>
          <w:bCs/>
          <w:sz w:val="22"/>
          <w:szCs w:val="22"/>
          <w:lang w:val="en-US"/>
        </w:rPr>
        <w:t>p&lt;0.05)</w:t>
      </w:r>
      <w:r w:rsidRPr="00B647EF">
        <w:rPr>
          <w:sz w:val="22"/>
          <w:szCs w:val="22"/>
          <w:lang w:val="en-US"/>
        </w:rPr>
        <w:t xml:space="preserve">: cerebrovascular disease, </w:t>
      </w:r>
      <w:r w:rsidRPr="00B647EF">
        <w:rPr>
          <w:rFonts w:eastAsia="Calibri"/>
          <w:sz w:val="22"/>
          <w:szCs w:val="22"/>
          <w:lang w:val="en-US"/>
        </w:rPr>
        <w:t xml:space="preserve">urinary incontinence, dizziness and imbalance, high </w:t>
      </w:r>
      <w:r w:rsidR="001B6BFD" w:rsidRPr="00B647EF">
        <w:rPr>
          <w:rFonts w:eastAsia="Calibri"/>
          <w:sz w:val="22"/>
          <w:szCs w:val="22"/>
          <w:lang w:val="en-US"/>
        </w:rPr>
        <w:t>Geriatric Depression Scale</w:t>
      </w:r>
      <w:r w:rsidR="00451DD5" w:rsidRPr="00B647EF">
        <w:rPr>
          <w:rFonts w:eastAsia="Calibri"/>
          <w:sz w:val="22"/>
          <w:szCs w:val="22"/>
          <w:lang w:val="en-US"/>
        </w:rPr>
        <w:t xml:space="preserve"> (GDS)</w:t>
      </w:r>
      <w:r w:rsidRPr="00B647EF">
        <w:rPr>
          <w:rFonts w:eastAsia="Calibri"/>
          <w:sz w:val="22"/>
          <w:szCs w:val="22"/>
          <w:lang w:val="en-US"/>
        </w:rPr>
        <w:t xml:space="preserve"> scores, low </w:t>
      </w:r>
      <w:r w:rsidR="001B6BFD" w:rsidRPr="00B647EF">
        <w:rPr>
          <w:rFonts w:eastAsia="Calibri"/>
          <w:sz w:val="22"/>
          <w:szCs w:val="22"/>
          <w:lang w:val="en-US"/>
        </w:rPr>
        <w:t>Mini-Mental State Examination</w:t>
      </w:r>
      <w:r w:rsidR="00451DD5" w:rsidRPr="00B647EF">
        <w:rPr>
          <w:rFonts w:eastAsia="Calibri"/>
          <w:sz w:val="22"/>
          <w:szCs w:val="22"/>
          <w:lang w:val="en-US"/>
        </w:rPr>
        <w:t xml:space="preserve"> (MMSE)</w:t>
      </w:r>
      <w:r w:rsidRPr="00B647EF">
        <w:rPr>
          <w:rFonts w:eastAsia="Calibri"/>
          <w:sz w:val="22"/>
          <w:szCs w:val="22"/>
          <w:lang w:val="en-US"/>
        </w:rPr>
        <w:t xml:space="preserve">, </w:t>
      </w:r>
      <w:r w:rsidR="00451DD5" w:rsidRPr="00B647EF">
        <w:rPr>
          <w:rFonts w:eastAsia="Calibri"/>
          <w:sz w:val="22"/>
          <w:szCs w:val="22"/>
          <w:lang w:val="en-US"/>
        </w:rPr>
        <w:t xml:space="preserve">and </w:t>
      </w:r>
      <w:r w:rsidR="005043E2" w:rsidRPr="00B647EF">
        <w:rPr>
          <w:rFonts w:eastAsia="Calibri"/>
          <w:sz w:val="22"/>
          <w:szCs w:val="22"/>
          <w:lang w:val="en-US"/>
        </w:rPr>
        <w:t>The Lawton-Brody Instrumental Daily Living Activity Scale (IADL) and Barthel index (BI) for daily living activities</w:t>
      </w:r>
      <w:r w:rsidR="005043E2" w:rsidRPr="00B647EF" w:rsidDel="005043E2">
        <w:rPr>
          <w:rFonts w:eastAsia="Calibri"/>
          <w:sz w:val="22"/>
          <w:szCs w:val="22"/>
          <w:lang w:val="en-US"/>
        </w:rPr>
        <w:t xml:space="preserve"> </w:t>
      </w:r>
      <w:r w:rsidRPr="00B647EF">
        <w:rPr>
          <w:rFonts w:eastAsia="Calibri"/>
          <w:sz w:val="22"/>
          <w:szCs w:val="22"/>
          <w:lang w:val="en-US"/>
        </w:rPr>
        <w:t>scores</w:t>
      </w:r>
      <w:r w:rsidR="00BA2F89" w:rsidRPr="00B647EF">
        <w:rPr>
          <w:rFonts w:eastAsia="Calibri"/>
          <w:sz w:val="22"/>
          <w:szCs w:val="22"/>
          <w:lang w:val="en-US"/>
        </w:rPr>
        <w:t xml:space="preserve">, </w:t>
      </w:r>
      <w:r w:rsidR="00451DD5" w:rsidRPr="00B647EF">
        <w:rPr>
          <w:sz w:val="22"/>
          <w:szCs w:val="22"/>
          <w:lang w:val="en-US"/>
        </w:rPr>
        <w:t>S</w:t>
      </w:r>
      <w:r w:rsidRPr="00B647EF">
        <w:rPr>
          <w:sz w:val="22"/>
          <w:szCs w:val="22"/>
          <w:lang w:val="en-US"/>
        </w:rPr>
        <w:t>ignificant correlation</w:t>
      </w:r>
      <w:r w:rsidR="00451DD5" w:rsidRPr="00B647EF">
        <w:rPr>
          <w:sz w:val="22"/>
          <w:szCs w:val="22"/>
          <w:lang w:val="en-US"/>
        </w:rPr>
        <w:t>s were</w:t>
      </w:r>
      <w:r w:rsidR="00BA2F89" w:rsidRPr="00B647EF">
        <w:rPr>
          <w:sz w:val="22"/>
          <w:szCs w:val="22"/>
          <w:lang w:val="en-US"/>
        </w:rPr>
        <w:t xml:space="preserve"> found</w:t>
      </w:r>
      <w:r w:rsidRPr="00B647EF">
        <w:rPr>
          <w:sz w:val="22"/>
          <w:szCs w:val="22"/>
          <w:lang w:val="en-US"/>
        </w:rPr>
        <w:t xml:space="preserve"> bet</w:t>
      </w:r>
      <w:r w:rsidR="001B6BFD" w:rsidRPr="00B647EF">
        <w:rPr>
          <w:sz w:val="22"/>
          <w:szCs w:val="22"/>
          <w:lang w:val="en-US"/>
        </w:rPr>
        <w:t xml:space="preserve">ween all the assessment methods </w:t>
      </w:r>
      <w:r w:rsidRPr="00B647EF">
        <w:rPr>
          <w:sz w:val="22"/>
          <w:szCs w:val="22"/>
          <w:lang w:val="en-US"/>
        </w:rPr>
        <w:t xml:space="preserve">(p&lt;0.001). </w:t>
      </w:r>
    </w:p>
    <w:p w14:paraId="6C0138B7" w14:textId="62F6BC00" w:rsidR="003E1166" w:rsidRPr="00B647EF" w:rsidRDefault="00B56149" w:rsidP="00B647EF">
      <w:pPr>
        <w:spacing w:after="160" w:line="480" w:lineRule="auto"/>
        <w:jc w:val="both"/>
        <w:rPr>
          <w:bCs/>
          <w:sz w:val="22"/>
          <w:szCs w:val="22"/>
          <w:lang w:val="en-US"/>
        </w:rPr>
      </w:pPr>
      <w:r w:rsidRPr="00B647EF">
        <w:rPr>
          <w:b/>
          <w:sz w:val="22"/>
          <w:szCs w:val="22"/>
          <w:lang w:val="en-US"/>
        </w:rPr>
        <w:t>Conclusion</w:t>
      </w:r>
      <w:r w:rsidR="009D7EAC" w:rsidRPr="00B647EF">
        <w:rPr>
          <w:b/>
          <w:sz w:val="22"/>
          <w:szCs w:val="22"/>
          <w:lang w:val="en-US"/>
        </w:rPr>
        <w:t>:</w:t>
      </w:r>
      <w:r w:rsidR="009D7EAC" w:rsidRPr="00B647EF">
        <w:rPr>
          <w:sz w:val="22"/>
          <w:szCs w:val="22"/>
          <w:lang w:val="en-US"/>
        </w:rPr>
        <w:t xml:space="preserve"> </w:t>
      </w:r>
      <w:r w:rsidR="003E1166" w:rsidRPr="00B647EF">
        <w:rPr>
          <w:sz w:val="22"/>
          <w:szCs w:val="22"/>
          <w:lang w:val="en-US"/>
        </w:rPr>
        <w:t xml:space="preserve">There is a strong relationship between fall risk and </w:t>
      </w:r>
      <w:r w:rsidR="00B6711C" w:rsidRPr="00B647EF">
        <w:rPr>
          <w:sz w:val="22"/>
          <w:szCs w:val="22"/>
          <w:lang w:val="en-US"/>
        </w:rPr>
        <w:t xml:space="preserve">cerebrovascular disease, </w:t>
      </w:r>
      <w:r w:rsidR="00B6711C" w:rsidRPr="00B647EF">
        <w:rPr>
          <w:rFonts w:eastAsia="Calibri"/>
          <w:sz w:val="22"/>
          <w:szCs w:val="22"/>
          <w:lang w:val="en-US"/>
        </w:rPr>
        <w:t xml:space="preserve">urinary incontinence, dizziness and imbalance, high GDS scores, low MMSE, BADL and IADL scores </w:t>
      </w:r>
      <w:r w:rsidR="004B1E57" w:rsidRPr="00B647EF">
        <w:rPr>
          <w:sz w:val="22"/>
          <w:szCs w:val="22"/>
          <w:lang w:val="en-US"/>
        </w:rPr>
        <w:t xml:space="preserve">in older men. Therefore, older </w:t>
      </w:r>
      <w:r w:rsidR="003E1166" w:rsidRPr="00B647EF">
        <w:rPr>
          <w:sz w:val="22"/>
          <w:szCs w:val="22"/>
          <w:lang w:val="en-US"/>
        </w:rPr>
        <w:t>men should be screened for these risk factors</w:t>
      </w:r>
      <w:r w:rsidR="00A54F1C" w:rsidRPr="00B647EF">
        <w:rPr>
          <w:sz w:val="22"/>
          <w:szCs w:val="22"/>
          <w:lang w:val="en-US"/>
        </w:rPr>
        <w:t xml:space="preserve"> to prevent falls</w:t>
      </w:r>
      <w:r w:rsidR="003E1166" w:rsidRPr="00B647EF">
        <w:rPr>
          <w:sz w:val="22"/>
          <w:szCs w:val="22"/>
          <w:lang w:val="en-US"/>
        </w:rPr>
        <w:t>.</w:t>
      </w:r>
    </w:p>
    <w:p w14:paraId="532CF799" w14:textId="77777777" w:rsidR="00740B80" w:rsidRDefault="00740B80" w:rsidP="004747C3">
      <w:pPr>
        <w:spacing w:line="480" w:lineRule="auto"/>
        <w:jc w:val="both"/>
        <w:rPr>
          <w:b/>
          <w:sz w:val="22"/>
          <w:szCs w:val="22"/>
          <w:lang w:val="en-US"/>
        </w:rPr>
      </w:pPr>
    </w:p>
    <w:p w14:paraId="5E236AC9" w14:textId="01D13D65" w:rsidR="0092687F" w:rsidRPr="00B647EF" w:rsidRDefault="004B1E57" w:rsidP="004747C3">
      <w:pPr>
        <w:spacing w:line="480" w:lineRule="auto"/>
        <w:jc w:val="both"/>
        <w:rPr>
          <w:sz w:val="22"/>
          <w:szCs w:val="22"/>
          <w:lang w:val="en-US"/>
        </w:rPr>
      </w:pPr>
      <w:r w:rsidRPr="00B647EF">
        <w:rPr>
          <w:b/>
          <w:sz w:val="22"/>
          <w:szCs w:val="22"/>
          <w:lang w:val="en-US"/>
        </w:rPr>
        <w:t>Key Words:</w:t>
      </w:r>
      <w:r w:rsidRPr="00B647EF">
        <w:rPr>
          <w:sz w:val="22"/>
          <w:szCs w:val="22"/>
          <w:lang w:val="en-US"/>
        </w:rPr>
        <w:t xml:space="preserve"> Falls, </w:t>
      </w:r>
      <w:r w:rsidR="002C39B5" w:rsidRPr="00B647EF">
        <w:rPr>
          <w:sz w:val="22"/>
          <w:szCs w:val="22"/>
          <w:lang w:val="en-US"/>
        </w:rPr>
        <w:t xml:space="preserve">Geriatric assessment, </w:t>
      </w:r>
      <w:r w:rsidRPr="00B647EF">
        <w:rPr>
          <w:sz w:val="22"/>
          <w:szCs w:val="22"/>
          <w:lang w:val="en-US"/>
        </w:rPr>
        <w:t>Men, Older</w:t>
      </w:r>
      <w:r w:rsidR="00451DD5" w:rsidRPr="00B647EF">
        <w:rPr>
          <w:sz w:val="22"/>
          <w:szCs w:val="22"/>
          <w:lang w:val="en-US"/>
        </w:rPr>
        <w:t xml:space="preserve"> adults</w:t>
      </w:r>
      <w:r w:rsidRPr="00B647EF">
        <w:rPr>
          <w:sz w:val="22"/>
          <w:szCs w:val="22"/>
          <w:lang w:val="en-US"/>
        </w:rPr>
        <w:t>, Risk factors</w:t>
      </w:r>
    </w:p>
    <w:p w14:paraId="1038066E" w14:textId="77777777" w:rsidR="00B56149" w:rsidRPr="00B647EF" w:rsidRDefault="00B56149" w:rsidP="004747C3">
      <w:pPr>
        <w:spacing w:line="480" w:lineRule="auto"/>
        <w:jc w:val="both"/>
        <w:rPr>
          <w:sz w:val="22"/>
          <w:szCs w:val="22"/>
          <w:lang w:val="en-US"/>
        </w:rPr>
      </w:pPr>
    </w:p>
    <w:p w14:paraId="1B8A4DE9" w14:textId="77777777" w:rsidR="00740B80" w:rsidRDefault="00740B80" w:rsidP="004747C3">
      <w:pPr>
        <w:spacing w:line="480" w:lineRule="auto"/>
        <w:jc w:val="both"/>
        <w:rPr>
          <w:b/>
          <w:sz w:val="22"/>
          <w:szCs w:val="22"/>
          <w:lang w:val="en-US"/>
        </w:rPr>
      </w:pPr>
    </w:p>
    <w:p w14:paraId="39E55613" w14:textId="77777777" w:rsidR="00740B80" w:rsidRDefault="00740B80" w:rsidP="004747C3">
      <w:pPr>
        <w:spacing w:line="480" w:lineRule="auto"/>
        <w:jc w:val="both"/>
        <w:rPr>
          <w:b/>
          <w:sz w:val="22"/>
          <w:szCs w:val="22"/>
          <w:lang w:val="en-US"/>
        </w:rPr>
      </w:pPr>
    </w:p>
    <w:p w14:paraId="308A60B8" w14:textId="77777777" w:rsidR="00740B80" w:rsidRDefault="00740B80" w:rsidP="004747C3">
      <w:pPr>
        <w:spacing w:line="480" w:lineRule="auto"/>
        <w:jc w:val="both"/>
        <w:rPr>
          <w:b/>
          <w:sz w:val="22"/>
          <w:szCs w:val="22"/>
          <w:lang w:val="en-US"/>
        </w:rPr>
      </w:pPr>
    </w:p>
    <w:p w14:paraId="5BEB43B2" w14:textId="77777777" w:rsidR="00740B80" w:rsidRDefault="00740B80" w:rsidP="004747C3">
      <w:pPr>
        <w:spacing w:line="480" w:lineRule="auto"/>
        <w:jc w:val="both"/>
        <w:rPr>
          <w:b/>
          <w:sz w:val="22"/>
          <w:szCs w:val="22"/>
          <w:lang w:val="en-US"/>
        </w:rPr>
      </w:pPr>
    </w:p>
    <w:p w14:paraId="342B6552" w14:textId="77777777" w:rsidR="001216CB" w:rsidRDefault="001216CB" w:rsidP="004747C3">
      <w:pPr>
        <w:spacing w:line="480" w:lineRule="auto"/>
        <w:jc w:val="both"/>
        <w:rPr>
          <w:b/>
          <w:sz w:val="22"/>
          <w:szCs w:val="22"/>
          <w:lang w:val="en-US"/>
        </w:rPr>
      </w:pPr>
    </w:p>
    <w:p w14:paraId="08360083" w14:textId="77777777" w:rsidR="001216CB" w:rsidRDefault="001216CB" w:rsidP="004747C3">
      <w:pPr>
        <w:spacing w:line="480" w:lineRule="auto"/>
        <w:jc w:val="both"/>
        <w:rPr>
          <w:b/>
          <w:sz w:val="22"/>
          <w:szCs w:val="22"/>
          <w:lang w:val="en-US"/>
        </w:rPr>
      </w:pPr>
    </w:p>
    <w:p w14:paraId="1070DA45" w14:textId="77777777" w:rsidR="001216CB" w:rsidRDefault="001216CB" w:rsidP="004747C3">
      <w:pPr>
        <w:spacing w:line="480" w:lineRule="auto"/>
        <w:jc w:val="both"/>
        <w:rPr>
          <w:b/>
          <w:sz w:val="22"/>
          <w:szCs w:val="22"/>
          <w:lang w:val="en-US"/>
        </w:rPr>
      </w:pPr>
    </w:p>
    <w:p w14:paraId="7E548640" w14:textId="1ABE452F" w:rsidR="009936FA" w:rsidRPr="00BC5B69" w:rsidRDefault="009936FA" w:rsidP="004747C3">
      <w:pPr>
        <w:spacing w:line="480" w:lineRule="auto"/>
        <w:jc w:val="both"/>
        <w:rPr>
          <w:sz w:val="22"/>
          <w:szCs w:val="22"/>
          <w:lang w:val="en-US"/>
        </w:rPr>
      </w:pPr>
      <w:r w:rsidRPr="00BC5B69">
        <w:rPr>
          <w:b/>
          <w:sz w:val="22"/>
          <w:szCs w:val="22"/>
          <w:lang w:val="en-US"/>
        </w:rPr>
        <w:lastRenderedPageBreak/>
        <w:t>Introduction</w:t>
      </w:r>
    </w:p>
    <w:p w14:paraId="0BAF53FE" w14:textId="2A965738" w:rsidR="009936FA" w:rsidRPr="00BC5B69" w:rsidRDefault="00377321" w:rsidP="004747C3">
      <w:pPr>
        <w:spacing w:line="480" w:lineRule="auto"/>
        <w:jc w:val="both"/>
        <w:rPr>
          <w:sz w:val="22"/>
          <w:szCs w:val="22"/>
          <w:lang w:val="en-US"/>
        </w:rPr>
      </w:pPr>
      <w:r w:rsidRPr="00BC5B69">
        <w:rPr>
          <w:sz w:val="22"/>
          <w:szCs w:val="22"/>
          <w:lang w:val="en-US"/>
        </w:rPr>
        <w:t>Falling is one of the most important</w:t>
      </w:r>
      <w:r w:rsidR="00A9283B" w:rsidRPr="00BC5B69">
        <w:rPr>
          <w:sz w:val="22"/>
          <w:szCs w:val="22"/>
          <w:lang w:val="en-US"/>
        </w:rPr>
        <w:t xml:space="preserve"> health problems for</w:t>
      </w:r>
      <w:r w:rsidR="00A6383D" w:rsidRPr="00BC5B69">
        <w:rPr>
          <w:sz w:val="22"/>
          <w:szCs w:val="22"/>
          <w:lang w:val="en-US"/>
        </w:rPr>
        <w:t xml:space="preserve"> older adults</w:t>
      </w:r>
      <w:r w:rsidRPr="00BC5B69">
        <w:rPr>
          <w:sz w:val="22"/>
          <w:szCs w:val="22"/>
          <w:lang w:val="en-US"/>
        </w:rPr>
        <w:t xml:space="preserve">. According to World Health Organization data, 28-35% of people over 65 years of age fall each year, and the prevalence of falls is increasing with age. Falling can lead to injury, fracture, mobility disorders, </w:t>
      </w:r>
      <w:r w:rsidR="0073150C" w:rsidRPr="00BC5B69">
        <w:rPr>
          <w:sz w:val="22"/>
          <w:szCs w:val="22"/>
          <w:lang w:val="en-US"/>
        </w:rPr>
        <w:t xml:space="preserve">fear of falling, dependency in daily living activities, </w:t>
      </w:r>
      <w:r w:rsidRPr="00BC5B69">
        <w:rPr>
          <w:sz w:val="22"/>
          <w:szCs w:val="22"/>
          <w:lang w:val="en-US"/>
        </w:rPr>
        <w:t>morbidity, and mortality. Hip fractures are</w:t>
      </w:r>
      <w:r w:rsidR="00451DD5" w:rsidRPr="00BC5B69">
        <w:rPr>
          <w:sz w:val="22"/>
          <w:szCs w:val="22"/>
          <w:lang w:val="en-US"/>
        </w:rPr>
        <w:t xml:space="preserve"> a</w:t>
      </w:r>
      <w:r w:rsidRPr="00BC5B69">
        <w:rPr>
          <w:sz w:val="22"/>
          <w:szCs w:val="22"/>
          <w:lang w:val="en-US"/>
        </w:rPr>
        <w:t xml:space="preserve"> common </w:t>
      </w:r>
      <w:r w:rsidR="00451DD5" w:rsidRPr="00BC5B69">
        <w:rPr>
          <w:sz w:val="22"/>
          <w:szCs w:val="22"/>
          <w:lang w:val="en-US"/>
        </w:rPr>
        <w:t xml:space="preserve">outcome from </w:t>
      </w:r>
      <w:r w:rsidRPr="00BC5B69">
        <w:rPr>
          <w:sz w:val="22"/>
          <w:szCs w:val="22"/>
          <w:lang w:val="en-US"/>
        </w:rPr>
        <w:t>fall</w:t>
      </w:r>
      <w:r w:rsidR="00451DD5" w:rsidRPr="00BC5B69">
        <w:rPr>
          <w:sz w:val="22"/>
          <w:szCs w:val="22"/>
          <w:lang w:val="en-US"/>
        </w:rPr>
        <w:t>ing in older adults</w:t>
      </w:r>
      <w:r w:rsidRPr="00BC5B69">
        <w:rPr>
          <w:sz w:val="22"/>
          <w:szCs w:val="22"/>
          <w:lang w:val="en-US"/>
        </w:rPr>
        <w:t xml:space="preserve"> and 20% of patients with hip fractures die within a year </w:t>
      </w:r>
      <w:r w:rsidRPr="00BC5B69">
        <w:rPr>
          <w:sz w:val="22"/>
          <w:szCs w:val="22"/>
          <w:lang w:val="en-US"/>
        </w:rPr>
        <w:fldChar w:fldCharType="begin" w:fldLock="1"/>
      </w:r>
      <w:r w:rsidR="00D2655F" w:rsidRPr="00BC5B69">
        <w:rPr>
          <w:sz w:val="22"/>
          <w:szCs w:val="22"/>
          <w:lang w:val="en-US"/>
        </w:rPr>
        <w:instrText>ADDIN CSL_CITATION {"citationItems":[{"id":"ITEM-1","itemData":{"DOI":"10.1136/bmj.i1419","ISBN":"0959-8146","ISSN":"17561833","PMID":"27125497","abstract":"The number of people living into older age (≥65 years) is rising rapidly. Older people are more likely to fall and this has adverse consequences for their quality of life and that of their families. Falls also pose a substantial financial burden on healthcare systems. Extensive research from systematic reviews and meta-analyses has established effective approaches for reducing falls among older people, although uncertainties and controversy remain. The evidence suggests that exercise based and tailored interventions are the most effective way to reduce falls and associated healthcare costs among older people in the community. This review integrates current knowledge on assessment and management strategies to prevent falls in older people living in the community. It summarizes known risk factors for falls in this population and presents assessment strategies that can be used to assess the risk of falls. It discusses the management of risks and interventions to reduce falls among older people in the community, as well as future directions and promising approaches.","author":[{"dropping-particle":"","family":"Vieira","given":"Edgar R.","non-dropping-particle":"","parse-names":false,"suffix":""},{"dropping-particle":"","family":"Palmer","given":"Richard C.","non-dropping-particle":"","parse-names":false,"suffix":""},{"dropping-particle":"","family":"Chaves","given":"Paulo H.M.","non-dropping-particle":"","parse-names":false,"suffix":""}],"container-title":"British Medical Journal","id":"ITEM-1","issued":{"date-parts":[["2016"]]},"page":"i1419","title":"Prevention of falls in older people living in the community","type":"article-journal","volume":"353"},"uris":["http://www.mendeley.com/documents/?uuid=77c0041e-674d-4547-bb03-22e4b66ed554"]}],"mendeley":{"formattedCitation":"(Vieira, Palmer, &amp; Chaves, 2016)","plainTextFormattedCitation":"(Vieira, Palmer, &amp; Chaves, 2016)","previouslyFormattedCitation":"(Vieira, Palmer, &amp; Chaves, 2016)"},"properties":{"noteIndex":0},"schema":"https://github.com/citation-style-language/schema/raw/master/csl-citation.json"}</w:instrText>
      </w:r>
      <w:r w:rsidRPr="00BC5B69">
        <w:rPr>
          <w:sz w:val="22"/>
          <w:szCs w:val="22"/>
          <w:lang w:val="en-US"/>
        </w:rPr>
        <w:fldChar w:fldCharType="separate"/>
      </w:r>
      <w:r w:rsidR="00E66FE2" w:rsidRPr="00BC5B69">
        <w:rPr>
          <w:noProof/>
          <w:sz w:val="22"/>
          <w:szCs w:val="22"/>
          <w:lang w:val="en-US"/>
        </w:rPr>
        <w:t>(Vieira, Palmer, &amp; Chaves, 2016)</w:t>
      </w:r>
      <w:r w:rsidRPr="00BC5B69">
        <w:rPr>
          <w:sz w:val="22"/>
          <w:szCs w:val="22"/>
          <w:lang w:val="en-US"/>
        </w:rPr>
        <w:fldChar w:fldCharType="end"/>
      </w:r>
      <w:r w:rsidRPr="00BC5B69">
        <w:rPr>
          <w:sz w:val="22"/>
          <w:szCs w:val="22"/>
          <w:lang w:val="en-US"/>
        </w:rPr>
        <w:t>.</w:t>
      </w:r>
      <w:r w:rsidR="004C56AD" w:rsidRPr="00BC5B69">
        <w:rPr>
          <w:sz w:val="22"/>
          <w:szCs w:val="22"/>
          <w:lang w:val="en-US"/>
        </w:rPr>
        <w:t xml:space="preserve"> Falling is also a source of fear for caregivers. It increases the risk of institutionalization and brings economic burden </w:t>
      </w:r>
      <w:r w:rsidR="009B771C" w:rsidRPr="00BC5B69">
        <w:rPr>
          <w:sz w:val="22"/>
          <w:szCs w:val="22"/>
          <w:lang w:val="en-US"/>
        </w:rPr>
        <w:fldChar w:fldCharType="begin" w:fldLock="1"/>
      </w:r>
      <w:r w:rsidR="00D2655F" w:rsidRPr="00BC5B69">
        <w:rPr>
          <w:sz w:val="22"/>
          <w:szCs w:val="22"/>
          <w:lang w:val="en-US"/>
        </w:rPr>
        <w:instrText>ADDIN CSL_CITATION {"citationItems":[{"id":"ITEM-1","itemData":{"DOI":"10.1136/bmj.i1419","ISBN":"0959-8146","ISSN":"17561833","PMID":"27125497","abstract":"The number of people living into older age (≥65 years) is rising rapidly. Older people are more likely to fall and this has adverse consequences for their quality of life and that of their families. Falls also pose a substantial financial burden on healthcare systems. Extensive research from systematic reviews and meta-analyses has established effective approaches for reducing falls among older people, although uncertainties and controversy remain. The evidence suggests that exercise based and tailored interventions are the most effective way to reduce falls and associated healthcare costs among older people in the community. This review integrates current knowledge on assessment and management strategies to prevent falls in older people living in the community. It summarizes known risk factors for falls in this population and presents assessment strategies that can be used to assess the risk of falls. It discusses the management of risks and interventions to reduce falls among older people in the community, as well as future directions and promising approaches.","author":[{"dropping-particle":"","family":"Vieira","given":"Edgar R.","non-dropping-particle":"","parse-names":false,"suffix":""},{"dropping-particle":"","family":"Palmer","given":"Richard C.","non-dropping-particle":"","parse-names":false,"suffix":""},{"dropping-particle":"","family":"Chaves","given":"Paulo H.M.","non-dropping-particle":"","parse-names":false,"suffix":""}],"container-title":"British Medical Journal","id":"ITEM-1","issued":{"date-parts":[["2016"]]},"page":"i1419","title":"Prevention of falls in older people living in the community","type":"article-journal","volume":"353"},"uris":["http://www.mendeley.com/documents/?uuid=77c0041e-674d-4547-bb03-22e4b66ed554"]}],"mendeley":{"formattedCitation":"(Vieira et al., 2016)","plainTextFormattedCitation":"(Vieira et al., 2016)","previouslyFormattedCitation":"(Vieira et al., 2016)"},"properties":{"noteIndex":0},"schema":"https://github.com/citation-style-language/schema/raw/master/csl-citation.json"}</w:instrText>
      </w:r>
      <w:r w:rsidR="009B771C" w:rsidRPr="00BC5B69">
        <w:rPr>
          <w:sz w:val="22"/>
          <w:szCs w:val="22"/>
          <w:lang w:val="en-US"/>
        </w:rPr>
        <w:fldChar w:fldCharType="separate"/>
      </w:r>
      <w:r w:rsidR="00E66FE2" w:rsidRPr="00BC5B69">
        <w:rPr>
          <w:noProof/>
          <w:sz w:val="22"/>
          <w:szCs w:val="22"/>
          <w:lang w:val="en-US"/>
        </w:rPr>
        <w:t>(Vieira et al., 2016)</w:t>
      </w:r>
      <w:r w:rsidR="009B771C" w:rsidRPr="00BC5B69">
        <w:rPr>
          <w:sz w:val="22"/>
          <w:szCs w:val="22"/>
          <w:lang w:val="en-US"/>
        </w:rPr>
        <w:fldChar w:fldCharType="end"/>
      </w:r>
      <w:r w:rsidR="004C56AD" w:rsidRPr="00BC5B69">
        <w:rPr>
          <w:sz w:val="22"/>
          <w:szCs w:val="22"/>
          <w:lang w:val="en-US"/>
        </w:rPr>
        <w:t>.</w:t>
      </w:r>
    </w:p>
    <w:p w14:paraId="6035EBCC" w14:textId="31CBE1C7" w:rsidR="009B771C" w:rsidRPr="00BC5B69" w:rsidRDefault="009B0FD8" w:rsidP="004747C3">
      <w:pPr>
        <w:spacing w:line="480" w:lineRule="auto"/>
        <w:jc w:val="both"/>
        <w:rPr>
          <w:sz w:val="22"/>
          <w:szCs w:val="22"/>
          <w:lang w:val="en-US"/>
        </w:rPr>
      </w:pPr>
      <w:r w:rsidRPr="00BC5B69">
        <w:rPr>
          <w:sz w:val="22"/>
          <w:szCs w:val="22"/>
          <w:lang w:val="en-US"/>
        </w:rPr>
        <w:t xml:space="preserve">After a first fall, about 2 of 3 patients fall again within a year </w:t>
      </w:r>
      <w:r w:rsidRPr="00BC5B69">
        <w:rPr>
          <w:sz w:val="22"/>
          <w:szCs w:val="22"/>
          <w:lang w:val="en-US"/>
        </w:rPr>
        <w:fldChar w:fldCharType="begin" w:fldLock="1"/>
      </w:r>
      <w:r w:rsidR="00D2655F" w:rsidRPr="00BC5B69">
        <w:rPr>
          <w:sz w:val="22"/>
          <w:szCs w:val="22"/>
          <w:lang w:val="en-US"/>
        </w:rPr>
        <w:instrText>ADDIN CSL_CITATION {"citationItems":[{"id":"ITEM-1","itemData":{"DOI":"10.1136/bmj.i1419","ISBN":"0959-8146","ISSN":"17561833","PMID":"27125497","abstract":"The number of people living into older age (≥65 years) is rising rapidly. Older people are more likely to fall and this has adverse consequences for their quality of life and that of their families. Falls also pose a substantial financial burden on healthcare systems. Extensive research from systematic reviews and meta-analyses has established effective approaches for reducing falls among older people, although uncertainties and controversy remain. The evidence suggests that exercise based and tailored interventions are the most effective way to reduce falls and associated healthcare costs among older people in the community. This review integrates current knowledge on assessment and management strategies to prevent falls in older people living in the community. It summarizes known risk factors for falls in this population and presents assessment strategies that can be used to assess the risk of falls. It discusses the management of risks and interventions to reduce falls among older people in the community, as well as future directions and promising approaches.","author":[{"dropping-particle":"","family":"Vieira","given":"Edgar R.","non-dropping-particle":"","parse-names":false,"suffix":""},{"dropping-particle":"","family":"Palmer","given":"Richard C.","non-dropping-particle":"","parse-names":false,"suffix":""},{"dropping-particle":"","family":"Chaves","given":"Paulo H.M.","non-dropping-particle":"","parse-names":false,"suffix":""}],"container-title":"British Medical Journal","id":"ITEM-1","issued":{"date-parts":[["2016"]]},"page":"i1419","title":"Prevention of falls in older people living in the community","type":"article-journal","volume":"353"},"uris":["http://www.mendeley.com/documents/?uuid=77c0041e-674d-4547-bb03-22e4b66ed554"]}],"mendeley":{"formattedCitation":"(Vieira et al., 2016)","plainTextFormattedCitation":"(Vieira et al., 2016)","previouslyFormattedCitation":"(Vieira et al., 2016)"},"properties":{"noteIndex":0},"schema":"https://github.com/citation-style-language/schema/raw/master/csl-citation.json"}</w:instrText>
      </w:r>
      <w:r w:rsidRPr="00BC5B69">
        <w:rPr>
          <w:sz w:val="22"/>
          <w:szCs w:val="22"/>
          <w:lang w:val="en-US"/>
        </w:rPr>
        <w:fldChar w:fldCharType="separate"/>
      </w:r>
      <w:r w:rsidR="00E66FE2" w:rsidRPr="00BC5B69">
        <w:rPr>
          <w:noProof/>
          <w:sz w:val="22"/>
          <w:szCs w:val="22"/>
          <w:lang w:val="en-US"/>
        </w:rPr>
        <w:t>(Vieira et al., 2016)</w:t>
      </w:r>
      <w:r w:rsidRPr="00BC5B69">
        <w:rPr>
          <w:sz w:val="22"/>
          <w:szCs w:val="22"/>
          <w:lang w:val="en-US"/>
        </w:rPr>
        <w:fldChar w:fldCharType="end"/>
      </w:r>
      <w:r w:rsidRPr="00BC5B69">
        <w:rPr>
          <w:sz w:val="22"/>
          <w:szCs w:val="22"/>
          <w:lang w:val="en-US"/>
        </w:rPr>
        <w:t xml:space="preserve">. </w:t>
      </w:r>
      <w:r w:rsidR="002E6DA5" w:rsidRPr="00BC5B69">
        <w:rPr>
          <w:sz w:val="22"/>
          <w:szCs w:val="22"/>
          <w:lang w:val="en-US"/>
        </w:rPr>
        <w:t xml:space="preserve">In order to prevent falls in </w:t>
      </w:r>
      <w:r w:rsidR="00BF2214" w:rsidRPr="00BC5B69">
        <w:rPr>
          <w:sz w:val="22"/>
          <w:szCs w:val="22"/>
          <w:lang w:val="en-US"/>
        </w:rPr>
        <w:t>older adults</w:t>
      </w:r>
      <w:r w:rsidR="002E6DA5" w:rsidRPr="00BC5B69">
        <w:rPr>
          <w:sz w:val="22"/>
          <w:szCs w:val="22"/>
          <w:lang w:val="en-US"/>
        </w:rPr>
        <w:t>, it is necessary to determine risk factors and to take measures for modifiable factors</w:t>
      </w:r>
      <w:r w:rsidR="00451DD5" w:rsidRPr="00BC5B69">
        <w:rPr>
          <w:sz w:val="22"/>
          <w:szCs w:val="22"/>
          <w:lang w:val="en-US"/>
        </w:rPr>
        <w:t xml:space="preserve"> in clinical practice</w:t>
      </w:r>
      <w:r w:rsidR="002E6DA5" w:rsidRPr="00BC5B69">
        <w:rPr>
          <w:sz w:val="22"/>
          <w:szCs w:val="22"/>
          <w:lang w:val="en-US"/>
        </w:rPr>
        <w:t>.</w:t>
      </w:r>
      <w:r w:rsidRPr="00BC5B69">
        <w:rPr>
          <w:sz w:val="22"/>
          <w:szCs w:val="22"/>
          <w:lang w:val="en-US"/>
        </w:rPr>
        <w:t xml:space="preserve"> </w:t>
      </w:r>
      <w:r w:rsidR="00451DD5" w:rsidRPr="00BC5B69">
        <w:rPr>
          <w:sz w:val="22"/>
          <w:szCs w:val="22"/>
          <w:lang w:val="en-US"/>
        </w:rPr>
        <w:t>I</w:t>
      </w:r>
      <w:r w:rsidR="002E6DA5" w:rsidRPr="00BC5B69">
        <w:rPr>
          <w:sz w:val="22"/>
          <w:szCs w:val="22"/>
          <w:lang w:val="en-US"/>
        </w:rPr>
        <w:t>ntrinsic (such as cognitive deficits, gait, strength, or balance deficits, sensory impairm</w:t>
      </w:r>
      <w:r w:rsidR="00005D11" w:rsidRPr="00BC5B69">
        <w:rPr>
          <w:sz w:val="22"/>
          <w:szCs w:val="22"/>
          <w:lang w:val="en-US"/>
        </w:rPr>
        <w:t>ents, chronic conditions</w:t>
      </w:r>
      <w:r w:rsidR="002E6DA5" w:rsidRPr="00BC5B69">
        <w:rPr>
          <w:sz w:val="22"/>
          <w:szCs w:val="22"/>
          <w:lang w:val="en-US"/>
        </w:rPr>
        <w:t>) and extrinsic (such as medications, foo</w:t>
      </w:r>
      <w:r w:rsidR="00005D11" w:rsidRPr="00BC5B69">
        <w:rPr>
          <w:sz w:val="22"/>
          <w:szCs w:val="22"/>
          <w:lang w:val="en-US"/>
        </w:rPr>
        <w:t>twear, assistive devices</w:t>
      </w:r>
      <w:r w:rsidR="002E6DA5" w:rsidRPr="00BC5B69">
        <w:rPr>
          <w:sz w:val="22"/>
          <w:szCs w:val="22"/>
          <w:lang w:val="en-US"/>
        </w:rPr>
        <w:t xml:space="preserve">) risk factors </w:t>
      </w:r>
      <w:r w:rsidR="00451DD5" w:rsidRPr="00BC5B69">
        <w:rPr>
          <w:sz w:val="22"/>
          <w:szCs w:val="22"/>
          <w:lang w:val="en-US"/>
        </w:rPr>
        <w:t xml:space="preserve">have been identified </w:t>
      </w:r>
      <w:r w:rsidR="002E6DA5" w:rsidRPr="00BC5B69">
        <w:rPr>
          <w:sz w:val="22"/>
          <w:szCs w:val="22"/>
          <w:lang w:val="en-US"/>
        </w:rPr>
        <w:t xml:space="preserve">for </w:t>
      </w:r>
      <w:r w:rsidR="00451DD5" w:rsidRPr="00BC5B69">
        <w:rPr>
          <w:sz w:val="22"/>
          <w:szCs w:val="22"/>
          <w:lang w:val="en-US"/>
        </w:rPr>
        <w:t>risk of</w:t>
      </w:r>
      <w:r w:rsidR="002E6DA5" w:rsidRPr="00BC5B69">
        <w:rPr>
          <w:sz w:val="22"/>
          <w:szCs w:val="22"/>
          <w:lang w:val="en-US"/>
        </w:rPr>
        <w:t xml:space="preserve"> fall</w:t>
      </w:r>
      <w:r w:rsidR="00451DD5" w:rsidRPr="00BC5B69">
        <w:rPr>
          <w:sz w:val="22"/>
          <w:szCs w:val="22"/>
          <w:lang w:val="en-US"/>
        </w:rPr>
        <w:t>ing</w:t>
      </w:r>
      <w:r w:rsidR="002E6DA5" w:rsidRPr="00BC5B69">
        <w:rPr>
          <w:sz w:val="22"/>
          <w:szCs w:val="22"/>
          <w:lang w:val="en-US"/>
        </w:rPr>
        <w:t xml:space="preserve"> </w:t>
      </w:r>
      <w:r w:rsidR="002E6DA5" w:rsidRPr="00BC5B69">
        <w:rPr>
          <w:sz w:val="22"/>
          <w:szCs w:val="22"/>
          <w:lang w:val="en-US"/>
        </w:rPr>
        <w:fldChar w:fldCharType="begin" w:fldLock="1"/>
      </w:r>
      <w:r w:rsidR="00D2655F" w:rsidRPr="00BC5B69">
        <w:rPr>
          <w:sz w:val="22"/>
          <w:szCs w:val="22"/>
          <w:lang w:val="en-US"/>
        </w:rPr>
        <w:instrText>ADDIN CSL_CITATION {"citationItems":[{"id":"ITEM-1","itemData":{"DOI":"10.1016/j.mcna.2014.11.004","ISBN":"1557-9859","ISSN":"15579859","PMID":"25700584","abstract":"Falls among older adults are neither purely accidental nor inevitable research has shown that many falls are preventable. Primary care providers play a key role in preventing falls. However, fall risk assessment and management is performed infrequently in primary care settings. This article provides an overview of a clinically relevant, evidence-based approach to fall risk screening and management. It describes resources, including the STEADI (Stopping Elderly Accidents, Deaths, and Injuries) tool kit that can help providers integrate fall prevention into their practice.","author":[{"dropping-particle":"","family":"Phelan","given":"Elizabeth A.","non-dropping-particle":"","parse-names":false,"suffix":""},{"dropping-particle":"","family":"Mahoney","given":"Jane E.","non-dropping-particle":"","parse-names":false,"suffix":""},{"dropping-particle":"","family":"Voit","given":"Jan C.","non-dropping-particle":"","parse-names":false,"suffix":""},{"dropping-particle":"","family":"Stevens","given":"Judy A.","non-dropping-particle":"","parse-names":false,"suffix":""}],"container-title":"The Medical clinics of North America","id":"ITEM-1","issue":"2","issued":{"date-parts":[["2015"]]},"page":"281-293","title":"Assessment and Management of Fall Risk in Primary Care Settings","type":"article-journal","volume":"99"},"uris":["http://www.mendeley.com/documents/?uuid=a05062b8-f91c-4d72-ba50-a3a54c3a3814"]}],"mendeley":{"formattedCitation":"(Phelan, Mahoney, Voit, &amp; Stevens, 2015)","plainTextFormattedCitation":"(Phelan, Mahoney, Voit, &amp; Stevens, 2015)","previouslyFormattedCitation":"(Phelan, Mahoney, Voit, &amp; Stevens, 2015)"},"properties":{"noteIndex":0},"schema":"https://github.com/citation-style-language/schema/raw/master/csl-citation.json"}</w:instrText>
      </w:r>
      <w:r w:rsidR="002E6DA5" w:rsidRPr="00BC5B69">
        <w:rPr>
          <w:sz w:val="22"/>
          <w:szCs w:val="22"/>
          <w:lang w:val="en-US"/>
        </w:rPr>
        <w:fldChar w:fldCharType="separate"/>
      </w:r>
      <w:r w:rsidR="00E66FE2" w:rsidRPr="00BC5B69">
        <w:rPr>
          <w:noProof/>
          <w:sz w:val="22"/>
          <w:szCs w:val="22"/>
          <w:lang w:val="en-US"/>
        </w:rPr>
        <w:t>(Phelan, Mahoney, Voit, &amp; Stevens, 2015)</w:t>
      </w:r>
      <w:r w:rsidR="002E6DA5" w:rsidRPr="00BC5B69">
        <w:rPr>
          <w:sz w:val="22"/>
          <w:szCs w:val="22"/>
          <w:lang w:val="en-US"/>
        </w:rPr>
        <w:fldChar w:fldCharType="end"/>
      </w:r>
      <w:r w:rsidR="002E6DA5" w:rsidRPr="00BC5B69">
        <w:rPr>
          <w:sz w:val="22"/>
          <w:szCs w:val="22"/>
          <w:lang w:val="en-US"/>
        </w:rPr>
        <w:t xml:space="preserve">. </w:t>
      </w:r>
      <w:r w:rsidR="00451DD5" w:rsidRPr="00BC5B69">
        <w:rPr>
          <w:sz w:val="22"/>
          <w:szCs w:val="22"/>
          <w:lang w:val="en-US"/>
        </w:rPr>
        <w:t>Moreover</w:t>
      </w:r>
      <w:r w:rsidR="002E6DA5" w:rsidRPr="00BC5B69">
        <w:rPr>
          <w:sz w:val="22"/>
          <w:szCs w:val="22"/>
          <w:lang w:val="en-US"/>
        </w:rPr>
        <w:t xml:space="preserve">, risk factors for falls </w:t>
      </w:r>
      <w:r w:rsidR="00451DD5" w:rsidRPr="00BC5B69">
        <w:rPr>
          <w:sz w:val="22"/>
          <w:szCs w:val="22"/>
          <w:lang w:val="en-US"/>
        </w:rPr>
        <w:t>have been shown to</w:t>
      </w:r>
      <w:r w:rsidR="002E6DA5" w:rsidRPr="00BC5B69">
        <w:rPr>
          <w:sz w:val="22"/>
          <w:szCs w:val="22"/>
          <w:lang w:val="en-US"/>
        </w:rPr>
        <w:t xml:space="preserve"> differ between </w:t>
      </w:r>
      <w:r w:rsidR="00F17590" w:rsidRPr="00BC5B69">
        <w:rPr>
          <w:sz w:val="22"/>
          <w:szCs w:val="22"/>
          <w:lang w:val="en-US"/>
        </w:rPr>
        <w:t>sexe</w:t>
      </w:r>
      <w:r w:rsidR="002E6DA5" w:rsidRPr="00BC5B69">
        <w:rPr>
          <w:sz w:val="22"/>
          <w:szCs w:val="22"/>
          <w:lang w:val="en-US"/>
        </w:rPr>
        <w:t xml:space="preserve">s </w:t>
      </w:r>
      <w:r w:rsidR="00D95C03" w:rsidRPr="00BC5B69">
        <w:rPr>
          <w:sz w:val="22"/>
          <w:szCs w:val="22"/>
          <w:lang w:val="en-US"/>
        </w:rPr>
        <w:fldChar w:fldCharType="begin" w:fldLock="1"/>
      </w:r>
      <w:r w:rsidR="00D2655F" w:rsidRPr="00BC5B69">
        <w:rPr>
          <w:sz w:val="22"/>
          <w:szCs w:val="22"/>
          <w:lang w:val="en-US"/>
        </w:rPr>
        <w:instrText>ADDIN CSL_CITATION {"citationItems":[{"id":"ITEM-1","itemData":{"DOI":"10.1093/aje/kwu268","ISBN":"0002-9262","ISSN":"14766256","PMID":"25700887","abstract":"Despite extensive literature on falls among seniors, little is known about gender-specific risk factors. To determine the prevalence of falls by gender and sociodemographic, lifestyle/behavioral, and medical factors, we conducted a cross-sectional study in a nationally representative sample of Canadian adults who were 65 years of age or older (n = 14,881) from the Canadian Community Health Survey–Healthy Aging (2008–2009). Logistic regression models were applied to investigate gender-specific associations between potential risk factors and falls. In men, stroke (odds ratio (OR) = 1.91), nutritional risk (OR = 1.86), post-secondary school degree (OR = 1.68), eye disorder (OR = 1.35), widowed/separated/divorced marital status (OR = 1.28), and arthritis (OR = 1.27) were independently associated with significantly higher odds of falls. In women, significant independent correlates of falls included stroke (OR = 1.53), age of 85 years or older (OR = 1.51), nutritional risk (OR = 1.39), consumption of at least 1 alcoholic drink per week (OR = 1.39), use of 5 or more medications (OR = 1.36), arthritis (OR = 1.36), diabetes (OR = 1.31), and osteoporosis (OR = 1.22). Higher physical activity levels were protective in both genders, and higher household income was protective in women. Gender should be considered when planning fall prevention strategies.","author":[{"dropping-particle":"","family":"Chang","given":"Vicky C.","non-dropping-particle":"","parse-names":false,"suffix":""},{"dropping-particle":"","family":"Do","given":"Minh T.","non-dropping-particle":"","parse-names":false,"suffix":""}],"container-title":"American journal of epidemiology","id":"ITEM-1","issue":"7","issued":{"date-parts":[["2015"]]},"page":"521-531","title":"Risk factors for falls among seniors: Implications of gender","type":"article-journal","volume":"181"},"uris":["http://www.mendeley.com/documents/?uuid=0de9a4c1-2e4d-41cf-ad2e-e903d0f2dbd2"]}],"mendeley":{"formattedCitation":"(Chang &amp; Do, 2015)","plainTextFormattedCitation":"(Chang &amp; Do, 2015)","previouslyFormattedCitation":"(Chang &amp; Do, 2015)"},"properties":{"noteIndex":0},"schema":"https://github.com/citation-style-language/schema/raw/master/csl-citation.json"}</w:instrText>
      </w:r>
      <w:r w:rsidR="00D95C03" w:rsidRPr="00BC5B69">
        <w:rPr>
          <w:sz w:val="22"/>
          <w:szCs w:val="22"/>
          <w:lang w:val="en-US"/>
        </w:rPr>
        <w:fldChar w:fldCharType="separate"/>
      </w:r>
      <w:r w:rsidR="00E66FE2" w:rsidRPr="00BC5B69">
        <w:rPr>
          <w:noProof/>
          <w:sz w:val="22"/>
          <w:szCs w:val="22"/>
          <w:lang w:val="en-US"/>
        </w:rPr>
        <w:t>(Chang &amp; Do, 2015)</w:t>
      </w:r>
      <w:r w:rsidR="00D95C03" w:rsidRPr="00BC5B69">
        <w:rPr>
          <w:sz w:val="22"/>
          <w:szCs w:val="22"/>
          <w:lang w:val="en-US"/>
        </w:rPr>
        <w:fldChar w:fldCharType="end"/>
      </w:r>
      <w:r w:rsidR="002E6DA5" w:rsidRPr="00BC5B69">
        <w:rPr>
          <w:sz w:val="22"/>
          <w:szCs w:val="22"/>
          <w:lang w:val="en-US"/>
        </w:rPr>
        <w:t>.</w:t>
      </w:r>
      <w:r w:rsidR="001B10ED" w:rsidRPr="00BC5B69">
        <w:rPr>
          <w:sz w:val="22"/>
          <w:szCs w:val="22"/>
          <w:lang w:val="en-US"/>
        </w:rPr>
        <w:t xml:space="preserve"> </w:t>
      </w:r>
      <w:r w:rsidR="00E91CB0" w:rsidRPr="00BC5B69">
        <w:rPr>
          <w:sz w:val="22"/>
          <w:szCs w:val="22"/>
          <w:lang w:val="en-US"/>
        </w:rPr>
        <w:t>Studies</w:t>
      </w:r>
      <w:r w:rsidR="00451DD5" w:rsidRPr="00BC5B69">
        <w:rPr>
          <w:sz w:val="22"/>
          <w:szCs w:val="22"/>
          <w:lang w:val="en-US"/>
        </w:rPr>
        <w:t xml:space="preserve"> have</w:t>
      </w:r>
      <w:r w:rsidR="00E91CB0" w:rsidRPr="00BC5B69">
        <w:rPr>
          <w:sz w:val="22"/>
          <w:szCs w:val="22"/>
          <w:lang w:val="en-US"/>
        </w:rPr>
        <w:t xml:space="preserve"> reported that although falls are more common in older women th</w:t>
      </w:r>
      <w:r w:rsidR="007E30F7" w:rsidRPr="00BC5B69">
        <w:rPr>
          <w:sz w:val="22"/>
          <w:szCs w:val="22"/>
          <w:lang w:val="en-US"/>
        </w:rPr>
        <w:t>a</w:t>
      </w:r>
      <w:r w:rsidR="00E91CB0" w:rsidRPr="00BC5B69">
        <w:rPr>
          <w:sz w:val="22"/>
          <w:szCs w:val="22"/>
          <w:lang w:val="en-US"/>
        </w:rPr>
        <w:t>n men, fatal fall rates are known to be higher among men</w:t>
      </w:r>
      <w:r w:rsidR="001B30B1" w:rsidRPr="00BC5B69">
        <w:rPr>
          <w:sz w:val="22"/>
          <w:szCs w:val="22"/>
          <w:lang w:val="en-US"/>
        </w:rPr>
        <w:t xml:space="preserve"> </w:t>
      </w:r>
      <w:r w:rsidR="00612885" w:rsidRPr="00BC5B69">
        <w:rPr>
          <w:sz w:val="22"/>
          <w:szCs w:val="22"/>
          <w:lang w:val="en-US"/>
        </w:rPr>
        <w:fldChar w:fldCharType="begin" w:fldLock="1"/>
      </w:r>
      <w:r w:rsidR="00E66FE2" w:rsidRPr="00BC5B69">
        <w:rPr>
          <w:sz w:val="22"/>
          <w:szCs w:val="22"/>
          <w:lang w:val="en-US"/>
        </w:rPr>
        <w:instrText>ADDIN CSL_CITATION {"citationItems":[{"id":"ITEM-1","itemData":{"author":[{"dropping-particle":"","family":"Organisation","given":"World Health","non-dropping-particle":"","parse-names":false,"suffix":""}],"id":"ITEM-1","issued":{"date-parts":[["2007"]]},"title":"WHO Global report on falls Prevention in older Age","type":"report"},"uris":["http://www.mendeley.com/documents/?uuid=5123340e-cfb4-4114-9b8f-1fe9d94e40d8"]}],"mendeley":{"formattedCitation":"(Organisation, 2007)","plainTextFormattedCitation":"(Organisation, 2007)","previouslyFormattedCitation":"(Organisation, 2007)"},"properties":{"noteIndex":0},"schema":"https://github.com/citation-style-language/schema/raw/master/csl-citation.json"}</w:instrText>
      </w:r>
      <w:r w:rsidR="00612885" w:rsidRPr="00BC5B69">
        <w:rPr>
          <w:sz w:val="22"/>
          <w:szCs w:val="22"/>
          <w:lang w:val="en-US"/>
        </w:rPr>
        <w:fldChar w:fldCharType="separate"/>
      </w:r>
      <w:r w:rsidR="00E66FE2" w:rsidRPr="00BC5B69">
        <w:rPr>
          <w:noProof/>
          <w:sz w:val="22"/>
          <w:szCs w:val="22"/>
          <w:lang w:val="en-US"/>
        </w:rPr>
        <w:t>(</w:t>
      </w:r>
      <w:r w:rsidR="001B30B1" w:rsidRPr="00BC5B69">
        <w:rPr>
          <w:noProof/>
          <w:sz w:val="22"/>
          <w:szCs w:val="22"/>
          <w:lang w:val="en-US"/>
        </w:rPr>
        <w:t>WHO</w:t>
      </w:r>
      <w:r w:rsidR="00E66FE2" w:rsidRPr="00BC5B69">
        <w:rPr>
          <w:noProof/>
          <w:sz w:val="22"/>
          <w:szCs w:val="22"/>
          <w:lang w:val="en-US"/>
        </w:rPr>
        <w:t>, 2007)</w:t>
      </w:r>
      <w:r w:rsidR="00612885" w:rsidRPr="00BC5B69">
        <w:rPr>
          <w:sz w:val="22"/>
          <w:szCs w:val="22"/>
          <w:lang w:val="en-US"/>
        </w:rPr>
        <w:fldChar w:fldCharType="end"/>
      </w:r>
      <w:r w:rsidR="00E91CB0" w:rsidRPr="00BC5B69">
        <w:rPr>
          <w:sz w:val="22"/>
          <w:szCs w:val="22"/>
          <w:lang w:val="en-US"/>
        </w:rPr>
        <w:t>. Fall fatality rates are</w:t>
      </w:r>
      <w:r w:rsidR="00CC54B1" w:rsidRPr="00BC5B69">
        <w:rPr>
          <w:sz w:val="22"/>
          <w:szCs w:val="22"/>
          <w:lang w:val="en-US"/>
        </w:rPr>
        <w:t xml:space="preserve"> reported as</w:t>
      </w:r>
      <w:r w:rsidR="00E91CB0" w:rsidRPr="00BC5B69">
        <w:rPr>
          <w:sz w:val="22"/>
          <w:szCs w:val="22"/>
          <w:lang w:val="en-US"/>
        </w:rPr>
        <w:t xml:space="preserve"> 31.1 and 46.2 per 100 000 in </w:t>
      </w:r>
      <w:r w:rsidR="005C3036" w:rsidRPr="00BC5B69">
        <w:rPr>
          <w:sz w:val="22"/>
          <w:szCs w:val="22"/>
          <w:lang w:val="en-US"/>
        </w:rPr>
        <w:t xml:space="preserve">older </w:t>
      </w:r>
      <w:r w:rsidR="00E91CB0" w:rsidRPr="00BC5B69">
        <w:rPr>
          <w:sz w:val="22"/>
          <w:szCs w:val="22"/>
          <w:lang w:val="en-US"/>
        </w:rPr>
        <w:t xml:space="preserve">women and men, respectively </w:t>
      </w:r>
      <w:r w:rsidR="00612885" w:rsidRPr="00BC5B69">
        <w:rPr>
          <w:sz w:val="22"/>
          <w:szCs w:val="22"/>
          <w:lang w:val="en-US"/>
        </w:rPr>
        <w:fldChar w:fldCharType="begin" w:fldLock="1"/>
      </w:r>
      <w:r w:rsidR="001B30B1" w:rsidRPr="00BC5B69">
        <w:rPr>
          <w:sz w:val="22"/>
          <w:szCs w:val="22"/>
          <w:lang w:val="en-US"/>
        </w:rPr>
        <w:instrText>ADDIN CSL_CITATION {"citationItems":[{"id":"ITEM-1","itemData":{"author":[{"dropping-particle":"","family":"Organisation","given":"World Health","non-dropping-particle":"","parse-names":false,"suffix":""}],"id":"ITEM-1","issued":{"date-parts":[["2007"]]},"title":"WHO Global report on falls Prevention in older Age","type":"report"},"uris":["http://www.mendeley.com/documents/?uuid=5123340e-cfb4-4114-9b8f-1fe9d94e40d8"]}],"mendeley":{"formattedCitation":"(Organisation, 2007)","manualFormatting":"(WHO, 2007)","plainTextFormattedCitation":"(Organisation, 2007)","previouslyFormattedCitation":"(Organisation, 2007)"},"properties":{"noteIndex":0},"schema":"https://github.com/citation-style-language/schema/raw/master/csl-citation.json"}</w:instrText>
      </w:r>
      <w:r w:rsidR="00612885" w:rsidRPr="00BC5B69">
        <w:rPr>
          <w:sz w:val="22"/>
          <w:szCs w:val="22"/>
          <w:lang w:val="en-US"/>
        </w:rPr>
        <w:fldChar w:fldCharType="separate"/>
      </w:r>
      <w:r w:rsidR="00E66FE2" w:rsidRPr="00BC5B69">
        <w:rPr>
          <w:noProof/>
          <w:sz w:val="22"/>
          <w:szCs w:val="22"/>
          <w:lang w:val="en-US"/>
        </w:rPr>
        <w:t>(</w:t>
      </w:r>
      <w:r w:rsidR="001B30B1" w:rsidRPr="00BC5B69">
        <w:rPr>
          <w:noProof/>
          <w:sz w:val="22"/>
          <w:szCs w:val="22"/>
          <w:lang w:val="en-US"/>
        </w:rPr>
        <w:t>WHO</w:t>
      </w:r>
      <w:r w:rsidR="00E66FE2" w:rsidRPr="00BC5B69">
        <w:rPr>
          <w:noProof/>
          <w:sz w:val="22"/>
          <w:szCs w:val="22"/>
          <w:lang w:val="en-US"/>
        </w:rPr>
        <w:t>, 2007)</w:t>
      </w:r>
      <w:r w:rsidR="00612885" w:rsidRPr="00BC5B69">
        <w:rPr>
          <w:sz w:val="22"/>
          <w:szCs w:val="22"/>
          <w:lang w:val="en-US"/>
        </w:rPr>
        <w:fldChar w:fldCharType="end"/>
      </w:r>
      <w:r w:rsidR="00E91CB0" w:rsidRPr="00BC5B69">
        <w:rPr>
          <w:sz w:val="22"/>
          <w:szCs w:val="22"/>
          <w:lang w:val="en-US"/>
        </w:rPr>
        <w:t>.</w:t>
      </w:r>
      <w:r w:rsidR="004D6A51" w:rsidRPr="00BC5B69">
        <w:rPr>
          <w:sz w:val="22"/>
          <w:szCs w:val="22"/>
          <w:lang w:val="en-US"/>
        </w:rPr>
        <w:t xml:space="preserve"> </w:t>
      </w:r>
      <w:r w:rsidR="00D95C03" w:rsidRPr="00BC5B69">
        <w:rPr>
          <w:sz w:val="22"/>
          <w:szCs w:val="22"/>
          <w:lang w:val="en-US"/>
        </w:rPr>
        <w:t xml:space="preserve">The differences in the risk factors among the </w:t>
      </w:r>
      <w:r w:rsidR="00F17590" w:rsidRPr="00BC5B69">
        <w:rPr>
          <w:sz w:val="22"/>
          <w:szCs w:val="22"/>
          <w:lang w:val="en-US"/>
        </w:rPr>
        <w:t>sexe</w:t>
      </w:r>
      <w:r w:rsidR="00D95C03" w:rsidRPr="00BC5B69">
        <w:rPr>
          <w:sz w:val="22"/>
          <w:szCs w:val="22"/>
          <w:lang w:val="en-US"/>
        </w:rPr>
        <w:t xml:space="preserve">s were attributed to the various sociodemographic, lifestyle/behavioral, and medical factors in the studies </w:t>
      </w:r>
      <w:r w:rsidR="00D95C03" w:rsidRPr="00BC5B69">
        <w:rPr>
          <w:sz w:val="22"/>
          <w:szCs w:val="22"/>
          <w:lang w:val="en-US"/>
        </w:rPr>
        <w:fldChar w:fldCharType="begin" w:fldLock="1"/>
      </w:r>
      <w:r w:rsidR="00D2655F" w:rsidRPr="00BC5B69">
        <w:rPr>
          <w:sz w:val="22"/>
          <w:szCs w:val="22"/>
          <w:lang w:val="en-US"/>
        </w:rPr>
        <w:instrText>ADDIN CSL_CITATION {"citationItems":[{"id":"ITEM-1","itemData":{"DOI":"10.1093/aje/kwu268","ISBN":"0002-9262","ISSN":"14766256","PMID":"25700887","abstract":"Despite extensive literature on falls among seniors, little is known about gender-specific risk factors. To determine the prevalence of falls by gender and sociodemographic, lifestyle/behavioral, and medical factors, we conducted a cross-sectional study in a nationally representative sample of Canadian adults who were 65 years of age or older (n = 14,881) from the Canadian Community Health Survey–Healthy Aging (2008–2009). Logistic regression models were applied to investigate gender-specific associations between potential risk factors and falls. In men, stroke (odds ratio (OR) = 1.91), nutritional risk (OR = 1.86), post-secondary school degree (OR = 1.68), eye disorder (OR = 1.35), widowed/separated/divorced marital status (OR = 1.28), and arthritis (OR = 1.27) were independently associated with significantly higher odds of falls. In women, significant independent correlates of falls included stroke (OR = 1.53), age of 85 years or older (OR = 1.51), nutritional risk (OR = 1.39), consumption of at least 1 alcoholic drink per week (OR = 1.39), use of 5 or more medications (OR = 1.36), arthritis (OR = 1.36), diabetes (OR = 1.31), and osteoporosis (OR = 1.22). Higher physical activity levels were protective in both genders, and higher household income was protective in women. Gender should be considered when planning fall prevention strategies.","author":[{"dropping-particle":"","family":"Chang","given":"Vicky C.","non-dropping-particle":"","parse-names":false,"suffix":""},{"dropping-particle":"","family":"Do","given":"Minh T.","non-dropping-particle":"","parse-names":false,"suffix":""}],"container-title":"American journal of epidemiology","id":"ITEM-1","issue":"7","issued":{"date-parts":[["2015"]]},"page":"521-531","title":"Risk factors for falls among seniors: Implications of gender","type":"article-journal","volume":"181"},"uris":["http://www.mendeley.com/documents/?uuid=0de9a4c1-2e4d-41cf-ad2e-e903d0f2dbd2"]}],"mendeley":{"formattedCitation":"(Chang &amp; Do, 2015)","plainTextFormattedCitation":"(Chang &amp; Do, 2015)","previouslyFormattedCitation":"(Chang &amp; Do, 2015)"},"properties":{"noteIndex":0},"schema":"https://github.com/citation-style-language/schema/raw/master/csl-citation.json"}</w:instrText>
      </w:r>
      <w:r w:rsidR="00D95C03" w:rsidRPr="00BC5B69">
        <w:rPr>
          <w:sz w:val="22"/>
          <w:szCs w:val="22"/>
          <w:lang w:val="en-US"/>
        </w:rPr>
        <w:fldChar w:fldCharType="separate"/>
      </w:r>
      <w:r w:rsidR="00E66FE2" w:rsidRPr="00BC5B69">
        <w:rPr>
          <w:noProof/>
          <w:sz w:val="22"/>
          <w:szCs w:val="22"/>
          <w:lang w:val="en-US"/>
        </w:rPr>
        <w:t>(Chang &amp; Do, 2015)</w:t>
      </w:r>
      <w:r w:rsidR="00D95C03" w:rsidRPr="00BC5B69">
        <w:rPr>
          <w:sz w:val="22"/>
          <w:szCs w:val="22"/>
          <w:lang w:val="en-US"/>
        </w:rPr>
        <w:fldChar w:fldCharType="end"/>
      </w:r>
      <w:r w:rsidR="00D95C03" w:rsidRPr="00BC5B69">
        <w:rPr>
          <w:sz w:val="22"/>
          <w:szCs w:val="22"/>
          <w:lang w:val="en-US"/>
        </w:rPr>
        <w:t>.</w:t>
      </w:r>
      <w:r w:rsidR="001B10ED" w:rsidRPr="00BC5B69">
        <w:rPr>
          <w:sz w:val="22"/>
          <w:szCs w:val="22"/>
          <w:lang w:val="en-US"/>
        </w:rPr>
        <w:t xml:space="preserve"> </w:t>
      </w:r>
      <w:r w:rsidR="00612885" w:rsidRPr="00BC5B69">
        <w:rPr>
          <w:sz w:val="22"/>
          <w:szCs w:val="22"/>
          <w:lang w:val="en-US"/>
        </w:rPr>
        <w:t xml:space="preserve">Men have more comorbidity than </w:t>
      </w:r>
      <w:r w:rsidR="00CC54B1" w:rsidRPr="00BC5B69">
        <w:rPr>
          <w:sz w:val="22"/>
          <w:szCs w:val="22"/>
          <w:lang w:val="en-US"/>
        </w:rPr>
        <w:t>the</w:t>
      </w:r>
      <w:r w:rsidR="00451DD5" w:rsidRPr="00BC5B69">
        <w:rPr>
          <w:sz w:val="22"/>
          <w:szCs w:val="22"/>
          <w:lang w:val="en-US"/>
        </w:rPr>
        <w:t>ir</w:t>
      </w:r>
      <w:r w:rsidR="00CC54B1" w:rsidRPr="00BC5B69">
        <w:rPr>
          <w:sz w:val="22"/>
          <w:szCs w:val="22"/>
          <w:lang w:val="en-US"/>
        </w:rPr>
        <w:t xml:space="preserve"> </w:t>
      </w:r>
      <w:r w:rsidR="00FE1FA8" w:rsidRPr="00BC5B69">
        <w:rPr>
          <w:sz w:val="22"/>
          <w:szCs w:val="22"/>
          <w:lang w:val="en-US"/>
        </w:rPr>
        <w:t xml:space="preserve">female </w:t>
      </w:r>
      <w:r w:rsidR="00451DD5" w:rsidRPr="00BC5B69">
        <w:rPr>
          <w:sz w:val="22"/>
          <w:szCs w:val="22"/>
          <w:lang w:val="en-US"/>
        </w:rPr>
        <w:t>counterparts have</w:t>
      </w:r>
      <w:r w:rsidR="00080806" w:rsidRPr="00BC5B69">
        <w:rPr>
          <w:sz w:val="22"/>
          <w:szCs w:val="22"/>
          <w:lang w:val="en-US"/>
        </w:rPr>
        <w:t xml:space="preserve"> </w:t>
      </w:r>
      <w:r w:rsidR="00CC54B1" w:rsidRPr="00BC5B69">
        <w:rPr>
          <w:sz w:val="22"/>
          <w:szCs w:val="22"/>
          <w:lang w:val="en-US"/>
        </w:rPr>
        <w:t>and</w:t>
      </w:r>
      <w:r w:rsidR="00451DD5" w:rsidRPr="00BC5B69">
        <w:rPr>
          <w:sz w:val="22"/>
          <w:szCs w:val="22"/>
          <w:lang w:val="en-US"/>
        </w:rPr>
        <w:t xml:space="preserve"> are</w:t>
      </w:r>
      <w:r w:rsidR="00CC54B1" w:rsidRPr="00BC5B69">
        <w:rPr>
          <w:sz w:val="22"/>
          <w:szCs w:val="22"/>
          <w:lang w:val="en-US"/>
        </w:rPr>
        <w:t xml:space="preserve"> </w:t>
      </w:r>
      <w:r w:rsidR="00451DD5" w:rsidRPr="00BC5B69">
        <w:rPr>
          <w:sz w:val="22"/>
          <w:szCs w:val="22"/>
          <w:lang w:val="en-US"/>
        </w:rPr>
        <w:t xml:space="preserve">less likely </w:t>
      </w:r>
      <w:r w:rsidR="00612885" w:rsidRPr="00BC5B69">
        <w:rPr>
          <w:sz w:val="22"/>
          <w:szCs w:val="22"/>
          <w:lang w:val="en-US"/>
        </w:rPr>
        <w:t xml:space="preserve">to seek medical assistance until </w:t>
      </w:r>
      <w:r w:rsidR="00B9797F" w:rsidRPr="00BC5B69">
        <w:rPr>
          <w:sz w:val="22"/>
          <w:szCs w:val="22"/>
          <w:lang w:val="en-US"/>
        </w:rPr>
        <w:t xml:space="preserve">their </w:t>
      </w:r>
      <w:r w:rsidR="00612885" w:rsidRPr="00BC5B69">
        <w:rPr>
          <w:sz w:val="22"/>
          <w:szCs w:val="22"/>
          <w:lang w:val="en-US"/>
        </w:rPr>
        <w:t>illness become more serious</w:t>
      </w:r>
      <w:r w:rsidR="00B9797F" w:rsidRPr="00BC5B69">
        <w:rPr>
          <w:sz w:val="22"/>
          <w:szCs w:val="22"/>
          <w:lang w:val="en-US"/>
        </w:rPr>
        <w:t xml:space="preserve">, which </w:t>
      </w:r>
      <w:r w:rsidR="00612885" w:rsidRPr="00BC5B69">
        <w:rPr>
          <w:sz w:val="22"/>
          <w:szCs w:val="22"/>
          <w:lang w:val="en-US"/>
        </w:rPr>
        <w:t xml:space="preserve">may cause delays in the prevention and treatment of diseases. In addition, men are more likely to engage in more </w:t>
      </w:r>
      <w:r w:rsidR="00451DD5" w:rsidRPr="00BC5B69">
        <w:rPr>
          <w:sz w:val="22"/>
          <w:szCs w:val="22"/>
          <w:lang w:val="en-US"/>
        </w:rPr>
        <w:t>risky</w:t>
      </w:r>
      <w:r w:rsidR="00612885" w:rsidRPr="00BC5B69">
        <w:rPr>
          <w:sz w:val="22"/>
          <w:szCs w:val="22"/>
          <w:lang w:val="en-US"/>
        </w:rPr>
        <w:t xml:space="preserve"> physical activities (such as climbing high, ignoring the limits of their physical capacity)</w:t>
      </w:r>
      <w:r w:rsidR="00612885" w:rsidRPr="00BC5B69">
        <w:rPr>
          <w:sz w:val="22"/>
          <w:szCs w:val="22"/>
          <w:lang w:val="en-US"/>
        </w:rPr>
        <w:fldChar w:fldCharType="begin" w:fldLock="1"/>
      </w:r>
      <w:r w:rsidR="001B30B1" w:rsidRPr="00BC5B69">
        <w:rPr>
          <w:sz w:val="22"/>
          <w:szCs w:val="22"/>
          <w:lang w:val="en-US"/>
        </w:rPr>
        <w:instrText>ADDIN CSL_CITATION {"citationItems":[{"id":"ITEM-1","itemData":{"author":[{"dropping-particle":"","family":"Organisation","given":"World Health","non-dropping-particle":"","parse-names":false,"suffix":""}],"id":"ITEM-1","issued":{"date-parts":[["2007"]]},"title":"WHO Global report on falls Prevention in older Age","type":"report"},"uris":["http://www.mendeley.com/documents/?uuid=5123340e-cfb4-4114-9b8f-1fe9d94e40d8"]}],"mendeley":{"formattedCitation":"(Organisation, 2007)","manualFormatting":"(WHO, 2007)","plainTextFormattedCitation":"(Organisation, 2007)","previouslyFormattedCitation":"(Organisation, 2007)"},"properties":{"noteIndex":0},"schema":"https://github.com/citation-style-language/schema/raw/master/csl-citation.json"}</w:instrText>
      </w:r>
      <w:r w:rsidR="00612885" w:rsidRPr="00BC5B69">
        <w:rPr>
          <w:sz w:val="22"/>
          <w:szCs w:val="22"/>
          <w:lang w:val="en-US"/>
        </w:rPr>
        <w:fldChar w:fldCharType="separate"/>
      </w:r>
      <w:r w:rsidR="00E66FE2" w:rsidRPr="00BC5B69">
        <w:rPr>
          <w:noProof/>
          <w:sz w:val="22"/>
          <w:szCs w:val="22"/>
          <w:lang w:val="en-US"/>
        </w:rPr>
        <w:t>(</w:t>
      </w:r>
      <w:r w:rsidR="001B30B1" w:rsidRPr="00BC5B69">
        <w:rPr>
          <w:noProof/>
          <w:sz w:val="22"/>
          <w:szCs w:val="22"/>
          <w:lang w:val="en-US"/>
        </w:rPr>
        <w:t>WHO</w:t>
      </w:r>
      <w:r w:rsidR="00E66FE2" w:rsidRPr="00BC5B69">
        <w:rPr>
          <w:noProof/>
          <w:sz w:val="22"/>
          <w:szCs w:val="22"/>
          <w:lang w:val="en-US"/>
        </w:rPr>
        <w:t>, 2007)</w:t>
      </w:r>
      <w:r w:rsidR="00612885" w:rsidRPr="00BC5B69">
        <w:rPr>
          <w:sz w:val="22"/>
          <w:szCs w:val="22"/>
          <w:lang w:val="en-US"/>
        </w:rPr>
        <w:fldChar w:fldCharType="end"/>
      </w:r>
      <w:r w:rsidR="00612885" w:rsidRPr="00BC5B69">
        <w:rPr>
          <w:sz w:val="22"/>
          <w:szCs w:val="22"/>
          <w:lang w:val="en-US"/>
        </w:rPr>
        <w:t xml:space="preserve">. </w:t>
      </w:r>
      <w:r w:rsidR="00B9797F" w:rsidRPr="00BC5B69">
        <w:rPr>
          <w:sz w:val="22"/>
          <w:szCs w:val="22"/>
          <w:lang w:val="en-US"/>
        </w:rPr>
        <w:t>Additionally</w:t>
      </w:r>
      <w:r w:rsidR="001B10ED" w:rsidRPr="00BC5B69">
        <w:rPr>
          <w:sz w:val="22"/>
          <w:szCs w:val="22"/>
          <w:lang w:val="en-US"/>
        </w:rPr>
        <w:t>, differences in physical activity levels, bone mass, muscle strength</w:t>
      </w:r>
      <w:r w:rsidR="00654537" w:rsidRPr="00BC5B69">
        <w:rPr>
          <w:sz w:val="22"/>
          <w:szCs w:val="22"/>
          <w:lang w:val="en-US"/>
        </w:rPr>
        <w:t xml:space="preserve">, </w:t>
      </w:r>
      <w:r w:rsidR="00A9283B" w:rsidRPr="00BC5B69">
        <w:rPr>
          <w:sz w:val="22"/>
          <w:szCs w:val="22"/>
          <w:lang w:val="en-US"/>
        </w:rPr>
        <w:t xml:space="preserve">the </w:t>
      </w:r>
      <w:r w:rsidR="00654537" w:rsidRPr="00BC5B69">
        <w:rPr>
          <w:sz w:val="22"/>
          <w:szCs w:val="22"/>
          <w:lang w:val="en-US"/>
        </w:rPr>
        <w:t>speed of muscle contraction</w:t>
      </w:r>
      <w:r w:rsidR="001B10ED" w:rsidRPr="00BC5B69">
        <w:rPr>
          <w:sz w:val="22"/>
          <w:szCs w:val="22"/>
          <w:lang w:val="en-US"/>
        </w:rPr>
        <w:t xml:space="preserve"> and other sex-specific risk factors may </w:t>
      </w:r>
      <w:r w:rsidR="00B9797F" w:rsidRPr="00BC5B69">
        <w:rPr>
          <w:sz w:val="22"/>
          <w:szCs w:val="22"/>
          <w:lang w:val="en-US"/>
        </w:rPr>
        <w:t xml:space="preserve">play a role in the differences among </w:t>
      </w:r>
      <w:r w:rsidR="00F17590" w:rsidRPr="00BC5B69">
        <w:rPr>
          <w:sz w:val="22"/>
          <w:szCs w:val="22"/>
          <w:lang w:val="en-US"/>
        </w:rPr>
        <w:t>sexe</w:t>
      </w:r>
      <w:r w:rsidR="00B9797F" w:rsidRPr="00BC5B69">
        <w:rPr>
          <w:sz w:val="22"/>
          <w:szCs w:val="22"/>
          <w:lang w:val="en-US"/>
        </w:rPr>
        <w:t>s</w:t>
      </w:r>
      <w:r w:rsidR="00080806" w:rsidRPr="00BC5B69">
        <w:rPr>
          <w:sz w:val="22"/>
          <w:szCs w:val="22"/>
          <w:lang w:val="en-US"/>
        </w:rPr>
        <w:t xml:space="preserve"> </w:t>
      </w:r>
      <w:r w:rsidR="006042B5" w:rsidRPr="00BC5B69">
        <w:rPr>
          <w:sz w:val="22"/>
          <w:szCs w:val="22"/>
          <w:lang w:val="en-US"/>
        </w:rPr>
        <w:fldChar w:fldCharType="begin" w:fldLock="1"/>
      </w:r>
      <w:r w:rsidR="00D2655F" w:rsidRPr="00BC5B69">
        <w:rPr>
          <w:sz w:val="22"/>
          <w:szCs w:val="22"/>
          <w:lang w:val="en-US"/>
        </w:rPr>
        <w:instrText>ADDIN CSL_CITATION {"citationItems":[{"id":"ITEM-1","itemData":{"DOI":"10.1080/14992020701689688","ISBN":"1499-2027","ISSN":"14992027","PMID":"18236239","abstract":"The purpose of this study was to provide age specific normative data of clinical gait and balance tests and to determine to what extent gender contributes to differences in postural control. Standing balance and walking performance was tested in 318 asymptomatic adults. The logistic regression, using both 10- and 30-second time limits as a dichotomization point, revealed a significant age effect for standing on foam with eyes closed, tandem Romberg with eyes closed (TR-EC), and one leg stance (eyes open and closed). The actual effect of decline was different for each test. Both tandem gait and dynamic gait index showed a ceiling effect up to 60 years of age, with a rapid decline of performance for subjects in their seventies. Linear regression equations indicated that for both men and women, timed up and go test (TUG) times increased with age, but even older subjects should perform the TUG in 10 seconds or less. Women performed significantly poorer on the TUG and TR-EC (30-second time limit).","author":[{"dropping-particle":"","family":"Vereeck","given":"Luc","non-dropping-particle":"","parse-names":false,"suffix":""},{"dropping-particle":"","family":"Wuyts","given":"Floris","non-dropping-particle":"","parse-names":false,"suffix":""},{"dropping-particle":"","family":"Truijen","given":"Steven","non-dropping-particle":"","parse-names":false,"suffix":""},{"dropping-particle":"","family":"Heyning","given":"Paul","non-dropping-particle":"Van De","parse-names":false,"suffix":""}],"container-title":"International journal of audiology","id":"ITEM-1","issue":"2","issued":{"date-parts":[["2008"]]},"page":"67-75","title":"Clinical assessment of balance: Normative data, and gender and age effects","type":"article-journal","volume":"47"},"uris":["http://www.mendeley.com/documents/?uuid=1932eb99-8e5f-47b9-8b8f-f2c75a3435ec"]},{"id":"ITEM-2","itemData":{"DOI":"10.1136/ip.2004.005835","ISBN":"1353-8047 (Print)\\r1353-8047 (Linking)","ISSN":"13538047","PMID":"15805442","abstract":"Objectives: To quantify gender differences for non-fatal unintentional fall related injuries among US adults age 65 years and older treated in hospital emergency departments (EDs). Methods: The authors analyzed data from a nationally representative sample of ED visits for January 2001 through December 2001, available through the National Electronic Injury Surveillance System All Injury Program (NEISS-AIP). For each initial ED visit, coders record one principal diagnosis (usually the most severe) and one primary part of the body affected. Results: Based on 22 560 cases, an estimated 1.64 million older adults were treated in EDs for unintentional fall injuries. Of these, approximately 1.16 million, or 70.5%, were women. Fractures, contusions/abrasions, and lacerations accounted for more than three quarters of all injuries. Rates for injury diagnoses were generally higher among women, most notably for fractures which were 2.2 times higher than for men. For all parts of the body, women's injury rates exceeded those of men. Rate ratios were greatest for injuries of the leg/foot (2.3), arm/hand (2.0), and lower trunk (2.0). The hospitalization rate for women was 1.8 times that for men. Conclusions: Among older adults, non-fatal fall related injuries disproportionately affected women. Much is known about effective fall prevention strategies. We need to refine, promote, and implement these interventions. Additional research is needed to tailor interventions for different populations and to determine gender differences in the underlying causes and/or circumstances of falls. This information is vital for developing and implementing targeted fall prevention strategies. F","author":[{"dropping-particle":"","family":"Stevens","given":"J. A.","non-dropping-particle":"","parse-names":false,"suffix":""},{"dropping-particle":"","family":"Sogolow","given":"E. D.","non-dropping-particle":"","parse-names":false,"suffix":""}],"container-title":"Injury prevention","id":"ITEM-2","issue":"2","issued":{"date-parts":[["2005"]]},"page":"115-9","title":"Gender differences for non-fatal unintentional fall related injuries among older adults","type":"article-journal","volume":"11"},"uris":["http://www.mendeley.com/documents/?uuid=52a2509a-8f7b-4696-b645-02cff1ea6381"]}],"mendeley":{"formattedCitation":"(Stevens &amp; Sogolow, 2005; Vereeck, Wuyts, Truijen, &amp; Van De Heyning, 2008)","plainTextFormattedCitation":"(Stevens &amp; Sogolow, 2005; Vereeck, Wuyts, Truijen, &amp; Van De Heyning, 2008)","previouslyFormattedCitation":"(Stevens &amp; Sogolow, 2005; Vereeck, Wuyts, Truijen, &amp; Van De Heyning, 2008)"},"properties":{"noteIndex":0},"schema":"https://github.com/citation-style-language/schema/raw/master/csl-citation.json"}</w:instrText>
      </w:r>
      <w:r w:rsidR="006042B5" w:rsidRPr="00BC5B69">
        <w:rPr>
          <w:sz w:val="22"/>
          <w:szCs w:val="22"/>
          <w:lang w:val="en-US"/>
        </w:rPr>
        <w:fldChar w:fldCharType="separate"/>
      </w:r>
      <w:r w:rsidR="00E66FE2" w:rsidRPr="00BC5B69">
        <w:rPr>
          <w:noProof/>
          <w:sz w:val="22"/>
          <w:szCs w:val="22"/>
          <w:lang w:val="en-US"/>
        </w:rPr>
        <w:t>(Stevens &amp; Sogolow, 2005; Vereeck, Wuyts, Truijen, &amp; Van De Heyning, 2008)</w:t>
      </w:r>
      <w:r w:rsidR="006042B5" w:rsidRPr="00BC5B69">
        <w:rPr>
          <w:sz w:val="22"/>
          <w:szCs w:val="22"/>
          <w:lang w:val="en-US"/>
        </w:rPr>
        <w:fldChar w:fldCharType="end"/>
      </w:r>
      <w:r w:rsidR="001B10ED" w:rsidRPr="00BC5B69">
        <w:rPr>
          <w:sz w:val="22"/>
          <w:szCs w:val="22"/>
          <w:lang w:val="en-US"/>
        </w:rPr>
        <w:t>.</w:t>
      </w:r>
    </w:p>
    <w:p w14:paraId="0FA3D79D" w14:textId="360ACD93" w:rsidR="003B3325" w:rsidRPr="00BC5B69" w:rsidRDefault="00801CEB" w:rsidP="004747C3">
      <w:pPr>
        <w:spacing w:line="480" w:lineRule="auto"/>
        <w:jc w:val="both"/>
        <w:rPr>
          <w:bCs/>
          <w:sz w:val="22"/>
          <w:szCs w:val="22"/>
          <w:lang w:val="en-US"/>
        </w:rPr>
      </w:pPr>
      <w:r w:rsidRPr="00BC5B69">
        <w:rPr>
          <w:bCs/>
          <w:sz w:val="22"/>
          <w:szCs w:val="22"/>
          <w:lang w:val="en-US"/>
        </w:rPr>
        <w:t xml:space="preserve">There are </w:t>
      </w:r>
      <w:r w:rsidR="00245F57" w:rsidRPr="00BC5B69">
        <w:rPr>
          <w:bCs/>
          <w:sz w:val="22"/>
          <w:szCs w:val="22"/>
          <w:lang w:val="en-US"/>
        </w:rPr>
        <w:t>conflicting</w:t>
      </w:r>
      <w:r w:rsidRPr="00BC5B69">
        <w:rPr>
          <w:bCs/>
          <w:sz w:val="22"/>
          <w:szCs w:val="22"/>
          <w:lang w:val="en-US"/>
        </w:rPr>
        <w:t xml:space="preserve"> results in the literature </w:t>
      </w:r>
      <w:r w:rsidR="00245F57" w:rsidRPr="00BC5B69">
        <w:rPr>
          <w:bCs/>
          <w:sz w:val="22"/>
          <w:szCs w:val="22"/>
          <w:lang w:val="en-US"/>
        </w:rPr>
        <w:t>regarding</w:t>
      </w:r>
      <w:r w:rsidRPr="00BC5B69">
        <w:rPr>
          <w:bCs/>
          <w:sz w:val="22"/>
          <w:szCs w:val="22"/>
          <w:lang w:val="en-US"/>
        </w:rPr>
        <w:t xml:space="preserve"> fall risk factors. One of the reasons for this may be differences in the methods used to determine the risk of falls</w:t>
      </w:r>
      <w:r w:rsidR="00B849B0" w:rsidRPr="00BC5B69">
        <w:rPr>
          <w:bCs/>
          <w:sz w:val="22"/>
          <w:szCs w:val="22"/>
          <w:lang w:val="en-US"/>
        </w:rPr>
        <w:t xml:space="preserve"> </w:t>
      </w:r>
      <w:r w:rsidR="00B849B0" w:rsidRPr="00BC5B69">
        <w:rPr>
          <w:bCs/>
          <w:sz w:val="22"/>
          <w:szCs w:val="22"/>
          <w:lang w:val="en-US"/>
        </w:rPr>
        <w:fldChar w:fldCharType="begin" w:fldLock="1"/>
      </w:r>
      <w:r w:rsidR="00F94003" w:rsidRPr="00BC5B69">
        <w:rPr>
          <w:bCs/>
          <w:sz w:val="22"/>
          <w:szCs w:val="22"/>
          <w:lang w:val="en-US"/>
        </w:rPr>
        <w:instrText>ADDIN CSL_CITATION {"citationItems":[{"id":"ITEM-1","itemData":{"DOI":"10.7748/nop.26.6.18.e586","ISBN":"978-1-4731-0132-6","ISSN":"20478941","PMID":"24975078","abstract":"In June 2013 the National Institute for Health and Care Excellence updated and replaced its 2004 clinical guideline 21 (CG21) on falls with clinical guideline 161 (CG161). Two priorities were outlined in the latter: preventing falls in older people (unchanged from CG21) and preventing falls in older people during a hospital stay (new). CG161 is for health and social care clinicians who care for older people who have fallen or who are at risk of falling. It provides clinicians and commissioners with evidence to implement effective care pathways and recommendations on the assessment and prevention of falls in older people. The amalgamation of the two guidelines has resulted in some disconnection. This article summarises the evidence and supports clinicians in the interpretation of the revised falls guideline.","author":[{"dropping-particle":"","family":"National Institute for Health and Care Excellence: Clinical Guidelines","given":"n","non-dropping-particle":"","parse-names":false,"suffix":""}],"container-title":"NICE","id":"ITEM-1","issued":{"date-parts":[["2013"]]},"page":"http://www.nice.org.uk/CG161","title":"Falls: assessment and prevention of falls in older people","type":"article-journal"},"uris":["http://www.mendeley.com/documents/?uuid=9b12b942-fa2e-462f-b34a-3359da0d8198"]}],"mendeley":{"formattedCitation":"(National Institute for Health and Care Excellence: Clinical Guidelines, 2013)","manualFormatting":"(NICE, 2013)","plainTextFormattedCitation":"(National Institute for Health and Care Excellence: Clinical Guidelines, 2013)","previouslyFormattedCitation":"(National Institute for Health and Care Excellence: Clinical Guidelines, 2013)"},"properties":{"noteIndex":0},"schema":"https://github.com/citation-style-language/schema/raw/master/csl-citation.json"}</w:instrText>
      </w:r>
      <w:r w:rsidR="00B849B0" w:rsidRPr="00BC5B69">
        <w:rPr>
          <w:bCs/>
          <w:sz w:val="22"/>
          <w:szCs w:val="22"/>
          <w:lang w:val="en-US"/>
        </w:rPr>
        <w:fldChar w:fldCharType="separate"/>
      </w:r>
      <w:r w:rsidR="00E66FE2" w:rsidRPr="00BC5B69">
        <w:rPr>
          <w:bCs/>
          <w:noProof/>
          <w:sz w:val="22"/>
          <w:szCs w:val="22"/>
          <w:lang w:val="en-US"/>
        </w:rPr>
        <w:t>(N</w:t>
      </w:r>
      <w:r w:rsidR="001B30B1" w:rsidRPr="00BC5B69">
        <w:rPr>
          <w:bCs/>
          <w:noProof/>
          <w:sz w:val="22"/>
          <w:szCs w:val="22"/>
          <w:lang w:val="en-US"/>
        </w:rPr>
        <w:t>ICE</w:t>
      </w:r>
      <w:r w:rsidR="00E66FE2" w:rsidRPr="00BC5B69">
        <w:rPr>
          <w:bCs/>
          <w:noProof/>
          <w:sz w:val="22"/>
          <w:szCs w:val="22"/>
          <w:lang w:val="en-US"/>
        </w:rPr>
        <w:t>, 2013)</w:t>
      </w:r>
      <w:r w:rsidR="00B849B0" w:rsidRPr="00BC5B69">
        <w:rPr>
          <w:bCs/>
          <w:sz w:val="22"/>
          <w:szCs w:val="22"/>
          <w:lang w:val="en-US"/>
        </w:rPr>
        <w:fldChar w:fldCharType="end"/>
      </w:r>
      <w:r w:rsidRPr="00BC5B69">
        <w:rPr>
          <w:bCs/>
          <w:sz w:val="22"/>
          <w:szCs w:val="22"/>
          <w:lang w:val="en-US"/>
        </w:rPr>
        <w:t xml:space="preserve">. </w:t>
      </w:r>
      <w:r w:rsidR="00ED0EB6" w:rsidRPr="00BC5B69">
        <w:rPr>
          <w:bCs/>
          <w:sz w:val="22"/>
          <w:szCs w:val="22"/>
          <w:lang w:val="en-US"/>
        </w:rPr>
        <w:t>There is</w:t>
      </w:r>
      <w:r w:rsidR="005C3036" w:rsidRPr="00BC5B69">
        <w:rPr>
          <w:bCs/>
          <w:sz w:val="22"/>
          <w:szCs w:val="22"/>
          <w:lang w:val="en-US"/>
        </w:rPr>
        <w:t>n’t</w:t>
      </w:r>
      <w:r w:rsidR="00ED0EB6" w:rsidRPr="00BC5B69">
        <w:rPr>
          <w:bCs/>
          <w:sz w:val="22"/>
          <w:szCs w:val="22"/>
          <w:lang w:val="en-US"/>
        </w:rPr>
        <w:t xml:space="preserve"> any gold </w:t>
      </w:r>
      <w:r w:rsidR="005C3036" w:rsidRPr="00BC5B69">
        <w:rPr>
          <w:bCs/>
          <w:sz w:val="22"/>
          <w:szCs w:val="22"/>
          <w:lang w:val="en-US"/>
        </w:rPr>
        <w:t>standard</w:t>
      </w:r>
      <w:r w:rsidR="00ED0EB6" w:rsidRPr="00BC5B69">
        <w:rPr>
          <w:bCs/>
          <w:sz w:val="22"/>
          <w:szCs w:val="22"/>
          <w:lang w:val="en-US"/>
        </w:rPr>
        <w:t xml:space="preserve"> </w:t>
      </w:r>
      <w:r w:rsidR="005C3036" w:rsidRPr="00BC5B69">
        <w:rPr>
          <w:bCs/>
          <w:sz w:val="22"/>
          <w:szCs w:val="22"/>
          <w:lang w:val="en-US"/>
        </w:rPr>
        <w:t>method</w:t>
      </w:r>
      <w:r w:rsidR="00ED0EB6" w:rsidRPr="00BC5B69">
        <w:rPr>
          <w:bCs/>
          <w:sz w:val="22"/>
          <w:szCs w:val="22"/>
          <w:lang w:val="en-US"/>
        </w:rPr>
        <w:t xml:space="preserve"> for identify the risk of falling</w:t>
      </w:r>
      <w:r w:rsidR="00B849B0" w:rsidRPr="00BC5B69">
        <w:rPr>
          <w:bCs/>
          <w:sz w:val="22"/>
          <w:szCs w:val="22"/>
          <w:lang w:val="en-US"/>
        </w:rPr>
        <w:t xml:space="preserve"> </w:t>
      </w:r>
      <w:r w:rsidR="00B849B0" w:rsidRPr="00BC5B69">
        <w:rPr>
          <w:bCs/>
          <w:sz w:val="22"/>
          <w:szCs w:val="22"/>
          <w:lang w:val="en-US"/>
        </w:rPr>
        <w:fldChar w:fldCharType="begin" w:fldLock="1"/>
      </w:r>
      <w:r w:rsidR="00E66FE2" w:rsidRPr="00BC5B69">
        <w:rPr>
          <w:bCs/>
          <w:sz w:val="22"/>
          <w:szCs w:val="22"/>
          <w:lang w:val="en-US"/>
        </w:rPr>
        <w:instrText>ADDIN CSL_CITATION {"citationItems":[{"id":"ITEM-1","itemData":{"DOI":"10.7748/nop.26.6.18.e586","ISBN":"978-1-4731-0132-6","ISSN":"20478941","PMID":"24975078","abstract":"In June 2013 the National Institute for Health and Care Excellence updated and replaced its 2004 clinical guideline 21 (CG21) on falls with clinical guideline 161 (CG161). Two priorities were outlined in the latter: preventing falls in older people (unchanged from CG21) and preventing falls in older people during a hospital stay (new). CG161 is for health and social care clinicians who care for older people who have fallen or who are at risk of falling. It provides clinicians and commissioners with evidence to implement effective care pathways and recommendations on the assessment and prevention of falls in older people. The amalgamation of the two guidelines has resulted in some disconnection. This article summarises the evidence and supports clinicians in the interpretation of the revised falls guideline.","author":[{"dropping-particle":"","family":"National Institute for Health and Care Excellence: Clinical Guidelines","given":"n","non-dropping-particle":"","parse-names":false,"suffix":""}],"container-title":"NICE","id":"ITEM-1","issued":{"date-parts":[["2013"]]},"page":"http://www.nice.org.uk/CG161","title":"Falls: assessment and prevention of falls in older people","type":"article-journal"},"uris":["http://www.mendeley.com/documents/?uuid=9b12b942-fa2e-462f-b34a-3359da0d8198"]}],"mendeley":{"formattedCitation":"(National Institute for Health and Care Excellence: Clinical Guidelines, 2013)","plainTextFormattedCitation":"(National Institute for Health and Care Excellence: Clinical Guidelines, 2013)","previouslyFormattedCitation":"(National Institute for Health and Care Excellence: Clinical Guidelines, 2013)"},"properties":{"noteIndex":0},"schema":"https://github.com/citation-style-language/schema/raw/master/csl-citation.json"}</w:instrText>
      </w:r>
      <w:r w:rsidR="00B849B0" w:rsidRPr="00BC5B69">
        <w:rPr>
          <w:bCs/>
          <w:sz w:val="22"/>
          <w:szCs w:val="22"/>
          <w:lang w:val="en-US"/>
        </w:rPr>
        <w:fldChar w:fldCharType="separate"/>
      </w:r>
      <w:r w:rsidR="00E66FE2" w:rsidRPr="00BC5B69">
        <w:rPr>
          <w:bCs/>
          <w:noProof/>
          <w:sz w:val="22"/>
          <w:szCs w:val="22"/>
          <w:lang w:val="en-US"/>
        </w:rPr>
        <w:t>(N</w:t>
      </w:r>
      <w:r w:rsidR="00F94003" w:rsidRPr="00BC5B69">
        <w:rPr>
          <w:bCs/>
          <w:noProof/>
          <w:sz w:val="22"/>
          <w:szCs w:val="22"/>
          <w:lang w:val="en-US"/>
        </w:rPr>
        <w:t>ICE</w:t>
      </w:r>
      <w:r w:rsidR="00E66FE2" w:rsidRPr="00BC5B69">
        <w:rPr>
          <w:bCs/>
          <w:noProof/>
          <w:sz w:val="22"/>
          <w:szCs w:val="22"/>
          <w:lang w:val="en-US"/>
        </w:rPr>
        <w:t>, 2013)</w:t>
      </w:r>
      <w:r w:rsidR="00B849B0" w:rsidRPr="00BC5B69">
        <w:rPr>
          <w:bCs/>
          <w:sz w:val="22"/>
          <w:szCs w:val="22"/>
          <w:lang w:val="en-US"/>
        </w:rPr>
        <w:fldChar w:fldCharType="end"/>
      </w:r>
      <w:r w:rsidR="00ED0EB6" w:rsidRPr="00BC5B69">
        <w:rPr>
          <w:bCs/>
          <w:sz w:val="22"/>
          <w:szCs w:val="22"/>
          <w:lang w:val="en-US"/>
        </w:rPr>
        <w:t>.</w:t>
      </w:r>
      <w:r w:rsidR="002E7E94" w:rsidRPr="00BC5B69">
        <w:rPr>
          <w:bCs/>
          <w:sz w:val="22"/>
          <w:szCs w:val="22"/>
          <w:lang w:val="en-US"/>
        </w:rPr>
        <w:t xml:space="preserve"> </w:t>
      </w:r>
      <w:r w:rsidR="00245F57" w:rsidRPr="00BC5B69">
        <w:rPr>
          <w:bCs/>
          <w:sz w:val="22"/>
          <w:szCs w:val="22"/>
          <w:lang w:val="en-US"/>
        </w:rPr>
        <w:t>However</w:t>
      </w:r>
      <w:r w:rsidR="00ED0EB6" w:rsidRPr="00BC5B69">
        <w:rPr>
          <w:bCs/>
          <w:sz w:val="22"/>
          <w:szCs w:val="22"/>
          <w:lang w:val="en-US"/>
        </w:rPr>
        <w:t>, h</w:t>
      </w:r>
      <w:r w:rsidR="005B071A" w:rsidRPr="00BC5B69">
        <w:rPr>
          <w:bCs/>
          <w:sz w:val="22"/>
          <w:szCs w:val="22"/>
          <w:lang w:val="en-US"/>
        </w:rPr>
        <w:t>istory of falling, Performance-</w:t>
      </w:r>
      <w:r w:rsidR="005B071A" w:rsidRPr="00BC5B69">
        <w:rPr>
          <w:bCs/>
          <w:sz w:val="22"/>
          <w:szCs w:val="22"/>
          <w:lang w:val="en-US"/>
        </w:rPr>
        <w:lastRenderedPageBreak/>
        <w:t>Oriented Mobility Assessment (POMA), Timed Up and Go (TUG) test and 4-meter walking speed test are practical, easily applicable, cost-free clinical methods for screening falling risk in daily practice.</w:t>
      </w:r>
      <w:r w:rsidRPr="00BC5B69">
        <w:rPr>
          <w:bCs/>
          <w:sz w:val="22"/>
          <w:szCs w:val="22"/>
          <w:lang w:val="en-US"/>
        </w:rPr>
        <w:t xml:space="preserve"> </w:t>
      </w:r>
      <w:r w:rsidR="00CD0ACB" w:rsidRPr="00BC5B69">
        <w:rPr>
          <w:bCs/>
          <w:sz w:val="22"/>
          <w:szCs w:val="22"/>
          <w:lang w:val="en-US"/>
        </w:rPr>
        <w:t>In this study, due to the fact that falls in older men have much worse negative outcomes, we aim to identify</w:t>
      </w:r>
      <w:r w:rsidR="005A1300" w:rsidRPr="00BC5B69">
        <w:rPr>
          <w:bCs/>
          <w:sz w:val="22"/>
          <w:szCs w:val="22"/>
          <w:lang w:val="en-US"/>
        </w:rPr>
        <w:t xml:space="preserve"> </w:t>
      </w:r>
      <w:r w:rsidR="00CD0ACB" w:rsidRPr="00BC5B69">
        <w:rPr>
          <w:bCs/>
          <w:sz w:val="22"/>
          <w:szCs w:val="22"/>
          <w:lang w:val="en-US"/>
        </w:rPr>
        <w:t xml:space="preserve">factors that increase risk of falling in only older men by using four different </w:t>
      </w:r>
      <w:r w:rsidR="00245F57" w:rsidRPr="00BC5B69">
        <w:rPr>
          <w:bCs/>
          <w:sz w:val="22"/>
          <w:szCs w:val="22"/>
          <w:lang w:val="en-US"/>
        </w:rPr>
        <w:t xml:space="preserve">clinical </w:t>
      </w:r>
      <w:r w:rsidR="00CD0ACB" w:rsidRPr="00BC5B69">
        <w:rPr>
          <w:bCs/>
          <w:sz w:val="22"/>
          <w:szCs w:val="22"/>
          <w:lang w:val="en-US"/>
        </w:rPr>
        <w:t>fall risk assessment methods.</w:t>
      </w:r>
    </w:p>
    <w:p w14:paraId="1B936818" w14:textId="77777777" w:rsidR="00CD0ACB" w:rsidRPr="00BC5B69" w:rsidRDefault="00CD0ACB" w:rsidP="004747C3">
      <w:pPr>
        <w:spacing w:line="480" w:lineRule="auto"/>
        <w:jc w:val="both"/>
        <w:rPr>
          <w:bCs/>
          <w:sz w:val="22"/>
          <w:szCs w:val="22"/>
          <w:lang w:val="en-US"/>
        </w:rPr>
      </w:pPr>
    </w:p>
    <w:p w14:paraId="010D3431" w14:textId="77777777" w:rsidR="00A85DF1" w:rsidRPr="00BC5B69" w:rsidRDefault="00A85DF1" w:rsidP="004747C3">
      <w:pPr>
        <w:spacing w:line="480" w:lineRule="auto"/>
        <w:jc w:val="both"/>
        <w:rPr>
          <w:b/>
          <w:sz w:val="22"/>
          <w:szCs w:val="22"/>
          <w:lang w:val="en-US"/>
        </w:rPr>
      </w:pPr>
      <w:r w:rsidRPr="00BC5B69">
        <w:rPr>
          <w:b/>
          <w:sz w:val="22"/>
          <w:szCs w:val="22"/>
          <w:lang w:val="en-US"/>
        </w:rPr>
        <w:t>Materials and methods</w:t>
      </w:r>
    </w:p>
    <w:p w14:paraId="7297FC9C" w14:textId="6A2831EB" w:rsidR="00A85DF1" w:rsidRPr="00BC5B69" w:rsidRDefault="00501B4D" w:rsidP="004747C3">
      <w:pPr>
        <w:pStyle w:val="HTMLPreformatted"/>
        <w:shd w:val="clear" w:color="auto" w:fill="FFFFFF"/>
        <w:spacing w:line="480" w:lineRule="auto"/>
        <w:jc w:val="both"/>
        <w:rPr>
          <w:rFonts w:ascii="Times New Roman" w:hAnsi="Times New Roman" w:cs="Times New Roman"/>
          <w:sz w:val="22"/>
          <w:szCs w:val="22"/>
          <w:u w:val="none"/>
          <w:lang w:val="en-US"/>
        </w:rPr>
      </w:pPr>
      <w:r w:rsidRPr="00BC5B69">
        <w:rPr>
          <w:rFonts w:ascii="Times New Roman" w:hAnsi="Times New Roman" w:cs="Times New Roman"/>
          <w:sz w:val="22"/>
          <w:szCs w:val="22"/>
          <w:u w:val="none"/>
          <w:lang w:val="en-US"/>
        </w:rPr>
        <w:t>A total of 334 men</w:t>
      </w:r>
      <w:r w:rsidR="00A85DF1" w:rsidRPr="00BC5B69">
        <w:rPr>
          <w:rFonts w:ascii="Times New Roman" w:hAnsi="Times New Roman" w:cs="Times New Roman"/>
          <w:sz w:val="22"/>
          <w:szCs w:val="22"/>
          <w:u w:val="none"/>
          <w:lang w:val="en-US"/>
        </w:rPr>
        <w:t xml:space="preserve"> who were admitted to </w:t>
      </w:r>
      <w:r w:rsidRPr="00BC5B69">
        <w:rPr>
          <w:rFonts w:ascii="Times New Roman" w:hAnsi="Times New Roman" w:cs="Times New Roman"/>
          <w:sz w:val="22"/>
          <w:szCs w:val="22"/>
          <w:u w:val="none"/>
          <w:lang w:val="en-US"/>
        </w:rPr>
        <w:t>geriatric clinic</w:t>
      </w:r>
      <w:r w:rsidR="00A85DF1" w:rsidRPr="00BC5B69">
        <w:rPr>
          <w:rFonts w:ascii="Times New Roman" w:hAnsi="Times New Roman" w:cs="Times New Roman"/>
          <w:sz w:val="22"/>
          <w:szCs w:val="22"/>
          <w:u w:val="none"/>
          <w:lang w:val="en-US"/>
        </w:rPr>
        <w:t xml:space="preserve"> between 06.201</w:t>
      </w:r>
      <w:r w:rsidR="000E4997" w:rsidRPr="00BC5B69">
        <w:rPr>
          <w:rFonts w:ascii="Times New Roman" w:hAnsi="Times New Roman" w:cs="Times New Roman"/>
          <w:sz w:val="22"/>
          <w:szCs w:val="22"/>
          <w:u w:val="none"/>
          <w:lang w:val="en-US"/>
        </w:rPr>
        <w:t>8</w:t>
      </w:r>
      <w:r w:rsidR="00F77C2F" w:rsidRPr="00BC5B69">
        <w:rPr>
          <w:rFonts w:ascii="Times New Roman" w:hAnsi="Times New Roman" w:cs="Times New Roman"/>
          <w:sz w:val="22"/>
          <w:szCs w:val="22"/>
          <w:u w:val="none"/>
          <w:lang w:val="en-US"/>
        </w:rPr>
        <w:t>-10</w:t>
      </w:r>
      <w:r w:rsidR="00A85DF1" w:rsidRPr="00BC5B69">
        <w:rPr>
          <w:rFonts w:ascii="Times New Roman" w:hAnsi="Times New Roman" w:cs="Times New Roman"/>
          <w:sz w:val="22"/>
          <w:szCs w:val="22"/>
          <w:u w:val="none"/>
          <w:lang w:val="en-US"/>
        </w:rPr>
        <w:t xml:space="preserve">.2018, underwent comprehensive geriatric assessment, and </w:t>
      </w:r>
      <w:r w:rsidR="00245F57" w:rsidRPr="00BC5B69">
        <w:rPr>
          <w:rFonts w:ascii="Times New Roman" w:hAnsi="Times New Roman" w:cs="Times New Roman"/>
          <w:sz w:val="22"/>
          <w:szCs w:val="22"/>
          <w:u w:val="none"/>
          <w:lang w:val="en-US"/>
        </w:rPr>
        <w:t xml:space="preserve">had no </w:t>
      </w:r>
      <w:r w:rsidR="00A85DF1" w:rsidRPr="00BC5B69">
        <w:rPr>
          <w:rFonts w:ascii="Times New Roman" w:hAnsi="Times New Roman" w:cs="Times New Roman"/>
          <w:sz w:val="22"/>
          <w:szCs w:val="22"/>
          <w:u w:val="none"/>
          <w:lang w:val="en-US"/>
        </w:rPr>
        <w:t>exclusion criteria</w:t>
      </w:r>
      <w:r w:rsidR="00245F57" w:rsidRPr="00BC5B69">
        <w:rPr>
          <w:rFonts w:ascii="Times New Roman" w:hAnsi="Times New Roman" w:cs="Times New Roman"/>
          <w:sz w:val="22"/>
          <w:szCs w:val="22"/>
          <w:u w:val="none"/>
          <w:lang w:val="en-US"/>
        </w:rPr>
        <w:t>,</w:t>
      </w:r>
      <w:r w:rsidR="00A85DF1" w:rsidRPr="00BC5B69">
        <w:rPr>
          <w:rFonts w:ascii="Times New Roman" w:hAnsi="Times New Roman" w:cs="Times New Roman"/>
          <w:sz w:val="22"/>
          <w:szCs w:val="22"/>
          <w:u w:val="none"/>
          <w:lang w:val="en-US"/>
        </w:rPr>
        <w:t xml:space="preserve"> were included in this study. The investigation conformed to the Declaration of Helsinki and was approved by the local ethics committee.</w:t>
      </w:r>
    </w:p>
    <w:p w14:paraId="4BC2F172" w14:textId="77777777" w:rsidR="00A85DF1" w:rsidRPr="00BC5B69" w:rsidRDefault="00A85DF1" w:rsidP="004747C3">
      <w:pPr>
        <w:pStyle w:val="HTMLPreformatted"/>
        <w:shd w:val="clear" w:color="auto" w:fill="FFFFFF"/>
        <w:spacing w:line="480" w:lineRule="auto"/>
        <w:jc w:val="both"/>
        <w:rPr>
          <w:rFonts w:ascii="Times New Roman" w:hAnsi="Times New Roman" w:cs="Times New Roman"/>
          <w:b/>
          <w:i/>
          <w:sz w:val="22"/>
          <w:szCs w:val="22"/>
          <w:u w:val="none"/>
          <w:shd w:val="clear" w:color="auto" w:fill="FFFFFF"/>
          <w:lang w:val="en-US"/>
        </w:rPr>
      </w:pPr>
      <w:r w:rsidRPr="00BC5B69">
        <w:rPr>
          <w:rFonts w:ascii="Times New Roman" w:hAnsi="Times New Roman" w:cs="Times New Roman"/>
          <w:b/>
          <w:i/>
          <w:sz w:val="22"/>
          <w:szCs w:val="22"/>
          <w:u w:val="none"/>
          <w:shd w:val="clear" w:color="auto" w:fill="FFFFFF"/>
          <w:lang w:val="en-US"/>
        </w:rPr>
        <w:t xml:space="preserve">Exclusion criteria </w:t>
      </w:r>
    </w:p>
    <w:p w14:paraId="10B582B3" w14:textId="77777777" w:rsidR="00A85DF1" w:rsidRPr="00BC5B69" w:rsidRDefault="00A85DF1" w:rsidP="004747C3">
      <w:pPr>
        <w:pStyle w:val="HTMLPreformatted"/>
        <w:shd w:val="clear" w:color="auto" w:fill="FFFFFF"/>
        <w:spacing w:line="480" w:lineRule="auto"/>
        <w:jc w:val="both"/>
        <w:rPr>
          <w:rFonts w:ascii="Times New Roman" w:hAnsi="Times New Roman" w:cs="Times New Roman"/>
          <w:sz w:val="22"/>
          <w:szCs w:val="22"/>
          <w:u w:val="none"/>
          <w:lang w:val="en-US"/>
        </w:rPr>
      </w:pPr>
      <w:r w:rsidRPr="00BC5B69">
        <w:rPr>
          <w:rFonts w:ascii="Times New Roman" w:hAnsi="Times New Roman" w:cs="Times New Roman"/>
          <w:sz w:val="22"/>
          <w:szCs w:val="22"/>
          <w:u w:val="none"/>
          <w:shd w:val="clear" w:color="auto" w:fill="FFFFFF"/>
          <w:lang w:val="en-US"/>
        </w:rPr>
        <w:t>Patients with neuromuscular disease, immobile patients,</w:t>
      </w:r>
      <w:r w:rsidRPr="00BC5B69">
        <w:rPr>
          <w:rFonts w:ascii="Times New Roman" w:hAnsi="Times New Roman" w:cs="Times New Roman"/>
          <w:sz w:val="22"/>
          <w:szCs w:val="22"/>
          <w:u w:val="none"/>
          <w:lang w:val="en-US"/>
        </w:rPr>
        <w:t xml:space="preserve"> those patients who have a history o</w:t>
      </w:r>
      <w:r w:rsidR="008115F8" w:rsidRPr="00BC5B69">
        <w:rPr>
          <w:rFonts w:ascii="Times New Roman" w:hAnsi="Times New Roman" w:cs="Times New Roman"/>
          <w:sz w:val="22"/>
          <w:szCs w:val="22"/>
          <w:u w:val="none"/>
          <w:lang w:val="en-US"/>
        </w:rPr>
        <w:t>f severe illness that may disrupt</w:t>
      </w:r>
      <w:r w:rsidRPr="00BC5B69">
        <w:rPr>
          <w:rFonts w:ascii="Times New Roman" w:hAnsi="Times New Roman" w:cs="Times New Roman"/>
          <w:sz w:val="22"/>
          <w:szCs w:val="22"/>
          <w:u w:val="none"/>
          <w:lang w:val="en-US"/>
        </w:rPr>
        <w:t xml:space="preserve"> general health status such as acute cerebrovascular event, sepsis, acute renal failure, acute coronary syndrome, acute liver failure, </w:t>
      </w:r>
      <w:r w:rsidR="00FA7F97" w:rsidRPr="00BC5B69">
        <w:rPr>
          <w:rFonts w:ascii="Times New Roman" w:hAnsi="Times New Roman" w:cs="Times New Roman"/>
          <w:sz w:val="22"/>
          <w:szCs w:val="22"/>
          <w:u w:val="none"/>
          <w:lang w:val="en-US"/>
        </w:rPr>
        <w:t xml:space="preserve">and </w:t>
      </w:r>
      <w:r w:rsidRPr="00BC5B69">
        <w:rPr>
          <w:rFonts w:ascii="Times New Roman" w:hAnsi="Times New Roman" w:cs="Times New Roman"/>
          <w:sz w:val="22"/>
          <w:szCs w:val="22"/>
          <w:u w:val="none"/>
          <w:lang w:val="en-US"/>
        </w:rPr>
        <w:t xml:space="preserve">acute respiratory failure ; those with a pacemaker (because of contraindication to electrical bioimpedance) and those </w:t>
      </w:r>
      <w:r w:rsidR="00FA7F97" w:rsidRPr="00BC5B69">
        <w:rPr>
          <w:rFonts w:ascii="Times New Roman" w:hAnsi="Times New Roman" w:cs="Times New Roman"/>
          <w:sz w:val="22"/>
          <w:szCs w:val="22"/>
          <w:u w:val="none"/>
          <w:lang w:val="en-US"/>
        </w:rPr>
        <w:t xml:space="preserve">patients </w:t>
      </w:r>
      <w:r w:rsidRPr="00BC5B69">
        <w:rPr>
          <w:rFonts w:ascii="Times New Roman" w:hAnsi="Times New Roman" w:cs="Times New Roman"/>
          <w:sz w:val="22"/>
          <w:szCs w:val="22"/>
          <w:u w:val="none"/>
          <w:lang w:val="en-US"/>
        </w:rPr>
        <w:t xml:space="preserve">who were </w:t>
      </w:r>
      <w:r w:rsidR="00FE1FA8" w:rsidRPr="00BC5B69">
        <w:rPr>
          <w:rFonts w:ascii="Times New Roman" w:hAnsi="Times New Roman" w:cs="Times New Roman"/>
          <w:sz w:val="22"/>
          <w:szCs w:val="22"/>
          <w:u w:val="none"/>
          <w:lang w:val="en-US"/>
        </w:rPr>
        <w:t>younger than</w:t>
      </w:r>
      <w:r w:rsidRPr="00BC5B69">
        <w:rPr>
          <w:rFonts w:ascii="Times New Roman" w:hAnsi="Times New Roman" w:cs="Times New Roman"/>
          <w:sz w:val="22"/>
          <w:szCs w:val="22"/>
          <w:u w:val="none"/>
          <w:lang w:val="en-US"/>
        </w:rPr>
        <w:t xml:space="preserve"> 65 years were excluded.</w:t>
      </w:r>
    </w:p>
    <w:p w14:paraId="1E63D02A" w14:textId="77777777" w:rsidR="00B864E3" w:rsidRPr="00BC5B69" w:rsidRDefault="00A85DF1" w:rsidP="004747C3">
      <w:pPr>
        <w:autoSpaceDE w:val="0"/>
        <w:autoSpaceDN w:val="0"/>
        <w:adjustRightInd w:val="0"/>
        <w:spacing w:line="480" w:lineRule="auto"/>
        <w:jc w:val="both"/>
        <w:rPr>
          <w:b/>
          <w:i/>
          <w:color w:val="000000"/>
          <w:sz w:val="22"/>
          <w:szCs w:val="22"/>
          <w:lang w:val="en-US"/>
        </w:rPr>
      </w:pPr>
      <w:r w:rsidRPr="00BC5B69">
        <w:rPr>
          <w:b/>
          <w:i/>
          <w:color w:val="000000"/>
          <w:sz w:val="22"/>
          <w:szCs w:val="22"/>
          <w:lang w:val="en-US"/>
        </w:rPr>
        <w:t>Patients' characteristics</w:t>
      </w:r>
    </w:p>
    <w:p w14:paraId="7635AB81" w14:textId="0131CFC7" w:rsidR="00A85DF1" w:rsidRPr="00BC5B69" w:rsidRDefault="008115F8" w:rsidP="004747C3">
      <w:pPr>
        <w:autoSpaceDE w:val="0"/>
        <w:autoSpaceDN w:val="0"/>
        <w:adjustRightInd w:val="0"/>
        <w:spacing w:after="240" w:line="480" w:lineRule="auto"/>
        <w:jc w:val="both"/>
        <w:rPr>
          <w:b/>
          <w:color w:val="000000"/>
          <w:sz w:val="22"/>
          <w:szCs w:val="22"/>
          <w:lang w:val="en-US"/>
        </w:rPr>
      </w:pPr>
      <w:r w:rsidRPr="00BC5B69">
        <w:rPr>
          <w:color w:val="000000"/>
          <w:sz w:val="22"/>
          <w:szCs w:val="22"/>
          <w:lang w:val="en-US"/>
        </w:rPr>
        <w:t xml:space="preserve">Patients </w:t>
      </w:r>
      <w:r w:rsidR="00245F57" w:rsidRPr="00BC5B69">
        <w:rPr>
          <w:color w:val="000000"/>
          <w:sz w:val="22"/>
          <w:szCs w:val="22"/>
          <w:lang w:val="en-US"/>
        </w:rPr>
        <w:t xml:space="preserve">self-reported </w:t>
      </w:r>
      <w:r w:rsidRPr="00BC5B69">
        <w:rPr>
          <w:color w:val="000000"/>
          <w:sz w:val="22"/>
          <w:szCs w:val="22"/>
          <w:lang w:val="en-US"/>
        </w:rPr>
        <w:t xml:space="preserve">their age, level of education and year, </w:t>
      </w:r>
      <w:r w:rsidR="00245F57" w:rsidRPr="00BC5B69">
        <w:rPr>
          <w:color w:val="000000"/>
          <w:sz w:val="22"/>
          <w:szCs w:val="22"/>
          <w:lang w:val="en-US"/>
        </w:rPr>
        <w:t xml:space="preserve">and </w:t>
      </w:r>
      <w:r w:rsidRPr="00BC5B69">
        <w:rPr>
          <w:color w:val="000000"/>
          <w:sz w:val="22"/>
          <w:szCs w:val="22"/>
          <w:lang w:val="en-US"/>
        </w:rPr>
        <w:t>comorbidities (hypertension, diabetes mellitus, cerebrovascular disease, depression, osteoarthritis)</w:t>
      </w:r>
      <w:r w:rsidR="00245F57" w:rsidRPr="00BC5B69">
        <w:rPr>
          <w:color w:val="000000"/>
          <w:sz w:val="22"/>
          <w:szCs w:val="22"/>
          <w:lang w:val="en-US"/>
        </w:rPr>
        <w:t>.</w:t>
      </w:r>
      <w:r w:rsidRPr="00BC5B69">
        <w:rPr>
          <w:color w:val="000000"/>
          <w:sz w:val="22"/>
          <w:szCs w:val="22"/>
          <w:lang w:val="en-US"/>
        </w:rPr>
        <w:t xml:space="preserve"> </w:t>
      </w:r>
      <w:r w:rsidR="00FA7F97" w:rsidRPr="00BC5B69">
        <w:rPr>
          <w:color w:val="000000"/>
          <w:sz w:val="22"/>
          <w:szCs w:val="22"/>
          <w:lang w:val="en-US"/>
        </w:rPr>
        <w:t xml:space="preserve">The </w:t>
      </w:r>
      <w:proofErr w:type="spellStart"/>
      <w:r w:rsidRPr="00BC5B69">
        <w:rPr>
          <w:color w:val="000000"/>
          <w:sz w:val="22"/>
          <w:szCs w:val="22"/>
          <w:lang w:val="en-US"/>
        </w:rPr>
        <w:t>Charlson</w:t>
      </w:r>
      <w:proofErr w:type="spellEnd"/>
      <w:r w:rsidRPr="00BC5B69">
        <w:rPr>
          <w:color w:val="000000"/>
          <w:sz w:val="22"/>
          <w:szCs w:val="22"/>
          <w:lang w:val="en-US"/>
        </w:rPr>
        <w:t xml:space="preserve"> Comorbidity Index, using a walking stick, and the number of the drugs used by the patients were</w:t>
      </w:r>
      <w:r w:rsidR="00245F57" w:rsidRPr="00BC5B69">
        <w:rPr>
          <w:color w:val="000000"/>
          <w:sz w:val="22"/>
          <w:szCs w:val="22"/>
          <w:lang w:val="en-US"/>
        </w:rPr>
        <w:t xml:space="preserve"> also</w:t>
      </w:r>
      <w:r w:rsidRPr="00BC5B69">
        <w:rPr>
          <w:color w:val="000000"/>
          <w:sz w:val="22"/>
          <w:szCs w:val="22"/>
          <w:lang w:val="en-US"/>
        </w:rPr>
        <w:t xml:space="preserve"> recorded. Five or more daily drug use was considered polypharmacy and ten or more drugs was considered </w:t>
      </w:r>
      <w:proofErr w:type="spellStart"/>
      <w:r w:rsidRPr="00BC5B69">
        <w:rPr>
          <w:color w:val="000000"/>
          <w:sz w:val="22"/>
          <w:szCs w:val="22"/>
          <w:lang w:val="en-US"/>
        </w:rPr>
        <w:t>hyperpolypharmacy</w:t>
      </w:r>
      <w:proofErr w:type="spellEnd"/>
      <w:r w:rsidR="00F93CCA" w:rsidRPr="00BC5B69">
        <w:rPr>
          <w:b/>
          <w:color w:val="000000"/>
          <w:sz w:val="22"/>
          <w:szCs w:val="22"/>
          <w:lang w:val="en-US"/>
        </w:rPr>
        <w:t xml:space="preserve"> </w:t>
      </w:r>
      <w:r w:rsidR="00F93CCA" w:rsidRPr="00BC5B69">
        <w:rPr>
          <w:b/>
          <w:color w:val="000000"/>
          <w:sz w:val="22"/>
          <w:szCs w:val="22"/>
          <w:lang w:val="en-US"/>
        </w:rPr>
        <w:fldChar w:fldCharType="begin" w:fldLock="1"/>
      </w:r>
      <w:r w:rsidR="00D2655F" w:rsidRPr="00BC5B69">
        <w:rPr>
          <w:b/>
          <w:color w:val="000000"/>
          <w:sz w:val="22"/>
          <w:szCs w:val="22"/>
          <w:lang w:val="en-US"/>
        </w:rPr>
        <w:instrText>ADDIN CSL_CITATION {"citationItems":[{"id":"ITEM-1","itemData":{"DOI":"10.2147/CIA.S159966","ISBN":"9780199980536","ISSN":"11781998","PMID":"29674846","abstract":"Background Polypharmacy and inappropriate drug use cause numerous complications, such as cognitive impairment, frailty, falls, and functional dependence. The present study aimed to determine the effect of the comprehensive geriatric assessment (CGA) on polypharmacy, potentially inappropriate medications (PIMs) and potential prescribing omissions (PPOs), and to evaluate the economic reflections of medication changes. Methods One thousand five hundred and seventy-nine older patients, who had undergone CGA, were retrospectively evaluated. The drugs, drug groups, and number of drugs that the patients used were recorded. Appropriate drug therapy was identified by both CGA and STOPP/START criteria. Based on these criteria, PIMs were discontinued and PPOs were started. The monthly cost of these drugs was calculated separately for PIMs and PPOs by using the drugstore records. Results After CGA, while the prevalence of non-polypharmacy was increased from 43.3% to 65.6%, the prevalence of polypharmacy and hyperpolypharmacy was decreased from 56.7% to 34.4% and 12.0% to 3.6%, respectively. The three most common PIMs discontinued were proton pump inhibitors, anti-dementia drugs, and antipsychotics, respectively. However, the most common PPOs started were vitamin D and B12 supplements, and anti-depressants. After CGA, monthly saved total per capita cost of PIMs was US$12.8 and monthly increased total per capita cost of PPOs was $5.6. Conclusion It was demonstrated that prevalence of polypharmacy, PIM, and PPO could be decreased by CGA including START/STOPP criteria in older adults. Furthermore, this will have beneficial effects on economical parameters due to decreasing drug-related health care costs.","author":[{"dropping-particle":"","family":"Unutmaz","given":"Gulcin Done","non-dropping-particle":"","parse-names":false,"suffix":""},{"dropping-particle":"","family":"Soysal","given":"Pinar","non-dropping-particle":"","parse-names":false,"suffix":""},{"dropping-particle":"","family":"Tuven","given":"Busra","non-dropping-particle":"","parse-names":false,"suffix":""},{"dropping-particle":"","family":"Isik","given":"Ahmet Turan","non-dropping-particle":"","parse-names":false,"suffix":""}],"container-title":"Clinical Interventions in Aging","id":"ITEM-1","issued":{"date-parts":[["2018"]]},"page":"607-613","title":"Costs of medication in older patients: Before and after comprehensive geriatric assessment","type":"article-journal","volume":"13"},"uris":["http://www.mendeley.com/documents/?uuid=154ff1d0-e217-43a1-b77a-bd9b9be50142"]}],"mendeley":{"formattedCitation":"(Unutmaz, Soysal, Tuven, &amp; Isik, 2018)","plainTextFormattedCitation":"(Unutmaz, Soysal, Tuven, &amp; Isik, 2018)","previouslyFormattedCitation":"(Unutmaz, Soysal, Tuven, &amp; Isik, 2018)"},"properties":{"noteIndex":0},"schema":"https://github.com/citation-style-language/schema/raw/master/csl-citation.json"}</w:instrText>
      </w:r>
      <w:r w:rsidR="00F93CCA" w:rsidRPr="00BC5B69">
        <w:rPr>
          <w:b/>
          <w:color w:val="000000"/>
          <w:sz w:val="22"/>
          <w:szCs w:val="22"/>
          <w:lang w:val="en-US"/>
        </w:rPr>
        <w:fldChar w:fldCharType="separate"/>
      </w:r>
      <w:r w:rsidR="00E66FE2" w:rsidRPr="00BC5B69">
        <w:rPr>
          <w:noProof/>
          <w:color w:val="000000"/>
          <w:sz w:val="22"/>
          <w:szCs w:val="22"/>
          <w:lang w:val="en-US"/>
        </w:rPr>
        <w:t>(Unutmaz, Soysal, Tuven, &amp; Isik, 2018)</w:t>
      </w:r>
      <w:r w:rsidR="00F93CCA" w:rsidRPr="00BC5B69">
        <w:rPr>
          <w:b/>
          <w:color w:val="000000"/>
          <w:sz w:val="22"/>
          <w:szCs w:val="22"/>
          <w:lang w:val="en-US"/>
        </w:rPr>
        <w:fldChar w:fldCharType="end"/>
      </w:r>
      <w:r w:rsidR="00100FA7" w:rsidRPr="00BC5B69">
        <w:rPr>
          <w:color w:val="000000"/>
          <w:sz w:val="22"/>
          <w:szCs w:val="22"/>
          <w:lang w:val="en-US"/>
        </w:rPr>
        <w:t xml:space="preserve">. </w:t>
      </w:r>
      <w:r w:rsidRPr="00BC5B69">
        <w:rPr>
          <w:sz w:val="22"/>
          <w:szCs w:val="22"/>
          <w:lang w:val="en-US"/>
        </w:rPr>
        <w:t>Self-reported pain, dizziness and imbalance</w:t>
      </w:r>
      <w:r w:rsidR="005A1300" w:rsidRPr="00BC5B69">
        <w:rPr>
          <w:sz w:val="22"/>
          <w:szCs w:val="22"/>
          <w:lang w:val="en-US"/>
        </w:rPr>
        <w:t xml:space="preserve">, urinary </w:t>
      </w:r>
      <w:r w:rsidR="004B40CF" w:rsidRPr="00BC5B69">
        <w:rPr>
          <w:sz w:val="22"/>
          <w:szCs w:val="22"/>
          <w:lang w:val="en-US"/>
        </w:rPr>
        <w:t>incontinence (UI)</w:t>
      </w:r>
      <w:r w:rsidRPr="00BC5B69">
        <w:rPr>
          <w:sz w:val="22"/>
          <w:szCs w:val="22"/>
          <w:lang w:val="en-US"/>
        </w:rPr>
        <w:t xml:space="preserve"> or falls i</w:t>
      </w:r>
      <w:r w:rsidR="00100FA7" w:rsidRPr="00BC5B69">
        <w:rPr>
          <w:sz w:val="22"/>
          <w:szCs w:val="22"/>
          <w:lang w:val="en-US"/>
        </w:rPr>
        <w:t>n the recent year were recorded</w:t>
      </w:r>
      <w:r w:rsidR="00A85DF1" w:rsidRPr="00BC5B69">
        <w:rPr>
          <w:sz w:val="22"/>
          <w:szCs w:val="22"/>
          <w:lang w:val="en-US"/>
        </w:rPr>
        <w:t xml:space="preserve">. </w:t>
      </w:r>
      <w:r w:rsidR="005A1300" w:rsidRPr="00BC5B69">
        <w:rPr>
          <w:sz w:val="22"/>
          <w:szCs w:val="22"/>
          <w:lang w:val="en-US"/>
        </w:rPr>
        <w:t>O</w:t>
      </w:r>
      <w:r w:rsidR="00A85DF1" w:rsidRPr="00BC5B69">
        <w:rPr>
          <w:sz w:val="22"/>
          <w:szCs w:val="22"/>
          <w:lang w:val="en-US"/>
        </w:rPr>
        <w:t xml:space="preserve">rthostatic hypotension was diagnosed according to the active standing test </w:t>
      </w:r>
      <w:r w:rsidR="00A85DF1" w:rsidRPr="00BC5B69">
        <w:rPr>
          <w:sz w:val="22"/>
          <w:szCs w:val="22"/>
          <w:lang w:val="en-US"/>
        </w:rPr>
        <w:fldChar w:fldCharType="begin" w:fldLock="1"/>
      </w:r>
      <w:r w:rsidR="00D2655F" w:rsidRPr="00BC5B69">
        <w:rPr>
          <w:sz w:val="22"/>
          <w:szCs w:val="22"/>
          <w:lang w:val="en-US"/>
        </w:rPr>
        <w:instrText>ADDIN CSL_CITATION {"citationItems":[{"id":"ITEM-1","itemData":{"DOI":"10.2147/CIA.S129868","ISSN":"11781998","author":[{"dropping-particle":"","family":"Aydin","given":"Ali Ekrem","non-dropping-particle":"","parse-names":false,"suffix":""},{"dropping-particle":"","family":"Soysal","given":"Pinar","non-dropping-particle":"","parse-names":false,"suffix":""},{"dropping-particle":"","family":"Isik","given":"Ahmet Turan","non-dropping-particle":"","parse-names":false,"suffix":""}],"container-title":"Clin Interv Aging","id":"ITEM-1","issued":{"date-parts":[["2017"]]},"note":"NULL","page":"207-212","title":"Which is preferable for orthostatic hypotension diagnosis in older adults : active standing test or head-up tilt table test ?","type":"article-journal","volume":"12"},"uris":["http://www.mendeley.com/documents/?uuid=fdbe6457-95c1-4485-b7ac-bade77138719"]}],"mendeley":{"formattedCitation":"(Aydin, Soysal, &amp; Isik, 2017)","plainTextFormattedCitation":"(Aydin, Soysal, &amp; Isik, 2017)","previouslyFormattedCitation":"(Aydin, Soysal, &amp; Isik, 2017)"},"properties":{"noteIndex":0},"schema":"https://github.com/citation-style-language/schema/raw/master/csl-citation.json"}</w:instrText>
      </w:r>
      <w:r w:rsidR="00A85DF1" w:rsidRPr="00BC5B69">
        <w:rPr>
          <w:sz w:val="22"/>
          <w:szCs w:val="22"/>
          <w:lang w:val="en-US"/>
        </w:rPr>
        <w:fldChar w:fldCharType="separate"/>
      </w:r>
      <w:r w:rsidR="00E66FE2" w:rsidRPr="00BC5B69">
        <w:rPr>
          <w:noProof/>
          <w:sz w:val="22"/>
          <w:szCs w:val="22"/>
          <w:lang w:val="en-US"/>
        </w:rPr>
        <w:t>(Aydin, Soysal, &amp; Isik, 2017)</w:t>
      </w:r>
      <w:r w:rsidR="00A85DF1" w:rsidRPr="00BC5B69">
        <w:rPr>
          <w:sz w:val="22"/>
          <w:szCs w:val="22"/>
          <w:lang w:val="en-US"/>
        </w:rPr>
        <w:fldChar w:fldCharType="end"/>
      </w:r>
      <w:r w:rsidR="00A85DF1" w:rsidRPr="00BC5B69">
        <w:rPr>
          <w:color w:val="000000" w:themeColor="text1"/>
          <w:sz w:val="22"/>
          <w:szCs w:val="22"/>
          <w:lang w:val="en-US"/>
        </w:rPr>
        <w:t>. Serum glucose, Thyroid-stimulating hormone, vitamin D, vitamin B12, folic acid levels, and glomerular filtration rates were performed to evaluate metabolic status of the patients.</w:t>
      </w:r>
    </w:p>
    <w:p w14:paraId="6052331A" w14:textId="77777777" w:rsidR="005E13E7" w:rsidRPr="00BC5B69" w:rsidRDefault="005E13E7" w:rsidP="004747C3">
      <w:pPr>
        <w:spacing w:line="480" w:lineRule="auto"/>
        <w:jc w:val="both"/>
        <w:rPr>
          <w:rFonts w:eastAsia="Calibri"/>
          <w:b/>
          <w:i/>
          <w:color w:val="000000" w:themeColor="text1"/>
          <w:sz w:val="22"/>
          <w:szCs w:val="22"/>
          <w:lang w:val="en-US"/>
        </w:rPr>
      </w:pPr>
    </w:p>
    <w:p w14:paraId="442540A6" w14:textId="3E2D0629" w:rsidR="00A85DF1" w:rsidRPr="00BC5B69" w:rsidRDefault="00A85DF1" w:rsidP="004747C3">
      <w:pPr>
        <w:spacing w:line="480" w:lineRule="auto"/>
        <w:jc w:val="both"/>
        <w:rPr>
          <w:rFonts w:eastAsia="Calibri"/>
          <w:i/>
          <w:sz w:val="22"/>
          <w:szCs w:val="22"/>
          <w:vertAlign w:val="superscript"/>
          <w:lang w:val="en-US"/>
        </w:rPr>
      </w:pPr>
      <w:r w:rsidRPr="00BC5B69">
        <w:rPr>
          <w:rFonts w:eastAsia="Calibri"/>
          <w:b/>
          <w:i/>
          <w:color w:val="000000" w:themeColor="text1"/>
          <w:sz w:val="22"/>
          <w:szCs w:val="22"/>
          <w:lang w:val="en-US"/>
        </w:rPr>
        <w:lastRenderedPageBreak/>
        <w:t xml:space="preserve">Comprehensive Geriatric Assessment </w:t>
      </w:r>
      <w:r w:rsidR="00F93CCA" w:rsidRPr="00BC5B69">
        <w:rPr>
          <w:rFonts w:eastAsia="Calibri"/>
          <w:b/>
          <w:color w:val="000000" w:themeColor="text1"/>
          <w:sz w:val="22"/>
          <w:szCs w:val="22"/>
          <w:lang w:val="en-US"/>
        </w:rPr>
        <w:fldChar w:fldCharType="begin" w:fldLock="1"/>
      </w:r>
      <w:r w:rsidR="00D2655F" w:rsidRPr="00BC5B69">
        <w:rPr>
          <w:rFonts w:eastAsia="Calibri"/>
          <w:b/>
          <w:color w:val="000000" w:themeColor="text1"/>
          <w:sz w:val="22"/>
          <w:szCs w:val="22"/>
          <w:lang w:val="en-US"/>
        </w:rPr>
        <w:instrText>ADDIN CSL_CITATION {"citationItems":[{"id":"ITEM-1","itemData":{"DOI":"10.2147/CIA.S159966","ISBN":"9780199980536","ISSN":"11781998","PMID":"29674846","abstract":"Background Polypharmacy and inappropriate drug use cause numerous complications, such as cognitive impairment, frailty, falls, and functional dependence. The present study aimed to determine the effect of the comprehensive geriatric assessment (CGA) on polypharmacy, potentially inappropriate medications (PIMs) and potential prescribing omissions (PPOs), and to evaluate the economic reflections of medication changes. Methods One thousand five hundred and seventy-nine older patients, who had undergone CGA, were retrospectively evaluated. The drugs, drug groups, and number of drugs that the patients used were recorded. Appropriate drug therapy was identified by both CGA and STOPP/START criteria. Based on these criteria, PIMs were discontinued and PPOs were started. The monthly cost of these drugs was calculated separately for PIMs and PPOs by using the drugstore records. Results After CGA, while the prevalence of non-polypharmacy was increased from 43.3% to 65.6%, the prevalence of polypharmacy and hyperpolypharmacy was decreased from 56.7% to 34.4% and 12.0% to 3.6%, respectively. The three most common PIMs discontinued were proton pump inhibitors, anti-dementia drugs, and antipsychotics, respectively. However, the most common PPOs started were vitamin D and B12 supplements, and anti-depressants. After CGA, monthly saved total per capita cost of PIMs was US$12.8 and monthly increased total per capita cost of PPOs was $5.6. Conclusion It was demonstrated that prevalence of polypharmacy, PIM, and PPO could be decreased by CGA including START/STOPP criteria in older adults. Furthermore, this will have beneficial effects on economical parameters due to decreasing drug-related health care costs.","author":[{"dropping-particle":"","family":"Unutmaz","given":"Gulcin Done","non-dropping-particle":"","parse-names":false,"suffix":""},{"dropping-particle":"","family":"Soysal","given":"Pinar","non-dropping-particle":"","parse-names":false,"suffix":""},{"dropping-particle":"","family":"Tuven","given":"Busra","non-dropping-particle":"","parse-names":false,"suffix":""},{"dropping-particle":"","family":"Isik","given":"Ahmet Turan","non-dropping-particle":"","parse-names":false,"suffix":""}],"container-title":"Clinical Interventions in Aging","id":"ITEM-1","issued":{"date-parts":[["2018"]]},"page":"607-613","title":"Costs of medication in older patients: Before and after comprehensive geriatric assessment","type":"article-journal","volume":"13"},"uris":["http://www.mendeley.com/documents/?uuid=154ff1d0-e217-43a1-b77a-bd9b9be50142"]}],"mendeley":{"formattedCitation":"(Unutmaz et al., 2018)","plainTextFormattedCitation":"(Unutmaz et al., 2018)","previouslyFormattedCitation":"(Unutmaz et al., 2018)"},"properties":{"noteIndex":0},"schema":"https://github.com/citation-style-language/schema/raw/master/csl-citation.json"}</w:instrText>
      </w:r>
      <w:r w:rsidR="00F93CCA" w:rsidRPr="00BC5B69">
        <w:rPr>
          <w:rFonts w:eastAsia="Calibri"/>
          <w:b/>
          <w:color w:val="000000" w:themeColor="text1"/>
          <w:sz w:val="22"/>
          <w:szCs w:val="22"/>
          <w:lang w:val="en-US"/>
        </w:rPr>
        <w:fldChar w:fldCharType="separate"/>
      </w:r>
      <w:r w:rsidR="00E66FE2" w:rsidRPr="00BC5B69">
        <w:rPr>
          <w:rFonts w:eastAsia="Calibri"/>
          <w:noProof/>
          <w:color w:val="000000" w:themeColor="text1"/>
          <w:sz w:val="22"/>
          <w:szCs w:val="22"/>
          <w:lang w:val="en-US"/>
        </w:rPr>
        <w:t>(Unutmaz et al., 2018)</w:t>
      </w:r>
      <w:r w:rsidR="00F93CCA" w:rsidRPr="00BC5B69">
        <w:rPr>
          <w:rFonts w:eastAsia="Calibri"/>
          <w:b/>
          <w:color w:val="000000" w:themeColor="text1"/>
          <w:sz w:val="22"/>
          <w:szCs w:val="22"/>
          <w:lang w:val="en-US"/>
        </w:rPr>
        <w:fldChar w:fldCharType="end"/>
      </w:r>
    </w:p>
    <w:p w14:paraId="642DF2E0" w14:textId="5364BFBB" w:rsidR="00A85DF1" w:rsidRPr="00BC5B69" w:rsidRDefault="00A85DF1" w:rsidP="002046EB">
      <w:pPr>
        <w:spacing w:line="480" w:lineRule="auto"/>
        <w:jc w:val="both"/>
        <w:rPr>
          <w:rFonts w:eastAsia="Calibri"/>
          <w:sz w:val="22"/>
          <w:szCs w:val="22"/>
          <w:lang w:val="en-US"/>
        </w:rPr>
      </w:pPr>
      <w:r w:rsidRPr="00BC5B69">
        <w:rPr>
          <w:rFonts w:eastAsia="Calibri"/>
          <w:sz w:val="22"/>
          <w:szCs w:val="22"/>
          <w:lang w:val="en-US"/>
        </w:rPr>
        <w:t>The following assessments were used  for detailed geriatric evaluation</w:t>
      </w:r>
      <w:r w:rsidR="00245F57" w:rsidRPr="00BC5B69">
        <w:rPr>
          <w:rFonts w:eastAsia="Calibri"/>
          <w:sz w:val="22"/>
          <w:szCs w:val="22"/>
          <w:lang w:val="en-US"/>
        </w:rPr>
        <w:t>:</w:t>
      </w:r>
      <w:r w:rsidRPr="00BC5B69">
        <w:rPr>
          <w:rFonts w:eastAsia="Calibri"/>
          <w:sz w:val="22"/>
          <w:szCs w:val="22"/>
          <w:lang w:val="en-US"/>
        </w:rPr>
        <w:t xml:space="preserve"> The Mini-Mental State Examination (MMSE)</w:t>
      </w:r>
      <w:r w:rsidR="00100FA7" w:rsidRPr="00BC5B69">
        <w:rPr>
          <w:rFonts w:eastAsia="Calibri"/>
          <w:sz w:val="22"/>
          <w:szCs w:val="22"/>
          <w:lang w:val="en-US"/>
        </w:rPr>
        <w:t xml:space="preserve"> </w:t>
      </w:r>
      <w:r w:rsidRPr="00BC5B69">
        <w:rPr>
          <w:rFonts w:eastAsia="Calibri"/>
          <w:sz w:val="22"/>
          <w:szCs w:val="22"/>
          <w:lang w:val="en-US"/>
        </w:rPr>
        <w:t xml:space="preserve">used for neurocognitive assessment, The Geriatric Depression Scale (YGDS) </w:t>
      </w:r>
      <w:r w:rsidR="008F50FF"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author":[{"dropping-particle":"","family":"Durmaz","given":"Busra","non-dropping-particle":"","parse-names":false,"suffix":""},{"dropping-particle":"","family":"Soysal","given":"Pinar","non-dropping-particle":"","parse-names":false,"suffix":""},{"dropping-particle":"","family":"Ellidokuz","given":"Hulya","non-dropping-particle":"","parse-names":false,"suffix":""},{"dropping-particle":"","family":"Isik","given":"Ahmet Turan","non-dropping-particle":"","parse-names":false,"suffix":""}],"container-title":"Northern Clinics of Istanbul","id":"ITEM-1","issue":"3","issued":{"date-parts":[["2018"]]},"page":"216-220","title":"Validity and Reliability of Geriatric Depression Scale - 15 (Short Form) in Turkish older adults","type":"article-journal","volume":"5"},"uris":["http://www.mendeley.com/documents/?uuid=bb2ae962-fd96-41a2-ac76-0ce088957913"]}],"mendeley":{"formattedCitation":"(Durmaz, Soysal, Ellidokuz, &amp; Isik, 2018)","plainTextFormattedCitation":"(Durmaz, Soysal, Ellidokuz, &amp; Isik, 2018)","previouslyFormattedCitation":"(Durmaz, Soysal, Ellidokuz, &amp; Isik, 2018)"},"properties":{"noteIndex":0},"schema":"https://github.com/citation-style-language/schema/raw/master/csl-citation.json"}</w:instrText>
      </w:r>
      <w:r w:rsidR="008F50FF" w:rsidRPr="00BC5B69">
        <w:rPr>
          <w:rFonts w:eastAsia="Calibri"/>
          <w:sz w:val="22"/>
          <w:szCs w:val="22"/>
          <w:lang w:val="en-US"/>
        </w:rPr>
        <w:fldChar w:fldCharType="separate"/>
      </w:r>
      <w:r w:rsidR="00E66FE2" w:rsidRPr="00BC5B69">
        <w:rPr>
          <w:rFonts w:eastAsia="Calibri"/>
          <w:noProof/>
          <w:sz w:val="22"/>
          <w:szCs w:val="22"/>
          <w:lang w:val="en-US"/>
        </w:rPr>
        <w:t>(Durmaz, Soysal, Ellidokuz, &amp; Isik, 2018)</w:t>
      </w:r>
      <w:r w:rsidR="008F50FF" w:rsidRPr="00BC5B69">
        <w:rPr>
          <w:rFonts w:eastAsia="Calibri"/>
          <w:sz w:val="22"/>
          <w:szCs w:val="22"/>
          <w:lang w:val="en-US"/>
        </w:rPr>
        <w:fldChar w:fldCharType="end"/>
      </w:r>
      <w:r w:rsidR="008F50FF" w:rsidRPr="00BC5B69">
        <w:rPr>
          <w:rFonts w:eastAsia="Calibri"/>
          <w:sz w:val="22"/>
          <w:szCs w:val="22"/>
          <w:lang w:val="en-US"/>
        </w:rPr>
        <w:t xml:space="preserve"> </w:t>
      </w:r>
      <w:r w:rsidRPr="00BC5B69">
        <w:rPr>
          <w:rFonts w:eastAsia="Calibri"/>
          <w:sz w:val="22"/>
          <w:szCs w:val="22"/>
          <w:lang w:val="en-US"/>
        </w:rPr>
        <w:t xml:space="preserve">for emotional state assessment, The Lawton-Brody Instrumental Daily Living Activity Scale (IADL) and Barthel index (BI) for daily living activities, Mini Nutritional Assessment (MNA) for nutritional evaluation, and </w:t>
      </w:r>
      <w:r w:rsidR="00C92462" w:rsidRPr="00BC5B69">
        <w:rPr>
          <w:rFonts w:eastAsia="Calibri"/>
          <w:sz w:val="22"/>
          <w:szCs w:val="22"/>
          <w:lang w:val="en-US"/>
        </w:rPr>
        <w:t xml:space="preserve">The </w:t>
      </w:r>
      <w:r w:rsidRPr="00BC5B69">
        <w:rPr>
          <w:rFonts w:eastAsia="Calibri"/>
          <w:sz w:val="22"/>
          <w:szCs w:val="22"/>
          <w:lang w:val="en-US"/>
        </w:rPr>
        <w:t xml:space="preserve">Fried </w:t>
      </w:r>
      <w:r w:rsidR="00C92462" w:rsidRPr="00BC5B69">
        <w:rPr>
          <w:rFonts w:eastAsia="Calibri"/>
          <w:sz w:val="22"/>
          <w:szCs w:val="22"/>
          <w:lang w:val="en-US"/>
        </w:rPr>
        <w:t>Frailty I</w:t>
      </w:r>
      <w:r w:rsidRPr="00BC5B69">
        <w:rPr>
          <w:rFonts w:eastAsia="Calibri"/>
          <w:sz w:val="22"/>
          <w:szCs w:val="22"/>
          <w:lang w:val="en-US"/>
        </w:rPr>
        <w:t xml:space="preserve">ndex </w:t>
      </w:r>
      <w:r w:rsidR="00C92462"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{"citationItems":[{"id":"ITEM-1","itemData":{"DOI":"10.1093/gerona/56.3.M146","ISBN":"1079-5006","ISSN":"1079-5006","PMID":"11253156","abstract":"Background Frailty is considered highly prevalent in old age and to\\nconfer high risk for falls, disability, hospitalization, and mortality.\\nFrailty has been considered synonymous with disability, comorbidity, and\\nother characteristics, but it is recognized that it may have a biologic\\nbasis and he a distinct clinical syndrome. A standardized definition has\\nnot yet been established.\\nMethods. To develop and operationalize a phenotype of frailty in older\\nadults and assess concurrent and predictive validity, the study used\\ndata from the Cardiovascular Health Study. Participants were 5,317 men\\nand women 65 years and older (4,735 from an original cohort recruited in\\n1989-90 and 582 from an African American cohort recruited in 1992-93).\\nBoth cohorts received almost identical baseline evaluations and 7 and 4\\nyears of follow-up, respectively, with annual examinations and\\nsurveillance for outcomes including incident disease, hospitalization,\\nfalls, disability, and mortality.\\nResults, Frailty was defined as a clinical syndrome in which three or\\nmore of the following criteria were present: unintentional weight loss\\n(10 lbs in past year), self-reported exhaustion, weakness (grip\\nstrength), slow walking speed, and low physical activity. The overall\\nprevalence of frailty in this community-dwelling population was 6.9% it\\nincreased with age and was greater in women than men. Four-year\\nincidence was 7.2%. Frailty was associated with being African American.\\nhaving lower education and income, poorer health, and having higher\\nrates of comorbid chronic diseases and disability. There was overlap,\\nbut not concordance, in the cooccurrence of frailty, comorbidity, and\\ndisability. This frailty phenotype was independently predictive lover 3\\nyears) of incident falls, worsening mobility or ADL disability,\\nhospitalization. and death, with hazard ratios ranging from 1.82 to\\n4.46, unadjusted, and 1.29-2.24, adjusted for a number of health,\\ndisease, and social characteristics predictive of 5-year mortality.\\nIntermediate frailty status, as indicated by the presence of one or two\\ncriteria, showed intermediate risk of these outcomes as well as\\nincreased risk of becoming Frail over 31 years of follow-up (odds ratios\\nfor incident frailty = 4.51 unadjusted and 2.63 adjusted for covariates,\\ncompared to those with no frailty criteria at baseline).\\nConclusion. This study provides a potential standardized definition for\\nfrailty in community-dwelling older adults…","author":[{"dropping-particle":"","family":"Fried","given":"L. P.","non-dropping-particle":"","parse-names":false,"suffix":""},{"dropping-particle":"","family":"Tangen","given":"C. M.","non-dropping-particle":"","parse-names":false,"suffix":""},{"dropping-particle":"","family":"Walston","given":"J.","non-dropping-particle":"","parse-names":false,"suffix":""},{"dropping-particle":"","family":"Newman","given":"A. B.","non-dropping-particle":"","parse-names":false,"suffix":""},{"dropping-particle":"","family":"Hirsch","given":"C.","non-dropping-particle":"","parse-names":false,"suffix":""},{"dropping-particle":"","family":"Gottdiener","given":"J.","non-dropping-particle":"","parse-names":false,"suffix":""},{"dropping-particle":"","family":"Seeman","given":"T.","non-dropping-particle":"","parse-names":false,"suffix":""},{"dropping-particle":"","family":"Tracy","given":"R.","non-dropping-particle":"","parse-names":false,"suffix":""},{"dropping-particle":"","family":"Kop","given":"W. J.","non-dropping-particle":"","parse-names":false,"suffix":""},{"dropping-particle":"","family":"Burke","given":"G.","non-dropping-particle":"","parse-names":false,"suffix":""},{"dropping-particle":"","family":"McBurnie","given":"M. A.","non-dropping-particle":"","parse-names":false,"suffix":""}],"container-title":"The journals of gerontology. Series A, Biological sciences and medical sciences","id":"ITEM-1","issue":"3","issued":{"date-parts":[["2001"]]},"page":"M:146-56","title":"Frailty in Older Adults: Evidence for a Phenotype","type":"article-journal","volume":"56"},"uris":["http://www.mendeley.com/documents/?uuid=67ac213d-b745-4e1e-8a99-917e5fc7e6a7"]}],"mendeley":{"formattedCitation":"(Fried et al., 2001)","plainTextFormattedCitation":"(Fried et al., 2001)","previouslyFormattedCitation":"(Fried et al., 2001)"},"properties":{"noteIndex":0},"schema":"https://github.com/citation-style-language/schema/raw/master/csl-citation.json"}</w:instrText>
      </w:r>
      <w:r w:rsidR="00C92462" w:rsidRPr="00BC5B69">
        <w:rPr>
          <w:rFonts w:eastAsia="Calibri"/>
          <w:sz w:val="22"/>
          <w:szCs w:val="22"/>
          <w:lang w:val="en-US"/>
        </w:rPr>
        <w:fldChar w:fldCharType="separate"/>
      </w:r>
      <w:r w:rsidR="00E66FE2" w:rsidRPr="00BC5B69">
        <w:rPr>
          <w:rFonts w:eastAsia="Calibri"/>
          <w:noProof/>
          <w:sz w:val="22"/>
          <w:szCs w:val="22"/>
          <w:lang w:val="en-US"/>
        </w:rPr>
        <w:t>(Fried et al., 2001)</w:t>
      </w:r>
      <w:r w:rsidR="00C92462" w:rsidRPr="00BC5B69">
        <w:rPr>
          <w:rFonts w:eastAsia="Calibri"/>
          <w:sz w:val="22"/>
          <w:szCs w:val="22"/>
          <w:lang w:val="en-US"/>
        </w:rPr>
        <w:fldChar w:fldCharType="end"/>
      </w:r>
      <w:r w:rsidRPr="00BC5B69">
        <w:rPr>
          <w:rFonts w:eastAsia="Calibri"/>
          <w:sz w:val="22"/>
          <w:szCs w:val="22"/>
          <w:lang w:val="en-US"/>
        </w:rPr>
        <w:t xml:space="preserve"> for frailty evaluation. </w:t>
      </w:r>
      <w:r w:rsidR="0069711C" w:rsidRPr="00BC5B69">
        <w:rPr>
          <w:rFonts w:eastAsia="Calibri"/>
          <w:sz w:val="22"/>
          <w:szCs w:val="22"/>
          <w:lang w:val="en-US"/>
        </w:rPr>
        <w:t>In this study f</w:t>
      </w:r>
      <w:r w:rsidR="002046EB" w:rsidRPr="00BC5B69">
        <w:rPr>
          <w:rFonts w:eastAsia="Calibri"/>
          <w:sz w:val="22"/>
          <w:szCs w:val="22"/>
          <w:lang w:val="en-US"/>
        </w:rPr>
        <w:t xml:space="preserve">or the evaluation of walking speed, muscle strength and muscle mass in patients, 4-meterwalking test, handgrip test and bioimpedance were performed for each patient, respectively. Handgrip test was measured by JAMAR branded hand dynamometer, and bioimpedance was established by TANITA (MC-780U Multi Frequency Segmental Body Composition). </w:t>
      </w:r>
      <w:r w:rsidRPr="00BC5B69">
        <w:rPr>
          <w:rFonts w:eastAsia="Calibri"/>
          <w:sz w:val="22"/>
          <w:szCs w:val="22"/>
          <w:lang w:val="en-US"/>
        </w:rPr>
        <w:t xml:space="preserve">We considered walking speed &lt;0.8 m/s as slow walking for all cases, and </w:t>
      </w:r>
      <w:r w:rsidR="00FA7F97" w:rsidRPr="00BC5B69">
        <w:rPr>
          <w:rFonts w:eastAsia="Calibri"/>
          <w:sz w:val="22"/>
          <w:szCs w:val="22"/>
          <w:lang w:val="en-US"/>
        </w:rPr>
        <w:t xml:space="preserve">low </w:t>
      </w:r>
      <w:r w:rsidRPr="00BC5B69">
        <w:rPr>
          <w:rFonts w:eastAsia="Calibri"/>
          <w:sz w:val="22"/>
          <w:szCs w:val="22"/>
          <w:lang w:val="en-US"/>
        </w:rPr>
        <w:t>hand</w:t>
      </w:r>
      <w:r w:rsidR="00FA7F97" w:rsidRPr="00BC5B69">
        <w:rPr>
          <w:rFonts w:eastAsia="Calibri"/>
          <w:sz w:val="22"/>
          <w:szCs w:val="22"/>
          <w:lang w:val="en-US"/>
        </w:rPr>
        <w:t>-</w:t>
      </w:r>
      <w:r w:rsidRPr="00BC5B69">
        <w:rPr>
          <w:rFonts w:eastAsia="Calibri"/>
          <w:sz w:val="22"/>
          <w:szCs w:val="22"/>
          <w:lang w:val="en-US"/>
        </w:rPr>
        <w:t xml:space="preserve">grip </w:t>
      </w:r>
      <w:r w:rsidR="00FA7F97" w:rsidRPr="00BC5B69">
        <w:rPr>
          <w:rFonts w:eastAsia="Calibri"/>
          <w:sz w:val="22"/>
          <w:szCs w:val="22"/>
          <w:lang w:val="en-US"/>
        </w:rPr>
        <w:t>strength</w:t>
      </w:r>
      <w:r w:rsidR="007D1585" w:rsidRPr="00BC5B69">
        <w:rPr>
          <w:rFonts w:eastAsia="Calibri"/>
          <w:sz w:val="22"/>
          <w:szCs w:val="22"/>
          <w:lang w:val="en-US"/>
        </w:rPr>
        <w:t xml:space="preserve"> was defined as the stre</w:t>
      </w:r>
      <w:r w:rsidR="00291CDE" w:rsidRPr="00BC5B69">
        <w:rPr>
          <w:rFonts w:eastAsia="Calibri"/>
          <w:sz w:val="22"/>
          <w:szCs w:val="22"/>
          <w:lang w:val="en-US"/>
        </w:rPr>
        <w:t>n</w:t>
      </w:r>
      <w:r w:rsidR="007D1585" w:rsidRPr="00BC5B69">
        <w:rPr>
          <w:rFonts w:eastAsia="Calibri"/>
          <w:sz w:val="22"/>
          <w:szCs w:val="22"/>
          <w:lang w:val="en-US"/>
        </w:rPr>
        <w:t>gth</w:t>
      </w:r>
      <w:r w:rsidRPr="00BC5B69">
        <w:rPr>
          <w:rFonts w:eastAsia="Calibri"/>
          <w:sz w:val="22"/>
          <w:szCs w:val="22"/>
          <w:lang w:val="en-US"/>
        </w:rPr>
        <w:t xml:space="preserve"> &lt;</w:t>
      </w:r>
      <w:r w:rsidR="002046EB" w:rsidRPr="00BC5B69">
        <w:rPr>
          <w:rFonts w:eastAsia="Calibri"/>
          <w:sz w:val="22"/>
          <w:szCs w:val="22"/>
          <w:lang w:val="en-US"/>
        </w:rPr>
        <w:t>3</w:t>
      </w:r>
      <w:r w:rsidRPr="00BC5B69">
        <w:rPr>
          <w:rFonts w:eastAsia="Calibri"/>
          <w:sz w:val="22"/>
          <w:szCs w:val="22"/>
          <w:lang w:val="en-US"/>
        </w:rPr>
        <w:t>0 kg.</w:t>
      </w:r>
      <w:r w:rsidR="007D1585" w:rsidRPr="00BC5B69">
        <w:rPr>
          <w:rFonts w:eastAsia="Calibri"/>
          <w:sz w:val="22"/>
          <w:szCs w:val="22"/>
          <w:lang w:val="en-US"/>
        </w:rPr>
        <w:t xml:space="preserve"> </w:t>
      </w:r>
      <w:r w:rsidRPr="00BC5B69">
        <w:rPr>
          <w:rFonts w:eastAsia="Calibri"/>
          <w:sz w:val="22"/>
          <w:szCs w:val="22"/>
          <w:lang w:val="en-US"/>
        </w:rPr>
        <w:t>We diagnosed “Sarcopenia”, with decreased muscle strength and/or walking speed together with decreased muscle mass and, “</w:t>
      </w:r>
      <w:proofErr w:type="spellStart"/>
      <w:r w:rsidRPr="00BC5B69">
        <w:rPr>
          <w:rFonts w:eastAsia="Calibri"/>
          <w:sz w:val="22"/>
          <w:szCs w:val="22"/>
          <w:lang w:val="en-US"/>
        </w:rPr>
        <w:t>Dynapenia</w:t>
      </w:r>
      <w:proofErr w:type="spellEnd"/>
      <w:r w:rsidRPr="00BC5B69">
        <w:rPr>
          <w:rFonts w:eastAsia="Calibri"/>
          <w:sz w:val="22"/>
          <w:szCs w:val="22"/>
          <w:lang w:val="en-US"/>
        </w:rPr>
        <w:t>” with decreased muscle strength</w:t>
      </w:r>
      <w:r w:rsidR="00C92462" w:rsidRPr="00BC5B69">
        <w:rPr>
          <w:rFonts w:eastAsia="Calibri"/>
          <w:sz w:val="22"/>
          <w:szCs w:val="22"/>
          <w:lang w:val="en-US"/>
        </w:rPr>
        <w:t xml:space="preserve"> </w:t>
      </w:r>
      <w:r w:rsidR="00C92462"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{"citationItems":[{"id":"ITEM-1","itemData":{"DOI":"10.1016/j.exger.2017.05.017","ISBN":"1442-2042 (Electronic)\\r0919-8172 (Linking)","ISSN":"18736815","PMID":"28549839","abstract":"Sarcopenia and dynapenia are related to repeated falls, mobility restriction, depression, frailty, increased mortality and morbidity. The aim of this study is to evaluate the relationship between vitamin B12 deficiency and sarcopenia in older adults. 403 patients, who attended to outpatient clinic and underwent comprehensive geriatric assessment, were included study. All cases’ skeletal muscle mass (SMM), walking speed and hand grip strength were recorded by bioimpedance, 4 meter walking test and hand dynamometer respectively. The diagnosis of sarcopenia was defined according to the criteria of the European Working Group on Sarcopenia in Older People. Sarcopenia was accepted low SMM with low handgrip strength or low physical performance. Dynapenia was defined as handgrip strength &lt; 30 kg (men) and &lt; 20 kg (women). The prevalence of sarcopenia and dynapenia was 24.8% and 32.0%, respectively. In the patients with sarcopenia, mean age, osteoporosis and frailty were higher, and MMSE, and instrumental ADL scores were lower than the patients without sarcopenia (p &lt; 0.05). The frequency of sarcopenia and dynapenia were 31.6% and 35.4%, respectively, in patients with vitamin B12 levels &lt; 400 pg/mL. In addition lean body mass, total skeletal mass and skeletal muscle mass index were lower in the patients with vitamin B12 levels &lt; 400 pg/mL compared to higher than 400 pg/mL (p &lt; 0.05). Sarcopenia, which results in lots of negative clinical outcomes in older adults, might be related to vitamin B12 deficiency. Therefore, these patients should be periodically examined for vitamin B12 deficiency due to the potential negative clinical outcomes such as sarcopenia in older adults.","author":[{"dropping-particle":"","family":"Bulut Ates","given":"Esra","non-dropping-particle":"","parse-names":false,"suffix":""},{"dropping-particle":"","family":"Soysal","given":"Pinar","non-dropping-particle":"","parse-names":false,"suffix":""},{"dropping-particle":"","family":"Aydin","given":"Ali Ekrem","non-dropping-particle":"","parse-names":false,"suffix":""},{"dropping-particle":"","family":"Dokuzlar","given":"Ozge","non-dropping-particle":"","parse-names":false,"suffix":""},{"dropping-particle":"","family":"Kocyigit","given":"Suleyman Emre","non-dropping-particle":"","parse-names":false,"suffix":""},{"dropping-particle":"","family":"Isik","given":"Ahmet Turan","non-dropping-particle":"","parse-names":false,"suffix":""}],"container-title":"Experimental Gerontology","id":"ITEM-1","issued":{"date-parts":[["2017"]]},"page":"136-140","title":"Vitamin B12 deficiency might be related to sarcopenia in older adults","type":"article-journal","volume":"95"},"uris":["http://www.mendeley.com/documents/?uuid=3b49e670-0885-4d3f-8519-ae93034534fe"]}],"mendeley":{"formattedCitation":"(Bulut Ates et al., 2017)","plainTextFormattedCitation":"(Bulut Ates et al., 2017)","previouslyFormattedCitation":"(Bulut Ates et al., 2017)"},"properties":{"noteIndex":0},"schema":"https://github.com/citation-style-language/schema/raw/master/csl-citation.json"}</w:instrText>
      </w:r>
      <w:r w:rsidR="00C92462" w:rsidRPr="00BC5B69">
        <w:rPr>
          <w:rFonts w:eastAsia="Calibri"/>
          <w:sz w:val="22"/>
          <w:szCs w:val="22"/>
          <w:lang w:val="en-US"/>
        </w:rPr>
        <w:fldChar w:fldCharType="separate"/>
      </w:r>
      <w:r w:rsidR="00E66FE2" w:rsidRPr="00BC5B69">
        <w:rPr>
          <w:rFonts w:eastAsia="Calibri"/>
          <w:noProof/>
          <w:sz w:val="22"/>
          <w:szCs w:val="22"/>
          <w:lang w:val="en-US"/>
        </w:rPr>
        <w:t>(Bulut Ates et al., 2017)</w:t>
      </w:r>
      <w:r w:rsidR="00C92462" w:rsidRPr="00BC5B69">
        <w:rPr>
          <w:rFonts w:eastAsia="Calibri"/>
          <w:sz w:val="22"/>
          <w:szCs w:val="22"/>
          <w:lang w:val="en-US"/>
        </w:rPr>
        <w:fldChar w:fldCharType="end"/>
      </w:r>
      <w:r w:rsidRPr="00BC5B69">
        <w:rPr>
          <w:rFonts w:eastAsia="Calibri"/>
          <w:sz w:val="22"/>
          <w:szCs w:val="22"/>
          <w:lang w:val="en-US"/>
        </w:rPr>
        <w:t xml:space="preserve">. </w:t>
      </w:r>
    </w:p>
    <w:p w14:paraId="01882589" w14:textId="77777777" w:rsidR="00A85DF1" w:rsidRPr="00BC5B69" w:rsidRDefault="00A85DF1" w:rsidP="004747C3">
      <w:pPr>
        <w:spacing w:line="480" w:lineRule="auto"/>
        <w:jc w:val="both"/>
        <w:rPr>
          <w:rFonts w:eastAsia="Calibri"/>
          <w:b/>
          <w:i/>
          <w:sz w:val="22"/>
          <w:szCs w:val="22"/>
          <w:lang w:val="en-US"/>
        </w:rPr>
      </w:pPr>
      <w:r w:rsidRPr="00BC5B69">
        <w:rPr>
          <w:rFonts w:eastAsia="Calibri"/>
          <w:b/>
          <w:i/>
          <w:sz w:val="22"/>
          <w:szCs w:val="22"/>
          <w:lang w:val="en-US"/>
        </w:rPr>
        <w:t>Evaluation for risk of falling</w:t>
      </w:r>
    </w:p>
    <w:p w14:paraId="5F14A2A7" w14:textId="5858317C" w:rsidR="00A85DF1" w:rsidRPr="00BC5B69" w:rsidRDefault="00A85DF1" w:rsidP="004747C3">
      <w:pPr>
        <w:spacing w:line="480" w:lineRule="auto"/>
        <w:jc w:val="both"/>
        <w:rPr>
          <w:rFonts w:eastAsia="Calibri"/>
          <w:sz w:val="22"/>
          <w:szCs w:val="22"/>
          <w:lang w:val="en-US"/>
        </w:rPr>
      </w:pPr>
      <w:r w:rsidRPr="00BC5B69">
        <w:rPr>
          <w:rFonts w:eastAsia="Calibri"/>
          <w:sz w:val="22"/>
          <w:szCs w:val="22"/>
          <w:lang w:val="en-US"/>
        </w:rPr>
        <w:t>A fall is defined as an event which results in a person coming to rest unintentionally on the ground or other lower level, not due to any intentional movement, a major intrinsic event or extrinsic force. To perform the TUG test, the patient is timed while they rise from an arm chair (approximate seat height 46 cm), walk at a comfortable and safe pace to a line on the floor three meters away, turn and walk back to the chair and sit down again. The subject walks through the test once before being timed to become familiar with the test</w:t>
      </w:r>
      <w:r w:rsidR="00501B4D" w:rsidRPr="00BC5B69">
        <w:rPr>
          <w:rFonts w:eastAsia="Calibri"/>
          <w:b/>
          <w:sz w:val="22"/>
          <w:szCs w:val="22"/>
          <w:lang w:val="en-US"/>
        </w:rPr>
        <w:t xml:space="preserve"> </w:t>
      </w:r>
      <w:r w:rsidR="00501B4D" w:rsidRPr="00BC5B69">
        <w:rPr>
          <w:rFonts w:eastAsia="Calibri"/>
          <w:b/>
          <w:sz w:val="22"/>
          <w:szCs w:val="22"/>
          <w:lang w:val="en-US"/>
        </w:rPr>
        <w:fldChar w:fldCharType="begin" w:fldLock="1"/>
      </w:r>
      <w:r w:rsidR="00D2655F" w:rsidRPr="00BC5B69">
        <w:rPr>
          <w:rFonts w:eastAsia="Calibri"/>
          <w:b/>
          <w:sz w:val="22"/>
          <w:szCs w:val="22"/>
          <w:lang w:val="en-US"/>
        </w:rPr>
        <w:instrText>ADDIN CSL_CITATION {"citationItems":[{"id":"ITEM-1","itemData":{"DOI":"http://www.ncbi.nlm.nih.gov/entrez/query.fcgi?cmd=Retrieve&amp;db=PubMed&amp;dopt=Citation&amp;list_uids=1991946","ISBN":"0002-8614 (Print)\\r0002-8614 (Linking)","ISSN":"00028614","PMID":"1991946","abstract":"This study evaluated a modified, timed version of the \"Get-Up and Go\" Test (Mathias et al, 1986) in 60 patients referred to a Geriatric Day Hospital (mean age 79.5 years). The patient is observed and timed while he rises from an arm chair, walks 3 meters, turns, walks back, and sits down again. The results indicate that the time score is (1) reliable (inter-rater and intra-rater); (2) correlates well with log-transformed scores on the Berg Balance Scale (r = -0.81), gait speed (r = -0.61) and Barthel Index of ADL (r = -0.78); and (3) appears to predict the patient's ability to go outside alone safely. These data suggest that the timed \"Up &amp; Go\" test is a reliable and valid test for quantifying functional mobility that may also be useful in following clinical change over time. The test is quick, requires no special equipment or training, and is easily included as part of the routine medical examination.","author":[{"dropping-particle":"","family":"Podsiadlo","given":"D","non-dropping-particle":"","parse-names":false,"suffix":""},{"dropping-particle":"","family":"Richardson","given":"S","non-dropping-particle":"","parse-names":false,"suffix":""}],"container-title":"Journal of American Geriatric Society","id":"ITEM-1","issue":"2","issued":{"date-parts":[["1991"]]},"page":"142-148","title":"The timed \"Up &amp; Go\": a test of basic functional mobility for frail elderly persons","type":"article-journal","volume":"39"},"uris":["http://www.mendeley.com/documents/?uuid=37bafcc0-c6ca-4d6c-af9e-cf8b5ab05f0e"]}],"mendeley":{"formattedCitation":"(Podsiadlo &amp; Richardson, 1991)","plainTextFormattedCitation":"(Podsiadlo &amp; Richardson, 1991)","previouslyFormattedCitation":"(Podsiadlo &amp; Richardson, 1991)"},"properties":{"noteIndex":0},"schema":"https://github.com/citation-style-language/schema/raw/master/csl-citation.json"}</w:instrText>
      </w:r>
      <w:r w:rsidR="00501B4D" w:rsidRPr="00BC5B69">
        <w:rPr>
          <w:rFonts w:eastAsia="Calibri"/>
          <w:b/>
          <w:sz w:val="22"/>
          <w:szCs w:val="22"/>
          <w:lang w:val="en-US"/>
        </w:rPr>
        <w:fldChar w:fldCharType="separate"/>
      </w:r>
      <w:r w:rsidR="00E66FE2" w:rsidRPr="00BC5B69">
        <w:rPr>
          <w:rFonts w:eastAsia="Calibri"/>
          <w:noProof/>
          <w:sz w:val="22"/>
          <w:szCs w:val="22"/>
          <w:lang w:val="en-US"/>
        </w:rPr>
        <w:t>(Podsiadlo &amp; Richardson, 1991)</w:t>
      </w:r>
      <w:r w:rsidR="00501B4D" w:rsidRPr="00BC5B69">
        <w:rPr>
          <w:rFonts w:eastAsia="Calibri"/>
          <w:b/>
          <w:sz w:val="22"/>
          <w:szCs w:val="22"/>
          <w:lang w:val="en-US"/>
        </w:rPr>
        <w:fldChar w:fldCharType="end"/>
      </w:r>
      <w:r w:rsidRPr="00BC5B69">
        <w:rPr>
          <w:rFonts w:eastAsia="Calibri"/>
          <w:sz w:val="22"/>
          <w:szCs w:val="22"/>
          <w:lang w:val="en-US"/>
        </w:rPr>
        <w:t xml:space="preserve">. Records of ≥13.5 seconds are defined as </w:t>
      </w:r>
      <w:r w:rsidR="00EF0999" w:rsidRPr="00BC5B69">
        <w:rPr>
          <w:rFonts w:eastAsia="Calibri"/>
          <w:sz w:val="22"/>
          <w:szCs w:val="22"/>
          <w:lang w:val="en-US"/>
        </w:rPr>
        <w:t xml:space="preserve">at </w:t>
      </w:r>
      <w:r w:rsidRPr="00BC5B69">
        <w:rPr>
          <w:rFonts w:eastAsia="Calibri"/>
          <w:sz w:val="22"/>
          <w:szCs w:val="22"/>
          <w:lang w:val="en-US"/>
        </w:rPr>
        <w:t xml:space="preserve"> risk of falling</w:t>
      </w:r>
      <w:r w:rsidR="00501B4D" w:rsidRPr="00BC5B69">
        <w:rPr>
          <w:rFonts w:eastAsia="Calibri"/>
          <w:sz w:val="22"/>
          <w:szCs w:val="22"/>
          <w:lang w:val="en-US"/>
        </w:rPr>
        <w:t xml:space="preserve"> </w:t>
      </w:r>
      <w:r w:rsidR="00501B4D" w:rsidRPr="00BC5B69">
        <w:rPr>
          <w:rFonts w:eastAsia="Calibri"/>
          <w:sz w:val="22"/>
          <w:szCs w:val="22"/>
          <w:lang w:val="en-US"/>
        </w:rPr>
        <w:fldChar w:fldCharType="begin" w:fldLock="1"/>
      </w:r>
      <w:r w:rsidR="00B03A85" w:rsidRPr="00BC5B69">
        <w:rPr>
          <w:rFonts w:eastAsia="Calibri"/>
          <w:sz w:val="22"/>
          <w:szCs w:val="22"/>
          <w:lang w:val="en-US"/>
        </w:rPr>
        <w:instrText>ADDIN CSL_CITATION {"citationItems":[{"id":"ITEM-1","itemData":{"DOI":"10.7748/nop.26.6.18.e586","ISBN":"978-1-4731-0132-6","ISSN":"20478941","PMID":"24975078","abstract":"In June 2013 the National Institute for Health and Care Excellence updated and replaced its 2004 clinical guideline 21 (CG21) on falls with clinical guideline 161 (CG161). Two priorities were outlined in the latter: preventing falls in older people (unchanged from CG21) and preventing falls in older people during a hospital stay (new). CG161 is for health and social care clinicians who care for older people who have fallen or who are at risk of falling. It provides clinicians and commissioners with evidence to implement effective care pathways and recommendations on the assessment and prevention of falls in older people. The amalgamation of the two guidelines has resulted in some disconnection. This article summarises the evidence and supports clinicians in the interpretation of the revised falls guideline.","author":[{"dropping-particle":"","family":"National Institute for Health and Care Excellence: Clinical Guidelines","given":"n","non-dropping-particle":"","parse-names":false,"suffix":""}],"container-title":"NICE","id":"ITEM-1","issued":{"date-parts":[["2013"]]},"page":"http://www.nice.org.uk/CG161","title":"Falls: assessment and prevention of falls in older people","type":"article-journal"},"uris":["http://www.mendeley.com/documents/?uuid=9b12b942-fa2e-462f-b34a-3359da0d8198"]}],"mendeley":{"formattedCitation":"(National Institute for Health and Care Excellence: Clinical Guidelines, 2013)","manualFormatting":"(NICE, 2013)","plainTextFormattedCitation":"(National Institute for Health and Care Excellence: Clinical Guidelines, 2013)","previouslyFormattedCitation":"(National Institute for Health and Care Excellence: Clinical Guidelines, 2013)"},"properties":{"noteIndex":0},"schema":"https://github.com/citation-style-language/schema/raw/master/csl-citation.json"}</w:instrText>
      </w:r>
      <w:r w:rsidR="00501B4D" w:rsidRPr="00BC5B69">
        <w:rPr>
          <w:rFonts w:eastAsia="Calibri"/>
          <w:sz w:val="22"/>
          <w:szCs w:val="22"/>
          <w:lang w:val="en-US"/>
        </w:rPr>
        <w:fldChar w:fldCharType="separate"/>
      </w:r>
      <w:r w:rsidR="00E66FE2" w:rsidRPr="00BC5B69">
        <w:rPr>
          <w:rFonts w:eastAsia="Calibri"/>
          <w:noProof/>
          <w:sz w:val="22"/>
          <w:szCs w:val="22"/>
          <w:lang w:val="en-US"/>
        </w:rPr>
        <w:t>(</w:t>
      </w:r>
      <w:r w:rsidR="002E7E94" w:rsidRPr="00BC5B69">
        <w:rPr>
          <w:rFonts w:eastAsia="Calibri"/>
          <w:noProof/>
          <w:sz w:val="22"/>
          <w:szCs w:val="22"/>
          <w:lang w:val="en-US"/>
        </w:rPr>
        <w:t>NICE</w:t>
      </w:r>
      <w:r w:rsidR="00E66FE2" w:rsidRPr="00BC5B69">
        <w:rPr>
          <w:rFonts w:eastAsia="Calibri"/>
          <w:noProof/>
          <w:sz w:val="22"/>
          <w:szCs w:val="22"/>
          <w:lang w:val="en-US"/>
        </w:rPr>
        <w:t>, 2013)</w:t>
      </w:r>
      <w:r w:rsidR="00501B4D" w:rsidRPr="00BC5B69">
        <w:rPr>
          <w:rFonts w:eastAsia="Calibri"/>
          <w:sz w:val="22"/>
          <w:szCs w:val="22"/>
          <w:lang w:val="en-US"/>
        </w:rPr>
        <w:fldChar w:fldCharType="end"/>
      </w:r>
      <w:r w:rsidRPr="00BC5B69">
        <w:rPr>
          <w:rFonts w:eastAsia="Calibri"/>
          <w:sz w:val="22"/>
          <w:szCs w:val="22"/>
          <w:lang w:val="en-US"/>
        </w:rPr>
        <w:t>. We also used the Tinetti POMA Scale to assess the gait with seven components (initiation of gait, step length, step symmetry, step continuity, path, trunk and walking stance; maximum 12 points) and balance abilities of participants with nine components (sitting balance, arises, attempts to arise, immediate standing balance, standing balance, nudged, eyes closed, turning 360°, and sitting down; maximum 16 points). Each subscale was measured as abnormal = 0 or normal = 1; in some cases, adaptive = 1 and normal = 2. The maximum sum-score of both gait and balance components are 28 points. POMA total scores &lt;19 are defined as  high risk of falling</w:t>
      </w:r>
      <w:r w:rsidR="00501B4D" w:rsidRPr="00BC5B69">
        <w:rPr>
          <w:rFonts w:eastAsia="Calibri"/>
          <w:b/>
          <w:sz w:val="22"/>
          <w:szCs w:val="22"/>
          <w:lang w:val="en-US"/>
        </w:rPr>
        <w:t xml:space="preserve"> </w:t>
      </w:r>
      <w:r w:rsidR="00501B4D" w:rsidRPr="00BC5B69">
        <w:rPr>
          <w:rFonts w:eastAsia="Calibri"/>
          <w:b/>
          <w:sz w:val="22"/>
          <w:szCs w:val="22"/>
          <w:lang w:val="en-US"/>
        </w:rPr>
        <w:fldChar w:fldCharType="begin" w:fldLock="1"/>
      </w:r>
      <w:r w:rsidR="00D2655F" w:rsidRPr="00BC5B69">
        <w:rPr>
          <w:rFonts w:eastAsia="Calibri"/>
          <w:b/>
          <w:sz w:val="22"/>
          <w:szCs w:val="22"/>
          <w:lang w:val="en-US"/>
        </w:rPr>
        <w:instrText>ADDIN CSL_CITATION {"citationItems":[{"id":"ITEM-1","itemData":{"DOI":"10.1111/j.1532-5415.1986.tb05480.x","ISBN":"0002-8614 (Print)\\r0002-8614 (Linking)","ISSN":"15325415","PMID":"3944402","abstract":"Discusses the content of functional mobility (ambulation) assessment of the elderly and describes the limitations of relying solely on either a disease-oriented or a gait-analytic approach. A performance-oriented assessment of mobility is described that incorporates features of both approaches; integrates multiple physical, cognitive, and psychologic characteristics; and relies on direct observation of function. Limitations of the proposed categorization system are noted, but it is considered to be a clinically useful way to utilize data frequently obtained in the care of older patients. (18 ref)","author":[{"dropping-particle":"","family":"Tinetti","given":"Mary E.","non-dropping-particle":"","parse-names":false,"suffix":""}],"container-title":"Journal of American Geriatric Society","id":"ITEM-1","issue":"2","issued":{"date-parts":[["1986"]]},"page":"119-126","title":"Performance‐Oriented Assessment of Mobility Problems in Elderly Patients","type":"article-journal","volume":"34"},"uris":["http://www.mendeley.com/documents/?uuid=fcbdfaed-9972-406f-9741-1d67388bade0"]},{"id":"ITEM-2","itemData":{"DOI":"10.2147/CIA.S112282","ISSN":"11781998","PMID":"27570449","abstract":"PURPOSE The aim of this study was to investigate the effects of physical, mental, and cognitive disabilities on gait and balance deficits among nursing home residents with different diseases in Jordan and also to find the risk of fall associated with or without these diseases. METHODS A sample of 221 nursing home residents aged 18-100 years in Jordan was recruited for this study. All participants were assessed using the Arabic versions of the Tinetti assessment battery (TAB) for gait and balance, mini-mental state examination, and disability of arm, shoulder, and hand assessment test. RESULTS A total of 221 nursing home residents were included in this study. Different chronic diseases were medically reported in this study. Psychiatric disorders (45.7%) were shown to be the most prevalent disease seen among the participants, followed by hypertension and diabetes mellitus affecting 33.5% and 23.5% of the participants, respectively. However, the least prevalent diseases were stroke (17.2%), joint inflammation (17.2%), and arthritis (9.0%). Based on TAB scores, the participants were classified into three groups: high risk of falls (≤18; n=116), moderate risk of falls (19-23; n=25), and low risk of falls (≥24; n=80). The correlation between physical activity and mental health problems with risks of falls was reported in all participants. The data showed that participants with over 50% upper extremity disability, stroke, heart disease, arthritis, joint diseases, diabetes, and hypertension recorded higher risks of falls as measured by TAB test compared to those with low and moderate TAB scores. Also, impairment in cognitive abilities and psychiatric disorders was shown to be associated with gait and balance problems, with a higher risk of falls in 47.5% and 46.1% of the residents, respectively. CONCLUSION This study revealed a significant impact of upper limb disability, stroke, heart disease, arthritis, joint diseases, diabetes, and hypertension as well as psychiatric disorders and cognitive disabilities on gait and balance deficits among home-resident older adults.","author":[{"dropping-particle":"","family":"Al-Momani","given":"Murad","non-dropping-particle":"","parse-names":false,"suffix":""},{"dropping-particle":"","family":"Al-Momani","given":"Fidaa","non-dropping-particle":"","parse-names":false,"suffix":""},{"dropping-particle":"","family":"Alghadir","given":"Ahmad H.","non-dropping-particle":"","parse-names":false,"suffix":""},{"dropping-particle":"","family":"Alharethy","given":"Sami","non-dropping-particle":"","parse-names":false,"suffix":""},{"dropping-particle":"","family":"Gabr","given":"Sami A.","non-dropping-particle":"","parse-names":false,"suffix":""}],"container-title":"Clinical Interventions in Aging","id":"ITEM-2","issued":{"date-parts":[["2016"]]},"page":"1043-1049","title":"Factors related to gait and balance deficits in older adults","type":"article-journal","volume":"11"},"uris":["http://www.mendeley.com/documents/?uuid=356cfa34-c98f-4571-8b87-aa34ac52bf2c"]}],"mendeley":{"formattedCitation":"(Al-Momani, Al-Momani, Alghadir, Alharethy, &amp; Gabr, 2016; Tinetti, 1986)","plainTextFormattedCitation":"(Al-Momani, Al-Momani, Alghadir, Alharethy, &amp; Gabr, 2016; Tinetti, 1986)","previouslyFormattedCitation":"(Al-Momani, Al-Momani, Alghadir, Alharethy, &amp; Gabr, 2016; Tinetti, 1986)"},"properties":{"noteIndex":0},"schema":"https://github.com/citation-style-language/schema/raw/master/csl-citation.json"}</w:instrText>
      </w:r>
      <w:r w:rsidR="00501B4D" w:rsidRPr="00BC5B69">
        <w:rPr>
          <w:rFonts w:eastAsia="Calibri"/>
          <w:b/>
          <w:sz w:val="22"/>
          <w:szCs w:val="22"/>
          <w:lang w:val="en-US"/>
        </w:rPr>
        <w:fldChar w:fldCharType="separate"/>
      </w:r>
      <w:r w:rsidR="00E66FE2" w:rsidRPr="00BC5B69">
        <w:rPr>
          <w:rFonts w:eastAsia="Calibri"/>
          <w:noProof/>
          <w:sz w:val="22"/>
          <w:szCs w:val="22"/>
          <w:lang w:val="en-US"/>
        </w:rPr>
        <w:t xml:space="preserve">(Al-Momani, Al-Momani, Alghadir, </w:t>
      </w:r>
      <w:r w:rsidR="00E66FE2" w:rsidRPr="00BC5B69">
        <w:rPr>
          <w:rFonts w:eastAsia="Calibri"/>
          <w:noProof/>
          <w:sz w:val="22"/>
          <w:szCs w:val="22"/>
          <w:lang w:val="en-US"/>
        </w:rPr>
        <w:lastRenderedPageBreak/>
        <w:t>Alharethy, &amp; Gabr, 2016; Tinetti, 1986)</w:t>
      </w:r>
      <w:r w:rsidR="00501B4D" w:rsidRPr="00BC5B69">
        <w:rPr>
          <w:rFonts w:eastAsia="Calibri"/>
          <w:b/>
          <w:sz w:val="22"/>
          <w:szCs w:val="22"/>
          <w:lang w:val="en-US"/>
        </w:rPr>
        <w:fldChar w:fldCharType="end"/>
      </w:r>
      <w:r w:rsidRPr="00BC5B69">
        <w:rPr>
          <w:rFonts w:eastAsia="Calibri"/>
          <w:sz w:val="22"/>
          <w:szCs w:val="22"/>
          <w:lang w:val="en-US"/>
        </w:rPr>
        <w:t>. We instructed the patient to walk at their normal pace. Then we asked the patient to walk down a hallway through a 1-metre zone for acceleration, a central 4-metre “testing” zone, and a 1-metre zone for deceleration (the patient should not start to slow down before the 4-metre mark). We started the timer with the first footfall after the 0-metre line</w:t>
      </w:r>
      <w:r w:rsidR="001916E4" w:rsidRPr="00BC5B69">
        <w:rPr>
          <w:rFonts w:eastAsia="Calibri"/>
          <w:sz w:val="22"/>
          <w:szCs w:val="22"/>
          <w:lang w:val="en-US"/>
        </w:rPr>
        <w:t xml:space="preserve"> </w:t>
      </w:r>
      <w:r w:rsidRPr="00BC5B69">
        <w:rPr>
          <w:rFonts w:eastAsia="Calibri"/>
          <w:sz w:val="22"/>
          <w:szCs w:val="22"/>
          <w:lang w:val="en-US"/>
        </w:rPr>
        <w:t>and stop with the first footfall after the 4-metre line. We considered walking speed below 0.8 m/s as a risk factor for falls</w:t>
      </w:r>
      <w:r w:rsidR="00501B4D" w:rsidRPr="00BC5B69">
        <w:rPr>
          <w:rFonts w:eastAsia="Calibri"/>
          <w:sz w:val="22"/>
          <w:szCs w:val="22"/>
          <w:lang w:val="en-US"/>
        </w:rPr>
        <w:t xml:space="preserve"> </w:t>
      </w:r>
      <w:r w:rsidR="00501B4D" w:rsidRPr="00BC5B69">
        <w:rPr>
          <w:rFonts w:eastAsia="Calibri"/>
          <w:sz w:val="22"/>
          <w:szCs w:val="22"/>
          <w:lang w:val="en-US"/>
        </w:rPr>
        <w:fldChar w:fldCharType="begin" w:fldLock="1"/>
      </w:r>
      <w:r w:rsidR="00E666F9" w:rsidRPr="00BC5B69">
        <w:rPr>
          <w:rFonts w:eastAsia="Calibri"/>
          <w:sz w:val="22"/>
          <w:szCs w:val="22"/>
          <w:lang w:val="en-US"/>
        </w:rPr>
        <w:instrText>ADDIN CSL_CITATION {"citationItems":[{"id":"ITEM-1","itemData":{"author":[{"dropping-particle":"","family":"BCGuidelines.ca","given":"","non-dropping-particle":"","parse-names":false,"suffix":""}],"id":"ITEM-1","issued":{"date-parts":[["2017"]]},"title":"Frailty in Older Adults - Early İdentification and Management.","type":"report"},"uris":["http://www.mendeley.com/documents/?uuid=b60d503e-00a1-42b2-96db-a835d11ffd9a"]}],"mendeley":{"formattedCitation":"(BCGuidelines.ca, 2017)","manualFormatting":"(BCGuidelines, 2017)","plainTextFormattedCitation":"(BCGuidelines.ca, 2017)","previouslyFormattedCitation":"(BCGuidelines.ca, 2017)"},"properties":{"noteIndex":0},"schema":"https://github.com/citation-style-language/schema/raw/master/csl-citation.json"}</w:instrText>
      </w:r>
      <w:r w:rsidR="00501B4D" w:rsidRPr="00BC5B69">
        <w:rPr>
          <w:rFonts w:eastAsia="Calibri"/>
          <w:sz w:val="22"/>
          <w:szCs w:val="22"/>
          <w:lang w:val="en-US"/>
        </w:rPr>
        <w:fldChar w:fldCharType="separate"/>
      </w:r>
      <w:r w:rsidR="00E66FE2" w:rsidRPr="00BC5B69">
        <w:rPr>
          <w:rFonts w:eastAsia="Calibri"/>
          <w:noProof/>
          <w:sz w:val="22"/>
          <w:szCs w:val="22"/>
          <w:lang w:val="en-US"/>
        </w:rPr>
        <w:t>(BCGuidelines, 2017)</w:t>
      </w:r>
      <w:r w:rsidR="00501B4D" w:rsidRPr="00BC5B69">
        <w:rPr>
          <w:rFonts w:eastAsia="Calibri"/>
          <w:sz w:val="22"/>
          <w:szCs w:val="22"/>
          <w:lang w:val="en-US"/>
        </w:rPr>
        <w:fldChar w:fldCharType="end"/>
      </w:r>
      <w:r w:rsidRPr="00BC5B69">
        <w:rPr>
          <w:rFonts w:eastAsia="Calibri"/>
          <w:sz w:val="22"/>
          <w:szCs w:val="22"/>
          <w:lang w:val="en-US"/>
        </w:rPr>
        <w:t xml:space="preserve">. </w:t>
      </w:r>
    </w:p>
    <w:p w14:paraId="5B0666CC" w14:textId="77777777" w:rsidR="00A85DF1" w:rsidRPr="00BC5B69" w:rsidRDefault="00A85DF1" w:rsidP="004747C3">
      <w:pPr>
        <w:spacing w:line="480" w:lineRule="auto"/>
        <w:jc w:val="both"/>
        <w:rPr>
          <w:rFonts w:eastAsia="Calibri"/>
          <w:b/>
          <w:i/>
          <w:sz w:val="22"/>
          <w:szCs w:val="22"/>
          <w:lang w:val="en-US"/>
        </w:rPr>
      </w:pPr>
      <w:r w:rsidRPr="00BC5B69">
        <w:rPr>
          <w:rFonts w:eastAsia="Calibri"/>
          <w:b/>
          <w:i/>
          <w:sz w:val="22"/>
          <w:szCs w:val="22"/>
          <w:lang w:val="en-US"/>
        </w:rPr>
        <w:t xml:space="preserve">Statistical Analyses </w:t>
      </w:r>
    </w:p>
    <w:p w14:paraId="1FA28318" w14:textId="08982392" w:rsidR="00A85DF1" w:rsidRPr="00BC5B69" w:rsidRDefault="00A85DF1" w:rsidP="004747C3">
      <w:pPr>
        <w:spacing w:line="480" w:lineRule="auto"/>
        <w:jc w:val="both"/>
        <w:rPr>
          <w:rFonts w:eastAsia="Calibri"/>
          <w:sz w:val="22"/>
          <w:szCs w:val="22"/>
          <w:lang w:val="en-US"/>
        </w:rPr>
      </w:pPr>
      <w:r w:rsidRPr="00BC5B69">
        <w:rPr>
          <w:rFonts w:eastAsia="Calibri"/>
          <w:sz w:val="22"/>
          <w:szCs w:val="22"/>
          <w:lang w:val="en-US"/>
        </w:rPr>
        <w:t>Analysis of the data was carried out us</w:t>
      </w:r>
      <w:r w:rsidR="00EF0999" w:rsidRPr="00BC5B69">
        <w:rPr>
          <w:rFonts w:eastAsia="Calibri"/>
          <w:sz w:val="22"/>
          <w:szCs w:val="22"/>
          <w:lang w:val="en-US"/>
        </w:rPr>
        <w:t>ing</w:t>
      </w:r>
      <w:r w:rsidRPr="00BC5B69">
        <w:rPr>
          <w:rFonts w:eastAsia="Calibri"/>
          <w:sz w:val="22"/>
          <w:szCs w:val="22"/>
          <w:lang w:val="en-US"/>
        </w:rPr>
        <w:t xml:space="preserve"> the Statistical Package for the Social Sciences 22. Descriptive statistics are shown as mean</w:t>
      </w:r>
      <w:r w:rsidR="00EF0999" w:rsidRPr="00BC5B69">
        <w:rPr>
          <w:rFonts w:eastAsia="Calibri"/>
          <w:sz w:val="22"/>
          <w:szCs w:val="22"/>
          <w:lang w:val="en-US"/>
        </w:rPr>
        <w:t>s</w:t>
      </w:r>
      <w:r w:rsidR="007D1585" w:rsidRPr="00BC5B69">
        <w:rPr>
          <w:rFonts w:eastAsia="Calibri"/>
          <w:sz w:val="22"/>
          <w:szCs w:val="22"/>
          <w:lang w:val="en-US"/>
        </w:rPr>
        <w:t xml:space="preserve"> </w:t>
      </w:r>
      <w:r w:rsidRPr="00BC5B69">
        <w:rPr>
          <w:rFonts w:eastAsia="Calibri"/>
          <w:sz w:val="22"/>
          <w:szCs w:val="22"/>
          <w:lang w:val="en-US"/>
        </w:rPr>
        <w:t>±</w:t>
      </w:r>
      <w:r w:rsidR="007D1585" w:rsidRPr="00BC5B69">
        <w:rPr>
          <w:rFonts w:eastAsia="Calibri"/>
          <w:sz w:val="22"/>
          <w:szCs w:val="22"/>
          <w:lang w:val="en-US"/>
        </w:rPr>
        <w:t xml:space="preserve"> </w:t>
      </w:r>
      <w:r w:rsidRPr="00BC5B69">
        <w:rPr>
          <w:rFonts w:eastAsia="Calibri"/>
          <w:sz w:val="22"/>
          <w:szCs w:val="22"/>
          <w:lang w:val="en-US"/>
        </w:rPr>
        <w:t xml:space="preserve">standard deviation for continuous variables, and percentage (%) for nominal variables. The variables related to the risk of falling were adjusted for the age, education level and the living environment of the patients. The variables were modeled using </w:t>
      </w:r>
      <w:r w:rsidR="00794211" w:rsidRPr="00BC5B69">
        <w:rPr>
          <w:rFonts w:eastAsia="Calibri"/>
          <w:sz w:val="22"/>
          <w:szCs w:val="22"/>
          <w:lang w:val="en-US"/>
        </w:rPr>
        <w:t xml:space="preserve">several </w:t>
      </w:r>
      <w:r w:rsidRPr="00BC5B69">
        <w:rPr>
          <w:rFonts w:eastAsia="Calibri"/>
          <w:sz w:val="22"/>
          <w:szCs w:val="22"/>
          <w:lang w:val="en-US"/>
        </w:rPr>
        <w:t xml:space="preserve">multiple logistic regression analysis. </w:t>
      </w:r>
      <w:r w:rsidR="00794211" w:rsidRPr="00BC5B69">
        <w:rPr>
          <w:rFonts w:eastAsia="Calibri"/>
          <w:sz w:val="22"/>
          <w:szCs w:val="22"/>
          <w:lang w:val="en-US"/>
        </w:rPr>
        <w:t xml:space="preserve">These multiple individual variable assessments are not corrected for the number of logistic regression models. </w:t>
      </w:r>
      <w:r w:rsidRPr="00BC5B69">
        <w:rPr>
          <w:rFonts w:eastAsia="Calibri"/>
          <w:sz w:val="22"/>
          <w:szCs w:val="22"/>
          <w:lang w:val="en-US"/>
        </w:rPr>
        <w:t>Relations between the parameters indicating the risk of falling (history of falling, POMA, TUG, low walking speed) were calculated using the chi-square test</w:t>
      </w:r>
      <w:r w:rsidR="00794211" w:rsidRPr="00BC5B69">
        <w:rPr>
          <w:rFonts w:eastAsia="Calibri"/>
          <w:sz w:val="22"/>
          <w:szCs w:val="22"/>
          <w:lang w:val="en-US"/>
        </w:rPr>
        <w:t xml:space="preserve"> and Phi-coefficients are provided</w:t>
      </w:r>
      <w:r w:rsidRPr="00BC5B69">
        <w:rPr>
          <w:rFonts w:eastAsia="Calibri"/>
          <w:sz w:val="22"/>
          <w:szCs w:val="22"/>
          <w:lang w:val="en-US"/>
        </w:rPr>
        <w:t>. Results for p</w:t>
      </w:r>
      <w:r w:rsidR="003C01F8" w:rsidRPr="00BC5B69">
        <w:rPr>
          <w:rFonts w:eastAsia="Calibri"/>
          <w:sz w:val="22"/>
          <w:szCs w:val="22"/>
          <w:lang w:val="en-US"/>
        </w:rPr>
        <w:t xml:space="preserve"> </w:t>
      </w:r>
      <w:r w:rsidRPr="00BC5B69">
        <w:rPr>
          <w:rFonts w:eastAsia="Calibri"/>
          <w:sz w:val="22"/>
          <w:szCs w:val="22"/>
          <w:lang w:val="en-US"/>
        </w:rPr>
        <w:t>&lt;0.05 were considered statistically significant. The required number of samples was calculated to be at least 2</w:t>
      </w:r>
      <w:r w:rsidR="003C01F8" w:rsidRPr="00BC5B69">
        <w:rPr>
          <w:rFonts w:eastAsia="Calibri"/>
          <w:sz w:val="22"/>
          <w:szCs w:val="22"/>
          <w:lang w:val="en-US"/>
        </w:rPr>
        <w:t>8</w:t>
      </w:r>
      <w:r w:rsidR="002A2F2B" w:rsidRPr="00BC5B69">
        <w:rPr>
          <w:rFonts w:eastAsia="Calibri"/>
          <w:sz w:val="22"/>
          <w:szCs w:val="22"/>
          <w:lang w:val="en-US"/>
        </w:rPr>
        <w:t>4</w:t>
      </w:r>
      <w:r w:rsidRPr="00BC5B69">
        <w:rPr>
          <w:rFonts w:eastAsia="Calibri"/>
          <w:sz w:val="22"/>
          <w:szCs w:val="22"/>
          <w:lang w:val="en-US"/>
        </w:rPr>
        <w:t xml:space="preserve"> patients with an acceptable error of 5% and a 95% confidence level.</w:t>
      </w:r>
    </w:p>
    <w:p w14:paraId="694A2A53" w14:textId="77777777" w:rsidR="008D1A58" w:rsidRPr="00BC5B69" w:rsidRDefault="008D1A58" w:rsidP="004747C3">
      <w:pPr>
        <w:spacing w:line="480" w:lineRule="auto"/>
        <w:jc w:val="both"/>
        <w:rPr>
          <w:rFonts w:eastAsia="Calibri"/>
          <w:sz w:val="22"/>
          <w:szCs w:val="22"/>
          <w:lang w:val="en-US"/>
        </w:rPr>
      </w:pPr>
      <w:r w:rsidRPr="00BC5B69">
        <w:rPr>
          <w:rFonts w:eastAsia="Calibri"/>
          <w:b/>
          <w:sz w:val="22"/>
          <w:szCs w:val="22"/>
          <w:lang w:val="en-US"/>
        </w:rPr>
        <w:t>Results</w:t>
      </w:r>
    </w:p>
    <w:p w14:paraId="5D46AE15" w14:textId="796CB593" w:rsidR="008D1A58" w:rsidRPr="00BC5B69" w:rsidRDefault="008D1A58" w:rsidP="004747C3">
      <w:pPr>
        <w:spacing w:line="480" w:lineRule="auto"/>
        <w:jc w:val="both"/>
        <w:rPr>
          <w:rFonts w:eastAsia="Calibri"/>
          <w:sz w:val="22"/>
          <w:szCs w:val="22"/>
          <w:lang w:val="en-US"/>
        </w:rPr>
      </w:pPr>
      <w:r w:rsidRPr="00BC5B69">
        <w:rPr>
          <w:rFonts w:eastAsia="Calibri"/>
          <w:sz w:val="22"/>
          <w:szCs w:val="22"/>
          <w:lang w:val="en-US"/>
        </w:rPr>
        <w:t>In the present study, we included a total of 334 men aged 65 years and over. The mean age (SD) of the patients are 74.99 (7.26). Characteristics and comorbidities of the participants are demonstrated in Table 1. 85 (25.4%) men ha</w:t>
      </w:r>
      <w:r w:rsidR="00EF0999" w:rsidRPr="00BC5B69">
        <w:rPr>
          <w:rFonts w:eastAsia="Calibri"/>
          <w:sz w:val="22"/>
          <w:szCs w:val="22"/>
          <w:lang w:val="en-US"/>
        </w:rPr>
        <w:t>d</w:t>
      </w:r>
      <w:r w:rsidRPr="00BC5B69">
        <w:rPr>
          <w:rFonts w:eastAsia="Calibri"/>
          <w:sz w:val="22"/>
          <w:szCs w:val="22"/>
          <w:lang w:val="en-US"/>
        </w:rPr>
        <w:t xml:space="preserve"> a history of falling. There are 20 (5.9%) men who had falling risk according to POMA, 81 (24.2</w:t>
      </w:r>
      <w:r w:rsidR="00E63665" w:rsidRPr="00BC5B69">
        <w:rPr>
          <w:rFonts w:eastAsia="Calibri"/>
          <w:sz w:val="22"/>
          <w:szCs w:val="22"/>
          <w:lang w:val="en-US"/>
        </w:rPr>
        <w:t xml:space="preserve">%) </w:t>
      </w:r>
      <w:r w:rsidRPr="00BC5B69">
        <w:rPr>
          <w:rFonts w:eastAsia="Calibri"/>
          <w:sz w:val="22"/>
          <w:szCs w:val="22"/>
          <w:lang w:val="en-US"/>
        </w:rPr>
        <w:t>men according to TUG and 64 (19.1</w:t>
      </w:r>
      <w:r w:rsidR="00E63665" w:rsidRPr="00BC5B69">
        <w:rPr>
          <w:rFonts w:eastAsia="Calibri"/>
          <w:sz w:val="22"/>
          <w:szCs w:val="22"/>
          <w:lang w:val="en-US"/>
        </w:rPr>
        <w:t xml:space="preserve">%) </w:t>
      </w:r>
      <w:r w:rsidRPr="00BC5B69">
        <w:rPr>
          <w:rFonts w:eastAsia="Calibri"/>
          <w:sz w:val="22"/>
          <w:szCs w:val="22"/>
          <w:lang w:val="en-US"/>
        </w:rPr>
        <w:t xml:space="preserve">men according to lower walking speed. </w:t>
      </w:r>
      <w:r w:rsidR="00E15C90" w:rsidRPr="00BC5B69">
        <w:rPr>
          <w:rFonts w:eastAsia="Calibri"/>
          <w:b/>
          <w:color w:val="000000" w:themeColor="text1"/>
          <w:sz w:val="22"/>
          <w:szCs w:val="22"/>
          <w:lang w:val="en-US"/>
        </w:rPr>
        <w:t>[Table 1 near here]</w:t>
      </w:r>
    </w:p>
    <w:p w14:paraId="7B914619" w14:textId="298E984C" w:rsidR="00100FA7" w:rsidRPr="00BC5B69" w:rsidRDefault="008D1A58" w:rsidP="004747C3">
      <w:pPr>
        <w:spacing w:line="480" w:lineRule="auto"/>
        <w:jc w:val="both"/>
        <w:rPr>
          <w:rFonts w:eastAsia="Calibri"/>
          <w:sz w:val="22"/>
          <w:szCs w:val="22"/>
          <w:lang w:val="en-US"/>
        </w:rPr>
      </w:pPr>
      <w:r w:rsidRPr="00BC5B69">
        <w:rPr>
          <w:rFonts w:eastAsia="Calibri"/>
          <w:sz w:val="22"/>
          <w:szCs w:val="22"/>
          <w:lang w:val="en-US"/>
        </w:rPr>
        <w:t>The risk factors for falling and their odds ratios according to the history of falling, POMA, TUG and low walking speed are shown in Table 2.</w:t>
      </w:r>
      <w:r w:rsidRPr="00BC5B69">
        <w:rPr>
          <w:sz w:val="22"/>
          <w:szCs w:val="22"/>
          <w:lang w:val="en-US"/>
        </w:rPr>
        <w:t xml:space="preserve"> Cerebrovascular disease, </w:t>
      </w:r>
      <w:r w:rsidR="004B40CF" w:rsidRPr="00BC5B69">
        <w:rPr>
          <w:rFonts w:eastAsia="Calibri"/>
          <w:sz w:val="22"/>
          <w:szCs w:val="22"/>
          <w:lang w:val="en-US"/>
        </w:rPr>
        <w:t>UI</w:t>
      </w:r>
      <w:r w:rsidRPr="00BC5B69">
        <w:rPr>
          <w:rFonts w:eastAsia="Calibri"/>
          <w:sz w:val="22"/>
          <w:szCs w:val="22"/>
          <w:lang w:val="en-US"/>
        </w:rPr>
        <w:t>, dizziness and imbalance, high GDS scores, low MMSE, BADL and IADL scores in</w:t>
      </w:r>
      <w:r w:rsidR="0052568E" w:rsidRPr="00BC5B69">
        <w:rPr>
          <w:rFonts w:eastAsia="Calibri"/>
          <w:sz w:val="22"/>
          <w:szCs w:val="22"/>
          <w:lang w:val="en-US"/>
        </w:rPr>
        <w:t xml:space="preserve">crease the risk of falling in </w:t>
      </w:r>
      <w:r w:rsidRPr="00BC5B69">
        <w:rPr>
          <w:rFonts w:eastAsia="Calibri"/>
          <w:sz w:val="22"/>
          <w:szCs w:val="22"/>
          <w:lang w:val="en-US"/>
        </w:rPr>
        <w:t xml:space="preserve">men according to all of the four </w:t>
      </w:r>
      <w:r w:rsidR="00195B19" w:rsidRPr="00BC5B69">
        <w:rPr>
          <w:rFonts w:eastAsia="Calibri"/>
          <w:sz w:val="22"/>
          <w:szCs w:val="22"/>
          <w:lang w:val="en-US"/>
        </w:rPr>
        <w:t xml:space="preserve">different </w:t>
      </w:r>
      <w:r w:rsidRPr="00BC5B69">
        <w:rPr>
          <w:rFonts w:eastAsia="Calibri"/>
          <w:sz w:val="22"/>
          <w:szCs w:val="22"/>
          <w:lang w:val="en-US"/>
        </w:rPr>
        <w:t xml:space="preserve">clinical </w:t>
      </w:r>
      <w:r w:rsidR="00195B19" w:rsidRPr="00BC5B69">
        <w:rPr>
          <w:rFonts w:eastAsia="Calibri"/>
          <w:sz w:val="22"/>
          <w:szCs w:val="22"/>
          <w:lang w:val="en-US"/>
        </w:rPr>
        <w:t>methods</w:t>
      </w:r>
      <w:r w:rsidRPr="00BC5B69">
        <w:rPr>
          <w:rFonts w:eastAsia="Calibri"/>
          <w:sz w:val="22"/>
          <w:szCs w:val="22"/>
          <w:lang w:val="en-US"/>
        </w:rPr>
        <w:t xml:space="preserve"> </w:t>
      </w:r>
      <w:r w:rsidRPr="00BC5B69">
        <w:rPr>
          <w:sz w:val="22"/>
          <w:szCs w:val="22"/>
          <w:lang w:val="en-US"/>
        </w:rPr>
        <w:t>(p&lt;0.05).</w:t>
      </w:r>
      <w:r w:rsidRPr="00BC5B69">
        <w:rPr>
          <w:rFonts w:eastAsia="Calibri"/>
          <w:sz w:val="22"/>
          <w:szCs w:val="22"/>
          <w:lang w:val="en-US"/>
        </w:rPr>
        <w:t xml:space="preserve"> </w:t>
      </w:r>
      <w:r w:rsidR="00202C14" w:rsidRPr="00BC5B69">
        <w:rPr>
          <w:rFonts w:eastAsia="Calibri"/>
          <w:sz w:val="22"/>
          <w:szCs w:val="22"/>
          <w:lang w:val="en-US"/>
        </w:rPr>
        <w:t xml:space="preserve">Also using a walking stick and frailty are related to falling risk according to POMA, TUG and Low walking speed </w:t>
      </w:r>
      <w:r w:rsidR="00202C14" w:rsidRPr="00BC5B69">
        <w:rPr>
          <w:sz w:val="22"/>
          <w:szCs w:val="22"/>
          <w:lang w:val="en-US"/>
        </w:rPr>
        <w:t>(p&lt;0.05).</w:t>
      </w:r>
      <w:r w:rsidR="00E15C90" w:rsidRPr="00BC5B69">
        <w:rPr>
          <w:sz w:val="22"/>
          <w:szCs w:val="22"/>
          <w:lang w:val="en-US"/>
        </w:rPr>
        <w:t xml:space="preserve"> </w:t>
      </w:r>
      <w:r w:rsidR="00E15C90" w:rsidRPr="00BC5B69">
        <w:rPr>
          <w:rFonts w:eastAsia="Calibri"/>
          <w:b/>
          <w:color w:val="000000" w:themeColor="text1"/>
          <w:sz w:val="22"/>
          <w:szCs w:val="22"/>
          <w:lang w:val="en-US"/>
        </w:rPr>
        <w:t>[Table 2 near here]</w:t>
      </w:r>
    </w:p>
    <w:p w14:paraId="0F3B318F" w14:textId="47242243" w:rsidR="008D1A58" w:rsidRPr="00BC5B69" w:rsidRDefault="008D1A58" w:rsidP="004747C3">
      <w:pPr>
        <w:spacing w:line="480" w:lineRule="auto"/>
        <w:jc w:val="both"/>
        <w:rPr>
          <w:rFonts w:eastAsia="Calibri"/>
          <w:sz w:val="22"/>
          <w:szCs w:val="22"/>
          <w:lang w:val="en-US"/>
        </w:rPr>
      </w:pPr>
      <w:r w:rsidRPr="00BC5B69">
        <w:rPr>
          <w:rFonts w:eastAsia="Calibri"/>
          <w:sz w:val="22"/>
          <w:szCs w:val="22"/>
          <w:lang w:val="en-US"/>
        </w:rPr>
        <w:lastRenderedPageBreak/>
        <w:t xml:space="preserve">Hypertension, </w:t>
      </w:r>
      <w:r w:rsidR="00EE0D29" w:rsidRPr="00BC5B69">
        <w:rPr>
          <w:rFonts w:eastAsia="Calibri"/>
          <w:sz w:val="22"/>
          <w:szCs w:val="22"/>
          <w:lang w:val="en-US"/>
        </w:rPr>
        <w:t>d</w:t>
      </w:r>
      <w:r w:rsidRPr="00BC5B69">
        <w:rPr>
          <w:rFonts w:eastAsia="Calibri"/>
          <w:sz w:val="22"/>
          <w:szCs w:val="22"/>
          <w:lang w:val="en-US"/>
        </w:rPr>
        <w:t xml:space="preserve">iabetes, </w:t>
      </w:r>
      <w:r w:rsidR="007D1585" w:rsidRPr="00BC5B69">
        <w:rPr>
          <w:rFonts w:eastAsia="Calibri"/>
          <w:sz w:val="22"/>
          <w:szCs w:val="22"/>
          <w:lang w:val="en-US"/>
        </w:rPr>
        <w:t xml:space="preserve">The </w:t>
      </w:r>
      <w:proofErr w:type="spellStart"/>
      <w:r w:rsidRPr="00BC5B69">
        <w:rPr>
          <w:rFonts w:eastAsia="Calibri"/>
          <w:sz w:val="22"/>
          <w:szCs w:val="22"/>
          <w:lang w:val="en-US"/>
        </w:rPr>
        <w:t>Charlson</w:t>
      </w:r>
      <w:proofErr w:type="spellEnd"/>
      <w:r w:rsidRPr="00BC5B69">
        <w:rPr>
          <w:rFonts w:eastAsia="Calibri"/>
          <w:sz w:val="22"/>
          <w:szCs w:val="22"/>
          <w:lang w:val="en-US"/>
        </w:rPr>
        <w:t xml:space="preserve"> comorbidity index, diuretic use, body mass index, orthostatic hypotension, sarcopenia did not increase the risk of falls according to any risk assessment method</w:t>
      </w:r>
      <w:r w:rsidRPr="00BC5B69">
        <w:rPr>
          <w:sz w:val="22"/>
          <w:szCs w:val="22"/>
          <w:lang w:val="en-US"/>
        </w:rPr>
        <w:t xml:space="preserve"> </w:t>
      </w:r>
      <w:r w:rsidRPr="00BC5B69">
        <w:rPr>
          <w:rFonts w:eastAsia="Calibri"/>
          <w:sz w:val="22"/>
          <w:szCs w:val="22"/>
          <w:lang w:val="en-US"/>
        </w:rPr>
        <w:t xml:space="preserve">(p&gt;0.05). There was no significant difference in laboratory tests of patients with and without fall risk (p&gt;0.05).  We found significant </w:t>
      </w:r>
      <w:r w:rsidR="00794211" w:rsidRPr="00BC5B69">
        <w:rPr>
          <w:rFonts w:eastAsia="Calibri"/>
          <w:sz w:val="22"/>
          <w:szCs w:val="22"/>
          <w:lang w:val="en-US"/>
        </w:rPr>
        <w:t>relationships</w:t>
      </w:r>
      <w:r w:rsidRPr="00BC5B69">
        <w:rPr>
          <w:rFonts w:eastAsia="Calibri"/>
          <w:sz w:val="22"/>
          <w:szCs w:val="22"/>
          <w:lang w:val="en-US"/>
        </w:rPr>
        <w:t xml:space="preserve"> between all the clinical methods (p&lt;0.001) (Table 3).</w:t>
      </w:r>
      <w:r w:rsidR="00E15C90" w:rsidRPr="00BC5B69">
        <w:rPr>
          <w:rFonts w:eastAsia="Calibri"/>
          <w:b/>
          <w:color w:val="000000" w:themeColor="text1"/>
          <w:sz w:val="22"/>
          <w:szCs w:val="22"/>
          <w:lang w:val="en-US"/>
        </w:rPr>
        <w:t xml:space="preserve"> [Table 3 near here]</w:t>
      </w:r>
    </w:p>
    <w:p w14:paraId="39090AA3" w14:textId="73694B63" w:rsidR="002F4699" w:rsidRPr="00BC5B69" w:rsidRDefault="00794211" w:rsidP="004747C3">
      <w:pPr>
        <w:spacing w:line="480" w:lineRule="auto"/>
        <w:jc w:val="both"/>
        <w:rPr>
          <w:rFonts w:eastAsia="Calibri"/>
          <w:sz w:val="22"/>
          <w:szCs w:val="22"/>
          <w:lang w:val="en-US"/>
        </w:rPr>
      </w:pPr>
      <w:r w:rsidRPr="00BC5B69">
        <w:rPr>
          <w:rFonts w:eastAsia="Calibri"/>
          <w:sz w:val="22"/>
          <w:szCs w:val="22"/>
          <w:lang w:val="en-US"/>
        </w:rPr>
        <w:t>In order to comment on these significant relationships in terms of magnitude and direction Phi coefficients were calculated as given in Table 4.</w:t>
      </w:r>
    </w:p>
    <w:p w14:paraId="297DF89F" w14:textId="74B31CC6" w:rsidR="00794211" w:rsidRPr="00BC5B69" w:rsidRDefault="00794211" w:rsidP="004747C3">
      <w:pPr>
        <w:spacing w:line="480" w:lineRule="auto"/>
        <w:jc w:val="both"/>
        <w:rPr>
          <w:rFonts w:eastAsia="Calibri"/>
          <w:b/>
          <w:sz w:val="22"/>
          <w:szCs w:val="22"/>
          <w:lang w:val="en-US"/>
        </w:rPr>
      </w:pPr>
      <w:r w:rsidRPr="00BC5B69">
        <w:rPr>
          <w:rFonts w:eastAsia="Calibri"/>
          <w:b/>
          <w:sz w:val="22"/>
          <w:szCs w:val="22"/>
          <w:lang w:val="en-US"/>
        </w:rPr>
        <w:t>[Table 4 near here]</w:t>
      </w:r>
    </w:p>
    <w:p w14:paraId="1663C447" w14:textId="1A52FDD6" w:rsidR="00794211" w:rsidRPr="00BC5B69" w:rsidRDefault="00595200" w:rsidP="004747C3">
      <w:pPr>
        <w:spacing w:line="480" w:lineRule="auto"/>
        <w:jc w:val="both"/>
        <w:rPr>
          <w:rFonts w:eastAsia="Calibri"/>
          <w:sz w:val="22"/>
          <w:szCs w:val="22"/>
          <w:lang w:val="en-US"/>
        </w:rPr>
      </w:pPr>
      <w:r w:rsidRPr="00BC5B69">
        <w:rPr>
          <w:rFonts w:eastAsia="Calibri"/>
          <w:sz w:val="22"/>
          <w:szCs w:val="22"/>
          <w:lang w:val="en-US"/>
        </w:rPr>
        <w:t xml:space="preserve">There was a weak statistically significant positive relationship between risk of falling according to fall history and each of the falling risks according to POMA, TUG and low walking speed. </w:t>
      </w:r>
      <w:r w:rsidR="00DA25F1" w:rsidRPr="00BC5B69">
        <w:rPr>
          <w:rFonts w:eastAsia="Calibri"/>
          <w:sz w:val="22"/>
          <w:szCs w:val="22"/>
          <w:lang w:val="en-US"/>
        </w:rPr>
        <w:t xml:space="preserve">The relationship between risk of falling according to POMA and the risks according to TUG and low walking speed were moderate and the relationship between the risk of falling according to TUG and the risk of falling according to low walking speed was strong </w:t>
      </w:r>
      <w:r w:rsidR="0069711C" w:rsidRPr="00BC5B69">
        <w:rPr>
          <w:rFonts w:eastAsia="Calibri"/>
          <w:sz w:val="22"/>
          <w:szCs w:val="22"/>
          <w:lang w:val="en-US"/>
        </w:rPr>
        <w:t>significant</w:t>
      </w:r>
      <w:r w:rsidR="00DA25F1" w:rsidRPr="00BC5B69">
        <w:rPr>
          <w:rFonts w:eastAsia="Calibri"/>
          <w:sz w:val="22"/>
          <w:szCs w:val="22"/>
          <w:lang w:val="en-US"/>
        </w:rPr>
        <w:t xml:space="preserve">. </w:t>
      </w:r>
    </w:p>
    <w:p w14:paraId="3FDE93F5" w14:textId="0631A163" w:rsidR="00F24CAA" w:rsidRPr="00BC5B69" w:rsidRDefault="00F24CAA" w:rsidP="004747C3">
      <w:pPr>
        <w:spacing w:line="480" w:lineRule="auto"/>
        <w:jc w:val="both"/>
        <w:rPr>
          <w:rFonts w:eastAsia="Calibri"/>
          <w:b/>
          <w:sz w:val="22"/>
          <w:szCs w:val="22"/>
          <w:lang w:val="en-US"/>
        </w:rPr>
      </w:pPr>
      <w:r w:rsidRPr="00BC5B69">
        <w:rPr>
          <w:rFonts w:eastAsia="Calibri"/>
          <w:b/>
          <w:sz w:val="22"/>
          <w:szCs w:val="22"/>
          <w:lang w:val="en-US"/>
        </w:rPr>
        <w:t>Discussion</w:t>
      </w:r>
    </w:p>
    <w:p w14:paraId="58DF01BB" w14:textId="1C4CE977" w:rsidR="00CC4EF7" w:rsidRPr="00BC5B69" w:rsidRDefault="007D1585" w:rsidP="004747C3">
      <w:pPr>
        <w:spacing w:line="480" w:lineRule="auto"/>
        <w:jc w:val="both"/>
        <w:rPr>
          <w:rFonts w:eastAsia="Calibri"/>
          <w:sz w:val="22"/>
          <w:szCs w:val="22"/>
          <w:lang w:val="en-US"/>
        </w:rPr>
      </w:pPr>
      <w:r w:rsidRPr="00BC5B69">
        <w:rPr>
          <w:rFonts w:eastAsia="Calibri"/>
          <w:sz w:val="22"/>
          <w:szCs w:val="22"/>
          <w:lang w:val="en-US"/>
        </w:rPr>
        <w:t xml:space="preserve">In this prospective, cross-sectional study, </w:t>
      </w:r>
      <w:r w:rsidR="00EF0999" w:rsidRPr="00BC5B69">
        <w:rPr>
          <w:rFonts w:eastAsia="Calibri"/>
          <w:sz w:val="22"/>
          <w:szCs w:val="22"/>
          <w:lang w:val="en-US"/>
        </w:rPr>
        <w:t xml:space="preserve">it was </w:t>
      </w:r>
      <w:r w:rsidRPr="00BC5B69">
        <w:rPr>
          <w:rFonts w:eastAsia="Calibri"/>
          <w:sz w:val="22"/>
          <w:szCs w:val="22"/>
          <w:lang w:val="en-US"/>
        </w:rPr>
        <w:t xml:space="preserve">demonstrated that the prevalence of falls in older men was 25.4%, similar to the literature </w:t>
      </w:r>
      <w:r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{"citationItems":[{"id":"ITEM-1","itemData":{"DOI":"10.1093/ageing/afw129","ISBN":"0002-0729","ISSN":"14682834","PMID":"27496938","abstract":"BACKGROUND falls are a major cause of disability and death in older people. Women are more likely to fall than men, but little is known about whether risk factors for falls differ between the sexes. We used data from the English Longitudinal Study of Ageing to investigate the prevalence of falls by sex and to examine cross-sectionally sex-specific associations between a range of potential risk factors and likelihood of falling. METHODS participants were 4,301 men and women aged 60 and over who had taken part in the 2012-13 survey of the English Longitudinal Study of Ageing. They provided information about sociodemographic, lifestyle and behavioural and medical factors, had their physical and cognitive function assessed and responded to a question about whether they had fallen down in the last two years. RESULTS in multivariable logistic regression models, severe pain and diagnosis of at least one chronic disease were independently associated with falls in both sexes. Sex-specific risk factors were incontinence (odds ratio (OR), 1.48; 95% CI, 1.19, 1.85) and frailty (OR 1.69, 95% CI 1.06, 2.69) in women, and older age (OR 1.02, 95% CI 1.04, 1.07), high levels of depressive symptoms (OR 1.33, 95% CI 1.05, 1.68), and being unable to perform a standing balance test (OR 3.32, 95% CI 2.09, 5.29) in men. CONCLUSION although we found some homogeneity between the sexes in the risk factors that were associated with falls, the existence of several sex-specific risk factors suggests that gender should be taken into account in designing fall-prevention strategies.","author":[{"dropping-particle":"","family":"Gale","given":"Catharine R.","non-dropping-particle":"","parse-names":false,"suffix":""},{"dropping-particle":"","family":"Cooper","given":"Cyrus","non-dropping-particle":"","parse-names":false,"suffix":""},{"dropping-particle":"","family":"Aihie Sayer","given":"Avan","non-dropping-particle":"","parse-names":false,"suffix":""}],"container-title":"Age and ageing","id":"ITEM-1","issue":"6","issued":{"date-parts":[["2016"]]},"page":"789-794","title":"Prevalence and risk factors for falls in older men and women: The English Longitudinal Study of Ageing","type":"article-journal","volume":"45"},"uris":["http://www.mendeley.com/documents/?uuid=664e2b7a-0f5f-4336-8e1c-289800f209f5"]}],"mendeley":{"formattedCitation":"(Gale, Cooper, &amp; Aihie Sayer, 2016)","plainTextFormattedCitation":"(Gale, Cooper, &amp; Aihie Sayer, 2016)","previouslyFormattedCitation":"(Gale, Cooper, &amp; Aihie Sayer, 2016)"},"properties":{"noteIndex":0},"schema":"https://github.com/citation-style-language/schema/raw/master/csl-citation.json"}</w:instrText>
      </w:r>
      <w:r w:rsidRPr="00BC5B69">
        <w:rPr>
          <w:rFonts w:eastAsia="Calibri"/>
          <w:sz w:val="22"/>
          <w:szCs w:val="22"/>
          <w:lang w:val="en-US"/>
        </w:rPr>
        <w:fldChar w:fldCharType="separate"/>
      </w:r>
      <w:r w:rsidR="00E66FE2" w:rsidRPr="00BC5B69">
        <w:rPr>
          <w:rFonts w:eastAsia="Calibri"/>
          <w:noProof/>
          <w:sz w:val="22"/>
          <w:szCs w:val="22"/>
          <w:lang w:val="en-US"/>
        </w:rPr>
        <w:t>(Gale, Cooper, &amp; Aihie Sayer, 2016)</w:t>
      </w:r>
      <w:r w:rsidRPr="00BC5B69">
        <w:rPr>
          <w:rFonts w:eastAsia="Calibri"/>
          <w:sz w:val="22"/>
          <w:szCs w:val="22"/>
          <w:lang w:val="en-US"/>
        </w:rPr>
        <w:fldChar w:fldCharType="end"/>
      </w:r>
      <w:r w:rsidRPr="00BC5B69">
        <w:rPr>
          <w:rFonts w:eastAsia="Calibri"/>
          <w:sz w:val="22"/>
          <w:szCs w:val="22"/>
          <w:lang w:val="en-US"/>
        </w:rPr>
        <w:t xml:space="preserve">, </w:t>
      </w:r>
      <w:r w:rsidR="00C52FCB" w:rsidRPr="00BC5B69">
        <w:rPr>
          <w:rFonts w:eastAsia="Calibri"/>
          <w:sz w:val="22"/>
          <w:szCs w:val="22"/>
          <w:lang w:val="en-US"/>
        </w:rPr>
        <w:t xml:space="preserve">and that </w:t>
      </w:r>
      <w:r w:rsidR="0052568E" w:rsidRPr="00BC5B69">
        <w:rPr>
          <w:rFonts w:eastAsia="Calibri"/>
          <w:sz w:val="22"/>
          <w:szCs w:val="22"/>
          <w:lang w:val="en-US"/>
        </w:rPr>
        <w:t>increas</w:t>
      </w:r>
      <w:r w:rsidR="00C52FCB" w:rsidRPr="00BC5B69">
        <w:rPr>
          <w:rFonts w:eastAsia="Calibri"/>
          <w:sz w:val="22"/>
          <w:szCs w:val="22"/>
          <w:lang w:val="en-US"/>
        </w:rPr>
        <w:t xml:space="preserve">ed </w:t>
      </w:r>
      <w:r w:rsidR="0052568E" w:rsidRPr="00BC5B69">
        <w:rPr>
          <w:rFonts w:eastAsia="Calibri"/>
          <w:sz w:val="22"/>
          <w:szCs w:val="22"/>
          <w:lang w:val="en-US"/>
        </w:rPr>
        <w:t>risk of falling in men</w:t>
      </w:r>
      <w:r w:rsidR="00C52FCB" w:rsidRPr="00BC5B69">
        <w:rPr>
          <w:rFonts w:eastAsia="Calibri"/>
          <w:sz w:val="22"/>
          <w:szCs w:val="22"/>
          <w:lang w:val="en-US"/>
        </w:rPr>
        <w:t xml:space="preserve"> are related </w:t>
      </w:r>
      <w:r w:rsidR="00CC4EF7" w:rsidRPr="00BC5B69">
        <w:rPr>
          <w:rFonts w:eastAsia="Calibri"/>
          <w:sz w:val="22"/>
          <w:szCs w:val="22"/>
          <w:lang w:val="en-US"/>
        </w:rPr>
        <w:t xml:space="preserve">to seven </w:t>
      </w:r>
      <w:r w:rsidR="009029EB" w:rsidRPr="00BC5B69">
        <w:rPr>
          <w:rFonts w:eastAsia="Calibri"/>
          <w:sz w:val="22"/>
          <w:szCs w:val="22"/>
          <w:lang w:val="en-US"/>
        </w:rPr>
        <w:t>clinical conditions</w:t>
      </w:r>
      <w:r w:rsidR="00291CDE" w:rsidRPr="00BC5B69">
        <w:rPr>
          <w:rFonts w:eastAsia="Calibri"/>
          <w:sz w:val="22"/>
          <w:szCs w:val="22"/>
          <w:lang w:val="en-US"/>
        </w:rPr>
        <w:t xml:space="preserve"> </w:t>
      </w:r>
      <w:r w:rsidR="00CC4EF7" w:rsidRPr="00BC5B69">
        <w:rPr>
          <w:rFonts w:eastAsia="Calibri"/>
          <w:sz w:val="22"/>
          <w:szCs w:val="22"/>
          <w:lang w:val="en-US"/>
        </w:rPr>
        <w:t>including</w:t>
      </w:r>
      <w:r w:rsidR="00C52FCB" w:rsidRPr="00BC5B69">
        <w:rPr>
          <w:rFonts w:eastAsia="Calibri"/>
          <w:sz w:val="22"/>
          <w:szCs w:val="22"/>
          <w:lang w:val="en-US"/>
        </w:rPr>
        <w:t xml:space="preserve"> cerebrovascular disease, </w:t>
      </w:r>
      <w:r w:rsidR="004B40CF" w:rsidRPr="00BC5B69">
        <w:rPr>
          <w:rFonts w:eastAsia="Calibri"/>
          <w:sz w:val="22"/>
          <w:szCs w:val="22"/>
          <w:lang w:val="en-US"/>
        </w:rPr>
        <w:t>UI</w:t>
      </w:r>
      <w:r w:rsidR="00C52FCB" w:rsidRPr="00BC5B69">
        <w:rPr>
          <w:rFonts w:eastAsia="Calibri"/>
          <w:sz w:val="22"/>
          <w:szCs w:val="22"/>
          <w:lang w:val="en-US"/>
        </w:rPr>
        <w:t>, dizziness and imbalance, high GDS scores, low MMSE, BADL and IADL scores</w:t>
      </w:r>
      <w:r w:rsidR="0052568E" w:rsidRPr="00BC5B69">
        <w:rPr>
          <w:rFonts w:eastAsia="Calibri"/>
          <w:sz w:val="22"/>
          <w:szCs w:val="22"/>
          <w:lang w:val="en-US"/>
        </w:rPr>
        <w:t>. Additionally,</w:t>
      </w:r>
      <w:r w:rsidR="0071449C" w:rsidRPr="00BC5B69">
        <w:rPr>
          <w:rFonts w:eastAsia="Calibri"/>
          <w:sz w:val="22"/>
          <w:szCs w:val="22"/>
          <w:lang w:val="en-US"/>
        </w:rPr>
        <w:t xml:space="preserve"> although there were some differences between risk factors and risk rates according to the method used in risk assessment, there was a significant correlation between the four methods in determining the risk of falling.</w:t>
      </w:r>
    </w:p>
    <w:p w14:paraId="7E525A11" w14:textId="33D21C08" w:rsidR="007A306E" w:rsidRPr="00BC5B69" w:rsidRDefault="00CC4EF7" w:rsidP="004747C3">
      <w:pPr>
        <w:spacing w:line="480" w:lineRule="auto"/>
        <w:jc w:val="both"/>
        <w:rPr>
          <w:rFonts w:eastAsia="Calibri"/>
          <w:sz w:val="22"/>
          <w:szCs w:val="22"/>
          <w:lang w:val="en-US"/>
        </w:rPr>
      </w:pPr>
      <w:r w:rsidRPr="00BC5B69">
        <w:rPr>
          <w:rFonts w:eastAsia="Calibri"/>
          <w:sz w:val="22"/>
          <w:szCs w:val="22"/>
          <w:lang w:val="en-US"/>
        </w:rPr>
        <w:t xml:space="preserve">As a geriatric syndrome, falling is of paramount significance for geriatric practice, and </w:t>
      </w:r>
      <w:r w:rsidR="005C3036" w:rsidRPr="00BC5B69">
        <w:rPr>
          <w:rFonts w:eastAsia="Calibri"/>
          <w:sz w:val="22"/>
          <w:szCs w:val="22"/>
          <w:lang w:val="en-US"/>
        </w:rPr>
        <w:t xml:space="preserve">reported risk factors for fall so far vary according to assessment method </w:t>
      </w:r>
      <w:r w:rsidR="004D3B78" w:rsidRPr="00BC5B69">
        <w:rPr>
          <w:rFonts w:eastAsia="Calibri"/>
          <w:sz w:val="22"/>
          <w:szCs w:val="22"/>
          <w:lang w:val="en-US"/>
        </w:rPr>
        <w:t>and methodology</w:t>
      </w:r>
      <w:r w:rsidR="0071449C" w:rsidRPr="00BC5B69">
        <w:rPr>
          <w:rFonts w:eastAsia="Calibri"/>
          <w:sz w:val="22"/>
          <w:szCs w:val="22"/>
          <w:lang w:val="en-US"/>
        </w:rPr>
        <w:t xml:space="preserve"> </w:t>
      </w:r>
      <w:r w:rsidR="0071449C" w:rsidRPr="00BC5B69">
        <w:rPr>
          <w:rFonts w:eastAsia="Calibri"/>
          <w:sz w:val="22"/>
          <w:szCs w:val="22"/>
          <w:lang w:val="en-US"/>
        </w:rPr>
        <w:fldChar w:fldCharType="begin" w:fldLock="1"/>
      </w:r>
      <w:r w:rsidR="00245564" w:rsidRPr="00BC5B69">
        <w:rPr>
          <w:rFonts w:eastAsia="Calibri"/>
          <w:sz w:val="22"/>
          <w:szCs w:val="22"/>
          <w:lang w:val="en-US"/>
        </w:rPr>
        <w:instrText>ADDIN CSL_CITATION {"citationItems":[{"id":"ITEM-1","itemData":{"DOI":"10.1136/bmj.i1419","ISBN":"0959-8146","ISSN":"17561833","PMID":"27125497","abstract":"The number of people living into older age (≥65 years) is rising rapidly. Older people are more likely to fall and this has adverse consequences for their quality of life and that of their families. Falls also pose a substantial financial burden on healthcare systems. Extensive research from systematic reviews and meta-analyses has established effective approaches for reducing falls among older people, although uncertainties and controversy remain. The evidence suggests that exercise based and tailored interventions are the most effective way to reduce falls and associated healthcare costs among older people in the community. This review integrates current knowledge on assessment and management strategies to prevent falls in older people living in the community. It summarizes known risk factors for falls in this population and presents assessment strategies that can be used to assess the risk of falls. It discusses the management of risks and interventions to reduce falls among older people in the community, as well as future directions and promising approaches.","author":[{"dropping-particle":"","family":"Vieira","given":"Edgar R.","non-dropping-particle":"","parse-names":false,"suffix":""},{"dropping-particle":"","family":"Palmer","given":"Richard C.","non-dropping-particle":"","parse-names":false,"suffix":""},{"dropping-particle":"","family":"Chaves","given":"Paulo H.M.","non-dropping-particle":"","parse-names":false,"suffix":""}],"container-title":"British Medical Journal","id":"ITEM-1","issued":{"date-parts":[["2016"]]},"page":"i1419","title":"Prevention of falls in older people living in the community","type":"article-journal","volume":"353"},"uris":["http://www.mendeley.com/documents/?uuid=77c0041e-674d-4547-bb03-22e4b66ed554"]},{"id":"ITEM-2","itemData":{"DOI":"10.7748/nop.26.6.18.e586","ISBN":"978-1-4731-0132-6","ISSN":"20478941","PMID":"24975078","abstract":"In June 2013 the National Institute for Health and Care Excellence updated and replaced its 2004 clinical guideline 21 (CG21) on falls with clinical guideline 161 (CG161). Two priorities were outlined in the latter: preventing falls in older people (unchanged from CG21) and preventing falls in older people during a hospital stay (new). CG161 is for health and social care clinicians who care for older people who have fallen or who are at risk of falling. It provides clinicians and commissioners with evidence to implement effective care pathways and recommendations on the assessment and prevention of falls in older people. The amalgamation of the two guidelines has resulted in some disconnection. This article summarises the evidence and supports clinicians in the interpretation of the revised falls guideline.","author":[{"dropping-particle":"","family":"National Institute for Health and Care Excellence: Clinical Guidelines","given":"n","non-dropping-particle":"","parse-names":false,"suffix":""}],"container-title":"NICE","id":"ITEM-2","issued":{"date-parts":[["2013"]]},"page":"http://www.nice.org.uk/CG161","title":"Falls: assessment and prevention of falls in older people","type":"article-journal"},"uris":["http://www.mendeley.com/documents/?uuid=9b12b942-fa2e-462f-b34a-3359da0d8198"]}],"mendeley":{"formattedCitation":"(National Institute for Health and Care Excellence: Clinical Guidelines, 2013; Vieira et al., 2016)","manualFormatting":"(NICE, 2013; Vieira et al., 2016)","plainTextFormattedCitation":"(National Institute for Health and Care Excellence: Clinical Guidelines, 2013; Vieira et al., 2016)","previouslyFormattedCitation":"(National Institute for Health and Care Excellence: Clinical Guidelines, 2013; Vieira et al., 2016)"},"properties":{"noteIndex":0},"schema":"https://github.com/citation-style-language/schema/raw/master/csl-citation.json"}</w:instrText>
      </w:r>
      <w:r w:rsidR="0071449C" w:rsidRPr="00BC5B69">
        <w:rPr>
          <w:rFonts w:eastAsia="Calibri"/>
          <w:sz w:val="22"/>
          <w:szCs w:val="22"/>
          <w:lang w:val="en-US"/>
        </w:rPr>
        <w:fldChar w:fldCharType="separate"/>
      </w:r>
      <w:r w:rsidR="00E66FE2" w:rsidRPr="00BC5B69">
        <w:rPr>
          <w:rFonts w:eastAsia="Calibri"/>
          <w:noProof/>
          <w:sz w:val="22"/>
          <w:szCs w:val="22"/>
          <w:lang w:val="en-US"/>
        </w:rPr>
        <w:t>(</w:t>
      </w:r>
      <w:r w:rsidR="00E666F9" w:rsidRPr="00BC5B69">
        <w:rPr>
          <w:rFonts w:eastAsia="Calibri"/>
          <w:noProof/>
          <w:sz w:val="22"/>
          <w:szCs w:val="22"/>
          <w:lang w:val="en-US"/>
        </w:rPr>
        <w:t>NICE</w:t>
      </w:r>
      <w:r w:rsidR="00E66FE2" w:rsidRPr="00BC5B69">
        <w:rPr>
          <w:rFonts w:eastAsia="Calibri"/>
          <w:noProof/>
          <w:sz w:val="22"/>
          <w:szCs w:val="22"/>
          <w:lang w:val="en-US"/>
        </w:rPr>
        <w:t>, 2013; Vieira et al., 2016)</w:t>
      </w:r>
      <w:r w:rsidR="0071449C" w:rsidRPr="00BC5B69">
        <w:rPr>
          <w:rFonts w:eastAsia="Calibri"/>
          <w:sz w:val="22"/>
          <w:szCs w:val="22"/>
          <w:lang w:val="en-US"/>
        </w:rPr>
        <w:fldChar w:fldCharType="end"/>
      </w:r>
      <w:r w:rsidR="0071449C" w:rsidRPr="00BC5B69">
        <w:rPr>
          <w:rFonts w:eastAsia="Calibri"/>
          <w:sz w:val="22"/>
          <w:szCs w:val="22"/>
          <w:lang w:val="en-US"/>
        </w:rPr>
        <w:t>.</w:t>
      </w:r>
      <w:r w:rsidR="005C3036" w:rsidRPr="00BC5B69">
        <w:rPr>
          <w:rFonts w:eastAsia="Calibri"/>
          <w:sz w:val="22"/>
          <w:szCs w:val="22"/>
          <w:lang w:val="en-US"/>
        </w:rPr>
        <w:t xml:space="preserve">  </w:t>
      </w:r>
      <w:r w:rsidR="00A84592" w:rsidRPr="00BC5B69">
        <w:rPr>
          <w:rFonts w:eastAsia="Calibri"/>
          <w:sz w:val="22"/>
          <w:szCs w:val="22"/>
          <w:lang w:val="en-US"/>
        </w:rPr>
        <w:t>Besides this, risk factors for falls have been shown to differ between sexes. Similarly, when we compare our results with our previous study on risk factors for falls in women, we identified different risk factors between sexes (</w:t>
      </w:r>
      <w:proofErr w:type="spellStart"/>
      <w:r w:rsidR="00A84592" w:rsidRPr="00BC5B69">
        <w:rPr>
          <w:rFonts w:eastAsia="Calibri"/>
          <w:sz w:val="22"/>
          <w:szCs w:val="22"/>
          <w:lang w:val="en-US"/>
        </w:rPr>
        <w:t>dynapenia</w:t>
      </w:r>
      <w:proofErr w:type="spellEnd"/>
      <w:r w:rsidR="00A84592" w:rsidRPr="00BC5B69">
        <w:rPr>
          <w:rFonts w:eastAsia="Calibri"/>
          <w:sz w:val="22"/>
          <w:szCs w:val="22"/>
          <w:lang w:val="en-US"/>
        </w:rPr>
        <w:t xml:space="preserve"> and multiple comorbidities for women and cerebrovascular diseases for men) in addition to common risk factors for both sexes (</w:t>
      </w:r>
      <w:proofErr w:type="spellStart"/>
      <w:r w:rsidR="00A84592" w:rsidRPr="00BC5B69">
        <w:rPr>
          <w:rFonts w:eastAsia="Calibri"/>
          <w:sz w:val="22"/>
          <w:szCs w:val="22"/>
          <w:lang w:val="en-US"/>
        </w:rPr>
        <w:t>Dokuzlar</w:t>
      </w:r>
      <w:proofErr w:type="spellEnd"/>
      <w:r w:rsidR="00A84592" w:rsidRPr="00BC5B69">
        <w:rPr>
          <w:rFonts w:eastAsia="Calibri"/>
          <w:sz w:val="22"/>
          <w:szCs w:val="22"/>
          <w:lang w:val="en-US"/>
        </w:rPr>
        <w:t xml:space="preserve"> et al., 2019).</w:t>
      </w:r>
      <w:r w:rsidR="0030036B" w:rsidRPr="00BC5B69">
        <w:rPr>
          <w:rFonts w:eastAsia="Calibri"/>
          <w:sz w:val="22"/>
          <w:szCs w:val="22"/>
          <w:lang w:val="en-US"/>
        </w:rPr>
        <w:t xml:space="preserve"> </w:t>
      </w:r>
      <w:r w:rsidR="00A00F08" w:rsidRPr="00BC5B69">
        <w:rPr>
          <w:rFonts w:eastAsia="Calibri"/>
          <w:sz w:val="22"/>
          <w:szCs w:val="22"/>
          <w:lang w:val="en-US"/>
        </w:rPr>
        <w:t xml:space="preserve"> </w:t>
      </w:r>
      <w:r w:rsidR="008466A4" w:rsidRPr="00BC5B69">
        <w:rPr>
          <w:rFonts w:eastAsia="Calibri"/>
          <w:sz w:val="22"/>
          <w:szCs w:val="22"/>
          <w:lang w:val="en-US"/>
        </w:rPr>
        <w:t xml:space="preserve">Also, in both studies, we found that comprehensive geriatric assessment were more effective than the laboratory </w:t>
      </w:r>
      <w:r w:rsidR="008466A4" w:rsidRPr="00BC5B69">
        <w:rPr>
          <w:rFonts w:eastAsia="Calibri"/>
          <w:sz w:val="22"/>
          <w:szCs w:val="22"/>
          <w:lang w:val="en-US"/>
        </w:rPr>
        <w:lastRenderedPageBreak/>
        <w:t xml:space="preserve">tests those performed in these studies for determining the risk of falls. </w:t>
      </w:r>
      <w:r w:rsidR="00A00F08" w:rsidRPr="00BC5B69">
        <w:rPr>
          <w:rFonts w:eastAsia="Calibri"/>
          <w:sz w:val="22"/>
          <w:szCs w:val="22"/>
          <w:lang w:val="en-US"/>
        </w:rPr>
        <w:t>(</w:t>
      </w:r>
      <w:proofErr w:type="spellStart"/>
      <w:r w:rsidR="00A00F08" w:rsidRPr="00BC5B69">
        <w:rPr>
          <w:rFonts w:eastAsia="Calibri"/>
          <w:sz w:val="22"/>
          <w:szCs w:val="22"/>
          <w:lang w:val="en-US"/>
        </w:rPr>
        <w:t>Dokuzlar</w:t>
      </w:r>
      <w:proofErr w:type="spellEnd"/>
      <w:r w:rsidR="00A00F08" w:rsidRPr="00BC5B69">
        <w:rPr>
          <w:rFonts w:eastAsia="Calibri"/>
          <w:sz w:val="22"/>
          <w:szCs w:val="22"/>
          <w:lang w:val="en-US"/>
        </w:rPr>
        <w:t xml:space="preserve"> et al., 2019). </w:t>
      </w:r>
      <w:r w:rsidR="009029EB" w:rsidRPr="00BC5B69">
        <w:rPr>
          <w:rFonts w:eastAsia="Calibri"/>
          <w:sz w:val="22"/>
          <w:szCs w:val="22"/>
          <w:lang w:val="en-US"/>
        </w:rPr>
        <w:t>Cerebrovascular disease is o</w:t>
      </w:r>
      <w:r w:rsidR="004D3B78" w:rsidRPr="00BC5B69">
        <w:rPr>
          <w:rFonts w:eastAsia="Calibri"/>
          <w:sz w:val="22"/>
          <w:szCs w:val="22"/>
          <w:lang w:val="en-US"/>
        </w:rPr>
        <w:t>ne of the possible risk factors</w:t>
      </w:r>
      <w:r w:rsidR="009029EB" w:rsidRPr="00BC5B69">
        <w:rPr>
          <w:rFonts w:eastAsia="Calibri"/>
          <w:sz w:val="22"/>
          <w:szCs w:val="22"/>
          <w:lang w:val="en-US"/>
        </w:rPr>
        <w:t xml:space="preserve"> related to the falling determined</w:t>
      </w:r>
      <w:r w:rsidR="004D3B78" w:rsidRPr="00BC5B69">
        <w:rPr>
          <w:rFonts w:eastAsia="Calibri"/>
          <w:sz w:val="22"/>
          <w:szCs w:val="22"/>
          <w:lang w:val="en-US"/>
        </w:rPr>
        <w:t xml:space="preserve"> </w:t>
      </w:r>
      <w:r w:rsidR="009029EB" w:rsidRPr="00BC5B69">
        <w:rPr>
          <w:rFonts w:eastAsia="Calibri"/>
          <w:sz w:val="22"/>
          <w:szCs w:val="22"/>
          <w:lang w:val="en-US"/>
        </w:rPr>
        <w:t>in this study</w:t>
      </w:r>
      <w:r w:rsidR="00A05D80" w:rsidRPr="00BC5B69">
        <w:rPr>
          <w:rFonts w:eastAsia="Calibri"/>
          <w:sz w:val="22"/>
          <w:szCs w:val="22"/>
          <w:lang w:val="en-US"/>
        </w:rPr>
        <w:t>. The older adults who have suffered a cerebrovascular event ha</w:t>
      </w:r>
      <w:r w:rsidR="00F85EF9" w:rsidRPr="00BC5B69">
        <w:rPr>
          <w:rFonts w:eastAsia="Calibri"/>
          <w:sz w:val="22"/>
          <w:szCs w:val="22"/>
          <w:lang w:val="en-US"/>
        </w:rPr>
        <w:t>ve</w:t>
      </w:r>
      <w:r w:rsidR="00A05D80" w:rsidRPr="00BC5B69">
        <w:rPr>
          <w:rFonts w:eastAsia="Calibri"/>
          <w:sz w:val="22"/>
          <w:szCs w:val="22"/>
          <w:lang w:val="en-US"/>
        </w:rPr>
        <w:t xml:space="preserve"> more asymmetrical and unstable gait </w:t>
      </w:r>
      <w:r w:rsidR="009029EB" w:rsidRPr="00BC5B69">
        <w:rPr>
          <w:rFonts w:eastAsia="Calibri"/>
          <w:sz w:val="22"/>
          <w:szCs w:val="22"/>
          <w:lang w:val="en-US"/>
        </w:rPr>
        <w:t>and</w:t>
      </w:r>
      <w:r w:rsidR="00F85EF9" w:rsidRPr="00BC5B69">
        <w:rPr>
          <w:rFonts w:eastAsia="Calibri"/>
          <w:sz w:val="22"/>
          <w:szCs w:val="22"/>
          <w:lang w:val="en-US"/>
        </w:rPr>
        <w:t xml:space="preserve"> are more</w:t>
      </w:r>
      <w:r w:rsidR="009029EB" w:rsidRPr="00BC5B69">
        <w:rPr>
          <w:rFonts w:eastAsia="Calibri"/>
          <w:sz w:val="22"/>
          <w:szCs w:val="22"/>
          <w:lang w:val="en-US"/>
        </w:rPr>
        <w:t xml:space="preserve"> physically inactive </w:t>
      </w:r>
      <w:r w:rsidR="00A05D80" w:rsidRPr="00BC5B69">
        <w:rPr>
          <w:rFonts w:eastAsia="Calibri"/>
          <w:sz w:val="22"/>
          <w:szCs w:val="22"/>
          <w:lang w:val="en-US"/>
        </w:rPr>
        <w:t>than others</w:t>
      </w:r>
      <w:r w:rsidR="009029EB" w:rsidRPr="00BC5B69">
        <w:rPr>
          <w:rFonts w:eastAsia="Calibri"/>
          <w:sz w:val="22"/>
          <w:szCs w:val="22"/>
          <w:lang w:val="en-US"/>
        </w:rPr>
        <w:t>, which</w:t>
      </w:r>
      <w:r w:rsidR="00F85EF9" w:rsidRPr="00BC5B69">
        <w:rPr>
          <w:rFonts w:eastAsia="Calibri"/>
          <w:sz w:val="22"/>
          <w:szCs w:val="22"/>
          <w:lang w:val="en-US"/>
        </w:rPr>
        <w:t xml:space="preserve"> likely</w:t>
      </w:r>
      <w:r w:rsidR="009029EB" w:rsidRPr="00BC5B69">
        <w:rPr>
          <w:rFonts w:eastAsia="Calibri"/>
          <w:sz w:val="22"/>
          <w:szCs w:val="22"/>
          <w:lang w:val="en-US"/>
        </w:rPr>
        <w:t xml:space="preserve"> </w:t>
      </w:r>
      <w:r w:rsidR="00DE1AD5" w:rsidRPr="00BC5B69">
        <w:rPr>
          <w:rFonts w:eastAsia="Calibri"/>
          <w:sz w:val="22"/>
          <w:szCs w:val="22"/>
          <w:lang w:val="en-US"/>
        </w:rPr>
        <w:t>cause</w:t>
      </w:r>
      <w:r w:rsidR="00F85EF9" w:rsidRPr="00BC5B69">
        <w:rPr>
          <w:rFonts w:eastAsia="Calibri"/>
          <w:sz w:val="22"/>
          <w:szCs w:val="22"/>
          <w:lang w:val="en-US"/>
        </w:rPr>
        <w:t>s</w:t>
      </w:r>
      <w:r w:rsidR="00DE1AD5" w:rsidRPr="00BC5B69">
        <w:rPr>
          <w:rFonts w:eastAsia="Calibri"/>
          <w:sz w:val="22"/>
          <w:szCs w:val="22"/>
          <w:lang w:val="en-US"/>
        </w:rPr>
        <w:t xml:space="preserve"> the </w:t>
      </w:r>
      <w:r w:rsidR="00A05D80" w:rsidRPr="00BC5B69">
        <w:rPr>
          <w:rFonts w:eastAsia="Calibri"/>
          <w:sz w:val="22"/>
          <w:szCs w:val="22"/>
          <w:lang w:val="en-US"/>
        </w:rPr>
        <w:t>increase</w:t>
      </w:r>
      <w:r w:rsidR="00DE1AD5" w:rsidRPr="00BC5B69">
        <w:rPr>
          <w:rFonts w:eastAsia="Calibri"/>
          <w:sz w:val="22"/>
          <w:szCs w:val="22"/>
          <w:lang w:val="en-US"/>
        </w:rPr>
        <w:t>d</w:t>
      </w:r>
      <w:r w:rsidR="00A05D80" w:rsidRPr="00BC5B69">
        <w:rPr>
          <w:rFonts w:eastAsia="Calibri"/>
          <w:sz w:val="22"/>
          <w:szCs w:val="22"/>
          <w:lang w:val="en-US"/>
        </w:rPr>
        <w:t xml:space="preserve"> risk of falls</w:t>
      </w:r>
      <w:r w:rsidR="00FD38EB" w:rsidRPr="00BC5B69">
        <w:rPr>
          <w:rFonts w:eastAsia="Calibri"/>
          <w:sz w:val="22"/>
          <w:szCs w:val="22"/>
          <w:lang w:val="en-US"/>
        </w:rPr>
        <w:t xml:space="preserve"> </w:t>
      </w:r>
      <w:r w:rsidR="00FD38EB"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{"citationItems":[{"id":"ITEM-1","itemData":{"DOI":"10.1186/s12984-016-0176-z","ISBN":"1743-0003 (Electronic)\\r1743-0003 (Linking)","ISSN":"17430003","PMID":"27460021","abstract":"BACKGROUND: Falls in stroke survivors can lead to serious injuries and medical costs. Fall risk in older adults can be predicted based on gait characteristics measured in daily life. Given the different gait patterns that stroke survivors exhibit it is unclear whether a similar fall-prediction model could be used in this group. Therefore the main purpose of this study was to examine whether fall-prediction models that have been used in older adults can also be used in a population of stroke survivors, or if modifications are needed, either in the cut-off values of such models, or in the gait characteristics of interest. METHODS: This study investigated gait characteristics by assessing accelerations of the lower back measured during seven consecutive days in 31 non fall-prone stroke survivors, 25 fall-prone stroke survivors, 20 neurologically intact fall-prone older adults and 30 non fall-prone older adults. We created a binary logistic regression model to assess the ability of predicting falls for each gait characteristic. We included health status and the interaction between health status (stroke survivors versus older adults) and gait characteristic in the model. RESULTS: We found four significant interactions between gait characteristics and health status. Furthermore we found another four gait characteristics that had similar predictive capacity in both stroke survivors and older adults. CONCLUSION: The interactions between gait characteristics and health status indicate that gait characteristics are differently associated with fall history between stroke survivors and older adults. Thus specific models are needed to predict fall risk in stroke survivors.","author":[{"dropping-particle":"","family":"Punt","given":"Michiel","non-dropping-particle":"","parse-names":false,"suffix":""},{"dropping-particle":"","family":"Bruijn","given":"Sjoerd M.","non-dropping-particle":"","parse-names":false,"suffix":""},{"dropping-particle":"","family":"Schooten","given":"Kimberley S.","non-dropping-particle":"Van","parse-names":false,"suffix":""},{"dropping-particle":"","family":"Pijnappels","given":"Mirjam","non-dropping-particle":"","parse-names":false,"suffix":""},{"dropping-particle":"","family":"Port","given":"Ingrid G.","non-dropping-particle":"Van De","parse-names":false,"suffix":""},{"dropping-particle":"","family":"Wittink","given":"Harriet","non-dropping-particle":"","parse-names":false,"suffix":""},{"dropping-particle":"","family":"Dieën","given":"Jaap H.","non-dropping-particle":"Van","parse-names":false,"suffix":""}],"container-title":"Journal of neuroengineering and rehabilitation","id":"ITEM-1","issue":"1","issued":{"date-parts":[["2016"]]},"page":"67","title":"Characteristics of daily life gait in fall and non fall-prone stroke survivors and controls","type":"article-journal","volume":"13"},"uris":["http://www.mendeley.com/documents/?uuid=b30c1b67-6198-4309-8ca0-67b9ac42dba0"]}],"mendeley":{"formattedCitation":"(Punt et al., 2016)","plainTextFormattedCitation":"(Punt et al., 2016)","previouslyFormattedCitation":"(Punt et al., 2016)"},"properties":{"noteIndex":0},"schema":"https://github.com/citation-style-language/schema/raw/master/csl-citation.json"}</w:instrText>
      </w:r>
      <w:r w:rsidR="00FD38EB" w:rsidRPr="00BC5B69">
        <w:rPr>
          <w:rFonts w:eastAsia="Calibri"/>
          <w:sz w:val="22"/>
          <w:szCs w:val="22"/>
          <w:lang w:val="en-US"/>
        </w:rPr>
        <w:fldChar w:fldCharType="separate"/>
      </w:r>
      <w:r w:rsidR="00E66FE2" w:rsidRPr="00BC5B69">
        <w:rPr>
          <w:rFonts w:eastAsia="Calibri"/>
          <w:noProof/>
          <w:sz w:val="22"/>
          <w:szCs w:val="22"/>
          <w:lang w:val="en-US"/>
        </w:rPr>
        <w:t>(Punt et al., 2016)</w:t>
      </w:r>
      <w:r w:rsidR="00FD38EB" w:rsidRPr="00BC5B69">
        <w:rPr>
          <w:rFonts w:eastAsia="Calibri"/>
          <w:sz w:val="22"/>
          <w:szCs w:val="22"/>
          <w:lang w:val="en-US"/>
        </w:rPr>
        <w:fldChar w:fldCharType="end"/>
      </w:r>
      <w:r w:rsidR="00A05D80" w:rsidRPr="00BC5B69">
        <w:rPr>
          <w:rFonts w:eastAsia="Calibri"/>
          <w:sz w:val="22"/>
          <w:szCs w:val="22"/>
          <w:lang w:val="en-US"/>
        </w:rPr>
        <w:t>.</w:t>
      </w:r>
      <w:r w:rsidR="00205A0C" w:rsidRPr="00BC5B69">
        <w:rPr>
          <w:rFonts w:eastAsia="Calibri"/>
          <w:sz w:val="22"/>
          <w:szCs w:val="22"/>
          <w:lang w:val="en-US"/>
        </w:rPr>
        <w:t xml:space="preserve"> </w:t>
      </w:r>
      <w:r w:rsidR="00AE7D4F" w:rsidRPr="00BC5B69">
        <w:rPr>
          <w:rFonts w:eastAsia="Calibri"/>
          <w:sz w:val="22"/>
          <w:szCs w:val="22"/>
          <w:lang w:val="en-US"/>
        </w:rPr>
        <w:t xml:space="preserve">Other gait and balance disorders are also important intrinsic risk factors that increase the risk of falling </w:t>
      </w:r>
      <w:r w:rsidR="00AE7D4F"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{"citationItems":[{"id":"ITEM-1","itemData":{"DOI":"10.1016/j.mcna.2014.11.004","ISBN":"1557-9859","ISSN":"15579859","PMID":"25700584","abstract":"Falls among older adults are neither purely accidental nor inevitable research has shown that many falls are preventable. Primary care providers play a key role in preventing falls. However, fall risk assessment and management is performed infrequently in primary care settings. This article provides an overview of a clinically relevant, evidence-based approach to fall risk screening and management. It describes resources, including the STEADI (Stopping Elderly Accidents, Deaths, and Injuries) tool kit that can help providers integrate fall prevention into their practice.","author":[{"dropping-particle":"","family":"Phelan","given":"Elizabeth A.","non-dropping-particle":"","parse-names":false,"suffix":""},{"dropping-particle":"","family":"Mahoney","given":"Jane E.","non-dropping-particle":"","parse-names":false,"suffix":""},{"dropping-particle":"","family":"Voit","given":"Jan C.","non-dropping-particle":"","parse-names":false,"suffix":""},{"dropping-particle":"","family":"Stevens","given":"Judy A.","non-dropping-particle":"","parse-names":false,"suffix":""}],"container-title":"The Medical clinics of North America","id":"ITEM-1","issue":"2","issued":{"date-parts":[["2015"]]},"page":"281-293","title":"Assessment and Management of Fall Risk in Primary Care Settings","type":"article-journal","volume":"99"},"uris":["http://www.mendeley.com/documents/?uuid=a05062b8-f91c-4d72-ba50-a3a54c3a3814"]}],"mendeley":{"formattedCitation":"(Phelan et al., 2015)","plainTextFormattedCitation":"(Phelan et al., 2015)","previouslyFormattedCitation":"(Phelan et al., 2015)"},"properties":{"noteIndex":0},"schema":"https://github.com/citation-style-language/schema/raw/master/csl-citation.json"}</w:instrText>
      </w:r>
      <w:r w:rsidR="00AE7D4F" w:rsidRPr="00BC5B69">
        <w:rPr>
          <w:rFonts w:eastAsia="Calibri"/>
          <w:sz w:val="22"/>
          <w:szCs w:val="22"/>
          <w:lang w:val="en-US"/>
        </w:rPr>
        <w:fldChar w:fldCharType="separate"/>
      </w:r>
      <w:r w:rsidR="00E66FE2" w:rsidRPr="00BC5B69">
        <w:rPr>
          <w:rFonts w:eastAsia="Calibri"/>
          <w:noProof/>
          <w:sz w:val="22"/>
          <w:szCs w:val="22"/>
          <w:lang w:val="en-US"/>
        </w:rPr>
        <w:t>(Phelan et al., 2015)</w:t>
      </w:r>
      <w:r w:rsidR="00AE7D4F" w:rsidRPr="00BC5B69">
        <w:rPr>
          <w:rFonts w:eastAsia="Calibri"/>
          <w:sz w:val="22"/>
          <w:szCs w:val="22"/>
          <w:lang w:val="en-US"/>
        </w:rPr>
        <w:fldChar w:fldCharType="end"/>
      </w:r>
      <w:r w:rsidR="00AE7D4F" w:rsidRPr="00BC5B69">
        <w:rPr>
          <w:rFonts w:eastAsia="Calibri"/>
          <w:sz w:val="22"/>
          <w:szCs w:val="22"/>
          <w:lang w:val="en-US"/>
        </w:rPr>
        <w:t>. For example, self-reported dizziness and imbalance are a subjective sensation that can be caused by various factors and ha</w:t>
      </w:r>
      <w:r w:rsidR="00EF0999" w:rsidRPr="00BC5B69">
        <w:rPr>
          <w:rFonts w:eastAsia="Calibri"/>
          <w:sz w:val="22"/>
          <w:szCs w:val="22"/>
          <w:lang w:val="en-US"/>
        </w:rPr>
        <w:t>ve</w:t>
      </w:r>
      <w:r w:rsidR="00AE7D4F" w:rsidRPr="00BC5B69">
        <w:rPr>
          <w:rFonts w:eastAsia="Calibri"/>
          <w:sz w:val="22"/>
          <w:szCs w:val="22"/>
          <w:lang w:val="en-US"/>
        </w:rPr>
        <w:t xml:space="preserve"> increasing prevalence with advancing age </w:t>
      </w:r>
      <w:r w:rsidR="00AE7D4F"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{"citationItems":[{"id":"ITEM-1","itemData":{"DOI":"10.1007/s40520-016-0567-9","ISBN":"4052001605","ISSN":"17208319","PMID":"27086001","abstract":"BACKGROUND Dizziness is one of the most prevalent symptoms in old age and tends to increase with age. AIMS To report physical functioning, health-related aspects and gender differences in elderly persons with and without dizziness in a population-based sample of 75-year-olds. METHODS A cross-sectional sample of 75-year-olds from Gothenburg, Sweden (n = 675, 398 women and 277 men) was examined by means of questionnaires and functional tests. The questions concerned dizziness/imbalance, physical activity level, walking habits, falls efficacy, number of falls, subjective health or general fatigue and medication. The tests included were self-selected and maximum gait speed, stair climbing capacity, one leg stance and grip strength. RESULTS More women than men reported dizziness/imbalance (40 vs 30 %, p &lt; 0.001). Persons with dizziness, compared to those without dizziness, less often regularly exercised at a moderate intensity level (summer: 62 vs 74 %, p &lt; 0.001; winter: 41 vs 51 %, p &lt; 0.001), less often took a daily walk (p &lt; 0.05), had lower scores on the FES(S) (p &lt; 0.001), more often reported general fatigue (p &lt; 0.001), more often had fallen in the previous year (40 vs 23 %, p &lt; 0.001) and had a higher intake of medical drugs (4.6 vs 3.3, p &lt; 0.001). They also performed worse regarding gait speed, stair climbing and one leg stance (p &lt; 0.001), but there was no difference in grip strength. CONCLUSION Older persons with dizziness are less physically active, have worse lower extremity function, are more often fallers and report lower self-rated health than persons without dizziness.","author":[{"dropping-particle":"","family":"Kollén","given":"Lena","non-dropping-particle":"","parse-names":false,"suffix":""},{"dropping-particle":"","family":"Hörder","given":"Helena","non-dropping-particle":"","parse-names":false,"suffix":""},{"dropping-particle":"","family":"Möller","given":"Claes","non-dropping-particle":"","parse-names":false,"suffix":""},{"dropping-particle":"","family":"Frändin","given":"Kerstin","non-dropping-particle":"","parse-names":false,"suffix":""}],"container-title":"Aging Clinical and Experimental Research","id":"ITEM-1","issue":"2","issued":{"date-parts":[["2017"]]},"page":"197-205","title":"Physical functioning in older persons with dizziness: a population-based study","type":"article-journal","volume":"29"},"uris":["http://www.mendeley.com/documents/?uuid=a19ac659-3caa-4a8e-a529-a549061e5f48"]}],"mendeley":{"formattedCitation":"(Kollén, Hörder, Möller, &amp; Frändin, 2017)","plainTextFormattedCitation":"(Kollén, Hörder, Möller, &amp; Frändin, 2017)","previouslyFormattedCitation":"(Kollén, Hörder, Möller, &amp; Frändin, 2017)"},"properties":{"noteIndex":0},"schema":"https://github.com/citation-style-language/schema/raw/master/csl-citation.json"}</w:instrText>
      </w:r>
      <w:r w:rsidR="00AE7D4F" w:rsidRPr="00BC5B69">
        <w:rPr>
          <w:rFonts w:eastAsia="Calibri"/>
          <w:sz w:val="22"/>
          <w:szCs w:val="22"/>
          <w:lang w:val="en-US"/>
        </w:rPr>
        <w:fldChar w:fldCharType="separate"/>
      </w:r>
      <w:r w:rsidR="00E66FE2" w:rsidRPr="00BC5B69">
        <w:rPr>
          <w:rFonts w:eastAsia="Calibri"/>
          <w:noProof/>
          <w:sz w:val="22"/>
          <w:szCs w:val="22"/>
          <w:lang w:val="en-US"/>
        </w:rPr>
        <w:t>(Kollén, Hörder, Möller, &amp; Frändin, 2017)</w:t>
      </w:r>
      <w:r w:rsidR="00AE7D4F" w:rsidRPr="00BC5B69">
        <w:rPr>
          <w:rFonts w:eastAsia="Calibri"/>
          <w:sz w:val="22"/>
          <w:szCs w:val="22"/>
          <w:lang w:val="en-US"/>
        </w:rPr>
        <w:fldChar w:fldCharType="end"/>
      </w:r>
      <w:r w:rsidR="00AE7D4F" w:rsidRPr="00BC5B69">
        <w:rPr>
          <w:rFonts w:eastAsia="Calibri"/>
          <w:sz w:val="22"/>
          <w:szCs w:val="22"/>
          <w:lang w:val="en-US"/>
        </w:rPr>
        <w:t xml:space="preserve">. Although dizziness and imbalance are less common in males than females </w:t>
      </w:r>
      <w:r w:rsidR="00AE7D4F"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{"citationItems":[{"id":"ITEM-1","itemData":{"DOI":"10.1007/s40520-016-0567-9","ISBN":"4052001605","ISSN":"17208319","PMID":"27086001","abstract":"BACKGROUND Dizziness is one of the most prevalent symptoms in old age and tends to increase with age. AIMS To report physical functioning, health-related aspects and gender differences in elderly persons with and without dizziness in a population-based sample of 75-year-olds. METHODS A cross-sectional sample of 75-year-olds from Gothenburg, Sweden (n = 675, 398 women and 277 men) was examined by means of questionnaires and functional tests. The questions concerned dizziness/imbalance, physical activity level, walking habits, falls efficacy, number of falls, subjective health or general fatigue and medication. The tests included were self-selected and maximum gait speed, stair climbing capacity, one leg stance and grip strength. RESULTS More women than men reported dizziness/imbalance (40 vs 30 %, p &lt; 0.001). Persons with dizziness, compared to those without dizziness, less often regularly exercised at a moderate intensity level (summer: 62 vs 74 %, p &lt; 0.001; winter: 41 vs 51 %, p &lt; 0.001), less often took a daily walk (p &lt; 0.05), had lower scores on the FES(S) (p &lt; 0.001), more often reported general fatigue (p &lt; 0.001), more often had fallen in the previous year (40 vs 23 %, p &lt; 0.001) and had a higher intake of medical drugs (4.6 vs 3.3, p &lt; 0.001). They also performed worse regarding gait speed, stair climbing and one leg stance (p &lt; 0.001), but there was no difference in grip strength. CONCLUSION Older persons with dizziness are less physically active, have worse lower extremity function, are more often fallers and report lower self-rated health than persons without dizziness.","author":[{"dropping-particle":"","family":"Kollén","given":"Lena","non-dropping-particle":"","parse-names":false,"suffix":""},{"dropping-particle":"","family":"Hörder","given":"Helena","non-dropping-particle":"","parse-names":false,"suffix":""},{"dropping-particle":"","family":"Möller","given":"Claes","non-dropping-particle":"","parse-names":false,"suffix":""},{"dropping-particle":"","family":"Frändin","given":"Kerstin","non-dropping-particle":"","parse-names":false,"suffix":""}],"container-title":"Aging Clinical and Experimental Research","id":"ITEM-1","issue":"2","issued":{"date-parts":[["2017"]]},"page":"197-205","title":"Physical functioning in older persons with dizziness: a population-based study","type":"article-journal","volume":"29"},"uris":["http://www.mendeley.com/documents/?uuid=a19ac659-3caa-4a8e-a529-a549061e5f48"]}],"mendeley":{"formattedCitation":"(Kollén et al., 2017)","plainTextFormattedCitation":"(Kollén et al., 2017)","previouslyFormattedCitation":"(Kollén et al., 2017)"},"properties":{"noteIndex":0},"schema":"https://github.com/citation-style-language/schema/raw/master/csl-citation.json"}</w:instrText>
      </w:r>
      <w:r w:rsidR="00AE7D4F" w:rsidRPr="00BC5B69">
        <w:rPr>
          <w:rFonts w:eastAsia="Calibri"/>
          <w:sz w:val="22"/>
          <w:szCs w:val="22"/>
          <w:lang w:val="en-US"/>
        </w:rPr>
        <w:fldChar w:fldCharType="separate"/>
      </w:r>
      <w:r w:rsidR="00E66FE2" w:rsidRPr="00BC5B69">
        <w:rPr>
          <w:rFonts w:eastAsia="Calibri"/>
          <w:noProof/>
          <w:sz w:val="22"/>
          <w:szCs w:val="22"/>
          <w:lang w:val="en-US"/>
        </w:rPr>
        <w:t>(Kollén et al., 2017)</w:t>
      </w:r>
      <w:r w:rsidR="00AE7D4F" w:rsidRPr="00BC5B69">
        <w:rPr>
          <w:rFonts w:eastAsia="Calibri"/>
          <w:sz w:val="22"/>
          <w:szCs w:val="22"/>
          <w:lang w:val="en-US"/>
        </w:rPr>
        <w:fldChar w:fldCharType="end"/>
      </w:r>
      <w:r w:rsidR="00AE7D4F" w:rsidRPr="00BC5B69">
        <w:rPr>
          <w:rFonts w:eastAsia="Calibri"/>
          <w:sz w:val="22"/>
          <w:szCs w:val="22"/>
          <w:lang w:val="en-US"/>
        </w:rPr>
        <w:t xml:space="preserve">, the prevalence in </w:t>
      </w:r>
      <w:r w:rsidR="00F85EF9" w:rsidRPr="00BC5B69">
        <w:rPr>
          <w:rFonts w:eastAsia="Calibri"/>
          <w:sz w:val="22"/>
          <w:szCs w:val="22"/>
          <w:lang w:val="en-US"/>
        </w:rPr>
        <w:t>the present</w:t>
      </w:r>
      <w:r w:rsidR="00AE7D4F" w:rsidRPr="00BC5B69">
        <w:rPr>
          <w:rFonts w:eastAsia="Calibri"/>
          <w:sz w:val="22"/>
          <w:szCs w:val="22"/>
          <w:lang w:val="en-US"/>
        </w:rPr>
        <w:t xml:space="preserve"> study was 30%. </w:t>
      </w:r>
      <w:r w:rsidR="005740E1" w:rsidRPr="00BC5B69">
        <w:rPr>
          <w:rFonts w:eastAsia="Calibri"/>
          <w:sz w:val="22"/>
          <w:szCs w:val="22"/>
          <w:lang w:val="en-US"/>
        </w:rPr>
        <w:t xml:space="preserve">We determine that </w:t>
      </w:r>
      <w:r w:rsidR="00AE7D4F" w:rsidRPr="00BC5B69">
        <w:rPr>
          <w:rFonts w:eastAsia="Calibri"/>
          <w:sz w:val="22"/>
          <w:szCs w:val="22"/>
          <w:lang w:val="en-US"/>
        </w:rPr>
        <w:t xml:space="preserve">dizziness and imbalance are associated with an increase in the risk of falling according to all four clinical methods. </w:t>
      </w:r>
      <w:r w:rsidR="00BB6A2A" w:rsidRPr="00BC5B69">
        <w:rPr>
          <w:rFonts w:eastAsia="Calibri"/>
          <w:sz w:val="22"/>
          <w:szCs w:val="22"/>
          <w:lang w:val="en-US"/>
        </w:rPr>
        <w:t>Both</w:t>
      </w:r>
      <w:r w:rsidR="00BE301A" w:rsidRPr="00BC5B69">
        <w:rPr>
          <w:rFonts w:eastAsia="Calibri"/>
          <w:sz w:val="22"/>
          <w:szCs w:val="22"/>
          <w:lang w:val="en-US"/>
        </w:rPr>
        <w:t xml:space="preserve"> </w:t>
      </w:r>
      <w:r w:rsidR="00BB6A2A" w:rsidRPr="00BC5B69">
        <w:rPr>
          <w:rFonts w:eastAsia="Calibri"/>
          <w:sz w:val="22"/>
          <w:szCs w:val="22"/>
          <w:lang w:val="en-US"/>
        </w:rPr>
        <w:t xml:space="preserve">symptoms </w:t>
      </w:r>
      <w:r w:rsidR="00AE7D4F" w:rsidRPr="00BC5B69">
        <w:rPr>
          <w:rFonts w:eastAsia="Calibri"/>
          <w:sz w:val="22"/>
          <w:szCs w:val="22"/>
          <w:lang w:val="en-US"/>
        </w:rPr>
        <w:t xml:space="preserve">lead to an increase in the risk of falling and </w:t>
      </w:r>
      <w:r w:rsidR="00BB6A2A" w:rsidRPr="00BC5B69">
        <w:rPr>
          <w:rFonts w:eastAsia="Calibri"/>
          <w:sz w:val="22"/>
          <w:szCs w:val="22"/>
          <w:lang w:val="en-US"/>
        </w:rPr>
        <w:t xml:space="preserve">a </w:t>
      </w:r>
      <w:r w:rsidR="00AE7D4F" w:rsidRPr="00BC5B69">
        <w:rPr>
          <w:rFonts w:eastAsia="Calibri"/>
          <w:sz w:val="22"/>
          <w:szCs w:val="22"/>
          <w:lang w:val="en-US"/>
        </w:rPr>
        <w:t xml:space="preserve">limitation of </w:t>
      </w:r>
      <w:r w:rsidR="00BB6A2A" w:rsidRPr="00BC5B69">
        <w:rPr>
          <w:rFonts w:eastAsia="Calibri"/>
          <w:sz w:val="22"/>
          <w:szCs w:val="22"/>
          <w:lang w:val="en-US"/>
        </w:rPr>
        <w:t>ADL</w:t>
      </w:r>
      <w:r w:rsidR="00AE7D4F" w:rsidRPr="00BC5B69">
        <w:rPr>
          <w:rFonts w:eastAsia="Calibri"/>
          <w:sz w:val="22"/>
          <w:szCs w:val="22"/>
          <w:lang w:val="en-US"/>
        </w:rPr>
        <w:t xml:space="preserve"> </w:t>
      </w:r>
      <w:r w:rsidR="00AE7D4F"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{"citationItems":[{"id":"ITEM-1","itemData":{"DOI":"10.1007/s40520-016-0567-9","ISBN":"4052001605","ISSN":"17208319","PMID":"27086001","abstract":"BACKGROUND Dizziness is one of the most prevalent symptoms in old age and tends to increase with age. AIMS To report physical functioning, health-related aspects and gender differences in elderly persons with and without dizziness in a population-based sample of 75-year-olds. METHODS A cross-sectional sample of 75-year-olds from Gothenburg, Sweden (n = 675, 398 women and 277 men) was examined by means of questionnaires and functional tests. The questions concerned dizziness/imbalance, physical activity level, walking habits, falls efficacy, number of falls, subjective health or general fatigue and medication. The tests included were self-selected and maximum gait speed, stair climbing capacity, one leg stance and grip strength. RESULTS More women than men reported dizziness/imbalance (40 vs 30 %, p &lt; 0.001). Persons with dizziness, compared to those without dizziness, less often regularly exercised at a moderate intensity level (summer: 62 vs 74 %, p &lt; 0.001; winter: 41 vs 51 %, p &lt; 0.001), less often took a daily walk (p &lt; 0.05), had lower scores on the FES(S) (p &lt; 0.001), more often reported general fatigue (p &lt; 0.001), more often had fallen in the previous year (40 vs 23 %, p &lt; 0.001) and had a higher intake of medical drugs (4.6 vs 3.3, p &lt; 0.001). They also performed worse regarding gait speed, stair climbing and one leg stance (p &lt; 0.001), but there was no difference in grip strength. CONCLUSION Older persons with dizziness are less physically active, have worse lower extremity function, are more often fallers and report lower self-rated health than persons without dizziness.","author":[{"dropping-particle":"","family":"Kollén","given":"Lena","non-dropping-particle":"","parse-names":false,"suffix":""},{"dropping-particle":"","family":"Hörder","given":"Helena","non-dropping-particle":"","parse-names":false,"suffix":""},{"dropping-particle":"","family":"Möller","given":"Claes","non-dropping-particle":"","parse-names":false,"suffix":""},{"dropping-particle":"","family":"Frändin","given":"Kerstin","non-dropping-particle":"","parse-names":false,"suffix":""}],"container-title":"Aging Clinical and Experimental Research","id":"ITEM-1","issue":"2","issued":{"date-parts":[["2017"]]},"page":"197-205","title":"Physical functioning in older persons with dizziness: a population-based study","type":"article-journal","volume":"29"},"uris":["http://www.mendeley.com/documents/?uuid=a19ac659-3caa-4a8e-a529-a549061e5f48"]}],"mendeley":{"formattedCitation":"(Kollén et al., 2017)","plainTextFormattedCitation":"(Kollén et al., 2017)","previouslyFormattedCitation":"(Kollén et al., 2017)"},"properties":{"noteIndex":0},"schema":"https://github.com/citation-style-language/schema/raw/master/csl-citation.json"}</w:instrText>
      </w:r>
      <w:r w:rsidR="00AE7D4F" w:rsidRPr="00BC5B69">
        <w:rPr>
          <w:rFonts w:eastAsia="Calibri"/>
          <w:sz w:val="22"/>
          <w:szCs w:val="22"/>
          <w:lang w:val="en-US"/>
        </w:rPr>
        <w:fldChar w:fldCharType="separate"/>
      </w:r>
      <w:r w:rsidR="00E66FE2" w:rsidRPr="00BC5B69">
        <w:rPr>
          <w:rFonts w:eastAsia="Calibri"/>
          <w:noProof/>
          <w:sz w:val="22"/>
          <w:szCs w:val="22"/>
          <w:lang w:val="en-US"/>
        </w:rPr>
        <w:t>(Kollén et al., 2017)</w:t>
      </w:r>
      <w:r w:rsidR="00AE7D4F" w:rsidRPr="00BC5B69">
        <w:rPr>
          <w:rFonts w:eastAsia="Calibri"/>
          <w:sz w:val="22"/>
          <w:szCs w:val="22"/>
          <w:lang w:val="en-US"/>
        </w:rPr>
        <w:fldChar w:fldCharType="end"/>
      </w:r>
      <w:r w:rsidR="00BB6A2A" w:rsidRPr="00BC5B69">
        <w:rPr>
          <w:rFonts w:eastAsia="Calibri"/>
          <w:sz w:val="22"/>
          <w:szCs w:val="22"/>
          <w:lang w:val="en-US"/>
        </w:rPr>
        <w:t>, and t</w:t>
      </w:r>
      <w:r w:rsidR="004C31F2" w:rsidRPr="00BC5B69">
        <w:rPr>
          <w:rFonts w:eastAsia="Calibri"/>
          <w:sz w:val="22"/>
          <w:szCs w:val="22"/>
          <w:lang w:val="en-US"/>
        </w:rPr>
        <w:t>h</w:t>
      </w:r>
      <w:r w:rsidR="00BB6A2A" w:rsidRPr="00BC5B69">
        <w:rPr>
          <w:rFonts w:eastAsia="Calibri"/>
          <w:sz w:val="22"/>
          <w:szCs w:val="22"/>
          <w:lang w:val="en-US"/>
        </w:rPr>
        <w:t xml:space="preserve">is </w:t>
      </w:r>
      <w:r w:rsidR="004C31F2" w:rsidRPr="00BC5B69">
        <w:rPr>
          <w:rFonts w:eastAsia="Calibri"/>
          <w:sz w:val="22"/>
          <w:szCs w:val="22"/>
          <w:lang w:val="en-US"/>
        </w:rPr>
        <w:t xml:space="preserve">restriction of </w:t>
      </w:r>
      <w:r w:rsidR="00BB6A2A" w:rsidRPr="00BC5B69">
        <w:rPr>
          <w:rFonts w:eastAsia="Calibri"/>
          <w:sz w:val="22"/>
          <w:szCs w:val="22"/>
          <w:lang w:val="en-US"/>
        </w:rPr>
        <w:t>ADL</w:t>
      </w:r>
      <w:r w:rsidR="004C31F2" w:rsidRPr="00BC5B69">
        <w:rPr>
          <w:rFonts w:eastAsia="Calibri"/>
          <w:sz w:val="22"/>
          <w:szCs w:val="22"/>
          <w:lang w:val="en-US"/>
        </w:rPr>
        <w:t xml:space="preserve"> may increase due to fear of falling</w:t>
      </w:r>
      <w:r w:rsidR="00BB6A2A" w:rsidRPr="00BC5B69">
        <w:rPr>
          <w:rFonts w:eastAsia="Calibri"/>
          <w:sz w:val="22"/>
          <w:szCs w:val="22"/>
          <w:lang w:val="en-US"/>
        </w:rPr>
        <w:t xml:space="preserve"> in older men</w:t>
      </w:r>
      <w:r w:rsidR="004C31F2" w:rsidRPr="00BC5B69">
        <w:rPr>
          <w:rFonts w:eastAsia="Calibri"/>
          <w:sz w:val="22"/>
          <w:szCs w:val="22"/>
          <w:lang w:val="en-US"/>
        </w:rPr>
        <w:t>.</w:t>
      </w:r>
    </w:p>
    <w:p w14:paraId="38563709" w14:textId="4193A5FB" w:rsidR="009112CD" w:rsidRPr="00BC5B69" w:rsidRDefault="007C4234" w:rsidP="004747C3">
      <w:pPr>
        <w:spacing w:line="480" w:lineRule="auto"/>
        <w:jc w:val="both"/>
        <w:rPr>
          <w:rFonts w:eastAsia="Calibri"/>
          <w:sz w:val="22"/>
          <w:szCs w:val="22"/>
          <w:lang w:val="en-US"/>
        </w:rPr>
      </w:pPr>
      <w:r w:rsidRPr="00BC5B69">
        <w:rPr>
          <w:rFonts w:eastAsia="Calibri"/>
          <w:sz w:val="22"/>
          <w:szCs w:val="22"/>
          <w:lang w:val="en-US"/>
        </w:rPr>
        <w:t>Gait and b</w:t>
      </w:r>
      <w:r w:rsidR="00180130" w:rsidRPr="00BC5B69">
        <w:rPr>
          <w:rFonts w:eastAsia="Calibri"/>
          <w:sz w:val="22"/>
          <w:szCs w:val="22"/>
          <w:lang w:val="en-US"/>
        </w:rPr>
        <w:t>alance</w:t>
      </w:r>
      <w:r w:rsidRPr="00BC5B69">
        <w:rPr>
          <w:rFonts w:eastAsia="Calibri"/>
          <w:sz w:val="22"/>
          <w:szCs w:val="22"/>
          <w:lang w:val="en-US"/>
        </w:rPr>
        <w:t xml:space="preserve">, </w:t>
      </w:r>
      <w:r w:rsidR="00180130" w:rsidRPr="00BC5B69">
        <w:rPr>
          <w:rFonts w:eastAsia="Calibri"/>
          <w:sz w:val="22"/>
          <w:szCs w:val="22"/>
          <w:lang w:val="en-US"/>
        </w:rPr>
        <w:t>disturbances</w:t>
      </w:r>
      <w:r w:rsidR="005740E1" w:rsidRPr="00BC5B69">
        <w:rPr>
          <w:rFonts w:eastAsia="Calibri"/>
          <w:sz w:val="22"/>
          <w:szCs w:val="22"/>
          <w:lang w:val="en-US"/>
        </w:rPr>
        <w:t xml:space="preserve"> and </w:t>
      </w:r>
      <w:r w:rsidR="00180130" w:rsidRPr="00BC5B69">
        <w:rPr>
          <w:rFonts w:eastAsia="Calibri"/>
          <w:sz w:val="22"/>
          <w:szCs w:val="22"/>
          <w:lang w:val="en-US"/>
        </w:rPr>
        <w:t xml:space="preserve">weakness are among the major components of physical frailty </w:t>
      </w:r>
      <w:r w:rsidR="00346BFA"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{"citationItems":[{"id":"ITEM-1","itemData":{"DOI":"10.1016/j.jamda.2015.06.018","ISBN":"1538-9375 (Electronic)\\r1525-8610 (Linking)","ISSN":"15389375","PMID":"26255098","abstract":"Background: Although multiple longitudinal studies have investigated frailty as a predictor of future falls, the results were mixed. Thus far, no systematic review or meta-analysis on this topic has been conducted. Objective: To review the evidence of frailty as a predictor of future falls among community-dwelling older people. Methods: Systematic review of literature and meta-analysis were performed using 6 electronic databases (Embase, Scopus, MEDLINE, CINAHL Plus, PsycINFO, and the Cochrane Library) searching for studies that prospectively examined risk of future fall risk according to frailty among community-dwelling older people published from 2010 to April 2015 with no language restrictions. Results: Of 2245 studies identified through the systematic review, 11 studies incorporating 68,723 individuals were included in the meta-analysis. Among 7 studies reporting odds ratios (ORs), frailty and prefrailty were significantly associated with higher risk of future falls (pooled OR = 1.84, 95% confidence interval [95% CI] = 1.43-2.38, P &lt; .001; pooled OR = 1.25, 95% CI = 1.01-1.53, P = .005, respectively). Among 4 studies reporting hazard ratios (HRs), whereas frailty was significantly associated with higher risk of future falls (pooled HR = 1.24, 95% CI = 1.10-1.41, P &lt; .001), future fall risk according to prefrailty did not reach statistical significance (pooled HR = 1.14, 95% CI = 0.95-1·36, P = 15). High heterogeneity was noted among 7 studies reporting ORs and seemed attributed to difference in gender proportion of cohorts according to subgroup and meta-regression analyses. Conclusions: Frailty is demonstrated to be a significant predictor of future falls among community-dwelling older people despite various criteria used to define frailty. The future fall risk according to frailty seemed to be higher in men than in women.","author":[{"dropping-particle":"","family":"Kojima","given":"Gotaro","non-dropping-particle":"","parse-names":false,"suffix":""}],"container-title":"Journal of the American Medical Directors Association","id":"ITEM-1","issue":"12","issued":{"date-parts":[["2015"]]},"page":"1027-1033","title":"Frailty as a Predictor of Future Falls Among Community-Dwelling Older People: A Systematic Review and Meta-Analysis","type":"article-journal","volume":"16"},"uris":["http://www.mendeley.com/documents/?uuid=2b93af43-5826-434c-8d59-b6cc7ef51278"]}],"mendeley":{"formattedCitation":"(Kojima, 2015)","plainTextFormattedCitation":"(Kojima, 2015)","previouslyFormattedCitation":"(Kojima, 2015)"},"properties":{"noteIndex":0},"schema":"https://github.com/citation-style-language/schema/raw/master/csl-citation.json"}</w:instrText>
      </w:r>
      <w:r w:rsidR="00346BFA" w:rsidRPr="00BC5B69">
        <w:rPr>
          <w:rFonts w:eastAsia="Calibri"/>
          <w:sz w:val="22"/>
          <w:szCs w:val="22"/>
          <w:lang w:val="en-US"/>
        </w:rPr>
        <w:fldChar w:fldCharType="separate"/>
      </w:r>
      <w:r w:rsidR="00E66FE2" w:rsidRPr="00BC5B69">
        <w:rPr>
          <w:rFonts w:eastAsia="Calibri"/>
          <w:noProof/>
          <w:sz w:val="22"/>
          <w:szCs w:val="22"/>
          <w:lang w:val="en-US"/>
        </w:rPr>
        <w:t>(Kojima, 2015)</w:t>
      </w:r>
      <w:r w:rsidR="00346BFA" w:rsidRPr="00BC5B69">
        <w:rPr>
          <w:rFonts w:eastAsia="Calibri"/>
          <w:sz w:val="22"/>
          <w:szCs w:val="22"/>
          <w:lang w:val="en-US"/>
        </w:rPr>
        <w:fldChar w:fldCharType="end"/>
      </w:r>
      <w:r w:rsidR="00180130" w:rsidRPr="00BC5B69">
        <w:rPr>
          <w:rFonts w:eastAsia="Calibri"/>
          <w:sz w:val="22"/>
          <w:szCs w:val="22"/>
          <w:lang w:val="en-US"/>
        </w:rPr>
        <w:t xml:space="preserve">. </w:t>
      </w:r>
      <w:r w:rsidR="00F85EF9" w:rsidRPr="00BC5B69">
        <w:rPr>
          <w:rFonts w:eastAsia="Calibri"/>
          <w:sz w:val="22"/>
          <w:szCs w:val="22"/>
          <w:lang w:val="en-US"/>
        </w:rPr>
        <w:t>Frailty was</w:t>
      </w:r>
      <w:r w:rsidR="009112CD" w:rsidRPr="00BC5B69">
        <w:rPr>
          <w:rFonts w:eastAsia="Calibri"/>
          <w:sz w:val="22"/>
          <w:szCs w:val="22"/>
          <w:lang w:val="en-US"/>
        </w:rPr>
        <w:t xml:space="preserve"> determined as a possible fall risk factor for older men in this study. The effect of frailty on the risk of falling is multifactorial.</w:t>
      </w:r>
      <w:r w:rsidR="006A191F" w:rsidRPr="00BC5B69">
        <w:rPr>
          <w:rFonts w:eastAsia="Calibri"/>
          <w:sz w:val="22"/>
          <w:szCs w:val="22"/>
          <w:lang w:val="en-US"/>
        </w:rPr>
        <w:t xml:space="preserve"> </w:t>
      </w:r>
      <w:r w:rsidR="002772FE" w:rsidRPr="00BC5B69">
        <w:rPr>
          <w:rFonts w:eastAsia="Calibri"/>
          <w:sz w:val="22"/>
          <w:szCs w:val="22"/>
          <w:lang w:val="en-US"/>
        </w:rPr>
        <w:t xml:space="preserve">In older adults, multiple comorbidities may be a single risk factor for frailty. However, this is often accompanied by polypharmacy and older adults are vulnerable to the adverse effects of the drugs </w:t>
      </w:r>
      <w:r w:rsidR="00346BFA"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{"citationItems":[{"id":"ITEM-1","itemData":{"DOI":"10.1016/j.jamda.2015.06.018","ISBN":"1538-9375 (Electronic)\\r1525-8610 (Linking)","ISSN":"15389375","PMID":"26255098","abstract":"Background: Although multiple longitudinal studies have investigated frailty as a predictor of future falls, the results were mixed. Thus far, no systematic review or meta-analysis on this topic has been conducted. Objective: To review the evidence of frailty as a predictor of future falls among community-dwelling older people. Methods: Systematic review of literature and meta-analysis were performed using 6 electronic databases (Embase, Scopus, MEDLINE, CINAHL Plus, PsycINFO, and the Cochrane Library) searching for studies that prospectively examined risk of future fall risk according to frailty among community-dwelling older people published from 2010 to April 2015 with no language restrictions. Results: Of 2245 studies identified through the systematic review, 11 studies incorporating 68,723 individuals were included in the meta-analysis. Among 7 studies reporting odds ratios (ORs), frailty and prefrailty were significantly associated with higher risk of future falls (pooled OR = 1.84, 95% confidence interval [95% CI] = 1.43-2.38, P &lt; .001; pooled OR = 1.25, 95% CI = 1.01-1.53, P = .005, respectively). Among 4 studies reporting hazard ratios (HRs), whereas frailty was significantly associated with higher risk of future falls (pooled HR = 1.24, 95% CI = 1.10-1.41, P &lt; .001), future fall risk according to prefrailty did not reach statistical significance (pooled HR = 1.14, 95% CI = 0.95-1·36, P = 15). High heterogeneity was noted among 7 studies reporting ORs and seemed attributed to difference in gender proportion of cohorts according to subgroup and meta-regression analyses. Conclusions: Frailty is demonstrated to be a significant predictor of future falls among community-dwelling older people despite various criteria used to define frailty. The future fall risk according to frailty seemed to be higher in men than in women.","author":[{"dropping-particle":"","family":"Kojima","given":"Gotaro","non-dropping-particle":"","parse-names":false,"suffix":""}],"container-title":"Journal of the American Medical Directors Association","id":"ITEM-1","issue":"12","issued":{"date-parts":[["2015"]]},"page":"1027-1033","title":"Frailty as a Predictor of Future Falls Among Community-Dwelling Older People: A Systematic Review and Meta-Analysis","type":"article-journal","volume":"16"},"uris":["http://www.mendeley.com/documents/?uuid=2b93af43-5826-434c-8d59-b6cc7ef51278"]}],"mendeley":{"formattedCitation":"(Kojima, 2015)","plainTextFormattedCitation":"(Kojima, 2015)","previouslyFormattedCitation":"(Kojima, 2015)"},"properties":{"noteIndex":0},"schema":"https://github.com/citation-style-language/schema/raw/master/csl-citation.json"}</w:instrText>
      </w:r>
      <w:r w:rsidR="00346BFA" w:rsidRPr="00BC5B69">
        <w:rPr>
          <w:rFonts w:eastAsia="Calibri"/>
          <w:sz w:val="22"/>
          <w:szCs w:val="22"/>
          <w:lang w:val="en-US"/>
        </w:rPr>
        <w:fldChar w:fldCharType="separate"/>
      </w:r>
      <w:r w:rsidR="00E66FE2" w:rsidRPr="00BC5B69">
        <w:rPr>
          <w:rFonts w:eastAsia="Calibri"/>
          <w:noProof/>
          <w:sz w:val="22"/>
          <w:szCs w:val="22"/>
          <w:lang w:val="en-US"/>
        </w:rPr>
        <w:t>(Kojima, 2015)</w:t>
      </w:r>
      <w:r w:rsidR="00346BFA" w:rsidRPr="00BC5B69">
        <w:rPr>
          <w:rFonts w:eastAsia="Calibri"/>
          <w:sz w:val="22"/>
          <w:szCs w:val="22"/>
          <w:lang w:val="en-US"/>
        </w:rPr>
        <w:fldChar w:fldCharType="end"/>
      </w:r>
      <w:r w:rsidR="00180130" w:rsidRPr="00BC5B69">
        <w:rPr>
          <w:rFonts w:eastAsia="Calibri"/>
          <w:sz w:val="22"/>
          <w:szCs w:val="22"/>
          <w:lang w:val="en-US"/>
        </w:rPr>
        <w:t xml:space="preserve">. In addition, when they encounter such conditions as accidents, the functional reserve capacities are not enough to prevent falls by providing balance, position, and coordination </w:t>
      </w:r>
      <w:r w:rsidR="00346BFA"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{"citationItems":[{"id":"ITEM-1","itemData":{"DOI":"10.1016/j.jamda.2015.06.018","ISBN":"1538-9375 (Electronic)\\r1525-8610 (Linking)","ISSN":"15389375","PMID":"26255098","abstract":"Background: Although multiple longitudinal studies have investigated frailty as a predictor of future falls, the results were mixed. Thus far, no systematic review or meta-analysis on this topic has been conducted. Objective: To review the evidence of frailty as a predictor of future falls among community-dwelling older people. Methods: Systematic review of literature and meta-analysis were performed using 6 electronic databases (Embase, Scopus, MEDLINE, CINAHL Plus, PsycINFO, and the Cochrane Library) searching for studies that prospectively examined risk of future fall risk according to frailty among community-dwelling older people published from 2010 to April 2015 with no language restrictions. Results: Of 2245 studies identified through the systematic review, 11 studies incorporating 68,723 individuals were included in the meta-analysis. Among 7 studies reporting odds ratios (ORs), frailty and prefrailty were significantly associated with higher risk of future falls (pooled OR = 1.84, 95% confidence interval [95% CI] = 1.43-2.38, P &lt; .001; pooled OR = 1.25, 95% CI = 1.01-1.53, P = .005, respectively). Among 4 studies reporting hazard ratios (HRs), whereas frailty was significantly associated with higher risk of future falls (pooled HR = 1.24, 95% CI = 1.10-1.41, P &lt; .001), future fall risk according to prefrailty did not reach statistical significance (pooled HR = 1.14, 95% CI = 0.95-1·36, P = 15). High heterogeneity was noted among 7 studies reporting ORs and seemed attributed to difference in gender proportion of cohorts according to subgroup and meta-regression analyses. Conclusions: Frailty is demonstrated to be a significant predictor of future falls among community-dwelling older people despite various criteria used to define frailty. The future fall risk according to frailty seemed to be higher in men than in women.","author":[{"dropping-particle":"","family":"Kojima","given":"Gotaro","non-dropping-particle":"","parse-names":false,"suffix":""}],"container-title":"Journal of the American Medical Directors Association","id":"ITEM-1","issue":"12","issued":{"date-parts":[["2015"]]},"page":"1027-1033","title":"Frailty as a Predictor of Future Falls Among Community-Dwelling Older People: A Systematic Review and Meta-Analysis","type":"article-journal","volume":"16"},"uris":["http://www.mendeley.com/documents/?uuid=2b93af43-5826-434c-8d59-b6cc7ef51278"]}],"mendeley":{"formattedCitation":"(Kojima, 2015)","plainTextFormattedCitation":"(Kojima, 2015)","previouslyFormattedCitation":"(Kojima, 2015)"},"properties":{"noteIndex":0},"schema":"https://github.com/citation-style-language/schema/raw/master/csl-citation.json"}</w:instrText>
      </w:r>
      <w:r w:rsidR="00346BFA" w:rsidRPr="00BC5B69">
        <w:rPr>
          <w:rFonts w:eastAsia="Calibri"/>
          <w:sz w:val="22"/>
          <w:szCs w:val="22"/>
          <w:lang w:val="en-US"/>
        </w:rPr>
        <w:fldChar w:fldCharType="separate"/>
      </w:r>
      <w:r w:rsidR="00E66FE2" w:rsidRPr="00BC5B69">
        <w:rPr>
          <w:rFonts w:eastAsia="Calibri"/>
          <w:noProof/>
          <w:sz w:val="22"/>
          <w:szCs w:val="22"/>
          <w:lang w:val="en-US"/>
        </w:rPr>
        <w:t>(Kojima, 2015)</w:t>
      </w:r>
      <w:r w:rsidR="00346BFA" w:rsidRPr="00BC5B69">
        <w:rPr>
          <w:rFonts w:eastAsia="Calibri"/>
          <w:sz w:val="22"/>
          <w:szCs w:val="22"/>
          <w:lang w:val="en-US"/>
        </w:rPr>
        <w:fldChar w:fldCharType="end"/>
      </w:r>
      <w:r w:rsidR="00180130" w:rsidRPr="00BC5B69">
        <w:rPr>
          <w:rFonts w:eastAsia="Calibri"/>
          <w:sz w:val="22"/>
          <w:szCs w:val="22"/>
          <w:lang w:val="en-US"/>
        </w:rPr>
        <w:t xml:space="preserve">. It has been shown that frailty increases the risk of falling in men more than women. This </w:t>
      </w:r>
      <w:r w:rsidR="006A191F" w:rsidRPr="00BC5B69">
        <w:rPr>
          <w:rFonts w:eastAsia="Calibri"/>
          <w:sz w:val="22"/>
          <w:szCs w:val="22"/>
          <w:lang w:val="en-US"/>
        </w:rPr>
        <w:t>is</w:t>
      </w:r>
      <w:r w:rsidR="00844FB2" w:rsidRPr="00BC5B69">
        <w:rPr>
          <w:rFonts w:eastAsia="Calibri"/>
          <w:sz w:val="22"/>
          <w:szCs w:val="22"/>
          <w:lang w:val="en-US"/>
        </w:rPr>
        <w:t xml:space="preserve"> </w:t>
      </w:r>
      <w:r w:rsidR="006A191F" w:rsidRPr="00BC5B69">
        <w:rPr>
          <w:rFonts w:eastAsia="Calibri"/>
          <w:sz w:val="22"/>
          <w:szCs w:val="22"/>
          <w:lang w:val="en-US"/>
        </w:rPr>
        <w:t>explain</w:t>
      </w:r>
      <w:r w:rsidR="00844FB2" w:rsidRPr="00BC5B69">
        <w:rPr>
          <w:rFonts w:eastAsia="Calibri"/>
          <w:sz w:val="22"/>
          <w:szCs w:val="22"/>
          <w:lang w:val="en-US"/>
        </w:rPr>
        <w:t>ed by</w:t>
      </w:r>
      <w:r w:rsidR="006A191F" w:rsidRPr="00BC5B69">
        <w:rPr>
          <w:rFonts w:eastAsia="Calibri"/>
          <w:sz w:val="22"/>
          <w:szCs w:val="22"/>
          <w:lang w:val="en-US"/>
        </w:rPr>
        <w:t xml:space="preserve"> </w:t>
      </w:r>
      <w:r w:rsidR="00844FB2" w:rsidRPr="00BC5B69">
        <w:rPr>
          <w:rFonts w:eastAsia="Calibri"/>
          <w:sz w:val="22"/>
          <w:szCs w:val="22"/>
          <w:lang w:val="en-US"/>
        </w:rPr>
        <w:t xml:space="preserve">many </w:t>
      </w:r>
      <w:r w:rsidR="006A191F" w:rsidRPr="00BC5B69">
        <w:rPr>
          <w:rFonts w:eastAsia="Calibri"/>
          <w:sz w:val="22"/>
          <w:szCs w:val="22"/>
          <w:lang w:val="en-US"/>
        </w:rPr>
        <w:t>factors</w:t>
      </w:r>
      <w:r w:rsidR="00844FB2" w:rsidRPr="00BC5B69">
        <w:rPr>
          <w:rFonts w:eastAsia="Calibri"/>
          <w:sz w:val="22"/>
          <w:szCs w:val="22"/>
          <w:lang w:val="en-US"/>
        </w:rPr>
        <w:t xml:space="preserve"> related to</w:t>
      </w:r>
      <w:r w:rsidR="006A191F" w:rsidRPr="00BC5B69">
        <w:rPr>
          <w:rFonts w:eastAsia="Calibri"/>
          <w:sz w:val="22"/>
          <w:szCs w:val="22"/>
          <w:lang w:val="en-US"/>
        </w:rPr>
        <w:t xml:space="preserve"> older men </w:t>
      </w:r>
      <w:r w:rsidR="00844FB2" w:rsidRPr="00BC5B69">
        <w:rPr>
          <w:rFonts w:eastAsia="Calibri"/>
          <w:sz w:val="22"/>
          <w:szCs w:val="22"/>
          <w:lang w:val="en-US"/>
        </w:rPr>
        <w:t>such as,</w:t>
      </w:r>
      <w:r w:rsidR="00180130" w:rsidRPr="00BC5B69">
        <w:rPr>
          <w:rFonts w:eastAsia="Calibri"/>
          <w:sz w:val="22"/>
          <w:szCs w:val="22"/>
          <w:lang w:val="en-US"/>
        </w:rPr>
        <w:t xml:space="preserve"> physical components, lifestyle, different behavior patterns, physically activ</w:t>
      </w:r>
      <w:r w:rsidR="00844FB2" w:rsidRPr="00BC5B69">
        <w:rPr>
          <w:rFonts w:eastAsia="Calibri"/>
          <w:sz w:val="22"/>
          <w:szCs w:val="22"/>
          <w:lang w:val="en-US"/>
        </w:rPr>
        <w:t>ity</w:t>
      </w:r>
      <w:r w:rsidR="00180130" w:rsidRPr="00BC5B69">
        <w:rPr>
          <w:rFonts w:eastAsia="Calibri"/>
          <w:sz w:val="22"/>
          <w:szCs w:val="22"/>
          <w:lang w:val="en-US"/>
        </w:rPr>
        <w:t xml:space="preserve">, and a relatively higher center of gravity </w:t>
      </w:r>
      <w:r w:rsidR="00346BFA"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{"citationItems":[{"id":"ITEM-1","itemData":{"DOI":"10.1016/j.jamda.2015.06.018","ISBN":"1538-9375 (Electronic)\\r1525-8610 (Linking)","ISSN":"15389375","PMID":"26255098","abstract":"Background: Although multiple longitudinal studies have investigated frailty as a predictor of future falls, the results were mixed. Thus far, no systematic review or meta-analysis on this topic has been conducted. Objective: To review the evidence of frailty as a predictor of future falls among community-dwelling older people. Methods: Systematic review of literature and meta-analysis were performed using 6 electronic databases (Embase, Scopus, MEDLINE, CINAHL Plus, PsycINFO, and the Cochrane Library) searching for studies that prospectively examined risk of future fall risk according to frailty among community-dwelling older people published from 2010 to April 2015 with no language restrictions. Results: Of 2245 studies identified through the systematic review, 11 studies incorporating 68,723 individuals were included in the meta-analysis. Among 7 studies reporting odds ratios (ORs), frailty and prefrailty were significantly associated with higher risk of future falls (pooled OR = 1.84, 95% confidence interval [95% CI] = 1.43-2.38, P &lt; .001; pooled OR = 1.25, 95% CI = 1.01-1.53, P = .005, respectively). Among 4 studies reporting hazard ratios (HRs), whereas frailty was significantly associated with higher risk of future falls (pooled HR = 1.24, 95% CI = 1.10-1.41, P &lt; .001), future fall risk according to prefrailty did not reach statistical significance (pooled HR = 1.14, 95% CI = 0.95-1·36, P = 15). High heterogeneity was noted among 7 studies reporting ORs and seemed attributed to difference in gender proportion of cohorts according to subgroup and meta-regression analyses. Conclusions: Frailty is demonstrated to be a significant predictor of future falls among community-dwelling older people despite various criteria used to define frailty. The future fall risk according to frailty seemed to be higher in men than in women.","author":[{"dropping-particle":"","family":"Kojima","given":"Gotaro","non-dropping-particle":"","parse-names":false,"suffix":""}],"container-title":"Journal of the American Medical Directors Association","id":"ITEM-1","issue":"12","issued":{"date-parts":[["2015"]]},"page":"1027-1033","title":"Frailty as a Predictor of Future Falls Among Community-Dwelling Older People: A Systematic Review and Meta-Analysis","type":"article-journal","volume":"16"},"uris":["http://www.mendeley.com/documents/?uuid=2b93af43-5826-434c-8d59-b6cc7ef51278"]}],"mendeley":{"formattedCitation":"(Kojima, 2015)","plainTextFormattedCitation":"(Kojima, 2015)","previouslyFormattedCitation":"(Kojima, 2015)"},"properties":{"noteIndex":0},"schema":"https://github.com/citation-style-language/schema/raw/master/csl-citation.json"}</w:instrText>
      </w:r>
      <w:r w:rsidR="00346BFA" w:rsidRPr="00BC5B69">
        <w:rPr>
          <w:rFonts w:eastAsia="Calibri"/>
          <w:sz w:val="22"/>
          <w:szCs w:val="22"/>
          <w:lang w:val="en-US"/>
        </w:rPr>
        <w:fldChar w:fldCharType="separate"/>
      </w:r>
      <w:r w:rsidR="00E66FE2" w:rsidRPr="00BC5B69">
        <w:rPr>
          <w:rFonts w:eastAsia="Calibri"/>
          <w:noProof/>
          <w:sz w:val="22"/>
          <w:szCs w:val="22"/>
          <w:lang w:val="en-US"/>
        </w:rPr>
        <w:t>(Kojima, 2015)</w:t>
      </w:r>
      <w:r w:rsidR="00346BFA" w:rsidRPr="00BC5B69">
        <w:rPr>
          <w:rFonts w:eastAsia="Calibri"/>
          <w:sz w:val="22"/>
          <w:szCs w:val="22"/>
          <w:lang w:val="en-US"/>
        </w:rPr>
        <w:fldChar w:fldCharType="end"/>
      </w:r>
      <w:r w:rsidR="00180130" w:rsidRPr="00BC5B69">
        <w:rPr>
          <w:rFonts w:eastAsia="Calibri"/>
          <w:sz w:val="22"/>
          <w:szCs w:val="22"/>
          <w:lang w:val="en-US"/>
        </w:rPr>
        <w:t>.</w:t>
      </w:r>
      <w:r w:rsidR="009112CD" w:rsidRPr="00BC5B69">
        <w:rPr>
          <w:rFonts w:eastAsia="Calibri"/>
          <w:sz w:val="22"/>
          <w:szCs w:val="22"/>
          <w:lang w:val="en-US"/>
        </w:rPr>
        <w:t xml:space="preserve"> Older adults often use walking aids to assist </w:t>
      </w:r>
      <w:r w:rsidRPr="00BC5B69">
        <w:rPr>
          <w:rFonts w:eastAsia="Calibri"/>
          <w:sz w:val="22"/>
          <w:szCs w:val="22"/>
          <w:lang w:val="en-US"/>
        </w:rPr>
        <w:t xml:space="preserve">their </w:t>
      </w:r>
      <w:r w:rsidR="009112CD" w:rsidRPr="00BC5B69">
        <w:rPr>
          <w:rFonts w:eastAsia="Calibri"/>
          <w:sz w:val="22"/>
          <w:szCs w:val="22"/>
          <w:lang w:val="en-US"/>
        </w:rPr>
        <w:t xml:space="preserve">balance and mobility. Although the use of </w:t>
      </w:r>
      <w:r w:rsidR="00F85EF9" w:rsidRPr="00BC5B69">
        <w:rPr>
          <w:rFonts w:eastAsia="Calibri"/>
          <w:sz w:val="22"/>
          <w:szCs w:val="22"/>
          <w:lang w:val="en-US"/>
        </w:rPr>
        <w:t xml:space="preserve">a </w:t>
      </w:r>
      <w:r w:rsidR="009112CD" w:rsidRPr="00BC5B69">
        <w:rPr>
          <w:rFonts w:eastAsia="Calibri"/>
          <w:sz w:val="22"/>
          <w:szCs w:val="22"/>
          <w:lang w:val="en-US"/>
        </w:rPr>
        <w:t>walking aid is protective against falling, a significant relationship between risk of falling and using a walking aid</w:t>
      </w:r>
      <w:r w:rsidR="00D03D3B" w:rsidRPr="00BC5B69">
        <w:rPr>
          <w:rFonts w:eastAsia="Calibri"/>
          <w:sz w:val="22"/>
          <w:szCs w:val="22"/>
          <w:lang w:val="en-US"/>
        </w:rPr>
        <w:t xml:space="preserve"> was found in the present study</w:t>
      </w:r>
      <w:r w:rsidR="009112CD" w:rsidRPr="00BC5B69">
        <w:rPr>
          <w:rFonts w:eastAsia="Calibri"/>
          <w:sz w:val="22"/>
          <w:szCs w:val="22"/>
          <w:lang w:val="en-US"/>
        </w:rPr>
        <w:t xml:space="preserve">. </w:t>
      </w:r>
      <w:r w:rsidR="00EE35FE" w:rsidRPr="00BC5B69">
        <w:rPr>
          <w:rFonts w:eastAsia="Calibri"/>
          <w:sz w:val="22"/>
          <w:szCs w:val="22"/>
          <w:lang w:val="en-US"/>
        </w:rPr>
        <w:t xml:space="preserve">This </w:t>
      </w:r>
      <w:r w:rsidR="000D45CB" w:rsidRPr="00BC5B69">
        <w:rPr>
          <w:rFonts w:eastAsia="Calibri"/>
          <w:sz w:val="22"/>
          <w:szCs w:val="22"/>
          <w:lang w:val="en-US"/>
        </w:rPr>
        <w:t xml:space="preserve">is explained by </w:t>
      </w:r>
      <w:r w:rsidR="009112CD" w:rsidRPr="00BC5B69">
        <w:rPr>
          <w:rFonts w:eastAsia="Calibri"/>
          <w:sz w:val="22"/>
          <w:szCs w:val="22"/>
          <w:lang w:val="en-US"/>
        </w:rPr>
        <w:t xml:space="preserve">the underlying </w:t>
      </w:r>
      <w:r w:rsidR="000D45CB" w:rsidRPr="00BC5B69">
        <w:rPr>
          <w:rFonts w:eastAsia="Calibri"/>
          <w:sz w:val="22"/>
          <w:szCs w:val="22"/>
          <w:lang w:val="en-US"/>
        </w:rPr>
        <w:t xml:space="preserve">reasons of </w:t>
      </w:r>
      <w:r w:rsidR="008532A0" w:rsidRPr="00BC5B69">
        <w:rPr>
          <w:rFonts w:eastAsia="Calibri"/>
          <w:sz w:val="22"/>
          <w:szCs w:val="22"/>
          <w:lang w:val="en-US"/>
        </w:rPr>
        <w:t xml:space="preserve">gait </w:t>
      </w:r>
      <w:r w:rsidR="009112CD" w:rsidRPr="00BC5B69">
        <w:rPr>
          <w:rFonts w:eastAsia="Calibri"/>
          <w:sz w:val="22"/>
          <w:szCs w:val="22"/>
          <w:lang w:val="en-US"/>
        </w:rPr>
        <w:t xml:space="preserve">and </w:t>
      </w:r>
      <w:r w:rsidR="008532A0" w:rsidRPr="00BC5B69">
        <w:rPr>
          <w:rFonts w:eastAsia="Calibri"/>
          <w:sz w:val="22"/>
          <w:szCs w:val="22"/>
          <w:lang w:val="en-US"/>
        </w:rPr>
        <w:t xml:space="preserve">balance </w:t>
      </w:r>
      <w:r w:rsidR="009112CD" w:rsidRPr="00BC5B69">
        <w:rPr>
          <w:rFonts w:eastAsia="Calibri"/>
          <w:sz w:val="22"/>
          <w:szCs w:val="22"/>
          <w:lang w:val="en-US"/>
        </w:rPr>
        <w:t>problems</w:t>
      </w:r>
      <w:r w:rsidR="000D45CB" w:rsidRPr="00BC5B69">
        <w:rPr>
          <w:rFonts w:eastAsia="Calibri"/>
          <w:sz w:val="22"/>
          <w:szCs w:val="22"/>
          <w:lang w:val="en-US"/>
        </w:rPr>
        <w:t>,</w:t>
      </w:r>
      <w:r w:rsidR="009112CD" w:rsidRPr="00BC5B69">
        <w:rPr>
          <w:rFonts w:eastAsia="Calibri"/>
          <w:sz w:val="22"/>
          <w:szCs w:val="22"/>
          <w:lang w:val="en-US"/>
        </w:rPr>
        <w:t xml:space="preserve"> and</w:t>
      </w:r>
      <w:r w:rsidR="000D45CB" w:rsidRPr="00BC5B69">
        <w:rPr>
          <w:rFonts w:eastAsia="Calibri"/>
          <w:sz w:val="22"/>
          <w:szCs w:val="22"/>
          <w:lang w:val="en-US"/>
        </w:rPr>
        <w:t xml:space="preserve"> the use of a walking aid related improvement in </w:t>
      </w:r>
      <w:r w:rsidR="009112CD" w:rsidRPr="00BC5B69">
        <w:rPr>
          <w:rFonts w:eastAsia="Calibri"/>
          <w:sz w:val="22"/>
          <w:szCs w:val="22"/>
          <w:lang w:val="en-US"/>
        </w:rPr>
        <w:t xml:space="preserve">mobility </w:t>
      </w:r>
      <w:r w:rsidR="000D45CB" w:rsidRPr="00BC5B69">
        <w:rPr>
          <w:rFonts w:eastAsia="Calibri"/>
          <w:sz w:val="22"/>
          <w:szCs w:val="22"/>
          <w:lang w:val="en-US"/>
        </w:rPr>
        <w:t>of the patients</w:t>
      </w:r>
      <w:r w:rsidR="00752A40" w:rsidRPr="00BC5B69">
        <w:rPr>
          <w:rFonts w:eastAsia="Calibri"/>
          <w:sz w:val="22"/>
          <w:szCs w:val="22"/>
          <w:lang w:val="en-US"/>
        </w:rPr>
        <w:t xml:space="preserve"> </w:t>
      </w:r>
      <w:r w:rsidR="009112CD"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{"citationItems":[{"id":"ITEM-1","itemData":{"DOI":"10.1016/j.medengphy.2017.06.013","ISSN":"18734030","abstract":"To assist balance and mobility, older adults are often prescribed walking aids. Nevertheless, surprisingly their use has been associated with increased falls-risk. To address this finding we first need to characterise a person's stability while using a walking aid. Therefore, we present a generalisable method for the assessment of stability of walking frame (WF) users. Our method, for the first time, considers user and device as a combined system. We define the combined centre of pressure (CoP system ) of user and WF to be the point through which the resultant ground reaction force for all feet of both the WF and user acts if the resultant moment acts only around an axis perpendicular to the ground plane. We also define the combined base of support (BoS system ) to be the convex polygon formed by the boundaries of the anatomical and WF feet in contact with the ground and interconnecting lines between them. To measure these parameters we have developed an instrumented WF with a load cell in each foot which we use together with pressure-sensing insoles and a camera system, the latter providing the relative position of the WF and anatomical feet. Software uses the resulting data to calculate the stability margin of the combined system, defined as the distance between CoP system and the nearest edge of BoS system . Our software also calculates the weight supported through the frame and when each foot (of user and/or frame) is on the floor. Finally, we present experimental work demonstrating the value of our approach.","author":[{"dropping-particle":"","family":"Costamagna","given":"E.","non-dropping-particle":"","parse-names":false,"suffix":""},{"dropping-particle":"","family":"Thies","given":"S. B.","non-dropping-particle":"","parse-names":false,"suffix":""},{"dropping-particle":"","family":"Kenney","given":"L. P.J.","non-dropping-particle":"","parse-names":false,"suffix":""},{"dropping-particle":"","family":"Howard","given":"D.","non-dropping-particle":"","parse-names":false,"suffix":""},{"dropping-particle":"","family":"Liu","given":"A.","non-dropping-particle":"","parse-names":false,"suffix":""},{"dropping-particle":"","family":"Ogden","given":"D.","non-dropping-particle":"","parse-names":false,"suffix":""}],"container-title":"Medical engineering &amp; physics","id":"ITEM-1","issued":{"date-parts":[["2017"]]},"page":"167-175","title":"A generalisable methodology for stability assessment of walking aid users","type":"article-journal","volume":"47"},"uris":["http://www.mendeley.com/documents/?uuid=6eced8e7-e3f7-4bf5-b510-f36e02927354"]}],"mendeley":{"formattedCitation":"(Costamagna et al., 2017)","plainTextFormattedCitation":"(Costamagna et al., 2017)","previouslyFormattedCitation":"(Costamagna et al., 2017)"},"properties":{"noteIndex":0},"schema":"https://github.com/citation-style-language/schema/raw/master/csl-citation.json"}</w:instrText>
      </w:r>
      <w:r w:rsidR="009112CD" w:rsidRPr="00BC5B69">
        <w:rPr>
          <w:rFonts w:eastAsia="Calibri"/>
          <w:sz w:val="22"/>
          <w:szCs w:val="22"/>
          <w:lang w:val="en-US"/>
        </w:rPr>
        <w:fldChar w:fldCharType="separate"/>
      </w:r>
      <w:r w:rsidR="00E66FE2" w:rsidRPr="00BC5B69">
        <w:rPr>
          <w:rFonts w:eastAsia="Calibri"/>
          <w:noProof/>
          <w:sz w:val="22"/>
          <w:szCs w:val="22"/>
          <w:lang w:val="en-US"/>
        </w:rPr>
        <w:t>(Costamagna et al., 2017)</w:t>
      </w:r>
      <w:r w:rsidR="009112CD" w:rsidRPr="00BC5B69">
        <w:rPr>
          <w:rFonts w:eastAsia="Calibri"/>
          <w:sz w:val="22"/>
          <w:szCs w:val="22"/>
          <w:lang w:val="en-US"/>
        </w:rPr>
        <w:fldChar w:fldCharType="end"/>
      </w:r>
      <w:r w:rsidR="009112CD" w:rsidRPr="00BC5B69">
        <w:rPr>
          <w:rFonts w:eastAsia="Calibri"/>
          <w:sz w:val="22"/>
          <w:szCs w:val="22"/>
          <w:lang w:val="en-US"/>
        </w:rPr>
        <w:t xml:space="preserve">. </w:t>
      </w:r>
    </w:p>
    <w:p w14:paraId="5E8A2DA8" w14:textId="026FEB9A" w:rsidR="00CD0964" w:rsidRPr="00BC5B69" w:rsidRDefault="00BB2F93" w:rsidP="004747C3">
      <w:pPr>
        <w:spacing w:line="480" w:lineRule="auto"/>
        <w:jc w:val="both"/>
        <w:rPr>
          <w:rFonts w:eastAsia="Calibri"/>
          <w:sz w:val="22"/>
          <w:szCs w:val="22"/>
          <w:lang w:val="en-US"/>
        </w:rPr>
      </w:pPr>
      <w:r w:rsidRPr="00BC5B69">
        <w:rPr>
          <w:rFonts w:eastAsia="Calibri"/>
          <w:sz w:val="22"/>
          <w:szCs w:val="22"/>
          <w:lang w:val="en-US"/>
        </w:rPr>
        <w:t xml:space="preserve">Gait is a complex process organized with high cognitive functions as well as motor and sensory systems </w:t>
      </w:r>
      <w:r w:rsidR="00254583"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{"citationItems":[{"id":"ITEM-1","itemData":{"DOI":"10.1093/ageing/afs012","ISBN":"0002-0729","ISSN":"00020729","PMID":"22374645","abstract":"BACKGROUND: cognitive impairment is an established fall risk factor; however, it is unclear whether a disease-specific diagnosis (i.e. dementia), measures of global cognition or impairments in specific cognitive domains (i.e. executive function) have the greatest association with fall risk. Our objective was to evaluate the epidemiological evidence linking cognitive impairment and fall risk.\\n\\nMETHODS: studies were identified through systematic searches of the electronic databases of MEDLINE, EMBASE, PyschINFO (1988-2009). Bibliographies of retrieved articles were also searched. A fixed-effects meta-analysis was performed using an inverse-variance method.\\n\\nRESULTS: twenty-seven studies met the inclusion criteria. Impairment on global measures of cognition was associated with any fall, serious injuries (summary estimate of OR = 2.13 (1.56, 2.90)) and distal radius fractures in community-dwelling older adults. Executive function impairment, even subtle deficits in healthy community-dwelling older adults, was associated with an increased risk for any fall (summary estimate of OR = 1.44 (1.20, 1.73)) and falls with serious injury. A diagnosis of dementia, without specification of dementia subtype or disease severity, was associated with risk for any fall but not serious fall injury in institution-dwelling older adults.\\n\\nCONCLUSION: the method used to define cognitive impairment and the type of fall outcome are both important when quantifying risk. There is strong evidence global measures of cognition are associated with serious fall-related injury, though there is no consensus on threshold values. Executive function was also associated with increased risk, which supports its inclusion in fall risk assessment especially when global measures are within normal limits.","author":[{"dropping-particle":"","family":"Muir","given":"Susan W.","non-dropping-particle":"","parse-names":false,"suffix":""},{"dropping-particle":"","family":"Gopaul","given":"Karen","non-dropping-particle":"","parse-names":false,"suffix":""},{"dropping-particle":"","family":"Montero Odasso","given":"Manuel M.","non-dropping-particle":"","parse-names":false,"suffix":""}],"container-title":"Age and Ageing","id":"ITEM-1","issue":"3","issued":{"date-parts":[["2012"]]},"page":"299-308","title":"The role of cognitive impairment in fall risk among older adults: A systematic review and meta-analysis","type":"article-journal","volume":"41"},"uris":["http://www.mendeley.com/documents/?uuid=d3ce70de-f54e-42a1-962a-a31589eda724"]}],"mendeley":{"formattedCitation":"(Muir, Gopaul, &amp; Montero Odasso, 2012)","plainTextFormattedCitation":"(Muir, Gopaul, &amp; Montero Odasso, 2012)","previouslyFormattedCitation":"(Muir, Gopaul, &amp; Montero Odasso, 2012)"},"properties":{"noteIndex":0},"schema":"https://github.com/citation-style-language/schema/raw/master/csl-citation.json"}</w:instrText>
      </w:r>
      <w:r w:rsidR="00254583" w:rsidRPr="00BC5B69">
        <w:rPr>
          <w:rFonts w:eastAsia="Calibri"/>
          <w:sz w:val="22"/>
          <w:szCs w:val="22"/>
          <w:lang w:val="en-US"/>
        </w:rPr>
        <w:fldChar w:fldCharType="separate"/>
      </w:r>
      <w:r w:rsidR="00E66FE2" w:rsidRPr="00BC5B69">
        <w:rPr>
          <w:rFonts w:eastAsia="Calibri"/>
          <w:noProof/>
          <w:sz w:val="22"/>
          <w:szCs w:val="22"/>
          <w:lang w:val="en-US"/>
        </w:rPr>
        <w:t>(Muir, Gopaul, &amp; Montero Odasso, 2012)</w:t>
      </w:r>
      <w:r w:rsidR="00254583" w:rsidRPr="00BC5B69">
        <w:rPr>
          <w:rFonts w:eastAsia="Calibri"/>
          <w:sz w:val="22"/>
          <w:szCs w:val="22"/>
          <w:lang w:val="en-US"/>
        </w:rPr>
        <w:fldChar w:fldCharType="end"/>
      </w:r>
      <w:r w:rsidRPr="00BC5B69">
        <w:rPr>
          <w:rFonts w:eastAsia="Calibri"/>
          <w:sz w:val="22"/>
          <w:szCs w:val="22"/>
          <w:lang w:val="en-US"/>
        </w:rPr>
        <w:t xml:space="preserve">. It was found that especially executive functions were </w:t>
      </w:r>
      <w:r w:rsidRPr="00BC5B69">
        <w:rPr>
          <w:rFonts w:eastAsia="Calibri"/>
          <w:sz w:val="22"/>
          <w:szCs w:val="22"/>
          <w:lang w:val="en-US"/>
        </w:rPr>
        <w:lastRenderedPageBreak/>
        <w:t xml:space="preserve">important in the control of </w:t>
      </w:r>
      <w:r w:rsidR="007C4234" w:rsidRPr="00BC5B69">
        <w:rPr>
          <w:rFonts w:eastAsia="Calibri"/>
          <w:sz w:val="22"/>
          <w:szCs w:val="22"/>
          <w:lang w:val="en-US"/>
        </w:rPr>
        <w:t xml:space="preserve">gait </w:t>
      </w:r>
      <w:r w:rsidRPr="00BC5B69">
        <w:rPr>
          <w:rFonts w:eastAsia="Calibri"/>
          <w:sz w:val="22"/>
          <w:szCs w:val="22"/>
          <w:lang w:val="en-US"/>
        </w:rPr>
        <w:t>and</w:t>
      </w:r>
      <w:r w:rsidR="007C4234" w:rsidRPr="00BC5B69">
        <w:rPr>
          <w:rFonts w:eastAsia="Calibri"/>
          <w:sz w:val="22"/>
          <w:szCs w:val="22"/>
          <w:lang w:val="en-US"/>
        </w:rPr>
        <w:t xml:space="preserve"> balance</w:t>
      </w:r>
      <w:r w:rsidRPr="00BC5B69">
        <w:rPr>
          <w:rFonts w:eastAsia="Calibri"/>
          <w:sz w:val="22"/>
          <w:szCs w:val="22"/>
          <w:lang w:val="en-US"/>
        </w:rPr>
        <w:t xml:space="preserve">, and many older adults could not perform dual tasks </w:t>
      </w:r>
      <w:r w:rsidR="00D03D3B" w:rsidRPr="00BC5B69">
        <w:rPr>
          <w:rFonts w:eastAsia="Calibri"/>
          <w:sz w:val="22"/>
          <w:szCs w:val="22"/>
          <w:lang w:val="en-US"/>
        </w:rPr>
        <w:t>such as</w:t>
      </w:r>
      <w:r w:rsidRPr="00BC5B69">
        <w:rPr>
          <w:rFonts w:eastAsia="Calibri"/>
          <w:sz w:val="22"/>
          <w:szCs w:val="22"/>
          <w:lang w:val="en-US"/>
        </w:rPr>
        <w:t xml:space="preserve"> walking and talk</w:t>
      </w:r>
      <w:r w:rsidR="00D03D3B" w:rsidRPr="00BC5B69">
        <w:rPr>
          <w:rFonts w:eastAsia="Calibri"/>
          <w:sz w:val="22"/>
          <w:szCs w:val="22"/>
          <w:lang w:val="en-US"/>
        </w:rPr>
        <w:t>ing</w:t>
      </w:r>
      <w:r w:rsidRPr="00BC5B69">
        <w:rPr>
          <w:rFonts w:eastAsia="Calibri"/>
          <w:sz w:val="22"/>
          <w:szCs w:val="22"/>
          <w:lang w:val="en-US"/>
        </w:rPr>
        <w:t xml:space="preserve"> at the same time </w:t>
      </w:r>
      <w:r w:rsidR="00254583"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{"citationItems":[{"id":"ITEM-1","itemData":{"DOI":"10.1007/s00391-014-0845-0","ISBN":"1435-1269 (Electronic)\\r0948-6704 (Linking)","ISSN":"0948-6704","PMID":"25633391","abstract":"BACKGROUND: Gait and cognition are closely associated. Older adults with gait deficits have an increased risk of developing cognitive deficits and cognitive deficits are associated with worsened gait. Both gait and cognitive impairments are risk factors for falls in older adults. OBJECTIVES: The aims of this article are (1) to highlight the association between gait and cognition, particularly executive function, (2) to present motor cognitive dual tasking test paradigms and (3) to provide an algorithm for standardized mobility tests that can quickly and easily be performed in a private practice or on a hospital ward. MATERIALS AND METHODS: A Pubmed review of current literature on the topic as well as the personal experience and recommendations of the authors are presented. Assessments summarized: clock drawing test, stops walking when talking test, normal walking speed, timed up and go test, regular, as a dual task and imagined. RESULTS: It is recommended that at least two of the presented assessments should be performed at each clinical visit in all patients age 65 years or older. If one of the assessments presented provides abnormal results, patients should be referred to a gait specialist for an in-depth quantitative gait analysis. CONCLUSION: Assessments of functional mobility, fall risk and cognition should be an integral part of every comprehensive geriatric assessment. Quantitative gait analysis allows not only the early detection of gait deficits and fall risk, but also of cognitive deficits. Early detection allows for timely implementation of targeted interventions to improve gait and/or cognition.","author":[{"dropping-particle":"","family":"Bridenbaugh","given":"Stephanie A.","non-dropping-particle":"","parse-names":false,"suffix":""},{"dropping-particle":"","family":"Kressig","given":"Reto W.","non-dropping-particle":"","parse-names":false,"suffix":""}],"container-title":"Zeitschrift für Gerontologie und Geriatrie","id":"ITEM-1","issue":"1","issued":{"date-parts":[["2015"]]},"page":"15-21","title":"Motor cognitive dual tasking: Early detection of gait impairment, fall risk and cognitive decline","type":"article-journal","volume":"48"},"uris":["http://www.mendeley.com/documents/?uuid=c0d12b46-bfe9-475a-b9df-8d16e4d8dfd6"]}],"mendeley":{"formattedCitation":"(Bridenbaugh &amp; Kressig, 2015)","plainTextFormattedCitation":"(Bridenbaugh &amp; Kressig, 2015)","previouslyFormattedCitation":"(Bridenbaugh &amp; Kressig, 2015)"},"properties":{"noteIndex":0},"schema":"https://github.com/citation-style-language/schema/raw/master/csl-citation.json"}</w:instrText>
      </w:r>
      <w:r w:rsidR="00254583" w:rsidRPr="00BC5B69">
        <w:rPr>
          <w:rFonts w:eastAsia="Calibri"/>
          <w:sz w:val="22"/>
          <w:szCs w:val="22"/>
          <w:lang w:val="en-US"/>
        </w:rPr>
        <w:fldChar w:fldCharType="separate"/>
      </w:r>
      <w:r w:rsidR="00E66FE2" w:rsidRPr="00BC5B69">
        <w:rPr>
          <w:rFonts w:eastAsia="Calibri"/>
          <w:noProof/>
          <w:sz w:val="22"/>
          <w:szCs w:val="22"/>
          <w:lang w:val="en-US"/>
        </w:rPr>
        <w:t>(Bridenbaugh &amp; Kressig, 2015)</w:t>
      </w:r>
      <w:r w:rsidR="00254583" w:rsidRPr="00BC5B69">
        <w:rPr>
          <w:rFonts w:eastAsia="Calibri"/>
          <w:sz w:val="22"/>
          <w:szCs w:val="22"/>
          <w:lang w:val="en-US"/>
        </w:rPr>
        <w:fldChar w:fldCharType="end"/>
      </w:r>
      <w:r w:rsidRPr="00BC5B69">
        <w:rPr>
          <w:rFonts w:eastAsia="Calibri"/>
          <w:sz w:val="22"/>
          <w:szCs w:val="22"/>
          <w:lang w:val="en-US"/>
        </w:rPr>
        <w:t xml:space="preserve">. </w:t>
      </w:r>
      <w:r w:rsidR="004B40CF" w:rsidRPr="00BC5B69">
        <w:rPr>
          <w:rFonts w:eastAsia="Calibri"/>
          <w:sz w:val="22"/>
          <w:szCs w:val="22"/>
          <w:lang w:val="en-US"/>
        </w:rPr>
        <w:t xml:space="preserve">Gait </w:t>
      </w:r>
      <w:r w:rsidR="009112CD" w:rsidRPr="00BC5B69">
        <w:rPr>
          <w:rFonts w:eastAsia="Calibri"/>
          <w:sz w:val="22"/>
          <w:szCs w:val="22"/>
          <w:lang w:val="en-US"/>
        </w:rPr>
        <w:t xml:space="preserve">and </w:t>
      </w:r>
      <w:r w:rsidR="004B40CF" w:rsidRPr="00BC5B69">
        <w:rPr>
          <w:rFonts w:eastAsia="Calibri"/>
          <w:sz w:val="22"/>
          <w:szCs w:val="22"/>
          <w:lang w:val="en-US"/>
        </w:rPr>
        <w:t xml:space="preserve">balance </w:t>
      </w:r>
      <w:r w:rsidR="009112CD" w:rsidRPr="00BC5B69">
        <w:rPr>
          <w:rFonts w:eastAsia="Calibri"/>
          <w:sz w:val="22"/>
          <w:szCs w:val="22"/>
          <w:lang w:val="en-US"/>
        </w:rPr>
        <w:t>disturbances are the main causes of falls</w:t>
      </w:r>
      <w:r w:rsidR="00254583" w:rsidRPr="00BC5B69">
        <w:rPr>
          <w:rFonts w:eastAsia="Calibri"/>
          <w:sz w:val="22"/>
          <w:szCs w:val="22"/>
          <w:lang w:val="en-US"/>
        </w:rPr>
        <w:t xml:space="preserve"> </w:t>
      </w:r>
      <w:r w:rsidR="00254583"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{"citationItems":[{"id":"ITEM-1","itemData":{"DOI":"10.1007/s00391-014-0845-0","ISBN":"1435-1269 (Electronic)\\r0948-6704 (Linking)","ISSN":"0948-6704","PMID":"25633391","abstract":"BACKGROUND: Gait and cognition are closely associated. Older adults with gait deficits have an increased risk of developing cognitive deficits and cognitive deficits are associated with worsened gait. Both gait and cognitive impairments are risk factors for falls in older adults. OBJECTIVES: The aims of this article are (1) to highlight the association between gait and cognition, particularly executive function, (2) to present motor cognitive dual tasking test paradigms and (3) to provide an algorithm for standardized mobility tests that can quickly and easily be performed in a private practice or on a hospital ward. MATERIALS AND METHODS: A Pubmed review of current literature on the topic as well as the personal experience and recommendations of the authors are presented. Assessments summarized: clock drawing test, stops walking when talking test, normal walking speed, timed up and go test, regular, as a dual task and imagined. RESULTS: It is recommended that at least two of the presented assessments should be performed at each clinical visit in all patients age 65 years or older. If one of the assessments presented provides abnormal results, patients should be referred to a gait specialist for an in-depth quantitative gait analysis. CONCLUSION: Assessments of functional mobility, fall risk and cognition should be an integral part of every comprehensive geriatric assessment. Quantitative gait analysis allows not only the early detection of gait deficits and fall risk, but also of cognitive deficits. Early detection allows for timely implementation of targeted interventions to improve gait and/or cognition.","author":[{"dropping-particle":"","family":"Bridenbaugh","given":"Stephanie A.","non-dropping-particle":"","parse-names":false,"suffix":""},{"dropping-particle":"","family":"Kressig","given":"Reto W.","non-dropping-particle":"","parse-names":false,"suffix":""}],"container-title":"Zeitschrift für Gerontologie und Geriatrie","id":"ITEM-1","issue":"1","issued":{"date-parts":[["2015"]]},"page":"15-21","title":"Motor cognitive dual tasking: Early detection of gait impairment, fall risk and cognitive decline","type":"article-journal","volume":"48"},"uris":["http://www.mendeley.com/documents/?uuid=c0d12b46-bfe9-475a-b9df-8d16e4d8dfd6"]}],"mendeley":{"formattedCitation":"(Bridenbaugh &amp; Kressig, 2015)","plainTextFormattedCitation":"(Bridenbaugh &amp; Kressig, 2015)","previouslyFormattedCitation":"(Bridenbaugh &amp; Kressig, 2015)"},"properties":{"noteIndex":0},"schema":"https://github.com/citation-style-language/schema/raw/master/csl-citation.json"}</w:instrText>
      </w:r>
      <w:r w:rsidR="00254583" w:rsidRPr="00BC5B69">
        <w:rPr>
          <w:rFonts w:eastAsia="Calibri"/>
          <w:sz w:val="22"/>
          <w:szCs w:val="22"/>
          <w:lang w:val="en-US"/>
        </w:rPr>
        <w:fldChar w:fldCharType="separate"/>
      </w:r>
      <w:r w:rsidR="00E66FE2" w:rsidRPr="00BC5B69">
        <w:rPr>
          <w:rFonts w:eastAsia="Calibri"/>
          <w:noProof/>
          <w:sz w:val="22"/>
          <w:szCs w:val="22"/>
          <w:lang w:val="en-US"/>
        </w:rPr>
        <w:t>(Bridenbaugh &amp; Kressig, 2015)</w:t>
      </w:r>
      <w:r w:rsidR="00254583" w:rsidRPr="00BC5B69">
        <w:rPr>
          <w:rFonts w:eastAsia="Calibri"/>
          <w:sz w:val="22"/>
          <w:szCs w:val="22"/>
          <w:lang w:val="en-US"/>
        </w:rPr>
        <w:fldChar w:fldCharType="end"/>
      </w:r>
      <w:r w:rsidRPr="00BC5B69">
        <w:rPr>
          <w:rFonts w:eastAsia="Calibri"/>
          <w:sz w:val="22"/>
          <w:szCs w:val="22"/>
          <w:lang w:val="en-US"/>
        </w:rPr>
        <w:t xml:space="preserve">. </w:t>
      </w:r>
      <w:r w:rsidR="009112CD" w:rsidRPr="00BC5B69">
        <w:rPr>
          <w:rFonts w:eastAsia="Calibri"/>
          <w:sz w:val="22"/>
          <w:szCs w:val="22"/>
          <w:lang w:val="en-US"/>
        </w:rPr>
        <w:t>As compatible with this information</w:t>
      </w:r>
      <w:r w:rsidRPr="00BC5B69">
        <w:rPr>
          <w:rFonts w:eastAsia="Calibri"/>
          <w:sz w:val="22"/>
          <w:szCs w:val="22"/>
          <w:lang w:val="en-US"/>
        </w:rPr>
        <w:t>, the decrease in MMSE scores was found to be related to fall</w:t>
      </w:r>
      <w:r w:rsidR="001A1029" w:rsidRPr="00BC5B69">
        <w:rPr>
          <w:rFonts w:eastAsia="Calibri"/>
          <w:sz w:val="22"/>
          <w:szCs w:val="22"/>
          <w:lang w:val="en-US"/>
        </w:rPr>
        <w:t xml:space="preserve">ing risk </w:t>
      </w:r>
      <w:r w:rsidRPr="00BC5B69">
        <w:rPr>
          <w:rFonts w:eastAsia="Calibri"/>
          <w:sz w:val="22"/>
          <w:szCs w:val="22"/>
          <w:lang w:val="en-US"/>
        </w:rPr>
        <w:t xml:space="preserve">according to all four assessment tools in our study. </w:t>
      </w:r>
      <w:r w:rsidR="001A1029" w:rsidRPr="00BC5B69">
        <w:rPr>
          <w:rFonts w:eastAsia="Calibri"/>
          <w:sz w:val="22"/>
          <w:szCs w:val="22"/>
          <w:lang w:val="en-US"/>
        </w:rPr>
        <w:t>However, while dementia was associated with risk of falling according to POMA and walking speed, it was found that it did not increase the risk of falling according to TUG and fall history. The reason is that although TUG may seem like a simple test, it requires the integration of many systems such as attention, memory, and execution functions, and therefore it has been shown that TUG is not an appropriate test to assess patients with dementia</w:t>
      </w:r>
      <w:r w:rsidR="00A21FBE" w:rsidRPr="00BC5B69">
        <w:rPr>
          <w:rFonts w:eastAsia="Calibri"/>
          <w:sz w:val="22"/>
          <w:szCs w:val="22"/>
          <w:lang w:val="en-US"/>
        </w:rPr>
        <w:t xml:space="preserve"> </w:t>
      </w:r>
      <w:r w:rsidR="00A21FBE"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{"citationItems":[{"id":"ITEM-1","itemData":{"DOI":"10.1371/journal.pone.0185641","ISSN":"19326203","abstract":"Aims The aim of this study was to establish ‘Timed up and Go’ test (TUG) normative data among community dwelling older adults stratified based on cognitive status, gender and age groups. Methods A total of 2084 community dwelling older adults from wave I and II were recruited through a multistage random sampling method. TUG was performed using the standard protocol and scores were then stratified based on with and without mild cognitive impairment (MCI), gender and in a 5-year age groups ranging from ages of 60’s to 80’s. Results 529(16%) participants were identified to have MCI. Past history of falls and medical history of hypertension, heart disease, joint pain, hearing and vision problem, and urinary incontinence were found to have influenced TUG performance. Cognitive status as a mediator, predicted TUG performance even when both gender and age were controlled for (B 0.24, 95% CI (0.02–0.47), β 0.03, t 2.10, p = 0.36). Further descriptive analysis showed, participants with MCI, women and older in age took a longer time to complete TUG, as compared to men with MCI across all age groups with exceptions for some age groups. Conclusion These results suggested that MCI needs to be taken into consideration when testing older adults using TUG, besides age and gender factors. Data using fast speed TUG may be required among older adults with and without MCI for further understanding.","author":[{"dropping-particle":"","family":"Ibrahim","given":"Azianah","non-dropping-particle":"","parse-names":false,"suffix":""},{"dropping-particle":"","family":"Singh","given":"Devinder Kaur Ajit","non-dropping-particle":"","parse-names":false,"suffix":""},{"dropping-particle":"","family":"Shahar","given":"Suzana","non-dropping-particle":"","parse-names":false,"suffix":""}],"container-title":"PLoS ONE","id":"ITEM-1","issue":"10","issued":{"date-parts":[["2017"]]},"page":"e0185641","title":"‘Timed Up and Go’ test: Age, gender and cognitive impairment stratified normative values of older adults","type":"article-journal","volume":"12"},"uris":["http://www.mendeley.com/documents/?uuid=f047cc4a-100e-44ef-83fc-fbc8c4eef731"]}],"mendeley":{"formattedCitation":"(Ibrahim, Singh, &amp; Shahar, 2017)","plainTextFormattedCitation":"(Ibrahim, Singh, &amp; Shahar, 2017)","previouslyFormattedCitation":"(Ibrahim, Singh, &amp; Shahar, 2017)"},"properties":{"noteIndex":0},"schema":"https://github.com/citation-style-language/schema/raw/master/csl-citation.json"}</w:instrText>
      </w:r>
      <w:r w:rsidR="00A21FBE" w:rsidRPr="00BC5B69">
        <w:rPr>
          <w:rFonts w:eastAsia="Calibri"/>
          <w:sz w:val="22"/>
          <w:szCs w:val="22"/>
          <w:lang w:val="en-US"/>
        </w:rPr>
        <w:fldChar w:fldCharType="separate"/>
      </w:r>
      <w:r w:rsidR="00E66FE2" w:rsidRPr="00BC5B69">
        <w:rPr>
          <w:rFonts w:eastAsia="Calibri"/>
          <w:noProof/>
          <w:sz w:val="22"/>
          <w:szCs w:val="22"/>
          <w:lang w:val="en-US"/>
        </w:rPr>
        <w:t>(Ibrahim, Singh, &amp; Shahar, 2017)</w:t>
      </w:r>
      <w:r w:rsidR="00A21FBE" w:rsidRPr="00BC5B69">
        <w:rPr>
          <w:rFonts w:eastAsia="Calibri"/>
          <w:sz w:val="22"/>
          <w:szCs w:val="22"/>
          <w:lang w:val="en-US"/>
        </w:rPr>
        <w:fldChar w:fldCharType="end"/>
      </w:r>
      <w:r w:rsidR="001A1029" w:rsidRPr="00BC5B69">
        <w:rPr>
          <w:rFonts w:eastAsia="Calibri"/>
          <w:sz w:val="22"/>
          <w:szCs w:val="22"/>
          <w:lang w:val="en-US"/>
        </w:rPr>
        <w:t xml:space="preserve">. In addition, history of fall does not seem to be appropriate for the evaluation of these patients because of the difficulty in </w:t>
      </w:r>
      <w:r w:rsidR="00D03D3B" w:rsidRPr="00BC5B69">
        <w:rPr>
          <w:rFonts w:eastAsia="Calibri"/>
          <w:sz w:val="22"/>
          <w:szCs w:val="22"/>
          <w:lang w:val="en-US"/>
        </w:rPr>
        <w:t xml:space="preserve">recalling </w:t>
      </w:r>
      <w:r w:rsidR="001A1029" w:rsidRPr="00BC5B69">
        <w:rPr>
          <w:rFonts w:eastAsia="Calibri"/>
          <w:sz w:val="22"/>
          <w:szCs w:val="22"/>
          <w:lang w:val="en-US"/>
        </w:rPr>
        <w:t xml:space="preserve">whether or not they </w:t>
      </w:r>
      <w:r w:rsidR="00D03D3B" w:rsidRPr="00BC5B69">
        <w:rPr>
          <w:rFonts w:eastAsia="Calibri"/>
          <w:sz w:val="22"/>
          <w:szCs w:val="22"/>
          <w:lang w:val="en-US"/>
        </w:rPr>
        <w:t>fell</w:t>
      </w:r>
      <w:r w:rsidR="001A1029" w:rsidRPr="00BC5B69">
        <w:rPr>
          <w:rFonts w:eastAsia="Calibri"/>
          <w:sz w:val="22"/>
          <w:szCs w:val="22"/>
          <w:lang w:val="en-US"/>
        </w:rPr>
        <w:t>.</w:t>
      </w:r>
      <w:r w:rsidR="00A21FBE" w:rsidRPr="00BC5B69">
        <w:rPr>
          <w:rFonts w:eastAsia="Calibri"/>
          <w:sz w:val="22"/>
          <w:szCs w:val="22"/>
          <w:lang w:val="en-US"/>
        </w:rPr>
        <w:t xml:space="preserve"> </w:t>
      </w:r>
      <w:r w:rsidR="00434453" w:rsidRPr="00BC5B69">
        <w:rPr>
          <w:rFonts w:eastAsia="Calibri"/>
          <w:sz w:val="22"/>
          <w:szCs w:val="22"/>
          <w:lang w:val="en-US"/>
        </w:rPr>
        <w:t>Another factor that leads to cognitive impairment and fall</w:t>
      </w:r>
      <w:r w:rsidR="00D03D3B" w:rsidRPr="00BC5B69">
        <w:rPr>
          <w:rFonts w:eastAsia="Calibri"/>
          <w:sz w:val="22"/>
          <w:szCs w:val="22"/>
          <w:lang w:val="en-US"/>
        </w:rPr>
        <w:t>ing</w:t>
      </w:r>
      <w:r w:rsidR="00434453" w:rsidRPr="00BC5B69">
        <w:rPr>
          <w:rFonts w:eastAsia="Calibri"/>
          <w:sz w:val="22"/>
          <w:szCs w:val="22"/>
          <w:lang w:val="en-US"/>
        </w:rPr>
        <w:t xml:space="preserve"> is depression </w:t>
      </w:r>
      <w:r w:rsidR="00434453"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{"citationItems":[{"id":"ITEM-1","itemData":{"DOI":"10.1016/j.psychres.2017.01.024","ISSN":"18727123","abstract":"Remitted late life depression exhibits persistent cognitive impairments and enhances the risk of dementia. This study aimed to examine the characteristics of cognitive dysfunction in remitted late life depression and amnestic mild cognitive impairment (MCI). Remitted late life depression (n=61), amnestic MCI (n=61) and age-education-matched controls (n=65) were evaluated with a battery of neuropsychological tests grouped into executive function, memory, processing speed, attention and visuospatial domains. Compared with control subjects, amnestic MCI individuals showed more severe cognitive impairments in all domains, while remitted late life depression individuals performed worse in executive function and memory. The pattern of cognitive profiles significantly differed between remitted late life depression and amnestic MCI groups, which might be mainly attributed to worse impairments in memory and executive function in amnestic MCI individuals. Executive function was the core impaired cognitive domain mediating the influence of predictors on other cognitions in both remitted late life depression and amnestic MCI groups, which indicated a possible etiopathogenic mechanism underlying the conversion to dementia.","author":[{"dropping-particle":"","family":"Liao","given":"Wenxiang","non-dropping-particle":"","parse-names":false,"suffix":""},{"dropping-particle":"","family":"Zhang","given":"Xiangrong","non-dropping-particle":"","parse-names":false,"suffix":""},{"dropping-particle":"","family":"Shu","given":"Hao","non-dropping-particle":"","parse-names":false,"suffix":""},{"dropping-particle":"","family":"Wang","given":"Zan","non-dropping-particle":"","parse-names":false,"suffix":""},{"dropping-particle":"","family":"Liu","given":"Duan","non-dropping-particle":"","parse-names":false,"suffix":""},{"dropping-particle":"","family":"Zhang","given":"Zhi Jun","non-dropping-particle":"","parse-names":false,"suffix":""}],"container-title":"Psychiatry Research","id":"ITEM-1","issued":{"date-parts":[["2017"]]},"page":"168-175","title":"The characteristic of cognitive dysfunction in remitted late life depression and amnestic mild cognitive impairment","type":"article-journal","volume":"251"},"uris":["http://www.mendeley.com/documents/?uuid=6c7ff0a2-36fe-4fd5-b275-9ef789d4084d"]},{"id":"ITEM-2","itemData":{"DOI":"10.1093/geronb/63.4.P249","ISBN":"1079-5014","ISSN":"10795014","PMID":"18689768","abstract":"A population-based sample (N = 787) was followed for 8 years and assessed three times on measures of well-being (depressive symptoms, morale, and control) and fall history. Marginal models assessed the association between baseline well-being measures and falling. Random effects models assessed change in well-being indicators as well as change in fall rate over 8 years. After adjustment for sociodemographics, psychotropic medication, health, and sensorimotor function, our results showed that depressive symptoms, control, and morale were risk factors for subsequent falling, and an increase in depressive symptoms or a reduction in morale was associated with an increasing fall rate. We conclude that the three well-being measures are independently associated with falling and need to be considered in fall-risk assessments and population-based prevention and intervention strategies.","author":[{"dropping-particle":"","family":"Anstey","given":"Kaarin J.","non-dropping-particle":"","parse-names":false,"suffix":""},{"dropping-particle":"","family":"Burns","given":"Richard","non-dropping-particle":"","parse-names":false,"suffix":""},{"dropping-particle":"","family":"Sanden","given":"Chwee","non-dropping-particle":"Von","parse-names":false,"suffix":""},{"dropping-particle":"","family":"Luszcz","given":"Mary A.","non-dropping-particle":"","parse-names":false,"suffix":""}],"container-title":"The journals of gerontology. Series B, Psychological sciences and social sciences","id":"ITEM-2","issue":"4","issued":{"date-parts":[["2008"]]},"page":"P249-P257","title":"Psychological well-being is an independent predictor of falling in an 8-year follow-up of older adults","type":"article-journal","volume":"63"},"uris":["http://www.mendeley.com/documents/?uuid=e9006c98-d324-447f-bb5a-c854a0d3b005"]}],"mendeley":{"formattedCitation":"(Anstey, Burns, Von Sanden, &amp; Luszcz, 2008; Liao et al., 2017)","plainTextFormattedCitation":"(Anstey, Burns, Von Sanden, &amp; Luszcz, 2008; Liao et al., 2017)","previouslyFormattedCitation":"(Anstey, Burns, Von Sanden, &amp; Luszcz, 2008; Liao et al., 2017)"},"properties":{"noteIndex":0},"schema":"https://github.com/citation-style-language/schema/raw/master/csl-citation.json"}</w:instrText>
      </w:r>
      <w:r w:rsidR="00434453" w:rsidRPr="00BC5B69">
        <w:rPr>
          <w:rFonts w:eastAsia="Calibri"/>
          <w:sz w:val="22"/>
          <w:szCs w:val="22"/>
          <w:lang w:val="en-US"/>
        </w:rPr>
        <w:fldChar w:fldCharType="separate"/>
      </w:r>
      <w:r w:rsidR="00E66FE2" w:rsidRPr="00BC5B69">
        <w:rPr>
          <w:rFonts w:eastAsia="Calibri"/>
          <w:noProof/>
          <w:sz w:val="22"/>
          <w:szCs w:val="22"/>
          <w:lang w:val="en-US"/>
        </w:rPr>
        <w:t>(Anstey, Burns, Von Sanden, &amp; Luszcz, 2008; Liao et al., 2017)</w:t>
      </w:r>
      <w:r w:rsidR="00434453" w:rsidRPr="00BC5B69">
        <w:rPr>
          <w:rFonts w:eastAsia="Calibri"/>
          <w:sz w:val="22"/>
          <w:szCs w:val="22"/>
          <w:lang w:val="en-US"/>
        </w:rPr>
        <w:fldChar w:fldCharType="end"/>
      </w:r>
      <w:r w:rsidR="0018177F" w:rsidRPr="00BC5B69">
        <w:rPr>
          <w:rFonts w:eastAsia="Calibri"/>
          <w:sz w:val="22"/>
          <w:szCs w:val="22"/>
          <w:lang w:val="en-US"/>
        </w:rPr>
        <w:t xml:space="preserve">. In </w:t>
      </w:r>
      <w:r w:rsidR="00D03D3B" w:rsidRPr="00BC5B69">
        <w:rPr>
          <w:rFonts w:eastAsia="Calibri"/>
          <w:sz w:val="22"/>
          <w:szCs w:val="22"/>
          <w:lang w:val="en-US"/>
        </w:rPr>
        <w:t>the present</w:t>
      </w:r>
      <w:r w:rsidR="0018177F" w:rsidRPr="00BC5B69">
        <w:rPr>
          <w:rFonts w:eastAsia="Calibri"/>
          <w:sz w:val="22"/>
          <w:szCs w:val="22"/>
          <w:lang w:val="en-US"/>
        </w:rPr>
        <w:t xml:space="preserve"> study, a significant association between low GDS</w:t>
      </w:r>
      <w:r w:rsidR="00BF2214" w:rsidRPr="00BC5B69">
        <w:rPr>
          <w:rFonts w:eastAsia="Calibri"/>
          <w:sz w:val="22"/>
          <w:szCs w:val="22"/>
          <w:lang w:val="en-US"/>
        </w:rPr>
        <w:t xml:space="preserve"> scores and fall risk in older</w:t>
      </w:r>
      <w:r w:rsidR="0018177F" w:rsidRPr="00BC5B69">
        <w:rPr>
          <w:rFonts w:eastAsia="Calibri"/>
          <w:sz w:val="22"/>
          <w:szCs w:val="22"/>
          <w:lang w:val="en-US"/>
        </w:rPr>
        <w:t xml:space="preserve"> men </w:t>
      </w:r>
      <w:r w:rsidR="00D03D3B" w:rsidRPr="00BC5B69">
        <w:rPr>
          <w:rFonts w:eastAsia="Calibri"/>
          <w:sz w:val="22"/>
          <w:szCs w:val="22"/>
          <w:lang w:val="en-US"/>
        </w:rPr>
        <w:t xml:space="preserve">was found this finding is </w:t>
      </w:r>
      <w:r w:rsidR="0018177F" w:rsidRPr="00BC5B69">
        <w:rPr>
          <w:rFonts w:eastAsia="Calibri"/>
          <w:sz w:val="22"/>
          <w:szCs w:val="22"/>
          <w:lang w:val="en-US"/>
        </w:rPr>
        <w:t>in accordance with the</w:t>
      </w:r>
      <w:r w:rsidR="00D03D3B" w:rsidRPr="00BC5B69">
        <w:rPr>
          <w:rFonts w:eastAsia="Calibri"/>
          <w:sz w:val="22"/>
          <w:szCs w:val="22"/>
          <w:lang w:val="en-US"/>
        </w:rPr>
        <w:t xml:space="preserve"> wider</w:t>
      </w:r>
      <w:r w:rsidR="0018177F" w:rsidRPr="00BC5B69">
        <w:rPr>
          <w:rFonts w:eastAsia="Calibri"/>
          <w:sz w:val="22"/>
          <w:szCs w:val="22"/>
          <w:lang w:val="en-US"/>
        </w:rPr>
        <w:t xml:space="preserve"> literature. This may be due to poor concentration and reduction in energy levels, worse self-monitoring, and worse chronic disease management see</w:t>
      </w:r>
      <w:r w:rsidR="00D03D3B" w:rsidRPr="00BC5B69">
        <w:rPr>
          <w:rFonts w:eastAsia="Calibri"/>
          <w:sz w:val="22"/>
          <w:szCs w:val="22"/>
          <w:lang w:val="en-US"/>
        </w:rPr>
        <w:t>n</w:t>
      </w:r>
      <w:r w:rsidR="0018177F" w:rsidRPr="00BC5B69">
        <w:rPr>
          <w:rFonts w:eastAsia="Calibri"/>
          <w:sz w:val="22"/>
          <w:szCs w:val="22"/>
          <w:lang w:val="en-US"/>
        </w:rPr>
        <w:t xml:space="preserve"> in</w:t>
      </w:r>
      <w:r w:rsidR="00D03D3B" w:rsidRPr="00BC5B69">
        <w:rPr>
          <w:rFonts w:eastAsia="Calibri"/>
          <w:sz w:val="22"/>
          <w:szCs w:val="22"/>
          <w:lang w:val="en-US"/>
        </w:rPr>
        <w:t xml:space="preserve"> those with</w:t>
      </w:r>
      <w:r w:rsidR="0018177F" w:rsidRPr="00BC5B69">
        <w:rPr>
          <w:rFonts w:eastAsia="Calibri"/>
          <w:sz w:val="22"/>
          <w:szCs w:val="22"/>
          <w:lang w:val="en-US"/>
        </w:rPr>
        <w:t xml:space="preserve"> depression </w:t>
      </w:r>
      <w:r w:rsidR="007C0EB7"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{"citationItems":[{"id":"ITEM-1","itemData":{"DOI":"10.1093/geronb/63.4.P249","ISBN":"1079-5014","ISSN":"10795014","PMID":"18689768","abstract":"A population-based sample (N = 787) was followed for 8 years and assessed three times on measures of well-being (depressive symptoms, morale, and control) and fall history. Marginal models assessed the association between baseline well-being measures and falling. Random effects models assessed change in well-being indicators as well as change in fall rate over 8 years. After adjustment for sociodemographics, psychotropic medication, health, and sensorimotor function, our results showed that depressive symptoms, control, and morale were risk factors for subsequent falling, and an increase in depressive symptoms or a reduction in morale was associated with an increasing fall rate. We conclude that the three well-being measures are independently associated with falling and need to be considered in fall-risk assessments and population-based prevention and intervention strategies.","author":[{"dropping-particle":"","family":"Anstey","given":"Kaarin J.","non-dropping-particle":"","parse-names":false,"suffix":""},{"dropping-particle":"","family":"Burns","given":"Richard","non-dropping-particle":"","parse-names":false,"suffix":""},{"dropping-particle":"","family":"Sanden","given":"Chwee","non-dropping-particle":"Von","parse-names":false,"suffix":""},{"dropping-particle":"","family":"Luszcz","given":"Mary A.","non-dropping-particle":"","parse-names":false,"suffix":""}],"container-title":"The journals of gerontology. Series B, Psychological sciences and social sciences","id":"ITEM-1","issue":"4","issued":{"date-parts":[["2008"]]},"page":"P249-P257","title":"Psychological well-being is an independent predictor of falling in an 8-year follow-up of older adults","type":"article-journal","volume":"63"},"uris":["http://www.mendeley.com/documents/?uuid=e9006c98-d324-447f-bb5a-c854a0d3b005"]}],"mendeley":{"formattedCitation":"(Anstey et al., 2008)","plainTextFormattedCitation":"(Anstey et al., 2008)","previouslyFormattedCitation":"(Anstey et al., 2008)"},"properties":{"noteIndex":0},"schema":"https://github.com/citation-style-language/schema/raw/master/csl-citation.json"}</w:instrText>
      </w:r>
      <w:r w:rsidR="007C0EB7" w:rsidRPr="00BC5B69">
        <w:rPr>
          <w:rFonts w:eastAsia="Calibri"/>
          <w:sz w:val="22"/>
          <w:szCs w:val="22"/>
          <w:lang w:val="en-US"/>
        </w:rPr>
        <w:fldChar w:fldCharType="separate"/>
      </w:r>
      <w:r w:rsidR="00E66FE2" w:rsidRPr="00BC5B69">
        <w:rPr>
          <w:rFonts w:eastAsia="Calibri"/>
          <w:noProof/>
          <w:sz w:val="22"/>
          <w:szCs w:val="22"/>
          <w:lang w:val="en-US"/>
        </w:rPr>
        <w:t>(Anstey et al., 2008)</w:t>
      </w:r>
      <w:r w:rsidR="007C0EB7" w:rsidRPr="00BC5B69">
        <w:rPr>
          <w:rFonts w:eastAsia="Calibri"/>
          <w:sz w:val="22"/>
          <w:szCs w:val="22"/>
          <w:lang w:val="en-US"/>
        </w:rPr>
        <w:fldChar w:fldCharType="end"/>
      </w:r>
      <w:r w:rsidR="0018177F" w:rsidRPr="00BC5B69">
        <w:rPr>
          <w:rFonts w:eastAsia="Calibri"/>
          <w:sz w:val="22"/>
          <w:szCs w:val="22"/>
          <w:lang w:val="en-US"/>
        </w:rPr>
        <w:t xml:space="preserve">. </w:t>
      </w:r>
      <w:r w:rsidR="00434453" w:rsidRPr="00BC5B69">
        <w:rPr>
          <w:rFonts w:eastAsia="Calibri"/>
          <w:sz w:val="22"/>
          <w:szCs w:val="22"/>
          <w:lang w:val="en-US"/>
        </w:rPr>
        <w:t xml:space="preserve">On the other hand, studies show a decrease in executive functions, attention, and processing speed in older adults with depression </w:t>
      </w:r>
      <w:r w:rsidR="00434453"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{"citationItems":[{"id":"ITEM-1","itemData":{"DOI":"10.1016/j.psychres.2017.01.024","ISSN":"18727123","abstract":"Remitted late life depression exhibits persistent cognitive impairments and enhances the risk of dementia. This study aimed to examine the characteristics of cognitive dysfunction in remitted late life depression and amnestic mild cognitive impairment (MCI). Remitted late life depression (n=61), amnestic MCI (n=61) and age-education-matched controls (n=65) were evaluated with a battery of neuropsychological tests grouped into executive function, memory, processing speed, attention and visuospatial domains. Compared with control subjects, amnestic MCI individuals showed more severe cognitive impairments in all domains, while remitted late life depression individuals performed worse in executive function and memory. The pattern of cognitive profiles significantly differed between remitted late life depression and amnestic MCI groups, which might be mainly attributed to worse impairments in memory and executive function in amnestic MCI individuals. Executive function was the core impaired cognitive domain mediating the influence of predictors on other cognitions in both remitted late life depression and amnestic MCI groups, which indicated a possible etiopathogenic mechanism underlying the conversion to dementia.","author":[{"dropping-particle":"","family":"Liao","given":"Wenxiang","non-dropping-particle":"","parse-names":false,"suffix":""},{"dropping-particle":"","family":"Zhang","given":"Xiangrong","non-dropping-particle":"","parse-names":false,"suffix":""},{"dropping-particle":"","family":"Shu","given":"Hao","non-dropping-particle":"","parse-names":false,"suffix":""},{"dropping-particle":"","family":"Wang","given":"Zan","non-dropping-particle":"","parse-names":false,"suffix":""},{"dropping-particle":"","family":"Liu","given":"Duan","non-dropping-particle":"","parse-names":false,"suffix":""},{"dropping-particle":"","family":"Zhang","given":"Zhi Jun","non-dropping-particle":"","parse-names":false,"suffix":""}],"container-title":"Psychiatry Research","id":"ITEM-1","issued":{"date-parts":[["2017"]]},"page":"168-175","title":"The characteristic of cognitive dysfunction in remitted late life depression and amnestic mild cognitive impairment","type":"article-journal","volume":"251"},"uris":["http://www.mendeley.com/documents/?uuid=6c7ff0a2-36fe-4fd5-b275-9ef789d4084d"]}],"mendeley":{"formattedCitation":"(Liao et al., 2017)","plainTextFormattedCitation":"(Liao et al., 2017)","previouslyFormattedCitation":"(Liao et al., 2017)"},"properties":{"noteIndex":0},"schema":"https://github.com/citation-style-language/schema/raw/master/csl-citation.json"}</w:instrText>
      </w:r>
      <w:r w:rsidR="00434453" w:rsidRPr="00BC5B69">
        <w:rPr>
          <w:rFonts w:eastAsia="Calibri"/>
          <w:sz w:val="22"/>
          <w:szCs w:val="22"/>
          <w:lang w:val="en-US"/>
        </w:rPr>
        <w:fldChar w:fldCharType="separate"/>
      </w:r>
      <w:r w:rsidR="00E66FE2" w:rsidRPr="00BC5B69">
        <w:rPr>
          <w:rFonts w:eastAsia="Calibri"/>
          <w:noProof/>
          <w:sz w:val="22"/>
          <w:szCs w:val="22"/>
          <w:lang w:val="en-US"/>
        </w:rPr>
        <w:t>(Liao et al., 2017)</w:t>
      </w:r>
      <w:r w:rsidR="00434453" w:rsidRPr="00BC5B69">
        <w:rPr>
          <w:rFonts w:eastAsia="Calibri"/>
          <w:sz w:val="22"/>
          <w:szCs w:val="22"/>
          <w:lang w:val="en-US"/>
        </w:rPr>
        <w:fldChar w:fldCharType="end"/>
      </w:r>
      <w:r w:rsidR="00434453" w:rsidRPr="00BC5B69">
        <w:rPr>
          <w:rFonts w:eastAsia="Calibri"/>
          <w:sz w:val="22"/>
          <w:szCs w:val="22"/>
          <w:lang w:val="en-US"/>
        </w:rPr>
        <w:t xml:space="preserve">. It is also known that the drugs used in the treatment of depression are also important in increasing the risk of falling </w:t>
      </w:r>
      <w:r w:rsidR="007C0EB7"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{"citationItems":[{"id":"ITEM-1","itemData":{"DOI":"10.1093/geronb/63.4.P249","ISBN":"1079-5014","ISSN":"10795014","PMID":"18689768","abstract":"A population-based sample (N = 787) was followed for 8 years and assessed three times on measures of well-being (depressive symptoms, morale, and control) and fall history. Marginal models assessed the association between baseline well-being measures and falling. Random effects models assessed change in well-being indicators as well as change in fall rate over 8 years. After adjustment for sociodemographics, psychotropic medication, health, and sensorimotor function, our results showed that depressive symptoms, control, and morale were risk factors for subsequent falling, and an increase in depressive symptoms or a reduction in morale was associated with an increasing fall rate. We conclude that the three well-being measures are independently associated with falling and need to be considered in fall-risk assessments and population-based prevention and intervention strategies.","author":[{"dropping-particle":"","family":"Anstey","given":"Kaarin J.","non-dropping-particle":"","parse-names":false,"suffix":""},{"dropping-particle":"","family":"Burns","given":"Richard","non-dropping-particle":"","parse-names":false,"suffix":""},{"dropping-particle":"","family":"Sanden","given":"Chwee","non-dropping-particle":"Von","parse-names":false,"suffix":""},{"dropping-particle":"","family":"Luszcz","given":"Mary A.","non-dropping-particle":"","parse-names":false,"suffix":""}],"container-title":"The journals of gerontology. Series B, Psychological sciences and social sciences","id":"ITEM-1","issue":"4","issued":{"date-parts":[["2008"]]},"page":"P249-P257","title":"Psychological well-being is an independent predictor of falling in an 8-year follow-up of older adults","type":"article-journal","volume":"63"},"uris":["http://www.mendeley.com/documents/?uuid=e9006c98-d324-447f-bb5a-c854a0d3b005"]}],"mendeley":{"formattedCitation":"(Anstey et al., 2008)","plainTextFormattedCitation":"(Anstey et al., 2008)","previouslyFormattedCitation":"(Anstey et al., 2008)"},"properties":{"noteIndex":0},"schema":"https://github.com/citation-style-language/schema/raw/master/csl-citation.json"}</w:instrText>
      </w:r>
      <w:r w:rsidR="007C0EB7" w:rsidRPr="00BC5B69">
        <w:rPr>
          <w:rFonts w:eastAsia="Calibri"/>
          <w:sz w:val="22"/>
          <w:szCs w:val="22"/>
          <w:lang w:val="en-US"/>
        </w:rPr>
        <w:fldChar w:fldCharType="separate"/>
      </w:r>
      <w:r w:rsidR="00E66FE2" w:rsidRPr="00BC5B69">
        <w:rPr>
          <w:rFonts w:eastAsia="Calibri"/>
          <w:noProof/>
          <w:sz w:val="22"/>
          <w:szCs w:val="22"/>
          <w:lang w:val="en-US"/>
        </w:rPr>
        <w:t>(Anstey et al., 2008)</w:t>
      </w:r>
      <w:r w:rsidR="007C0EB7" w:rsidRPr="00BC5B69">
        <w:rPr>
          <w:rFonts w:eastAsia="Calibri"/>
          <w:sz w:val="22"/>
          <w:szCs w:val="22"/>
          <w:lang w:val="en-US"/>
        </w:rPr>
        <w:fldChar w:fldCharType="end"/>
      </w:r>
      <w:r w:rsidR="0018177F" w:rsidRPr="00BC5B69">
        <w:rPr>
          <w:rFonts w:eastAsia="Calibri"/>
          <w:sz w:val="22"/>
          <w:szCs w:val="22"/>
          <w:lang w:val="en-US"/>
        </w:rPr>
        <w:t>.</w:t>
      </w:r>
    </w:p>
    <w:p w14:paraId="76067A9E" w14:textId="4BF6E79E" w:rsidR="009911FB" w:rsidRPr="00BC5B69" w:rsidRDefault="002D69B3" w:rsidP="006952DB">
      <w:pPr>
        <w:spacing w:line="480" w:lineRule="auto"/>
        <w:jc w:val="both"/>
        <w:rPr>
          <w:rFonts w:eastAsia="Calibri"/>
          <w:sz w:val="22"/>
          <w:szCs w:val="22"/>
          <w:lang w:val="en-US"/>
        </w:rPr>
      </w:pPr>
      <w:r w:rsidRPr="00BC5B69">
        <w:rPr>
          <w:rFonts w:eastAsia="Calibri"/>
          <w:sz w:val="22"/>
          <w:szCs w:val="22"/>
          <w:lang w:val="en-US"/>
        </w:rPr>
        <w:t xml:space="preserve">BADL and IADL </w:t>
      </w:r>
      <w:r w:rsidR="00A70735" w:rsidRPr="00BC5B69">
        <w:rPr>
          <w:rFonts w:eastAsia="Calibri"/>
          <w:sz w:val="22"/>
          <w:szCs w:val="22"/>
          <w:lang w:val="en-US"/>
        </w:rPr>
        <w:t xml:space="preserve">are the tools that reflect the patient's functional capacity as well as cognitive status </w:t>
      </w:r>
      <w:r w:rsidR="00A70735"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{"citationItems":[{"id":"ITEM-1","itemData":{"DOI":"10.1371/journal.pone.0068885","ISBN":"1932-6203","ISSN":"19326203","PMID":"23922665","abstract":"OBJECTIVE: The identification and documentation of subclinical gait impairments in older adults may facilitate the appropriate use of interventions for preventing or delaying mobility disability. We tested whether measures derived from a single body-fixed sensor worn during traditional Timed Up and Go (TUG) testing could identify subclinical gait impairments in community dwelling older adults without mobility disability. METHODS: We used data from 432 older adults without dementia (mean age 83.30 ± 7.04 yrs, 76.62% female) participating in the Rush Memory and Aging Project. The traditional TUG was conducted while subjects wore a body-fixed sensor. We derived measures of overall TUG performance and different subtasks including transitions (sit-to-stand, stand-to-sit), walking, and turning. Multivariate analysis was used to compare persons with and without mobility disability and to compare individuals with and without Instrumental Activities of Daily Living disability (IADL-disability), all of whom did not have mobility disability. RESULTS: As expected, individuals with mobility disability performed worse on all TUG subtasks (p&lt;0.03), compared to those who had no mobility disability. Individuals without mobility disability but with IADL disability had difficulties with turns, had lower yaw amplitude (p&lt;0.004) during turns, were slower (p&lt;0.001), and had less consistent gait (p&lt;0.02). CONCLUSIONS: A single body-worn sensor can be employed in the community-setting to complement conventional gait testing. It provides a wide range of quantitative gait measures that appear to help to identify subclinical gait impairments in older adults.","author":[{"dropping-particle":"","family":"Weiss","given":"Aner","non-dropping-particle":"","parse-names":false,"suffix":""},{"dropping-particle":"","family":"Mirelman","given":"Anat","non-dropping-particle":"","parse-names":false,"suffix":""},{"dropping-particle":"","family":"Buchman","given":"Aron S.","non-dropping-particle":"","parse-names":false,"suffix":""},{"dropping-particle":"","family":"Bennett","given":"David A.","non-dropping-particle":"","parse-names":false,"suffix":""},{"dropping-particle":"","family":"Hausdorff","given":"Jeffrey M.","non-dropping-particle":"","parse-names":false,"suffix":""}],"container-title":"PLoS ONE","id":"ITEM-1","issue":"7","issued":{"date-parts":[["2013"]]},"page":"e68885","title":"Using a Body-Fixed Sensor to Identify Subclinical Gait Difficulties in Older Adults with IADL Disability: Maximizing the Output of the Timed Up and Go","type":"article-journal","volume":"8"},"uris":["http://www.mendeley.com/documents/?uuid=929d6328-d37f-4158-8b37-a2f96578dee1"]}],"mendeley":{"formattedCitation":"(Weiss, Mirelman, Buchman, Bennett, &amp; Hausdorff, 2013)","plainTextFormattedCitation":"(Weiss, Mirelman, Buchman, Bennett, &amp; Hausdorff, 2013)","previouslyFormattedCitation":"(Weiss, Mirelman, Buchman, Bennett, &amp; Hausdorff, 2013)"},"properties":{"noteIndex":0},"schema":"https://github.com/citation-style-language/schema/raw/master/csl-citation.json"}</w:instrText>
      </w:r>
      <w:r w:rsidR="00A70735" w:rsidRPr="00BC5B69">
        <w:rPr>
          <w:rFonts w:eastAsia="Calibri"/>
          <w:sz w:val="22"/>
          <w:szCs w:val="22"/>
          <w:lang w:val="en-US"/>
        </w:rPr>
        <w:fldChar w:fldCharType="separate"/>
      </w:r>
      <w:r w:rsidR="00E66FE2" w:rsidRPr="00BC5B69">
        <w:rPr>
          <w:rFonts w:eastAsia="Calibri"/>
          <w:noProof/>
          <w:sz w:val="22"/>
          <w:szCs w:val="22"/>
          <w:lang w:val="en-US"/>
        </w:rPr>
        <w:t>(Weiss, Mirelman, Buchman, Bennett, &amp; Hausdorff, 2013)</w:t>
      </w:r>
      <w:r w:rsidR="00A70735" w:rsidRPr="00BC5B69">
        <w:rPr>
          <w:rFonts w:eastAsia="Calibri"/>
          <w:sz w:val="22"/>
          <w:szCs w:val="22"/>
          <w:lang w:val="en-US"/>
        </w:rPr>
        <w:fldChar w:fldCharType="end"/>
      </w:r>
      <w:r w:rsidR="007C4234" w:rsidRPr="00BC5B69">
        <w:rPr>
          <w:rFonts w:eastAsia="Calibri"/>
          <w:sz w:val="22"/>
          <w:szCs w:val="22"/>
          <w:lang w:val="en-US"/>
        </w:rPr>
        <w:t xml:space="preserve">, which are </w:t>
      </w:r>
      <w:r w:rsidR="0060138B" w:rsidRPr="00BC5B69">
        <w:rPr>
          <w:rFonts w:eastAsia="Calibri"/>
          <w:sz w:val="22"/>
          <w:szCs w:val="22"/>
          <w:lang w:val="en-US"/>
        </w:rPr>
        <w:t xml:space="preserve">risk factors for falls </w:t>
      </w:r>
      <w:r w:rsidR="0060138B"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{"citationItems":[{"id":"ITEM-1","itemData":{"DOI":"10.1016/j.mcna.2014.11.004","ISBN":"1557-9859","ISSN":"15579859","PMID":"25700584","abstract":"Falls among older adults are neither purely accidental nor inevitable research has shown that many falls are preventable. Primary care providers play a key role in preventing falls. However, fall risk assessment and management is performed infrequently in primary care settings. This article provides an overview of a clinically relevant, evidence-based approach to fall risk screening and management. It describes resources, including the STEADI (Stopping Elderly Accidents, Deaths, and Injuries) tool kit that can help providers integrate fall prevention into their practice.","author":[{"dropping-particle":"","family":"Phelan","given":"Elizabeth A.","non-dropping-particle":"","parse-names":false,"suffix":""},{"dropping-particle":"","family":"Mahoney","given":"Jane E.","non-dropping-particle":"","parse-names":false,"suffix":""},{"dropping-particle":"","family":"Voit","given":"Jan C.","non-dropping-particle":"","parse-names":false,"suffix":""},{"dropping-particle":"","family":"Stevens","given":"Judy A.","non-dropping-particle":"","parse-names":false,"suffix":""}],"container-title":"The Medical clinics of North America","id":"ITEM-1","issue":"2","issued":{"date-parts":[["2015"]]},"page":"281-293","title":"Assessment and Management of Fall Risk in Primary Care Settings","type":"article-journal","volume":"99"},"uris":["http://www.mendeley.com/documents/?uuid=a05062b8-f91c-4d72-ba50-a3a54c3a3814"]}],"mendeley":{"formattedCitation":"(Phelan et al., 2015)","plainTextFormattedCitation":"(Phelan et al., 2015)","previouslyFormattedCitation":"(Phelan et al., 2015)"},"properties":{"noteIndex":0},"schema":"https://github.com/citation-style-language/schema/raw/master/csl-citation.json"}</w:instrText>
      </w:r>
      <w:r w:rsidR="0060138B" w:rsidRPr="00BC5B69">
        <w:rPr>
          <w:rFonts w:eastAsia="Calibri"/>
          <w:sz w:val="22"/>
          <w:szCs w:val="22"/>
          <w:lang w:val="en-US"/>
        </w:rPr>
        <w:fldChar w:fldCharType="separate"/>
      </w:r>
      <w:r w:rsidR="00E66FE2" w:rsidRPr="00BC5B69">
        <w:rPr>
          <w:rFonts w:eastAsia="Calibri"/>
          <w:noProof/>
          <w:sz w:val="22"/>
          <w:szCs w:val="22"/>
          <w:lang w:val="en-US"/>
        </w:rPr>
        <w:t>(Phelan et al., 2015)</w:t>
      </w:r>
      <w:r w:rsidR="0060138B" w:rsidRPr="00BC5B69">
        <w:rPr>
          <w:rFonts w:eastAsia="Calibri"/>
          <w:sz w:val="22"/>
          <w:szCs w:val="22"/>
          <w:lang w:val="en-US"/>
        </w:rPr>
        <w:fldChar w:fldCharType="end"/>
      </w:r>
      <w:r w:rsidR="0060138B" w:rsidRPr="00BC5B69">
        <w:rPr>
          <w:rFonts w:eastAsia="Calibri"/>
          <w:sz w:val="22"/>
          <w:szCs w:val="22"/>
          <w:lang w:val="en-US"/>
        </w:rPr>
        <w:t xml:space="preserve">. </w:t>
      </w:r>
      <w:r w:rsidR="00AB3F5F" w:rsidRPr="00BC5B69">
        <w:rPr>
          <w:rFonts w:eastAsia="Calibri"/>
          <w:sz w:val="22"/>
          <w:szCs w:val="22"/>
          <w:lang w:val="en-US"/>
        </w:rPr>
        <w:t xml:space="preserve">In older men, as compatible with the literature, the decrease in BADL and IADL are factors that increase the risk of falling in this study </w:t>
      </w:r>
      <w:r w:rsidR="00DD6759"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{"citationItems":[{"id":"ITEM-1","itemData":{"DOI":"10.1371/journal.pone.0068885","ISBN":"1932-6203","ISSN":"19326203","PMID":"23922665","abstract":"OBJECTIVE: The identification and documentation of subclinical gait impairments in older adults may facilitate the appropriate use of interventions for preventing or delaying mobility disability. We tested whether measures derived from a single body-fixed sensor worn during traditional Timed Up and Go (TUG) testing could identify subclinical gait impairments in community dwelling older adults without mobility disability. METHODS: We used data from 432 older adults without dementia (mean age 83.30 ± 7.04 yrs, 76.62% female) participating in the Rush Memory and Aging Project. The traditional TUG was conducted while subjects wore a body-fixed sensor. We derived measures of overall TUG performance and different subtasks including transitions (sit-to-stand, stand-to-sit), walking, and turning. Multivariate analysis was used to compare persons with and without mobility disability and to compare individuals with and without Instrumental Activities of Daily Living disability (IADL-disability), all of whom did not have mobility disability. RESULTS: As expected, individuals with mobility disability performed worse on all TUG subtasks (p&lt;0.03), compared to those who had no mobility disability. Individuals without mobility disability but with IADL disability had difficulties with turns, had lower yaw amplitude (p&lt;0.004) during turns, were slower (p&lt;0.001), and had less consistent gait (p&lt;0.02). CONCLUSIONS: A single body-worn sensor can be employed in the community-setting to complement conventional gait testing. It provides a wide range of quantitative gait measures that appear to help to identify subclinical gait impairments in older adults.","author":[{"dropping-particle":"","family":"Weiss","given":"Aner","non-dropping-particle":"","parse-names":false,"suffix":""},{"dropping-particle":"","family":"Mirelman","given":"Anat","non-dropping-particle":"","parse-names":false,"suffix":""},{"dropping-particle":"","family":"Buchman","given":"Aron S.","non-dropping-particle":"","parse-names":false,"suffix":""},{"dropping-particle":"","family":"Bennett","given":"David A.","non-dropping-particle":"","parse-names":false,"suffix":""},{"dropping-particle":"","family":"Hausdorff","given":"Jeffrey M.","non-dropping-particle":"","parse-names":false,"suffix":""}],"container-title":"PLoS ONE","id":"ITEM-1","issue":"7","issued":{"date-parts":[["2013"]]},"page":"e68885","title":"Using a Body-Fixed Sensor to Identify Subclinical Gait Difficulties in Older Adults with IADL Disability: Maximizing the Output of the Timed Up and Go","type":"article-journal","volume":"8"},"uris":["http://www.mendeley.com/documents/?uuid=929d6328-d37f-4158-8b37-a2f96578dee1"]},{"id":"ITEM-2","itemData":{"DOI":"10.1111/j.1532-5415.1995.tb07338.x","ISBN":"0030-6053","ISSN":"15325415","PMID":"7884118","abstract":"Tested the hypothesis that greater physical disability, as measured by dependence in activities of daily living (ADLs), would be associated with increased risk of a fall resulting in injury among older people living in the community. Data for these analyses were from the Study to Assess Falls among the Elderly (SAFE). Interviews were conducted with 346 adults aged 65 or older who had a newly diagnosed serious injury due to a fall, who fell in the home or its environs, and who sought hospital treatment. Controls were nonnursing home residents of the study area aged 65 or older who were selected to correspond to the expected age and sex distribution of the fall cases. Dependence in ADLs was assessed by questionnaire using items from the Katz Index of Activities of Daily Living. To estimate the strength of the association between dependence in ADLs and the risk of a fall injury event, odds ratios were calculated for each level of dependence in ADLs. Results show the prevalence of dependence in one or more ADLs was 16.2 percent for case patients and 7.6 percent for controls. People younger than 80 years and dependent in one or more ADLs had the highest risk of a fall injury event. This risk associated with age 80 or older and dependence in one or more ADL was only slightly higher than the risk for ages 80 or older and no ADL dependence. It is suggested that physicians and others should be aware of the potential for increased risk of a fall resulting in injury associated with dependence in ADLs. (WD) (AgeLine Database, copyright 1995 EBSCO Publishing, Inc., all rights reserved)","author":[{"dropping-particle":"","family":"Langlois","given":"Jean Ann","non-dropping-particle":"","parse-names":false,"suffix":""},{"dropping-particle":"","family":"Smith","given":"Gordon S.","non-dropping-particle":"","parse-names":false,"suffix":""},{"dropping-particle":"","family":"Nelson","given":"David E.","non-dropping-particle":"","parse-names":false,"suffix":""},{"dropping-particle":"","family":"Sattin","given":"Richard W.","non-dropping-particle":"","parse-names":false,"suffix":""},{"dropping-particle":"","family":"Stevens","given":"Judy A.","non-dropping-particle":"","parse-names":false,"suffix":""},{"dropping-particle":"","family":"DeVito","given":"Carolee A.","non-dropping-particle":"","parse-names":false,"suffix":""}],"container-title":"Journal of American Geriatric Society","id":"ITEM-2","issue":"3","issued":{"date-parts":[["1995"]]},"page":"275-278","title":"Dependence in Activities of Daily Living as a Risk Factor for Fall Injury Events Among Older People Living in the Community","type":"article-journal","volume":"43"},"uris":["http://www.mendeley.com/documents/?uuid=dc54246c-adeb-405e-8f04-b8e9e4cac9c0"]}],"mendeley":{"formattedCitation":"(Langlois et al., 1995; Weiss et al., 2013)","plainTextFormattedCitation":"(Langlois et al., 1995; Weiss et al., 2013)","previouslyFormattedCitation":"(Langlois et al., 1995; Weiss et al., 2013)"},"properties":{"noteIndex":0},"schema":"https://github.com/citation-style-language/schema/raw/master/csl-citation.json"}</w:instrText>
      </w:r>
      <w:r w:rsidR="00DD6759" w:rsidRPr="00BC5B69">
        <w:rPr>
          <w:rFonts w:eastAsia="Calibri"/>
          <w:sz w:val="22"/>
          <w:szCs w:val="22"/>
          <w:lang w:val="en-US"/>
        </w:rPr>
        <w:fldChar w:fldCharType="separate"/>
      </w:r>
      <w:r w:rsidR="00E66FE2" w:rsidRPr="00BC5B69">
        <w:rPr>
          <w:rFonts w:eastAsia="Calibri"/>
          <w:noProof/>
          <w:sz w:val="22"/>
          <w:szCs w:val="22"/>
          <w:lang w:val="en-US"/>
        </w:rPr>
        <w:t>(Langlois et al., 1995; Weiss et al., 2013)</w:t>
      </w:r>
      <w:r w:rsidR="00DD6759" w:rsidRPr="00BC5B69">
        <w:rPr>
          <w:rFonts w:eastAsia="Calibri"/>
          <w:sz w:val="22"/>
          <w:szCs w:val="22"/>
          <w:lang w:val="en-US"/>
        </w:rPr>
        <w:fldChar w:fldCharType="end"/>
      </w:r>
      <w:r w:rsidR="0060138B" w:rsidRPr="00BC5B69">
        <w:rPr>
          <w:rFonts w:eastAsia="Calibri"/>
          <w:sz w:val="22"/>
          <w:szCs w:val="22"/>
          <w:lang w:val="en-US"/>
        </w:rPr>
        <w:t xml:space="preserve">. </w:t>
      </w:r>
      <w:r w:rsidR="00100FA7" w:rsidRPr="00BC5B69">
        <w:rPr>
          <w:rFonts w:eastAsia="Calibri"/>
          <w:sz w:val="22"/>
          <w:szCs w:val="22"/>
          <w:lang w:val="en-US"/>
        </w:rPr>
        <w:t xml:space="preserve">In a previous study, individuals without mobility disability but with IADL disability had difficulties with turns, had lower yaw amplitude during turns, were slower and had less consistent gait </w:t>
      </w:r>
      <w:r w:rsidR="00100FA7" w:rsidRPr="00BC5B69">
        <w:rPr>
          <w:rFonts w:eastAsia="Calibri"/>
          <w:sz w:val="22"/>
          <w:szCs w:val="22"/>
          <w:lang w:val="en-US"/>
        </w:rPr>
        <w:fldChar w:fldCharType="begin" w:fldLock="1"/>
      </w:r>
      <w:r w:rsidR="00E66FE2" w:rsidRPr="00BC5B69">
        <w:rPr>
          <w:rFonts w:eastAsia="Calibri"/>
          <w:sz w:val="22"/>
          <w:szCs w:val="22"/>
          <w:lang w:val="en-US"/>
        </w:rPr>
        <w:instrText>ADDIN CSL_CITATION {"citationItems":[{"id":"ITEM-1","itemData":{"DOI":"10.1371/journal.pone.0068885","ISBN":"1932-6203","ISSN":"19326203","PMID":"23922665","abstract":"OBJECTIVE: The identification and documentation of subclinical gait impairments in older adults may facilitate the appropriate use of interventions for preventing or delaying mobility disability. We tested whether measures derived from a single body-fixed sensor worn during traditional Timed Up and Go (TUG) testing could identify subclinical gait impairments in community dwelling older adults without mobility disability. METHODS: We used data from 432 older adults without dementia (mean age 83.30 ± 7.04 yrs, 76.62% female) participating in the Rush Memory and Aging Project. The traditional TUG was conducted while subjects wore a body-fixed sensor. We derived measures of overall TUG performance and different subtasks including transitions (sit-to-stand, stand-to-sit), walking, and turning. Multivariate analysis was used to compare persons with and without mobility disability and to compare individuals with and without Instrumental Activities of Daily Living disability (IADL-disability), all of whom did not have mobility disability. RESULTS: As expected, individuals with mobility disability performed worse on all TUG subtasks (p&lt;0.03), compared to those who had no mobility disability. Individuals without mobility disability but with IADL disability had difficulties with turns, had lower yaw amplitude (p&lt;0.004) during turns, were slower (p&lt;0.001), and had less consistent gait (p&lt;0.02). CONCLUSIONS: A single body-worn sensor can be employed in the community-setting to complement conventional gait testing. It provides a wide range of quantitative gait measures that appear to help to identify subclinical gait impairments in older adults.","author":[{"dropping-particle":"","family":"Weiss","given":"Aner","non-dropping-particle":"","parse-names":false,"suffix":""},{"dropping-particle":"","family":"Mirelman","given":"Anat","non-dropping-particle":"","parse-names":false,"suffix":""},{"dropping-particle":"","family":"Buchman","given":"Aron S.","non-dropping-particle":"","parse-names":false,"suffix":""},{"dropping-particle":"","family":"Bennett","given":"David A.","non-dropping-particle":"","parse-names":false,"suffix":""},{"dropping-particle":"","family":"Hausdorff","given":"Jeffrey M.","non-dropping-particle":"","parse-names":false,"suffix":""}],"container-title":"PLoS ONE","id":"ITEM-1","issue":"7","issued":{"date-parts":[["2013"]]},"page":"e68885","title":"Using a Body-Fixed Sensor to Identify Subclinical Gait Difficulties in Older Adults with IADL Disability: Maximizing the Output of the Timed Up and Go","type":"article-journal","volume":"8"},"uris":["http://www.mendeley.com/documents/?uuid=929d6328-d37f-4158-8b37-a2f96578dee1"]}],"mendeley":{"formattedCitation":"(Weiss et al., 2013)","plainTextFormattedCitation":"(Weiss et al., 2013)","previouslyFormattedCitation":"(Weiss et al., 2013)"},"properties":{"noteIndex":0},"schema":"https://github.com/citation-style-language/schema/raw/master/csl-citation.json"}</w:instrText>
      </w:r>
      <w:r w:rsidR="00100FA7" w:rsidRPr="00BC5B69">
        <w:rPr>
          <w:rFonts w:eastAsia="Calibri"/>
          <w:sz w:val="22"/>
          <w:szCs w:val="22"/>
          <w:lang w:val="en-US"/>
        </w:rPr>
        <w:fldChar w:fldCharType="separate"/>
      </w:r>
      <w:r w:rsidR="00E66FE2" w:rsidRPr="00BC5B69">
        <w:rPr>
          <w:rFonts w:eastAsia="Calibri"/>
          <w:noProof/>
          <w:sz w:val="22"/>
          <w:szCs w:val="22"/>
          <w:lang w:val="en-US"/>
        </w:rPr>
        <w:t>(Weiss et al., 2013)</w:t>
      </w:r>
      <w:r w:rsidR="00100FA7" w:rsidRPr="00BC5B69">
        <w:rPr>
          <w:rFonts w:eastAsia="Calibri"/>
          <w:sz w:val="22"/>
          <w:szCs w:val="22"/>
          <w:lang w:val="en-US"/>
        </w:rPr>
        <w:fldChar w:fldCharType="end"/>
      </w:r>
      <w:r w:rsidR="00100FA7" w:rsidRPr="00BC5B69">
        <w:rPr>
          <w:rFonts w:eastAsia="Calibri"/>
          <w:sz w:val="22"/>
          <w:szCs w:val="22"/>
          <w:lang w:val="en-US"/>
        </w:rPr>
        <w:t xml:space="preserve">. </w:t>
      </w:r>
      <w:r w:rsidR="0060138B" w:rsidRPr="00BC5B69">
        <w:rPr>
          <w:rFonts w:eastAsia="Calibri"/>
          <w:sz w:val="22"/>
          <w:szCs w:val="22"/>
          <w:lang w:val="en-US"/>
        </w:rPr>
        <w:t xml:space="preserve">Cognitive impairment, </w:t>
      </w:r>
      <w:r w:rsidR="00A70735" w:rsidRPr="00BC5B69">
        <w:rPr>
          <w:rFonts w:eastAsia="Calibri"/>
          <w:sz w:val="22"/>
          <w:szCs w:val="22"/>
          <w:lang w:val="en-US"/>
        </w:rPr>
        <w:t>another factor that led to a decline in IADL, is another risk factor for falls.</w:t>
      </w:r>
      <w:r w:rsidR="000773F2" w:rsidRPr="00BC5B69">
        <w:rPr>
          <w:rFonts w:eastAsia="Calibri"/>
          <w:sz w:val="22"/>
          <w:szCs w:val="22"/>
          <w:lang w:val="en-US"/>
        </w:rPr>
        <w:t xml:space="preserve"> </w:t>
      </w:r>
      <w:r w:rsidR="00D03D3B" w:rsidRPr="00BC5B69">
        <w:rPr>
          <w:rFonts w:eastAsia="Calibri"/>
          <w:sz w:val="22"/>
          <w:szCs w:val="22"/>
          <w:lang w:val="en-US"/>
        </w:rPr>
        <w:t xml:space="preserve">Another </w:t>
      </w:r>
      <w:r w:rsidR="00EB575C" w:rsidRPr="00BC5B69">
        <w:rPr>
          <w:rFonts w:eastAsia="Calibri"/>
          <w:sz w:val="22"/>
          <w:szCs w:val="22"/>
          <w:lang w:val="en-US"/>
        </w:rPr>
        <w:t>risk factor for falls in older men, according to the all four methods</w:t>
      </w:r>
      <w:r w:rsidR="004B40CF" w:rsidRPr="00BC5B69">
        <w:rPr>
          <w:rFonts w:eastAsia="Calibri"/>
          <w:sz w:val="22"/>
          <w:szCs w:val="22"/>
          <w:lang w:val="en-US"/>
        </w:rPr>
        <w:t>,</w:t>
      </w:r>
      <w:r w:rsidR="00EB575C" w:rsidRPr="00BC5B69">
        <w:rPr>
          <w:rFonts w:eastAsia="Calibri"/>
          <w:sz w:val="22"/>
          <w:szCs w:val="22"/>
          <w:lang w:val="en-US"/>
        </w:rPr>
        <w:t xml:space="preserve"> is </w:t>
      </w:r>
      <w:r w:rsidR="004B40CF" w:rsidRPr="00BC5B69">
        <w:rPr>
          <w:rFonts w:eastAsia="Calibri"/>
          <w:sz w:val="22"/>
          <w:szCs w:val="22"/>
          <w:lang w:val="en-US"/>
        </w:rPr>
        <w:t>UI which</w:t>
      </w:r>
      <w:r w:rsidR="00004794" w:rsidRPr="00BC5B69">
        <w:rPr>
          <w:rFonts w:eastAsia="Calibri"/>
          <w:sz w:val="22"/>
          <w:szCs w:val="22"/>
          <w:lang w:val="en-US"/>
        </w:rPr>
        <w:t xml:space="preserve"> has a</w:t>
      </w:r>
      <w:r w:rsidRPr="00BC5B69">
        <w:rPr>
          <w:rFonts w:eastAsia="Calibri"/>
          <w:sz w:val="22"/>
          <w:szCs w:val="22"/>
          <w:lang w:val="en-US"/>
        </w:rPr>
        <w:t>n</w:t>
      </w:r>
      <w:r w:rsidR="00004794" w:rsidRPr="00BC5B69">
        <w:rPr>
          <w:rFonts w:eastAsia="Calibri"/>
          <w:sz w:val="22"/>
          <w:szCs w:val="22"/>
          <w:lang w:val="en-US"/>
        </w:rPr>
        <w:t xml:space="preserve"> increasing prevalence with advancing age. It</w:t>
      </w:r>
      <w:r w:rsidR="003865D8" w:rsidRPr="00BC5B69">
        <w:rPr>
          <w:rFonts w:eastAsia="Calibri"/>
          <w:sz w:val="22"/>
          <w:szCs w:val="22"/>
          <w:lang w:val="en-US"/>
        </w:rPr>
        <w:t xml:space="preserve"> is </w:t>
      </w:r>
      <w:r w:rsidR="00004794" w:rsidRPr="00BC5B69">
        <w:rPr>
          <w:rFonts w:eastAsia="Calibri"/>
          <w:sz w:val="22"/>
          <w:szCs w:val="22"/>
          <w:lang w:val="en-US"/>
        </w:rPr>
        <w:t>a</w:t>
      </w:r>
      <w:r w:rsidR="003865D8" w:rsidRPr="00BC5B69">
        <w:rPr>
          <w:rFonts w:eastAsia="Calibri"/>
          <w:sz w:val="22"/>
          <w:szCs w:val="22"/>
          <w:lang w:val="en-US"/>
        </w:rPr>
        <w:t xml:space="preserve"> risk factor for falls </w:t>
      </w:r>
      <w:r w:rsidR="005F706E" w:rsidRPr="00BC5B69">
        <w:rPr>
          <w:rFonts w:eastAsia="Calibri"/>
          <w:sz w:val="22"/>
          <w:szCs w:val="22"/>
          <w:lang w:val="en-US"/>
        </w:rPr>
        <w:t xml:space="preserve">and often hidden. </w:t>
      </w:r>
      <w:r w:rsidR="003865D8" w:rsidRPr="00BC5B69">
        <w:rPr>
          <w:rFonts w:eastAsia="Calibri"/>
          <w:sz w:val="22"/>
          <w:szCs w:val="22"/>
          <w:lang w:val="en-US"/>
        </w:rPr>
        <w:t xml:space="preserve">In men, especially over-active bladder induced incontinence is highly associated with falls. This suggests that </w:t>
      </w:r>
      <w:r w:rsidR="004B40CF" w:rsidRPr="00BC5B69">
        <w:rPr>
          <w:rFonts w:eastAsia="Calibri"/>
          <w:sz w:val="22"/>
          <w:szCs w:val="22"/>
          <w:lang w:val="en-US"/>
        </w:rPr>
        <w:t>UI</w:t>
      </w:r>
      <w:r w:rsidR="003865D8" w:rsidRPr="00BC5B69">
        <w:rPr>
          <w:rFonts w:eastAsia="Calibri"/>
          <w:sz w:val="22"/>
          <w:szCs w:val="22"/>
          <w:lang w:val="en-US"/>
        </w:rPr>
        <w:t xml:space="preserve"> leads to a fall </w:t>
      </w:r>
      <w:r w:rsidR="003865D8" w:rsidRPr="00BC5B69">
        <w:rPr>
          <w:rFonts w:eastAsia="Calibri"/>
          <w:sz w:val="22"/>
          <w:szCs w:val="22"/>
          <w:lang w:val="en-US"/>
        </w:rPr>
        <w:lastRenderedPageBreak/>
        <w:t>due to sudden movements other than a daily routine to reach the toilet</w:t>
      </w:r>
      <w:r w:rsidR="0082439A" w:rsidRPr="00BC5B69">
        <w:rPr>
          <w:rFonts w:eastAsia="Calibri"/>
          <w:sz w:val="22"/>
          <w:szCs w:val="22"/>
          <w:lang w:val="en-US"/>
        </w:rPr>
        <w:t xml:space="preserve"> </w:t>
      </w:r>
      <w:r w:rsidR="0082439A" w:rsidRPr="00BC5B69">
        <w:rPr>
          <w:rFonts w:eastAsia="Calibri"/>
          <w:sz w:val="22"/>
          <w:szCs w:val="22"/>
          <w:lang w:val="en-US"/>
        </w:rPr>
        <w:fldChar w:fldCharType="begin" w:fldLock="1"/>
      </w:r>
      <w:r w:rsidR="00D2655F" w:rsidRPr="00BC5B69">
        <w:rPr>
          <w:rFonts w:eastAsia="Calibri"/>
          <w:sz w:val="22"/>
          <w:szCs w:val="22"/>
          <w:lang w:val="en-US"/>
        </w:rPr>
        <w:instrText>ADDIN CSL_CITATION {"citationItems":[{"id":"ITEM-1","itemData":{"DOI":"10.1016/j.juro.2016.06.085","ISBN":"0022-5347","ISSN":"15273792","PMID":"27350076","abstract":"Purpose We sought to determine which lower urinary tract symptoms are associated with incident falls in community dwelling older men. Materials and Methods The Concord Health and Ageing in Men Project involves a representative sample of community dwelling men 70 years old or older in a defined geographic region in Sydney, New South Wales, Australia. Included in analysis were 1,090 men without neurological diseases, poor mobility or dementia at baseline. Lower urinary tract symptoms were assessed using I-PSS (International Prostate Symptom Score) and incontinence was assessed using ICIQ (International Consultation on Incontinence Questionnaire) at baseline. I-PSS subscores were calculated for storage and voiding symptoms. Incident falls in 1 year were determined by telephone followup every 4 months. Results I-PSS storage and voiding subscores were associated with falls. Urgency incontinence was associated with falls (adjusted incidence rate ratio 2.57, 95% CI 1.54–4.30). In addition, intermediate to high I-PSS storage subscores without urgency incontinence were associated with falls (adjusted incidence rate ratio 1.72, 95% CI 1.24–2.38). Other types of incontinence and urgency alone without urgency incontinence were not associated with falls. Conclusions Lower urinary tract storage and voiding symptoms were associated with falls in community dwelling older men. Of the symptoms of overactive bladder urgency incontinence carried a high risk of falls. Storage symptoms also contributed to the fall risk independently of urgency incontinence. Circumstances of falls among men with lower urinary tract symptoms should be explored to understand how lower urinary tract symptoms increase the fall risk and generate hypotheses regarding potential interventions. Furthermore, trials to treat lower urinary tract symptoms in older men should include falls as an end point.","author":[{"dropping-particle":"","family":"Noguchi","given":"Naomi","non-dropping-particle":"","parse-names":false,"suffix":""},{"dropping-particle":"","family":"Chan","given":"Lewis","non-dropping-particle":"","parse-names":false,"suffix":""},{"dropping-particle":"","family":"Cumming","given":"Robert G.","non-dropping-particle":"","parse-names":false,"suffix":""},{"dropping-particle":"","family":"Blyth","given":"Fiona M.","non-dropping-particle":"","parse-names":false,"suffix":""},{"dropping-particle":"","family":"Handelsman","given":"David J.","non-dropping-particle":"","parse-names":false,"suffix":""},{"dropping-particle":"","family":"Seibel","given":"Markus J.","non-dropping-particle":"","parse-names":false,"suffix":""},{"dropping-particle":"","family":"Waite","given":"Louise M.","non-dropping-particle":"","parse-names":false,"suffix":""},{"dropping-particle":"","family":"Couteur","given":"David G.","non-dropping-particle":"Le","parse-names":false,"suffix":""},{"dropping-particle":"","family":"Naganathan","given":"Vasi","non-dropping-particle":"","parse-names":false,"suffix":""}],"container-title":"The Journal of urology","id":"ITEM-1","issue":"6","issued":{"date-parts":[["2016"]]},"page":"1694-1699","title":"Lower Urinary Tract Symptoms and Incident Falls in Community Dwelling Older Men: The Concord Health and Ageing in Men Project","type":"article-journal","volume":"196"},"uris":["http://www.mendeley.com/documents/?uuid=cf43b99e-d3e5-49e8-ba18-be10aec24558"]},{"id":"ITEM-2","itemData":{"DOI":"10.3909/riu0686","ISSN":"1523-6161","PMID":"27162509","abstract":"Falls and fractures have a significant impact on our patients, their families, and caregivers, and cost the health care system billions of dollars. Each year, millions of adults aged 65 and older fall. Falls can cause moderate to severe injuries, such as hip fractures and head traumas, and can increase the risk of early death. Fortunately, falls are a public health problem that is largely preventable. Because many patients with falls and subsequent fractures have urologic conditions, urologists are positioned to help with the prevention of these significant and costly injuries. This article discusses the epidemiology of falls and fractures, and the urologic comorbidities that increase their risk.","author":[{"dropping-particle":"","family":"Soliman","given":"Yousef","non-dropping-particle":"","parse-names":false,"suffix":""},{"dropping-particle":"","family":"Meyer","given":"Richard","non-dropping-particle":"","parse-names":false,"suffix":""},{"dropping-particle":"","family":"Baum","given":"Neil","non-dropping-particle":"","parse-names":false,"suffix":""}],"container-title":"Reviews in urology","id":"ITEM-2","issue":"1","issued":{"date-parts":[["2016"]]},"page":"28-32","title":"Falls in the Elderly Secondary to Urinary Symptoms","type":"article-journal","volume":"18"},"uris":["http://www.mendeley.com/documents/?uuid=0a10ef0d-e365-434c-9749-c3a91fa8f106"]}],"mendeley":{"formattedCitation":"(Noguchi et al., 2016; Soliman, Meyer, &amp; Baum, 2016)","plainTextFormattedCitation":"(Noguchi et al., 2016; Soliman, Meyer, &amp; Baum, 2016)","previouslyFormattedCitation":"(Noguchi et al., 2016; Soliman, Meyer, &amp; Baum, 2016)"},"properties":{"noteIndex":0},"schema":"https://github.com/citation-style-language/schema/raw/master/csl-citation.json"}</w:instrText>
      </w:r>
      <w:r w:rsidR="0082439A" w:rsidRPr="00BC5B69">
        <w:rPr>
          <w:rFonts w:eastAsia="Calibri"/>
          <w:sz w:val="22"/>
          <w:szCs w:val="22"/>
          <w:lang w:val="en-US"/>
        </w:rPr>
        <w:fldChar w:fldCharType="separate"/>
      </w:r>
      <w:r w:rsidR="00E66FE2" w:rsidRPr="00BC5B69">
        <w:rPr>
          <w:rFonts w:eastAsia="Calibri"/>
          <w:noProof/>
          <w:sz w:val="22"/>
          <w:szCs w:val="22"/>
          <w:lang w:val="en-US"/>
        </w:rPr>
        <w:t>(Noguchi et al., 2016; Soliman, Meyer, &amp; Baum, 2016)</w:t>
      </w:r>
      <w:r w:rsidR="0082439A" w:rsidRPr="00BC5B69">
        <w:rPr>
          <w:rFonts w:eastAsia="Calibri"/>
          <w:sz w:val="22"/>
          <w:szCs w:val="22"/>
          <w:lang w:val="en-US"/>
        </w:rPr>
        <w:fldChar w:fldCharType="end"/>
      </w:r>
      <w:r w:rsidR="003865D8" w:rsidRPr="00BC5B69">
        <w:rPr>
          <w:rFonts w:eastAsia="Calibri"/>
          <w:sz w:val="22"/>
          <w:szCs w:val="22"/>
          <w:lang w:val="en-US"/>
        </w:rPr>
        <w:t>.</w:t>
      </w:r>
    </w:p>
    <w:p w14:paraId="719AF183" w14:textId="50F617D3" w:rsidR="003D1FBF" w:rsidRPr="00BC5B69" w:rsidRDefault="004917AB" w:rsidP="006952DB">
      <w:pPr>
        <w:spacing w:line="480" w:lineRule="auto"/>
        <w:jc w:val="both"/>
        <w:rPr>
          <w:rFonts w:eastAsia="Calibri"/>
          <w:sz w:val="22"/>
          <w:szCs w:val="22"/>
          <w:lang w:val="en-US"/>
        </w:rPr>
      </w:pPr>
      <w:r w:rsidRPr="00BC5B69">
        <w:rPr>
          <w:rFonts w:eastAsia="Calibri"/>
          <w:sz w:val="22"/>
          <w:szCs w:val="22"/>
          <w:lang w:val="en-US"/>
        </w:rPr>
        <w:t xml:space="preserve">The strengths of this study are the sample size which </w:t>
      </w:r>
      <w:r w:rsidR="00ED40F5" w:rsidRPr="00BC5B69">
        <w:rPr>
          <w:rFonts w:eastAsia="Calibri"/>
          <w:sz w:val="22"/>
          <w:szCs w:val="22"/>
          <w:lang w:val="en-US"/>
        </w:rPr>
        <w:t xml:space="preserve">is </w:t>
      </w:r>
      <w:r w:rsidRPr="00BC5B69">
        <w:rPr>
          <w:rFonts w:eastAsia="Calibri"/>
          <w:sz w:val="22"/>
          <w:szCs w:val="22"/>
          <w:lang w:val="en-US"/>
        </w:rPr>
        <w:t xml:space="preserve">sufficient </w:t>
      </w:r>
      <w:r w:rsidR="008532A0" w:rsidRPr="00BC5B69">
        <w:rPr>
          <w:rFonts w:eastAsia="Calibri"/>
          <w:sz w:val="22"/>
          <w:szCs w:val="22"/>
          <w:lang w:val="en-US"/>
        </w:rPr>
        <w:t xml:space="preserve">enough </w:t>
      </w:r>
      <w:r w:rsidRPr="00BC5B69">
        <w:rPr>
          <w:rFonts w:eastAsia="Calibri"/>
          <w:sz w:val="22"/>
          <w:szCs w:val="22"/>
          <w:lang w:val="en-US"/>
        </w:rPr>
        <w:t xml:space="preserve">to define </w:t>
      </w:r>
      <w:r w:rsidR="00F17590" w:rsidRPr="00BC5B69">
        <w:rPr>
          <w:rFonts w:eastAsia="Calibri"/>
          <w:sz w:val="22"/>
          <w:szCs w:val="22"/>
          <w:lang w:val="en-US"/>
        </w:rPr>
        <w:t>sex</w:t>
      </w:r>
      <w:r w:rsidRPr="00BC5B69">
        <w:rPr>
          <w:rFonts w:eastAsia="Calibri"/>
          <w:sz w:val="22"/>
          <w:szCs w:val="22"/>
          <w:lang w:val="en-US"/>
        </w:rPr>
        <w:t>-specific risk factors</w:t>
      </w:r>
      <w:r w:rsidR="008532A0" w:rsidRPr="00BC5B69">
        <w:rPr>
          <w:rFonts w:eastAsia="Calibri"/>
          <w:sz w:val="22"/>
          <w:szCs w:val="22"/>
          <w:lang w:val="en-US"/>
        </w:rPr>
        <w:t xml:space="preserve"> in older men</w:t>
      </w:r>
      <w:r w:rsidRPr="00BC5B69">
        <w:rPr>
          <w:rFonts w:eastAsia="Calibri"/>
          <w:sz w:val="22"/>
          <w:szCs w:val="22"/>
          <w:lang w:val="en-US"/>
        </w:rPr>
        <w:t xml:space="preserve">, and the use of four different fall risk assessment methods. </w:t>
      </w:r>
      <w:r w:rsidR="003D1FBF" w:rsidRPr="00BC5B69">
        <w:rPr>
          <w:rFonts w:eastAsia="Calibri"/>
          <w:sz w:val="22"/>
          <w:szCs w:val="22"/>
          <w:lang w:val="en-US"/>
        </w:rPr>
        <w:t xml:space="preserve">Thus, falling history, balance, walking, and walking speed were evaluated and possible differences between these clinical methods were identified. One of the limitations of this study is </w:t>
      </w:r>
      <w:r w:rsidR="00EE0D29" w:rsidRPr="00BC5B69">
        <w:rPr>
          <w:rFonts w:eastAsia="Calibri"/>
          <w:sz w:val="22"/>
          <w:szCs w:val="22"/>
          <w:lang w:val="en-US"/>
        </w:rPr>
        <w:t xml:space="preserve">retrospective design. Second, fear of falling could not have been assessed. Third, cut-off points of some instruments used in this study varies in the literature, but we used the common cut points based on the literature. </w:t>
      </w:r>
    </w:p>
    <w:p w14:paraId="0C10ED41" w14:textId="0777B004" w:rsidR="00F24CAA" w:rsidRPr="00BC5B69" w:rsidRDefault="003C3590" w:rsidP="006952DB">
      <w:pPr>
        <w:spacing w:line="480" w:lineRule="auto"/>
        <w:jc w:val="both"/>
        <w:rPr>
          <w:rFonts w:eastAsia="Calibri"/>
          <w:sz w:val="22"/>
          <w:szCs w:val="22"/>
          <w:lang w:val="en-US"/>
        </w:rPr>
      </w:pPr>
      <w:r w:rsidRPr="00BC5B69">
        <w:rPr>
          <w:rFonts w:eastAsia="Calibri"/>
          <w:sz w:val="22"/>
          <w:szCs w:val="22"/>
          <w:lang w:val="en-US"/>
        </w:rPr>
        <w:t>Falling is a factor that leads to negative health outcomes</w:t>
      </w:r>
      <w:r w:rsidR="00DE1AD5" w:rsidRPr="00BC5B69">
        <w:rPr>
          <w:rFonts w:eastAsia="Calibri"/>
          <w:sz w:val="22"/>
          <w:szCs w:val="22"/>
          <w:lang w:val="en-US"/>
        </w:rPr>
        <w:t xml:space="preserve"> and </w:t>
      </w:r>
      <w:r w:rsidRPr="00BC5B69">
        <w:rPr>
          <w:rFonts w:eastAsia="Calibri"/>
          <w:sz w:val="22"/>
          <w:szCs w:val="22"/>
          <w:lang w:val="en-US"/>
        </w:rPr>
        <w:t>limits the quality of life</w:t>
      </w:r>
      <w:r w:rsidR="00DE1AD5" w:rsidRPr="00BC5B69">
        <w:rPr>
          <w:rFonts w:eastAsia="Calibri"/>
          <w:sz w:val="22"/>
          <w:szCs w:val="22"/>
          <w:lang w:val="en-US"/>
        </w:rPr>
        <w:t xml:space="preserve"> in older men</w:t>
      </w:r>
      <w:r w:rsidRPr="00BC5B69">
        <w:rPr>
          <w:rFonts w:eastAsia="Calibri"/>
          <w:sz w:val="22"/>
          <w:szCs w:val="22"/>
          <w:lang w:val="en-US"/>
        </w:rPr>
        <w:t>. It also negatively affects the caregivers and health-care systems. I</w:t>
      </w:r>
      <w:r w:rsidR="00C8385D" w:rsidRPr="00BC5B69">
        <w:rPr>
          <w:rFonts w:eastAsia="Calibri"/>
          <w:sz w:val="22"/>
          <w:szCs w:val="22"/>
          <w:lang w:val="en-US"/>
        </w:rPr>
        <w:t xml:space="preserve">n </w:t>
      </w:r>
      <w:r w:rsidR="00D03D3B" w:rsidRPr="00BC5B69">
        <w:rPr>
          <w:rFonts w:eastAsia="Calibri"/>
          <w:sz w:val="22"/>
          <w:szCs w:val="22"/>
          <w:lang w:val="en-US"/>
        </w:rPr>
        <w:t>the present</w:t>
      </w:r>
      <w:r w:rsidR="00C8385D" w:rsidRPr="00BC5B69">
        <w:rPr>
          <w:rFonts w:eastAsia="Calibri"/>
          <w:sz w:val="22"/>
          <w:szCs w:val="22"/>
          <w:lang w:val="en-US"/>
        </w:rPr>
        <w:t xml:space="preserve"> study, </w:t>
      </w:r>
      <w:r w:rsidR="004B40CF" w:rsidRPr="00BC5B69">
        <w:rPr>
          <w:rFonts w:eastAsia="Calibri"/>
          <w:sz w:val="22"/>
          <w:szCs w:val="22"/>
          <w:lang w:val="en-US"/>
        </w:rPr>
        <w:t xml:space="preserve">it was demonstrated that </w:t>
      </w:r>
      <w:r w:rsidR="00C8385D" w:rsidRPr="00BC5B69">
        <w:rPr>
          <w:rFonts w:eastAsia="Calibri"/>
          <w:sz w:val="22"/>
          <w:szCs w:val="22"/>
          <w:lang w:val="en-US"/>
        </w:rPr>
        <w:t>seven</w:t>
      </w:r>
      <w:r w:rsidRPr="00BC5B69">
        <w:rPr>
          <w:rFonts w:eastAsia="Calibri"/>
          <w:sz w:val="22"/>
          <w:szCs w:val="22"/>
          <w:lang w:val="en-US"/>
        </w:rPr>
        <w:t xml:space="preserve"> risk factors</w:t>
      </w:r>
      <w:r w:rsidR="00F018E4" w:rsidRPr="00BC5B69">
        <w:rPr>
          <w:rFonts w:eastAsia="Calibri"/>
          <w:sz w:val="22"/>
          <w:szCs w:val="22"/>
          <w:lang w:val="en-US"/>
        </w:rPr>
        <w:t>,</w:t>
      </w:r>
      <w:r w:rsidR="004B40CF" w:rsidRPr="00BC5B69">
        <w:rPr>
          <w:rFonts w:eastAsia="Calibri"/>
          <w:sz w:val="22"/>
          <w:szCs w:val="22"/>
          <w:lang w:val="en-US"/>
        </w:rPr>
        <w:t xml:space="preserve"> including </w:t>
      </w:r>
      <w:r w:rsidR="004B40CF" w:rsidRPr="00BC5B69">
        <w:rPr>
          <w:sz w:val="22"/>
          <w:szCs w:val="22"/>
          <w:lang w:val="en-US"/>
        </w:rPr>
        <w:t xml:space="preserve">cerebrovascular disease, </w:t>
      </w:r>
      <w:r w:rsidR="004B40CF" w:rsidRPr="00BC5B69">
        <w:rPr>
          <w:rFonts w:eastAsia="Calibri"/>
          <w:sz w:val="22"/>
          <w:szCs w:val="22"/>
          <w:lang w:val="en-US"/>
        </w:rPr>
        <w:t>urinary incontinence, dizziness and imbalance, high GDS scores, low MMSE, BADL and IADL scores</w:t>
      </w:r>
      <w:r w:rsidR="00F018E4" w:rsidRPr="00BC5B69">
        <w:rPr>
          <w:rFonts w:eastAsia="Calibri"/>
          <w:sz w:val="22"/>
          <w:szCs w:val="22"/>
          <w:lang w:val="en-US"/>
        </w:rPr>
        <w:t>,</w:t>
      </w:r>
      <w:r w:rsidR="004B40CF" w:rsidRPr="00BC5B69">
        <w:rPr>
          <w:rFonts w:eastAsia="Calibri"/>
          <w:sz w:val="22"/>
          <w:szCs w:val="22"/>
          <w:lang w:val="en-US"/>
        </w:rPr>
        <w:t xml:space="preserve"> </w:t>
      </w:r>
      <w:r w:rsidR="00DE1AD5" w:rsidRPr="00BC5B69">
        <w:rPr>
          <w:rFonts w:eastAsia="Calibri"/>
          <w:sz w:val="22"/>
          <w:szCs w:val="22"/>
          <w:lang w:val="en-US"/>
        </w:rPr>
        <w:t xml:space="preserve">are related to the </w:t>
      </w:r>
      <w:r w:rsidRPr="00BC5B69">
        <w:rPr>
          <w:rFonts w:eastAsia="Calibri"/>
          <w:sz w:val="22"/>
          <w:szCs w:val="22"/>
          <w:lang w:val="en-US"/>
        </w:rPr>
        <w:t xml:space="preserve">increased risk of falling </w:t>
      </w:r>
      <w:r w:rsidR="00DE1AD5" w:rsidRPr="00BC5B69">
        <w:rPr>
          <w:rFonts w:eastAsia="Calibri"/>
          <w:sz w:val="22"/>
          <w:szCs w:val="22"/>
          <w:lang w:val="en-US"/>
        </w:rPr>
        <w:t xml:space="preserve">via </w:t>
      </w:r>
      <w:r w:rsidRPr="00BC5B69">
        <w:rPr>
          <w:rFonts w:eastAsia="Calibri"/>
          <w:sz w:val="22"/>
          <w:szCs w:val="22"/>
          <w:lang w:val="en-US"/>
        </w:rPr>
        <w:t>four different clinical methods</w:t>
      </w:r>
      <w:r w:rsidR="00F018E4" w:rsidRPr="00BC5B69">
        <w:rPr>
          <w:sz w:val="22"/>
          <w:szCs w:val="22"/>
          <w:lang w:val="en-US"/>
        </w:rPr>
        <w:t xml:space="preserve"> in older men</w:t>
      </w:r>
      <w:r w:rsidRPr="00BC5B69">
        <w:rPr>
          <w:rFonts w:eastAsia="Calibri"/>
          <w:sz w:val="22"/>
          <w:szCs w:val="22"/>
          <w:lang w:val="en-US"/>
        </w:rPr>
        <w:t xml:space="preserve">. In order to avoid the negative consequences of the falls, </w:t>
      </w:r>
      <w:r w:rsidR="00F17590" w:rsidRPr="00BC5B69">
        <w:rPr>
          <w:rFonts w:eastAsia="Calibri"/>
          <w:sz w:val="22"/>
          <w:szCs w:val="22"/>
          <w:lang w:val="en-US"/>
        </w:rPr>
        <w:t>sex</w:t>
      </w:r>
      <w:r w:rsidRPr="00BC5B69">
        <w:rPr>
          <w:rFonts w:eastAsia="Calibri"/>
          <w:sz w:val="22"/>
          <w:szCs w:val="22"/>
          <w:lang w:val="en-US"/>
        </w:rPr>
        <w:t>-specific fall risk factors should be identified and modified.</w:t>
      </w:r>
    </w:p>
    <w:p w14:paraId="0D1B3179" w14:textId="77777777" w:rsidR="00245564" w:rsidRPr="00BC5B69" w:rsidRDefault="00245564" w:rsidP="006952DB">
      <w:pPr>
        <w:spacing w:line="480" w:lineRule="auto"/>
        <w:jc w:val="both"/>
        <w:rPr>
          <w:rFonts w:eastAsia="Calibri"/>
          <w:b/>
          <w:sz w:val="22"/>
          <w:szCs w:val="22"/>
          <w:lang w:val="en-US"/>
        </w:rPr>
      </w:pPr>
    </w:p>
    <w:p w14:paraId="7694C10F" w14:textId="77777777" w:rsidR="00245564" w:rsidRPr="00BC5B69" w:rsidRDefault="00245564" w:rsidP="006952DB">
      <w:pPr>
        <w:spacing w:line="480" w:lineRule="auto"/>
        <w:jc w:val="both"/>
        <w:rPr>
          <w:rFonts w:eastAsia="Calibri"/>
          <w:b/>
          <w:sz w:val="22"/>
          <w:szCs w:val="22"/>
          <w:lang w:val="en-US"/>
        </w:rPr>
      </w:pPr>
    </w:p>
    <w:p w14:paraId="20BC741F" w14:textId="77777777" w:rsidR="00245564" w:rsidRPr="00BC5B69" w:rsidRDefault="00245564" w:rsidP="006952DB">
      <w:pPr>
        <w:spacing w:line="480" w:lineRule="auto"/>
        <w:jc w:val="both"/>
        <w:rPr>
          <w:rFonts w:eastAsia="Calibri"/>
          <w:b/>
          <w:sz w:val="22"/>
          <w:szCs w:val="22"/>
          <w:lang w:val="en-US"/>
        </w:rPr>
      </w:pPr>
    </w:p>
    <w:p w14:paraId="68C7664D" w14:textId="77777777" w:rsidR="00245564" w:rsidRPr="00BC5B69" w:rsidRDefault="00245564" w:rsidP="006952DB">
      <w:pPr>
        <w:spacing w:line="480" w:lineRule="auto"/>
        <w:jc w:val="both"/>
        <w:rPr>
          <w:rFonts w:eastAsia="Calibri"/>
          <w:b/>
          <w:sz w:val="22"/>
          <w:szCs w:val="22"/>
          <w:lang w:val="en-US"/>
        </w:rPr>
      </w:pPr>
    </w:p>
    <w:p w14:paraId="1B7FBC0F" w14:textId="78BF9516" w:rsidR="00501B4D" w:rsidRPr="00BC5B69" w:rsidRDefault="002D69B3" w:rsidP="006952DB">
      <w:pPr>
        <w:spacing w:line="480" w:lineRule="auto"/>
        <w:jc w:val="both"/>
        <w:rPr>
          <w:rFonts w:eastAsia="Calibri"/>
          <w:b/>
          <w:sz w:val="22"/>
          <w:szCs w:val="22"/>
          <w:lang w:val="en-US"/>
        </w:rPr>
      </w:pPr>
      <w:r w:rsidRPr="00BC5B69">
        <w:rPr>
          <w:rFonts w:eastAsia="Calibri"/>
          <w:b/>
          <w:sz w:val="22"/>
          <w:szCs w:val="22"/>
          <w:lang w:val="en-US"/>
        </w:rPr>
        <w:t>References</w:t>
      </w:r>
    </w:p>
    <w:p w14:paraId="5E8B4320" w14:textId="39920701" w:rsidR="00D2655F" w:rsidRPr="00BC5B69" w:rsidRDefault="00501B4D" w:rsidP="006952DB">
      <w:pPr>
        <w:widowControl w:val="0"/>
        <w:autoSpaceDE w:val="0"/>
        <w:autoSpaceDN w:val="0"/>
        <w:adjustRightInd w:val="0"/>
        <w:spacing w:line="480" w:lineRule="auto"/>
        <w:ind w:left="480" w:hanging="480"/>
        <w:jc w:val="both"/>
        <w:rPr>
          <w:noProof/>
          <w:sz w:val="22"/>
        </w:rPr>
      </w:pPr>
      <w:r w:rsidRPr="00BC5B69">
        <w:rPr>
          <w:rFonts w:eastAsia="Calibri"/>
          <w:sz w:val="22"/>
          <w:szCs w:val="22"/>
          <w:lang w:val="en-US"/>
        </w:rPr>
        <w:fldChar w:fldCharType="begin" w:fldLock="1"/>
      </w:r>
      <w:r w:rsidRPr="00BC5B69">
        <w:rPr>
          <w:rFonts w:eastAsia="Calibri"/>
          <w:sz w:val="22"/>
          <w:szCs w:val="22"/>
          <w:lang w:val="en-US"/>
        </w:rPr>
        <w:instrText xml:space="preserve">ADDIN Mendeley Bibliography CSL_BIBLIOGRAPHY </w:instrText>
      </w:r>
      <w:r w:rsidRPr="00BC5B69">
        <w:rPr>
          <w:rFonts w:eastAsia="Calibri"/>
          <w:sz w:val="22"/>
          <w:szCs w:val="22"/>
          <w:lang w:val="en-US"/>
        </w:rPr>
        <w:fldChar w:fldCharType="separate"/>
      </w:r>
      <w:r w:rsidR="00D2655F" w:rsidRPr="00BC5B69">
        <w:rPr>
          <w:noProof/>
          <w:sz w:val="22"/>
        </w:rPr>
        <w:t xml:space="preserve">Al-Momani, M., Al-Momani, F., Alghadir, A. H., Alharethy, S., &amp; Gabr, S. A. (2016). Factors related to gait and balance deficits in older adults. </w:t>
      </w:r>
      <w:r w:rsidR="00D2655F" w:rsidRPr="00BC5B69">
        <w:rPr>
          <w:i/>
          <w:iCs/>
          <w:noProof/>
          <w:sz w:val="22"/>
        </w:rPr>
        <w:t>Clinical Interventions in Aging</w:t>
      </w:r>
      <w:r w:rsidR="00D2655F" w:rsidRPr="00BC5B69">
        <w:rPr>
          <w:noProof/>
          <w:sz w:val="22"/>
        </w:rPr>
        <w:t xml:space="preserve">, </w:t>
      </w:r>
      <w:r w:rsidR="00D2655F" w:rsidRPr="00BC5B69">
        <w:rPr>
          <w:i/>
          <w:iCs/>
          <w:noProof/>
          <w:sz w:val="22"/>
        </w:rPr>
        <w:t>11</w:t>
      </w:r>
      <w:r w:rsidR="00D2655F" w:rsidRPr="00BC5B69">
        <w:rPr>
          <w:noProof/>
          <w:sz w:val="22"/>
        </w:rPr>
        <w:t>, 1043–1049. https://doi.org/10.2147/CIA.S112282</w:t>
      </w:r>
    </w:p>
    <w:p w14:paraId="1F9B144B"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Anstey, K. J., Burns, R., Von Sanden, C., &amp; Luszcz, M. A. (2008). Psychological well-being is an independent predictor of falling in an 8-year follow-up of older adults. </w:t>
      </w:r>
      <w:r w:rsidRPr="00BC5B69">
        <w:rPr>
          <w:i/>
          <w:iCs/>
          <w:noProof/>
          <w:sz w:val="22"/>
        </w:rPr>
        <w:t>The Journals of Gerontology. Series B, Psychological Sciences and Social Sciences</w:t>
      </w:r>
      <w:r w:rsidRPr="00BC5B69">
        <w:rPr>
          <w:noProof/>
          <w:sz w:val="22"/>
        </w:rPr>
        <w:t xml:space="preserve">, </w:t>
      </w:r>
      <w:r w:rsidRPr="00BC5B69">
        <w:rPr>
          <w:i/>
          <w:iCs/>
          <w:noProof/>
          <w:sz w:val="22"/>
        </w:rPr>
        <w:t>63</w:t>
      </w:r>
      <w:r w:rsidRPr="00BC5B69">
        <w:rPr>
          <w:noProof/>
          <w:sz w:val="22"/>
        </w:rPr>
        <w:t>(4), P249–P257. https://doi.org/10.1093/geronb/63.4.P249</w:t>
      </w:r>
    </w:p>
    <w:p w14:paraId="1B6649C7"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Aydin, A. E., Soysal, P., &amp; Isik, A. T. (2017). Which is preferable for orthostatic hypotension diagnosis in older adults : active standing test or head-up tilt table test ? </w:t>
      </w:r>
      <w:r w:rsidRPr="00BC5B69">
        <w:rPr>
          <w:i/>
          <w:iCs/>
          <w:noProof/>
          <w:sz w:val="22"/>
        </w:rPr>
        <w:t>Clin Interv Aging</w:t>
      </w:r>
      <w:r w:rsidRPr="00BC5B69">
        <w:rPr>
          <w:noProof/>
          <w:sz w:val="22"/>
        </w:rPr>
        <w:t xml:space="preserve">, </w:t>
      </w:r>
      <w:r w:rsidRPr="00BC5B69">
        <w:rPr>
          <w:i/>
          <w:iCs/>
          <w:noProof/>
          <w:sz w:val="22"/>
        </w:rPr>
        <w:t>12</w:t>
      </w:r>
      <w:r w:rsidRPr="00BC5B69">
        <w:rPr>
          <w:noProof/>
          <w:sz w:val="22"/>
        </w:rPr>
        <w:t xml:space="preserve">, 207–212. </w:t>
      </w:r>
      <w:r w:rsidRPr="00BC5B69">
        <w:rPr>
          <w:noProof/>
          <w:sz w:val="22"/>
        </w:rPr>
        <w:lastRenderedPageBreak/>
        <w:t>https://doi.org/10.2147/CIA.S129868</w:t>
      </w:r>
    </w:p>
    <w:p w14:paraId="3E292A8A" w14:textId="1B88B54A"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BCGuidelines.ca. (2017). </w:t>
      </w:r>
      <w:r w:rsidRPr="00BC5B69">
        <w:rPr>
          <w:iCs/>
          <w:noProof/>
          <w:sz w:val="22"/>
        </w:rPr>
        <w:t>Frailty in Older Adults - Early İdentification and Management.</w:t>
      </w:r>
      <w:r w:rsidR="006536A2" w:rsidRPr="00BC5B69">
        <w:t xml:space="preserve"> </w:t>
      </w:r>
      <w:r w:rsidR="006536A2" w:rsidRPr="00BC5B69">
        <w:rPr>
          <w:sz w:val="22"/>
          <w:szCs w:val="22"/>
        </w:rPr>
        <w:t xml:space="preserve">Retrieved from </w:t>
      </w:r>
      <w:r w:rsidR="006536A2" w:rsidRPr="00BC5B69">
        <w:rPr>
          <w:iCs/>
          <w:noProof/>
          <w:sz w:val="22"/>
          <w:szCs w:val="22"/>
        </w:rPr>
        <w:t>https://www2.gov.bc.ca/gov/content/health/</w:t>
      </w:r>
      <w:r w:rsidR="006536A2" w:rsidRPr="00BC5B69">
        <w:rPr>
          <w:iCs/>
          <w:noProof/>
          <w:sz w:val="22"/>
        </w:rPr>
        <w:t>practitioner-professional-resources/bc-guidelines/frailty.</w:t>
      </w:r>
    </w:p>
    <w:p w14:paraId="4C51C267"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Bridenbaugh, S. A., &amp; Kressig, R. W. (2015). Motor cognitive dual tasking: Early detection of gait impairment, fall risk and cognitive decline. </w:t>
      </w:r>
      <w:r w:rsidRPr="00BC5B69">
        <w:rPr>
          <w:i/>
          <w:iCs/>
          <w:noProof/>
          <w:sz w:val="22"/>
        </w:rPr>
        <w:t>Zeitschrift Für Gerontologie Und Geriatrie</w:t>
      </w:r>
      <w:r w:rsidRPr="00BC5B69">
        <w:rPr>
          <w:noProof/>
          <w:sz w:val="22"/>
        </w:rPr>
        <w:t xml:space="preserve">, </w:t>
      </w:r>
      <w:r w:rsidRPr="00BC5B69">
        <w:rPr>
          <w:i/>
          <w:iCs/>
          <w:noProof/>
          <w:sz w:val="22"/>
        </w:rPr>
        <w:t>48</w:t>
      </w:r>
      <w:r w:rsidRPr="00BC5B69">
        <w:rPr>
          <w:noProof/>
          <w:sz w:val="22"/>
        </w:rPr>
        <w:t>(1), 15–21. https://doi.org/10.1007/s00391-014-0845-0</w:t>
      </w:r>
    </w:p>
    <w:p w14:paraId="779BD430"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Bulut Ates, E., Soysal, P., Aydin, A. E., Dokuzlar, O., Kocyigit, S. E., &amp; Isik, A. T. (2017). Vitamin B12 deficiency might be related to sarcopenia in older adults. </w:t>
      </w:r>
      <w:r w:rsidRPr="00BC5B69">
        <w:rPr>
          <w:i/>
          <w:iCs/>
          <w:noProof/>
          <w:sz w:val="22"/>
        </w:rPr>
        <w:t>Experimental Gerontology</w:t>
      </w:r>
      <w:r w:rsidRPr="00BC5B69">
        <w:rPr>
          <w:noProof/>
          <w:sz w:val="22"/>
        </w:rPr>
        <w:t xml:space="preserve">, </w:t>
      </w:r>
      <w:r w:rsidRPr="00BC5B69">
        <w:rPr>
          <w:i/>
          <w:iCs/>
          <w:noProof/>
          <w:sz w:val="22"/>
        </w:rPr>
        <w:t>95</w:t>
      </w:r>
      <w:r w:rsidRPr="00BC5B69">
        <w:rPr>
          <w:noProof/>
          <w:sz w:val="22"/>
        </w:rPr>
        <w:t>, 136–140. https://doi.org/10.1016/j.exger.2017.05.017</w:t>
      </w:r>
    </w:p>
    <w:p w14:paraId="30282F6C"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Chang, V. C., &amp; Do, M. T. (2015). Risk factors for falls among seniors: Implications of gender. </w:t>
      </w:r>
      <w:r w:rsidRPr="00BC5B69">
        <w:rPr>
          <w:i/>
          <w:iCs/>
          <w:noProof/>
          <w:sz w:val="22"/>
        </w:rPr>
        <w:t>American Journal of Epidemiology</w:t>
      </w:r>
      <w:r w:rsidRPr="00BC5B69">
        <w:rPr>
          <w:noProof/>
          <w:sz w:val="22"/>
        </w:rPr>
        <w:t xml:space="preserve">, </w:t>
      </w:r>
      <w:r w:rsidRPr="00BC5B69">
        <w:rPr>
          <w:i/>
          <w:iCs/>
          <w:noProof/>
          <w:sz w:val="22"/>
        </w:rPr>
        <w:t>181</w:t>
      </w:r>
      <w:r w:rsidRPr="00BC5B69">
        <w:rPr>
          <w:noProof/>
          <w:sz w:val="22"/>
        </w:rPr>
        <w:t>(7), 521–531. https://doi.org/10.1093/aje/kwu268</w:t>
      </w:r>
    </w:p>
    <w:p w14:paraId="10B010FD" w14:textId="6ACFE09F"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Costamagna, E., Thies, S. B., Kenney, L. P. J., Howard, D., Liu, A., &amp; Ogden, D. (2017). A generalisable methodology for stability assessment of walking aid users. </w:t>
      </w:r>
      <w:r w:rsidRPr="00BC5B69">
        <w:rPr>
          <w:i/>
          <w:iCs/>
          <w:noProof/>
          <w:sz w:val="22"/>
        </w:rPr>
        <w:t>Medical Engineering &amp; Physics</w:t>
      </w:r>
      <w:r w:rsidRPr="00BC5B69">
        <w:rPr>
          <w:noProof/>
          <w:sz w:val="22"/>
        </w:rPr>
        <w:t xml:space="preserve">, </w:t>
      </w:r>
      <w:r w:rsidRPr="00BC5B69">
        <w:rPr>
          <w:i/>
          <w:iCs/>
          <w:noProof/>
          <w:sz w:val="22"/>
        </w:rPr>
        <w:t>47</w:t>
      </w:r>
      <w:r w:rsidRPr="00BC5B69">
        <w:rPr>
          <w:noProof/>
          <w:sz w:val="22"/>
        </w:rPr>
        <w:t>, 167–175. https://doi.org/10.1016/j.medengphy.2017.06.013</w:t>
      </w:r>
    </w:p>
    <w:p w14:paraId="43E91F82" w14:textId="267C2116" w:rsidR="001C21DB" w:rsidRPr="00BC5B69" w:rsidRDefault="001C21DB" w:rsidP="006952DB">
      <w:pPr>
        <w:widowControl w:val="0"/>
        <w:autoSpaceDE w:val="0"/>
        <w:autoSpaceDN w:val="0"/>
        <w:adjustRightInd w:val="0"/>
        <w:spacing w:line="480" w:lineRule="auto"/>
        <w:ind w:left="480" w:hanging="480"/>
        <w:jc w:val="both"/>
        <w:rPr>
          <w:noProof/>
          <w:sz w:val="22"/>
        </w:rPr>
      </w:pPr>
      <w:r w:rsidRPr="00BC5B69">
        <w:rPr>
          <w:noProof/>
          <w:sz w:val="22"/>
        </w:rPr>
        <w:t xml:space="preserve">Dokuzlar, O., Koc Okudur, S., Smith, L., Soysal, P., Yavuz, I., Aydin, A.E., &amp; Isik, A.T. (2019). Assessment of factors that increase risk of falling in older women by four different clinical methods. </w:t>
      </w:r>
      <w:r w:rsidRPr="00BC5B69">
        <w:rPr>
          <w:i/>
          <w:noProof/>
          <w:sz w:val="22"/>
        </w:rPr>
        <w:t>Aging Clinical and Experimental Research</w:t>
      </w:r>
      <w:r w:rsidRPr="00BC5B69">
        <w:rPr>
          <w:noProof/>
          <w:sz w:val="22"/>
        </w:rPr>
        <w:t>. https://doi.org/10.1007/s40520-019-01220-8. [Epub ahead of print]</w:t>
      </w:r>
    </w:p>
    <w:p w14:paraId="4D8869B7"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Durmaz, B., Soysal, P., Ellidokuz, H., &amp; Isik, A. T. (2018). Validity and Reliability of Geriatric Depression Scale - 15 (Short Form) in Turkish older adults. </w:t>
      </w:r>
      <w:r w:rsidRPr="00BC5B69">
        <w:rPr>
          <w:i/>
          <w:iCs/>
          <w:noProof/>
          <w:sz w:val="22"/>
        </w:rPr>
        <w:t>Northern Clinics of Istanbul</w:t>
      </w:r>
      <w:r w:rsidRPr="00BC5B69">
        <w:rPr>
          <w:noProof/>
          <w:sz w:val="22"/>
        </w:rPr>
        <w:t xml:space="preserve">, </w:t>
      </w:r>
      <w:r w:rsidRPr="00BC5B69">
        <w:rPr>
          <w:i/>
          <w:iCs/>
          <w:noProof/>
          <w:sz w:val="22"/>
        </w:rPr>
        <w:t>5</w:t>
      </w:r>
      <w:r w:rsidRPr="00BC5B69">
        <w:rPr>
          <w:noProof/>
          <w:sz w:val="22"/>
        </w:rPr>
        <w:t>(3), 216–220.</w:t>
      </w:r>
    </w:p>
    <w:p w14:paraId="054C66FA"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Fried, L. P., Tangen, C. M., Walston, J., Newman, A. B., Hirsch, C., Gottdiener, J., … McBurnie, M. A. (2001). Frailty in Older Adults: Evidence for a Phenotype. </w:t>
      </w:r>
      <w:r w:rsidRPr="00BC5B69">
        <w:rPr>
          <w:i/>
          <w:iCs/>
          <w:noProof/>
          <w:sz w:val="22"/>
        </w:rPr>
        <w:t>The Journals of Gerontology. Series A, Biological Sciences and Medical Sciences</w:t>
      </w:r>
      <w:r w:rsidRPr="00BC5B69">
        <w:rPr>
          <w:noProof/>
          <w:sz w:val="22"/>
        </w:rPr>
        <w:t xml:space="preserve">, </w:t>
      </w:r>
      <w:r w:rsidRPr="00BC5B69">
        <w:rPr>
          <w:i/>
          <w:iCs/>
          <w:noProof/>
          <w:sz w:val="22"/>
        </w:rPr>
        <w:t>56</w:t>
      </w:r>
      <w:r w:rsidRPr="00BC5B69">
        <w:rPr>
          <w:noProof/>
          <w:sz w:val="22"/>
        </w:rPr>
        <w:t>(3), M:146-56. https://doi.org/10.1093/gerona/56.3.M146</w:t>
      </w:r>
    </w:p>
    <w:p w14:paraId="5F1741F6"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Gale, C. R., Cooper, C., &amp; Aihie Sayer, A. (2016). Prevalence and risk factors for falls in older men and women: The English Longitudinal Study of Ageing. </w:t>
      </w:r>
      <w:r w:rsidRPr="00BC5B69">
        <w:rPr>
          <w:i/>
          <w:iCs/>
          <w:noProof/>
          <w:sz w:val="22"/>
        </w:rPr>
        <w:t>Age and Ageing</w:t>
      </w:r>
      <w:r w:rsidRPr="00BC5B69">
        <w:rPr>
          <w:noProof/>
          <w:sz w:val="22"/>
        </w:rPr>
        <w:t xml:space="preserve">, </w:t>
      </w:r>
      <w:r w:rsidRPr="00BC5B69">
        <w:rPr>
          <w:i/>
          <w:iCs/>
          <w:noProof/>
          <w:sz w:val="22"/>
        </w:rPr>
        <w:t>45</w:t>
      </w:r>
      <w:r w:rsidRPr="00BC5B69">
        <w:rPr>
          <w:noProof/>
          <w:sz w:val="22"/>
        </w:rPr>
        <w:t xml:space="preserve">(6), 789–794. </w:t>
      </w:r>
      <w:r w:rsidRPr="00BC5B69">
        <w:rPr>
          <w:noProof/>
          <w:sz w:val="22"/>
        </w:rPr>
        <w:lastRenderedPageBreak/>
        <w:t>https://doi.org/10.1093/ageing/afw129</w:t>
      </w:r>
    </w:p>
    <w:p w14:paraId="1A4A5C9A"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Ibrahim, A., Singh, D. K. A., &amp; Shahar, S. (2017). ‘Timed Up and Go’ test: Age, gender and cognitive impairment stratified normative values of older adults. </w:t>
      </w:r>
      <w:r w:rsidRPr="00BC5B69">
        <w:rPr>
          <w:i/>
          <w:iCs/>
          <w:noProof/>
          <w:sz w:val="22"/>
        </w:rPr>
        <w:t>PLoS ONE</w:t>
      </w:r>
      <w:r w:rsidRPr="00BC5B69">
        <w:rPr>
          <w:noProof/>
          <w:sz w:val="22"/>
        </w:rPr>
        <w:t xml:space="preserve">, </w:t>
      </w:r>
      <w:r w:rsidRPr="00BC5B69">
        <w:rPr>
          <w:i/>
          <w:iCs/>
          <w:noProof/>
          <w:sz w:val="22"/>
        </w:rPr>
        <w:t>12</w:t>
      </w:r>
      <w:r w:rsidRPr="00BC5B69">
        <w:rPr>
          <w:noProof/>
          <w:sz w:val="22"/>
        </w:rPr>
        <w:t>(10), e0185641. https://doi.org/10.1371/journal.pone.0185641</w:t>
      </w:r>
    </w:p>
    <w:p w14:paraId="31CF3871"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Kojima, G. (2015). Frailty as a Predictor of Future Falls Among Community-Dwelling Older People: A Systematic Review and Meta-Analysis. </w:t>
      </w:r>
      <w:r w:rsidRPr="00BC5B69">
        <w:rPr>
          <w:i/>
          <w:iCs/>
          <w:noProof/>
          <w:sz w:val="22"/>
        </w:rPr>
        <w:t>Journal of the American Medical Directors Association</w:t>
      </w:r>
      <w:r w:rsidRPr="00BC5B69">
        <w:rPr>
          <w:noProof/>
          <w:sz w:val="22"/>
        </w:rPr>
        <w:t xml:space="preserve">, </w:t>
      </w:r>
      <w:r w:rsidRPr="00BC5B69">
        <w:rPr>
          <w:i/>
          <w:iCs/>
          <w:noProof/>
          <w:sz w:val="22"/>
        </w:rPr>
        <w:t>16</w:t>
      </w:r>
      <w:r w:rsidRPr="00BC5B69">
        <w:rPr>
          <w:noProof/>
          <w:sz w:val="22"/>
        </w:rPr>
        <w:t>(12), 1027–1033. https://doi.org/10.1016/j.jamda.2015.06.018</w:t>
      </w:r>
    </w:p>
    <w:p w14:paraId="75B51F3D"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Kollén, L., Hörder, H., Möller, C., &amp; Frändin, K. (2017). Physical functioning in older persons with dizziness: a population-based study. </w:t>
      </w:r>
      <w:r w:rsidRPr="00BC5B69">
        <w:rPr>
          <w:i/>
          <w:iCs/>
          <w:noProof/>
          <w:sz w:val="22"/>
        </w:rPr>
        <w:t>Aging Clinical and Experimental Research</w:t>
      </w:r>
      <w:r w:rsidRPr="00BC5B69">
        <w:rPr>
          <w:noProof/>
          <w:sz w:val="22"/>
        </w:rPr>
        <w:t xml:space="preserve">, </w:t>
      </w:r>
      <w:r w:rsidRPr="00BC5B69">
        <w:rPr>
          <w:i/>
          <w:iCs/>
          <w:noProof/>
          <w:sz w:val="22"/>
        </w:rPr>
        <w:t>29</w:t>
      </w:r>
      <w:r w:rsidRPr="00BC5B69">
        <w:rPr>
          <w:noProof/>
          <w:sz w:val="22"/>
        </w:rPr>
        <w:t>(2), 197–205. https://doi.org/10.1007/s40520-016-0567-9</w:t>
      </w:r>
    </w:p>
    <w:p w14:paraId="407C5F58"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Langlois, J. A., Smith, G. S., Nelson, D. E., Sattin, R. W., Stevens, J. A., &amp; DeVito, C. A. (1995). Dependence in Activities of Daily Living as a Risk Factor for Fall Injury Events Among Older People Living in the Community. </w:t>
      </w:r>
      <w:r w:rsidRPr="00BC5B69">
        <w:rPr>
          <w:i/>
          <w:iCs/>
          <w:noProof/>
          <w:sz w:val="22"/>
        </w:rPr>
        <w:t>Journal of American Geriatric Society</w:t>
      </w:r>
      <w:r w:rsidRPr="00BC5B69">
        <w:rPr>
          <w:noProof/>
          <w:sz w:val="22"/>
        </w:rPr>
        <w:t xml:space="preserve">, </w:t>
      </w:r>
      <w:r w:rsidRPr="00BC5B69">
        <w:rPr>
          <w:i/>
          <w:iCs/>
          <w:noProof/>
          <w:sz w:val="22"/>
        </w:rPr>
        <w:t>43</w:t>
      </w:r>
      <w:r w:rsidRPr="00BC5B69">
        <w:rPr>
          <w:noProof/>
          <w:sz w:val="22"/>
        </w:rPr>
        <w:t>(3), 275–278. https://doi.org/10.1111/j.1532-5415.1995.tb07338.x</w:t>
      </w:r>
    </w:p>
    <w:p w14:paraId="7E629A4B"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Liao, W., Zhang, X., Shu, H., Wang, Z., Liu, D., &amp; Zhang, Z. J. (2017). The characteristic of cognitive dysfunction in remitted late life depression and amnestic mild cognitive impairment. </w:t>
      </w:r>
      <w:r w:rsidRPr="00BC5B69">
        <w:rPr>
          <w:i/>
          <w:iCs/>
          <w:noProof/>
          <w:sz w:val="22"/>
        </w:rPr>
        <w:t>Psychiatry Research</w:t>
      </w:r>
      <w:r w:rsidRPr="00BC5B69">
        <w:rPr>
          <w:noProof/>
          <w:sz w:val="22"/>
        </w:rPr>
        <w:t xml:space="preserve">, </w:t>
      </w:r>
      <w:r w:rsidRPr="00BC5B69">
        <w:rPr>
          <w:i/>
          <w:iCs/>
          <w:noProof/>
          <w:sz w:val="22"/>
        </w:rPr>
        <w:t>251</w:t>
      </w:r>
      <w:r w:rsidRPr="00BC5B69">
        <w:rPr>
          <w:noProof/>
          <w:sz w:val="22"/>
        </w:rPr>
        <w:t>, 168–175. https://doi.org/10.1016/j.psychres.2017.01.024</w:t>
      </w:r>
    </w:p>
    <w:p w14:paraId="27C61B98"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Muir, S. W., Gopaul, K., &amp; Montero Odasso, M. M. (2012). The role of cognitive impairment in fall risk among older adults: A systematic review and meta-analysis. </w:t>
      </w:r>
      <w:r w:rsidRPr="00BC5B69">
        <w:rPr>
          <w:i/>
          <w:iCs/>
          <w:noProof/>
          <w:sz w:val="22"/>
        </w:rPr>
        <w:t>Age and Ageing</w:t>
      </w:r>
      <w:r w:rsidRPr="00BC5B69">
        <w:rPr>
          <w:noProof/>
          <w:sz w:val="22"/>
        </w:rPr>
        <w:t xml:space="preserve">, </w:t>
      </w:r>
      <w:r w:rsidRPr="00BC5B69">
        <w:rPr>
          <w:i/>
          <w:iCs/>
          <w:noProof/>
          <w:sz w:val="22"/>
        </w:rPr>
        <w:t>41</w:t>
      </w:r>
      <w:r w:rsidRPr="00BC5B69">
        <w:rPr>
          <w:noProof/>
          <w:sz w:val="22"/>
        </w:rPr>
        <w:t>(3), 299–308. https://doi.org/10.1093/ageing/afs012</w:t>
      </w:r>
    </w:p>
    <w:p w14:paraId="761D62DE"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National Institute for Health and Care Excellence: Clinical Guidelines,  n. (2013). Falls: assessment and prevention of falls in older people. </w:t>
      </w:r>
      <w:r w:rsidRPr="00BC5B69">
        <w:rPr>
          <w:i/>
          <w:iCs/>
          <w:noProof/>
          <w:sz w:val="22"/>
        </w:rPr>
        <w:t>NICE</w:t>
      </w:r>
      <w:r w:rsidRPr="00BC5B69">
        <w:rPr>
          <w:noProof/>
          <w:sz w:val="22"/>
        </w:rPr>
        <w:t>, http://www.nice.org.uk/CG161. https://doi.org/10.7748/nop.26.6.18.e586</w:t>
      </w:r>
    </w:p>
    <w:p w14:paraId="6066D7E1"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Noguchi, N., Chan, L., Cumming, R. G., Blyth, F. M., Handelsman, D. J., Seibel, M. J., … Naganathan, V. (2016). Lower Urinary Tract Symptoms and Incident Falls in Community Dwelling Older Men: The Concord Health and Ageing in Men Project. </w:t>
      </w:r>
      <w:r w:rsidRPr="00BC5B69">
        <w:rPr>
          <w:i/>
          <w:iCs/>
          <w:noProof/>
          <w:sz w:val="22"/>
        </w:rPr>
        <w:t>The Journal of Urology</w:t>
      </w:r>
      <w:r w:rsidRPr="00BC5B69">
        <w:rPr>
          <w:noProof/>
          <w:sz w:val="22"/>
        </w:rPr>
        <w:t xml:space="preserve">, </w:t>
      </w:r>
      <w:r w:rsidRPr="00BC5B69">
        <w:rPr>
          <w:i/>
          <w:iCs/>
          <w:noProof/>
          <w:sz w:val="22"/>
        </w:rPr>
        <w:t>196</w:t>
      </w:r>
      <w:r w:rsidRPr="00BC5B69">
        <w:rPr>
          <w:noProof/>
          <w:sz w:val="22"/>
        </w:rPr>
        <w:t>(6), 1694–1699. https://doi.org/10.1016/j.juro.2016.06.085</w:t>
      </w:r>
    </w:p>
    <w:p w14:paraId="7037BFF2" w14:textId="1803A16D"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Phelan, E. A., Mahoney, J. E., Voit, J. C., &amp; Stevens, J. A. (2015). Assessment and Management of Fall </w:t>
      </w:r>
      <w:r w:rsidRPr="00BC5B69">
        <w:rPr>
          <w:noProof/>
          <w:sz w:val="22"/>
        </w:rPr>
        <w:lastRenderedPageBreak/>
        <w:t xml:space="preserve">Risk in Primary Care Settings. </w:t>
      </w:r>
      <w:r w:rsidRPr="00BC5B69">
        <w:rPr>
          <w:i/>
          <w:iCs/>
          <w:noProof/>
          <w:sz w:val="22"/>
        </w:rPr>
        <w:t>The Medical Clinics of North America</w:t>
      </w:r>
      <w:r w:rsidRPr="00BC5B69">
        <w:rPr>
          <w:noProof/>
          <w:sz w:val="22"/>
        </w:rPr>
        <w:t xml:space="preserve">, </w:t>
      </w:r>
      <w:r w:rsidRPr="00BC5B69">
        <w:rPr>
          <w:i/>
          <w:iCs/>
          <w:noProof/>
          <w:sz w:val="22"/>
        </w:rPr>
        <w:t>99</w:t>
      </w:r>
      <w:r w:rsidRPr="00BC5B69">
        <w:rPr>
          <w:noProof/>
          <w:sz w:val="22"/>
        </w:rPr>
        <w:t>(2), 281–293. https://doi.org/10.1016/j.mcna.2014.11.004</w:t>
      </w:r>
    </w:p>
    <w:p w14:paraId="25CB96C9"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Podsiadlo, D., &amp; Richardson, S. (1991). The timed “Up &amp; Go”: a test of basic functional mobility for frail elderly persons. </w:t>
      </w:r>
      <w:r w:rsidRPr="00BC5B69">
        <w:rPr>
          <w:i/>
          <w:iCs/>
          <w:noProof/>
          <w:sz w:val="22"/>
        </w:rPr>
        <w:t>Journal of American Geriatric Society</w:t>
      </w:r>
      <w:r w:rsidRPr="00BC5B69">
        <w:rPr>
          <w:noProof/>
          <w:sz w:val="22"/>
        </w:rPr>
        <w:t xml:space="preserve">, </w:t>
      </w:r>
      <w:r w:rsidRPr="00BC5B69">
        <w:rPr>
          <w:i/>
          <w:iCs/>
          <w:noProof/>
          <w:sz w:val="22"/>
        </w:rPr>
        <w:t>39</w:t>
      </w:r>
      <w:r w:rsidRPr="00BC5B69">
        <w:rPr>
          <w:noProof/>
          <w:sz w:val="22"/>
        </w:rPr>
        <w:t>(2), 142–148. https://doi.org/http://www.ncbi.nlm.nih.gov/entrez/query.fcgi?cmd=Retrieve&amp;db=PubMed&amp;dopt=Citation&amp;list_uids=1991946</w:t>
      </w:r>
    </w:p>
    <w:p w14:paraId="0E6457D7"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Punt, M., Bruijn, S. M., Van Schooten, K. S., Pijnappels, M., Van De Port, I. G., Wittink, H., &amp; Van Dieën, J. H. (2016). Characteristics of daily life gait in fall and non fall-prone stroke survivors and controls. </w:t>
      </w:r>
      <w:r w:rsidRPr="00BC5B69">
        <w:rPr>
          <w:i/>
          <w:iCs/>
          <w:noProof/>
          <w:sz w:val="22"/>
        </w:rPr>
        <w:t>Journal of Neuroengineering and Rehabilitation</w:t>
      </w:r>
      <w:r w:rsidRPr="00BC5B69">
        <w:rPr>
          <w:noProof/>
          <w:sz w:val="22"/>
        </w:rPr>
        <w:t xml:space="preserve">, </w:t>
      </w:r>
      <w:r w:rsidRPr="00BC5B69">
        <w:rPr>
          <w:i/>
          <w:iCs/>
          <w:noProof/>
          <w:sz w:val="22"/>
        </w:rPr>
        <w:t>13</w:t>
      </w:r>
      <w:r w:rsidRPr="00BC5B69">
        <w:rPr>
          <w:noProof/>
          <w:sz w:val="22"/>
        </w:rPr>
        <w:t>(1), 67. https://doi.org/10.1186/s12984-016-0176-z</w:t>
      </w:r>
    </w:p>
    <w:p w14:paraId="3A8A9D23"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Soliman, Y., Meyer, R., &amp; Baum, N. (2016). Falls in the Elderly Secondary to Urinary Symptoms. </w:t>
      </w:r>
      <w:r w:rsidRPr="00BC5B69">
        <w:rPr>
          <w:i/>
          <w:iCs/>
          <w:noProof/>
          <w:sz w:val="22"/>
        </w:rPr>
        <w:t>Reviews in Urology</w:t>
      </w:r>
      <w:r w:rsidRPr="00BC5B69">
        <w:rPr>
          <w:noProof/>
          <w:sz w:val="22"/>
        </w:rPr>
        <w:t xml:space="preserve">, </w:t>
      </w:r>
      <w:r w:rsidRPr="00BC5B69">
        <w:rPr>
          <w:i/>
          <w:iCs/>
          <w:noProof/>
          <w:sz w:val="22"/>
        </w:rPr>
        <w:t>18</w:t>
      </w:r>
      <w:r w:rsidRPr="00BC5B69">
        <w:rPr>
          <w:noProof/>
          <w:sz w:val="22"/>
        </w:rPr>
        <w:t>(1), 28–32. https://doi.org/10.3909/riu0686</w:t>
      </w:r>
    </w:p>
    <w:p w14:paraId="72BB0CDF"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Stevens, J. A., &amp; Sogolow, E. D. (2005). Gender differences for non-fatal unintentional fall related injuries among older adults. </w:t>
      </w:r>
      <w:r w:rsidRPr="00BC5B69">
        <w:rPr>
          <w:i/>
          <w:iCs/>
          <w:noProof/>
          <w:sz w:val="22"/>
        </w:rPr>
        <w:t>Injury Prevention</w:t>
      </w:r>
      <w:r w:rsidRPr="00BC5B69">
        <w:rPr>
          <w:noProof/>
          <w:sz w:val="22"/>
        </w:rPr>
        <w:t xml:space="preserve">, </w:t>
      </w:r>
      <w:r w:rsidRPr="00BC5B69">
        <w:rPr>
          <w:i/>
          <w:iCs/>
          <w:noProof/>
          <w:sz w:val="22"/>
        </w:rPr>
        <w:t>11</w:t>
      </w:r>
      <w:r w:rsidRPr="00BC5B69">
        <w:rPr>
          <w:noProof/>
          <w:sz w:val="22"/>
        </w:rPr>
        <w:t>(2), 115–119. https://doi.org/10.1136/ip.2004.005835</w:t>
      </w:r>
    </w:p>
    <w:p w14:paraId="0CE9B9F5"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Tinetti, M. E. (1986). Performance‐Oriented Assessment of Mobility Problems in Elderly Patients. </w:t>
      </w:r>
      <w:r w:rsidRPr="00BC5B69">
        <w:rPr>
          <w:i/>
          <w:iCs/>
          <w:noProof/>
          <w:sz w:val="22"/>
        </w:rPr>
        <w:t>Journal of American Geriatric Society</w:t>
      </w:r>
      <w:r w:rsidRPr="00BC5B69">
        <w:rPr>
          <w:noProof/>
          <w:sz w:val="22"/>
        </w:rPr>
        <w:t xml:space="preserve">, </w:t>
      </w:r>
      <w:r w:rsidRPr="00BC5B69">
        <w:rPr>
          <w:i/>
          <w:iCs/>
          <w:noProof/>
          <w:sz w:val="22"/>
        </w:rPr>
        <w:t>34</w:t>
      </w:r>
      <w:r w:rsidRPr="00BC5B69">
        <w:rPr>
          <w:noProof/>
          <w:sz w:val="22"/>
        </w:rPr>
        <w:t>(2), 119–126. https://doi.org/10.1111/j.1532-5415.1986.tb05480.x</w:t>
      </w:r>
    </w:p>
    <w:p w14:paraId="7D8F91B0"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Unutmaz, G. D., Soysal, P., Tuven, B., &amp; Isik, A. T. (2018). Costs of medication in older patients: Before and after comprehensive geriatric assessment. </w:t>
      </w:r>
      <w:r w:rsidRPr="00BC5B69">
        <w:rPr>
          <w:i/>
          <w:iCs/>
          <w:noProof/>
          <w:sz w:val="22"/>
        </w:rPr>
        <w:t>Clinical Interventions in Aging</w:t>
      </w:r>
      <w:r w:rsidRPr="00BC5B69">
        <w:rPr>
          <w:noProof/>
          <w:sz w:val="22"/>
        </w:rPr>
        <w:t xml:space="preserve">, </w:t>
      </w:r>
      <w:r w:rsidRPr="00BC5B69">
        <w:rPr>
          <w:i/>
          <w:iCs/>
          <w:noProof/>
          <w:sz w:val="22"/>
        </w:rPr>
        <w:t>13</w:t>
      </w:r>
      <w:r w:rsidRPr="00BC5B69">
        <w:rPr>
          <w:noProof/>
          <w:sz w:val="22"/>
        </w:rPr>
        <w:t>, 607–613. https://doi.org/10.2147/CIA.S159966</w:t>
      </w:r>
    </w:p>
    <w:p w14:paraId="07D51B28"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Vereeck, L., Wuyts, F., Truijen, S., &amp; Van De Heyning, P. (2008). Clinical assessment of balance: Normative data, and gender and age effects. </w:t>
      </w:r>
      <w:r w:rsidRPr="00BC5B69">
        <w:rPr>
          <w:i/>
          <w:iCs/>
          <w:noProof/>
          <w:sz w:val="22"/>
        </w:rPr>
        <w:t>International Journal of Audiology</w:t>
      </w:r>
      <w:r w:rsidRPr="00BC5B69">
        <w:rPr>
          <w:noProof/>
          <w:sz w:val="22"/>
        </w:rPr>
        <w:t xml:space="preserve">, </w:t>
      </w:r>
      <w:r w:rsidRPr="00BC5B69">
        <w:rPr>
          <w:i/>
          <w:iCs/>
          <w:noProof/>
          <w:sz w:val="22"/>
        </w:rPr>
        <w:t>47</w:t>
      </w:r>
      <w:r w:rsidRPr="00BC5B69">
        <w:rPr>
          <w:noProof/>
          <w:sz w:val="22"/>
        </w:rPr>
        <w:t>(2), 67–75. https://doi.org/10.1080/14992020701689688</w:t>
      </w:r>
    </w:p>
    <w:p w14:paraId="157F77B8" w14:textId="77777777"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Vieira, E. R., Palmer, R. C., &amp; Chaves, P. H. M. (2016). Prevention of falls in older people living in the community. </w:t>
      </w:r>
      <w:r w:rsidRPr="00BC5B69">
        <w:rPr>
          <w:i/>
          <w:iCs/>
          <w:noProof/>
          <w:sz w:val="22"/>
        </w:rPr>
        <w:t>British Medical Journal</w:t>
      </w:r>
      <w:r w:rsidRPr="00BC5B69">
        <w:rPr>
          <w:noProof/>
          <w:sz w:val="22"/>
        </w:rPr>
        <w:t xml:space="preserve">, </w:t>
      </w:r>
      <w:r w:rsidRPr="00BC5B69">
        <w:rPr>
          <w:i/>
          <w:iCs/>
          <w:noProof/>
          <w:sz w:val="22"/>
        </w:rPr>
        <w:t>353</w:t>
      </w:r>
      <w:r w:rsidRPr="00BC5B69">
        <w:rPr>
          <w:noProof/>
          <w:sz w:val="22"/>
        </w:rPr>
        <w:t>, i1419. https://doi.org/10.1136/bmj.i1419</w:t>
      </w:r>
    </w:p>
    <w:p w14:paraId="56208B6F" w14:textId="33BF1110" w:rsidR="00D2655F" w:rsidRPr="00BC5B69" w:rsidRDefault="00D2655F" w:rsidP="006952DB">
      <w:pPr>
        <w:widowControl w:val="0"/>
        <w:autoSpaceDE w:val="0"/>
        <w:autoSpaceDN w:val="0"/>
        <w:adjustRightInd w:val="0"/>
        <w:spacing w:line="480" w:lineRule="auto"/>
        <w:ind w:left="480" w:hanging="480"/>
        <w:jc w:val="both"/>
        <w:rPr>
          <w:noProof/>
          <w:sz w:val="22"/>
        </w:rPr>
      </w:pPr>
      <w:r w:rsidRPr="00BC5B69">
        <w:rPr>
          <w:noProof/>
          <w:sz w:val="22"/>
        </w:rPr>
        <w:t xml:space="preserve">Weiss, A., Mirelman, A., Buchman, A. S., Bennett, D. A., &amp; Hausdorff, J. M. (2013). Using a Body-Fixed Sensor to Identify Subclinical Gait Difficulties in Older Adults with IADL Disability: </w:t>
      </w:r>
      <w:r w:rsidRPr="00BC5B69">
        <w:rPr>
          <w:noProof/>
          <w:sz w:val="22"/>
        </w:rPr>
        <w:lastRenderedPageBreak/>
        <w:t xml:space="preserve">Maximizing the Output of the Timed Up and Go. </w:t>
      </w:r>
      <w:r w:rsidRPr="00BC5B69">
        <w:rPr>
          <w:i/>
          <w:iCs/>
          <w:noProof/>
          <w:sz w:val="22"/>
        </w:rPr>
        <w:t>PLoS ONE</w:t>
      </w:r>
      <w:r w:rsidRPr="00BC5B69">
        <w:rPr>
          <w:noProof/>
          <w:sz w:val="22"/>
        </w:rPr>
        <w:t xml:space="preserve">, </w:t>
      </w:r>
      <w:r w:rsidRPr="00BC5B69">
        <w:rPr>
          <w:i/>
          <w:iCs/>
          <w:noProof/>
          <w:sz w:val="22"/>
        </w:rPr>
        <w:t>8</w:t>
      </w:r>
      <w:r w:rsidRPr="00BC5B69">
        <w:rPr>
          <w:noProof/>
          <w:sz w:val="22"/>
        </w:rPr>
        <w:t>(7), e68885. https://doi.org/10.1371/journal.pone.0068885</w:t>
      </w:r>
    </w:p>
    <w:p w14:paraId="126D166A" w14:textId="665DECFA" w:rsidR="00DA4C29" w:rsidRDefault="00DA4C29" w:rsidP="006952DB">
      <w:pPr>
        <w:widowControl w:val="0"/>
        <w:autoSpaceDE w:val="0"/>
        <w:autoSpaceDN w:val="0"/>
        <w:adjustRightInd w:val="0"/>
        <w:spacing w:line="480" w:lineRule="auto"/>
        <w:ind w:left="480" w:hanging="480"/>
        <w:jc w:val="both"/>
        <w:rPr>
          <w:noProof/>
          <w:sz w:val="22"/>
        </w:rPr>
      </w:pPr>
      <w:r w:rsidRPr="00BC5B69">
        <w:rPr>
          <w:noProof/>
          <w:sz w:val="22"/>
        </w:rPr>
        <w:t>World Health Organization (2007) WHO global report on falls prevention in older age. Retrieved from https://www.who.int/ageing/publications/Falls_prevention7March.pdf</w:t>
      </w:r>
    </w:p>
    <w:p w14:paraId="3C5923AA" w14:textId="42B9F95D" w:rsidR="00BC5B69" w:rsidRDefault="00BC5B69" w:rsidP="006952DB">
      <w:pPr>
        <w:widowControl w:val="0"/>
        <w:autoSpaceDE w:val="0"/>
        <w:autoSpaceDN w:val="0"/>
        <w:adjustRightInd w:val="0"/>
        <w:spacing w:line="480" w:lineRule="auto"/>
        <w:ind w:left="480" w:hanging="480"/>
        <w:jc w:val="both"/>
        <w:rPr>
          <w:noProof/>
          <w:sz w:val="22"/>
        </w:rPr>
      </w:pPr>
    </w:p>
    <w:p w14:paraId="73A03EFF" w14:textId="659DB126" w:rsidR="00BC5B69" w:rsidRDefault="00BC5B69" w:rsidP="006952DB">
      <w:pPr>
        <w:widowControl w:val="0"/>
        <w:autoSpaceDE w:val="0"/>
        <w:autoSpaceDN w:val="0"/>
        <w:adjustRightInd w:val="0"/>
        <w:spacing w:line="480" w:lineRule="auto"/>
        <w:ind w:left="480" w:hanging="480"/>
        <w:jc w:val="both"/>
        <w:rPr>
          <w:noProof/>
          <w:sz w:val="22"/>
        </w:rPr>
      </w:pPr>
    </w:p>
    <w:p w14:paraId="6DA1EA06" w14:textId="779BE59B" w:rsidR="00BC5B69" w:rsidRDefault="00BC5B69" w:rsidP="006952DB">
      <w:pPr>
        <w:widowControl w:val="0"/>
        <w:autoSpaceDE w:val="0"/>
        <w:autoSpaceDN w:val="0"/>
        <w:adjustRightInd w:val="0"/>
        <w:spacing w:line="480" w:lineRule="auto"/>
        <w:ind w:left="480" w:hanging="480"/>
        <w:jc w:val="both"/>
        <w:rPr>
          <w:noProof/>
          <w:sz w:val="22"/>
        </w:rPr>
      </w:pPr>
    </w:p>
    <w:p w14:paraId="32C46E36" w14:textId="34C4CDAF" w:rsidR="00BC5B69" w:rsidRDefault="00BC5B69" w:rsidP="006952DB">
      <w:pPr>
        <w:widowControl w:val="0"/>
        <w:autoSpaceDE w:val="0"/>
        <w:autoSpaceDN w:val="0"/>
        <w:adjustRightInd w:val="0"/>
        <w:spacing w:line="480" w:lineRule="auto"/>
        <w:ind w:left="480" w:hanging="480"/>
        <w:jc w:val="both"/>
        <w:rPr>
          <w:noProof/>
          <w:sz w:val="22"/>
        </w:rPr>
      </w:pPr>
    </w:p>
    <w:p w14:paraId="7D1371A9" w14:textId="6DFC5E59" w:rsidR="00BC5B69" w:rsidRDefault="00BC5B69" w:rsidP="006952DB">
      <w:pPr>
        <w:widowControl w:val="0"/>
        <w:autoSpaceDE w:val="0"/>
        <w:autoSpaceDN w:val="0"/>
        <w:adjustRightInd w:val="0"/>
        <w:spacing w:line="480" w:lineRule="auto"/>
        <w:ind w:left="480" w:hanging="480"/>
        <w:jc w:val="both"/>
        <w:rPr>
          <w:noProof/>
          <w:sz w:val="22"/>
        </w:rPr>
      </w:pPr>
    </w:p>
    <w:p w14:paraId="05BC6336" w14:textId="2736D13B" w:rsidR="00BC5B69" w:rsidRDefault="00BC5B69" w:rsidP="006952DB">
      <w:pPr>
        <w:widowControl w:val="0"/>
        <w:autoSpaceDE w:val="0"/>
        <w:autoSpaceDN w:val="0"/>
        <w:adjustRightInd w:val="0"/>
        <w:spacing w:line="480" w:lineRule="auto"/>
        <w:ind w:left="480" w:hanging="480"/>
        <w:jc w:val="both"/>
        <w:rPr>
          <w:noProof/>
          <w:sz w:val="22"/>
        </w:rPr>
      </w:pPr>
    </w:p>
    <w:p w14:paraId="7D058A43" w14:textId="589637A1" w:rsidR="00BC5B69" w:rsidRDefault="00BC5B69" w:rsidP="006952DB">
      <w:pPr>
        <w:widowControl w:val="0"/>
        <w:autoSpaceDE w:val="0"/>
        <w:autoSpaceDN w:val="0"/>
        <w:adjustRightInd w:val="0"/>
        <w:spacing w:line="480" w:lineRule="auto"/>
        <w:ind w:left="480" w:hanging="480"/>
        <w:jc w:val="both"/>
        <w:rPr>
          <w:noProof/>
          <w:sz w:val="22"/>
        </w:rPr>
      </w:pPr>
    </w:p>
    <w:p w14:paraId="15E10F1B" w14:textId="760D3CB2" w:rsidR="00BC5B69" w:rsidRDefault="00BC5B69" w:rsidP="006952DB">
      <w:pPr>
        <w:widowControl w:val="0"/>
        <w:autoSpaceDE w:val="0"/>
        <w:autoSpaceDN w:val="0"/>
        <w:adjustRightInd w:val="0"/>
        <w:spacing w:line="480" w:lineRule="auto"/>
        <w:ind w:left="480" w:hanging="480"/>
        <w:jc w:val="both"/>
        <w:rPr>
          <w:noProof/>
          <w:sz w:val="22"/>
        </w:rPr>
      </w:pPr>
    </w:p>
    <w:p w14:paraId="74DE7A36" w14:textId="16036C12" w:rsidR="00BC5B69" w:rsidRDefault="00BC5B69" w:rsidP="006952DB">
      <w:pPr>
        <w:widowControl w:val="0"/>
        <w:autoSpaceDE w:val="0"/>
        <w:autoSpaceDN w:val="0"/>
        <w:adjustRightInd w:val="0"/>
        <w:spacing w:line="480" w:lineRule="auto"/>
        <w:ind w:left="480" w:hanging="480"/>
        <w:jc w:val="both"/>
        <w:rPr>
          <w:noProof/>
          <w:sz w:val="22"/>
        </w:rPr>
      </w:pPr>
    </w:p>
    <w:p w14:paraId="1C55AB29" w14:textId="1D93F55A" w:rsidR="00BC5B69" w:rsidRDefault="00BC5B69" w:rsidP="006952DB">
      <w:pPr>
        <w:widowControl w:val="0"/>
        <w:autoSpaceDE w:val="0"/>
        <w:autoSpaceDN w:val="0"/>
        <w:adjustRightInd w:val="0"/>
        <w:spacing w:line="480" w:lineRule="auto"/>
        <w:ind w:left="480" w:hanging="480"/>
        <w:jc w:val="both"/>
        <w:rPr>
          <w:noProof/>
          <w:sz w:val="22"/>
        </w:rPr>
      </w:pPr>
    </w:p>
    <w:p w14:paraId="50382CAD" w14:textId="1616BE6B" w:rsidR="00BC5B69" w:rsidRDefault="00BC5B69" w:rsidP="006952DB">
      <w:pPr>
        <w:widowControl w:val="0"/>
        <w:autoSpaceDE w:val="0"/>
        <w:autoSpaceDN w:val="0"/>
        <w:adjustRightInd w:val="0"/>
        <w:spacing w:line="480" w:lineRule="auto"/>
        <w:ind w:left="480" w:hanging="480"/>
        <w:jc w:val="both"/>
        <w:rPr>
          <w:noProof/>
          <w:sz w:val="22"/>
        </w:rPr>
      </w:pPr>
    </w:p>
    <w:p w14:paraId="0193D2FC" w14:textId="1F11C54C" w:rsidR="00BC5B69" w:rsidRDefault="00BC5B69" w:rsidP="006952DB">
      <w:pPr>
        <w:widowControl w:val="0"/>
        <w:autoSpaceDE w:val="0"/>
        <w:autoSpaceDN w:val="0"/>
        <w:adjustRightInd w:val="0"/>
        <w:spacing w:line="480" w:lineRule="auto"/>
        <w:ind w:left="480" w:hanging="480"/>
        <w:jc w:val="both"/>
        <w:rPr>
          <w:noProof/>
          <w:sz w:val="22"/>
        </w:rPr>
      </w:pPr>
    </w:p>
    <w:p w14:paraId="07CAAD7C" w14:textId="056E27DC" w:rsidR="00BC5B69" w:rsidRDefault="00BC5B69" w:rsidP="006952DB">
      <w:pPr>
        <w:widowControl w:val="0"/>
        <w:autoSpaceDE w:val="0"/>
        <w:autoSpaceDN w:val="0"/>
        <w:adjustRightInd w:val="0"/>
        <w:spacing w:line="480" w:lineRule="auto"/>
        <w:ind w:left="480" w:hanging="480"/>
        <w:jc w:val="both"/>
        <w:rPr>
          <w:noProof/>
          <w:sz w:val="22"/>
        </w:rPr>
      </w:pPr>
    </w:p>
    <w:p w14:paraId="6DFBC86C" w14:textId="6F44C0D8" w:rsidR="00BC5B69" w:rsidRDefault="00BC5B69" w:rsidP="006952DB">
      <w:pPr>
        <w:widowControl w:val="0"/>
        <w:autoSpaceDE w:val="0"/>
        <w:autoSpaceDN w:val="0"/>
        <w:adjustRightInd w:val="0"/>
        <w:spacing w:line="480" w:lineRule="auto"/>
        <w:ind w:left="480" w:hanging="480"/>
        <w:jc w:val="both"/>
        <w:rPr>
          <w:noProof/>
          <w:sz w:val="22"/>
        </w:rPr>
      </w:pPr>
    </w:p>
    <w:p w14:paraId="3BA70C64" w14:textId="12931DCA" w:rsidR="00BC5B69" w:rsidRDefault="00BC5B69" w:rsidP="006952DB">
      <w:pPr>
        <w:widowControl w:val="0"/>
        <w:autoSpaceDE w:val="0"/>
        <w:autoSpaceDN w:val="0"/>
        <w:adjustRightInd w:val="0"/>
        <w:spacing w:line="480" w:lineRule="auto"/>
        <w:ind w:left="480" w:hanging="480"/>
        <w:jc w:val="both"/>
        <w:rPr>
          <w:noProof/>
          <w:sz w:val="22"/>
        </w:rPr>
      </w:pPr>
    </w:p>
    <w:p w14:paraId="30EA9079" w14:textId="31B52D60" w:rsidR="00BC5B69" w:rsidRDefault="00BC5B69" w:rsidP="006952DB">
      <w:pPr>
        <w:widowControl w:val="0"/>
        <w:autoSpaceDE w:val="0"/>
        <w:autoSpaceDN w:val="0"/>
        <w:adjustRightInd w:val="0"/>
        <w:spacing w:line="480" w:lineRule="auto"/>
        <w:ind w:left="480" w:hanging="480"/>
        <w:jc w:val="both"/>
        <w:rPr>
          <w:noProof/>
          <w:sz w:val="22"/>
        </w:rPr>
      </w:pPr>
    </w:p>
    <w:p w14:paraId="0E9A974A" w14:textId="5BAABC6F" w:rsidR="00BC5B69" w:rsidRDefault="00BC5B69" w:rsidP="006952DB">
      <w:pPr>
        <w:widowControl w:val="0"/>
        <w:autoSpaceDE w:val="0"/>
        <w:autoSpaceDN w:val="0"/>
        <w:adjustRightInd w:val="0"/>
        <w:spacing w:line="480" w:lineRule="auto"/>
        <w:ind w:left="480" w:hanging="480"/>
        <w:jc w:val="both"/>
        <w:rPr>
          <w:noProof/>
          <w:sz w:val="22"/>
        </w:rPr>
      </w:pPr>
    </w:p>
    <w:p w14:paraId="400BE443" w14:textId="2340B46F" w:rsidR="00BC5B69" w:rsidRDefault="00BC5B69" w:rsidP="006952DB">
      <w:pPr>
        <w:widowControl w:val="0"/>
        <w:autoSpaceDE w:val="0"/>
        <w:autoSpaceDN w:val="0"/>
        <w:adjustRightInd w:val="0"/>
        <w:spacing w:line="480" w:lineRule="auto"/>
        <w:ind w:left="480" w:hanging="480"/>
        <w:jc w:val="both"/>
        <w:rPr>
          <w:noProof/>
          <w:sz w:val="22"/>
        </w:rPr>
      </w:pPr>
    </w:p>
    <w:p w14:paraId="0456D4DA" w14:textId="12307076" w:rsidR="00BC5B69" w:rsidRDefault="00BC5B69" w:rsidP="006952DB">
      <w:pPr>
        <w:widowControl w:val="0"/>
        <w:autoSpaceDE w:val="0"/>
        <w:autoSpaceDN w:val="0"/>
        <w:adjustRightInd w:val="0"/>
        <w:spacing w:line="480" w:lineRule="auto"/>
        <w:ind w:left="480" w:hanging="480"/>
        <w:jc w:val="both"/>
        <w:rPr>
          <w:noProof/>
          <w:sz w:val="22"/>
        </w:rPr>
      </w:pPr>
    </w:p>
    <w:p w14:paraId="67571A5C" w14:textId="139B1DCE" w:rsidR="00BC5B69" w:rsidRDefault="00BC5B69" w:rsidP="006952DB">
      <w:pPr>
        <w:widowControl w:val="0"/>
        <w:autoSpaceDE w:val="0"/>
        <w:autoSpaceDN w:val="0"/>
        <w:adjustRightInd w:val="0"/>
        <w:spacing w:line="480" w:lineRule="auto"/>
        <w:ind w:left="480" w:hanging="480"/>
        <w:jc w:val="both"/>
        <w:rPr>
          <w:noProof/>
          <w:sz w:val="22"/>
        </w:rPr>
      </w:pPr>
    </w:p>
    <w:p w14:paraId="40D32E45" w14:textId="00A2DD05" w:rsidR="00BC5B69" w:rsidRDefault="00BC5B69" w:rsidP="006952DB">
      <w:pPr>
        <w:widowControl w:val="0"/>
        <w:autoSpaceDE w:val="0"/>
        <w:autoSpaceDN w:val="0"/>
        <w:adjustRightInd w:val="0"/>
        <w:spacing w:line="480" w:lineRule="auto"/>
        <w:ind w:left="480" w:hanging="480"/>
        <w:jc w:val="both"/>
        <w:rPr>
          <w:noProof/>
          <w:sz w:val="22"/>
        </w:rPr>
      </w:pPr>
    </w:p>
    <w:p w14:paraId="0305B507" w14:textId="0CFE8778" w:rsidR="00BC5B69" w:rsidRDefault="00BC5B69" w:rsidP="006952DB">
      <w:pPr>
        <w:widowControl w:val="0"/>
        <w:autoSpaceDE w:val="0"/>
        <w:autoSpaceDN w:val="0"/>
        <w:adjustRightInd w:val="0"/>
        <w:spacing w:line="480" w:lineRule="auto"/>
        <w:ind w:left="480" w:hanging="480"/>
        <w:jc w:val="both"/>
        <w:rPr>
          <w:noProof/>
          <w:sz w:val="22"/>
        </w:rPr>
      </w:pPr>
    </w:p>
    <w:p w14:paraId="1B9FAEDE" w14:textId="5804428D" w:rsidR="00BC5B69" w:rsidRDefault="00BC5B69" w:rsidP="006952DB">
      <w:pPr>
        <w:widowControl w:val="0"/>
        <w:autoSpaceDE w:val="0"/>
        <w:autoSpaceDN w:val="0"/>
        <w:adjustRightInd w:val="0"/>
        <w:spacing w:line="480" w:lineRule="auto"/>
        <w:ind w:left="480" w:hanging="480"/>
        <w:jc w:val="both"/>
        <w:rPr>
          <w:noProof/>
          <w:sz w:val="22"/>
        </w:rPr>
      </w:pPr>
    </w:p>
    <w:p w14:paraId="3679FC08" w14:textId="00C68C76" w:rsidR="00BC5B69" w:rsidRDefault="00BC5B69" w:rsidP="006952DB">
      <w:pPr>
        <w:widowControl w:val="0"/>
        <w:autoSpaceDE w:val="0"/>
        <w:autoSpaceDN w:val="0"/>
        <w:adjustRightInd w:val="0"/>
        <w:spacing w:line="480" w:lineRule="auto"/>
        <w:ind w:left="480" w:hanging="480"/>
        <w:jc w:val="both"/>
        <w:rPr>
          <w:noProof/>
          <w:sz w:val="22"/>
        </w:rPr>
      </w:pPr>
    </w:p>
    <w:p w14:paraId="4F5EE303" w14:textId="77777777" w:rsidR="00BC5B69" w:rsidRPr="00BC5B69" w:rsidRDefault="00BC5B69" w:rsidP="00BC5B69">
      <w:pPr>
        <w:spacing w:after="160" w:line="276" w:lineRule="auto"/>
        <w:rPr>
          <w:rFonts w:eastAsiaTheme="minorHAnsi"/>
          <w:b/>
          <w:lang w:val="en-US" w:eastAsia="en-US"/>
        </w:rPr>
      </w:pPr>
      <w:r w:rsidRPr="00BC5B69">
        <w:rPr>
          <w:rFonts w:eastAsiaTheme="minorHAnsi"/>
          <w:b/>
          <w:lang w:val="en-US" w:eastAsia="en-US"/>
        </w:rPr>
        <w:lastRenderedPageBreak/>
        <w:t xml:space="preserve">Table 1. Characteristics of the participants (n=334)  </w:t>
      </w:r>
    </w:p>
    <w:tbl>
      <w:tblPr>
        <w:tblStyle w:val="PlainTable2"/>
        <w:tblpPr w:leftFromText="141" w:rightFromText="141" w:vertAnchor="page" w:horzAnchor="margin" w:tblpXSpec="center" w:tblpY="2261"/>
        <w:tblW w:w="10201" w:type="dxa"/>
        <w:tblLayout w:type="fixed"/>
        <w:tblLook w:val="04A0" w:firstRow="1" w:lastRow="0" w:firstColumn="1" w:lastColumn="0" w:noHBand="0" w:noVBand="1"/>
      </w:tblPr>
      <w:tblGrid>
        <w:gridCol w:w="3823"/>
        <w:gridCol w:w="1277"/>
        <w:gridCol w:w="3826"/>
        <w:gridCol w:w="1275"/>
      </w:tblGrid>
      <w:tr w:rsidR="00BC5B69" w:rsidRPr="00BC5B69" w14:paraId="5B3DCD3F" w14:textId="77777777" w:rsidTr="00BC5B6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2CF38CB9" w14:textId="77777777" w:rsidR="00BC5B69" w:rsidRPr="00BC5B69" w:rsidRDefault="00BC5B69" w:rsidP="00BC5B69">
            <w:pPr>
              <w:spacing w:after="160" w:line="276" w:lineRule="auto"/>
              <w:rPr>
                <w:rFonts w:eastAsiaTheme="minorHAnsi"/>
                <w:sz w:val="20"/>
                <w:szCs w:val="20"/>
                <w:lang w:val="en-US" w:eastAsia="en-US"/>
              </w:rPr>
            </w:pPr>
            <w:r w:rsidRPr="00BC5B69">
              <w:rPr>
                <w:rFonts w:eastAsia="Calibri"/>
                <w:sz w:val="20"/>
                <w:szCs w:val="20"/>
                <w:lang w:val="en-US" w:eastAsia="en-US"/>
              </w:rPr>
              <w:t>CHARACTERICTICS</w:t>
            </w:r>
          </w:p>
        </w:tc>
        <w:tc>
          <w:tcPr>
            <w:tcW w:w="1277" w:type="dxa"/>
          </w:tcPr>
          <w:p w14:paraId="166A59C5" w14:textId="77777777" w:rsidR="00BC5B69" w:rsidRPr="00BC5B69" w:rsidRDefault="00BC5B69" w:rsidP="00BC5B69">
            <w:pPr>
              <w:spacing w:after="160" w:line="276" w:lineRule="auto"/>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Calibri"/>
                <w:sz w:val="20"/>
                <w:szCs w:val="20"/>
                <w:lang w:val="en-US" w:eastAsia="en-US"/>
              </w:rPr>
              <w:t>VALUES</w:t>
            </w:r>
          </w:p>
        </w:tc>
        <w:tc>
          <w:tcPr>
            <w:tcW w:w="3826" w:type="dxa"/>
          </w:tcPr>
          <w:p w14:paraId="090295C3" w14:textId="77777777" w:rsidR="00BC5B69" w:rsidRPr="00BC5B69" w:rsidRDefault="00BC5B69" w:rsidP="00BC5B69">
            <w:pPr>
              <w:spacing w:after="160" w:line="276" w:lineRule="auto"/>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Calibri"/>
                <w:sz w:val="20"/>
                <w:szCs w:val="20"/>
                <w:lang w:val="en-US" w:eastAsia="en-US"/>
              </w:rPr>
              <w:t>CHARACTERICTICS</w:t>
            </w:r>
          </w:p>
        </w:tc>
        <w:tc>
          <w:tcPr>
            <w:tcW w:w="1275" w:type="dxa"/>
          </w:tcPr>
          <w:p w14:paraId="43382059" w14:textId="77777777" w:rsidR="00BC5B69" w:rsidRPr="00BC5B69" w:rsidRDefault="00BC5B69" w:rsidP="00BC5B69">
            <w:pPr>
              <w:spacing w:after="160" w:line="276" w:lineRule="auto"/>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Calibri"/>
                <w:sz w:val="20"/>
                <w:szCs w:val="20"/>
                <w:lang w:val="en-US" w:eastAsia="en-US"/>
              </w:rPr>
              <w:t>VALUES</w:t>
            </w:r>
          </w:p>
        </w:tc>
      </w:tr>
      <w:tr w:rsidR="00BC5B69" w:rsidRPr="00BC5B69" w14:paraId="3959800A"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6CF7DEB3" w14:textId="77777777" w:rsidR="00BC5B69" w:rsidRPr="00BC5B69" w:rsidRDefault="00BC5B69" w:rsidP="00BC5B69">
            <w:pPr>
              <w:spacing w:after="160" w:line="276" w:lineRule="auto"/>
              <w:rPr>
                <w:rFonts w:eastAsiaTheme="minorHAnsi"/>
                <w:sz w:val="20"/>
                <w:szCs w:val="20"/>
                <w:lang w:val="en-US" w:eastAsia="en-US"/>
              </w:rPr>
            </w:pPr>
            <w:r w:rsidRPr="00BC5B69">
              <w:rPr>
                <w:rFonts w:eastAsia="Calibri"/>
                <w:sz w:val="20"/>
                <w:szCs w:val="20"/>
                <w:lang w:val="en-US" w:eastAsia="en-US"/>
              </w:rPr>
              <w:t xml:space="preserve">Age-Mean (SD)                                                                                                               </w:t>
            </w:r>
          </w:p>
        </w:tc>
        <w:tc>
          <w:tcPr>
            <w:tcW w:w="1277" w:type="dxa"/>
          </w:tcPr>
          <w:p w14:paraId="7C2759AE"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Calibri"/>
                <w:sz w:val="20"/>
                <w:szCs w:val="20"/>
                <w:lang w:val="en-US" w:eastAsia="en-US"/>
              </w:rPr>
              <w:t>74.99(7.26)</w:t>
            </w:r>
          </w:p>
        </w:tc>
        <w:tc>
          <w:tcPr>
            <w:tcW w:w="3826" w:type="dxa"/>
          </w:tcPr>
          <w:p w14:paraId="0CA874B4"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US" w:eastAsia="en-US"/>
              </w:rPr>
            </w:pPr>
          </w:p>
        </w:tc>
        <w:tc>
          <w:tcPr>
            <w:tcW w:w="1275" w:type="dxa"/>
          </w:tcPr>
          <w:p w14:paraId="3591E70C"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US" w:eastAsia="en-US"/>
              </w:rPr>
            </w:pPr>
          </w:p>
        </w:tc>
      </w:tr>
      <w:tr w:rsidR="00BC5B69" w:rsidRPr="00BC5B69" w14:paraId="15DEB6D6"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5100" w:type="dxa"/>
            <w:gridSpan w:val="2"/>
          </w:tcPr>
          <w:p w14:paraId="3991E0D1" w14:textId="77777777" w:rsidR="00BC5B69" w:rsidRPr="00BC5B69" w:rsidRDefault="00BC5B69" w:rsidP="00BC5B69">
            <w:pPr>
              <w:spacing w:after="160" w:line="276" w:lineRule="auto"/>
              <w:rPr>
                <w:rFonts w:eastAsiaTheme="minorHAnsi"/>
                <w:sz w:val="20"/>
                <w:szCs w:val="20"/>
                <w:lang w:val="en-US" w:eastAsia="en-US"/>
              </w:rPr>
            </w:pPr>
            <w:r w:rsidRPr="00BC5B69">
              <w:rPr>
                <w:rFonts w:eastAsiaTheme="minorHAnsi"/>
                <w:sz w:val="20"/>
                <w:szCs w:val="20"/>
                <w:lang w:val="en-US" w:eastAsia="en-US"/>
              </w:rPr>
              <w:t xml:space="preserve">Level of education </w:t>
            </w:r>
          </w:p>
        </w:tc>
        <w:tc>
          <w:tcPr>
            <w:tcW w:w="3826" w:type="dxa"/>
          </w:tcPr>
          <w:p w14:paraId="2C6A7BF5"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rPr>
            </w:pPr>
          </w:p>
        </w:tc>
        <w:tc>
          <w:tcPr>
            <w:tcW w:w="1275" w:type="dxa"/>
          </w:tcPr>
          <w:p w14:paraId="0C222B2B"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rPr>
            </w:pPr>
          </w:p>
        </w:tc>
      </w:tr>
      <w:tr w:rsidR="00BC5B69" w:rsidRPr="00BC5B69" w14:paraId="47E399B6"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C18FBA6" w14:textId="77777777" w:rsidR="00BC5B69" w:rsidRPr="00BC5B69" w:rsidRDefault="00BC5B69" w:rsidP="00BC5B69">
            <w:pPr>
              <w:numPr>
                <w:ilvl w:val="0"/>
                <w:numId w:val="1"/>
              </w:numPr>
              <w:spacing w:after="160" w:line="276" w:lineRule="auto"/>
              <w:contextualSpacing/>
              <w:rPr>
                <w:rFonts w:eastAsiaTheme="minorHAnsi"/>
                <w:sz w:val="20"/>
                <w:szCs w:val="20"/>
                <w:lang w:val="en-US" w:eastAsia="en-US"/>
              </w:rPr>
            </w:pPr>
            <w:r w:rsidRPr="00BC5B69">
              <w:rPr>
                <w:rFonts w:eastAsiaTheme="minorHAnsi"/>
                <w:sz w:val="20"/>
                <w:szCs w:val="20"/>
                <w:lang w:val="en-US" w:eastAsia="en-US"/>
              </w:rPr>
              <w:t>Equal or less than 5 years</w:t>
            </w:r>
          </w:p>
        </w:tc>
        <w:tc>
          <w:tcPr>
            <w:tcW w:w="1277" w:type="dxa"/>
          </w:tcPr>
          <w:p w14:paraId="057AC2DC"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5.2 </w:t>
            </w:r>
            <w:r w:rsidRPr="00BC5B69">
              <w:rPr>
                <w:rFonts w:eastAsia="Calibri"/>
                <w:sz w:val="20"/>
                <w:szCs w:val="20"/>
                <w:lang w:val="en-US" w:eastAsia="en-US"/>
              </w:rPr>
              <w:t>(%)</w:t>
            </w:r>
          </w:p>
        </w:tc>
        <w:tc>
          <w:tcPr>
            <w:tcW w:w="3826" w:type="dxa"/>
          </w:tcPr>
          <w:p w14:paraId="51922433" w14:textId="77777777" w:rsidR="00BC5B69" w:rsidRPr="00BC5B69" w:rsidRDefault="00BC5B69" w:rsidP="00BC5B69">
            <w:pPr>
              <w:numPr>
                <w:ilvl w:val="0"/>
                <w:numId w:val="1"/>
              </w:num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More than 5 years</w:t>
            </w:r>
          </w:p>
        </w:tc>
        <w:tc>
          <w:tcPr>
            <w:tcW w:w="1275" w:type="dxa"/>
          </w:tcPr>
          <w:p w14:paraId="6E838DCB"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94.8 </w:t>
            </w:r>
            <w:r w:rsidRPr="00BC5B69">
              <w:rPr>
                <w:rFonts w:eastAsia="Calibri"/>
                <w:sz w:val="20"/>
                <w:szCs w:val="20"/>
                <w:lang w:val="en-US" w:eastAsia="en-US"/>
              </w:rPr>
              <w:t>(%)</w:t>
            </w:r>
          </w:p>
        </w:tc>
      </w:tr>
      <w:tr w:rsidR="00BC5B69" w:rsidRPr="00BC5B69" w14:paraId="6979E870"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5100" w:type="dxa"/>
            <w:gridSpan w:val="2"/>
          </w:tcPr>
          <w:p w14:paraId="018CA36D" w14:textId="77777777" w:rsidR="00BC5B69" w:rsidRPr="00BC5B69" w:rsidRDefault="00BC5B69" w:rsidP="00BC5B69">
            <w:pPr>
              <w:spacing w:after="160" w:line="276" w:lineRule="auto"/>
              <w:rPr>
                <w:rFonts w:eastAsiaTheme="minorHAnsi"/>
                <w:sz w:val="20"/>
                <w:szCs w:val="20"/>
                <w:lang w:val="en-US" w:eastAsia="en-US"/>
              </w:rPr>
            </w:pPr>
            <w:r w:rsidRPr="00BC5B69">
              <w:rPr>
                <w:rFonts w:eastAsiaTheme="minorHAnsi"/>
                <w:sz w:val="20"/>
                <w:szCs w:val="20"/>
                <w:lang w:val="en-US" w:eastAsia="en-US"/>
              </w:rPr>
              <w:t xml:space="preserve">Living status </w:t>
            </w:r>
          </w:p>
        </w:tc>
        <w:tc>
          <w:tcPr>
            <w:tcW w:w="3826" w:type="dxa"/>
          </w:tcPr>
          <w:p w14:paraId="0B664AF1"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rPr>
            </w:pPr>
          </w:p>
        </w:tc>
        <w:tc>
          <w:tcPr>
            <w:tcW w:w="1275" w:type="dxa"/>
          </w:tcPr>
          <w:p w14:paraId="6E55B7D2"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rPr>
            </w:pPr>
          </w:p>
        </w:tc>
      </w:tr>
      <w:tr w:rsidR="00BC5B69" w:rsidRPr="00BC5B69" w14:paraId="5C1BC7A3"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04D6FD90" w14:textId="77777777" w:rsidR="00BC5B69" w:rsidRPr="00BC5B69" w:rsidRDefault="00BC5B69" w:rsidP="00BC5B69">
            <w:pPr>
              <w:numPr>
                <w:ilvl w:val="0"/>
                <w:numId w:val="1"/>
              </w:numPr>
              <w:spacing w:after="160" w:line="276" w:lineRule="auto"/>
              <w:contextualSpacing/>
              <w:rPr>
                <w:rFonts w:eastAsia="Calibri"/>
                <w:sz w:val="20"/>
                <w:szCs w:val="20"/>
                <w:lang w:val="en-US" w:eastAsia="en-US"/>
              </w:rPr>
            </w:pPr>
            <w:r w:rsidRPr="00BC5B69">
              <w:rPr>
                <w:rFonts w:eastAsia="Calibri"/>
                <w:sz w:val="20"/>
                <w:szCs w:val="20"/>
                <w:lang w:val="en-US" w:eastAsia="en-US"/>
              </w:rPr>
              <w:t>Alone</w:t>
            </w:r>
          </w:p>
        </w:tc>
        <w:tc>
          <w:tcPr>
            <w:tcW w:w="1277" w:type="dxa"/>
          </w:tcPr>
          <w:p w14:paraId="46CA2DDE"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5.1 </w:t>
            </w:r>
            <w:r w:rsidRPr="00BC5B69">
              <w:rPr>
                <w:rFonts w:eastAsia="Calibri"/>
                <w:sz w:val="20"/>
                <w:szCs w:val="20"/>
                <w:lang w:val="en-US" w:eastAsia="en-US"/>
              </w:rPr>
              <w:t>(%)</w:t>
            </w:r>
          </w:p>
        </w:tc>
        <w:tc>
          <w:tcPr>
            <w:tcW w:w="3826" w:type="dxa"/>
          </w:tcPr>
          <w:p w14:paraId="554E6C19" w14:textId="77777777" w:rsidR="00BC5B69" w:rsidRPr="00BC5B69" w:rsidRDefault="00BC5B69" w:rsidP="00BC5B69">
            <w:pPr>
              <w:numPr>
                <w:ilvl w:val="0"/>
                <w:numId w:val="1"/>
              </w:num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Calibri"/>
                <w:sz w:val="20"/>
                <w:szCs w:val="20"/>
                <w:lang w:val="en-US" w:eastAsia="en-US"/>
              </w:rPr>
            </w:pPr>
            <w:r w:rsidRPr="00BC5B69">
              <w:rPr>
                <w:rFonts w:eastAsia="Calibri"/>
                <w:sz w:val="20"/>
                <w:szCs w:val="20"/>
                <w:lang w:val="en-US" w:eastAsia="en-US"/>
              </w:rPr>
              <w:t>Roommate/Caregiver</w:t>
            </w:r>
          </w:p>
        </w:tc>
        <w:tc>
          <w:tcPr>
            <w:tcW w:w="1275" w:type="dxa"/>
          </w:tcPr>
          <w:p w14:paraId="3C95DBBD"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94.9</w:t>
            </w:r>
            <w:r w:rsidRPr="00BC5B69">
              <w:rPr>
                <w:rFonts w:eastAsia="Calibri"/>
                <w:sz w:val="20"/>
                <w:szCs w:val="20"/>
                <w:lang w:val="en-US" w:eastAsia="en-US"/>
              </w:rPr>
              <w:t xml:space="preserve"> (%)</w:t>
            </w:r>
          </w:p>
        </w:tc>
      </w:tr>
      <w:tr w:rsidR="00BC5B69" w:rsidRPr="00BC5B69" w14:paraId="5D312BF9"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5100" w:type="dxa"/>
            <w:gridSpan w:val="2"/>
          </w:tcPr>
          <w:p w14:paraId="30C69A39" w14:textId="77777777" w:rsidR="00BC5B69" w:rsidRPr="00BC5B69" w:rsidRDefault="00BC5B69" w:rsidP="00BC5B69">
            <w:pPr>
              <w:spacing w:after="160" w:line="276" w:lineRule="auto"/>
              <w:rPr>
                <w:rFonts w:eastAsiaTheme="minorHAnsi"/>
                <w:sz w:val="20"/>
                <w:szCs w:val="20"/>
                <w:lang w:val="en-US" w:eastAsia="en-US"/>
              </w:rPr>
            </w:pPr>
            <w:r w:rsidRPr="00BC5B69">
              <w:rPr>
                <w:rFonts w:eastAsiaTheme="minorHAnsi"/>
                <w:sz w:val="20"/>
                <w:szCs w:val="20"/>
                <w:lang w:val="en-US" w:eastAsia="en-US"/>
              </w:rPr>
              <w:t xml:space="preserve">Comorbidities </w:t>
            </w:r>
          </w:p>
        </w:tc>
        <w:tc>
          <w:tcPr>
            <w:tcW w:w="3826" w:type="dxa"/>
          </w:tcPr>
          <w:p w14:paraId="4E1746A9"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rPr>
            </w:pPr>
          </w:p>
        </w:tc>
        <w:tc>
          <w:tcPr>
            <w:tcW w:w="1275" w:type="dxa"/>
          </w:tcPr>
          <w:p w14:paraId="6DFEA5F2"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b/>
                <w:sz w:val="20"/>
                <w:szCs w:val="20"/>
                <w:lang w:val="en-US" w:eastAsia="en-US"/>
              </w:rPr>
            </w:pPr>
          </w:p>
        </w:tc>
      </w:tr>
      <w:tr w:rsidR="00BC5B69" w:rsidRPr="00BC5B69" w14:paraId="0537FE70"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270E16C" w14:textId="77777777" w:rsidR="00BC5B69" w:rsidRPr="00BC5B69" w:rsidRDefault="00BC5B69" w:rsidP="00BC5B69">
            <w:pPr>
              <w:numPr>
                <w:ilvl w:val="0"/>
                <w:numId w:val="1"/>
              </w:numPr>
              <w:spacing w:after="160" w:line="276" w:lineRule="auto"/>
              <w:contextualSpacing/>
              <w:rPr>
                <w:rFonts w:eastAsia="Calibri"/>
                <w:sz w:val="20"/>
                <w:szCs w:val="20"/>
                <w:lang w:val="en-US" w:eastAsia="en-US"/>
              </w:rPr>
            </w:pPr>
            <w:r w:rsidRPr="00BC5B69">
              <w:rPr>
                <w:rFonts w:eastAsia="Calibri"/>
                <w:sz w:val="20"/>
                <w:szCs w:val="20"/>
                <w:lang w:val="en-US" w:eastAsia="en-US"/>
              </w:rPr>
              <w:t xml:space="preserve">Hypertension                                                                                                                     </w:t>
            </w:r>
          </w:p>
        </w:tc>
        <w:tc>
          <w:tcPr>
            <w:tcW w:w="1277" w:type="dxa"/>
          </w:tcPr>
          <w:p w14:paraId="7F84D0A2"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Calibri"/>
                <w:sz w:val="20"/>
                <w:szCs w:val="20"/>
                <w:lang w:val="en-US" w:eastAsia="en-US"/>
              </w:rPr>
              <w:t>54.5 (%)</w:t>
            </w:r>
          </w:p>
        </w:tc>
        <w:tc>
          <w:tcPr>
            <w:tcW w:w="3826" w:type="dxa"/>
          </w:tcPr>
          <w:p w14:paraId="2544E657" w14:textId="77777777" w:rsidR="00BC5B69" w:rsidRPr="00BC5B69" w:rsidRDefault="00BC5B69" w:rsidP="00BC5B69">
            <w:pPr>
              <w:numPr>
                <w:ilvl w:val="0"/>
                <w:numId w:val="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Diabetes</w:t>
            </w:r>
          </w:p>
        </w:tc>
        <w:tc>
          <w:tcPr>
            <w:tcW w:w="1275" w:type="dxa"/>
          </w:tcPr>
          <w:p w14:paraId="5F456B73"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24.0 </w:t>
            </w:r>
            <w:r w:rsidRPr="00BC5B69">
              <w:rPr>
                <w:rFonts w:eastAsia="Calibri"/>
                <w:sz w:val="20"/>
                <w:szCs w:val="20"/>
                <w:lang w:val="en-US" w:eastAsia="en-US"/>
              </w:rPr>
              <w:t>(%)</w:t>
            </w:r>
          </w:p>
        </w:tc>
      </w:tr>
      <w:tr w:rsidR="00BC5B69" w:rsidRPr="00BC5B69" w14:paraId="3785B006"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5028B221" w14:textId="77777777" w:rsidR="00BC5B69" w:rsidRPr="00BC5B69" w:rsidRDefault="00BC5B69" w:rsidP="00BC5B69">
            <w:pPr>
              <w:numPr>
                <w:ilvl w:val="0"/>
                <w:numId w:val="1"/>
              </w:numPr>
              <w:spacing w:after="160" w:line="259" w:lineRule="auto"/>
              <w:contextualSpacing/>
              <w:rPr>
                <w:rFonts w:eastAsiaTheme="minorHAnsi"/>
                <w:sz w:val="20"/>
                <w:szCs w:val="20"/>
                <w:lang w:val="en-US" w:eastAsia="en-US"/>
              </w:rPr>
            </w:pPr>
            <w:r w:rsidRPr="00BC5B69">
              <w:rPr>
                <w:rFonts w:eastAsiaTheme="minorHAnsi"/>
                <w:sz w:val="20"/>
                <w:szCs w:val="20"/>
                <w:lang w:val="en-US" w:eastAsia="en-US"/>
              </w:rPr>
              <w:t>Cerebrovascular disease</w:t>
            </w:r>
          </w:p>
        </w:tc>
        <w:tc>
          <w:tcPr>
            <w:tcW w:w="1277" w:type="dxa"/>
          </w:tcPr>
          <w:p w14:paraId="4446729B"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8.1 </w:t>
            </w:r>
            <w:r w:rsidRPr="00BC5B69">
              <w:rPr>
                <w:rFonts w:eastAsia="Calibri"/>
                <w:sz w:val="20"/>
                <w:szCs w:val="20"/>
                <w:lang w:val="en-US" w:eastAsia="en-US"/>
              </w:rPr>
              <w:t>(%)</w:t>
            </w:r>
          </w:p>
        </w:tc>
        <w:tc>
          <w:tcPr>
            <w:tcW w:w="3826" w:type="dxa"/>
          </w:tcPr>
          <w:p w14:paraId="5DA77D3F" w14:textId="77777777" w:rsidR="00BC5B69" w:rsidRPr="00BC5B69" w:rsidRDefault="00BC5B69" w:rsidP="00BC5B69">
            <w:pPr>
              <w:numPr>
                <w:ilvl w:val="0"/>
                <w:numId w:val="1"/>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Osteoarthritis</w:t>
            </w:r>
          </w:p>
        </w:tc>
        <w:tc>
          <w:tcPr>
            <w:tcW w:w="1275" w:type="dxa"/>
          </w:tcPr>
          <w:p w14:paraId="7D7CCB06" w14:textId="77777777" w:rsidR="00BC5B69" w:rsidRPr="00BC5B69" w:rsidRDefault="00BC5B69" w:rsidP="00BC5B69">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24.8 </w:t>
            </w:r>
            <w:r w:rsidRPr="00BC5B69">
              <w:rPr>
                <w:rFonts w:eastAsia="Calibri"/>
                <w:sz w:val="20"/>
                <w:szCs w:val="20"/>
                <w:lang w:val="en-US" w:eastAsia="en-US"/>
              </w:rPr>
              <w:t>(%)</w:t>
            </w:r>
          </w:p>
        </w:tc>
      </w:tr>
      <w:tr w:rsidR="00BC5B69" w:rsidRPr="00BC5B69" w14:paraId="637FFCF6"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EBE9FFD" w14:textId="77777777" w:rsidR="00BC5B69" w:rsidRPr="00BC5B69" w:rsidRDefault="00BC5B69" w:rsidP="00BC5B69">
            <w:pPr>
              <w:numPr>
                <w:ilvl w:val="0"/>
                <w:numId w:val="1"/>
              </w:numPr>
              <w:spacing w:after="160" w:line="259" w:lineRule="auto"/>
              <w:contextualSpacing/>
              <w:rPr>
                <w:rFonts w:eastAsiaTheme="minorHAnsi"/>
                <w:sz w:val="20"/>
                <w:szCs w:val="20"/>
                <w:lang w:val="en-US" w:eastAsia="en-US"/>
              </w:rPr>
            </w:pPr>
            <w:r w:rsidRPr="00BC5B69">
              <w:rPr>
                <w:rFonts w:eastAsiaTheme="minorHAnsi"/>
                <w:sz w:val="20"/>
                <w:szCs w:val="20"/>
                <w:lang w:val="en-US" w:eastAsia="en-US"/>
              </w:rPr>
              <w:t>Dementia</w:t>
            </w:r>
          </w:p>
        </w:tc>
        <w:tc>
          <w:tcPr>
            <w:tcW w:w="1277" w:type="dxa"/>
          </w:tcPr>
          <w:p w14:paraId="120C5D2B"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19.5 </w:t>
            </w:r>
            <w:r w:rsidRPr="00BC5B69">
              <w:rPr>
                <w:rFonts w:eastAsia="Calibri"/>
                <w:sz w:val="20"/>
                <w:szCs w:val="20"/>
                <w:lang w:val="en-US" w:eastAsia="en-US"/>
              </w:rPr>
              <w:t>(%)</w:t>
            </w:r>
          </w:p>
        </w:tc>
        <w:tc>
          <w:tcPr>
            <w:tcW w:w="3826" w:type="dxa"/>
          </w:tcPr>
          <w:p w14:paraId="7F5EED32" w14:textId="77777777" w:rsidR="00BC5B69" w:rsidRPr="00BC5B69" w:rsidRDefault="00BC5B69" w:rsidP="00BC5B69">
            <w:pPr>
              <w:numPr>
                <w:ilvl w:val="0"/>
                <w:numId w:val="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heme="minorHAnsi"/>
                <w:b/>
                <w:sz w:val="20"/>
                <w:szCs w:val="20"/>
                <w:lang w:val="en-US" w:eastAsia="en-US"/>
              </w:rPr>
            </w:pPr>
            <w:proofErr w:type="spellStart"/>
            <w:r w:rsidRPr="00BC5B69">
              <w:rPr>
                <w:rFonts w:eastAsiaTheme="minorHAnsi"/>
                <w:sz w:val="20"/>
                <w:szCs w:val="20"/>
                <w:lang w:val="en-US" w:eastAsia="en-US"/>
              </w:rPr>
              <w:t>Charlson</w:t>
            </w:r>
            <w:proofErr w:type="spellEnd"/>
            <w:r w:rsidRPr="00BC5B69">
              <w:rPr>
                <w:rFonts w:eastAsiaTheme="minorHAnsi"/>
                <w:sz w:val="20"/>
                <w:szCs w:val="20"/>
                <w:lang w:val="en-US" w:eastAsia="en-US"/>
              </w:rPr>
              <w:t xml:space="preserve"> comorbidity index (SD)</w:t>
            </w:r>
          </w:p>
        </w:tc>
        <w:tc>
          <w:tcPr>
            <w:tcW w:w="1275" w:type="dxa"/>
          </w:tcPr>
          <w:p w14:paraId="77BE884D"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1.29 (1.44)</w:t>
            </w:r>
          </w:p>
        </w:tc>
      </w:tr>
      <w:tr w:rsidR="00BC5B69" w:rsidRPr="00BC5B69" w14:paraId="03465B56"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10201" w:type="dxa"/>
            <w:gridSpan w:val="4"/>
          </w:tcPr>
          <w:p w14:paraId="40186779" w14:textId="77777777" w:rsidR="00BC5B69" w:rsidRPr="00BC5B69" w:rsidRDefault="00BC5B69" w:rsidP="00BC5B69">
            <w:pPr>
              <w:spacing w:after="160" w:line="276" w:lineRule="auto"/>
              <w:rPr>
                <w:rFonts w:eastAsiaTheme="minorHAnsi"/>
                <w:sz w:val="20"/>
                <w:szCs w:val="20"/>
                <w:lang w:val="en-US" w:eastAsia="en-US"/>
              </w:rPr>
            </w:pPr>
            <w:r w:rsidRPr="00BC5B69">
              <w:rPr>
                <w:rFonts w:eastAsiaTheme="minorHAnsi"/>
                <w:sz w:val="20"/>
                <w:szCs w:val="20"/>
                <w:lang w:val="en-US" w:eastAsia="en-US"/>
              </w:rPr>
              <w:t xml:space="preserve">Geriatric Syndromes and Comprehensive Geriatric Assessment </w:t>
            </w:r>
          </w:p>
        </w:tc>
      </w:tr>
      <w:tr w:rsidR="00BC5B69" w:rsidRPr="00BC5B69" w14:paraId="3D01EF9D"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3D2AA592" w14:textId="77777777" w:rsidR="00BC5B69" w:rsidRPr="00BC5B69" w:rsidRDefault="00BC5B69" w:rsidP="00BC5B69">
            <w:pPr>
              <w:numPr>
                <w:ilvl w:val="0"/>
                <w:numId w:val="1"/>
              </w:numPr>
              <w:spacing w:after="160" w:line="259" w:lineRule="auto"/>
              <w:contextualSpacing/>
              <w:rPr>
                <w:rFonts w:eastAsiaTheme="minorHAnsi"/>
                <w:sz w:val="20"/>
                <w:szCs w:val="20"/>
                <w:lang w:val="en-US" w:eastAsia="en-US"/>
              </w:rPr>
            </w:pPr>
            <w:r w:rsidRPr="00BC5B69">
              <w:rPr>
                <w:rFonts w:eastAsiaTheme="minorHAnsi"/>
                <w:sz w:val="20"/>
                <w:szCs w:val="20"/>
                <w:lang w:val="en-US" w:eastAsia="en-US"/>
              </w:rPr>
              <w:t xml:space="preserve">Polypharmacy </w:t>
            </w:r>
          </w:p>
        </w:tc>
        <w:tc>
          <w:tcPr>
            <w:tcW w:w="1277" w:type="dxa"/>
          </w:tcPr>
          <w:p w14:paraId="281E95C7"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55.7 </w:t>
            </w:r>
            <w:r w:rsidRPr="00BC5B69">
              <w:rPr>
                <w:rFonts w:eastAsia="Calibri"/>
                <w:sz w:val="20"/>
                <w:szCs w:val="20"/>
                <w:lang w:val="en-US" w:eastAsia="en-US"/>
              </w:rPr>
              <w:t>(%)</w:t>
            </w:r>
          </w:p>
        </w:tc>
        <w:tc>
          <w:tcPr>
            <w:tcW w:w="3826" w:type="dxa"/>
          </w:tcPr>
          <w:p w14:paraId="3864C591" w14:textId="77777777" w:rsidR="00BC5B69" w:rsidRPr="00BC5B69" w:rsidRDefault="00BC5B69" w:rsidP="00BC5B69">
            <w:pPr>
              <w:numPr>
                <w:ilvl w:val="0"/>
                <w:numId w:val="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Hyper-polypharmacy </w:t>
            </w:r>
          </w:p>
        </w:tc>
        <w:tc>
          <w:tcPr>
            <w:tcW w:w="1275" w:type="dxa"/>
          </w:tcPr>
          <w:p w14:paraId="0CFC1017"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7.8 </w:t>
            </w:r>
            <w:r w:rsidRPr="00BC5B69">
              <w:rPr>
                <w:rFonts w:eastAsia="Calibri"/>
                <w:sz w:val="20"/>
                <w:szCs w:val="20"/>
                <w:lang w:val="en-US" w:eastAsia="en-US"/>
              </w:rPr>
              <w:t>(%)</w:t>
            </w:r>
          </w:p>
        </w:tc>
      </w:tr>
      <w:tr w:rsidR="00BC5B69" w:rsidRPr="00BC5B69" w14:paraId="7B535176"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0E5228CA" w14:textId="77777777" w:rsidR="00BC5B69" w:rsidRPr="00BC5B69" w:rsidRDefault="00BC5B69" w:rsidP="00BC5B69">
            <w:pPr>
              <w:numPr>
                <w:ilvl w:val="0"/>
                <w:numId w:val="1"/>
              </w:numPr>
              <w:spacing w:after="160" w:line="259" w:lineRule="auto"/>
              <w:contextualSpacing/>
              <w:rPr>
                <w:rFonts w:eastAsiaTheme="minorHAnsi"/>
                <w:sz w:val="20"/>
                <w:szCs w:val="20"/>
                <w:lang w:val="en-US" w:eastAsia="en-US"/>
              </w:rPr>
            </w:pPr>
            <w:r w:rsidRPr="00BC5B69">
              <w:rPr>
                <w:rFonts w:eastAsiaTheme="minorHAnsi"/>
                <w:sz w:val="20"/>
                <w:szCs w:val="20"/>
                <w:lang w:val="en-US" w:eastAsia="en-US"/>
              </w:rPr>
              <w:t>Orthostatic Hypotension</w:t>
            </w:r>
          </w:p>
        </w:tc>
        <w:tc>
          <w:tcPr>
            <w:tcW w:w="1277" w:type="dxa"/>
          </w:tcPr>
          <w:p w14:paraId="00F37D31"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36.9 </w:t>
            </w:r>
            <w:r w:rsidRPr="00BC5B69">
              <w:rPr>
                <w:rFonts w:eastAsia="Calibri"/>
                <w:sz w:val="20"/>
                <w:szCs w:val="20"/>
                <w:lang w:val="en-US" w:eastAsia="en-US"/>
              </w:rPr>
              <w:t>(%)</w:t>
            </w:r>
          </w:p>
        </w:tc>
        <w:tc>
          <w:tcPr>
            <w:tcW w:w="3826" w:type="dxa"/>
          </w:tcPr>
          <w:p w14:paraId="18166FEF" w14:textId="77777777" w:rsidR="00BC5B69" w:rsidRPr="00BC5B69" w:rsidRDefault="00BC5B69" w:rsidP="00BC5B69">
            <w:pPr>
              <w:numPr>
                <w:ilvl w:val="0"/>
                <w:numId w:val="1"/>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Dizziness / </w:t>
            </w:r>
            <w:proofErr w:type="spellStart"/>
            <w:r w:rsidRPr="00BC5B69">
              <w:rPr>
                <w:rFonts w:eastAsiaTheme="minorHAnsi"/>
                <w:sz w:val="20"/>
                <w:szCs w:val="20"/>
                <w:lang w:val="en-US" w:eastAsia="en-US"/>
              </w:rPr>
              <w:t>Dysbalance</w:t>
            </w:r>
            <w:proofErr w:type="spellEnd"/>
          </w:p>
        </w:tc>
        <w:tc>
          <w:tcPr>
            <w:tcW w:w="1275" w:type="dxa"/>
          </w:tcPr>
          <w:p w14:paraId="2FD0E0F8"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38.9 </w:t>
            </w:r>
            <w:r w:rsidRPr="00BC5B69">
              <w:rPr>
                <w:rFonts w:eastAsia="Calibri"/>
                <w:sz w:val="20"/>
                <w:szCs w:val="20"/>
                <w:lang w:val="en-US" w:eastAsia="en-US"/>
              </w:rPr>
              <w:t>(%)</w:t>
            </w:r>
          </w:p>
        </w:tc>
      </w:tr>
      <w:tr w:rsidR="00BC5B69" w:rsidRPr="00BC5B69" w14:paraId="6D93B8ED"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6690960" w14:textId="77777777" w:rsidR="00BC5B69" w:rsidRPr="00BC5B69" w:rsidRDefault="00BC5B69" w:rsidP="00BC5B69">
            <w:pPr>
              <w:numPr>
                <w:ilvl w:val="0"/>
                <w:numId w:val="1"/>
              </w:numPr>
              <w:spacing w:after="160" w:line="259" w:lineRule="auto"/>
              <w:contextualSpacing/>
              <w:rPr>
                <w:rFonts w:eastAsiaTheme="minorHAnsi"/>
                <w:sz w:val="20"/>
                <w:szCs w:val="20"/>
                <w:lang w:val="en-US" w:eastAsia="en-US"/>
              </w:rPr>
            </w:pPr>
            <w:r w:rsidRPr="00BC5B69">
              <w:rPr>
                <w:rFonts w:eastAsiaTheme="minorHAnsi"/>
                <w:sz w:val="20"/>
                <w:szCs w:val="20"/>
                <w:lang w:val="en-US" w:eastAsia="en-US"/>
              </w:rPr>
              <w:t xml:space="preserve">Urinary Incontinence </w:t>
            </w:r>
          </w:p>
        </w:tc>
        <w:tc>
          <w:tcPr>
            <w:tcW w:w="1277" w:type="dxa"/>
          </w:tcPr>
          <w:p w14:paraId="46998084"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33.2 </w:t>
            </w:r>
            <w:r w:rsidRPr="00BC5B69">
              <w:rPr>
                <w:rFonts w:eastAsia="Calibri"/>
                <w:sz w:val="20"/>
                <w:szCs w:val="20"/>
                <w:lang w:val="en-US" w:eastAsia="en-US"/>
              </w:rPr>
              <w:t>(%)</w:t>
            </w:r>
          </w:p>
        </w:tc>
        <w:tc>
          <w:tcPr>
            <w:tcW w:w="3826" w:type="dxa"/>
          </w:tcPr>
          <w:p w14:paraId="09E41D3A" w14:textId="77777777" w:rsidR="00BC5B69" w:rsidRPr="00BC5B69" w:rsidRDefault="00BC5B69" w:rsidP="00BC5B69">
            <w:pPr>
              <w:numPr>
                <w:ilvl w:val="0"/>
                <w:numId w:val="1"/>
              </w:num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Falls </w:t>
            </w:r>
          </w:p>
        </w:tc>
        <w:tc>
          <w:tcPr>
            <w:tcW w:w="1275" w:type="dxa"/>
          </w:tcPr>
          <w:p w14:paraId="0F41E24F"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25.4 </w:t>
            </w:r>
            <w:r w:rsidRPr="00BC5B69">
              <w:rPr>
                <w:rFonts w:eastAsia="Calibri"/>
                <w:sz w:val="20"/>
                <w:szCs w:val="20"/>
                <w:lang w:val="en-US" w:eastAsia="en-US"/>
              </w:rPr>
              <w:t>(%)</w:t>
            </w:r>
          </w:p>
        </w:tc>
      </w:tr>
      <w:tr w:rsidR="00BC5B69" w:rsidRPr="00BC5B69" w14:paraId="1924B3F4"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572A6032" w14:textId="77777777" w:rsidR="00BC5B69" w:rsidRPr="00BC5B69" w:rsidRDefault="00BC5B69" w:rsidP="00BC5B69">
            <w:pPr>
              <w:numPr>
                <w:ilvl w:val="0"/>
                <w:numId w:val="2"/>
              </w:numPr>
              <w:spacing w:after="160" w:line="276" w:lineRule="auto"/>
              <w:contextualSpacing/>
              <w:rPr>
                <w:rFonts w:eastAsia="Calibri"/>
                <w:sz w:val="20"/>
                <w:szCs w:val="20"/>
                <w:lang w:val="en-US" w:eastAsia="en-US"/>
              </w:rPr>
            </w:pPr>
            <w:r w:rsidRPr="00BC5B69">
              <w:rPr>
                <w:rFonts w:eastAsia="Calibri"/>
                <w:sz w:val="20"/>
                <w:szCs w:val="20"/>
                <w:lang w:val="en-US" w:eastAsia="en-US"/>
              </w:rPr>
              <w:t xml:space="preserve">GDS score ≥5 </w:t>
            </w:r>
          </w:p>
        </w:tc>
        <w:tc>
          <w:tcPr>
            <w:tcW w:w="1277" w:type="dxa"/>
          </w:tcPr>
          <w:p w14:paraId="0FB940FF"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Calibri"/>
                <w:sz w:val="20"/>
                <w:szCs w:val="20"/>
                <w:lang w:val="en-US" w:eastAsia="en-US"/>
              </w:rPr>
            </w:pPr>
            <w:r w:rsidRPr="00BC5B69">
              <w:rPr>
                <w:rFonts w:eastAsia="Calibri"/>
                <w:sz w:val="20"/>
                <w:szCs w:val="20"/>
                <w:lang w:val="en-US" w:eastAsia="en-US"/>
              </w:rPr>
              <w:t>18.8 (%)</w:t>
            </w:r>
          </w:p>
        </w:tc>
        <w:tc>
          <w:tcPr>
            <w:tcW w:w="3826" w:type="dxa"/>
          </w:tcPr>
          <w:p w14:paraId="50FF4084" w14:textId="77777777" w:rsidR="00BC5B69" w:rsidRPr="00BC5B69" w:rsidRDefault="00BC5B69" w:rsidP="00BC5B69">
            <w:pPr>
              <w:numPr>
                <w:ilvl w:val="0"/>
                <w:numId w:val="2"/>
              </w:num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Frailty</w:t>
            </w:r>
          </w:p>
        </w:tc>
        <w:tc>
          <w:tcPr>
            <w:tcW w:w="1275" w:type="dxa"/>
          </w:tcPr>
          <w:p w14:paraId="6B5AE589"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17.4 </w:t>
            </w:r>
            <w:r w:rsidRPr="00BC5B69">
              <w:rPr>
                <w:rFonts w:eastAsia="Calibri"/>
                <w:sz w:val="20"/>
                <w:szCs w:val="20"/>
                <w:lang w:val="en-US" w:eastAsia="en-US"/>
              </w:rPr>
              <w:t>(%)</w:t>
            </w:r>
          </w:p>
        </w:tc>
      </w:tr>
      <w:tr w:rsidR="00BC5B69" w:rsidRPr="00BC5B69" w14:paraId="1BAC8CCC"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301862CC" w14:textId="77777777" w:rsidR="00BC5B69" w:rsidRPr="00BC5B69" w:rsidRDefault="00BC5B69" w:rsidP="00BC5B69">
            <w:pPr>
              <w:numPr>
                <w:ilvl w:val="0"/>
                <w:numId w:val="2"/>
              </w:numPr>
              <w:spacing w:after="160" w:line="276" w:lineRule="auto"/>
              <w:contextualSpacing/>
              <w:rPr>
                <w:rFonts w:eastAsia="Calibri"/>
                <w:sz w:val="20"/>
                <w:szCs w:val="20"/>
                <w:lang w:val="en-US" w:eastAsia="en-US"/>
              </w:rPr>
            </w:pPr>
            <w:r w:rsidRPr="00BC5B69">
              <w:rPr>
                <w:rFonts w:eastAsiaTheme="minorHAnsi"/>
                <w:sz w:val="20"/>
                <w:szCs w:val="20"/>
                <w:lang w:val="en-US" w:eastAsia="en-US"/>
              </w:rPr>
              <w:t xml:space="preserve">Sarcopenia </w:t>
            </w:r>
          </w:p>
        </w:tc>
        <w:tc>
          <w:tcPr>
            <w:tcW w:w="1277" w:type="dxa"/>
          </w:tcPr>
          <w:p w14:paraId="3292E6B4"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Calibri"/>
                <w:sz w:val="20"/>
                <w:szCs w:val="20"/>
                <w:lang w:val="en-US" w:eastAsia="en-US"/>
              </w:rPr>
            </w:pPr>
            <w:r w:rsidRPr="00BC5B69">
              <w:rPr>
                <w:rFonts w:eastAsia="Calibri"/>
                <w:sz w:val="20"/>
                <w:szCs w:val="20"/>
                <w:lang w:val="en-US" w:eastAsia="en-US"/>
              </w:rPr>
              <w:t>38.9 (%)</w:t>
            </w:r>
          </w:p>
        </w:tc>
        <w:tc>
          <w:tcPr>
            <w:tcW w:w="3826" w:type="dxa"/>
          </w:tcPr>
          <w:p w14:paraId="48A962E1" w14:textId="77777777" w:rsidR="00BC5B69" w:rsidRPr="00BC5B69" w:rsidRDefault="00BC5B69" w:rsidP="00BC5B69">
            <w:pPr>
              <w:numPr>
                <w:ilvl w:val="0"/>
                <w:numId w:val="3"/>
              </w:num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proofErr w:type="spellStart"/>
            <w:r w:rsidRPr="00BC5B69">
              <w:rPr>
                <w:rFonts w:eastAsiaTheme="minorHAnsi"/>
                <w:sz w:val="20"/>
                <w:szCs w:val="20"/>
                <w:lang w:val="en-US" w:eastAsia="en-US"/>
              </w:rPr>
              <w:t>Dynapenia</w:t>
            </w:r>
            <w:proofErr w:type="spellEnd"/>
            <w:r w:rsidRPr="00BC5B69">
              <w:rPr>
                <w:rFonts w:eastAsiaTheme="minorHAnsi"/>
                <w:sz w:val="20"/>
                <w:szCs w:val="20"/>
                <w:lang w:val="en-US" w:eastAsia="en-US"/>
              </w:rPr>
              <w:t xml:space="preserve"> </w:t>
            </w:r>
          </w:p>
        </w:tc>
        <w:tc>
          <w:tcPr>
            <w:tcW w:w="1275" w:type="dxa"/>
          </w:tcPr>
          <w:p w14:paraId="25432343"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51.9 </w:t>
            </w:r>
            <w:r w:rsidRPr="00BC5B69">
              <w:rPr>
                <w:rFonts w:eastAsia="Calibri"/>
                <w:sz w:val="20"/>
                <w:szCs w:val="20"/>
                <w:lang w:val="en-US" w:eastAsia="en-US"/>
              </w:rPr>
              <w:t>(%)</w:t>
            </w:r>
          </w:p>
        </w:tc>
      </w:tr>
      <w:tr w:rsidR="00BC5B69" w:rsidRPr="00BC5B69" w14:paraId="18AF388F"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5A21E37" w14:textId="77777777" w:rsidR="00BC5B69" w:rsidRPr="00BC5B69" w:rsidRDefault="00BC5B69" w:rsidP="00BC5B69">
            <w:pPr>
              <w:numPr>
                <w:ilvl w:val="0"/>
                <w:numId w:val="2"/>
              </w:numPr>
              <w:spacing w:after="160" w:line="276" w:lineRule="auto"/>
              <w:contextualSpacing/>
              <w:rPr>
                <w:rFonts w:eastAsiaTheme="minorHAnsi"/>
                <w:sz w:val="20"/>
                <w:szCs w:val="20"/>
                <w:lang w:val="en-US" w:eastAsia="en-US"/>
              </w:rPr>
            </w:pPr>
            <w:r w:rsidRPr="00BC5B69">
              <w:rPr>
                <w:rFonts w:eastAsiaTheme="minorHAnsi"/>
                <w:sz w:val="20"/>
                <w:szCs w:val="20"/>
                <w:lang w:val="en-US" w:eastAsia="en-US"/>
              </w:rPr>
              <w:t xml:space="preserve">Malnutrition </w:t>
            </w:r>
          </w:p>
        </w:tc>
        <w:tc>
          <w:tcPr>
            <w:tcW w:w="1277" w:type="dxa"/>
          </w:tcPr>
          <w:p w14:paraId="776DEEFB"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 xml:space="preserve">1.8 </w:t>
            </w:r>
            <w:r w:rsidRPr="00BC5B69">
              <w:rPr>
                <w:rFonts w:eastAsia="Calibri"/>
                <w:sz w:val="20"/>
                <w:szCs w:val="20"/>
                <w:lang w:val="en-US" w:eastAsia="en-US"/>
              </w:rPr>
              <w:t>(%)</w:t>
            </w:r>
          </w:p>
        </w:tc>
        <w:tc>
          <w:tcPr>
            <w:tcW w:w="3826" w:type="dxa"/>
          </w:tcPr>
          <w:p w14:paraId="4F760C91" w14:textId="77777777" w:rsidR="00BC5B69" w:rsidRPr="00BC5B69" w:rsidRDefault="00BC5B69" w:rsidP="00BC5B69">
            <w:pPr>
              <w:numPr>
                <w:ilvl w:val="0"/>
                <w:numId w:val="2"/>
              </w:num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BMI (SD)</w:t>
            </w:r>
          </w:p>
        </w:tc>
        <w:tc>
          <w:tcPr>
            <w:tcW w:w="1275" w:type="dxa"/>
          </w:tcPr>
          <w:p w14:paraId="7ECCFA67"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27.03(8.61)</w:t>
            </w:r>
          </w:p>
        </w:tc>
      </w:tr>
      <w:tr w:rsidR="00BC5B69" w:rsidRPr="00BC5B69" w14:paraId="39CA8843"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1519723C" w14:textId="77777777" w:rsidR="00BC5B69" w:rsidRPr="00BC5B69" w:rsidRDefault="00BC5B69" w:rsidP="00BC5B69">
            <w:pPr>
              <w:numPr>
                <w:ilvl w:val="0"/>
                <w:numId w:val="2"/>
              </w:numPr>
              <w:spacing w:after="160" w:line="276" w:lineRule="auto"/>
              <w:contextualSpacing/>
              <w:rPr>
                <w:rFonts w:eastAsiaTheme="minorHAnsi"/>
                <w:sz w:val="20"/>
                <w:szCs w:val="20"/>
                <w:lang w:val="en-US" w:eastAsia="en-US"/>
              </w:rPr>
            </w:pPr>
            <w:r w:rsidRPr="00BC5B69">
              <w:rPr>
                <w:rFonts w:eastAsiaTheme="minorHAnsi"/>
                <w:sz w:val="20"/>
                <w:szCs w:val="20"/>
                <w:lang w:val="en-US" w:eastAsia="en-US"/>
              </w:rPr>
              <w:t>BADL (SD)</w:t>
            </w:r>
          </w:p>
        </w:tc>
        <w:tc>
          <w:tcPr>
            <w:tcW w:w="1277" w:type="dxa"/>
          </w:tcPr>
          <w:p w14:paraId="0C4028B0"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92.62(12.1)</w:t>
            </w:r>
          </w:p>
        </w:tc>
        <w:tc>
          <w:tcPr>
            <w:tcW w:w="3826" w:type="dxa"/>
          </w:tcPr>
          <w:p w14:paraId="1465A6F5" w14:textId="77777777" w:rsidR="00BC5B69" w:rsidRPr="00BC5B69" w:rsidRDefault="00BC5B69" w:rsidP="00BC5B69">
            <w:pPr>
              <w:numPr>
                <w:ilvl w:val="0"/>
                <w:numId w:val="2"/>
              </w:num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IADL (SD)</w:t>
            </w:r>
          </w:p>
        </w:tc>
        <w:tc>
          <w:tcPr>
            <w:tcW w:w="1275" w:type="dxa"/>
          </w:tcPr>
          <w:p w14:paraId="1AC2AF44"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17.89(5.88)</w:t>
            </w:r>
          </w:p>
        </w:tc>
      </w:tr>
      <w:tr w:rsidR="00BC5B69" w:rsidRPr="00BC5B69" w14:paraId="37A9A956"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29DA53E6" w14:textId="77777777" w:rsidR="00BC5B69" w:rsidRPr="00BC5B69" w:rsidRDefault="00BC5B69" w:rsidP="00BC5B69">
            <w:pPr>
              <w:numPr>
                <w:ilvl w:val="0"/>
                <w:numId w:val="2"/>
              </w:numPr>
              <w:spacing w:after="160" w:line="276" w:lineRule="auto"/>
              <w:contextualSpacing/>
              <w:rPr>
                <w:rFonts w:eastAsiaTheme="minorHAnsi"/>
                <w:sz w:val="20"/>
                <w:szCs w:val="20"/>
                <w:lang w:val="en-US" w:eastAsia="en-US"/>
              </w:rPr>
            </w:pPr>
            <w:r w:rsidRPr="00BC5B69">
              <w:rPr>
                <w:rFonts w:eastAsiaTheme="minorHAnsi"/>
                <w:sz w:val="20"/>
                <w:szCs w:val="20"/>
                <w:lang w:val="en-US" w:eastAsia="en-US"/>
              </w:rPr>
              <w:t>MMSE (SD)</w:t>
            </w:r>
          </w:p>
        </w:tc>
        <w:tc>
          <w:tcPr>
            <w:tcW w:w="1277" w:type="dxa"/>
          </w:tcPr>
          <w:p w14:paraId="37D16510"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22.92 (7.1)</w:t>
            </w:r>
          </w:p>
        </w:tc>
        <w:tc>
          <w:tcPr>
            <w:tcW w:w="3826" w:type="dxa"/>
          </w:tcPr>
          <w:p w14:paraId="771EEDBA"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p>
        </w:tc>
        <w:tc>
          <w:tcPr>
            <w:tcW w:w="1275" w:type="dxa"/>
          </w:tcPr>
          <w:p w14:paraId="7892ED61"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p>
        </w:tc>
      </w:tr>
      <w:tr w:rsidR="00BC5B69" w:rsidRPr="00BC5B69" w14:paraId="4F927268"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01" w:type="dxa"/>
            <w:gridSpan w:val="4"/>
          </w:tcPr>
          <w:p w14:paraId="02D20EE7" w14:textId="77777777" w:rsidR="00BC5B69" w:rsidRPr="00BC5B69" w:rsidRDefault="00BC5B69" w:rsidP="00BC5B69">
            <w:pPr>
              <w:spacing w:after="160" w:line="276" w:lineRule="auto"/>
              <w:rPr>
                <w:rFonts w:eastAsiaTheme="minorHAnsi"/>
                <w:sz w:val="20"/>
                <w:szCs w:val="20"/>
                <w:lang w:val="en-US" w:eastAsia="en-US"/>
              </w:rPr>
            </w:pPr>
            <w:r w:rsidRPr="00BC5B69">
              <w:rPr>
                <w:rFonts w:eastAsiaTheme="minorHAnsi"/>
                <w:sz w:val="20"/>
                <w:szCs w:val="20"/>
                <w:lang w:val="en-US" w:eastAsia="en-US"/>
              </w:rPr>
              <w:t xml:space="preserve">Laboratory findings </w:t>
            </w:r>
          </w:p>
        </w:tc>
      </w:tr>
      <w:tr w:rsidR="00BC5B69" w:rsidRPr="00BC5B69" w14:paraId="7EB67300" w14:textId="77777777" w:rsidTr="00BC5B69">
        <w:trPr>
          <w:trHeight w:val="340"/>
        </w:trPr>
        <w:tc>
          <w:tcPr>
            <w:cnfStyle w:val="001000000000" w:firstRow="0" w:lastRow="0" w:firstColumn="1" w:lastColumn="0" w:oddVBand="0" w:evenVBand="0" w:oddHBand="0" w:evenHBand="0" w:firstRowFirstColumn="0" w:firstRowLastColumn="0" w:lastRowFirstColumn="0" w:lastRowLastColumn="0"/>
            <w:tcW w:w="3823" w:type="dxa"/>
          </w:tcPr>
          <w:p w14:paraId="403BEC5B" w14:textId="77777777" w:rsidR="00BC5B69" w:rsidRPr="00BC5B69" w:rsidRDefault="00BC5B69" w:rsidP="00BC5B69">
            <w:pPr>
              <w:numPr>
                <w:ilvl w:val="0"/>
                <w:numId w:val="2"/>
              </w:numPr>
              <w:spacing w:after="160" w:line="276" w:lineRule="auto"/>
              <w:contextualSpacing/>
              <w:rPr>
                <w:rFonts w:eastAsiaTheme="minorHAnsi"/>
                <w:sz w:val="20"/>
                <w:szCs w:val="20"/>
                <w:lang w:val="en-US" w:eastAsia="en-US"/>
              </w:rPr>
            </w:pPr>
            <w:r w:rsidRPr="00BC5B69">
              <w:rPr>
                <w:rFonts w:eastAsiaTheme="minorHAnsi"/>
                <w:sz w:val="20"/>
                <w:szCs w:val="20"/>
                <w:lang w:val="en-US" w:eastAsia="en-US"/>
              </w:rPr>
              <w:t>Vitamin D (ng/mL) (SD)</w:t>
            </w:r>
          </w:p>
        </w:tc>
        <w:tc>
          <w:tcPr>
            <w:tcW w:w="1277" w:type="dxa"/>
          </w:tcPr>
          <w:p w14:paraId="55E7311B"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25.8(10.1)</w:t>
            </w:r>
          </w:p>
        </w:tc>
        <w:tc>
          <w:tcPr>
            <w:tcW w:w="3826" w:type="dxa"/>
          </w:tcPr>
          <w:p w14:paraId="2153AEAE" w14:textId="77777777" w:rsidR="00BC5B69" w:rsidRPr="00BC5B69" w:rsidRDefault="00BC5B69" w:rsidP="00BC5B69">
            <w:pPr>
              <w:numPr>
                <w:ilvl w:val="0"/>
                <w:numId w:val="2"/>
              </w:numPr>
              <w:spacing w:after="160" w:line="276" w:lineRule="auto"/>
              <w:contextualSpacing/>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Vitamin B12 (</w:t>
            </w:r>
            <w:proofErr w:type="spellStart"/>
            <w:r w:rsidRPr="00BC5B69">
              <w:rPr>
                <w:rFonts w:eastAsiaTheme="minorHAnsi"/>
                <w:sz w:val="20"/>
                <w:szCs w:val="20"/>
                <w:lang w:val="en-US" w:eastAsia="en-US"/>
              </w:rPr>
              <w:t>pg</w:t>
            </w:r>
            <w:proofErr w:type="spellEnd"/>
            <w:r w:rsidRPr="00BC5B69">
              <w:rPr>
                <w:rFonts w:eastAsiaTheme="minorHAnsi"/>
                <w:sz w:val="20"/>
                <w:szCs w:val="20"/>
                <w:lang w:val="en-US" w:eastAsia="en-US"/>
              </w:rPr>
              <w:t>/mL) (SD)</w:t>
            </w:r>
          </w:p>
        </w:tc>
        <w:tc>
          <w:tcPr>
            <w:tcW w:w="1275" w:type="dxa"/>
          </w:tcPr>
          <w:p w14:paraId="226102D5" w14:textId="77777777" w:rsidR="00BC5B69" w:rsidRPr="00BC5B69" w:rsidRDefault="00BC5B69" w:rsidP="00BC5B69">
            <w:pPr>
              <w:spacing w:after="160" w:line="276"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405.7(281)</w:t>
            </w:r>
          </w:p>
        </w:tc>
      </w:tr>
      <w:tr w:rsidR="00BC5B69" w:rsidRPr="00BC5B69" w14:paraId="4BFC924D" w14:textId="77777777" w:rsidTr="00BC5B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3" w:type="dxa"/>
          </w:tcPr>
          <w:p w14:paraId="3866CE19" w14:textId="77777777" w:rsidR="00BC5B69" w:rsidRPr="00BC5B69" w:rsidRDefault="00BC5B69" w:rsidP="00BC5B69">
            <w:pPr>
              <w:numPr>
                <w:ilvl w:val="0"/>
                <w:numId w:val="2"/>
              </w:numPr>
              <w:spacing w:after="160" w:line="276" w:lineRule="auto"/>
              <w:contextualSpacing/>
              <w:rPr>
                <w:rFonts w:eastAsiaTheme="minorHAnsi"/>
                <w:sz w:val="20"/>
                <w:szCs w:val="20"/>
                <w:lang w:val="en-US" w:eastAsia="en-US"/>
              </w:rPr>
            </w:pPr>
            <w:r w:rsidRPr="00BC5B69">
              <w:rPr>
                <w:rFonts w:eastAsiaTheme="minorHAnsi"/>
                <w:sz w:val="20"/>
                <w:szCs w:val="20"/>
                <w:lang w:val="en-US" w:eastAsia="en-US"/>
              </w:rPr>
              <w:t>GFR (CKD-EPI) (SD)</w:t>
            </w:r>
          </w:p>
        </w:tc>
        <w:tc>
          <w:tcPr>
            <w:tcW w:w="1277" w:type="dxa"/>
          </w:tcPr>
          <w:p w14:paraId="5AFD5BBD"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74.8(17.1)</w:t>
            </w:r>
          </w:p>
        </w:tc>
        <w:tc>
          <w:tcPr>
            <w:tcW w:w="3826" w:type="dxa"/>
          </w:tcPr>
          <w:p w14:paraId="44B54684" w14:textId="77777777" w:rsidR="00BC5B69" w:rsidRPr="00BC5B69" w:rsidRDefault="00BC5B69" w:rsidP="00BC5B69">
            <w:pPr>
              <w:numPr>
                <w:ilvl w:val="0"/>
                <w:numId w:val="2"/>
              </w:numPr>
              <w:spacing w:after="160" w:line="276" w:lineRule="auto"/>
              <w:contextualSpacing/>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Folate (ng/mL) (SD)</w:t>
            </w:r>
          </w:p>
        </w:tc>
        <w:tc>
          <w:tcPr>
            <w:tcW w:w="1275" w:type="dxa"/>
          </w:tcPr>
          <w:p w14:paraId="795EFC28" w14:textId="77777777" w:rsidR="00BC5B69" w:rsidRPr="00BC5B69" w:rsidRDefault="00BC5B69" w:rsidP="00BC5B69">
            <w:pPr>
              <w:spacing w:after="160" w:line="276" w:lineRule="auto"/>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9.76(4.86)</w:t>
            </w:r>
          </w:p>
        </w:tc>
      </w:tr>
    </w:tbl>
    <w:p w14:paraId="21960D71" w14:textId="77777777" w:rsidR="00BC5B69" w:rsidRDefault="00BC5B69" w:rsidP="00BC5B69">
      <w:pPr>
        <w:spacing w:after="160" w:line="259" w:lineRule="auto"/>
        <w:rPr>
          <w:rFonts w:eastAsiaTheme="minorHAnsi"/>
          <w:sz w:val="16"/>
          <w:szCs w:val="16"/>
          <w:lang w:val="en-US" w:eastAsia="en-US"/>
        </w:rPr>
      </w:pPr>
    </w:p>
    <w:p w14:paraId="10599F6C" w14:textId="338572E8" w:rsidR="00BC5B69" w:rsidRPr="00BC5B69" w:rsidRDefault="00BC5B69" w:rsidP="00BC5B69">
      <w:pPr>
        <w:spacing w:after="160" w:line="259" w:lineRule="auto"/>
        <w:rPr>
          <w:rFonts w:eastAsiaTheme="minorHAnsi"/>
          <w:b/>
          <w:sz w:val="16"/>
          <w:szCs w:val="16"/>
          <w:lang w:val="en-US" w:eastAsia="en-US"/>
        </w:rPr>
      </w:pPr>
      <w:r w:rsidRPr="00BC5B69">
        <w:rPr>
          <w:rFonts w:eastAsiaTheme="minorHAnsi"/>
          <w:sz w:val="16"/>
          <w:szCs w:val="16"/>
          <w:lang w:val="en-US" w:eastAsia="en-US"/>
        </w:rPr>
        <w:t>BADL: Basic Activities of Daily Living, BMI: Body mass index, GFR: Glomerular filtration rate, GDS: Geriatric depression score, IADL: Instrumental Activities of Daily Living, POMA: Performance-Oriented Mobility Assessment</w:t>
      </w:r>
    </w:p>
    <w:p w14:paraId="5945B658" w14:textId="77777777" w:rsidR="00BC5B69" w:rsidRPr="00BC5B69" w:rsidRDefault="00BC5B69" w:rsidP="00BC5B69">
      <w:pPr>
        <w:spacing w:after="160" w:line="259" w:lineRule="auto"/>
        <w:rPr>
          <w:rFonts w:eastAsiaTheme="minorHAnsi"/>
          <w:b/>
          <w:lang w:val="en-US" w:eastAsia="en-US"/>
        </w:rPr>
      </w:pPr>
    </w:p>
    <w:p w14:paraId="62712C14" w14:textId="77777777" w:rsidR="00BC5B69" w:rsidRPr="00BC5B69" w:rsidRDefault="00BC5B69" w:rsidP="00BC5B69">
      <w:pPr>
        <w:spacing w:after="160" w:line="259" w:lineRule="auto"/>
        <w:rPr>
          <w:rFonts w:eastAsiaTheme="minorHAnsi"/>
          <w:b/>
          <w:lang w:val="en-US" w:eastAsia="en-US"/>
        </w:rPr>
      </w:pPr>
    </w:p>
    <w:p w14:paraId="2AB4DA80" w14:textId="77777777" w:rsidR="00BC5B69" w:rsidRPr="00BC5B69" w:rsidRDefault="00BC5B69" w:rsidP="00BC5B69">
      <w:pPr>
        <w:spacing w:after="160" w:line="259" w:lineRule="auto"/>
        <w:rPr>
          <w:rFonts w:eastAsiaTheme="minorHAnsi"/>
          <w:b/>
          <w:lang w:val="en-US" w:eastAsia="en-US"/>
        </w:rPr>
      </w:pPr>
    </w:p>
    <w:p w14:paraId="772F352A" w14:textId="77777777" w:rsidR="00BC5B69" w:rsidRPr="00BC5B69" w:rsidRDefault="00BC5B69" w:rsidP="00BC5B69">
      <w:pPr>
        <w:spacing w:after="160" w:line="259" w:lineRule="auto"/>
        <w:rPr>
          <w:rFonts w:eastAsiaTheme="minorHAnsi"/>
          <w:b/>
          <w:lang w:val="en-US" w:eastAsia="en-US"/>
        </w:rPr>
      </w:pPr>
    </w:p>
    <w:p w14:paraId="69179633" w14:textId="77777777" w:rsidR="00BC5B69" w:rsidRPr="00BC5B69" w:rsidRDefault="00BC5B69" w:rsidP="00BC5B69">
      <w:pPr>
        <w:spacing w:after="160" w:line="259" w:lineRule="auto"/>
        <w:rPr>
          <w:rFonts w:eastAsiaTheme="minorHAnsi"/>
          <w:b/>
          <w:lang w:val="en-US" w:eastAsia="en-US"/>
        </w:rPr>
      </w:pPr>
    </w:p>
    <w:p w14:paraId="48EA0BCD" w14:textId="77777777" w:rsidR="00BC5B69" w:rsidRPr="00BC5B69" w:rsidRDefault="00BC5B69" w:rsidP="00BC5B69">
      <w:pPr>
        <w:spacing w:after="160" w:line="259" w:lineRule="auto"/>
        <w:rPr>
          <w:rFonts w:eastAsiaTheme="minorHAnsi"/>
          <w:b/>
          <w:lang w:val="en-US" w:eastAsia="en-US"/>
        </w:rPr>
      </w:pPr>
    </w:p>
    <w:p w14:paraId="5070D692" w14:textId="77777777" w:rsidR="00BC5B69" w:rsidRDefault="00BC5B69" w:rsidP="00BC5B69">
      <w:pPr>
        <w:spacing w:after="160" w:line="259" w:lineRule="auto"/>
        <w:rPr>
          <w:rFonts w:eastAsiaTheme="minorHAnsi"/>
          <w:b/>
          <w:lang w:val="en-US" w:eastAsia="en-US"/>
        </w:rPr>
        <w:sectPr w:rsidR="00BC5B69">
          <w:footerReference w:type="even" r:id="rId8"/>
          <w:footerReference w:type="default" r:id="rId9"/>
          <w:pgSz w:w="11906" w:h="16838"/>
          <w:pgMar w:top="1417" w:right="1417" w:bottom="1417" w:left="1417" w:header="708" w:footer="708" w:gutter="0"/>
          <w:cols w:space="708"/>
          <w:docGrid w:linePitch="360"/>
        </w:sectPr>
      </w:pPr>
    </w:p>
    <w:p w14:paraId="767671C9" w14:textId="77777777" w:rsidR="00BC5B69" w:rsidRPr="00BC5B69" w:rsidRDefault="00BC5B69" w:rsidP="00BC5B69">
      <w:pPr>
        <w:tabs>
          <w:tab w:val="left" w:pos="1418"/>
        </w:tabs>
        <w:spacing w:after="160" w:line="259" w:lineRule="auto"/>
        <w:ind w:left="-142" w:right="-1022"/>
        <w:rPr>
          <w:rFonts w:eastAsiaTheme="minorHAnsi"/>
          <w:b/>
          <w:lang w:val="en-US" w:eastAsia="en-US"/>
        </w:rPr>
      </w:pPr>
      <w:r w:rsidRPr="00BC5B69">
        <w:rPr>
          <w:rFonts w:eastAsiaTheme="minorHAnsi"/>
          <w:b/>
          <w:lang w:val="en-US" w:eastAsia="en-US"/>
        </w:rPr>
        <w:lastRenderedPageBreak/>
        <w:t xml:space="preserve">Table 2. Odds ratios for falling risk factors </w:t>
      </w:r>
    </w:p>
    <w:tbl>
      <w:tblPr>
        <w:tblStyle w:val="TableGrid"/>
        <w:tblW w:w="16018" w:type="dxa"/>
        <w:jc w:val="center"/>
        <w:tblBorders>
          <w:insideH w:val="single" w:sz="6" w:space="0" w:color="auto"/>
          <w:insideV w:val="single" w:sz="6" w:space="0" w:color="auto"/>
        </w:tblBorders>
        <w:tblLayout w:type="fixed"/>
        <w:tblLook w:val="04A0" w:firstRow="1" w:lastRow="0" w:firstColumn="1" w:lastColumn="0" w:noHBand="0" w:noVBand="1"/>
      </w:tblPr>
      <w:tblGrid>
        <w:gridCol w:w="1839"/>
        <w:gridCol w:w="1277"/>
        <w:gridCol w:w="1276"/>
        <w:gridCol w:w="991"/>
        <w:gridCol w:w="1278"/>
        <w:gridCol w:w="1277"/>
        <w:gridCol w:w="992"/>
        <w:gridCol w:w="1276"/>
        <w:gridCol w:w="1276"/>
        <w:gridCol w:w="992"/>
        <w:gridCol w:w="1276"/>
        <w:gridCol w:w="1276"/>
        <w:gridCol w:w="992"/>
      </w:tblGrid>
      <w:tr w:rsidR="00BC5B69" w:rsidRPr="00BC5B69" w14:paraId="7A063C5E" w14:textId="77777777" w:rsidTr="00BC5B69">
        <w:trPr>
          <w:trHeight w:val="340"/>
          <w:jc w:val="center"/>
        </w:trPr>
        <w:tc>
          <w:tcPr>
            <w:tcW w:w="1839" w:type="dxa"/>
            <w:vMerge w:val="restart"/>
            <w:vAlign w:val="center"/>
          </w:tcPr>
          <w:p w14:paraId="38F8233B" w14:textId="77777777" w:rsidR="00BC5B69" w:rsidRPr="00BC5B69" w:rsidRDefault="00BC5B69" w:rsidP="00BC5B69">
            <w:pPr>
              <w:rPr>
                <w:rFonts w:eastAsiaTheme="minorHAnsi"/>
                <w:b/>
                <w:sz w:val="16"/>
                <w:szCs w:val="16"/>
                <w:lang w:val="en-US" w:eastAsia="en-US"/>
              </w:rPr>
            </w:pPr>
          </w:p>
        </w:tc>
        <w:tc>
          <w:tcPr>
            <w:tcW w:w="3544" w:type="dxa"/>
            <w:gridSpan w:val="3"/>
          </w:tcPr>
          <w:p w14:paraId="226C67F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Risk of falling according to   Fall history</w:t>
            </w:r>
          </w:p>
        </w:tc>
        <w:tc>
          <w:tcPr>
            <w:tcW w:w="3547" w:type="dxa"/>
            <w:gridSpan w:val="3"/>
          </w:tcPr>
          <w:p w14:paraId="33DD979F"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Risk of falling according to POMA score</w:t>
            </w:r>
          </w:p>
        </w:tc>
        <w:tc>
          <w:tcPr>
            <w:tcW w:w="3544" w:type="dxa"/>
            <w:gridSpan w:val="3"/>
          </w:tcPr>
          <w:p w14:paraId="570E7245"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Risk of falling according to Timed up and go test</w:t>
            </w:r>
          </w:p>
        </w:tc>
        <w:tc>
          <w:tcPr>
            <w:tcW w:w="3544" w:type="dxa"/>
            <w:gridSpan w:val="3"/>
          </w:tcPr>
          <w:p w14:paraId="6042B428"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Risk of falling according to Lower walking speed</w:t>
            </w:r>
          </w:p>
        </w:tc>
      </w:tr>
      <w:tr w:rsidR="00BC5B69" w:rsidRPr="00BC5B69" w14:paraId="05A2D965" w14:textId="77777777" w:rsidTr="00BC5B69">
        <w:trPr>
          <w:trHeight w:val="340"/>
          <w:jc w:val="center"/>
        </w:trPr>
        <w:tc>
          <w:tcPr>
            <w:tcW w:w="1839" w:type="dxa"/>
            <w:vMerge/>
            <w:tcBorders>
              <w:bottom w:val="single" w:sz="6" w:space="0" w:color="auto"/>
            </w:tcBorders>
          </w:tcPr>
          <w:p w14:paraId="5C46DA2F" w14:textId="77777777" w:rsidR="00BC5B69" w:rsidRPr="00BC5B69" w:rsidRDefault="00BC5B69" w:rsidP="00BC5B69">
            <w:pPr>
              <w:rPr>
                <w:rFonts w:eastAsiaTheme="minorHAnsi"/>
                <w:sz w:val="16"/>
                <w:szCs w:val="16"/>
                <w:lang w:val="en-US" w:eastAsia="en-US"/>
              </w:rPr>
            </w:pPr>
          </w:p>
        </w:tc>
        <w:tc>
          <w:tcPr>
            <w:tcW w:w="1277" w:type="dxa"/>
            <w:tcBorders>
              <w:right w:val="single" w:sz="6" w:space="0" w:color="FFFFFF" w:themeColor="background1"/>
            </w:tcBorders>
          </w:tcPr>
          <w:p w14:paraId="252D169E"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Coefficient</w:t>
            </w:r>
          </w:p>
          <w:p w14:paraId="4DC96132" w14:textId="77777777" w:rsidR="00BC5B69" w:rsidRPr="00BC5B69" w:rsidRDefault="00BC5B69" w:rsidP="00BC5B69">
            <w:pPr>
              <w:jc w:val="center"/>
              <w:rPr>
                <w:rFonts w:eastAsiaTheme="minorHAnsi"/>
                <w:b/>
                <w:sz w:val="16"/>
                <w:szCs w:val="16"/>
                <w:lang w:val="en-US" w:eastAsia="en-US"/>
              </w:rPr>
            </w:pPr>
          </w:p>
        </w:tc>
        <w:tc>
          <w:tcPr>
            <w:tcW w:w="1276" w:type="dxa"/>
            <w:tcBorders>
              <w:left w:val="single" w:sz="6" w:space="0" w:color="FFFFFF" w:themeColor="background1"/>
              <w:right w:val="single" w:sz="6" w:space="0" w:color="FFFFFF" w:themeColor="background1"/>
            </w:tcBorders>
          </w:tcPr>
          <w:p w14:paraId="41A2A50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Odds ratio</w:t>
            </w:r>
          </w:p>
        </w:tc>
        <w:tc>
          <w:tcPr>
            <w:tcW w:w="991" w:type="dxa"/>
            <w:tcBorders>
              <w:left w:val="single" w:sz="6" w:space="0" w:color="FFFFFF" w:themeColor="background1"/>
            </w:tcBorders>
          </w:tcPr>
          <w:p w14:paraId="17A23D5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P value</w:t>
            </w:r>
          </w:p>
        </w:tc>
        <w:tc>
          <w:tcPr>
            <w:tcW w:w="1278" w:type="dxa"/>
            <w:tcBorders>
              <w:right w:val="single" w:sz="6" w:space="0" w:color="FFFFFF" w:themeColor="background1"/>
            </w:tcBorders>
          </w:tcPr>
          <w:p w14:paraId="4618CC43"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Coefficient</w:t>
            </w:r>
          </w:p>
        </w:tc>
        <w:tc>
          <w:tcPr>
            <w:tcW w:w="1277" w:type="dxa"/>
            <w:tcBorders>
              <w:left w:val="single" w:sz="6" w:space="0" w:color="FFFFFF" w:themeColor="background1"/>
              <w:right w:val="single" w:sz="6" w:space="0" w:color="FFFFFF" w:themeColor="background1"/>
            </w:tcBorders>
          </w:tcPr>
          <w:p w14:paraId="4060F803"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Odds ratio</w:t>
            </w:r>
          </w:p>
        </w:tc>
        <w:tc>
          <w:tcPr>
            <w:tcW w:w="992" w:type="dxa"/>
            <w:tcBorders>
              <w:left w:val="single" w:sz="6" w:space="0" w:color="FFFFFF" w:themeColor="background1"/>
            </w:tcBorders>
          </w:tcPr>
          <w:p w14:paraId="6317647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P value</w:t>
            </w:r>
          </w:p>
        </w:tc>
        <w:tc>
          <w:tcPr>
            <w:tcW w:w="1276" w:type="dxa"/>
            <w:tcBorders>
              <w:right w:val="single" w:sz="6" w:space="0" w:color="FFFFFF" w:themeColor="background1"/>
            </w:tcBorders>
          </w:tcPr>
          <w:p w14:paraId="137690E9"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Coefficient</w:t>
            </w:r>
          </w:p>
        </w:tc>
        <w:tc>
          <w:tcPr>
            <w:tcW w:w="1276" w:type="dxa"/>
            <w:tcBorders>
              <w:left w:val="single" w:sz="6" w:space="0" w:color="FFFFFF" w:themeColor="background1"/>
              <w:right w:val="single" w:sz="6" w:space="0" w:color="FFFFFF" w:themeColor="background1"/>
            </w:tcBorders>
          </w:tcPr>
          <w:p w14:paraId="46A20666"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Odds ratio</w:t>
            </w:r>
          </w:p>
        </w:tc>
        <w:tc>
          <w:tcPr>
            <w:tcW w:w="992" w:type="dxa"/>
            <w:tcBorders>
              <w:left w:val="single" w:sz="6" w:space="0" w:color="FFFFFF" w:themeColor="background1"/>
            </w:tcBorders>
          </w:tcPr>
          <w:p w14:paraId="50DC4308"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P value</w:t>
            </w:r>
          </w:p>
        </w:tc>
        <w:tc>
          <w:tcPr>
            <w:tcW w:w="1276" w:type="dxa"/>
            <w:tcBorders>
              <w:right w:val="single" w:sz="6" w:space="0" w:color="FFFFFF" w:themeColor="background1"/>
            </w:tcBorders>
          </w:tcPr>
          <w:p w14:paraId="2D046AC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Coefficient</w:t>
            </w:r>
          </w:p>
        </w:tc>
        <w:tc>
          <w:tcPr>
            <w:tcW w:w="1276" w:type="dxa"/>
            <w:tcBorders>
              <w:left w:val="single" w:sz="6" w:space="0" w:color="FFFFFF" w:themeColor="background1"/>
              <w:right w:val="single" w:sz="6" w:space="0" w:color="FFFFFF" w:themeColor="background1"/>
            </w:tcBorders>
          </w:tcPr>
          <w:p w14:paraId="1D819BE8"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Odds ratio</w:t>
            </w:r>
          </w:p>
        </w:tc>
        <w:tc>
          <w:tcPr>
            <w:tcW w:w="992" w:type="dxa"/>
            <w:tcBorders>
              <w:left w:val="single" w:sz="6" w:space="0" w:color="FFFFFF" w:themeColor="background1"/>
            </w:tcBorders>
          </w:tcPr>
          <w:p w14:paraId="1046C29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P value</w:t>
            </w:r>
          </w:p>
        </w:tc>
      </w:tr>
      <w:tr w:rsidR="00BC5B69" w:rsidRPr="00BC5B69" w14:paraId="41017943" w14:textId="77777777" w:rsidTr="00BC5B69">
        <w:trPr>
          <w:trHeight w:val="340"/>
          <w:jc w:val="center"/>
        </w:trPr>
        <w:tc>
          <w:tcPr>
            <w:tcW w:w="1839" w:type="dxa"/>
            <w:tcBorders>
              <w:top w:val="single" w:sz="6" w:space="0" w:color="auto"/>
            </w:tcBorders>
            <w:vAlign w:val="center"/>
          </w:tcPr>
          <w:p w14:paraId="537AAB51"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Hypertension</w:t>
            </w:r>
          </w:p>
        </w:tc>
        <w:tc>
          <w:tcPr>
            <w:tcW w:w="1277" w:type="dxa"/>
            <w:tcBorders>
              <w:right w:val="single" w:sz="6" w:space="0" w:color="FFFFFF" w:themeColor="background1"/>
            </w:tcBorders>
            <w:shd w:val="clear" w:color="auto" w:fill="auto"/>
          </w:tcPr>
          <w:p w14:paraId="240B220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0.353</w:t>
            </w:r>
          </w:p>
        </w:tc>
        <w:tc>
          <w:tcPr>
            <w:tcW w:w="1276" w:type="dxa"/>
            <w:tcBorders>
              <w:left w:val="single" w:sz="6" w:space="0" w:color="FFFFFF" w:themeColor="background1"/>
              <w:right w:val="single" w:sz="6" w:space="0" w:color="FFFFFF" w:themeColor="background1"/>
            </w:tcBorders>
            <w:shd w:val="clear" w:color="auto" w:fill="auto"/>
          </w:tcPr>
          <w:p w14:paraId="5A25846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1.423</w:t>
            </w:r>
          </w:p>
        </w:tc>
        <w:tc>
          <w:tcPr>
            <w:tcW w:w="991" w:type="dxa"/>
            <w:tcBorders>
              <w:left w:val="single" w:sz="6" w:space="0" w:color="FFFFFF" w:themeColor="background1"/>
            </w:tcBorders>
            <w:shd w:val="clear" w:color="auto" w:fill="auto"/>
          </w:tcPr>
          <w:p w14:paraId="6C55CBD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0.192</w:t>
            </w:r>
          </w:p>
        </w:tc>
        <w:tc>
          <w:tcPr>
            <w:tcW w:w="1278" w:type="dxa"/>
            <w:tcBorders>
              <w:right w:val="single" w:sz="6" w:space="0" w:color="FFFFFF" w:themeColor="background1"/>
            </w:tcBorders>
            <w:shd w:val="clear" w:color="auto" w:fill="auto"/>
          </w:tcPr>
          <w:p w14:paraId="327A088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-0.398</w:t>
            </w:r>
          </w:p>
        </w:tc>
        <w:tc>
          <w:tcPr>
            <w:tcW w:w="1277" w:type="dxa"/>
            <w:tcBorders>
              <w:left w:val="single" w:sz="6" w:space="0" w:color="FFFFFF" w:themeColor="background1"/>
              <w:right w:val="single" w:sz="6" w:space="0" w:color="FFFFFF" w:themeColor="background1"/>
            </w:tcBorders>
            <w:shd w:val="clear" w:color="auto" w:fill="auto"/>
          </w:tcPr>
          <w:p w14:paraId="0EA685B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0.672</w:t>
            </w:r>
          </w:p>
        </w:tc>
        <w:tc>
          <w:tcPr>
            <w:tcW w:w="992" w:type="dxa"/>
            <w:tcBorders>
              <w:left w:val="single" w:sz="6" w:space="0" w:color="FFFFFF" w:themeColor="background1"/>
            </w:tcBorders>
            <w:shd w:val="clear" w:color="auto" w:fill="auto"/>
          </w:tcPr>
          <w:p w14:paraId="25640FA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0.414</w:t>
            </w:r>
          </w:p>
        </w:tc>
        <w:tc>
          <w:tcPr>
            <w:tcW w:w="1276" w:type="dxa"/>
            <w:tcBorders>
              <w:right w:val="single" w:sz="6" w:space="0" w:color="FFFFFF" w:themeColor="background1"/>
            </w:tcBorders>
            <w:shd w:val="clear" w:color="auto" w:fill="auto"/>
          </w:tcPr>
          <w:p w14:paraId="0AB840A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-0.007</w:t>
            </w:r>
          </w:p>
        </w:tc>
        <w:tc>
          <w:tcPr>
            <w:tcW w:w="1276" w:type="dxa"/>
            <w:tcBorders>
              <w:left w:val="single" w:sz="6" w:space="0" w:color="FFFFFF" w:themeColor="background1"/>
              <w:right w:val="single" w:sz="6" w:space="0" w:color="FFFFFF" w:themeColor="background1"/>
            </w:tcBorders>
            <w:shd w:val="clear" w:color="auto" w:fill="auto"/>
          </w:tcPr>
          <w:p w14:paraId="5995CE4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0.993</w:t>
            </w:r>
          </w:p>
        </w:tc>
        <w:tc>
          <w:tcPr>
            <w:tcW w:w="992" w:type="dxa"/>
            <w:tcBorders>
              <w:left w:val="single" w:sz="6" w:space="0" w:color="FFFFFF" w:themeColor="background1"/>
            </w:tcBorders>
            <w:shd w:val="clear" w:color="auto" w:fill="auto"/>
          </w:tcPr>
          <w:p w14:paraId="6316E0F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0.981</w:t>
            </w:r>
          </w:p>
        </w:tc>
        <w:tc>
          <w:tcPr>
            <w:tcW w:w="1276" w:type="dxa"/>
            <w:tcBorders>
              <w:right w:val="single" w:sz="6" w:space="0" w:color="FFFFFF" w:themeColor="background1"/>
            </w:tcBorders>
            <w:shd w:val="clear" w:color="auto" w:fill="auto"/>
          </w:tcPr>
          <w:p w14:paraId="7FC2456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-0.550</w:t>
            </w:r>
          </w:p>
        </w:tc>
        <w:tc>
          <w:tcPr>
            <w:tcW w:w="1276" w:type="dxa"/>
            <w:tcBorders>
              <w:left w:val="single" w:sz="6" w:space="0" w:color="FFFFFF" w:themeColor="background1"/>
              <w:right w:val="single" w:sz="6" w:space="0" w:color="FFFFFF" w:themeColor="background1"/>
            </w:tcBorders>
            <w:shd w:val="clear" w:color="auto" w:fill="auto"/>
          </w:tcPr>
          <w:p w14:paraId="5AECF45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0.577</w:t>
            </w:r>
          </w:p>
        </w:tc>
        <w:tc>
          <w:tcPr>
            <w:tcW w:w="992" w:type="dxa"/>
            <w:tcBorders>
              <w:left w:val="single" w:sz="6" w:space="0" w:color="FFFFFF" w:themeColor="background1"/>
            </w:tcBorders>
            <w:shd w:val="clear" w:color="auto" w:fill="auto"/>
          </w:tcPr>
          <w:p w14:paraId="4F67179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0.071</w:t>
            </w:r>
          </w:p>
        </w:tc>
      </w:tr>
      <w:tr w:rsidR="00BC5B69" w:rsidRPr="00BC5B69" w14:paraId="1FB9E63A" w14:textId="77777777" w:rsidTr="00BC5B69">
        <w:trPr>
          <w:trHeight w:val="340"/>
          <w:jc w:val="center"/>
        </w:trPr>
        <w:tc>
          <w:tcPr>
            <w:tcW w:w="1839" w:type="dxa"/>
            <w:vAlign w:val="center"/>
          </w:tcPr>
          <w:p w14:paraId="7095E504"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Cerebrovascular disease</w:t>
            </w:r>
          </w:p>
        </w:tc>
        <w:tc>
          <w:tcPr>
            <w:tcW w:w="1277" w:type="dxa"/>
            <w:tcBorders>
              <w:right w:val="single" w:sz="6" w:space="0" w:color="FFFFFF" w:themeColor="background1"/>
            </w:tcBorders>
            <w:shd w:val="clear" w:color="auto" w:fill="auto"/>
          </w:tcPr>
          <w:p w14:paraId="417FB6F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1.021</w:t>
            </w:r>
          </w:p>
        </w:tc>
        <w:tc>
          <w:tcPr>
            <w:tcW w:w="1276" w:type="dxa"/>
            <w:tcBorders>
              <w:left w:val="single" w:sz="6" w:space="0" w:color="FFFFFF" w:themeColor="background1"/>
              <w:right w:val="single" w:sz="6" w:space="0" w:color="FFFFFF" w:themeColor="background1"/>
            </w:tcBorders>
            <w:shd w:val="clear" w:color="auto" w:fill="auto"/>
          </w:tcPr>
          <w:p w14:paraId="5B9A62B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2.775</w:t>
            </w:r>
          </w:p>
        </w:tc>
        <w:tc>
          <w:tcPr>
            <w:tcW w:w="991" w:type="dxa"/>
            <w:tcBorders>
              <w:left w:val="single" w:sz="6" w:space="0" w:color="FFFFFF" w:themeColor="background1"/>
            </w:tcBorders>
            <w:shd w:val="clear" w:color="auto" w:fill="auto"/>
          </w:tcPr>
          <w:p w14:paraId="4CC9E989"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0.016</w:t>
            </w:r>
          </w:p>
        </w:tc>
        <w:tc>
          <w:tcPr>
            <w:tcW w:w="1278" w:type="dxa"/>
            <w:tcBorders>
              <w:right w:val="single" w:sz="6" w:space="0" w:color="FFFFFF" w:themeColor="background1"/>
            </w:tcBorders>
            <w:shd w:val="clear" w:color="auto" w:fill="auto"/>
          </w:tcPr>
          <w:p w14:paraId="79110B8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2.002</w:t>
            </w:r>
          </w:p>
        </w:tc>
        <w:tc>
          <w:tcPr>
            <w:tcW w:w="1277" w:type="dxa"/>
            <w:tcBorders>
              <w:left w:val="single" w:sz="6" w:space="0" w:color="FFFFFF" w:themeColor="background1"/>
              <w:right w:val="single" w:sz="6" w:space="0" w:color="FFFFFF" w:themeColor="background1"/>
            </w:tcBorders>
            <w:shd w:val="clear" w:color="auto" w:fill="auto"/>
          </w:tcPr>
          <w:p w14:paraId="1DF517D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7.405</w:t>
            </w:r>
          </w:p>
        </w:tc>
        <w:tc>
          <w:tcPr>
            <w:tcW w:w="992" w:type="dxa"/>
            <w:tcBorders>
              <w:left w:val="single" w:sz="6" w:space="0" w:color="FFFFFF" w:themeColor="background1"/>
            </w:tcBorders>
            <w:shd w:val="clear" w:color="auto" w:fill="auto"/>
          </w:tcPr>
          <w:p w14:paraId="5E9F3624"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0.001</w:t>
            </w:r>
          </w:p>
        </w:tc>
        <w:tc>
          <w:tcPr>
            <w:tcW w:w="1276" w:type="dxa"/>
            <w:tcBorders>
              <w:right w:val="single" w:sz="6" w:space="0" w:color="FFFFFF" w:themeColor="background1"/>
            </w:tcBorders>
            <w:shd w:val="clear" w:color="auto" w:fill="auto"/>
          </w:tcPr>
          <w:p w14:paraId="1CECEA0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1.345</w:t>
            </w:r>
          </w:p>
        </w:tc>
        <w:tc>
          <w:tcPr>
            <w:tcW w:w="1276" w:type="dxa"/>
            <w:tcBorders>
              <w:left w:val="single" w:sz="6" w:space="0" w:color="FFFFFF" w:themeColor="background1"/>
              <w:right w:val="single" w:sz="6" w:space="0" w:color="FFFFFF" w:themeColor="background1"/>
            </w:tcBorders>
            <w:shd w:val="clear" w:color="auto" w:fill="auto"/>
          </w:tcPr>
          <w:p w14:paraId="47DAFE6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3.839</w:t>
            </w:r>
          </w:p>
        </w:tc>
        <w:tc>
          <w:tcPr>
            <w:tcW w:w="992" w:type="dxa"/>
            <w:tcBorders>
              <w:left w:val="single" w:sz="6" w:space="0" w:color="FFFFFF" w:themeColor="background1"/>
            </w:tcBorders>
            <w:shd w:val="clear" w:color="auto" w:fill="auto"/>
          </w:tcPr>
          <w:p w14:paraId="375EE341"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0.003</w:t>
            </w:r>
          </w:p>
        </w:tc>
        <w:tc>
          <w:tcPr>
            <w:tcW w:w="1276" w:type="dxa"/>
            <w:tcBorders>
              <w:right w:val="single" w:sz="6" w:space="0" w:color="FFFFFF" w:themeColor="background1"/>
            </w:tcBorders>
            <w:shd w:val="clear" w:color="auto" w:fill="auto"/>
          </w:tcPr>
          <w:p w14:paraId="4E40F7A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1.292</w:t>
            </w:r>
          </w:p>
        </w:tc>
        <w:tc>
          <w:tcPr>
            <w:tcW w:w="1276" w:type="dxa"/>
            <w:tcBorders>
              <w:left w:val="single" w:sz="6" w:space="0" w:color="FFFFFF" w:themeColor="background1"/>
              <w:right w:val="single" w:sz="6" w:space="0" w:color="FFFFFF" w:themeColor="background1"/>
            </w:tcBorders>
            <w:shd w:val="clear" w:color="auto" w:fill="auto"/>
          </w:tcPr>
          <w:p w14:paraId="2D6A712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3.641</w:t>
            </w:r>
          </w:p>
        </w:tc>
        <w:tc>
          <w:tcPr>
            <w:tcW w:w="992" w:type="dxa"/>
            <w:tcBorders>
              <w:left w:val="single" w:sz="6" w:space="0" w:color="FFFFFF" w:themeColor="background1"/>
            </w:tcBorders>
            <w:shd w:val="clear" w:color="auto" w:fill="auto"/>
          </w:tcPr>
          <w:p w14:paraId="6782CB3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0.004</w:t>
            </w:r>
          </w:p>
        </w:tc>
      </w:tr>
      <w:tr w:rsidR="00BC5B69" w:rsidRPr="00BC5B69" w14:paraId="63CF01FF" w14:textId="77777777" w:rsidTr="00BC5B69">
        <w:trPr>
          <w:trHeight w:val="340"/>
          <w:jc w:val="center"/>
        </w:trPr>
        <w:tc>
          <w:tcPr>
            <w:tcW w:w="1839" w:type="dxa"/>
            <w:vAlign w:val="center"/>
          </w:tcPr>
          <w:p w14:paraId="39C2073A"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Dementia</w:t>
            </w:r>
          </w:p>
        </w:tc>
        <w:tc>
          <w:tcPr>
            <w:tcW w:w="1277" w:type="dxa"/>
            <w:tcBorders>
              <w:right w:val="single" w:sz="6" w:space="0" w:color="FFFFFF" w:themeColor="background1"/>
            </w:tcBorders>
            <w:shd w:val="clear" w:color="auto" w:fill="auto"/>
          </w:tcPr>
          <w:p w14:paraId="639C12D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0.442</w:t>
            </w:r>
          </w:p>
        </w:tc>
        <w:tc>
          <w:tcPr>
            <w:tcW w:w="1276" w:type="dxa"/>
            <w:tcBorders>
              <w:left w:val="single" w:sz="6" w:space="0" w:color="FFFFFF" w:themeColor="background1"/>
              <w:right w:val="single" w:sz="6" w:space="0" w:color="FFFFFF" w:themeColor="background1"/>
            </w:tcBorders>
            <w:shd w:val="clear" w:color="auto" w:fill="auto"/>
          </w:tcPr>
          <w:p w14:paraId="758B829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1.556</w:t>
            </w:r>
          </w:p>
        </w:tc>
        <w:tc>
          <w:tcPr>
            <w:tcW w:w="991" w:type="dxa"/>
            <w:tcBorders>
              <w:left w:val="single" w:sz="6" w:space="0" w:color="FFFFFF" w:themeColor="background1"/>
            </w:tcBorders>
            <w:shd w:val="clear" w:color="auto" w:fill="auto"/>
          </w:tcPr>
          <w:p w14:paraId="041ED04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0.169</w:t>
            </w:r>
          </w:p>
        </w:tc>
        <w:tc>
          <w:tcPr>
            <w:tcW w:w="1278" w:type="dxa"/>
            <w:tcBorders>
              <w:right w:val="single" w:sz="6" w:space="0" w:color="FFFFFF" w:themeColor="background1"/>
            </w:tcBorders>
            <w:shd w:val="clear" w:color="auto" w:fill="auto"/>
          </w:tcPr>
          <w:p w14:paraId="2D29D8D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1.157</w:t>
            </w:r>
          </w:p>
        </w:tc>
        <w:tc>
          <w:tcPr>
            <w:tcW w:w="1277" w:type="dxa"/>
            <w:tcBorders>
              <w:left w:val="single" w:sz="6" w:space="0" w:color="FFFFFF" w:themeColor="background1"/>
              <w:right w:val="single" w:sz="6" w:space="0" w:color="FFFFFF" w:themeColor="background1"/>
            </w:tcBorders>
            <w:shd w:val="clear" w:color="auto" w:fill="auto"/>
          </w:tcPr>
          <w:p w14:paraId="397072C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3.181</w:t>
            </w:r>
          </w:p>
        </w:tc>
        <w:tc>
          <w:tcPr>
            <w:tcW w:w="992" w:type="dxa"/>
            <w:tcBorders>
              <w:left w:val="single" w:sz="6" w:space="0" w:color="FFFFFF" w:themeColor="background1"/>
            </w:tcBorders>
            <w:shd w:val="clear" w:color="auto" w:fill="auto"/>
          </w:tcPr>
          <w:p w14:paraId="29F0A28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0.028</w:t>
            </w:r>
          </w:p>
        </w:tc>
        <w:tc>
          <w:tcPr>
            <w:tcW w:w="1276" w:type="dxa"/>
            <w:tcBorders>
              <w:right w:val="single" w:sz="6" w:space="0" w:color="FFFFFF" w:themeColor="background1"/>
            </w:tcBorders>
            <w:shd w:val="clear" w:color="auto" w:fill="auto"/>
          </w:tcPr>
          <w:p w14:paraId="0F98B5A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0.530</w:t>
            </w:r>
          </w:p>
        </w:tc>
        <w:tc>
          <w:tcPr>
            <w:tcW w:w="1276" w:type="dxa"/>
            <w:tcBorders>
              <w:left w:val="single" w:sz="6" w:space="0" w:color="FFFFFF" w:themeColor="background1"/>
              <w:right w:val="single" w:sz="6" w:space="0" w:color="FFFFFF" w:themeColor="background1"/>
            </w:tcBorders>
            <w:shd w:val="clear" w:color="auto" w:fill="auto"/>
          </w:tcPr>
          <w:p w14:paraId="707E2EA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1.699</w:t>
            </w:r>
          </w:p>
        </w:tc>
        <w:tc>
          <w:tcPr>
            <w:tcW w:w="992" w:type="dxa"/>
            <w:tcBorders>
              <w:left w:val="single" w:sz="6" w:space="0" w:color="FFFFFF" w:themeColor="background1"/>
            </w:tcBorders>
            <w:shd w:val="clear" w:color="auto" w:fill="auto"/>
          </w:tcPr>
          <w:p w14:paraId="33D1564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0.125</w:t>
            </w:r>
          </w:p>
        </w:tc>
        <w:tc>
          <w:tcPr>
            <w:tcW w:w="1276" w:type="dxa"/>
            <w:tcBorders>
              <w:right w:val="single" w:sz="6" w:space="0" w:color="FFFFFF" w:themeColor="background1"/>
            </w:tcBorders>
            <w:shd w:val="clear" w:color="auto" w:fill="auto"/>
          </w:tcPr>
          <w:p w14:paraId="00E6A01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0.776</w:t>
            </w:r>
          </w:p>
        </w:tc>
        <w:tc>
          <w:tcPr>
            <w:tcW w:w="1276" w:type="dxa"/>
            <w:tcBorders>
              <w:left w:val="single" w:sz="6" w:space="0" w:color="FFFFFF" w:themeColor="background1"/>
              <w:right w:val="single" w:sz="6" w:space="0" w:color="FFFFFF" w:themeColor="background1"/>
            </w:tcBorders>
            <w:shd w:val="clear" w:color="auto" w:fill="auto"/>
          </w:tcPr>
          <w:p w14:paraId="2A98F0E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2.173</w:t>
            </w:r>
          </w:p>
        </w:tc>
        <w:tc>
          <w:tcPr>
            <w:tcW w:w="992" w:type="dxa"/>
            <w:tcBorders>
              <w:left w:val="single" w:sz="6" w:space="0" w:color="FFFFFF" w:themeColor="background1"/>
            </w:tcBorders>
            <w:shd w:val="clear" w:color="auto" w:fill="auto"/>
          </w:tcPr>
          <w:p w14:paraId="485E46C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0.026</w:t>
            </w:r>
          </w:p>
        </w:tc>
      </w:tr>
      <w:tr w:rsidR="00BC5B69" w:rsidRPr="00BC5B69" w14:paraId="68C5BF0D" w14:textId="77777777" w:rsidTr="00BC5B69">
        <w:trPr>
          <w:trHeight w:val="340"/>
          <w:jc w:val="center"/>
        </w:trPr>
        <w:tc>
          <w:tcPr>
            <w:tcW w:w="1839" w:type="dxa"/>
            <w:vAlign w:val="center"/>
          </w:tcPr>
          <w:p w14:paraId="178C7BCA"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Diabetes</w:t>
            </w:r>
          </w:p>
        </w:tc>
        <w:tc>
          <w:tcPr>
            <w:tcW w:w="1277" w:type="dxa"/>
            <w:tcBorders>
              <w:right w:val="single" w:sz="6" w:space="0" w:color="FFFFFF" w:themeColor="background1"/>
            </w:tcBorders>
            <w:shd w:val="clear" w:color="auto" w:fill="auto"/>
          </w:tcPr>
          <w:p w14:paraId="0375BA4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-0.093</w:t>
            </w:r>
          </w:p>
        </w:tc>
        <w:tc>
          <w:tcPr>
            <w:tcW w:w="1276" w:type="dxa"/>
            <w:tcBorders>
              <w:left w:val="single" w:sz="6" w:space="0" w:color="FFFFFF" w:themeColor="background1"/>
              <w:right w:val="single" w:sz="6" w:space="0" w:color="FFFFFF" w:themeColor="background1"/>
            </w:tcBorders>
            <w:shd w:val="clear" w:color="auto" w:fill="auto"/>
          </w:tcPr>
          <w:p w14:paraId="567894C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0.911</w:t>
            </w:r>
          </w:p>
        </w:tc>
        <w:tc>
          <w:tcPr>
            <w:tcW w:w="991" w:type="dxa"/>
            <w:tcBorders>
              <w:left w:val="single" w:sz="6" w:space="0" w:color="FFFFFF" w:themeColor="background1"/>
            </w:tcBorders>
            <w:shd w:val="clear" w:color="auto" w:fill="auto"/>
          </w:tcPr>
          <w:p w14:paraId="6AF085B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0.766</w:t>
            </w:r>
          </w:p>
        </w:tc>
        <w:tc>
          <w:tcPr>
            <w:tcW w:w="1278" w:type="dxa"/>
            <w:tcBorders>
              <w:right w:val="single" w:sz="6" w:space="0" w:color="FFFFFF" w:themeColor="background1"/>
            </w:tcBorders>
            <w:shd w:val="clear" w:color="auto" w:fill="auto"/>
          </w:tcPr>
          <w:p w14:paraId="284674C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-0.514</w:t>
            </w:r>
          </w:p>
        </w:tc>
        <w:tc>
          <w:tcPr>
            <w:tcW w:w="1277" w:type="dxa"/>
            <w:tcBorders>
              <w:left w:val="single" w:sz="6" w:space="0" w:color="FFFFFF" w:themeColor="background1"/>
              <w:right w:val="single" w:sz="6" w:space="0" w:color="FFFFFF" w:themeColor="background1"/>
            </w:tcBorders>
            <w:shd w:val="clear" w:color="auto" w:fill="auto"/>
          </w:tcPr>
          <w:p w14:paraId="31FAD23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0.598</w:t>
            </w:r>
          </w:p>
        </w:tc>
        <w:tc>
          <w:tcPr>
            <w:tcW w:w="992" w:type="dxa"/>
            <w:tcBorders>
              <w:left w:val="single" w:sz="6" w:space="0" w:color="FFFFFF" w:themeColor="background1"/>
            </w:tcBorders>
            <w:shd w:val="clear" w:color="auto" w:fill="auto"/>
          </w:tcPr>
          <w:p w14:paraId="7E5FF66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0.437</w:t>
            </w:r>
          </w:p>
        </w:tc>
        <w:tc>
          <w:tcPr>
            <w:tcW w:w="1276" w:type="dxa"/>
            <w:tcBorders>
              <w:right w:val="single" w:sz="6" w:space="0" w:color="FFFFFF" w:themeColor="background1"/>
            </w:tcBorders>
            <w:shd w:val="clear" w:color="auto" w:fill="auto"/>
          </w:tcPr>
          <w:p w14:paraId="427CA68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0.003</w:t>
            </w:r>
          </w:p>
        </w:tc>
        <w:tc>
          <w:tcPr>
            <w:tcW w:w="1276" w:type="dxa"/>
            <w:tcBorders>
              <w:left w:val="single" w:sz="6" w:space="0" w:color="FFFFFF" w:themeColor="background1"/>
              <w:right w:val="single" w:sz="6" w:space="0" w:color="FFFFFF" w:themeColor="background1"/>
            </w:tcBorders>
            <w:shd w:val="clear" w:color="auto" w:fill="auto"/>
          </w:tcPr>
          <w:p w14:paraId="430CA20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1.003</w:t>
            </w:r>
          </w:p>
        </w:tc>
        <w:tc>
          <w:tcPr>
            <w:tcW w:w="992" w:type="dxa"/>
            <w:tcBorders>
              <w:left w:val="single" w:sz="6" w:space="0" w:color="FFFFFF" w:themeColor="background1"/>
            </w:tcBorders>
            <w:shd w:val="clear" w:color="auto" w:fill="auto"/>
          </w:tcPr>
          <w:p w14:paraId="56B056A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0.992</w:t>
            </w:r>
          </w:p>
        </w:tc>
        <w:tc>
          <w:tcPr>
            <w:tcW w:w="1276" w:type="dxa"/>
            <w:tcBorders>
              <w:right w:val="single" w:sz="6" w:space="0" w:color="FFFFFF" w:themeColor="background1"/>
            </w:tcBorders>
            <w:shd w:val="clear" w:color="auto" w:fill="auto"/>
          </w:tcPr>
          <w:p w14:paraId="45F957C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0.002</w:t>
            </w:r>
          </w:p>
        </w:tc>
        <w:tc>
          <w:tcPr>
            <w:tcW w:w="1276" w:type="dxa"/>
            <w:tcBorders>
              <w:left w:val="single" w:sz="6" w:space="0" w:color="FFFFFF" w:themeColor="background1"/>
              <w:right w:val="single" w:sz="6" w:space="0" w:color="FFFFFF" w:themeColor="background1"/>
            </w:tcBorders>
            <w:shd w:val="clear" w:color="auto" w:fill="auto"/>
          </w:tcPr>
          <w:p w14:paraId="09A8501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1.002</w:t>
            </w:r>
          </w:p>
        </w:tc>
        <w:tc>
          <w:tcPr>
            <w:tcW w:w="992" w:type="dxa"/>
            <w:tcBorders>
              <w:left w:val="single" w:sz="6" w:space="0" w:color="FFFFFF" w:themeColor="background1"/>
            </w:tcBorders>
            <w:shd w:val="clear" w:color="auto" w:fill="auto"/>
          </w:tcPr>
          <w:p w14:paraId="19157F6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0.995</w:t>
            </w:r>
          </w:p>
        </w:tc>
      </w:tr>
      <w:tr w:rsidR="00BC5B69" w:rsidRPr="00BC5B69" w14:paraId="3434479E" w14:textId="77777777" w:rsidTr="00BC5B69">
        <w:trPr>
          <w:trHeight w:val="340"/>
          <w:jc w:val="center"/>
        </w:trPr>
        <w:tc>
          <w:tcPr>
            <w:tcW w:w="1839" w:type="dxa"/>
            <w:vAlign w:val="center"/>
          </w:tcPr>
          <w:p w14:paraId="053F42BF"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CCI</w:t>
            </w:r>
          </w:p>
        </w:tc>
        <w:tc>
          <w:tcPr>
            <w:tcW w:w="1277" w:type="dxa"/>
            <w:tcBorders>
              <w:right w:val="single" w:sz="6" w:space="0" w:color="FFFFFF" w:themeColor="background1"/>
            </w:tcBorders>
            <w:shd w:val="clear" w:color="auto" w:fill="auto"/>
          </w:tcPr>
          <w:p w14:paraId="66F057E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0.120</w:t>
            </w:r>
          </w:p>
        </w:tc>
        <w:tc>
          <w:tcPr>
            <w:tcW w:w="1276" w:type="dxa"/>
            <w:tcBorders>
              <w:left w:val="single" w:sz="6" w:space="0" w:color="FFFFFF" w:themeColor="background1"/>
              <w:right w:val="single" w:sz="6" w:space="0" w:color="FFFFFF" w:themeColor="background1"/>
            </w:tcBorders>
            <w:shd w:val="clear" w:color="auto" w:fill="auto"/>
          </w:tcPr>
          <w:p w14:paraId="2D6818F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1.127</w:t>
            </w:r>
          </w:p>
        </w:tc>
        <w:tc>
          <w:tcPr>
            <w:tcW w:w="991" w:type="dxa"/>
            <w:tcBorders>
              <w:left w:val="single" w:sz="6" w:space="0" w:color="FFFFFF" w:themeColor="background1"/>
            </w:tcBorders>
            <w:shd w:val="clear" w:color="auto" w:fill="auto"/>
          </w:tcPr>
          <w:p w14:paraId="0D91DD5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0.176</w:t>
            </w:r>
          </w:p>
        </w:tc>
        <w:tc>
          <w:tcPr>
            <w:tcW w:w="1278" w:type="dxa"/>
            <w:tcBorders>
              <w:right w:val="single" w:sz="6" w:space="0" w:color="FFFFFF" w:themeColor="background1"/>
            </w:tcBorders>
            <w:shd w:val="clear" w:color="auto" w:fill="auto"/>
          </w:tcPr>
          <w:p w14:paraId="2FE471B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0.211</w:t>
            </w:r>
          </w:p>
        </w:tc>
        <w:tc>
          <w:tcPr>
            <w:tcW w:w="1277" w:type="dxa"/>
            <w:tcBorders>
              <w:left w:val="single" w:sz="6" w:space="0" w:color="FFFFFF" w:themeColor="background1"/>
              <w:right w:val="single" w:sz="6" w:space="0" w:color="FFFFFF" w:themeColor="background1"/>
            </w:tcBorders>
            <w:shd w:val="clear" w:color="auto" w:fill="auto"/>
          </w:tcPr>
          <w:p w14:paraId="69EBA55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1.235</w:t>
            </w:r>
          </w:p>
        </w:tc>
        <w:tc>
          <w:tcPr>
            <w:tcW w:w="992" w:type="dxa"/>
            <w:tcBorders>
              <w:left w:val="single" w:sz="6" w:space="0" w:color="FFFFFF" w:themeColor="background1"/>
            </w:tcBorders>
            <w:shd w:val="clear" w:color="auto" w:fill="auto"/>
          </w:tcPr>
          <w:p w14:paraId="1033D4D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0.128</w:t>
            </w:r>
          </w:p>
        </w:tc>
        <w:tc>
          <w:tcPr>
            <w:tcW w:w="1276" w:type="dxa"/>
            <w:tcBorders>
              <w:right w:val="single" w:sz="6" w:space="0" w:color="FFFFFF" w:themeColor="background1"/>
            </w:tcBorders>
            <w:shd w:val="clear" w:color="auto" w:fill="auto"/>
          </w:tcPr>
          <w:p w14:paraId="2F79708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0.144</w:t>
            </w:r>
          </w:p>
        </w:tc>
        <w:tc>
          <w:tcPr>
            <w:tcW w:w="1276" w:type="dxa"/>
            <w:tcBorders>
              <w:left w:val="single" w:sz="6" w:space="0" w:color="FFFFFF" w:themeColor="background1"/>
              <w:right w:val="single" w:sz="6" w:space="0" w:color="FFFFFF" w:themeColor="background1"/>
            </w:tcBorders>
            <w:shd w:val="clear" w:color="auto" w:fill="auto"/>
          </w:tcPr>
          <w:p w14:paraId="60DEFA3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1.155</w:t>
            </w:r>
          </w:p>
        </w:tc>
        <w:tc>
          <w:tcPr>
            <w:tcW w:w="992" w:type="dxa"/>
            <w:tcBorders>
              <w:left w:val="single" w:sz="6" w:space="0" w:color="FFFFFF" w:themeColor="background1"/>
            </w:tcBorders>
            <w:shd w:val="clear" w:color="auto" w:fill="auto"/>
          </w:tcPr>
          <w:p w14:paraId="653287B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0.122</w:t>
            </w:r>
          </w:p>
        </w:tc>
        <w:tc>
          <w:tcPr>
            <w:tcW w:w="1276" w:type="dxa"/>
            <w:tcBorders>
              <w:right w:val="single" w:sz="6" w:space="0" w:color="FFFFFF" w:themeColor="background1"/>
            </w:tcBorders>
            <w:shd w:val="clear" w:color="auto" w:fill="auto"/>
          </w:tcPr>
          <w:p w14:paraId="5E8C7E7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0.091</w:t>
            </w:r>
          </w:p>
        </w:tc>
        <w:tc>
          <w:tcPr>
            <w:tcW w:w="1276" w:type="dxa"/>
            <w:tcBorders>
              <w:left w:val="single" w:sz="6" w:space="0" w:color="FFFFFF" w:themeColor="background1"/>
              <w:right w:val="single" w:sz="6" w:space="0" w:color="FFFFFF" w:themeColor="background1"/>
            </w:tcBorders>
            <w:shd w:val="clear" w:color="auto" w:fill="auto"/>
          </w:tcPr>
          <w:p w14:paraId="4EDCB46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1.096</w:t>
            </w:r>
          </w:p>
        </w:tc>
        <w:tc>
          <w:tcPr>
            <w:tcW w:w="992" w:type="dxa"/>
            <w:tcBorders>
              <w:left w:val="single" w:sz="6" w:space="0" w:color="FFFFFF" w:themeColor="background1"/>
            </w:tcBorders>
            <w:shd w:val="clear" w:color="auto" w:fill="auto"/>
          </w:tcPr>
          <w:p w14:paraId="0400F7E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0.343</w:t>
            </w:r>
          </w:p>
        </w:tc>
      </w:tr>
      <w:tr w:rsidR="00BC5B69" w:rsidRPr="00BC5B69" w14:paraId="3F0E526F" w14:textId="77777777" w:rsidTr="00BC5B69">
        <w:trPr>
          <w:trHeight w:val="340"/>
          <w:jc w:val="center"/>
        </w:trPr>
        <w:tc>
          <w:tcPr>
            <w:tcW w:w="1839" w:type="dxa"/>
            <w:vAlign w:val="center"/>
          </w:tcPr>
          <w:p w14:paraId="54AC504A"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Osteoarthritis</w:t>
            </w:r>
          </w:p>
        </w:tc>
        <w:tc>
          <w:tcPr>
            <w:tcW w:w="1277" w:type="dxa"/>
            <w:tcBorders>
              <w:right w:val="single" w:sz="6" w:space="0" w:color="FFFFFF" w:themeColor="background1"/>
            </w:tcBorders>
            <w:shd w:val="clear" w:color="auto" w:fill="auto"/>
          </w:tcPr>
          <w:p w14:paraId="7191033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-0.401</w:t>
            </w:r>
          </w:p>
        </w:tc>
        <w:tc>
          <w:tcPr>
            <w:tcW w:w="1276" w:type="dxa"/>
            <w:tcBorders>
              <w:left w:val="single" w:sz="6" w:space="0" w:color="FFFFFF" w:themeColor="background1"/>
              <w:right w:val="single" w:sz="6" w:space="0" w:color="FFFFFF" w:themeColor="background1"/>
            </w:tcBorders>
            <w:shd w:val="clear" w:color="auto" w:fill="auto"/>
          </w:tcPr>
          <w:p w14:paraId="6334669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0.669</w:t>
            </w:r>
          </w:p>
        </w:tc>
        <w:tc>
          <w:tcPr>
            <w:tcW w:w="991" w:type="dxa"/>
            <w:tcBorders>
              <w:left w:val="single" w:sz="6" w:space="0" w:color="FFFFFF" w:themeColor="background1"/>
            </w:tcBorders>
            <w:shd w:val="clear" w:color="auto" w:fill="auto"/>
          </w:tcPr>
          <w:p w14:paraId="6C51599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0.208</w:t>
            </w:r>
          </w:p>
        </w:tc>
        <w:tc>
          <w:tcPr>
            <w:tcW w:w="1278" w:type="dxa"/>
            <w:tcBorders>
              <w:right w:val="single" w:sz="6" w:space="0" w:color="FFFFFF" w:themeColor="background1"/>
            </w:tcBorders>
            <w:shd w:val="clear" w:color="auto" w:fill="auto"/>
          </w:tcPr>
          <w:p w14:paraId="07E6FDC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0.609</w:t>
            </w:r>
          </w:p>
        </w:tc>
        <w:tc>
          <w:tcPr>
            <w:tcW w:w="1277" w:type="dxa"/>
            <w:tcBorders>
              <w:left w:val="single" w:sz="6" w:space="0" w:color="FFFFFF" w:themeColor="background1"/>
              <w:right w:val="single" w:sz="6" w:space="0" w:color="FFFFFF" w:themeColor="background1"/>
            </w:tcBorders>
            <w:shd w:val="clear" w:color="auto" w:fill="auto"/>
          </w:tcPr>
          <w:p w14:paraId="43A281F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1.839</w:t>
            </w:r>
          </w:p>
        </w:tc>
        <w:tc>
          <w:tcPr>
            <w:tcW w:w="992" w:type="dxa"/>
            <w:tcBorders>
              <w:left w:val="single" w:sz="6" w:space="0" w:color="FFFFFF" w:themeColor="background1"/>
            </w:tcBorders>
            <w:shd w:val="clear" w:color="auto" w:fill="auto"/>
          </w:tcPr>
          <w:p w14:paraId="4C602C2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0.225</w:t>
            </w:r>
          </w:p>
        </w:tc>
        <w:tc>
          <w:tcPr>
            <w:tcW w:w="1276" w:type="dxa"/>
            <w:tcBorders>
              <w:right w:val="single" w:sz="6" w:space="0" w:color="FFFFFF" w:themeColor="background1"/>
            </w:tcBorders>
            <w:shd w:val="clear" w:color="auto" w:fill="auto"/>
          </w:tcPr>
          <w:p w14:paraId="2089DA9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0.628</w:t>
            </w:r>
          </w:p>
        </w:tc>
        <w:tc>
          <w:tcPr>
            <w:tcW w:w="1276" w:type="dxa"/>
            <w:tcBorders>
              <w:left w:val="single" w:sz="6" w:space="0" w:color="FFFFFF" w:themeColor="background1"/>
              <w:right w:val="single" w:sz="6" w:space="0" w:color="FFFFFF" w:themeColor="background1"/>
            </w:tcBorders>
            <w:shd w:val="clear" w:color="auto" w:fill="auto"/>
          </w:tcPr>
          <w:p w14:paraId="6392815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1.875</w:t>
            </w:r>
          </w:p>
        </w:tc>
        <w:tc>
          <w:tcPr>
            <w:tcW w:w="992" w:type="dxa"/>
            <w:tcBorders>
              <w:left w:val="single" w:sz="6" w:space="0" w:color="FFFFFF" w:themeColor="background1"/>
            </w:tcBorders>
            <w:shd w:val="clear" w:color="auto" w:fill="auto"/>
          </w:tcPr>
          <w:p w14:paraId="06795EFF"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0.041</w:t>
            </w:r>
          </w:p>
        </w:tc>
        <w:tc>
          <w:tcPr>
            <w:tcW w:w="1276" w:type="dxa"/>
            <w:tcBorders>
              <w:right w:val="single" w:sz="6" w:space="0" w:color="FFFFFF" w:themeColor="background1"/>
            </w:tcBorders>
            <w:shd w:val="clear" w:color="auto" w:fill="auto"/>
          </w:tcPr>
          <w:p w14:paraId="793E156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0.582</w:t>
            </w:r>
          </w:p>
        </w:tc>
        <w:tc>
          <w:tcPr>
            <w:tcW w:w="1276" w:type="dxa"/>
            <w:tcBorders>
              <w:left w:val="single" w:sz="6" w:space="0" w:color="FFFFFF" w:themeColor="background1"/>
              <w:right w:val="single" w:sz="6" w:space="0" w:color="FFFFFF" w:themeColor="background1"/>
            </w:tcBorders>
            <w:shd w:val="clear" w:color="auto" w:fill="auto"/>
          </w:tcPr>
          <w:p w14:paraId="5DC9110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1.798</w:t>
            </w:r>
          </w:p>
        </w:tc>
        <w:tc>
          <w:tcPr>
            <w:tcW w:w="992" w:type="dxa"/>
            <w:tcBorders>
              <w:left w:val="single" w:sz="6" w:space="0" w:color="FFFFFF" w:themeColor="background1"/>
            </w:tcBorders>
            <w:shd w:val="clear" w:color="auto" w:fill="auto"/>
          </w:tcPr>
          <w:p w14:paraId="059EFAF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0.069</w:t>
            </w:r>
          </w:p>
        </w:tc>
      </w:tr>
      <w:tr w:rsidR="00BC5B69" w:rsidRPr="00BC5B69" w14:paraId="3DF2A167" w14:textId="77777777" w:rsidTr="00BC5B69">
        <w:trPr>
          <w:trHeight w:val="340"/>
          <w:jc w:val="center"/>
        </w:trPr>
        <w:tc>
          <w:tcPr>
            <w:tcW w:w="1839" w:type="dxa"/>
            <w:vAlign w:val="center"/>
          </w:tcPr>
          <w:p w14:paraId="237D4677"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Polypharmacy</w:t>
            </w:r>
          </w:p>
        </w:tc>
        <w:tc>
          <w:tcPr>
            <w:tcW w:w="1277" w:type="dxa"/>
            <w:tcBorders>
              <w:right w:val="single" w:sz="6" w:space="0" w:color="FFFFFF" w:themeColor="background1"/>
            </w:tcBorders>
            <w:shd w:val="clear" w:color="auto" w:fill="auto"/>
          </w:tcPr>
          <w:p w14:paraId="18050A6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0.465</w:t>
            </w:r>
          </w:p>
        </w:tc>
        <w:tc>
          <w:tcPr>
            <w:tcW w:w="1276" w:type="dxa"/>
            <w:tcBorders>
              <w:left w:val="single" w:sz="6" w:space="0" w:color="FFFFFF" w:themeColor="background1"/>
              <w:right w:val="single" w:sz="6" w:space="0" w:color="FFFFFF" w:themeColor="background1"/>
            </w:tcBorders>
            <w:shd w:val="clear" w:color="auto" w:fill="auto"/>
          </w:tcPr>
          <w:p w14:paraId="146D4D6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1.593</w:t>
            </w:r>
          </w:p>
        </w:tc>
        <w:tc>
          <w:tcPr>
            <w:tcW w:w="991" w:type="dxa"/>
            <w:tcBorders>
              <w:left w:val="single" w:sz="6" w:space="0" w:color="FFFFFF" w:themeColor="background1"/>
            </w:tcBorders>
            <w:shd w:val="clear" w:color="auto" w:fill="auto"/>
          </w:tcPr>
          <w:p w14:paraId="403FAB3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0.096</w:t>
            </w:r>
          </w:p>
        </w:tc>
        <w:tc>
          <w:tcPr>
            <w:tcW w:w="1278" w:type="dxa"/>
            <w:tcBorders>
              <w:right w:val="single" w:sz="6" w:space="0" w:color="FFFFFF" w:themeColor="background1"/>
            </w:tcBorders>
            <w:shd w:val="clear" w:color="auto" w:fill="auto"/>
          </w:tcPr>
          <w:p w14:paraId="6598DA7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0.368</w:t>
            </w:r>
          </w:p>
        </w:tc>
        <w:tc>
          <w:tcPr>
            <w:tcW w:w="1277" w:type="dxa"/>
            <w:tcBorders>
              <w:left w:val="single" w:sz="6" w:space="0" w:color="FFFFFF" w:themeColor="background1"/>
              <w:right w:val="single" w:sz="6" w:space="0" w:color="FFFFFF" w:themeColor="background1"/>
            </w:tcBorders>
            <w:shd w:val="clear" w:color="auto" w:fill="auto"/>
          </w:tcPr>
          <w:p w14:paraId="3401CD8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1.444</w:t>
            </w:r>
          </w:p>
        </w:tc>
        <w:tc>
          <w:tcPr>
            <w:tcW w:w="992" w:type="dxa"/>
            <w:tcBorders>
              <w:left w:val="single" w:sz="6" w:space="0" w:color="FFFFFF" w:themeColor="background1"/>
            </w:tcBorders>
            <w:shd w:val="clear" w:color="auto" w:fill="auto"/>
          </w:tcPr>
          <w:p w14:paraId="443602F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0.489</w:t>
            </w:r>
          </w:p>
        </w:tc>
        <w:tc>
          <w:tcPr>
            <w:tcW w:w="1276" w:type="dxa"/>
            <w:tcBorders>
              <w:right w:val="single" w:sz="6" w:space="0" w:color="FFFFFF" w:themeColor="background1"/>
            </w:tcBorders>
            <w:shd w:val="clear" w:color="auto" w:fill="auto"/>
          </w:tcPr>
          <w:p w14:paraId="671C988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0.710</w:t>
            </w:r>
          </w:p>
        </w:tc>
        <w:tc>
          <w:tcPr>
            <w:tcW w:w="1276" w:type="dxa"/>
            <w:tcBorders>
              <w:left w:val="single" w:sz="6" w:space="0" w:color="FFFFFF" w:themeColor="background1"/>
              <w:right w:val="single" w:sz="6" w:space="0" w:color="FFFFFF" w:themeColor="background1"/>
            </w:tcBorders>
            <w:shd w:val="clear" w:color="auto" w:fill="auto"/>
          </w:tcPr>
          <w:p w14:paraId="4F14EC0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2.035</w:t>
            </w:r>
          </w:p>
        </w:tc>
        <w:tc>
          <w:tcPr>
            <w:tcW w:w="992" w:type="dxa"/>
            <w:tcBorders>
              <w:left w:val="single" w:sz="6" w:space="0" w:color="FFFFFF" w:themeColor="background1"/>
            </w:tcBorders>
            <w:shd w:val="clear" w:color="auto" w:fill="auto"/>
          </w:tcPr>
          <w:p w14:paraId="70AFB915"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0.020</w:t>
            </w:r>
          </w:p>
        </w:tc>
        <w:tc>
          <w:tcPr>
            <w:tcW w:w="1276" w:type="dxa"/>
            <w:tcBorders>
              <w:right w:val="single" w:sz="6" w:space="0" w:color="FFFFFF" w:themeColor="background1"/>
            </w:tcBorders>
            <w:shd w:val="clear" w:color="auto" w:fill="auto"/>
          </w:tcPr>
          <w:p w14:paraId="205C541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0.405</w:t>
            </w:r>
          </w:p>
        </w:tc>
        <w:tc>
          <w:tcPr>
            <w:tcW w:w="1276" w:type="dxa"/>
            <w:tcBorders>
              <w:left w:val="single" w:sz="6" w:space="0" w:color="FFFFFF" w:themeColor="background1"/>
              <w:right w:val="single" w:sz="6" w:space="0" w:color="FFFFFF" w:themeColor="background1"/>
            </w:tcBorders>
            <w:shd w:val="clear" w:color="auto" w:fill="auto"/>
          </w:tcPr>
          <w:p w14:paraId="1112BAC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1.500</w:t>
            </w:r>
          </w:p>
        </w:tc>
        <w:tc>
          <w:tcPr>
            <w:tcW w:w="992" w:type="dxa"/>
            <w:tcBorders>
              <w:left w:val="single" w:sz="6" w:space="0" w:color="FFFFFF" w:themeColor="background1"/>
            </w:tcBorders>
            <w:shd w:val="clear" w:color="auto" w:fill="auto"/>
          </w:tcPr>
          <w:p w14:paraId="1693C4D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0.202</w:t>
            </w:r>
          </w:p>
        </w:tc>
      </w:tr>
      <w:tr w:rsidR="00BC5B69" w:rsidRPr="00BC5B69" w14:paraId="34FDAEBD" w14:textId="77777777" w:rsidTr="00BC5B69">
        <w:trPr>
          <w:trHeight w:val="340"/>
          <w:jc w:val="center"/>
        </w:trPr>
        <w:tc>
          <w:tcPr>
            <w:tcW w:w="1839" w:type="dxa"/>
            <w:vAlign w:val="center"/>
          </w:tcPr>
          <w:p w14:paraId="2026C296"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Hyper-polypharmacy</w:t>
            </w:r>
          </w:p>
        </w:tc>
        <w:tc>
          <w:tcPr>
            <w:tcW w:w="1277" w:type="dxa"/>
            <w:tcBorders>
              <w:right w:val="single" w:sz="6" w:space="0" w:color="FFFFFF" w:themeColor="background1"/>
            </w:tcBorders>
            <w:shd w:val="clear" w:color="auto" w:fill="auto"/>
          </w:tcPr>
          <w:p w14:paraId="0A03C9F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0.456</w:t>
            </w:r>
          </w:p>
        </w:tc>
        <w:tc>
          <w:tcPr>
            <w:tcW w:w="1276" w:type="dxa"/>
            <w:tcBorders>
              <w:left w:val="single" w:sz="6" w:space="0" w:color="FFFFFF" w:themeColor="background1"/>
              <w:right w:val="single" w:sz="6" w:space="0" w:color="FFFFFF" w:themeColor="background1"/>
            </w:tcBorders>
            <w:shd w:val="clear" w:color="auto" w:fill="auto"/>
          </w:tcPr>
          <w:p w14:paraId="4E68AC0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1.578</w:t>
            </w:r>
          </w:p>
        </w:tc>
        <w:tc>
          <w:tcPr>
            <w:tcW w:w="991" w:type="dxa"/>
            <w:tcBorders>
              <w:left w:val="single" w:sz="6" w:space="0" w:color="FFFFFF" w:themeColor="background1"/>
            </w:tcBorders>
            <w:shd w:val="clear" w:color="auto" w:fill="auto"/>
          </w:tcPr>
          <w:p w14:paraId="209D50F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0.318</w:t>
            </w:r>
          </w:p>
        </w:tc>
        <w:tc>
          <w:tcPr>
            <w:tcW w:w="1278" w:type="dxa"/>
            <w:tcBorders>
              <w:right w:val="single" w:sz="6" w:space="0" w:color="FFFFFF" w:themeColor="background1"/>
            </w:tcBorders>
            <w:shd w:val="clear" w:color="auto" w:fill="auto"/>
          </w:tcPr>
          <w:p w14:paraId="4E377F8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-0.665</w:t>
            </w:r>
          </w:p>
        </w:tc>
        <w:tc>
          <w:tcPr>
            <w:tcW w:w="1277" w:type="dxa"/>
            <w:tcBorders>
              <w:left w:val="single" w:sz="6" w:space="0" w:color="FFFFFF" w:themeColor="background1"/>
              <w:right w:val="single" w:sz="6" w:space="0" w:color="FFFFFF" w:themeColor="background1"/>
            </w:tcBorders>
            <w:shd w:val="clear" w:color="auto" w:fill="auto"/>
          </w:tcPr>
          <w:p w14:paraId="422329B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0.514</w:t>
            </w:r>
          </w:p>
        </w:tc>
        <w:tc>
          <w:tcPr>
            <w:tcW w:w="992" w:type="dxa"/>
            <w:tcBorders>
              <w:left w:val="single" w:sz="6" w:space="0" w:color="FFFFFF" w:themeColor="background1"/>
            </w:tcBorders>
            <w:shd w:val="clear" w:color="auto" w:fill="auto"/>
          </w:tcPr>
          <w:p w14:paraId="5A033D1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0.540</w:t>
            </w:r>
          </w:p>
        </w:tc>
        <w:tc>
          <w:tcPr>
            <w:tcW w:w="1276" w:type="dxa"/>
            <w:tcBorders>
              <w:right w:val="single" w:sz="6" w:space="0" w:color="FFFFFF" w:themeColor="background1"/>
            </w:tcBorders>
            <w:shd w:val="clear" w:color="auto" w:fill="auto"/>
          </w:tcPr>
          <w:p w14:paraId="494CB59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0.868</w:t>
            </w:r>
          </w:p>
        </w:tc>
        <w:tc>
          <w:tcPr>
            <w:tcW w:w="1276" w:type="dxa"/>
            <w:tcBorders>
              <w:left w:val="single" w:sz="6" w:space="0" w:color="FFFFFF" w:themeColor="background1"/>
              <w:right w:val="single" w:sz="6" w:space="0" w:color="FFFFFF" w:themeColor="background1"/>
            </w:tcBorders>
            <w:shd w:val="clear" w:color="auto" w:fill="auto"/>
          </w:tcPr>
          <w:p w14:paraId="1EDF27D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2.382</w:t>
            </w:r>
          </w:p>
        </w:tc>
        <w:tc>
          <w:tcPr>
            <w:tcW w:w="992" w:type="dxa"/>
            <w:tcBorders>
              <w:left w:val="single" w:sz="6" w:space="0" w:color="FFFFFF" w:themeColor="background1"/>
            </w:tcBorders>
            <w:shd w:val="clear" w:color="auto" w:fill="auto"/>
          </w:tcPr>
          <w:p w14:paraId="72082F9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0.073</w:t>
            </w:r>
          </w:p>
        </w:tc>
        <w:tc>
          <w:tcPr>
            <w:tcW w:w="1276" w:type="dxa"/>
            <w:tcBorders>
              <w:right w:val="single" w:sz="6" w:space="0" w:color="FFFFFF" w:themeColor="background1"/>
            </w:tcBorders>
            <w:shd w:val="clear" w:color="auto" w:fill="auto"/>
          </w:tcPr>
          <w:p w14:paraId="3F17389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0.996</w:t>
            </w:r>
          </w:p>
        </w:tc>
        <w:tc>
          <w:tcPr>
            <w:tcW w:w="1276" w:type="dxa"/>
            <w:tcBorders>
              <w:left w:val="single" w:sz="6" w:space="0" w:color="FFFFFF" w:themeColor="background1"/>
              <w:right w:val="single" w:sz="6" w:space="0" w:color="FFFFFF" w:themeColor="background1"/>
            </w:tcBorders>
            <w:shd w:val="clear" w:color="auto" w:fill="auto"/>
          </w:tcPr>
          <w:p w14:paraId="78E3705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2.708</w:t>
            </w:r>
          </w:p>
        </w:tc>
        <w:tc>
          <w:tcPr>
            <w:tcW w:w="992" w:type="dxa"/>
            <w:tcBorders>
              <w:left w:val="single" w:sz="6" w:space="0" w:color="FFFFFF" w:themeColor="background1"/>
            </w:tcBorders>
            <w:shd w:val="clear" w:color="auto" w:fill="auto"/>
          </w:tcPr>
          <w:p w14:paraId="4859B83C"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0.039</w:t>
            </w:r>
          </w:p>
        </w:tc>
      </w:tr>
      <w:tr w:rsidR="00BC5B69" w:rsidRPr="00BC5B69" w14:paraId="259BCCF9" w14:textId="77777777" w:rsidTr="00BC5B69">
        <w:trPr>
          <w:trHeight w:val="340"/>
          <w:jc w:val="center"/>
        </w:trPr>
        <w:tc>
          <w:tcPr>
            <w:tcW w:w="1839" w:type="dxa"/>
            <w:vAlign w:val="center"/>
          </w:tcPr>
          <w:p w14:paraId="03255371"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Diuretic</w:t>
            </w:r>
          </w:p>
        </w:tc>
        <w:tc>
          <w:tcPr>
            <w:tcW w:w="1277" w:type="dxa"/>
            <w:tcBorders>
              <w:right w:val="single" w:sz="6" w:space="0" w:color="FFFFFF" w:themeColor="background1"/>
            </w:tcBorders>
            <w:shd w:val="clear" w:color="auto" w:fill="auto"/>
          </w:tcPr>
          <w:p w14:paraId="49FED42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-0.013</w:t>
            </w:r>
          </w:p>
        </w:tc>
        <w:tc>
          <w:tcPr>
            <w:tcW w:w="1276" w:type="dxa"/>
            <w:tcBorders>
              <w:left w:val="single" w:sz="6" w:space="0" w:color="FFFFFF" w:themeColor="background1"/>
              <w:right w:val="single" w:sz="6" w:space="0" w:color="FFFFFF" w:themeColor="background1"/>
            </w:tcBorders>
            <w:shd w:val="clear" w:color="auto" w:fill="auto"/>
          </w:tcPr>
          <w:p w14:paraId="501E3F5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0.988</w:t>
            </w:r>
          </w:p>
        </w:tc>
        <w:tc>
          <w:tcPr>
            <w:tcW w:w="991" w:type="dxa"/>
            <w:tcBorders>
              <w:left w:val="single" w:sz="6" w:space="0" w:color="FFFFFF" w:themeColor="background1"/>
            </w:tcBorders>
            <w:shd w:val="clear" w:color="auto" w:fill="auto"/>
          </w:tcPr>
          <w:p w14:paraId="3371465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0.967</w:t>
            </w:r>
          </w:p>
        </w:tc>
        <w:tc>
          <w:tcPr>
            <w:tcW w:w="1278" w:type="dxa"/>
            <w:tcBorders>
              <w:right w:val="single" w:sz="6" w:space="0" w:color="FFFFFF" w:themeColor="background1"/>
            </w:tcBorders>
            <w:shd w:val="clear" w:color="auto" w:fill="auto"/>
          </w:tcPr>
          <w:p w14:paraId="1BA4985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-0.699</w:t>
            </w:r>
          </w:p>
        </w:tc>
        <w:tc>
          <w:tcPr>
            <w:tcW w:w="1277" w:type="dxa"/>
            <w:tcBorders>
              <w:left w:val="single" w:sz="6" w:space="0" w:color="FFFFFF" w:themeColor="background1"/>
              <w:right w:val="single" w:sz="6" w:space="0" w:color="FFFFFF" w:themeColor="background1"/>
            </w:tcBorders>
            <w:shd w:val="clear" w:color="auto" w:fill="auto"/>
          </w:tcPr>
          <w:p w14:paraId="147499B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0.497</w:t>
            </w:r>
          </w:p>
        </w:tc>
        <w:tc>
          <w:tcPr>
            <w:tcW w:w="992" w:type="dxa"/>
            <w:tcBorders>
              <w:left w:val="single" w:sz="6" w:space="0" w:color="FFFFFF" w:themeColor="background1"/>
            </w:tcBorders>
            <w:shd w:val="clear" w:color="auto" w:fill="auto"/>
          </w:tcPr>
          <w:p w14:paraId="583AF5F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0.255</w:t>
            </w:r>
          </w:p>
        </w:tc>
        <w:tc>
          <w:tcPr>
            <w:tcW w:w="1276" w:type="dxa"/>
            <w:tcBorders>
              <w:right w:val="single" w:sz="6" w:space="0" w:color="FFFFFF" w:themeColor="background1"/>
            </w:tcBorders>
            <w:shd w:val="clear" w:color="auto" w:fill="auto"/>
          </w:tcPr>
          <w:p w14:paraId="68FA42A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-0.427</w:t>
            </w:r>
          </w:p>
        </w:tc>
        <w:tc>
          <w:tcPr>
            <w:tcW w:w="1276" w:type="dxa"/>
            <w:tcBorders>
              <w:left w:val="single" w:sz="6" w:space="0" w:color="FFFFFF" w:themeColor="background1"/>
              <w:right w:val="single" w:sz="6" w:space="0" w:color="FFFFFF" w:themeColor="background1"/>
            </w:tcBorders>
            <w:shd w:val="clear" w:color="auto" w:fill="auto"/>
          </w:tcPr>
          <w:p w14:paraId="63DB85D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0.652</w:t>
            </w:r>
          </w:p>
        </w:tc>
        <w:tc>
          <w:tcPr>
            <w:tcW w:w="992" w:type="dxa"/>
            <w:tcBorders>
              <w:left w:val="single" w:sz="6" w:space="0" w:color="FFFFFF" w:themeColor="background1"/>
            </w:tcBorders>
            <w:shd w:val="clear" w:color="auto" w:fill="auto"/>
          </w:tcPr>
          <w:p w14:paraId="77AA510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0.204</w:t>
            </w:r>
          </w:p>
        </w:tc>
        <w:tc>
          <w:tcPr>
            <w:tcW w:w="1276" w:type="dxa"/>
            <w:tcBorders>
              <w:right w:val="single" w:sz="6" w:space="0" w:color="FFFFFF" w:themeColor="background1"/>
            </w:tcBorders>
            <w:shd w:val="clear" w:color="auto" w:fill="auto"/>
          </w:tcPr>
          <w:p w14:paraId="5BF3AE7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-0.503</w:t>
            </w:r>
          </w:p>
        </w:tc>
        <w:tc>
          <w:tcPr>
            <w:tcW w:w="1276" w:type="dxa"/>
            <w:tcBorders>
              <w:left w:val="single" w:sz="6" w:space="0" w:color="FFFFFF" w:themeColor="background1"/>
              <w:right w:val="single" w:sz="6" w:space="0" w:color="FFFFFF" w:themeColor="background1"/>
            </w:tcBorders>
            <w:shd w:val="clear" w:color="auto" w:fill="auto"/>
          </w:tcPr>
          <w:p w14:paraId="2E7A0B1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0.605</w:t>
            </w:r>
          </w:p>
        </w:tc>
        <w:tc>
          <w:tcPr>
            <w:tcW w:w="992" w:type="dxa"/>
            <w:tcBorders>
              <w:left w:val="single" w:sz="6" w:space="0" w:color="FFFFFF" w:themeColor="background1"/>
            </w:tcBorders>
            <w:shd w:val="clear" w:color="auto" w:fill="auto"/>
          </w:tcPr>
          <w:p w14:paraId="1B0839B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0.165</w:t>
            </w:r>
          </w:p>
        </w:tc>
      </w:tr>
      <w:tr w:rsidR="00BC5B69" w:rsidRPr="00BC5B69" w14:paraId="1E04E0BF" w14:textId="77777777" w:rsidTr="00BC5B69">
        <w:trPr>
          <w:trHeight w:val="340"/>
          <w:jc w:val="center"/>
        </w:trPr>
        <w:tc>
          <w:tcPr>
            <w:tcW w:w="1839" w:type="dxa"/>
            <w:vAlign w:val="center"/>
          </w:tcPr>
          <w:p w14:paraId="6513209B"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Orthostatic hypotension</w:t>
            </w:r>
          </w:p>
        </w:tc>
        <w:tc>
          <w:tcPr>
            <w:tcW w:w="1277" w:type="dxa"/>
            <w:tcBorders>
              <w:right w:val="single" w:sz="6" w:space="0" w:color="FFFFFF" w:themeColor="background1"/>
            </w:tcBorders>
            <w:shd w:val="clear" w:color="auto" w:fill="auto"/>
          </w:tcPr>
          <w:p w14:paraId="29D6C45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-0.150</w:t>
            </w:r>
          </w:p>
        </w:tc>
        <w:tc>
          <w:tcPr>
            <w:tcW w:w="1276" w:type="dxa"/>
            <w:tcBorders>
              <w:left w:val="single" w:sz="6" w:space="0" w:color="FFFFFF" w:themeColor="background1"/>
              <w:right w:val="single" w:sz="6" w:space="0" w:color="FFFFFF" w:themeColor="background1"/>
            </w:tcBorders>
            <w:shd w:val="clear" w:color="auto" w:fill="auto"/>
          </w:tcPr>
          <w:p w14:paraId="2F36CB8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0.861</w:t>
            </w:r>
          </w:p>
        </w:tc>
        <w:tc>
          <w:tcPr>
            <w:tcW w:w="991" w:type="dxa"/>
            <w:tcBorders>
              <w:left w:val="single" w:sz="6" w:space="0" w:color="FFFFFF" w:themeColor="background1"/>
            </w:tcBorders>
            <w:shd w:val="clear" w:color="auto" w:fill="auto"/>
          </w:tcPr>
          <w:p w14:paraId="642B651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0.617</w:t>
            </w:r>
          </w:p>
        </w:tc>
        <w:tc>
          <w:tcPr>
            <w:tcW w:w="1278" w:type="dxa"/>
            <w:tcBorders>
              <w:right w:val="single" w:sz="6" w:space="0" w:color="FFFFFF" w:themeColor="background1"/>
            </w:tcBorders>
            <w:shd w:val="clear" w:color="auto" w:fill="auto"/>
          </w:tcPr>
          <w:p w14:paraId="6FD21C2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-0.279</w:t>
            </w:r>
          </w:p>
        </w:tc>
        <w:tc>
          <w:tcPr>
            <w:tcW w:w="1277" w:type="dxa"/>
            <w:tcBorders>
              <w:left w:val="single" w:sz="6" w:space="0" w:color="FFFFFF" w:themeColor="background1"/>
              <w:right w:val="single" w:sz="6" w:space="0" w:color="FFFFFF" w:themeColor="background1"/>
            </w:tcBorders>
            <w:shd w:val="clear" w:color="auto" w:fill="auto"/>
          </w:tcPr>
          <w:p w14:paraId="6A8E636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0.756</w:t>
            </w:r>
          </w:p>
        </w:tc>
        <w:tc>
          <w:tcPr>
            <w:tcW w:w="992" w:type="dxa"/>
            <w:tcBorders>
              <w:left w:val="single" w:sz="6" w:space="0" w:color="FFFFFF" w:themeColor="background1"/>
            </w:tcBorders>
            <w:shd w:val="clear" w:color="auto" w:fill="auto"/>
          </w:tcPr>
          <w:p w14:paraId="7389180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0.604</w:t>
            </w:r>
          </w:p>
        </w:tc>
        <w:tc>
          <w:tcPr>
            <w:tcW w:w="1276" w:type="dxa"/>
            <w:tcBorders>
              <w:right w:val="single" w:sz="6" w:space="0" w:color="FFFFFF" w:themeColor="background1"/>
            </w:tcBorders>
            <w:shd w:val="clear" w:color="auto" w:fill="auto"/>
          </w:tcPr>
          <w:p w14:paraId="6D6C813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-0.323</w:t>
            </w:r>
          </w:p>
        </w:tc>
        <w:tc>
          <w:tcPr>
            <w:tcW w:w="1276" w:type="dxa"/>
            <w:tcBorders>
              <w:left w:val="single" w:sz="6" w:space="0" w:color="FFFFFF" w:themeColor="background1"/>
              <w:right w:val="single" w:sz="6" w:space="0" w:color="FFFFFF" w:themeColor="background1"/>
            </w:tcBorders>
            <w:shd w:val="clear" w:color="auto" w:fill="auto"/>
          </w:tcPr>
          <w:p w14:paraId="76A4FFF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0.724</w:t>
            </w:r>
          </w:p>
        </w:tc>
        <w:tc>
          <w:tcPr>
            <w:tcW w:w="992" w:type="dxa"/>
            <w:tcBorders>
              <w:left w:val="single" w:sz="6" w:space="0" w:color="FFFFFF" w:themeColor="background1"/>
            </w:tcBorders>
            <w:shd w:val="clear" w:color="auto" w:fill="auto"/>
          </w:tcPr>
          <w:p w14:paraId="32FC14A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0.309</w:t>
            </w:r>
          </w:p>
        </w:tc>
        <w:tc>
          <w:tcPr>
            <w:tcW w:w="1276" w:type="dxa"/>
            <w:tcBorders>
              <w:right w:val="single" w:sz="6" w:space="0" w:color="FFFFFF" w:themeColor="background1"/>
            </w:tcBorders>
            <w:shd w:val="clear" w:color="auto" w:fill="auto"/>
          </w:tcPr>
          <w:p w14:paraId="0BB1ED0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-0.421</w:t>
            </w:r>
          </w:p>
        </w:tc>
        <w:tc>
          <w:tcPr>
            <w:tcW w:w="1276" w:type="dxa"/>
            <w:tcBorders>
              <w:left w:val="single" w:sz="6" w:space="0" w:color="FFFFFF" w:themeColor="background1"/>
              <w:right w:val="single" w:sz="6" w:space="0" w:color="FFFFFF" w:themeColor="background1"/>
            </w:tcBorders>
            <w:shd w:val="clear" w:color="auto" w:fill="auto"/>
          </w:tcPr>
          <w:p w14:paraId="43DE86D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0.657</w:t>
            </w:r>
          </w:p>
        </w:tc>
        <w:tc>
          <w:tcPr>
            <w:tcW w:w="992" w:type="dxa"/>
            <w:tcBorders>
              <w:left w:val="single" w:sz="6" w:space="0" w:color="FFFFFF" w:themeColor="background1"/>
            </w:tcBorders>
            <w:shd w:val="clear" w:color="auto" w:fill="auto"/>
          </w:tcPr>
          <w:p w14:paraId="4AE7145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0.225</w:t>
            </w:r>
          </w:p>
        </w:tc>
      </w:tr>
      <w:tr w:rsidR="00BC5B69" w:rsidRPr="00BC5B69" w14:paraId="345DB3CC" w14:textId="77777777" w:rsidTr="00BC5B69">
        <w:trPr>
          <w:trHeight w:val="340"/>
          <w:jc w:val="center"/>
        </w:trPr>
        <w:tc>
          <w:tcPr>
            <w:tcW w:w="1839" w:type="dxa"/>
            <w:vAlign w:val="center"/>
          </w:tcPr>
          <w:p w14:paraId="3C2EB243"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Nocturia</w:t>
            </w:r>
          </w:p>
        </w:tc>
        <w:tc>
          <w:tcPr>
            <w:tcW w:w="1277" w:type="dxa"/>
            <w:tcBorders>
              <w:right w:val="single" w:sz="6" w:space="0" w:color="FFFFFF" w:themeColor="background1"/>
            </w:tcBorders>
            <w:shd w:val="clear" w:color="auto" w:fill="auto"/>
          </w:tcPr>
          <w:p w14:paraId="66799AF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0.826</w:t>
            </w:r>
          </w:p>
        </w:tc>
        <w:tc>
          <w:tcPr>
            <w:tcW w:w="1276" w:type="dxa"/>
            <w:tcBorders>
              <w:left w:val="single" w:sz="6" w:space="0" w:color="FFFFFF" w:themeColor="background1"/>
              <w:right w:val="single" w:sz="6" w:space="0" w:color="FFFFFF" w:themeColor="background1"/>
            </w:tcBorders>
            <w:shd w:val="clear" w:color="auto" w:fill="auto"/>
          </w:tcPr>
          <w:p w14:paraId="623BD64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2.285</w:t>
            </w:r>
          </w:p>
        </w:tc>
        <w:tc>
          <w:tcPr>
            <w:tcW w:w="991" w:type="dxa"/>
            <w:tcBorders>
              <w:left w:val="single" w:sz="6" w:space="0" w:color="FFFFFF" w:themeColor="background1"/>
            </w:tcBorders>
            <w:shd w:val="clear" w:color="auto" w:fill="auto"/>
          </w:tcPr>
          <w:p w14:paraId="2C97E04C"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0.016</w:t>
            </w:r>
          </w:p>
        </w:tc>
        <w:tc>
          <w:tcPr>
            <w:tcW w:w="1278" w:type="dxa"/>
            <w:tcBorders>
              <w:right w:val="single" w:sz="6" w:space="0" w:color="FFFFFF" w:themeColor="background1"/>
            </w:tcBorders>
            <w:shd w:val="clear" w:color="auto" w:fill="auto"/>
          </w:tcPr>
          <w:p w14:paraId="5984852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0.654</w:t>
            </w:r>
          </w:p>
        </w:tc>
        <w:tc>
          <w:tcPr>
            <w:tcW w:w="1277" w:type="dxa"/>
            <w:tcBorders>
              <w:left w:val="single" w:sz="6" w:space="0" w:color="FFFFFF" w:themeColor="background1"/>
              <w:right w:val="single" w:sz="6" w:space="0" w:color="FFFFFF" w:themeColor="background1"/>
            </w:tcBorders>
            <w:shd w:val="clear" w:color="auto" w:fill="auto"/>
          </w:tcPr>
          <w:p w14:paraId="4BF5C05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1.923</w:t>
            </w:r>
          </w:p>
        </w:tc>
        <w:tc>
          <w:tcPr>
            <w:tcW w:w="992" w:type="dxa"/>
            <w:tcBorders>
              <w:left w:val="single" w:sz="6" w:space="0" w:color="FFFFFF" w:themeColor="background1"/>
            </w:tcBorders>
            <w:shd w:val="clear" w:color="auto" w:fill="auto"/>
          </w:tcPr>
          <w:p w14:paraId="2DE10E9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0.329</w:t>
            </w:r>
          </w:p>
        </w:tc>
        <w:tc>
          <w:tcPr>
            <w:tcW w:w="1276" w:type="dxa"/>
            <w:tcBorders>
              <w:right w:val="single" w:sz="6" w:space="0" w:color="FFFFFF" w:themeColor="background1"/>
            </w:tcBorders>
            <w:shd w:val="clear" w:color="auto" w:fill="auto"/>
          </w:tcPr>
          <w:p w14:paraId="2DF9A52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0.646</w:t>
            </w:r>
          </w:p>
        </w:tc>
        <w:tc>
          <w:tcPr>
            <w:tcW w:w="1276" w:type="dxa"/>
            <w:tcBorders>
              <w:left w:val="single" w:sz="6" w:space="0" w:color="FFFFFF" w:themeColor="background1"/>
              <w:right w:val="single" w:sz="6" w:space="0" w:color="FFFFFF" w:themeColor="background1"/>
            </w:tcBorders>
            <w:shd w:val="clear" w:color="auto" w:fill="auto"/>
          </w:tcPr>
          <w:p w14:paraId="5D418B0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1.907</w:t>
            </w:r>
          </w:p>
        </w:tc>
        <w:tc>
          <w:tcPr>
            <w:tcW w:w="992" w:type="dxa"/>
            <w:tcBorders>
              <w:left w:val="single" w:sz="6" w:space="0" w:color="FFFFFF" w:themeColor="background1"/>
            </w:tcBorders>
            <w:shd w:val="clear" w:color="auto" w:fill="auto"/>
          </w:tcPr>
          <w:p w14:paraId="367F7EC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0.069</w:t>
            </w:r>
          </w:p>
        </w:tc>
        <w:tc>
          <w:tcPr>
            <w:tcW w:w="1276" w:type="dxa"/>
            <w:tcBorders>
              <w:right w:val="single" w:sz="6" w:space="0" w:color="FFFFFF" w:themeColor="background1"/>
            </w:tcBorders>
            <w:shd w:val="clear" w:color="auto" w:fill="auto"/>
          </w:tcPr>
          <w:p w14:paraId="542FA66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0.137</w:t>
            </w:r>
          </w:p>
        </w:tc>
        <w:tc>
          <w:tcPr>
            <w:tcW w:w="1276" w:type="dxa"/>
            <w:tcBorders>
              <w:left w:val="single" w:sz="6" w:space="0" w:color="FFFFFF" w:themeColor="background1"/>
              <w:right w:val="single" w:sz="6" w:space="0" w:color="FFFFFF" w:themeColor="background1"/>
            </w:tcBorders>
            <w:shd w:val="clear" w:color="auto" w:fill="auto"/>
          </w:tcPr>
          <w:p w14:paraId="4310B9C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1.146</w:t>
            </w:r>
          </w:p>
        </w:tc>
        <w:tc>
          <w:tcPr>
            <w:tcW w:w="992" w:type="dxa"/>
            <w:tcBorders>
              <w:left w:val="single" w:sz="6" w:space="0" w:color="FFFFFF" w:themeColor="background1"/>
            </w:tcBorders>
            <w:shd w:val="clear" w:color="auto" w:fill="auto"/>
          </w:tcPr>
          <w:p w14:paraId="73B2FB4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0.698</w:t>
            </w:r>
          </w:p>
        </w:tc>
      </w:tr>
      <w:tr w:rsidR="00BC5B69" w:rsidRPr="00BC5B69" w14:paraId="1E1CF6D0" w14:textId="77777777" w:rsidTr="00BC5B69">
        <w:trPr>
          <w:trHeight w:val="340"/>
          <w:jc w:val="center"/>
        </w:trPr>
        <w:tc>
          <w:tcPr>
            <w:tcW w:w="1839" w:type="dxa"/>
            <w:vAlign w:val="center"/>
          </w:tcPr>
          <w:p w14:paraId="09C7622B"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Urinary Incontinence</w:t>
            </w:r>
          </w:p>
        </w:tc>
        <w:tc>
          <w:tcPr>
            <w:tcW w:w="1277" w:type="dxa"/>
            <w:tcBorders>
              <w:right w:val="single" w:sz="6" w:space="0" w:color="FFFFFF" w:themeColor="background1"/>
            </w:tcBorders>
            <w:shd w:val="clear" w:color="auto" w:fill="auto"/>
          </w:tcPr>
          <w:p w14:paraId="410DC2E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0.903</w:t>
            </w:r>
          </w:p>
        </w:tc>
        <w:tc>
          <w:tcPr>
            <w:tcW w:w="1276" w:type="dxa"/>
            <w:tcBorders>
              <w:left w:val="single" w:sz="6" w:space="0" w:color="FFFFFF" w:themeColor="background1"/>
              <w:right w:val="single" w:sz="6" w:space="0" w:color="FFFFFF" w:themeColor="background1"/>
            </w:tcBorders>
            <w:shd w:val="clear" w:color="auto" w:fill="auto"/>
          </w:tcPr>
          <w:p w14:paraId="47FB8D2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2.468</w:t>
            </w:r>
          </w:p>
        </w:tc>
        <w:tc>
          <w:tcPr>
            <w:tcW w:w="991" w:type="dxa"/>
            <w:tcBorders>
              <w:left w:val="single" w:sz="6" w:space="0" w:color="FFFFFF" w:themeColor="background1"/>
            </w:tcBorders>
            <w:shd w:val="clear" w:color="auto" w:fill="auto"/>
          </w:tcPr>
          <w:p w14:paraId="186324EE"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0.001</w:t>
            </w:r>
          </w:p>
        </w:tc>
        <w:tc>
          <w:tcPr>
            <w:tcW w:w="1278" w:type="dxa"/>
            <w:tcBorders>
              <w:right w:val="single" w:sz="6" w:space="0" w:color="FFFFFF" w:themeColor="background1"/>
            </w:tcBorders>
            <w:shd w:val="clear" w:color="auto" w:fill="auto"/>
          </w:tcPr>
          <w:p w14:paraId="2E8C796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2.017</w:t>
            </w:r>
          </w:p>
        </w:tc>
        <w:tc>
          <w:tcPr>
            <w:tcW w:w="1277" w:type="dxa"/>
            <w:tcBorders>
              <w:left w:val="single" w:sz="6" w:space="0" w:color="FFFFFF" w:themeColor="background1"/>
              <w:right w:val="single" w:sz="6" w:space="0" w:color="FFFFFF" w:themeColor="background1"/>
            </w:tcBorders>
            <w:shd w:val="clear" w:color="auto" w:fill="auto"/>
          </w:tcPr>
          <w:p w14:paraId="5E1B48E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7.518</w:t>
            </w:r>
          </w:p>
        </w:tc>
        <w:tc>
          <w:tcPr>
            <w:tcW w:w="992" w:type="dxa"/>
            <w:tcBorders>
              <w:left w:val="single" w:sz="6" w:space="0" w:color="FFFFFF" w:themeColor="background1"/>
            </w:tcBorders>
            <w:shd w:val="clear" w:color="auto" w:fill="auto"/>
          </w:tcPr>
          <w:p w14:paraId="57C98F6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0.001</w:t>
            </w:r>
          </w:p>
        </w:tc>
        <w:tc>
          <w:tcPr>
            <w:tcW w:w="1276" w:type="dxa"/>
            <w:tcBorders>
              <w:right w:val="single" w:sz="6" w:space="0" w:color="FFFFFF" w:themeColor="background1"/>
            </w:tcBorders>
            <w:shd w:val="clear" w:color="auto" w:fill="auto"/>
          </w:tcPr>
          <w:p w14:paraId="6A8E499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1.073</w:t>
            </w:r>
          </w:p>
        </w:tc>
        <w:tc>
          <w:tcPr>
            <w:tcW w:w="1276" w:type="dxa"/>
            <w:tcBorders>
              <w:left w:val="single" w:sz="6" w:space="0" w:color="FFFFFF" w:themeColor="background1"/>
              <w:right w:val="single" w:sz="6" w:space="0" w:color="FFFFFF" w:themeColor="background1"/>
            </w:tcBorders>
            <w:shd w:val="clear" w:color="auto" w:fill="auto"/>
          </w:tcPr>
          <w:p w14:paraId="6FA9048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2.923</w:t>
            </w:r>
          </w:p>
        </w:tc>
        <w:tc>
          <w:tcPr>
            <w:tcW w:w="992" w:type="dxa"/>
            <w:tcBorders>
              <w:left w:val="single" w:sz="6" w:space="0" w:color="FFFFFF" w:themeColor="background1"/>
            </w:tcBorders>
            <w:shd w:val="clear" w:color="auto" w:fill="auto"/>
          </w:tcPr>
          <w:p w14:paraId="421FD2D6"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shd w:val="clear" w:color="auto" w:fill="auto"/>
          </w:tcPr>
          <w:p w14:paraId="59E8384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1.337</w:t>
            </w:r>
          </w:p>
        </w:tc>
        <w:tc>
          <w:tcPr>
            <w:tcW w:w="1276" w:type="dxa"/>
            <w:tcBorders>
              <w:left w:val="single" w:sz="6" w:space="0" w:color="FFFFFF" w:themeColor="background1"/>
              <w:right w:val="single" w:sz="6" w:space="0" w:color="FFFFFF" w:themeColor="background1"/>
            </w:tcBorders>
            <w:shd w:val="clear" w:color="auto" w:fill="auto"/>
          </w:tcPr>
          <w:p w14:paraId="3CC3E22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3.808</w:t>
            </w:r>
          </w:p>
        </w:tc>
        <w:tc>
          <w:tcPr>
            <w:tcW w:w="992" w:type="dxa"/>
            <w:tcBorders>
              <w:left w:val="single" w:sz="6" w:space="0" w:color="FFFFFF" w:themeColor="background1"/>
            </w:tcBorders>
            <w:shd w:val="clear" w:color="auto" w:fill="auto"/>
          </w:tcPr>
          <w:p w14:paraId="41C783E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r>
      <w:tr w:rsidR="00BC5B69" w:rsidRPr="00BC5B69" w14:paraId="77A8D82F" w14:textId="77777777" w:rsidTr="00BC5B69">
        <w:trPr>
          <w:trHeight w:val="340"/>
          <w:jc w:val="center"/>
        </w:trPr>
        <w:tc>
          <w:tcPr>
            <w:tcW w:w="1839" w:type="dxa"/>
            <w:vAlign w:val="center"/>
          </w:tcPr>
          <w:p w14:paraId="583549A0"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 xml:space="preserve">Vertigo / </w:t>
            </w:r>
            <w:proofErr w:type="spellStart"/>
            <w:r w:rsidRPr="00BC5B69">
              <w:rPr>
                <w:rFonts w:eastAsiaTheme="minorHAnsi"/>
                <w:b/>
                <w:sz w:val="16"/>
                <w:szCs w:val="16"/>
                <w:lang w:val="en-US" w:eastAsia="en-US"/>
              </w:rPr>
              <w:t>Dysbalance</w:t>
            </w:r>
            <w:proofErr w:type="spellEnd"/>
          </w:p>
        </w:tc>
        <w:tc>
          <w:tcPr>
            <w:tcW w:w="1277" w:type="dxa"/>
            <w:tcBorders>
              <w:right w:val="single" w:sz="6" w:space="0" w:color="FFFFFF" w:themeColor="background1"/>
            </w:tcBorders>
            <w:shd w:val="clear" w:color="auto" w:fill="auto"/>
          </w:tcPr>
          <w:p w14:paraId="0F56649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1.611</w:t>
            </w:r>
          </w:p>
        </w:tc>
        <w:tc>
          <w:tcPr>
            <w:tcW w:w="1276" w:type="dxa"/>
            <w:tcBorders>
              <w:left w:val="single" w:sz="6" w:space="0" w:color="FFFFFF" w:themeColor="background1"/>
              <w:right w:val="single" w:sz="6" w:space="0" w:color="FFFFFF" w:themeColor="background1"/>
            </w:tcBorders>
            <w:shd w:val="clear" w:color="auto" w:fill="auto"/>
          </w:tcPr>
          <w:p w14:paraId="005D595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5.009</w:t>
            </w:r>
          </w:p>
        </w:tc>
        <w:tc>
          <w:tcPr>
            <w:tcW w:w="991" w:type="dxa"/>
            <w:tcBorders>
              <w:left w:val="single" w:sz="6" w:space="0" w:color="FFFFFF" w:themeColor="background1"/>
            </w:tcBorders>
            <w:shd w:val="clear" w:color="auto" w:fill="auto"/>
          </w:tcPr>
          <w:p w14:paraId="1839DED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8" w:type="dxa"/>
            <w:tcBorders>
              <w:right w:val="single" w:sz="6" w:space="0" w:color="FFFFFF" w:themeColor="background1"/>
            </w:tcBorders>
            <w:shd w:val="clear" w:color="auto" w:fill="auto"/>
          </w:tcPr>
          <w:p w14:paraId="7F277FD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1.642</w:t>
            </w:r>
          </w:p>
        </w:tc>
        <w:tc>
          <w:tcPr>
            <w:tcW w:w="1277" w:type="dxa"/>
            <w:tcBorders>
              <w:left w:val="single" w:sz="6" w:space="0" w:color="FFFFFF" w:themeColor="background1"/>
              <w:right w:val="single" w:sz="6" w:space="0" w:color="FFFFFF" w:themeColor="background1"/>
            </w:tcBorders>
            <w:shd w:val="clear" w:color="auto" w:fill="auto"/>
          </w:tcPr>
          <w:p w14:paraId="2960C5E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5.164</w:t>
            </w:r>
          </w:p>
        </w:tc>
        <w:tc>
          <w:tcPr>
            <w:tcW w:w="992" w:type="dxa"/>
            <w:tcBorders>
              <w:left w:val="single" w:sz="6" w:space="0" w:color="FFFFFF" w:themeColor="background1"/>
            </w:tcBorders>
            <w:shd w:val="clear" w:color="auto" w:fill="auto"/>
          </w:tcPr>
          <w:p w14:paraId="00956778"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0.006</w:t>
            </w:r>
          </w:p>
        </w:tc>
        <w:tc>
          <w:tcPr>
            <w:tcW w:w="1276" w:type="dxa"/>
            <w:tcBorders>
              <w:right w:val="single" w:sz="6" w:space="0" w:color="FFFFFF" w:themeColor="background1"/>
            </w:tcBorders>
            <w:shd w:val="clear" w:color="auto" w:fill="auto"/>
          </w:tcPr>
          <w:p w14:paraId="7EAF28A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1.298</w:t>
            </w:r>
          </w:p>
        </w:tc>
        <w:tc>
          <w:tcPr>
            <w:tcW w:w="1276" w:type="dxa"/>
            <w:tcBorders>
              <w:left w:val="single" w:sz="6" w:space="0" w:color="FFFFFF" w:themeColor="background1"/>
              <w:right w:val="single" w:sz="6" w:space="0" w:color="FFFFFF" w:themeColor="background1"/>
            </w:tcBorders>
            <w:shd w:val="clear" w:color="auto" w:fill="auto"/>
          </w:tcPr>
          <w:p w14:paraId="20B87CF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3.660</w:t>
            </w:r>
          </w:p>
        </w:tc>
        <w:tc>
          <w:tcPr>
            <w:tcW w:w="992" w:type="dxa"/>
            <w:tcBorders>
              <w:left w:val="single" w:sz="6" w:space="0" w:color="FFFFFF" w:themeColor="background1"/>
            </w:tcBorders>
            <w:shd w:val="clear" w:color="auto" w:fill="auto"/>
          </w:tcPr>
          <w:p w14:paraId="60A0034C"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shd w:val="clear" w:color="auto" w:fill="auto"/>
          </w:tcPr>
          <w:p w14:paraId="75AB717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1.024</w:t>
            </w:r>
          </w:p>
        </w:tc>
        <w:tc>
          <w:tcPr>
            <w:tcW w:w="1276" w:type="dxa"/>
            <w:tcBorders>
              <w:left w:val="single" w:sz="6" w:space="0" w:color="FFFFFF" w:themeColor="background1"/>
              <w:right w:val="single" w:sz="6" w:space="0" w:color="FFFFFF" w:themeColor="background1"/>
            </w:tcBorders>
            <w:shd w:val="clear" w:color="auto" w:fill="auto"/>
          </w:tcPr>
          <w:p w14:paraId="4D2BFF6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2.784</w:t>
            </w:r>
          </w:p>
        </w:tc>
        <w:tc>
          <w:tcPr>
            <w:tcW w:w="992" w:type="dxa"/>
            <w:tcBorders>
              <w:left w:val="single" w:sz="6" w:space="0" w:color="FFFFFF" w:themeColor="background1"/>
            </w:tcBorders>
            <w:shd w:val="clear" w:color="auto" w:fill="auto"/>
          </w:tcPr>
          <w:p w14:paraId="2BF1D5EE"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0.001</w:t>
            </w:r>
          </w:p>
        </w:tc>
      </w:tr>
      <w:tr w:rsidR="00BC5B69" w:rsidRPr="00BC5B69" w14:paraId="27C2A093" w14:textId="77777777" w:rsidTr="00BC5B69">
        <w:trPr>
          <w:trHeight w:val="340"/>
          <w:jc w:val="center"/>
        </w:trPr>
        <w:tc>
          <w:tcPr>
            <w:tcW w:w="1839" w:type="dxa"/>
            <w:vAlign w:val="center"/>
          </w:tcPr>
          <w:p w14:paraId="237A8347"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Walking Stick</w:t>
            </w:r>
          </w:p>
        </w:tc>
        <w:tc>
          <w:tcPr>
            <w:tcW w:w="1277" w:type="dxa"/>
            <w:tcBorders>
              <w:right w:val="single" w:sz="6" w:space="0" w:color="FFFFFF" w:themeColor="background1"/>
            </w:tcBorders>
            <w:shd w:val="clear" w:color="auto" w:fill="auto"/>
          </w:tcPr>
          <w:p w14:paraId="2E0B0C8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0.375</w:t>
            </w:r>
          </w:p>
        </w:tc>
        <w:tc>
          <w:tcPr>
            <w:tcW w:w="1276" w:type="dxa"/>
            <w:tcBorders>
              <w:left w:val="single" w:sz="6" w:space="0" w:color="FFFFFF" w:themeColor="background1"/>
              <w:right w:val="single" w:sz="6" w:space="0" w:color="FFFFFF" w:themeColor="background1"/>
            </w:tcBorders>
            <w:shd w:val="clear" w:color="auto" w:fill="auto"/>
          </w:tcPr>
          <w:p w14:paraId="78ECEA7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1.455</w:t>
            </w:r>
          </w:p>
        </w:tc>
        <w:tc>
          <w:tcPr>
            <w:tcW w:w="991" w:type="dxa"/>
            <w:tcBorders>
              <w:left w:val="single" w:sz="6" w:space="0" w:color="FFFFFF" w:themeColor="background1"/>
            </w:tcBorders>
            <w:shd w:val="clear" w:color="auto" w:fill="auto"/>
          </w:tcPr>
          <w:p w14:paraId="33ECADE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0.343</w:t>
            </w:r>
          </w:p>
        </w:tc>
        <w:tc>
          <w:tcPr>
            <w:tcW w:w="1278" w:type="dxa"/>
            <w:tcBorders>
              <w:right w:val="single" w:sz="6" w:space="0" w:color="FFFFFF" w:themeColor="background1"/>
            </w:tcBorders>
            <w:shd w:val="clear" w:color="auto" w:fill="auto"/>
          </w:tcPr>
          <w:p w14:paraId="19D75CF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1.706</w:t>
            </w:r>
          </w:p>
        </w:tc>
        <w:tc>
          <w:tcPr>
            <w:tcW w:w="1277" w:type="dxa"/>
            <w:tcBorders>
              <w:left w:val="single" w:sz="6" w:space="0" w:color="FFFFFF" w:themeColor="background1"/>
              <w:right w:val="single" w:sz="6" w:space="0" w:color="FFFFFF" w:themeColor="background1"/>
            </w:tcBorders>
            <w:shd w:val="clear" w:color="auto" w:fill="auto"/>
          </w:tcPr>
          <w:p w14:paraId="761558F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5.504</w:t>
            </w:r>
          </w:p>
        </w:tc>
        <w:tc>
          <w:tcPr>
            <w:tcW w:w="992" w:type="dxa"/>
            <w:tcBorders>
              <w:left w:val="single" w:sz="6" w:space="0" w:color="FFFFFF" w:themeColor="background1"/>
            </w:tcBorders>
            <w:shd w:val="clear" w:color="auto" w:fill="auto"/>
          </w:tcPr>
          <w:p w14:paraId="2C0336F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0.002</w:t>
            </w:r>
          </w:p>
        </w:tc>
        <w:tc>
          <w:tcPr>
            <w:tcW w:w="1276" w:type="dxa"/>
            <w:tcBorders>
              <w:right w:val="single" w:sz="6" w:space="0" w:color="FFFFFF" w:themeColor="background1"/>
            </w:tcBorders>
            <w:shd w:val="clear" w:color="auto" w:fill="auto"/>
          </w:tcPr>
          <w:p w14:paraId="1260EBA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2.459</w:t>
            </w:r>
          </w:p>
        </w:tc>
        <w:tc>
          <w:tcPr>
            <w:tcW w:w="1276" w:type="dxa"/>
            <w:tcBorders>
              <w:left w:val="single" w:sz="6" w:space="0" w:color="FFFFFF" w:themeColor="background1"/>
              <w:right w:val="single" w:sz="6" w:space="0" w:color="FFFFFF" w:themeColor="background1"/>
            </w:tcBorders>
            <w:shd w:val="clear" w:color="auto" w:fill="auto"/>
          </w:tcPr>
          <w:p w14:paraId="2B3DA03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11.689</w:t>
            </w:r>
          </w:p>
        </w:tc>
        <w:tc>
          <w:tcPr>
            <w:tcW w:w="992" w:type="dxa"/>
            <w:tcBorders>
              <w:left w:val="single" w:sz="6" w:space="0" w:color="FFFFFF" w:themeColor="background1"/>
            </w:tcBorders>
            <w:shd w:val="clear" w:color="auto" w:fill="auto"/>
          </w:tcPr>
          <w:p w14:paraId="763928F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shd w:val="clear" w:color="auto" w:fill="auto"/>
          </w:tcPr>
          <w:p w14:paraId="09E464C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1.944</w:t>
            </w:r>
          </w:p>
        </w:tc>
        <w:tc>
          <w:tcPr>
            <w:tcW w:w="1276" w:type="dxa"/>
            <w:tcBorders>
              <w:left w:val="single" w:sz="6" w:space="0" w:color="FFFFFF" w:themeColor="background1"/>
              <w:right w:val="single" w:sz="6" w:space="0" w:color="FFFFFF" w:themeColor="background1"/>
            </w:tcBorders>
            <w:shd w:val="clear" w:color="auto" w:fill="auto"/>
          </w:tcPr>
          <w:p w14:paraId="19FB7EE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6.989</w:t>
            </w:r>
          </w:p>
        </w:tc>
        <w:tc>
          <w:tcPr>
            <w:tcW w:w="992" w:type="dxa"/>
            <w:tcBorders>
              <w:left w:val="single" w:sz="6" w:space="0" w:color="FFFFFF" w:themeColor="background1"/>
            </w:tcBorders>
            <w:shd w:val="clear" w:color="auto" w:fill="auto"/>
          </w:tcPr>
          <w:p w14:paraId="60408F34"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r>
      <w:tr w:rsidR="00BC5B69" w:rsidRPr="00BC5B69" w14:paraId="4FFA6367" w14:textId="77777777" w:rsidTr="00BC5B69">
        <w:trPr>
          <w:trHeight w:val="340"/>
          <w:jc w:val="center"/>
        </w:trPr>
        <w:tc>
          <w:tcPr>
            <w:tcW w:w="1839" w:type="dxa"/>
            <w:vAlign w:val="center"/>
          </w:tcPr>
          <w:p w14:paraId="7096E358"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Sodium</w:t>
            </w:r>
          </w:p>
        </w:tc>
        <w:tc>
          <w:tcPr>
            <w:tcW w:w="1277" w:type="dxa"/>
            <w:tcBorders>
              <w:right w:val="single" w:sz="6" w:space="0" w:color="FFFFFF" w:themeColor="background1"/>
            </w:tcBorders>
            <w:shd w:val="clear" w:color="auto" w:fill="auto"/>
          </w:tcPr>
          <w:p w14:paraId="679C8CC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-0.025</w:t>
            </w:r>
          </w:p>
        </w:tc>
        <w:tc>
          <w:tcPr>
            <w:tcW w:w="1276" w:type="dxa"/>
            <w:tcBorders>
              <w:left w:val="single" w:sz="6" w:space="0" w:color="FFFFFF" w:themeColor="background1"/>
              <w:right w:val="single" w:sz="6" w:space="0" w:color="FFFFFF" w:themeColor="background1"/>
            </w:tcBorders>
            <w:shd w:val="clear" w:color="auto" w:fill="auto"/>
          </w:tcPr>
          <w:p w14:paraId="7BD2424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0.975</w:t>
            </w:r>
          </w:p>
        </w:tc>
        <w:tc>
          <w:tcPr>
            <w:tcW w:w="991" w:type="dxa"/>
            <w:tcBorders>
              <w:left w:val="single" w:sz="6" w:space="0" w:color="FFFFFF" w:themeColor="background1"/>
            </w:tcBorders>
            <w:shd w:val="clear" w:color="auto" w:fill="auto"/>
          </w:tcPr>
          <w:p w14:paraId="4C4490C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0.541</w:t>
            </w:r>
          </w:p>
        </w:tc>
        <w:tc>
          <w:tcPr>
            <w:tcW w:w="1278" w:type="dxa"/>
            <w:tcBorders>
              <w:right w:val="single" w:sz="6" w:space="0" w:color="FFFFFF" w:themeColor="background1"/>
            </w:tcBorders>
            <w:shd w:val="clear" w:color="auto" w:fill="auto"/>
          </w:tcPr>
          <w:p w14:paraId="7D73021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-0.065</w:t>
            </w:r>
          </w:p>
        </w:tc>
        <w:tc>
          <w:tcPr>
            <w:tcW w:w="1277" w:type="dxa"/>
            <w:tcBorders>
              <w:left w:val="single" w:sz="6" w:space="0" w:color="FFFFFF" w:themeColor="background1"/>
              <w:right w:val="single" w:sz="6" w:space="0" w:color="FFFFFF" w:themeColor="background1"/>
            </w:tcBorders>
            <w:shd w:val="clear" w:color="auto" w:fill="auto"/>
          </w:tcPr>
          <w:p w14:paraId="40256BA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0.937</w:t>
            </w:r>
          </w:p>
        </w:tc>
        <w:tc>
          <w:tcPr>
            <w:tcW w:w="992" w:type="dxa"/>
            <w:tcBorders>
              <w:left w:val="single" w:sz="6" w:space="0" w:color="FFFFFF" w:themeColor="background1"/>
            </w:tcBorders>
            <w:shd w:val="clear" w:color="auto" w:fill="auto"/>
          </w:tcPr>
          <w:p w14:paraId="76A0B4F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0.337</w:t>
            </w:r>
          </w:p>
        </w:tc>
        <w:tc>
          <w:tcPr>
            <w:tcW w:w="1276" w:type="dxa"/>
            <w:tcBorders>
              <w:right w:val="single" w:sz="6" w:space="0" w:color="FFFFFF" w:themeColor="background1"/>
            </w:tcBorders>
            <w:shd w:val="clear" w:color="auto" w:fill="auto"/>
          </w:tcPr>
          <w:p w14:paraId="0E4B883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-0.052</w:t>
            </w:r>
          </w:p>
        </w:tc>
        <w:tc>
          <w:tcPr>
            <w:tcW w:w="1276" w:type="dxa"/>
            <w:tcBorders>
              <w:left w:val="single" w:sz="6" w:space="0" w:color="FFFFFF" w:themeColor="background1"/>
              <w:right w:val="single" w:sz="6" w:space="0" w:color="FFFFFF" w:themeColor="background1"/>
            </w:tcBorders>
            <w:shd w:val="clear" w:color="auto" w:fill="auto"/>
          </w:tcPr>
          <w:p w14:paraId="02B5F5E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0.949</w:t>
            </w:r>
          </w:p>
        </w:tc>
        <w:tc>
          <w:tcPr>
            <w:tcW w:w="992" w:type="dxa"/>
            <w:tcBorders>
              <w:left w:val="single" w:sz="6" w:space="0" w:color="FFFFFF" w:themeColor="background1"/>
            </w:tcBorders>
            <w:shd w:val="clear" w:color="auto" w:fill="auto"/>
          </w:tcPr>
          <w:p w14:paraId="19A7A12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0.217</w:t>
            </w:r>
          </w:p>
        </w:tc>
        <w:tc>
          <w:tcPr>
            <w:tcW w:w="1276" w:type="dxa"/>
            <w:tcBorders>
              <w:right w:val="single" w:sz="6" w:space="0" w:color="FFFFFF" w:themeColor="background1"/>
            </w:tcBorders>
            <w:shd w:val="clear" w:color="auto" w:fill="auto"/>
          </w:tcPr>
          <w:p w14:paraId="4EDDD67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-0.044</w:t>
            </w:r>
          </w:p>
        </w:tc>
        <w:tc>
          <w:tcPr>
            <w:tcW w:w="1276" w:type="dxa"/>
            <w:tcBorders>
              <w:left w:val="single" w:sz="6" w:space="0" w:color="FFFFFF" w:themeColor="background1"/>
              <w:right w:val="single" w:sz="6" w:space="0" w:color="FFFFFF" w:themeColor="background1"/>
            </w:tcBorders>
            <w:shd w:val="clear" w:color="auto" w:fill="auto"/>
          </w:tcPr>
          <w:p w14:paraId="2F78A14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0.957</w:t>
            </w:r>
          </w:p>
        </w:tc>
        <w:tc>
          <w:tcPr>
            <w:tcW w:w="992" w:type="dxa"/>
            <w:tcBorders>
              <w:left w:val="single" w:sz="6" w:space="0" w:color="FFFFFF" w:themeColor="background1"/>
            </w:tcBorders>
            <w:shd w:val="clear" w:color="auto" w:fill="auto"/>
          </w:tcPr>
          <w:p w14:paraId="41CF7CF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0.304</w:t>
            </w:r>
          </w:p>
        </w:tc>
      </w:tr>
      <w:tr w:rsidR="00BC5B69" w:rsidRPr="00BC5B69" w14:paraId="6C0DC54F" w14:textId="77777777" w:rsidTr="00BC5B69">
        <w:trPr>
          <w:trHeight w:val="340"/>
          <w:jc w:val="center"/>
        </w:trPr>
        <w:tc>
          <w:tcPr>
            <w:tcW w:w="1839" w:type="dxa"/>
            <w:vAlign w:val="center"/>
          </w:tcPr>
          <w:p w14:paraId="53C4456D"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Vitamin D</w:t>
            </w:r>
          </w:p>
        </w:tc>
        <w:tc>
          <w:tcPr>
            <w:tcW w:w="1277" w:type="dxa"/>
            <w:tcBorders>
              <w:right w:val="single" w:sz="6" w:space="0" w:color="FFFFFF" w:themeColor="background1"/>
            </w:tcBorders>
            <w:shd w:val="clear" w:color="auto" w:fill="auto"/>
          </w:tcPr>
          <w:p w14:paraId="2BA84CB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0.005</w:t>
            </w:r>
          </w:p>
        </w:tc>
        <w:tc>
          <w:tcPr>
            <w:tcW w:w="1276" w:type="dxa"/>
            <w:tcBorders>
              <w:left w:val="single" w:sz="6" w:space="0" w:color="FFFFFF" w:themeColor="background1"/>
              <w:right w:val="single" w:sz="6" w:space="0" w:color="FFFFFF" w:themeColor="background1"/>
            </w:tcBorders>
            <w:shd w:val="clear" w:color="auto" w:fill="auto"/>
          </w:tcPr>
          <w:p w14:paraId="7294452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1.005</w:t>
            </w:r>
          </w:p>
        </w:tc>
        <w:tc>
          <w:tcPr>
            <w:tcW w:w="991" w:type="dxa"/>
            <w:tcBorders>
              <w:left w:val="single" w:sz="6" w:space="0" w:color="FFFFFF" w:themeColor="background1"/>
            </w:tcBorders>
            <w:shd w:val="clear" w:color="auto" w:fill="auto"/>
          </w:tcPr>
          <w:p w14:paraId="3D2DAAE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0.717</w:t>
            </w:r>
          </w:p>
        </w:tc>
        <w:tc>
          <w:tcPr>
            <w:tcW w:w="1278" w:type="dxa"/>
            <w:tcBorders>
              <w:right w:val="single" w:sz="6" w:space="0" w:color="FFFFFF" w:themeColor="background1"/>
            </w:tcBorders>
            <w:shd w:val="clear" w:color="auto" w:fill="auto"/>
          </w:tcPr>
          <w:p w14:paraId="1C015F1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-0.003</w:t>
            </w:r>
          </w:p>
        </w:tc>
        <w:tc>
          <w:tcPr>
            <w:tcW w:w="1277" w:type="dxa"/>
            <w:tcBorders>
              <w:left w:val="single" w:sz="6" w:space="0" w:color="FFFFFF" w:themeColor="background1"/>
              <w:right w:val="single" w:sz="6" w:space="0" w:color="FFFFFF" w:themeColor="background1"/>
            </w:tcBorders>
            <w:shd w:val="clear" w:color="auto" w:fill="auto"/>
          </w:tcPr>
          <w:p w14:paraId="7BAAD28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0.997</w:t>
            </w:r>
          </w:p>
        </w:tc>
        <w:tc>
          <w:tcPr>
            <w:tcW w:w="992" w:type="dxa"/>
            <w:tcBorders>
              <w:left w:val="single" w:sz="6" w:space="0" w:color="FFFFFF" w:themeColor="background1"/>
            </w:tcBorders>
            <w:shd w:val="clear" w:color="auto" w:fill="auto"/>
          </w:tcPr>
          <w:p w14:paraId="635B233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0.902</w:t>
            </w:r>
          </w:p>
        </w:tc>
        <w:tc>
          <w:tcPr>
            <w:tcW w:w="1276" w:type="dxa"/>
            <w:tcBorders>
              <w:right w:val="single" w:sz="6" w:space="0" w:color="FFFFFF" w:themeColor="background1"/>
            </w:tcBorders>
            <w:shd w:val="clear" w:color="auto" w:fill="auto"/>
          </w:tcPr>
          <w:p w14:paraId="3A63BCC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0.005</w:t>
            </w:r>
          </w:p>
        </w:tc>
        <w:tc>
          <w:tcPr>
            <w:tcW w:w="1276" w:type="dxa"/>
            <w:tcBorders>
              <w:left w:val="single" w:sz="6" w:space="0" w:color="FFFFFF" w:themeColor="background1"/>
              <w:right w:val="single" w:sz="6" w:space="0" w:color="FFFFFF" w:themeColor="background1"/>
            </w:tcBorders>
            <w:shd w:val="clear" w:color="auto" w:fill="auto"/>
          </w:tcPr>
          <w:p w14:paraId="1F4E853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1.005</w:t>
            </w:r>
          </w:p>
        </w:tc>
        <w:tc>
          <w:tcPr>
            <w:tcW w:w="992" w:type="dxa"/>
            <w:tcBorders>
              <w:left w:val="single" w:sz="6" w:space="0" w:color="FFFFFF" w:themeColor="background1"/>
            </w:tcBorders>
            <w:shd w:val="clear" w:color="auto" w:fill="auto"/>
          </w:tcPr>
          <w:p w14:paraId="2259AE8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0.717</w:t>
            </w:r>
          </w:p>
        </w:tc>
        <w:tc>
          <w:tcPr>
            <w:tcW w:w="1276" w:type="dxa"/>
            <w:tcBorders>
              <w:right w:val="single" w:sz="6" w:space="0" w:color="FFFFFF" w:themeColor="background1"/>
            </w:tcBorders>
            <w:shd w:val="clear" w:color="auto" w:fill="auto"/>
          </w:tcPr>
          <w:p w14:paraId="658859B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-0.018</w:t>
            </w:r>
          </w:p>
        </w:tc>
        <w:tc>
          <w:tcPr>
            <w:tcW w:w="1276" w:type="dxa"/>
            <w:tcBorders>
              <w:left w:val="single" w:sz="6" w:space="0" w:color="FFFFFF" w:themeColor="background1"/>
              <w:right w:val="single" w:sz="6" w:space="0" w:color="FFFFFF" w:themeColor="background1"/>
            </w:tcBorders>
            <w:shd w:val="clear" w:color="auto" w:fill="auto"/>
          </w:tcPr>
          <w:p w14:paraId="3AE5921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0.982</w:t>
            </w:r>
          </w:p>
        </w:tc>
        <w:tc>
          <w:tcPr>
            <w:tcW w:w="992" w:type="dxa"/>
            <w:tcBorders>
              <w:left w:val="single" w:sz="6" w:space="0" w:color="FFFFFF" w:themeColor="background1"/>
            </w:tcBorders>
            <w:shd w:val="clear" w:color="auto" w:fill="auto"/>
          </w:tcPr>
          <w:p w14:paraId="1421B44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0.226</w:t>
            </w:r>
          </w:p>
        </w:tc>
      </w:tr>
      <w:tr w:rsidR="00BC5B69" w:rsidRPr="00BC5B69" w14:paraId="766AC1DF" w14:textId="77777777" w:rsidTr="00BC5B69">
        <w:trPr>
          <w:trHeight w:val="340"/>
          <w:jc w:val="center"/>
        </w:trPr>
        <w:tc>
          <w:tcPr>
            <w:tcW w:w="1839" w:type="dxa"/>
            <w:vAlign w:val="center"/>
          </w:tcPr>
          <w:p w14:paraId="67574668"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Vitamin B12</w:t>
            </w:r>
          </w:p>
        </w:tc>
        <w:tc>
          <w:tcPr>
            <w:tcW w:w="1277" w:type="dxa"/>
            <w:tcBorders>
              <w:right w:val="single" w:sz="6" w:space="0" w:color="FFFFFF" w:themeColor="background1"/>
            </w:tcBorders>
            <w:shd w:val="clear" w:color="auto" w:fill="auto"/>
          </w:tcPr>
          <w:p w14:paraId="1A34F46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&lt;0.001</w:t>
            </w:r>
          </w:p>
        </w:tc>
        <w:tc>
          <w:tcPr>
            <w:tcW w:w="1276" w:type="dxa"/>
            <w:tcBorders>
              <w:left w:val="single" w:sz="6" w:space="0" w:color="FFFFFF" w:themeColor="background1"/>
              <w:right w:val="single" w:sz="6" w:space="0" w:color="FFFFFF" w:themeColor="background1"/>
            </w:tcBorders>
            <w:shd w:val="clear" w:color="auto" w:fill="auto"/>
          </w:tcPr>
          <w:p w14:paraId="7C90C71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1.000</w:t>
            </w:r>
          </w:p>
        </w:tc>
        <w:tc>
          <w:tcPr>
            <w:tcW w:w="991" w:type="dxa"/>
            <w:tcBorders>
              <w:left w:val="single" w:sz="6" w:space="0" w:color="FFFFFF" w:themeColor="background1"/>
            </w:tcBorders>
            <w:shd w:val="clear" w:color="auto" w:fill="auto"/>
          </w:tcPr>
          <w:p w14:paraId="5933B07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0.435</w:t>
            </w:r>
          </w:p>
        </w:tc>
        <w:tc>
          <w:tcPr>
            <w:tcW w:w="1278" w:type="dxa"/>
            <w:tcBorders>
              <w:right w:val="single" w:sz="6" w:space="0" w:color="FFFFFF" w:themeColor="background1"/>
            </w:tcBorders>
            <w:shd w:val="clear" w:color="auto" w:fill="auto"/>
          </w:tcPr>
          <w:p w14:paraId="2F06056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&lt;0.001</w:t>
            </w:r>
          </w:p>
        </w:tc>
        <w:tc>
          <w:tcPr>
            <w:tcW w:w="1277" w:type="dxa"/>
            <w:tcBorders>
              <w:left w:val="single" w:sz="6" w:space="0" w:color="FFFFFF" w:themeColor="background1"/>
              <w:right w:val="single" w:sz="6" w:space="0" w:color="FFFFFF" w:themeColor="background1"/>
            </w:tcBorders>
            <w:shd w:val="clear" w:color="auto" w:fill="auto"/>
          </w:tcPr>
          <w:p w14:paraId="150AD68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1.000</w:t>
            </w:r>
          </w:p>
        </w:tc>
        <w:tc>
          <w:tcPr>
            <w:tcW w:w="992" w:type="dxa"/>
            <w:tcBorders>
              <w:left w:val="single" w:sz="6" w:space="0" w:color="FFFFFF" w:themeColor="background1"/>
            </w:tcBorders>
            <w:shd w:val="clear" w:color="auto" w:fill="auto"/>
          </w:tcPr>
          <w:p w14:paraId="5BD5C2A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0.824</w:t>
            </w:r>
          </w:p>
        </w:tc>
        <w:tc>
          <w:tcPr>
            <w:tcW w:w="1276" w:type="dxa"/>
            <w:tcBorders>
              <w:right w:val="single" w:sz="6" w:space="0" w:color="FFFFFF" w:themeColor="background1"/>
            </w:tcBorders>
            <w:shd w:val="clear" w:color="auto" w:fill="auto"/>
          </w:tcPr>
          <w:p w14:paraId="32995BE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-0.001</w:t>
            </w:r>
          </w:p>
        </w:tc>
        <w:tc>
          <w:tcPr>
            <w:tcW w:w="1276" w:type="dxa"/>
            <w:tcBorders>
              <w:left w:val="single" w:sz="6" w:space="0" w:color="FFFFFF" w:themeColor="background1"/>
              <w:right w:val="single" w:sz="6" w:space="0" w:color="FFFFFF" w:themeColor="background1"/>
            </w:tcBorders>
            <w:shd w:val="clear" w:color="auto" w:fill="auto"/>
          </w:tcPr>
          <w:p w14:paraId="40689C7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0.999</w:t>
            </w:r>
          </w:p>
        </w:tc>
        <w:tc>
          <w:tcPr>
            <w:tcW w:w="992" w:type="dxa"/>
            <w:tcBorders>
              <w:left w:val="single" w:sz="6" w:space="0" w:color="FFFFFF" w:themeColor="background1"/>
            </w:tcBorders>
            <w:shd w:val="clear" w:color="auto" w:fill="auto"/>
          </w:tcPr>
          <w:p w14:paraId="084672D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0.191</w:t>
            </w:r>
          </w:p>
        </w:tc>
        <w:tc>
          <w:tcPr>
            <w:tcW w:w="1276" w:type="dxa"/>
            <w:tcBorders>
              <w:right w:val="single" w:sz="6" w:space="0" w:color="FFFFFF" w:themeColor="background1"/>
            </w:tcBorders>
            <w:shd w:val="clear" w:color="auto" w:fill="auto"/>
          </w:tcPr>
          <w:p w14:paraId="11B183F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&lt;0.001</w:t>
            </w:r>
          </w:p>
        </w:tc>
        <w:tc>
          <w:tcPr>
            <w:tcW w:w="1276" w:type="dxa"/>
            <w:tcBorders>
              <w:left w:val="single" w:sz="6" w:space="0" w:color="FFFFFF" w:themeColor="background1"/>
              <w:right w:val="single" w:sz="6" w:space="0" w:color="FFFFFF" w:themeColor="background1"/>
            </w:tcBorders>
            <w:shd w:val="clear" w:color="auto" w:fill="auto"/>
          </w:tcPr>
          <w:p w14:paraId="62217CD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1.000</w:t>
            </w:r>
          </w:p>
        </w:tc>
        <w:tc>
          <w:tcPr>
            <w:tcW w:w="992" w:type="dxa"/>
            <w:tcBorders>
              <w:left w:val="single" w:sz="6" w:space="0" w:color="FFFFFF" w:themeColor="background1"/>
            </w:tcBorders>
            <w:shd w:val="clear" w:color="auto" w:fill="auto"/>
          </w:tcPr>
          <w:p w14:paraId="39BF2E9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0.681</w:t>
            </w:r>
          </w:p>
        </w:tc>
      </w:tr>
      <w:tr w:rsidR="00BC5B69" w:rsidRPr="00BC5B69" w14:paraId="6326DCA3" w14:textId="77777777" w:rsidTr="00BC5B69">
        <w:trPr>
          <w:trHeight w:val="340"/>
          <w:jc w:val="center"/>
        </w:trPr>
        <w:tc>
          <w:tcPr>
            <w:tcW w:w="1839" w:type="dxa"/>
            <w:vAlign w:val="center"/>
          </w:tcPr>
          <w:p w14:paraId="789C8D9B"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Folate</w:t>
            </w:r>
          </w:p>
        </w:tc>
        <w:tc>
          <w:tcPr>
            <w:tcW w:w="1277" w:type="dxa"/>
            <w:tcBorders>
              <w:right w:val="single" w:sz="6" w:space="0" w:color="FFFFFF" w:themeColor="background1"/>
            </w:tcBorders>
            <w:shd w:val="clear" w:color="auto" w:fill="auto"/>
          </w:tcPr>
          <w:p w14:paraId="28F16E6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-0.003</w:t>
            </w:r>
          </w:p>
        </w:tc>
        <w:tc>
          <w:tcPr>
            <w:tcW w:w="1276" w:type="dxa"/>
            <w:tcBorders>
              <w:left w:val="single" w:sz="6" w:space="0" w:color="FFFFFF" w:themeColor="background1"/>
              <w:right w:val="single" w:sz="6" w:space="0" w:color="FFFFFF" w:themeColor="background1"/>
            </w:tcBorders>
            <w:shd w:val="clear" w:color="auto" w:fill="auto"/>
          </w:tcPr>
          <w:p w14:paraId="5125C32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0.997</w:t>
            </w:r>
          </w:p>
        </w:tc>
        <w:tc>
          <w:tcPr>
            <w:tcW w:w="991" w:type="dxa"/>
            <w:tcBorders>
              <w:left w:val="single" w:sz="6" w:space="0" w:color="FFFFFF" w:themeColor="background1"/>
            </w:tcBorders>
            <w:shd w:val="clear" w:color="auto" w:fill="auto"/>
          </w:tcPr>
          <w:p w14:paraId="30BBB50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0.947</w:t>
            </w:r>
          </w:p>
        </w:tc>
        <w:tc>
          <w:tcPr>
            <w:tcW w:w="1278" w:type="dxa"/>
            <w:tcBorders>
              <w:right w:val="single" w:sz="6" w:space="0" w:color="FFFFFF" w:themeColor="background1"/>
            </w:tcBorders>
            <w:shd w:val="clear" w:color="auto" w:fill="auto"/>
          </w:tcPr>
          <w:p w14:paraId="2C1CF14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0.056</w:t>
            </w:r>
          </w:p>
        </w:tc>
        <w:tc>
          <w:tcPr>
            <w:tcW w:w="1277" w:type="dxa"/>
            <w:tcBorders>
              <w:left w:val="single" w:sz="6" w:space="0" w:color="FFFFFF" w:themeColor="background1"/>
              <w:right w:val="single" w:sz="6" w:space="0" w:color="FFFFFF" w:themeColor="background1"/>
            </w:tcBorders>
            <w:shd w:val="clear" w:color="auto" w:fill="auto"/>
          </w:tcPr>
          <w:p w14:paraId="6D606CC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1.058</w:t>
            </w:r>
          </w:p>
        </w:tc>
        <w:tc>
          <w:tcPr>
            <w:tcW w:w="992" w:type="dxa"/>
            <w:tcBorders>
              <w:left w:val="single" w:sz="6" w:space="0" w:color="FFFFFF" w:themeColor="background1"/>
            </w:tcBorders>
            <w:shd w:val="clear" w:color="auto" w:fill="auto"/>
          </w:tcPr>
          <w:p w14:paraId="27392B0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0.342</w:t>
            </w:r>
          </w:p>
        </w:tc>
        <w:tc>
          <w:tcPr>
            <w:tcW w:w="1276" w:type="dxa"/>
            <w:tcBorders>
              <w:right w:val="single" w:sz="6" w:space="0" w:color="FFFFFF" w:themeColor="background1"/>
            </w:tcBorders>
            <w:shd w:val="clear" w:color="auto" w:fill="auto"/>
          </w:tcPr>
          <w:p w14:paraId="5733F88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-0.027</w:t>
            </w:r>
          </w:p>
        </w:tc>
        <w:tc>
          <w:tcPr>
            <w:tcW w:w="1276" w:type="dxa"/>
            <w:tcBorders>
              <w:left w:val="single" w:sz="6" w:space="0" w:color="FFFFFF" w:themeColor="background1"/>
              <w:right w:val="single" w:sz="6" w:space="0" w:color="FFFFFF" w:themeColor="background1"/>
            </w:tcBorders>
            <w:shd w:val="clear" w:color="auto" w:fill="auto"/>
          </w:tcPr>
          <w:p w14:paraId="7FD1C56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0.973</w:t>
            </w:r>
          </w:p>
        </w:tc>
        <w:tc>
          <w:tcPr>
            <w:tcW w:w="992" w:type="dxa"/>
            <w:tcBorders>
              <w:left w:val="single" w:sz="6" w:space="0" w:color="FFFFFF" w:themeColor="background1"/>
            </w:tcBorders>
            <w:shd w:val="clear" w:color="auto" w:fill="auto"/>
          </w:tcPr>
          <w:p w14:paraId="2D8EFE6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0.505</w:t>
            </w:r>
          </w:p>
        </w:tc>
        <w:tc>
          <w:tcPr>
            <w:tcW w:w="1276" w:type="dxa"/>
            <w:tcBorders>
              <w:right w:val="single" w:sz="6" w:space="0" w:color="FFFFFF" w:themeColor="background1"/>
            </w:tcBorders>
            <w:shd w:val="clear" w:color="auto" w:fill="auto"/>
          </w:tcPr>
          <w:p w14:paraId="61C1696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-0.046</w:t>
            </w:r>
          </w:p>
        </w:tc>
        <w:tc>
          <w:tcPr>
            <w:tcW w:w="1276" w:type="dxa"/>
            <w:tcBorders>
              <w:left w:val="single" w:sz="6" w:space="0" w:color="FFFFFF" w:themeColor="background1"/>
              <w:right w:val="single" w:sz="6" w:space="0" w:color="FFFFFF" w:themeColor="background1"/>
            </w:tcBorders>
            <w:shd w:val="clear" w:color="auto" w:fill="auto"/>
          </w:tcPr>
          <w:p w14:paraId="53F4E3D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0.955</w:t>
            </w:r>
          </w:p>
        </w:tc>
        <w:tc>
          <w:tcPr>
            <w:tcW w:w="992" w:type="dxa"/>
            <w:tcBorders>
              <w:left w:val="single" w:sz="6" w:space="0" w:color="FFFFFF" w:themeColor="background1"/>
            </w:tcBorders>
            <w:shd w:val="clear" w:color="auto" w:fill="auto"/>
          </w:tcPr>
          <w:p w14:paraId="74D67A8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0.294</w:t>
            </w:r>
          </w:p>
        </w:tc>
      </w:tr>
      <w:tr w:rsidR="00BC5B69" w:rsidRPr="00BC5B69" w14:paraId="41D92DD0" w14:textId="77777777" w:rsidTr="00BC5B69">
        <w:trPr>
          <w:trHeight w:val="340"/>
          <w:jc w:val="center"/>
        </w:trPr>
        <w:tc>
          <w:tcPr>
            <w:tcW w:w="1839" w:type="dxa"/>
          </w:tcPr>
          <w:p w14:paraId="64EB4C87"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MMSE</w:t>
            </w:r>
          </w:p>
        </w:tc>
        <w:tc>
          <w:tcPr>
            <w:tcW w:w="1277" w:type="dxa"/>
            <w:tcBorders>
              <w:right w:val="single" w:sz="6" w:space="0" w:color="FFFFFF" w:themeColor="background1"/>
            </w:tcBorders>
          </w:tcPr>
          <w:p w14:paraId="31E3C5C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0.821</w:t>
            </w:r>
          </w:p>
        </w:tc>
        <w:tc>
          <w:tcPr>
            <w:tcW w:w="1276" w:type="dxa"/>
            <w:tcBorders>
              <w:left w:val="single" w:sz="6" w:space="0" w:color="FFFFFF" w:themeColor="background1"/>
              <w:right w:val="single" w:sz="6" w:space="0" w:color="FFFFFF" w:themeColor="background1"/>
            </w:tcBorders>
          </w:tcPr>
          <w:p w14:paraId="0A279BB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2.274</w:t>
            </w:r>
          </w:p>
        </w:tc>
        <w:tc>
          <w:tcPr>
            <w:tcW w:w="991" w:type="dxa"/>
            <w:tcBorders>
              <w:left w:val="single" w:sz="6" w:space="0" w:color="FFFFFF" w:themeColor="background1"/>
            </w:tcBorders>
          </w:tcPr>
          <w:p w14:paraId="2C8CAFD1"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0.010</w:t>
            </w:r>
          </w:p>
        </w:tc>
        <w:tc>
          <w:tcPr>
            <w:tcW w:w="1278" w:type="dxa"/>
            <w:tcBorders>
              <w:right w:val="single" w:sz="6" w:space="0" w:color="FFFFFF" w:themeColor="background1"/>
            </w:tcBorders>
          </w:tcPr>
          <w:p w14:paraId="2C41A89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1.872</w:t>
            </w:r>
          </w:p>
        </w:tc>
        <w:tc>
          <w:tcPr>
            <w:tcW w:w="1277" w:type="dxa"/>
            <w:tcBorders>
              <w:left w:val="single" w:sz="6" w:space="0" w:color="FFFFFF" w:themeColor="background1"/>
              <w:right w:val="single" w:sz="6" w:space="0" w:color="FFFFFF" w:themeColor="background1"/>
            </w:tcBorders>
          </w:tcPr>
          <w:p w14:paraId="6DED5D2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6.502</w:t>
            </w:r>
          </w:p>
        </w:tc>
        <w:tc>
          <w:tcPr>
            <w:tcW w:w="992" w:type="dxa"/>
            <w:tcBorders>
              <w:left w:val="single" w:sz="6" w:space="0" w:color="FFFFFF" w:themeColor="background1"/>
            </w:tcBorders>
          </w:tcPr>
          <w:p w14:paraId="461B9921"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0.006</w:t>
            </w:r>
          </w:p>
        </w:tc>
        <w:tc>
          <w:tcPr>
            <w:tcW w:w="1276" w:type="dxa"/>
            <w:tcBorders>
              <w:right w:val="single" w:sz="6" w:space="0" w:color="FFFFFF" w:themeColor="background1"/>
            </w:tcBorders>
          </w:tcPr>
          <w:p w14:paraId="2BCE597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1.162</w:t>
            </w:r>
          </w:p>
        </w:tc>
        <w:tc>
          <w:tcPr>
            <w:tcW w:w="1276" w:type="dxa"/>
            <w:tcBorders>
              <w:left w:val="single" w:sz="6" w:space="0" w:color="FFFFFF" w:themeColor="background1"/>
              <w:right w:val="single" w:sz="6" w:space="0" w:color="FFFFFF" w:themeColor="background1"/>
            </w:tcBorders>
          </w:tcPr>
          <w:p w14:paraId="264BC35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3.197</w:t>
            </w:r>
          </w:p>
        </w:tc>
        <w:tc>
          <w:tcPr>
            <w:tcW w:w="992" w:type="dxa"/>
            <w:tcBorders>
              <w:left w:val="single" w:sz="6" w:space="0" w:color="FFFFFF" w:themeColor="background1"/>
            </w:tcBorders>
          </w:tcPr>
          <w:p w14:paraId="43928E0B"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tcPr>
          <w:p w14:paraId="68600BD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1.391</w:t>
            </w:r>
          </w:p>
        </w:tc>
        <w:tc>
          <w:tcPr>
            <w:tcW w:w="1276" w:type="dxa"/>
            <w:tcBorders>
              <w:left w:val="single" w:sz="6" w:space="0" w:color="FFFFFF" w:themeColor="background1"/>
              <w:right w:val="single" w:sz="6" w:space="0" w:color="FFFFFF" w:themeColor="background1"/>
            </w:tcBorders>
          </w:tcPr>
          <w:p w14:paraId="47B4359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4.018</w:t>
            </w:r>
          </w:p>
        </w:tc>
        <w:tc>
          <w:tcPr>
            <w:tcW w:w="992" w:type="dxa"/>
            <w:tcBorders>
              <w:left w:val="single" w:sz="6" w:space="0" w:color="FFFFFF" w:themeColor="background1"/>
            </w:tcBorders>
          </w:tcPr>
          <w:p w14:paraId="6779AC7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r>
      <w:tr w:rsidR="00BC5B69" w:rsidRPr="00BC5B69" w14:paraId="4C6042E8" w14:textId="77777777" w:rsidTr="00BC5B69">
        <w:trPr>
          <w:trHeight w:val="340"/>
          <w:jc w:val="center"/>
        </w:trPr>
        <w:tc>
          <w:tcPr>
            <w:tcW w:w="1839" w:type="dxa"/>
          </w:tcPr>
          <w:p w14:paraId="43BF5855"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GDS ≥5</w:t>
            </w:r>
          </w:p>
        </w:tc>
        <w:tc>
          <w:tcPr>
            <w:tcW w:w="1277" w:type="dxa"/>
            <w:tcBorders>
              <w:right w:val="single" w:sz="6" w:space="0" w:color="FFFFFF" w:themeColor="background1"/>
            </w:tcBorders>
          </w:tcPr>
          <w:p w14:paraId="1EAC919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0.917</w:t>
            </w:r>
          </w:p>
        </w:tc>
        <w:tc>
          <w:tcPr>
            <w:tcW w:w="1276" w:type="dxa"/>
            <w:tcBorders>
              <w:left w:val="single" w:sz="6" w:space="0" w:color="FFFFFF" w:themeColor="background1"/>
              <w:right w:val="single" w:sz="6" w:space="0" w:color="FFFFFF" w:themeColor="background1"/>
            </w:tcBorders>
          </w:tcPr>
          <w:p w14:paraId="5D59359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2.501</w:t>
            </w:r>
          </w:p>
        </w:tc>
        <w:tc>
          <w:tcPr>
            <w:tcW w:w="991" w:type="dxa"/>
            <w:tcBorders>
              <w:left w:val="single" w:sz="6" w:space="0" w:color="FFFFFF" w:themeColor="background1"/>
            </w:tcBorders>
          </w:tcPr>
          <w:p w14:paraId="426A2B3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0.025</w:t>
            </w:r>
          </w:p>
        </w:tc>
        <w:tc>
          <w:tcPr>
            <w:tcW w:w="1278" w:type="dxa"/>
            <w:tcBorders>
              <w:right w:val="single" w:sz="6" w:space="0" w:color="FFFFFF" w:themeColor="background1"/>
            </w:tcBorders>
          </w:tcPr>
          <w:p w14:paraId="7E07ACE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3.396</w:t>
            </w:r>
          </w:p>
        </w:tc>
        <w:tc>
          <w:tcPr>
            <w:tcW w:w="1277" w:type="dxa"/>
            <w:tcBorders>
              <w:left w:val="single" w:sz="6" w:space="0" w:color="FFFFFF" w:themeColor="background1"/>
              <w:right w:val="single" w:sz="6" w:space="0" w:color="FFFFFF" w:themeColor="background1"/>
            </w:tcBorders>
          </w:tcPr>
          <w:p w14:paraId="0780D2F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29.856</w:t>
            </w:r>
          </w:p>
        </w:tc>
        <w:tc>
          <w:tcPr>
            <w:tcW w:w="992" w:type="dxa"/>
            <w:tcBorders>
              <w:left w:val="single" w:sz="6" w:space="0" w:color="FFFFFF" w:themeColor="background1"/>
            </w:tcBorders>
          </w:tcPr>
          <w:p w14:paraId="742923D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0.003</w:t>
            </w:r>
          </w:p>
        </w:tc>
        <w:tc>
          <w:tcPr>
            <w:tcW w:w="1276" w:type="dxa"/>
            <w:tcBorders>
              <w:right w:val="single" w:sz="6" w:space="0" w:color="FFFFFF" w:themeColor="background1"/>
            </w:tcBorders>
          </w:tcPr>
          <w:p w14:paraId="6951DDF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0.840</w:t>
            </w:r>
          </w:p>
        </w:tc>
        <w:tc>
          <w:tcPr>
            <w:tcW w:w="1276" w:type="dxa"/>
            <w:tcBorders>
              <w:left w:val="single" w:sz="6" w:space="0" w:color="FFFFFF" w:themeColor="background1"/>
              <w:right w:val="single" w:sz="6" w:space="0" w:color="FFFFFF" w:themeColor="background1"/>
            </w:tcBorders>
          </w:tcPr>
          <w:p w14:paraId="04BCBF7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2.317</w:t>
            </w:r>
          </w:p>
        </w:tc>
        <w:tc>
          <w:tcPr>
            <w:tcW w:w="992" w:type="dxa"/>
            <w:tcBorders>
              <w:left w:val="single" w:sz="6" w:space="0" w:color="FFFFFF" w:themeColor="background1"/>
            </w:tcBorders>
          </w:tcPr>
          <w:p w14:paraId="580A32A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0.041</w:t>
            </w:r>
          </w:p>
        </w:tc>
        <w:tc>
          <w:tcPr>
            <w:tcW w:w="1276" w:type="dxa"/>
            <w:tcBorders>
              <w:right w:val="single" w:sz="6" w:space="0" w:color="FFFFFF" w:themeColor="background1"/>
            </w:tcBorders>
          </w:tcPr>
          <w:p w14:paraId="1A4675F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1.609</w:t>
            </w:r>
          </w:p>
        </w:tc>
        <w:tc>
          <w:tcPr>
            <w:tcW w:w="1276" w:type="dxa"/>
            <w:tcBorders>
              <w:left w:val="single" w:sz="6" w:space="0" w:color="FFFFFF" w:themeColor="background1"/>
              <w:right w:val="single" w:sz="6" w:space="0" w:color="FFFFFF" w:themeColor="background1"/>
            </w:tcBorders>
          </w:tcPr>
          <w:p w14:paraId="1C27F57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5.000</w:t>
            </w:r>
          </w:p>
        </w:tc>
        <w:tc>
          <w:tcPr>
            <w:tcW w:w="992" w:type="dxa"/>
            <w:tcBorders>
              <w:left w:val="single" w:sz="6" w:space="0" w:color="FFFFFF" w:themeColor="background1"/>
            </w:tcBorders>
          </w:tcPr>
          <w:p w14:paraId="43FFEE28"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r>
      <w:tr w:rsidR="00BC5B69" w:rsidRPr="00BC5B69" w14:paraId="11B68B0E" w14:textId="77777777" w:rsidTr="00BC5B69">
        <w:trPr>
          <w:trHeight w:val="340"/>
          <w:jc w:val="center"/>
        </w:trPr>
        <w:tc>
          <w:tcPr>
            <w:tcW w:w="1839" w:type="dxa"/>
          </w:tcPr>
          <w:p w14:paraId="23F397F9"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BADL</w:t>
            </w:r>
          </w:p>
        </w:tc>
        <w:tc>
          <w:tcPr>
            <w:tcW w:w="1277" w:type="dxa"/>
            <w:tcBorders>
              <w:right w:val="single" w:sz="6" w:space="0" w:color="FFFFFF" w:themeColor="background1"/>
            </w:tcBorders>
          </w:tcPr>
          <w:p w14:paraId="5319EF3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-0.050</w:t>
            </w:r>
          </w:p>
        </w:tc>
        <w:tc>
          <w:tcPr>
            <w:tcW w:w="1276" w:type="dxa"/>
            <w:tcBorders>
              <w:left w:val="single" w:sz="6" w:space="0" w:color="FFFFFF" w:themeColor="background1"/>
              <w:right w:val="single" w:sz="6" w:space="0" w:color="FFFFFF" w:themeColor="background1"/>
            </w:tcBorders>
          </w:tcPr>
          <w:p w14:paraId="24FA0C6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0.951</w:t>
            </w:r>
          </w:p>
        </w:tc>
        <w:tc>
          <w:tcPr>
            <w:tcW w:w="991" w:type="dxa"/>
            <w:tcBorders>
              <w:left w:val="single" w:sz="6" w:space="0" w:color="FFFFFF" w:themeColor="background1"/>
            </w:tcBorders>
          </w:tcPr>
          <w:p w14:paraId="27BBCBC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8" w:type="dxa"/>
            <w:tcBorders>
              <w:right w:val="single" w:sz="6" w:space="0" w:color="FFFFFF" w:themeColor="background1"/>
            </w:tcBorders>
          </w:tcPr>
          <w:p w14:paraId="6A864A4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-0.165</w:t>
            </w:r>
          </w:p>
        </w:tc>
        <w:tc>
          <w:tcPr>
            <w:tcW w:w="1277" w:type="dxa"/>
            <w:tcBorders>
              <w:left w:val="single" w:sz="6" w:space="0" w:color="FFFFFF" w:themeColor="background1"/>
              <w:right w:val="single" w:sz="6" w:space="0" w:color="FFFFFF" w:themeColor="background1"/>
            </w:tcBorders>
          </w:tcPr>
          <w:p w14:paraId="3CDC07E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0.848</w:t>
            </w:r>
          </w:p>
        </w:tc>
        <w:tc>
          <w:tcPr>
            <w:tcW w:w="992" w:type="dxa"/>
            <w:tcBorders>
              <w:left w:val="single" w:sz="6" w:space="0" w:color="FFFFFF" w:themeColor="background1"/>
            </w:tcBorders>
          </w:tcPr>
          <w:p w14:paraId="602792F6"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tcPr>
          <w:p w14:paraId="693DDF1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-0.151</w:t>
            </w:r>
          </w:p>
        </w:tc>
        <w:tc>
          <w:tcPr>
            <w:tcW w:w="1276" w:type="dxa"/>
            <w:tcBorders>
              <w:left w:val="single" w:sz="6" w:space="0" w:color="FFFFFF" w:themeColor="background1"/>
              <w:right w:val="single" w:sz="6" w:space="0" w:color="FFFFFF" w:themeColor="background1"/>
            </w:tcBorders>
          </w:tcPr>
          <w:p w14:paraId="05A4CC5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0.860</w:t>
            </w:r>
          </w:p>
        </w:tc>
        <w:tc>
          <w:tcPr>
            <w:tcW w:w="992" w:type="dxa"/>
            <w:tcBorders>
              <w:left w:val="single" w:sz="6" w:space="0" w:color="FFFFFF" w:themeColor="background1"/>
            </w:tcBorders>
          </w:tcPr>
          <w:p w14:paraId="1E3F6ADD"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tcPr>
          <w:p w14:paraId="01F36A8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-0.124</w:t>
            </w:r>
          </w:p>
        </w:tc>
        <w:tc>
          <w:tcPr>
            <w:tcW w:w="1276" w:type="dxa"/>
            <w:tcBorders>
              <w:left w:val="single" w:sz="6" w:space="0" w:color="FFFFFF" w:themeColor="background1"/>
              <w:right w:val="single" w:sz="6" w:space="0" w:color="FFFFFF" w:themeColor="background1"/>
            </w:tcBorders>
          </w:tcPr>
          <w:p w14:paraId="724B0A3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0.884</w:t>
            </w:r>
          </w:p>
        </w:tc>
        <w:tc>
          <w:tcPr>
            <w:tcW w:w="992" w:type="dxa"/>
            <w:tcBorders>
              <w:left w:val="single" w:sz="6" w:space="0" w:color="FFFFFF" w:themeColor="background1"/>
            </w:tcBorders>
          </w:tcPr>
          <w:p w14:paraId="43D306BE"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r>
      <w:tr w:rsidR="00BC5B69" w:rsidRPr="00BC5B69" w14:paraId="4658CD9F" w14:textId="77777777" w:rsidTr="00BC5B69">
        <w:trPr>
          <w:trHeight w:val="340"/>
          <w:jc w:val="center"/>
        </w:trPr>
        <w:tc>
          <w:tcPr>
            <w:tcW w:w="1839" w:type="dxa"/>
          </w:tcPr>
          <w:p w14:paraId="23015E5F"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lastRenderedPageBreak/>
              <w:t>IADL</w:t>
            </w:r>
          </w:p>
        </w:tc>
        <w:tc>
          <w:tcPr>
            <w:tcW w:w="1277" w:type="dxa"/>
            <w:tcBorders>
              <w:right w:val="single" w:sz="6" w:space="0" w:color="FFFFFF" w:themeColor="background1"/>
            </w:tcBorders>
          </w:tcPr>
          <w:p w14:paraId="068E248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-0.077</w:t>
            </w:r>
          </w:p>
        </w:tc>
        <w:tc>
          <w:tcPr>
            <w:tcW w:w="1276" w:type="dxa"/>
            <w:tcBorders>
              <w:left w:val="single" w:sz="6" w:space="0" w:color="FFFFFF" w:themeColor="background1"/>
              <w:right w:val="single" w:sz="6" w:space="0" w:color="FFFFFF" w:themeColor="background1"/>
            </w:tcBorders>
          </w:tcPr>
          <w:p w14:paraId="161C037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0.926</w:t>
            </w:r>
          </w:p>
        </w:tc>
        <w:tc>
          <w:tcPr>
            <w:tcW w:w="991" w:type="dxa"/>
            <w:tcBorders>
              <w:left w:val="single" w:sz="6" w:space="0" w:color="FFFFFF" w:themeColor="background1"/>
            </w:tcBorders>
          </w:tcPr>
          <w:p w14:paraId="4BBED84E"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0.001</w:t>
            </w:r>
          </w:p>
        </w:tc>
        <w:tc>
          <w:tcPr>
            <w:tcW w:w="1278" w:type="dxa"/>
            <w:tcBorders>
              <w:right w:val="single" w:sz="6" w:space="0" w:color="FFFFFF" w:themeColor="background1"/>
            </w:tcBorders>
          </w:tcPr>
          <w:p w14:paraId="737D18E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0.044</w:t>
            </w:r>
          </w:p>
        </w:tc>
        <w:tc>
          <w:tcPr>
            <w:tcW w:w="1277" w:type="dxa"/>
            <w:tcBorders>
              <w:left w:val="single" w:sz="6" w:space="0" w:color="FFFFFF" w:themeColor="background1"/>
              <w:right w:val="single" w:sz="6" w:space="0" w:color="FFFFFF" w:themeColor="background1"/>
            </w:tcBorders>
          </w:tcPr>
          <w:p w14:paraId="213042D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1.045</w:t>
            </w:r>
          </w:p>
        </w:tc>
        <w:tc>
          <w:tcPr>
            <w:tcW w:w="992" w:type="dxa"/>
            <w:tcBorders>
              <w:left w:val="single" w:sz="6" w:space="0" w:color="FFFFFF" w:themeColor="background1"/>
            </w:tcBorders>
          </w:tcPr>
          <w:p w14:paraId="5380D027"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0.035</w:t>
            </w:r>
          </w:p>
        </w:tc>
        <w:tc>
          <w:tcPr>
            <w:tcW w:w="1276" w:type="dxa"/>
            <w:tcBorders>
              <w:right w:val="single" w:sz="6" w:space="0" w:color="FFFFFF" w:themeColor="background1"/>
            </w:tcBorders>
          </w:tcPr>
          <w:p w14:paraId="0FBE3BC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-0.153</w:t>
            </w:r>
          </w:p>
        </w:tc>
        <w:tc>
          <w:tcPr>
            <w:tcW w:w="1276" w:type="dxa"/>
            <w:tcBorders>
              <w:left w:val="single" w:sz="6" w:space="0" w:color="FFFFFF" w:themeColor="background1"/>
              <w:right w:val="single" w:sz="6" w:space="0" w:color="FFFFFF" w:themeColor="background1"/>
            </w:tcBorders>
          </w:tcPr>
          <w:p w14:paraId="1008832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0.858</w:t>
            </w:r>
          </w:p>
        </w:tc>
        <w:tc>
          <w:tcPr>
            <w:tcW w:w="992" w:type="dxa"/>
            <w:tcBorders>
              <w:left w:val="single" w:sz="6" w:space="0" w:color="FFFFFF" w:themeColor="background1"/>
            </w:tcBorders>
          </w:tcPr>
          <w:p w14:paraId="319B8585"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tcPr>
          <w:p w14:paraId="365E14C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-0.155</w:t>
            </w:r>
          </w:p>
        </w:tc>
        <w:tc>
          <w:tcPr>
            <w:tcW w:w="1276" w:type="dxa"/>
            <w:tcBorders>
              <w:left w:val="single" w:sz="6" w:space="0" w:color="FFFFFF" w:themeColor="background1"/>
              <w:right w:val="single" w:sz="6" w:space="0" w:color="FFFFFF" w:themeColor="background1"/>
            </w:tcBorders>
          </w:tcPr>
          <w:p w14:paraId="52512CB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0.856</w:t>
            </w:r>
          </w:p>
        </w:tc>
        <w:tc>
          <w:tcPr>
            <w:tcW w:w="992" w:type="dxa"/>
            <w:tcBorders>
              <w:left w:val="single" w:sz="6" w:space="0" w:color="FFFFFF" w:themeColor="background1"/>
            </w:tcBorders>
          </w:tcPr>
          <w:p w14:paraId="0F2CD7A0"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r>
      <w:tr w:rsidR="00BC5B69" w:rsidRPr="00BC5B69" w14:paraId="01340905" w14:textId="77777777" w:rsidTr="00BC5B69">
        <w:trPr>
          <w:trHeight w:val="340"/>
          <w:jc w:val="center"/>
        </w:trPr>
        <w:tc>
          <w:tcPr>
            <w:tcW w:w="1839" w:type="dxa"/>
          </w:tcPr>
          <w:p w14:paraId="57D524F4"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BMI</w:t>
            </w:r>
          </w:p>
        </w:tc>
        <w:tc>
          <w:tcPr>
            <w:tcW w:w="1277" w:type="dxa"/>
            <w:tcBorders>
              <w:right w:val="single" w:sz="6" w:space="0" w:color="FFFFFF" w:themeColor="background1"/>
            </w:tcBorders>
          </w:tcPr>
          <w:p w14:paraId="26F7767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0.049</w:t>
            </w:r>
          </w:p>
        </w:tc>
        <w:tc>
          <w:tcPr>
            <w:tcW w:w="1276" w:type="dxa"/>
            <w:tcBorders>
              <w:left w:val="single" w:sz="6" w:space="0" w:color="FFFFFF" w:themeColor="background1"/>
              <w:right w:val="single" w:sz="6" w:space="0" w:color="FFFFFF" w:themeColor="background1"/>
            </w:tcBorders>
          </w:tcPr>
          <w:p w14:paraId="7E88743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1.050</w:t>
            </w:r>
          </w:p>
        </w:tc>
        <w:tc>
          <w:tcPr>
            <w:tcW w:w="991" w:type="dxa"/>
            <w:tcBorders>
              <w:left w:val="single" w:sz="6" w:space="0" w:color="FFFFFF" w:themeColor="background1"/>
            </w:tcBorders>
          </w:tcPr>
          <w:p w14:paraId="53DE682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0.120</w:t>
            </w:r>
          </w:p>
        </w:tc>
        <w:tc>
          <w:tcPr>
            <w:tcW w:w="1278" w:type="dxa"/>
            <w:tcBorders>
              <w:right w:val="single" w:sz="6" w:space="0" w:color="FFFFFF" w:themeColor="background1"/>
            </w:tcBorders>
          </w:tcPr>
          <w:p w14:paraId="164E467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1.084</w:t>
            </w:r>
          </w:p>
        </w:tc>
        <w:tc>
          <w:tcPr>
            <w:tcW w:w="1277" w:type="dxa"/>
            <w:tcBorders>
              <w:left w:val="single" w:sz="6" w:space="0" w:color="FFFFFF" w:themeColor="background1"/>
              <w:right w:val="single" w:sz="6" w:space="0" w:color="FFFFFF" w:themeColor="background1"/>
            </w:tcBorders>
          </w:tcPr>
          <w:p w14:paraId="53F1C96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2.957</w:t>
            </w:r>
          </w:p>
        </w:tc>
        <w:tc>
          <w:tcPr>
            <w:tcW w:w="992" w:type="dxa"/>
            <w:tcBorders>
              <w:left w:val="single" w:sz="6" w:space="0" w:color="FFFFFF" w:themeColor="background1"/>
            </w:tcBorders>
          </w:tcPr>
          <w:p w14:paraId="7DC73DA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0.334</w:t>
            </w:r>
          </w:p>
        </w:tc>
        <w:tc>
          <w:tcPr>
            <w:tcW w:w="1276" w:type="dxa"/>
            <w:tcBorders>
              <w:right w:val="single" w:sz="6" w:space="0" w:color="FFFFFF" w:themeColor="background1"/>
            </w:tcBorders>
          </w:tcPr>
          <w:p w14:paraId="5F95A22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0.052</w:t>
            </w:r>
          </w:p>
        </w:tc>
        <w:tc>
          <w:tcPr>
            <w:tcW w:w="1276" w:type="dxa"/>
            <w:tcBorders>
              <w:left w:val="single" w:sz="6" w:space="0" w:color="FFFFFF" w:themeColor="background1"/>
              <w:right w:val="single" w:sz="6" w:space="0" w:color="FFFFFF" w:themeColor="background1"/>
            </w:tcBorders>
          </w:tcPr>
          <w:p w14:paraId="0A79EA7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1.053</w:t>
            </w:r>
          </w:p>
        </w:tc>
        <w:tc>
          <w:tcPr>
            <w:tcW w:w="992" w:type="dxa"/>
            <w:tcBorders>
              <w:left w:val="single" w:sz="6" w:space="0" w:color="FFFFFF" w:themeColor="background1"/>
            </w:tcBorders>
          </w:tcPr>
          <w:p w14:paraId="0224913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0.124</w:t>
            </w:r>
          </w:p>
        </w:tc>
        <w:tc>
          <w:tcPr>
            <w:tcW w:w="1276" w:type="dxa"/>
            <w:tcBorders>
              <w:right w:val="single" w:sz="6" w:space="0" w:color="FFFFFF" w:themeColor="background1"/>
            </w:tcBorders>
          </w:tcPr>
          <w:p w14:paraId="4FE4282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0.004</w:t>
            </w:r>
          </w:p>
        </w:tc>
        <w:tc>
          <w:tcPr>
            <w:tcW w:w="1276" w:type="dxa"/>
            <w:tcBorders>
              <w:left w:val="single" w:sz="6" w:space="0" w:color="FFFFFF" w:themeColor="background1"/>
              <w:right w:val="single" w:sz="6" w:space="0" w:color="FFFFFF" w:themeColor="background1"/>
            </w:tcBorders>
          </w:tcPr>
          <w:p w14:paraId="7EE6127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1.004</w:t>
            </w:r>
          </w:p>
        </w:tc>
        <w:tc>
          <w:tcPr>
            <w:tcW w:w="992" w:type="dxa"/>
            <w:tcBorders>
              <w:left w:val="single" w:sz="6" w:space="0" w:color="FFFFFF" w:themeColor="background1"/>
            </w:tcBorders>
          </w:tcPr>
          <w:p w14:paraId="5B5FB1C7"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0.813</w:t>
            </w:r>
          </w:p>
        </w:tc>
      </w:tr>
      <w:tr w:rsidR="00BC5B69" w:rsidRPr="00BC5B69" w14:paraId="7412F3AD" w14:textId="77777777" w:rsidTr="00BC5B69">
        <w:trPr>
          <w:trHeight w:val="340"/>
          <w:jc w:val="center"/>
        </w:trPr>
        <w:tc>
          <w:tcPr>
            <w:tcW w:w="1839" w:type="dxa"/>
          </w:tcPr>
          <w:p w14:paraId="444AC39B"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Malnutrition</w:t>
            </w:r>
          </w:p>
        </w:tc>
        <w:tc>
          <w:tcPr>
            <w:tcW w:w="1277" w:type="dxa"/>
            <w:tcBorders>
              <w:right w:val="single" w:sz="6" w:space="0" w:color="FFFFFF" w:themeColor="background1"/>
            </w:tcBorders>
          </w:tcPr>
          <w:p w14:paraId="033EF36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0.016</w:t>
            </w:r>
          </w:p>
        </w:tc>
        <w:tc>
          <w:tcPr>
            <w:tcW w:w="1276" w:type="dxa"/>
            <w:tcBorders>
              <w:left w:val="single" w:sz="6" w:space="0" w:color="FFFFFF" w:themeColor="background1"/>
              <w:right w:val="single" w:sz="6" w:space="0" w:color="FFFFFF" w:themeColor="background1"/>
            </w:tcBorders>
          </w:tcPr>
          <w:p w14:paraId="210C1FB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1.016</w:t>
            </w:r>
          </w:p>
        </w:tc>
        <w:tc>
          <w:tcPr>
            <w:tcW w:w="991" w:type="dxa"/>
            <w:tcBorders>
              <w:left w:val="single" w:sz="6" w:space="0" w:color="FFFFFF" w:themeColor="background1"/>
            </w:tcBorders>
          </w:tcPr>
          <w:p w14:paraId="692987E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0.986</w:t>
            </w:r>
          </w:p>
        </w:tc>
        <w:tc>
          <w:tcPr>
            <w:tcW w:w="1278" w:type="dxa"/>
            <w:tcBorders>
              <w:right w:val="single" w:sz="6" w:space="0" w:color="FFFFFF" w:themeColor="background1"/>
            </w:tcBorders>
          </w:tcPr>
          <w:p w14:paraId="794F59E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1.090</w:t>
            </w:r>
          </w:p>
        </w:tc>
        <w:tc>
          <w:tcPr>
            <w:tcW w:w="1277" w:type="dxa"/>
            <w:tcBorders>
              <w:left w:val="single" w:sz="6" w:space="0" w:color="FFFFFF" w:themeColor="background1"/>
              <w:right w:val="single" w:sz="6" w:space="0" w:color="FFFFFF" w:themeColor="background1"/>
            </w:tcBorders>
          </w:tcPr>
          <w:p w14:paraId="743984A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2.974</w:t>
            </w:r>
          </w:p>
        </w:tc>
        <w:tc>
          <w:tcPr>
            <w:tcW w:w="992" w:type="dxa"/>
            <w:tcBorders>
              <w:left w:val="single" w:sz="6" w:space="0" w:color="FFFFFF" w:themeColor="background1"/>
            </w:tcBorders>
          </w:tcPr>
          <w:p w14:paraId="5DA202D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0.167</w:t>
            </w:r>
          </w:p>
        </w:tc>
        <w:tc>
          <w:tcPr>
            <w:tcW w:w="1276" w:type="dxa"/>
            <w:tcBorders>
              <w:right w:val="single" w:sz="6" w:space="0" w:color="FFFFFF" w:themeColor="background1"/>
            </w:tcBorders>
          </w:tcPr>
          <w:p w14:paraId="2B547AD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2.997</w:t>
            </w:r>
          </w:p>
        </w:tc>
        <w:tc>
          <w:tcPr>
            <w:tcW w:w="1276" w:type="dxa"/>
            <w:tcBorders>
              <w:left w:val="single" w:sz="6" w:space="0" w:color="FFFFFF" w:themeColor="background1"/>
              <w:right w:val="single" w:sz="6" w:space="0" w:color="FFFFFF" w:themeColor="background1"/>
            </w:tcBorders>
          </w:tcPr>
          <w:p w14:paraId="62F8E6B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20.029</w:t>
            </w:r>
          </w:p>
        </w:tc>
        <w:tc>
          <w:tcPr>
            <w:tcW w:w="992" w:type="dxa"/>
            <w:tcBorders>
              <w:left w:val="single" w:sz="6" w:space="0" w:color="FFFFFF" w:themeColor="background1"/>
            </w:tcBorders>
          </w:tcPr>
          <w:p w14:paraId="01B8C4B2"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0.020</w:t>
            </w:r>
          </w:p>
        </w:tc>
        <w:tc>
          <w:tcPr>
            <w:tcW w:w="1276" w:type="dxa"/>
            <w:tcBorders>
              <w:right w:val="single" w:sz="6" w:space="0" w:color="FFFFFF" w:themeColor="background1"/>
            </w:tcBorders>
          </w:tcPr>
          <w:p w14:paraId="285E809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0.822</w:t>
            </w:r>
          </w:p>
        </w:tc>
        <w:tc>
          <w:tcPr>
            <w:tcW w:w="1276" w:type="dxa"/>
            <w:tcBorders>
              <w:left w:val="single" w:sz="6" w:space="0" w:color="FFFFFF" w:themeColor="background1"/>
              <w:right w:val="single" w:sz="6" w:space="0" w:color="FFFFFF" w:themeColor="background1"/>
            </w:tcBorders>
          </w:tcPr>
          <w:p w14:paraId="4C77BC8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2.276</w:t>
            </w:r>
          </w:p>
        </w:tc>
        <w:tc>
          <w:tcPr>
            <w:tcW w:w="992" w:type="dxa"/>
            <w:tcBorders>
              <w:left w:val="single" w:sz="6" w:space="0" w:color="FFFFFF" w:themeColor="background1"/>
            </w:tcBorders>
          </w:tcPr>
          <w:p w14:paraId="288792AE"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0.416</w:t>
            </w:r>
          </w:p>
        </w:tc>
      </w:tr>
      <w:tr w:rsidR="00BC5B69" w:rsidRPr="00BC5B69" w14:paraId="0A93401B" w14:textId="77777777" w:rsidTr="00BC5B69">
        <w:trPr>
          <w:trHeight w:val="340"/>
          <w:jc w:val="center"/>
        </w:trPr>
        <w:tc>
          <w:tcPr>
            <w:tcW w:w="1839" w:type="dxa"/>
          </w:tcPr>
          <w:p w14:paraId="161B2538"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Sarcopenia</w:t>
            </w:r>
          </w:p>
        </w:tc>
        <w:tc>
          <w:tcPr>
            <w:tcW w:w="1277" w:type="dxa"/>
            <w:tcBorders>
              <w:right w:val="single" w:sz="6" w:space="0" w:color="FFFFFF" w:themeColor="background1"/>
            </w:tcBorders>
          </w:tcPr>
          <w:p w14:paraId="2A6F821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0.016</w:t>
            </w:r>
          </w:p>
        </w:tc>
        <w:tc>
          <w:tcPr>
            <w:tcW w:w="1276" w:type="dxa"/>
            <w:tcBorders>
              <w:left w:val="single" w:sz="6" w:space="0" w:color="FFFFFF" w:themeColor="background1"/>
              <w:right w:val="single" w:sz="6" w:space="0" w:color="FFFFFF" w:themeColor="background1"/>
            </w:tcBorders>
          </w:tcPr>
          <w:p w14:paraId="12DDFD9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1.017</w:t>
            </w:r>
          </w:p>
        </w:tc>
        <w:tc>
          <w:tcPr>
            <w:tcW w:w="991" w:type="dxa"/>
            <w:tcBorders>
              <w:left w:val="single" w:sz="6" w:space="0" w:color="FFFFFF" w:themeColor="background1"/>
            </w:tcBorders>
          </w:tcPr>
          <w:p w14:paraId="6956C99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0.953</w:t>
            </w:r>
          </w:p>
        </w:tc>
        <w:tc>
          <w:tcPr>
            <w:tcW w:w="1278" w:type="dxa"/>
            <w:tcBorders>
              <w:right w:val="single" w:sz="4" w:space="0" w:color="FFFFFF" w:themeColor="background1"/>
            </w:tcBorders>
          </w:tcPr>
          <w:p w14:paraId="4180C574"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0.469</w:t>
            </w:r>
          </w:p>
        </w:tc>
        <w:tc>
          <w:tcPr>
            <w:tcW w:w="1277" w:type="dxa"/>
            <w:tcBorders>
              <w:left w:val="single" w:sz="4" w:space="0" w:color="FFFFFF" w:themeColor="background1"/>
              <w:right w:val="single" w:sz="4" w:space="0" w:color="FFFFFF" w:themeColor="background1"/>
            </w:tcBorders>
          </w:tcPr>
          <w:p w14:paraId="0423C8F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1.598</w:t>
            </w:r>
          </w:p>
        </w:tc>
        <w:tc>
          <w:tcPr>
            <w:tcW w:w="992" w:type="dxa"/>
            <w:tcBorders>
              <w:left w:val="single" w:sz="4" w:space="0" w:color="FFFFFF" w:themeColor="background1"/>
            </w:tcBorders>
          </w:tcPr>
          <w:p w14:paraId="6BE051D6"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0.402</w:t>
            </w:r>
          </w:p>
        </w:tc>
        <w:tc>
          <w:tcPr>
            <w:tcW w:w="1276" w:type="dxa"/>
            <w:tcBorders>
              <w:right w:val="single" w:sz="6" w:space="0" w:color="FFFFFF" w:themeColor="background1"/>
            </w:tcBorders>
          </w:tcPr>
          <w:p w14:paraId="17B076D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0.018</w:t>
            </w:r>
          </w:p>
        </w:tc>
        <w:tc>
          <w:tcPr>
            <w:tcW w:w="1276" w:type="dxa"/>
            <w:tcBorders>
              <w:left w:val="single" w:sz="6" w:space="0" w:color="FFFFFF" w:themeColor="background1"/>
              <w:right w:val="single" w:sz="6" w:space="0" w:color="FFFFFF" w:themeColor="background1"/>
            </w:tcBorders>
          </w:tcPr>
          <w:p w14:paraId="67CC69A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1.019</w:t>
            </w:r>
          </w:p>
        </w:tc>
        <w:tc>
          <w:tcPr>
            <w:tcW w:w="992" w:type="dxa"/>
            <w:tcBorders>
              <w:left w:val="single" w:sz="6" w:space="0" w:color="FFFFFF" w:themeColor="background1"/>
            </w:tcBorders>
          </w:tcPr>
          <w:p w14:paraId="27FD169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0.951</w:t>
            </w:r>
          </w:p>
        </w:tc>
        <w:tc>
          <w:tcPr>
            <w:tcW w:w="1276" w:type="dxa"/>
            <w:tcBorders>
              <w:right w:val="single" w:sz="6" w:space="0" w:color="FFFFFF" w:themeColor="background1"/>
            </w:tcBorders>
          </w:tcPr>
          <w:p w14:paraId="33575A5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0.527</w:t>
            </w:r>
          </w:p>
        </w:tc>
        <w:tc>
          <w:tcPr>
            <w:tcW w:w="1276" w:type="dxa"/>
            <w:tcBorders>
              <w:left w:val="single" w:sz="6" w:space="0" w:color="FFFFFF" w:themeColor="background1"/>
              <w:right w:val="single" w:sz="6" w:space="0" w:color="FFFFFF" w:themeColor="background1"/>
            </w:tcBorders>
          </w:tcPr>
          <w:p w14:paraId="3930C49F"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1.694</w:t>
            </w:r>
          </w:p>
        </w:tc>
        <w:tc>
          <w:tcPr>
            <w:tcW w:w="992" w:type="dxa"/>
            <w:tcBorders>
              <w:left w:val="single" w:sz="6" w:space="0" w:color="FFFFFF" w:themeColor="background1"/>
            </w:tcBorders>
          </w:tcPr>
          <w:p w14:paraId="1EF3D08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0.106</w:t>
            </w:r>
          </w:p>
        </w:tc>
      </w:tr>
      <w:tr w:rsidR="00BC5B69" w:rsidRPr="00BC5B69" w14:paraId="173DEF2D" w14:textId="77777777" w:rsidTr="00BC5B69">
        <w:trPr>
          <w:trHeight w:val="340"/>
          <w:jc w:val="center"/>
        </w:trPr>
        <w:tc>
          <w:tcPr>
            <w:tcW w:w="1839" w:type="dxa"/>
          </w:tcPr>
          <w:p w14:paraId="4E0F11B7" w14:textId="77777777" w:rsidR="00BC5B69" w:rsidRPr="00BC5B69" w:rsidRDefault="00BC5B69" w:rsidP="00BC5B69">
            <w:pPr>
              <w:rPr>
                <w:rFonts w:eastAsiaTheme="minorHAnsi"/>
                <w:b/>
                <w:sz w:val="16"/>
                <w:szCs w:val="16"/>
                <w:lang w:val="en-US" w:eastAsia="en-US"/>
              </w:rPr>
            </w:pPr>
            <w:proofErr w:type="spellStart"/>
            <w:r w:rsidRPr="00BC5B69">
              <w:rPr>
                <w:rFonts w:eastAsiaTheme="minorHAnsi"/>
                <w:b/>
                <w:sz w:val="16"/>
                <w:szCs w:val="16"/>
                <w:lang w:val="en-US" w:eastAsia="en-US"/>
              </w:rPr>
              <w:t>Dynapenia</w:t>
            </w:r>
            <w:proofErr w:type="spellEnd"/>
          </w:p>
        </w:tc>
        <w:tc>
          <w:tcPr>
            <w:tcW w:w="1277" w:type="dxa"/>
            <w:tcBorders>
              <w:right w:val="single" w:sz="6" w:space="0" w:color="FFFFFF" w:themeColor="background1"/>
            </w:tcBorders>
          </w:tcPr>
          <w:p w14:paraId="3327856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0.566</w:t>
            </w:r>
          </w:p>
        </w:tc>
        <w:tc>
          <w:tcPr>
            <w:tcW w:w="1276" w:type="dxa"/>
            <w:tcBorders>
              <w:left w:val="single" w:sz="6" w:space="0" w:color="FFFFFF" w:themeColor="background1"/>
              <w:right w:val="single" w:sz="6" w:space="0" w:color="FFFFFF" w:themeColor="background1"/>
            </w:tcBorders>
          </w:tcPr>
          <w:p w14:paraId="0E34A34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1.760</w:t>
            </w:r>
          </w:p>
        </w:tc>
        <w:tc>
          <w:tcPr>
            <w:tcW w:w="991" w:type="dxa"/>
            <w:tcBorders>
              <w:left w:val="single" w:sz="6" w:space="0" w:color="FFFFFF" w:themeColor="background1"/>
            </w:tcBorders>
          </w:tcPr>
          <w:p w14:paraId="146951E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0.215</w:t>
            </w:r>
          </w:p>
        </w:tc>
        <w:tc>
          <w:tcPr>
            <w:tcW w:w="1278" w:type="dxa"/>
            <w:tcBorders>
              <w:right w:val="single" w:sz="4" w:space="0" w:color="FFFFFF" w:themeColor="background1"/>
            </w:tcBorders>
          </w:tcPr>
          <w:p w14:paraId="27780D1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1.090</w:t>
            </w:r>
          </w:p>
        </w:tc>
        <w:tc>
          <w:tcPr>
            <w:tcW w:w="1277" w:type="dxa"/>
            <w:tcBorders>
              <w:left w:val="single" w:sz="4" w:space="0" w:color="FFFFFF" w:themeColor="background1"/>
              <w:right w:val="single" w:sz="4" w:space="0" w:color="FFFFFF" w:themeColor="background1"/>
            </w:tcBorders>
          </w:tcPr>
          <w:p w14:paraId="439A3292"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2.974</w:t>
            </w:r>
          </w:p>
        </w:tc>
        <w:tc>
          <w:tcPr>
            <w:tcW w:w="992" w:type="dxa"/>
            <w:tcBorders>
              <w:left w:val="single" w:sz="4" w:space="0" w:color="FFFFFF" w:themeColor="background1"/>
            </w:tcBorders>
          </w:tcPr>
          <w:p w14:paraId="0D92EC60"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0.167</w:t>
            </w:r>
          </w:p>
        </w:tc>
        <w:tc>
          <w:tcPr>
            <w:tcW w:w="1276" w:type="dxa"/>
            <w:tcBorders>
              <w:right w:val="single" w:sz="6" w:space="0" w:color="FFFFFF" w:themeColor="background1"/>
            </w:tcBorders>
          </w:tcPr>
          <w:p w14:paraId="5882D07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1.217</w:t>
            </w:r>
          </w:p>
        </w:tc>
        <w:tc>
          <w:tcPr>
            <w:tcW w:w="1276" w:type="dxa"/>
            <w:tcBorders>
              <w:left w:val="single" w:sz="6" w:space="0" w:color="FFFFFF" w:themeColor="background1"/>
              <w:right w:val="single" w:sz="6" w:space="0" w:color="FFFFFF" w:themeColor="background1"/>
            </w:tcBorders>
          </w:tcPr>
          <w:p w14:paraId="2D84BB9A"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3.376</w:t>
            </w:r>
          </w:p>
        </w:tc>
        <w:tc>
          <w:tcPr>
            <w:tcW w:w="992" w:type="dxa"/>
            <w:tcBorders>
              <w:left w:val="single" w:sz="6" w:space="0" w:color="FFFFFF" w:themeColor="background1"/>
            </w:tcBorders>
          </w:tcPr>
          <w:p w14:paraId="581DD045"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0.034</w:t>
            </w:r>
          </w:p>
        </w:tc>
        <w:tc>
          <w:tcPr>
            <w:tcW w:w="1276" w:type="dxa"/>
            <w:tcBorders>
              <w:right w:val="single" w:sz="6" w:space="0" w:color="FFFFFF" w:themeColor="background1"/>
            </w:tcBorders>
          </w:tcPr>
          <w:p w14:paraId="0ACBD24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0.668</w:t>
            </w:r>
          </w:p>
        </w:tc>
        <w:tc>
          <w:tcPr>
            <w:tcW w:w="1276" w:type="dxa"/>
            <w:tcBorders>
              <w:left w:val="single" w:sz="6" w:space="0" w:color="FFFFFF" w:themeColor="background1"/>
              <w:right w:val="single" w:sz="6" w:space="0" w:color="FFFFFF" w:themeColor="background1"/>
            </w:tcBorders>
          </w:tcPr>
          <w:p w14:paraId="484F37F3"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1.950</w:t>
            </w:r>
          </w:p>
        </w:tc>
        <w:tc>
          <w:tcPr>
            <w:tcW w:w="992" w:type="dxa"/>
            <w:tcBorders>
              <w:left w:val="single" w:sz="6" w:space="0" w:color="FFFFFF" w:themeColor="background1"/>
            </w:tcBorders>
          </w:tcPr>
          <w:p w14:paraId="222241AB"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0.320</w:t>
            </w:r>
          </w:p>
        </w:tc>
      </w:tr>
      <w:tr w:rsidR="00BC5B69" w:rsidRPr="00BC5B69" w14:paraId="420B38F1" w14:textId="77777777" w:rsidTr="00BC5B69">
        <w:trPr>
          <w:trHeight w:val="340"/>
          <w:jc w:val="center"/>
        </w:trPr>
        <w:tc>
          <w:tcPr>
            <w:tcW w:w="1839" w:type="dxa"/>
          </w:tcPr>
          <w:p w14:paraId="3E0D51B6" w14:textId="77777777" w:rsidR="00BC5B69" w:rsidRPr="00BC5B69" w:rsidRDefault="00BC5B69" w:rsidP="00BC5B69">
            <w:pPr>
              <w:rPr>
                <w:rFonts w:eastAsiaTheme="minorHAnsi"/>
                <w:b/>
                <w:sz w:val="16"/>
                <w:szCs w:val="16"/>
                <w:lang w:val="en-US" w:eastAsia="en-US"/>
              </w:rPr>
            </w:pPr>
            <w:r w:rsidRPr="00BC5B69">
              <w:rPr>
                <w:rFonts w:eastAsiaTheme="minorHAnsi"/>
                <w:b/>
                <w:sz w:val="16"/>
                <w:szCs w:val="16"/>
                <w:lang w:val="en-US" w:eastAsia="en-US"/>
              </w:rPr>
              <w:t xml:space="preserve">Frailty </w:t>
            </w:r>
          </w:p>
        </w:tc>
        <w:tc>
          <w:tcPr>
            <w:tcW w:w="1277" w:type="dxa"/>
            <w:tcBorders>
              <w:right w:val="single" w:sz="6" w:space="0" w:color="FFFFFF" w:themeColor="background1"/>
            </w:tcBorders>
          </w:tcPr>
          <w:p w14:paraId="20048E1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0.506</w:t>
            </w:r>
          </w:p>
        </w:tc>
        <w:tc>
          <w:tcPr>
            <w:tcW w:w="1276" w:type="dxa"/>
            <w:tcBorders>
              <w:left w:val="single" w:sz="6" w:space="0" w:color="FFFFFF" w:themeColor="background1"/>
              <w:right w:val="single" w:sz="6" w:space="0" w:color="FFFFFF" w:themeColor="background1"/>
            </w:tcBorders>
          </w:tcPr>
          <w:p w14:paraId="69CB82BC"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1.659</w:t>
            </w:r>
          </w:p>
        </w:tc>
        <w:tc>
          <w:tcPr>
            <w:tcW w:w="991" w:type="dxa"/>
            <w:tcBorders>
              <w:left w:val="single" w:sz="6" w:space="0" w:color="FFFFFF" w:themeColor="background1"/>
            </w:tcBorders>
          </w:tcPr>
          <w:p w14:paraId="3F634E9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0.131</w:t>
            </w:r>
          </w:p>
        </w:tc>
        <w:tc>
          <w:tcPr>
            <w:tcW w:w="1278" w:type="dxa"/>
            <w:tcBorders>
              <w:right w:val="single" w:sz="6" w:space="0" w:color="FFFFFF" w:themeColor="background1"/>
            </w:tcBorders>
          </w:tcPr>
          <w:p w14:paraId="5FCB176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-0.107</w:t>
            </w:r>
          </w:p>
        </w:tc>
        <w:tc>
          <w:tcPr>
            <w:tcW w:w="1277" w:type="dxa"/>
            <w:tcBorders>
              <w:left w:val="single" w:sz="6" w:space="0" w:color="FFFFFF" w:themeColor="background1"/>
              <w:right w:val="single" w:sz="6" w:space="0" w:color="FFFFFF" w:themeColor="background1"/>
            </w:tcBorders>
          </w:tcPr>
          <w:p w14:paraId="0D4E9441"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0.898</w:t>
            </w:r>
          </w:p>
        </w:tc>
        <w:tc>
          <w:tcPr>
            <w:tcW w:w="992" w:type="dxa"/>
            <w:tcBorders>
              <w:left w:val="single" w:sz="6" w:space="0" w:color="FFFFFF" w:themeColor="background1"/>
            </w:tcBorders>
          </w:tcPr>
          <w:p w14:paraId="1A9A4B6C"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&lt;0.001</w:t>
            </w:r>
          </w:p>
        </w:tc>
        <w:tc>
          <w:tcPr>
            <w:tcW w:w="1276" w:type="dxa"/>
            <w:tcBorders>
              <w:right w:val="single" w:sz="6" w:space="0" w:color="FFFFFF" w:themeColor="background1"/>
            </w:tcBorders>
          </w:tcPr>
          <w:p w14:paraId="2C4C1E7D"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1.464</w:t>
            </w:r>
          </w:p>
        </w:tc>
        <w:tc>
          <w:tcPr>
            <w:tcW w:w="1276" w:type="dxa"/>
            <w:tcBorders>
              <w:left w:val="single" w:sz="6" w:space="0" w:color="FFFFFF" w:themeColor="background1"/>
              <w:right w:val="single" w:sz="6" w:space="0" w:color="FFFFFF" w:themeColor="background1"/>
            </w:tcBorders>
          </w:tcPr>
          <w:p w14:paraId="7F3A7A59"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4.322</w:t>
            </w:r>
          </w:p>
        </w:tc>
        <w:tc>
          <w:tcPr>
            <w:tcW w:w="992" w:type="dxa"/>
            <w:tcBorders>
              <w:left w:val="single" w:sz="6" w:space="0" w:color="FFFFFF" w:themeColor="background1"/>
            </w:tcBorders>
          </w:tcPr>
          <w:p w14:paraId="0174997A"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0.002</w:t>
            </w:r>
          </w:p>
        </w:tc>
        <w:tc>
          <w:tcPr>
            <w:tcW w:w="1276" w:type="dxa"/>
            <w:tcBorders>
              <w:right w:val="single" w:sz="6" w:space="0" w:color="FFFFFF" w:themeColor="background1"/>
            </w:tcBorders>
          </w:tcPr>
          <w:p w14:paraId="71309B95"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2.504</w:t>
            </w:r>
          </w:p>
        </w:tc>
        <w:tc>
          <w:tcPr>
            <w:tcW w:w="1276" w:type="dxa"/>
            <w:tcBorders>
              <w:left w:val="single" w:sz="6" w:space="0" w:color="FFFFFF" w:themeColor="background1"/>
              <w:right w:val="single" w:sz="6" w:space="0" w:color="FFFFFF" w:themeColor="background1"/>
            </w:tcBorders>
          </w:tcPr>
          <w:p w14:paraId="70CDA128" w14:textId="77777777" w:rsidR="00BC5B69" w:rsidRPr="00BC5B69" w:rsidRDefault="00BC5B69" w:rsidP="00BC5B69">
            <w:pPr>
              <w:jc w:val="center"/>
              <w:rPr>
                <w:rFonts w:eastAsiaTheme="minorHAnsi"/>
                <w:sz w:val="16"/>
                <w:szCs w:val="16"/>
                <w:lang w:val="en-US" w:eastAsia="en-US"/>
              </w:rPr>
            </w:pPr>
            <w:r w:rsidRPr="00BC5B69">
              <w:rPr>
                <w:rFonts w:eastAsiaTheme="minorHAnsi"/>
                <w:sz w:val="16"/>
                <w:szCs w:val="16"/>
                <w:lang w:val="en-US" w:eastAsia="en-US"/>
              </w:rPr>
              <w:t>12.235</w:t>
            </w:r>
          </w:p>
        </w:tc>
        <w:tc>
          <w:tcPr>
            <w:tcW w:w="992" w:type="dxa"/>
            <w:tcBorders>
              <w:left w:val="single" w:sz="6" w:space="0" w:color="FFFFFF" w:themeColor="background1"/>
            </w:tcBorders>
          </w:tcPr>
          <w:p w14:paraId="1BAC74D8" w14:textId="77777777" w:rsidR="00BC5B69" w:rsidRPr="00BC5B69" w:rsidRDefault="00BC5B69" w:rsidP="00BC5B69">
            <w:pPr>
              <w:jc w:val="center"/>
              <w:rPr>
                <w:rFonts w:eastAsiaTheme="minorHAnsi"/>
                <w:b/>
                <w:sz w:val="16"/>
                <w:szCs w:val="16"/>
                <w:lang w:val="en-US" w:eastAsia="en-US"/>
              </w:rPr>
            </w:pPr>
            <w:r w:rsidRPr="00BC5B69">
              <w:rPr>
                <w:rFonts w:eastAsiaTheme="minorHAnsi"/>
                <w:b/>
                <w:sz w:val="16"/>
                <w:szCs w:val="16"/>
                <w:lang w:val="en-US" w:eastAsia="en-US"/>
              </w:rPr>
              <w:t>0.001</w:t>
            </w:r>
          </w:p>
        </w:tc>
      </w:tr>
    </w:tbl>
    <w:p w14:paraId="4394516A" w14:textId="77777777" w:rsidR="00BC5B69" w:rsidRPr="00BC5B69" w:rsidRDefault="00BC5B69" w:rsidP="00BC5B69">
      <w:pPr>
        <w:rPr>
          <w:rFonts w:eastAsiaTheme="minorHAnsi"/>
          <w:sz w:val="16"/>
          <w:szCs w:val="16"/>
          <w:lang w:val="en-US" w:eastAsia="en-US"/>
        </w:rPr>
      </w:pPr>
      <w:r w:rsidRPr="00BC5B69">
        <w:rPr>
          <w:rFonts w:eastAsiaTheme="minorHAnsi"/>
          <w:sz w:val="16"/>
          <w:szCs w:val="16"/>
          <w:lang w:val="en-US" w:eastAsia="en-US"/>
        </w:rPr>
        <w:t xml:space="preserve">BADL: Basic Activities of Daily Living, BMI: Body mass index, CCI: </w:t>
      </w:r>
      <w:proofErr w:type="spellStart"/>
      <w:r w:rsidRPr="00BC5B69">
        <w:rPr>
          <w:rFonts w:eastAsiaTheme="minorHAnsi"/>
          <w:sz w:val="16"/>
          <w:szCs w:val="16"/>
          <w:lang w:val="en-US" w:eastAsia="en-US"/>
        </w:rPr>
        <w:t>Charlson</w:t>
      </w:r>
      <w:proofErr w:type="spellEnd"/>
      <w:r w:rsidRPr="00BC5B69">
        <w:rPr>
          <w:rFonts w:eastAsiaTheme="minorHAnsi"/>
          <w:sz w:val="16"/>
          <w:szCs w:val="16"/>
          <w:lang w:val="en-US" w:eastAsia="en-US"/>
        </w:rPr>
        <w:t xml:space="preserve"> comorbidity index, GDS: Geriatric depression score, IADL: Instrumental Activities of Daily Living, POMA: Performance-Oriented Mobility Assessment *All data are adjusted for age, education level and living environment</w:t>
      </w:r>
    </w:p>
    <w:p w14:paraId="55D3992E" w14:textId="03B84D0E" w:rsidR="00BC5B69" w:rsidRPr="00BC5B69" w:rsidRDefault="00BC5B69" w:rsidP="00BC5B69">
      <w:pPr>
        <w:spacing w:after="160" w:line="259" w:lineRule="auto"/>
        <w:rPr>
          <w:rFonts w:eastAsiaTheme="minorHAnsi"/>
          <w:b/>
          <w:lang w:val="en-US" w:eastAsia="en-US"/>
        </w:rPr>
      </w:pPr>
    </w:p>
    <w:p w14:paraId="3DED198B" w14:textId="77777777" w:rsidR="00BC5B69" w:rsidRPr="00BC5B69" w:rsidRDefault="00BC5B69" w:rsidP="006952DB">
      <w:pPr>
        <w:widowControl w:val="0"/>
        <w:autoSpaceDE w:val="0"/>
        <w:autoSpaceDN w:val="0"/>
        <w:adjustRightInd w:val="0"/>
        <w:spacing w:line="480" w:lineRule="auto"/>
        <w:ind w:left="480" w:hanging="480"/>
        <w:jc w:val="both"/>
        <w:rPr>
          <w:noProof/>
          <w:sz w:val="22"/>
        </w:rPr>
      </w:pPr>
    </w:p>
    <w:p w14:paraId="43FE6B74" w14:textId="2C041D82" w:rsidR="00DA4C29" w:rsidRDefault="00DA4C29" w:rsidP="006952DB">
      <w:pPr>
        <w:widowControl w:val="0"/>
        <w:autoSpaceDE w:val="0"/>
        <w:autoSpaceDN w:val="0"/>
        <w:adjustRightInd w:val="0"/>
        <w:spacing w:line="480" w:lineRule="auto"/>
        <w:ind w:left="480" w:hanging="480"/>
        <w:jc w:val="both"/>
        <w:rPr>
          <w:noProof/>
          <w:sz w:val="22"/>
        </w:rPr>
      </w:pPr>
    </w:p>
    <w:p w14:paraId="34ECE170" w14:textId="7E915E06" w:rsidR="00BC5B69" w:rsidRDefault="00BC5B69" w:rsidP="006952DB">
      <w:pPr>
        <w:widowControl w:val="0"/>
        <w:autoSpaceDE w:val="0"/>
        <w:autoSpaceDN w:val="0"/>
        <w:adjustRightInd w:val="0"/>
        <w:spacing w:line="480" w:lineRule="auto"/>
        <w:ind w:left="480" w:hanging="480"/>
        <w:jc w:val="both"/>
        <w:rPr>
          <w:noProof/>
          <w:sz w:val="22"/>
        </w:rPr>
      </w:pPr>
    </w:p>
    <w:p w14:paraId="29D1124E" w14:textId="54B7F335" w:rsidR="00BC5B69" w:rsidRDefault="00BC5B69" w:rsidP="006952DB">
      <w:pPr>
        <w:widowControl w:val="0"/>
        <w:autoSpaceDE w:val="0"/>
        <w:autoSpaceDN w:val="0"/>
        <w:adjustRightInd w:val="0"/>
        <w:spacing w:line="480" w:lineRule="auto"/>
        <w:ind w:left="480" w:hanging="480"/>
        <w:jc w:val="both"/>
        <w:rPr>
          <w:noProof/>
          <w:sz w:val="22"/>
        </w:rPr>
      </w:pPr>
    </w:p>
    <w:p w14:paraId="2FFA0CED" w14:textId="26CE9D51" w:rsidR="00BC5B69" w:rsidRDefault="00BC5B69" w:rsidP="006952DB">
      <w:pPr>
        <w:widowControl w:val="0"/>
        <w:autoSpaceDE w:val="0"/>
        <w:autoSpaceDN w:val="0"/>
        <w:adjustRightInd w:val="0"/>
        <w:spacing w:line="480" w:lineRule="auto"/>
        <w:ind w:left="480" w:hanging="480"/>
        <w:jc w:val="both"/>
        <w:rPr>
          <w:noProof/>
          <w:sz w:val="22"/>
        </w:rPr>
      </w:pPr>
    </w:p>
    <w:p w14:paraId="5F75EF43" w14:textId="4A68B814" w:rsidR="00BC5B69" w:rsidRDefault="00BC5B69" w:rsidP="006952DB">
      <w:pPr>
        <w:widowControl w:val="0"/>
        <w:autoSpaceDE w:val="0"/>
        <w:autoSpaceDN w:val="0"/>
        <w:adjustRightInd w:val="0"/>
        <w:spacing w:line="480" w:lineRule="auto"/>
        <w:ind w:left="480" w:hanging="480"/>
        <w:jc w:val="both"/>
        <w:rPr>
          <w:noProof/>
          <w:sz w:val="22"/>
        </w:rPr>
      </w:pPr>
    </w:p>
    <w:p w14:paraId="2E6AAFD5" w14:textId="4DE84CAE" w:rsidR="00BC5B69" w:rsidRDefault="00BC5B69" w:rsidP="006952DB">
      <w:pPr>
        <w:widowControl w:val="0"/>
        <w:autoSpaceDE w:val="0"/>
        <w:autoSpaceDN w:val="0"/>
        <w:adjustRightInd w:val="0"/>
        <w:spacing w:line="480" w:lineRule="auto"/>
        <w:ind w:left="480" w:hanging="480"/>
        <w:jc w:val="both"/>
        <w:rPr>
          <w:noProof/>
          <w:sz w:val="22"/>
        </w:rPr>
      </w:pPr>
    </w:p>
    <w:p w14:paraId="63D281EE" w14:textId="1DCF75AF" w:rsidR="00BC5B69" w:rsidRDefault="00BC5B69" w:rsidP="006952DB">
      <w:pPr>
        <w:widowControl w:val="0"/>
        <w:autoSpaceDE w:val="0"/>
        <w:autoSpaceDN w:val="0"/>
        <w:adjustRightInd w:val="0"/>
        <w:spacing w:line="480" w:lineRule="auto"/>
        <w:ind w:left="480" w:hanging="480"/>
        <w:jc w:val="both"/>
        <w:rPr>
          <w:noProof/>
          <w:sz w:val="22"/>
        </w:rPr>
      </w:pPr>
    </w:p>
    <w:p w14:paraId="3AE27578" w14:textId="1CC14D98" w:rsidR="00BC5B69" w:rsidRDefault="00BC5B69" w:rsidP="006952DB">
      <w:pPr>
        <w:widowControl w:val="0"/>
        <w:autoSpaceDE w:val="0"/>
        <w:autoSpaceDN w:val="0"/>
        <w:adjustRightInd w:val="0"/>
        <w:spacing w:line="480" w:lineRule="auto"/>
        <w:ind w:left="480" w:hanging="480"/>
        <w:jc w:val="both"/>
        <w:rPr>
          <w:noProof/>
          <w:sz w:val="22"/>
        </w:rPr>
      </w:pPr>
    </w:p>
    <w:p w14:paraId="3ECA8142" w14:textId="79CD8DED" w:rsidR="00BC5B69" w:rsidRDefault="00BC5B69" w:rsidP="006952DB">
      <w:pPr>
        <w:widowControl w:val="0"/>
        <w:autoSpaceDE w:val="0"/>
        <w:autoSpaceDN w:val="0"/>
        <w:adjustRightInd w:val="0"/>
        <w:spacing w:line="480" w:lineRule="auto"/>
        <w:ind w:left="480" w:hanging="480"/>
        <w:jc w:val="both"/>
        <w:rPr>
          <w:noProof/>
          <w:sz w:val="22"/>
        </w:rPr>
      </w:pPr>
    </w:p>
    <w:p w14:paraId="5DCAABD7" w14:textId="432F42ED" w:rsidR="00BC5B69" w:rsidRDefault="00BC5B69" w:rsidP="006952DB">
      <w:pPr>
        <w:widowControl w:val="0"/>
        <w:autoSpaceDE w:val="0"/>
        <w:autoSpaceDN w:val="0"/>
        <w:adjustRightInd w:val="0"/>
        <w:spacing w:line="480" w:lineRule="auto"/>
        <w:ind w:left="480" w:hanging="480"/>
        <w:jc w:val="both"/>
        <w:rPr>
          <w:noProof/>
          <w:sz w:val="22"/>
        </w:rPr>
      </w:pPr>
    </w:p>
    <w:p w14:paraId="0727668D" w14:textId="0D95EAA5" w:rsidR="00BC5B69" w:rsidRDefault="00BC5B69" w:rsidP="006952DB">
      <w:pPr>
        <w:widowControl w:val="0"/>
        <w:autoSpaceDE w:val="0"/>
        <w:autoSpaceDN w:val="0"/>
        <w:adjustRightInd w:val="0"/>
        <w:spacing w:line="480" w:lineRule="auto"/>
        <w:ind w:left="480" w:hanging="480"/>
        <w:jc w:val="both"/>
        <w:rPr>
          <w:noProof/>
          <w:sz w:val="22"/>
        </w:rPr>
      </w:pPr>
    </w:p>
    <w:p w14:paraId="26BCD865" w14:textId="77777777" w:rsidR="00BC5B69" w:rsidRPr="00BC5B69" w:rsidRDefault="00BC5B69" w:rsidP="00BC5B69">
      <w:pPr>
        <w:rPr>
          <w:rFonts w:eastAsiaTheme="minorHAnsi"/>
          <w:b/>
          <w:lang w:val="en-US" w:eastAsia="en-US"/>
        </w:rPr>
      </w:pPr>
      <w:r w:rsidRPr="00BC5B69">
        <w:rPr>
          <w:rFonts w:eastAsiaTheme="minorHAnsi"/>
          <w:b/>
          <w:lang w:val="en-US" w:eastAsia="en-US"/>
        </w:rPr>
        <w:lastRenderedPageBreak/>
        <w:t xml:space="preserve">Table 3. Chi-square test of association between the variables </w:t>
      </w:r>
    </w:p>
    <w:p w14:paraId="35C65849" w14:textId="77777777" w:rsidR="00BC5B69" w:rsidRPr="00BC5B69" w:rsidRDefault="00BC5B69" w:rsidP="00BC5B69">
      <w:pPr>
        <w:rPr>
          <w:rFonts w:eastAsiaTheme="minorHAnsi"/>
          <w:b/>
          <w:lang w:val="en-US" w:eastAsia="en-US"/>
        </w:rPr>
      </w:pPr>
    </w:p>
    <w:tbl>
      <w:tblPr>
        <w:tblStyle w:val="PlainTable2"/>
        <w:tblW w:w="9923" w:type="dxa"/>
        <w:tblBorders>
          <w:bottom w:val="single" w:sz="4" w:space="0" w:color="auto"/>
          <w:insideH w:val="single" w:sz="4" w:space="0" w:color="7F7F7F" w:themeColor="text1" w:themeTint="80"/>
        </w:tblBorders>
        <w:tblLook w:val="04A0" w:firstRow="1" w:lastRow="0" w:firstColumn="1" w:lastColumn="0" w:noHBand="0" w:noVBand="1"/>
      </w:tblPr>
      <w:tblGrid>
        <w:gridCol w:w="3261"/>
        <w:gridCol w:w="2268"/>
        <w:gridCol w:w="1984"/>
        <w:gridCol w:w="2410"/>
      </w:tblGrid>
      <w:tr w:rsidR="00BC5B69" w:rsidRPr="00BC5B69" w14:paraId="533F100B" w14:textId="77777777" w:rsidTr="00A5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1535A7D6" w14:textId="77777777" w:rsidR="00BC5B69" w:rsidRPr="00BC5B69" w:rsidRDefault="00BC5B69" w:rsidP="00BC5B69">
            <w:pPr>
              <w:rPr>
                <w:rFonts w:eastAsiaTheme="minorHAnsi"/>
                <w:sz w:val="20"/>
                <w:szCs w:val="20"/>
                <w:lang w:val="en-US" w:eastAsia="en-US"/>
              </w:rPr>
            </w:pPr>
          </w:p>
        </w:tc>
        <w:tc>
          <w:tcPr>
            <w:tcW w:w="2268" w:type="dxa"/>
            <w:tcBorders>
              <w:bottom w:val="none" w:sz="0" w:space="0" w:color="auto"/>
            </w:tcBorders>
          </w:tcPr>
          <w:p w14:paraId="467482E0"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Risk of falling according to</w:t>
            </w:r>
          </w:p>
          <w:p w14:paraId="7ECDA5CF"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Fall history</w:t>
            </w:r>
          </w:p>
        </w:tc>
        <w:tc>
          <w:tcPr>
            <w:tcW w:w="1984" w:type="dxa"/>
            <w:tcBorders>
              <w:bottom w:val="none" w:sz="0" w:space="0" w:color="auto"/>
            </w:tcBorders>
          </w:tcPr>
          <w:p w14:paraId="325EFF9E"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Risk of falling according to</w:t>
            </w:r>
          </w:p>
          <w:p w14:paraId="01812F56"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POMA</w:t>
            </w:r>
          </w:p>
        </w:tc>
        <w:tc>
          <w:tcPr>
            <w:tcW w:w="2410" w:type="dxa"/>
            <w:tcBorders>
              <w:bottom w:val="none" w:sz="0" w:space="0" w:color="auto"/>
            </w:tcBorders>
          </w:tcPr>
          <w:p w14:paraId="5401AF09"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Risk of falling according to</w:t>
            </w:r>
          </w:p>
          <w:p w14:paraId="5FA4E055"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Timed Up and Go test</w:t>
            </w:r>
          </w:p>
        </w:tc>
      </w:tr>
      <w:tr w:rsidR="00BC5B69" w:rsidRPr="00BC5B69" w14:paraId="20FC0813" w14:textId="77777777" w:rsidTr="00A54C7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55756CE"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 xml:space="preserve">Risk of falling according to </w:t>
            </w:r>
          </w:p>
          <w:p w14:paraId="72A9EA62"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POMA</w:t>
            </w:r>
          </w:p>
        </w:tc>
        <w:tc>
          <w:tcPr>
            <w:tcW w:w="2268" w:type="dxa"/>
            <w:vAlign w:val="center"/>
          </w:tcPr>
          <w:p w14:paraId="7B91B1BA"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17.540 (p &lt;0.001)</w:t>
            </w:r>
          </w:p>
        </w:tc>
        <w:tc>
          <w:tcPr>
            <w:tcW w:w="1984" w:type="dxa"/>
            <w:vAlign w:val="center"/>
          </w:tcPr>
          <w:p w14:paraId="1F5C1DCA"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p>
        </w:tc>
        <w:tc>
          <w:tcPr>
            <w:tcW w:w="2410" w:type="dxa"/>
            <w:vAlign w:val="center"/>
          </w:tcPr>
          <w:p w14:paraId="2BEF938B"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p>
        </w:tc>
      </w:tr>
      <w:tr w:rsidR="00BC5B69" w:rsidRPr="00BC5B69" w14:paraId="3A1C224E" w14:textId="77777777" w:rsidTr="00A54C7C">
        <w:trPr>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FCE8CCD"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 xml:space="preserve">Risk of falling according to </w:t>
            </w:r>
          </w:p>
          <w:p w14:paraId="31FC94C0"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Timed Up and Go test</w:t>
            </w:r>
          </w:p>
        </w:tc>
        <w:tc>
          <w:tcPr>
            <w:tcW w:w="2268" w:type="dxa"/>
            <w:vAlign w:val="center"/>
          </w:tcPr>
          <w:p w14:paraId="41E36264" w14:textId="77777777" w:rsidR="00BC5B69" w:rsidRPr="00BC5B69" w:rsidRDefault="00BC5B69" w:rsidP="00BC5B69">
            <w:pPr>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23.066 (p &lt;0.001)</w:t>
            </w:r>
          </w:p>
        </w:tc>
        <w:tc>
          <w:tcPr>
            <w:tcW w:w="1984" w:type="dxa"/>
            <w:vAlign w:val="center"/>
          </w:tcPr>
          <w:p w14:paraId="4B426B99" w14:textId="77777777" w:rsidR="00BC5B69" w:rsidRPr="00BC5B69" w:rsidRDefault="00BC5B69" w:rsidP="00BC5B69">
            <w:pPr>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57.965 (p&lt;0.001)</w:t>
            </w:r>
          </w:p>
        </w:tc>
        <w:tc>
          <w:tcPr>
            <w:tcW w:w="2410" w:type="dxa"/>
            <w:vAlign w:val="center"/>
          </w:tcPr>
          <w:p w14:paraId="4E269B2E" w14:textId="77777777" w:rsidR="00BC5B69" w:rsidRPr="00BC5B69" w:rsidRDefault="00BC5B69" w:rsidP="00BC5B69">
            <w:pPr>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p>
        </w:tc>
      </w:tr>
      <w:tr w:rsidR="00BC5B69" w:rsidRPr="00BC5B69" w14:paraId="3747D5CD" w14:textId="77777777" w:rsidTr="00A54C7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645CE812"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 xml:space="preserve">Risk of falling according to </w:t>
            </w:r>
          </w:p>
          <w:p w14:paraId="5B3FDD4B"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Low Walking Speed</w:t>
            </w:r>
          </w:p>
        </w:tc>
        <w:tc>
          <w:tcPr>
            <w:tcW w:w="2268" w:type="dxa"/>
            <w:vAlign w:val="center"/>
          </w:tcPr>
          <w:p w14:paraId="3C196F85"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4.590 (p:0.032)</w:t>
            </w:r>
          </w:p>
        </w:tc>
        <w:tc>
          <w:tcPr>
            <w:tcW w:w="1984" w:type="dxa"/>
            <w:vAlign w:val="center"/>
          </w:tcPr>
          <w:p w14:paraId="36D82306"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59.532 (p&lt;0.001)</w:t>
            </w:r>
          </w:p>
        </w:tc>
        <w:tc>
          <w:tcPr>
            <w:tcW w:w="2410" w:type="dxa"/>
            <w:vAlign w:val="center"/>
          </w:tcPr>
          <w:p w14:paraId="1CC471A0"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97.745 (p&lt;0.001)</w:t>
            </w:r>
          </w:p>
        </w:tc>
      </w:tr>
    </w:tbl>
    <w:p w14:paraId="59E1E8AC" w14:textId="77777777" w:rsidR="00BC5B69" w:rsidRPr="00BC5B69" w:rsidRDefault="00BC5B69" w:rsidP="00BC5B69">
      <w:pPr>
        <w:tabs>
          <w:tab w:val="left" w:pos="4524"/>
        </w:tabs>
        <w:rPr>
          <w:rFonts w:eastAsiaTheme="minorHAnsi"/>
          <w:lang w:val="en-US" w:eastAsia="en-US"/>
        </w:rPr>
      </w:pPr>
      <w:r w:rsidRPr="00BC5B69">
        <w:rPr>
          <w:rFonts w:eastAsiaTheme="minorHAnsi"/>
          <w:lang w:val="en-US" w:eastAsia="en-US"/>
        </w:rPr>
        <w:tab/>
      </w:r>
    </w:p>
    <w:p w14:paraId="4B5770FE" w14:textId="1448FF5F" w:rsidR="00BC5B69" w:rsidRDefault="00BC5B69" w:rsidP="006952DB">
      <w:pPr>
        <w:widowControl w:val="0"/>
        <w:autoSpaceDE w:val="0"/>
        <w:autoSpaceDN w:val="0"/>
        <w:adjustRightInd w:val="0"/>
        <w:spacing w:line="480" w:lineRule="auto"/>
        <w:ind w:left="480" w:hanging="480"/>
        <w:jc w:val="both"/>
        <w:rPr>
          <w:noProof/>
          <w:sz w:val="22"/>
        </w:rPr>
      </w:pPr>
    </w:p>
    <w:p w14:paraId="4F79AC9D" w14:textId="0B6C79D6" w:rsidR="00BC5B69" w:rsidRDefault="00BC5B69" w:rsidP="006952DB">
      <w:pPr>
        <w:widowControl w:val="0"/>
        <w:autoSpaceDE w:val="0"/>
        <w:autoSpaceDN w:val="0"/>
        <w:adjustRightInd w:val="0"/>
        <w:spacing w:line="480" w:lineRule="auto"/>
        <w:ind w:left="480" w:hanging="480"/>
        <w:jc w:val="both"/>
        <w:rPr>
          <w:noProof/>
          <w:sz w:val="22"/>
        </w:rPr>
      </w:pPr>
    </w:p>
    <w:p w14:paraId="5B8AB7E5" w14:textId="73BDAC06" w:rsidR="00BC5B69" w:rsidRDefault="00BC5B69" w:rsidP="006952DB">
      <w:pPr>
        <w:widowControl w:val="0"/>
        <w:autoSpaceDE w:val="0"/>
        <w:autoSpaceDN w:val="0"/>
        <w:adjustRightInd w:val="0"/>
        <w:spacing w:line="480" w:lineRule="auto"/>
        <w:ind w:left="480" w:hanging="480"/>
        <w:jc w:val="both"/>
        <w:rPr>
          <w:noProof/>
          <w:sz w:val="22"/>
        </w:rPr>
      </w:pPr>
    </w:p>
    <w:p w14:paraId="4E7D483B" w14:textId="3748E88F" w:rsidR="00BC5B69" w:rsidRDefault="00BC5B69" w:rsidP="006952DB">
      <w:pPr>
        <w:widowControl w:val="0"/>
        <w:autoSpaceDE w:val="0"/>
        <w:autoSpaceDN w:val="0"/>
        <w:adjustRightInd w:val="0"/>
        <w:spacing w:line="480" w:lineRule="auto"/>
        <w:ind w:left="480" w:hanging="480"/>
        <w:jc w:val="both"/>
        <w:rPr>
          <w:noProof/>
          <w:sz w:val="22"/>
        </w:rPr>
      </w:pPr>
    </w:p>
    <w:p w14:paraId="030E89B9" w14:textId="5FC63487" w:rsidR="00BC5B69" w:rsidRDefault="00BC5B69" w:rsidP="006952DB">
      <w:pPr>
        <w:widowControl w:val="0"/>
        <w:autoSpaceDE w:val="0"/>
        <w:autoSpaceDN w:val="0"/>
        <w:adjustRightInd w:val="0"/>
        <w:spacing w:line="480" w:lineRule="auto"/>
        <w:ind w:left="480" w:hanging="480"/>
        <w:jc w:val="both"/>
        <w:rPr>
          <w:noProof/>
          <w:sz w:val="22"/>
        </w:rPr>
      </w:pPr>
    </w:p>
    <w:p w14:paraId="51DA1355" w14:textId="36249120" w:rsidR="00BC5B69" w:rsidRDefault="00BC5B69" w:rsidP="006952DB">
      <w:pPr>
        <w:widowControl w:val="0"/>
        <w:autoSpaceDE w:val="0"/>
        <w:autoSpaceDN w:val="0"/>
        <w:adjustRightInd w:val="0"/>
        <w:spacing w:line="480" w:lineRule="auto"/>
        <w:ind w:left="480" w:hanging="480"/>
        <w:jc w:val="both"/>
        <w:rPr>
          <w:noProof/>
          <w:sz w:val="22"/>
        </w:rPr>
      </w:pPr>
    </w:p>
    <w:p w14:paraId="33E04C05" w14:textId="3ED13C06" w:rsidR="00BC5B69" w:rsidRDefault="00BC5B69" w:rsidP="006952DB">
      <w:pPr>
        <w:widowControl w:val="0"/>
        <w:autoSpaceDE w:val="0"/>
        <w:autoSpaceDN w:val="0"/>
        <w:adjustRightInd w:val="0"/>
        <w:spacing w:line="480" w:lineRule="auto"/>
        <w:ind w:left="480" w:hanging="480"/>
        <w:jc w:val="both"/>
        <w:rPr>
          <w:noProof/>
          <w:sz w:val="22"/>
        </w:rPr>
      </w:pPr>
    </w:p>
    <w:p w14:paraId="7BF894B5" w14:textId="0A6DDE7D" w:rsidR="00BC5B69" w:rsidRDefault="00BC5B69" w:rsidP="006952DB">
      <w:pPr>
        <w:widowControl w:val="0"/>
        <w:autoSpaceDE w:val="0"/>
        <w:autoSpaceDN w:val="0"/>
        <w:adjustRightInd w:val="0"/>
        <w:spacing w:line="480" w:lineRule="auto"/>
        <w:ind w:left="480" w:hanging="480"/>
        <w:jc w:val="both"/>
        <w:rPr>
          <w:noProof/>
          <w:sz w:val="22"/>
        </w:rPr>
      </w:pPr>
    </w:p>
    <w:p w14:paraId="33FD2944" w14:textId="1224F6F7" w:rsidR="00BC5B69" w:rsidRDefault="00BC5B69" w:rsidP="006952DB">
      <w:pPr>
        <w:widowControl w:val="0"/>
        <w:autoSpaceDE w:val="0"/>
        <w:autoSpaceDN w:val="0"/>
        <w:adjustRightInd w:val="0"/>
        <w:spacing w:line="480" w:lineRule="auto"/>
        <w:ind w:left="480" w:hanging="480"/>
        <w:jc w:val="both"/>
        <w:rPr>
          <w:noProof/>
          <w:sz w:val="22"/>
        </w:rPr>
      </w:pPr>
    </w:p>
    <w:p w14:paraId="2F230C5E" w14:textId="6E9E332F" w:rsidR="00BC5B69" w:rsidRDefault="00BC5B69" w:rsidP="006952DB">
      <w:pPr>
        <w:widowControl w:val="0"/>
        <w:autoSpaceDE w:val="0"/>
        <w:autoSpaceDN w:val="0"/>
        <w:adjustRightInd w:val="0"/>
        <w:spacing w:line="480" w:lineRule="auto"/>
        <w:ind w:left="480" w:hanging="480"/>
        <w:jc w:val="both"/>
        <w:rPr>
          <w:noProof/>
          <w:sz w:val="22"/>
        </w:rPr>
      </w:pPr>
    </w:p>
    <w:p w14:paraId="461E8564" w14:textId="1BF015C9" w:rsidR="00BC5B69" w:rsidRDefault="00BC5B69" w:rsidP="006952DB">
      <w:pPr>
        <w:widowControl w:val="0"/>
        <w:autoSpaceDE w:val="0"/>
        <w:autoSpaceDN w:val="0"/>
        <w:adjustRightInd w:val="0"/>
        <w:spacing w:line="480" w:lineRule="auto"/>
        <w:ind w:left="480" w:hanging="480"/>
        <w:jc w:val="both"/>
        <w:rPr>
          <w:noProof/>
          <w:sz w:val="22"/>
        </w:rPr>
      </w:pPr>
    </w:p>
    <w:p w14:paraId="10436833" w14:textId="77777777" w:rsidR="00BC5B69" w:rsidRPr="00BC5B69" w:rsidRDefault="00BC5B69" w:rsidP="00BC5B69">
      <w:pPr>
        <w:rPr>
          <w:rFonts w:eastAsiaTheme="minorHAnsi"/>
          <w:b/>
          <w:lang w:val="en-US" w:eastAsia="en-US"/>
        </w:rPr>
      </w:pPr>
      <w:r w:rsidRPr="00BC5B69">
        <w:rPr>
          <w:rFonts w:eastAsiaTheme="minorHAnsi"/>
          <w:b/>
          <w:lang w:val="en-US" w:eastAsia="en-US"/>
        </w:rPr>
        <w:lastRenderedPageBreak/>
        <w:t xml:space="preserve">Table 4. Phi coefficients between the variables </w:t>
      </w:r>
    </w:p>
    <w:p w14:paraId="05012986" w14:textId="77777777" w:rsidR="00BC5B69" w:rsidRPr="00BC5B69" w:rsidRDefault="00BC5B69" w:rsidP="00BC5B69">
      <w:pPr>
        <w:rPr>
          <w:rFonts w:eastAsiaTheme="minorHAnsi"/>
          <w:b/>
          <w:lang w:val="en-US" w:eastAsia="en-US"/>
        </w:rPr>
      </w:pPr>
    </w:p>
    <w:tbl>
      <w:tblPr>
        <w:tblStyle w:val="PlainTable2"/>
        <w:tblW w:w="9923" w:type="dxa"/>
        <w:tblBorders>
          <w:bottom w:val="single" w:sz="4" w:space="0" w:color="auto"/>
          <w:insideH w:val="single" w:sz="4" w:space="0" w:color="7F7F7F" w:themeColor="text1" w:themeTint="80"/>
        </w:tblBorders>
        <w:tblLook w:val="04A0" w:firstRow="1" w:lastRow="0" w:firstColumn="1" w:lastColumn="0" w:noHBand="0" w:noVBand="1"/>
      </w:tblPr>
      <w:tblGrid>
        <w:gridCol w:w="3261"/>
        <w:gridCol w:w="2268"/>
        <w:gridCol w:w="1984"/>
        <w:gridCol w:w="2410"/>
      </w:tblGrid>
      <w:tr w:rsidR="00BC5B69" w:rsidRPr="00BC5B69" w14:paraId="5C2FBD60" w14:textId="77777777" w:rsidTr="00A54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tcPr>
          <w:p w14:paraId="18A2A79D" w14:textId="77777777" w:rsidR="00BC5B69" w:rsidRPr="00BC5B69" w:rsidRDefault="00BC5B69" w:rsidP="00BC5B69">
            <w:pPr>
              <w:rPr>
                <w:rFonts w:eastAsiaTheme="minorHAnsi"/>
                <w:sz w:val="20"/>
                <w:szCs w:val="20"/>
                <w:lang w:val="en-US" w:eastAsia="en-US"/>
              </w:rPr>
            </w:pPr>
          </w:p>
        </w:tc>
        <w:tc>
          <w:tcPr>
            <w:tcW w:w="2268" w:type="dxa"/>
            <w:tcBorders>
              <w:bottom w:val="none" w:sz="0" w:space="0" w:color="auto"/>
            </w:tcBorders>
          </w:tcPr>
          <w:p w14:paraId="3304F2C6"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Risk of falling according to</w:t>
            </w:r>
          </w:p>
          <w:p w14:paraId="5FE26D5F"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Fall history</w:t>
            </w:r>
          </w:p>
        </w:tc>
        <w:tc>
          <w:tcPr>
            <w:tcW w:w="1984" w:type="dxa"/>
            <w:tcBorders>
              <w:bottom w:val="none" w:sz="0" w:space="0" w:color="auto"/>
            </w:tcBorders>
          </w:tcPr>
          <w:p w14:paraId="0C8AAE61"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Risk of falling according to</w:t>
            </w:r>
          </w:p>
          <w:p w14:paraId="3F50830C"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POMA</w:t>
            </w:r>
          </w:p>
        </w:tc>
        <w:tc>
          <w:tcPr>
            <w:tcW w:w="2410" w:type="dxa"/>
            <w:tcBorders>
              <w:bottom w:val="none" w:sz="0" w:space="0" w:color="auto"/>
            </w:tcBorders>
          </w:tcPr>
          <w:p w14:paraId="0EC04BF6"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Risk of falling according to</w:t>
            </w:r>
          </w:p>
          <w:p w14:paraId="022EE5BA" w14:textId="77777777" w:rsidR="00BC5B69" w:rsidRPr="00BC5B69" w:rsidRDefault="00BC5B69" w:rsidP="00BC5B69">
            <w:pPr>
              <w:jc w:val="center"/>
              <w:cnfStyle w:val="100000000000" w:firstRow="1"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Timed Up and Go test</w:t>
            </w:r>
          </w:p>
        </w:tc>
      </w:tr>
      <w:tr w:rsidR="00BC5B69" w:rsidRPr="00BC5B69" w14:paraId="0EB145D4" w14:textId="77777777" w:rsidTr="00A54C7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E80FD8C"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 xml:space="preserve">Risk of falling according to </w:t>
            </w:r>
          </w:p>
          <w:p w14:paraId="258B9D08"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POMA</w:t>
            </w:r>
          </w:p>
        </w:tc>
        <w:tc>
          <w:tcPr>
            <w:tcW w:w="2268" w:type="dxa"/>
          </w:tcPr>
          <w:p w14:paraId="78140615"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0.229 (&lt;0.001)</w:t>
            </w:r>
          </w:p>
        </w:tc>
        <w:tc>
          <w:tcPr>
            <w:tcW w:w="1984" w:type="dxa"/>
          </w:tcPr>
          <w:p w14:paraId="333A4D17"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p>
        </w:tc>
        <w:tc>
          <w:tcPr>
            <w:tcW w:w="2410" w:type="dxa"/>
          </w:tcPr>
          <w:p w14:paraId="5EAC2FC3"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p>
        </w:tc>
      </w:tr>
      <w:tr w:rsidR="00BC5B69" w:rsidRPr="00BC5B69" w14:paraId="752F8263" w14:textId="77777777" w:rsidTr="00A54C7C">
        <w:trPr>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41D07E67"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 xml:space="preserve">Risk of falling according to </w:t>
            </w:r>
          </w:p>
          <w:p w14:paraId="768E0B95"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Timed Up and Go test</w:t>
            </w:r>
          </w:p>
        </w:tc>
        <w:tc>
          <w:tcPr>
            <w:tcW w:w="2268" w:type="dxa"/>
          </w:tcPr>
          <w:p w14:paraId="425F4EFC" w14:textId="77777777" w:rsidR="00BC5B69" w:rsidRPr="00BC5B69" w:rsidRDefault="00BC5B69" w:rsidP="00BC5B69">
            <w:pPr>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0.263 (&lt;0.001)</w:t>
            </w:r>
          </w:p>
        </w:tc>
        <w:tc>
          <w:tcPr>
            <w:tcW w:w="1984" w:type="dxa"/>
          </w:tcPr>
          <w:p w14:paraId="5D65FD20" w14:textId="77777777" w:rsidR="00BC5B69" w:rsidRPr="00BC5B69" w:rsidRDefault="00BC5B69" w:rsidP="00BC5B69">
            <w:pPr>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0.417 (&lt;0.001)</w:t>
            </w:r>
          </w:p>
        </w:tc>
        <w:tc>
          <w:tcPr>
            <w:tcW w:w="2410" w:type="dxa"/>
          </w:tcPr>
          <w:p w14:paraId="2CAC9DD3" w14:textId="77777777" w:rsidR="00BC5B69" w:rsidRPr="00BC5B69" w:rsidRDefault="00BC5B69" w:rsidP="00BC5B69">
            <w:pPr>
              <w:jc w:val="center"/>
              <w:cnfStyle w:val="000000000000" w:firstRow="0" w:lastRow="0" w:firstColumn="0" w:lastColumn="0" w:oddVBand="0" w:evenVBand="0" w:oddHBand="0" w:evenHBand="0" w:firstRowFirstColumn="0" w:firstRowLastColumn="0" w:lastRowFirstColumn="0" w:lastRowLastColumn="0"/>
              <w:rPr>
                <w:rFonts w:eastAsiaTheme="minorHAnsi"/>
                <w:sz w:val="20"/>
                <w:szCs w:val="20"/>
                <w:lang w:val="en-US" w:eastAsia="en-US"/>
              </w:rPr>
            </w:pPr>
          </w:p>
        </w:tc>
      </w:tr>
      <w:tr w:rsidR="00BC5B69" w:rsidRPr="00BC5B69" w14:paraId="375DBE25" w14:textId="77777777" w:rsidTr="00A54C7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AAA0EE5"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 xml:space="preserve">Risk of falling according to </w:t>
            </w:r>
          </w:p>
          <w:p w14:paraId="290A35A5" w14:textId="77777777" w:rsidR="00BC5B69" w:rsidRPr="00BC5B69" w:rsidRDefault="00BC5B69" w:rsidP="00BC5B69">
            <w:pPr>
              <w:rPr>
                <w:rFonts w:eastAsiaTheme="minorHAnsi"/>
                <w:sz w:val="20"/>
                <w:szCs w:val="20"/>
                <w:lang w:val="en-US" w:eastAsia="en-US"/>
              </w:rPr>
            </w:pPr>
            <w:r w:rsidRPr="00BC5B69">
              <w:rPr>
                <w:rFonts w:eastAsiaTheme="minorHAnsi"/>
                <w:sz w:val="20"/>
                <w:szCs w:val="20"/>
                <w:lang w:val="en-US" w:eastAsia="en-US"/>
              </w:rPr>
              <w:t>Low Walking Speed</w:t>
            </w:r>
          </w:p>
        </w:tc>
        <w:tc>
          <w:tcPr>
            <w:tcW w:w="2268" w:type="dxa"/>
          </w:tcPr>
          <w:p w14:paraId="07B8B53D"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0.117 (0.032)</w:t>
            </w:r>
          </w:p>
        </w:tc>
        <w:tc>
          <w:tcPr>
            <w:tcW w:w="1984" w:type="dxa"/>
          </w:tcPr>
          <w:p w14:paraId="540DA4C6"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0.422 (&lt;0.001)</w:t>
            </w:r>
          </w:p>
        </w:tc>
        <w:tc>
          <w:tcPr>
            <w:tcW w:w="2410" w:type="dxa"/>
          </w:tcPr>
          <w:p w14:paraId="2A7721F0" w14:textId="77777777" w:rsidR="00BC5B69" w:rsidRPr="00BC5B69" w:rsidRDefault="00BC5B69" w:rsidP="00BC5B69">
            <w:pPr>
              <w:jc w:val="center"/>
              <w:cnfStyle w:val="000000100000" w:firstRow="0" w:lastRow="0" w:firstColumn="0" w:lastColumn="0" w:oddVBand="0" w:evenVBand="0" w:oddHBand="1" w:evenHBand="0" w:firstRowFirstColumn="0" w:firstRowLastColumn="0" w:lastRowFirstColumn="0" w:lastRowLastColumn="0"/>
              <w:rPr>
                <w:rFonts w:eastAsiaTheme="minorHAnsi"/>
                <w:sz w:val="20"/>
                <w:szCs w:val="20"/>
                <w:lang w:val="en-US" w:eastAsia="en-US"/>
              </w:rPr>
            </w:pPr>
            <w:r w:rsidRPr="00BC5B69">
              <w:rPr>
                <w:rFonts w:eastAsiaTheme="minorHAnsi"/>
                <w:sz w:val="20"/>
                <w:szCs w:val="20"/>
                <w:lang w:val="en-US" w:eastAsia="en-US"/>
              </w:rPr>
              <w:t>0.541 (&lt;0.001)</w:t>
            </w:r>
          </w:p>
        </w:tc>
      </w:tr>
    </w:tbl>
    <w:p w14:paraId="22544FA2" w14:textId="77777777" w:rsidR="00BC5B69" w:rsidRPr="00BC5B69" w:rsidRDefault="00BC5B69" w:rsidP="00BC5B69">
      <w:pPr>
        <w:tabs>
          <w:tab w:val="left" w:pos="4524"/>
        </w:tabs>
        <w:rPr>
          <w:rFonts w:eastAsiaTheme="minorHAnsi"/>
          <w:lang w:val="en-US" w:eastAsia="en-US"/>
        </w:rPr>
      </w:pPr>
      <w:r w:rsidRPr="00BC5B69">
        <w:rPr>
          <w:rFonts w:eastAsiaTheme="minorHAnsi"/>
          <w:lang w:val="en-US" w:eastAsia="en-US"/>
        </w:rPr>
        <w:tab/>
      </w:r>
    </w:p>
    <w:p w14:paraId="177FCA8D" w14:textId="77777777" w:rsidR="00BC5B69" w:rsidRPr="00BC5B69" w:rsidRDefault="00BC5B69" w:rsidP="00BC5B69">
      <w:pPr>
        <w:ind w:left="-142"/>
        <w:rPr>
          <w:rFonts w:eastAsiaTheme="minorHAnsi"/>
          <w:lang w:eastAsia="en-US"/>
        </w:rPr>
      </w:pPr>
    </w:p>
    <w:p w14:paraId="64808C4B" w14:textId="77777777" w:rsidR="00BC5B69" w:rsidRPr="00BC5B69" w:rsidRDefault="00BC5B69" w:rsidP="006952DB">
      <w:pPr>
        <w:widowControl w:val="0"/>
        <w:autoSpaceDE w:val="0"/>
        <w:autoSpaceDN w:val="0"/>
        <w:adjustRightInd w:val="0"/>
        <w:spacing w:line="480" w:lineRule="auto"/>
        <w:ind w:left="480" w:hanging="480"/>
        <w:jc w:val="both"/>
        <w:rPr>
          <w:noProof/>
          <w:sz w:val="22"/>
        </w:rPr>
      </w:pPr>
      <w:bookmarkStart w:id="0" w:name="_GoBack"/>
      <w:bookmarkEnd w:id="0"/>
    </w:p>
    <w:p w14:paraId="6170B897" w14:textId="5A208678" w:rsidR="003A59C3" w:rsidRPr="00B647EF" w:rsidRDefault="00501B4D" w:rsidP="006952DB">
      <w:pPr>
        <w:widowControl w:val="0"/>
        <w:autoSpaceDE w:val="0"/>
        <w:autoSpaceDN w:val="0"/>
        <w:adjustRightInd w:val="0"/>
        <w:spacing w:line="480" w:lineRule="auto"/>
        <w:ind w:left="480" w:hanging="480"/>
        <w:jc w:val="both"/>
        <w:rPr>
          <w:rFonts w:eastAsia="Calibri"/>
          <w:sz w:val="22"/>
          <w:szCs w:val="22"/>
          <w:lang w:val="en-US"/>
        </w:rPr>
      </w:pPr>
      <w:r w:rsidRPr="00BC5B69">
        <w:rPr>
          <w:rFonts w:eastAsia="Calibri"/>
          <w:sz w:val="22"/>
          <w:szCs w:val="22"/>
          <w:lang w:val="en-US"/>
        </w:rPr>
        <w:fldChar w:fldCharType="end"/>
      </w:r>
    </w:p>
    <w:sectPr w:rsidR="003A59C3" w:rsidRPr="00B647EF" w:rsidSect="00BC5B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5A65" w14:textId="77777777" w:rsidR="00DF6231" w:rsidRDefault="00DF6231" w:rsidP="002F4699">
      <w:r>
        <w:separator/>
      </w:r>
    </w:p>
  </w:endnote>
  <w:endnote w:type="continuationSeparator" w:id="0">
    <w:p w14:paraId="13A426C1" w14:textId="77777777" w:rsidR="00DF6231" w:rsidRDefault="00DF6231" w:rsidP="002F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368556"/>
      <w:docPartObj>
        <w:docPartGallery w:val="Page Numbers (Bottom of Page)"/>
        <w:docPartUnique/>
      </w:docPartObj>
    </w:sdtPr>
    <w:sdtEndPr>
      <w:rPr>
        <w:rStyle w:val="PageNumber"/>
      </w:rPr>
    </w:sdtEndPr>
    <w:sdtContent>
      <w:p w14:paraId="0C0FBA02" w14:textId="38E2D645" w:rsidR="002F4699" w:rsidRDefault="002F4699" w:rsidP="00131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AEF593" w14:textId="77777777" w:rsidR="002F4699" w:rsidRDefault="002F4699" w:rsidP="002F4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586831"/>
      <w:docPartObj>
        <w:docPartGallery w:val="Page Numbers (Bottom of Page)"/>
        <w:docPartUnique/>
      </w:docPartObj>
    </w:sdtPr>
    <w:sdtEndPr>
      <w:rPr>
        <w:rStyle w:val="PageNumber"/>
      </w:rPr>
    </w:sdtEndPr>
    <w:sdtContent>
      <w:p w14:paraId="4955D5DF" w14:textId="1CA44385" w:rsidR="002F4699" w:rsidRDefault="002F4699" w:rsidP="00131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2D06">
          <w:rPr>
            <w:rStyle w:val="PageNumber"/>
            <w:noProof/>
          </w:rPr>
          <w:t>9</w:t>
        </w:r>
        <w:r>
          <w:rPr>
            <w:rStyle w:val="PageNumber"/>
          </w:rPr>
          <w:fldChar w:fldCharType="end"/>
        </w:r>
      </w:p>
    </w:sdtContent>
  </w:sdt>
  <w:p w14:paraId="20C53A2F" w14:textId="77777777" w:rsidR="002F4699" w:rsidRDefault="002F4699" w:rsidP="002F46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5FC3" w14:textId="77777777" w:rsidR="00DF6231" w:rsidRDefault="00DF6231" w:rsidP="002F4699">
      <w:r>
        <w:separator/>
      </w:r>
    </w:p>
  </w:footnote>
  <w:footnote w:type="continuationSeparator" w:id="0">
    <w:p w14:paraId="31B758C4" w14:textId="77777777" w:rsidR="00DF6231" w:rsidRDefault="00DF6231" w:rsidP="002F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44F8"/>
    <w:multiLevelType w:val="hybridMultilevel"/>
    <w:tmpl w:val="57663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B31ABA"/>
    <w:multiLevelType w:val="hybridMultilevel"/>
    <w:tmpl w:val="4594A85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80E49"/>
    <w:multiLevelType w:val="hybridMultilevel"/>
    <w:tmpl w:val="6F101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F1"/>
    <w:rsid w:val="00004794"/>
    <w:rsid w:val="00005D11"/>
    <w:rsid w:val="000069D8"/>
    <w:rsid w:val="00012D06"/>
    <w:rsid w:val="00014D3D"/>
    <w:rsid w:val="00036EF6"/>
    <w:rsid w:val="000773F2"/>
    <w:rsid w:val="00080806"/>
    <w:rsid w:val="000D45CB"/>
    <w:rsid w:val="000D5268"/>
    <w:rsid w:val="000E4997"/>
    <w:rsid w:val="000E7652"/>
    <w:rsid w:val="00100FA7"/>
    <w:rsid w:val="001216CB"/>
    <w:rsid w:val="00131AF3"/>
    <w:rsid w:val="001365A6"/>
    <w:rsid w:val="00146DC3"/>
    <w:rsid w:val="00153521"/>
    <w:rsid w:val="00180130"/>
    <w:rsid w:val="0018177F"/>
    <w:rsid w:val="001916E4"/>
    <w:rsid w:val="00195B19"/>
    <w:rsid w:val="001A1029"/>
    <w:rsid w:val="001B10ED"/>
    <w:rsid w:val="001B30B1"/>
    <w:rsid w:val="001B6BFD"/>
    <w:rsid w:val="001C21DB"/>
    <w:rsid w:val="001E7CB2"/>
    <w:rsid w:val="001F797E"/>
    <w:rsid w:val="00202C14"/>
    <w:rsid w:val="002046EB"/>
    <w:rsid w:val="00205A0C"/>
    <w:rsid w:val="00224F89"/>
    <w:rsid w:val="002316CA"/>
    <w:rsid w:val="00245564"/>
    <w:rsid w:val="00245F57"/>
    <w:rsid w:val="00254583"/>
    <w:rsid w:val="002772FE"/>
    <w:rsid w:val="00291CDE"/>
    <w:rsid w:val="002A2F2B"/>
    <w:rsid w:val="002C39B5"/>
    <w:rsid w:val="002D69B3"/>
    <w:rsid w:val="002E6DA5"/>
    <w:rsid w:val="002E7E94"/>
    <w:rsid w:val="002F4699"/>
    <w:rsid w:val="0030036B"/>
    <w:rsid w:val="00346BFA"/>
    <w:rsid w:val="00350BB6"/>
    <w:rsid w:val="003602AB"/>
    <w:rsid w:val="003660FF"/>
    <w:rsid w:val="00366418"/>
    <w:rsid w:val="00373C0A"/>
    <w:rsid w:val="00377321"/>
    <w:rsid w:val="003865D8"/>
    <w:rsid w:val="003A59C3"/>
    <w:rsid w:val="003B3325"/>
    <w:rsid w:val="003B363F"/>
    <w:rsid w:val="003C01F8"/>
    <w:rsid w:val="003C3590"/>
    <w:rsid w:val="003D1FBF"/>
    <w:rsid w:val="003E1166"/>
    <w:rsid w:val="003F0268"/>
    <w:rsid w:val="003F4CFE"/>
    <w:rsid w:val="004124C8"/>
    <w:rsid w:val="00434453"/>
    <w:rsid w:val="00451DD5"/>
    <w:rsid w:val="00472789"/>
    <w:rsid w:val="004747C3"/>
    <w:rsid w:val="004917AB"/>
    <w:rsid w:val="004A4395"/>
    <w:rsid w:val="004A5DB1"/>
    <w:rsid w:val="004B1E57"/>
    <w:rsid w:val="004B40CF"/>
    <w:rsid w:val="004C31F2"/>
    <w:rsid w:val="004C56AD"/>
    <w:rsid w:val="004D3B78"/>
    <w:rsid w:val="004D6A51"/>
    <w:rsid w:val="00501B4D"/>
    <w:rsid w:val="00503C80"/>
    <w:rsid w:val="005043E2"/>
    <w:rsid w:val="00511005"/>
    <w:rsid w:val="0052568E"/>
    <w:rsid w:val="0056652B"/>
    <w:rsid w:val="005740E1"/>
    <w:rsid w:val="00575592"/>
    <w:rsid w:val="00595200"/>
    <w:rsid w:val="005A1300"/>
    <w:rsid w:val="005B071A"/>
    <w:rsid w:val="005B1F6D"/>
    <w:rsid w:val="005C3036"/>
    <w:rsid w:val="005C54AD"/>
    <w:rsid w:val="005E13E7"/>
    <w:rsid w:val="005F0940"/>
    <w:rsid w:val="005F706E"/>
    <w:rsid w:val="0060138B"/>
    <w:rsid w:val="006042B5"/>
    <w:rsid w:val="00612885"/>
    <w:rsid w:val="006302EC"/>
    <w:rsid w:val="00632C57"/>
    <w:rsid w:val="00632F18"/>
    <w:rsid w:val="00650D48"/>
    <w:rsid w:val="006536A2"/>
    <w:rsid w:val="00654537"/>
    <w:rsid w:val="0066684E"/>
    <w:rsid w:val="006952DB"/>
    <w:rsid w:val="0069711C"/>
    <w:rsid w:val="006A191F"/>
    <w:rsid w:val="006D0737"/>
    <w:rsid w:val="00700D52"/>
    <w:rsid w:val="0071080E"/>
    <w:rsid w:val="0071449C"/>
    <w:rsid w:val="007213A5"/>
    <w:rsid w:val="0073150C"/>
    <w:rsid w:val="00740B80"/>
    <w:rsid w:val="00752A40"/>
    <w:rsid w:val="00760F9A"/>
    <w:rsid w:val="007709D6"/>
    <w:rsid w:val="00792FD6"/>
    <w:rsid w:val="00794211"/>
    <w:rsid w:val="007957BC"/>
    <w:rsid w:val="007960FE"/>
    <w:rsid w:val="007A306E"/>
    <w:rsid w:val="007A5596"/>
    <w:rsid w:val="007A7806"/>
    <w:rsid w:val="007B6C4E"/>
    <w:rsid w:val="007C0EB7"/>
    <w:rsid w:val="007C4234"/>
    <w:rsid w:val="007D1585"/>
    <w:rsid w:val="007E30F7"/>
    <w:rsid w:val="00801CEB"/>
    <w:rsid w:val="00803477"/>
    <w:rsid w:val="008115F8"/>
    <w:rsid w:val="0082439A"/>
    <w:rsid w:val="00832080"/>
    <w:rsid w:val="00844FB2"/>
    <w:rsid w:val="008466A4"/>
    <w:rsid w:val="008532A0"/>
    <w:rsid w:val="0085636F"/>
    <w:rsid w:val="008743D7"/>
    <w:rsid w:val="00884EF8"/>
    <w:rsid w:val="0089180C"/>
    <w:rsid w:val="00894C94"/>
    <w:rsid w:val="008C0F8F"/>
    <w:rsid w:val="008C52D3"/>
    <w:rsid w:val="008D1A58"/>
    <w:rsid w:val="008F50FF"/>
    <w:rsid w:val="00901EDD"/>
    <w:rsid w:val="009029EB"/>
    <w:rsid w:val="009112CD"/>
    <w:rsid w:val="0091142E"/>
    <w:rsid w:val="0092687F"/>
    <w:rsid w:val="00926B76"/>
    <w:rsid w:val="00955778"/>
    <w:rsid w:val="0096188D"/>
    <w:rsid w:val="009722DB"/>
    <w:rsid w:val="009911FB"/>
    <w:rsid w:val="009936FA"/>
    <w:rsid w:val="009B0FD8"/>
    <w:rsid w:val="009B771C"/>
    <w:rsid w:val="009C7B2B"/>
    <w:rsid w:val="009D7EAC"/>
    <w:rsid w:val="009F0BA8"/>
    <w:rsid w:val="00A00F08"/>
    <w:rsid w:val="00A059D5"/>
    <w:rsid w:val="00A05D80"/>
    <w:rsid w:val="00A16D5A"/>
    <w:rsid w:val="00A21FBE"/>
    <w:rsid w:val="00A54F1C"/>
    <w:rsid w:val="00A60F1B"/>
    <w:rsid w:val="00A6383D"/>
    <w:rsid w:val="00A65484"/>
    <w:rsid w:val="00A70735"/>
    <w:rsid w:val="00A84592"/>
    <w:rsid w:val="00A85DE9"/>
    <w:rsid w:val="00A85DF1"/>
    <w:rsid w:val="00A9283B"/>
    <w:rsid w:val="00AB3F5F"/>
    <w:rsid w:val="00AE2F12"/>
    <w:rsid w:val="00AE7D4F"/>
    <w:rsid w:val="00AF4C9F"/>
    <w:rsid w:val="00B03A85"/>
    <w:rsid w:val="00B42FDC"/>
    <w:rsid w:val="00B45F09"/>
    <w:rsid w:val="00B56149"/>
    <w:rsid w:val="00B647EF"/>
    <w:rsid w:val="00B6711C"/>
    <w:rsid w:val="00B849B0"/>
    <w:rsid w:val="00B864E3"/>
    <w:rsid w:val="00B9797F"/>
    <w:rsid w:val="00BA2F89"/>
    <w:rsid w:val="00BB2F93"/>
    <w:rsid w:val="00BB6A2A"/>
    <w:rsid w:val="00BC5B69"/>
    <w:rsid w:val="00BE301A"/>
    <w:rsid w:val="00BF1BC0"/>
    <w:rsid w:val="00BF2214"/>
    <w:rsid w:val="00C2734F"/>
    <w:rsid w:val="00C4394C"/>
    <w:rsid w:val="00C52FCB"/>
    <w:rsid w:val="00C8385D"/>
    <w:rsid w:val="00C92462"/>
    <w:rsid w:val="00CB0295"/>
    <w:rsid w:val="00CC4EF7"/>
    <w:rsid w:val="00CC54B1"/>
    <w:rsid w:val="00CD0964"/>
    <w:rsid w:val="00CD0ACB"/>
    <w:rsid w:val="00CD509F"/>
    <w:rsid w:val="00CE798C"/>
    <w:rsid w:val="00D03D3B"/>
    <w:rsid w:val="00D2655F"/>
    <w:rsid w:val="00D95C03"/>
    <w:rsid w:val="00DA25F1"/>
    <w:rsid w:val="00DA4C29"/>
    <w:rsid w:val="00DB00AD"/>
    <w:rsid w:val="00DC6E6C"/>
    <w:rsid w:val="00DD6759"/>
    <w:rsid w:val="00DE09B8"/>
    <w:rsid w:val="00DE1AD5"/>
    <w:rsid w:val="00DF2EF3"/>
    <w:rsid w:val="00DF6231"/>
    <w:rsid w:val="00E02F9E"/>
    <w:rsid w:val="00E15C90"/>
    <w:rsid w:val="00E54ADE"/>
    <w:rsid w:val="00E63665"/>
    <w:rsid w:val="00E666F9"/>
    <w:rsid w:val="00E66FE2"/>
    <w:rsid w:val="00E91CB0"/>
    <w:rsid w:val="00E92C2B"/>
    <w:rsid w:val="00EA2E70"/>
    <w:rsid w:val="00EB338D"/>
    <w:rsid w:val="00EB575C"/>
    <w:rsid w:val="00ED0EB6"/>
    <w:rsid w:val="00ED40F5"/>
    <w:rsid w:val="00EE0D29"/>
    <w:rsid w:val="00EE35FE"/>
    <w:rsid w:val="00EF0999"/>
    <w:rsid w:val="00F018E4"/>
    <w:rsid w:val="00F17590"/>
    <w:rsid w:val="00F24CAA"/>
    <w:rsid w:val="00F40238"/>
    <w:rsid w:val="00F500A0"/>
    <w:rsid w:val="00F6673B"/>
    <w:rsid w:val="00F7677A"/>
    <w:rsid w:val="00F77C2F"/>
    <w:rsid w:val="00F812CF"/>
    <w:rsid w:val="00F85EF9"/>
    <w:rsid w:val="00F93CCA"/>
    <w:rsid w:val="00F94003"/>
    <w:rsid w:val="00FA7F97"/>
    <w:rsid w:val="00FD38EB"/>
    <w:rsid w:val="00FE1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8850"/>
  <w15:chartTrackingRefBased/>
  <w15:docId w15:val="{C892487F-CA59-4356-8301-F4B4B886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F9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8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12121"/>
      <w:sz w:val="20"/>
      <w:szCs w:val="20"/>
      <w:u w:val="single"/>
    </w:rPr>
  </w:style>
  <w:style w:type="character" w:customStyle="1" w:styleId="HTMLPreformattedChar">
    <w:name w:val="HTML Preformatted Char"/>
    <w:basedOn w:val="DefaultParagraphFont"/>
    <w:link w:val="HTMLPreformatted"/>
    <w:uiPriority w:val="99"/>
    <w:rsid w:val="00A85DF1"/>
    <w:rPr>
      <w:rFonts w:ascii="Courier New" w:eastAsia="Times New Roman" w:hAnsi="Courier New" w:cs="Courier New"/>
      <w:color w:val="212121"/>
      <w:sz w:val="20"/>
      <w:szCs w:val="20"/>
      <w:u w:val="single"/>
      <w:lang w:eastAsia="tr-TR"/>
    </w:rPr>
  </w:style>
  <w:style w:type="paragraph" w:styleId="BalloonText">
    <w:name w:val="Balloon Text"/>
    <w:basedOn w:val="Normal"/>
    <w:link w:val="BalloonTextChar"/>
    <w:uiPriority w:val="99"/>
    <w:semiHidden/>
    <w:unhideWhenUsed/>
    <w:rsid w:val="00FE1FA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E1FA8"/>
    <w:rPr>
      <w:rFonts w:ascii="Times New Roman" w:hAnsi="Times New Roman" w:cs="Times New Roman"/>
      <w:sz w:val="18"/>
      <w:szCs w:val="18"/>
    </w:rPr>
  </w:style>
  <w:style w:type="character" w:styleId="Emphasis">
    <w:name w:val="Emphasis"/>
    <w:basedOn w:val="DefaultParagraphFont"/>
    <w:uiPriority w:val="20"/>
    <w:qFormat/>
    <w:rsid w:val="00FA7F97"/>
    <w:rPr>
      <w:i/>
      <w:iCs/>
    </w:rPr>
  </w:style>
  <w:style w:type="character" w:customStyle="1" w:styleId="apple-converted-space">
    <w:name w:val="apple-converted-space"/>
    <w:basedOn w:val="DefaultParagraphFont"/>
    <w:rsid w:val="00FA7F97"/>
  </w:style>
  <w:style w:type="character" w:styleId="CommentReference">
    <w:name w:val="annotation reference"/>
    <w:basedOn w:val="DefaultParagraphFont"/>
    <w:uiPriority w:val="99"/>
    <w:semiHidden/>
    <w:unhideWhenUsed/>
    <w:rsid w:val="00CC4EF7"/>
    <w:rPr>
      <w:sz w:val="16"/>
      <w:szCs w:val="16"/>
    </w:rPr>
  </w:style>
  <w:style w:type="paragraph" w:styleId="CommentText">
    <w:name w:val="annotation text"/>
    <w:basedOn w:val="Normal"/>
    <w:link w:val="CommentTextChar"/>
    <w:uiPriority w:val="99"/>
    <w:semiHidden/>
    <w:unhideWhenUsed/>
    <w:rsid w:val="00CC4EF7"/>
    <w:rPr>
      <w:sz w:val="20"/>
      <w:szCs w:val="20"/>
    </w:rPr>
  </w:style>
  <w:style w:type="character" w:customStyle="1" w:styleId="CommentTextChar">
    <w:name w:val="Comment Text Char"/>
    <w:basedOn w:val="DefaultParagraphFont"/>
    <w:link w:val="CommentText"/>
    <w:uiPriority w:val="99"/>
    <w:semiHidden/>
    <w:rsid w:val="00CC4EF7"/>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CC4EF7"/>
    <w:rPr>
      <w:b/>
      <w:bCs/>
    </w:rPr>
  </w:style>
  <w:style w:type="character" w:customStyle="1" w:styleId="CommentSubjectChar">
    <w:name w:val="Comment Subject Char"/>
    <w:basedOn w:val="CommentTextChar"/>
    <w:link w:val="CommentSubject"/>
    <w:uiPriority w:val="99"/>
    <w:semiHidden/>
    <w:rsid w:val="00CC4EF7"/>
    <w:rPr>
      <w:rFonts w:ascii="Times New Roman" w:eastAsia="Times New Roman" w:hAnsi="Times New Roman" w:cs="Times New Roman"/>
      <w:b/>
      <w:bCs/>
      <w:sz w:val="20"/>
      <w:szCs w:val="20"/>
      <w:lang w:eastAsia="tr-TR"/>
    </w:rPr>
  </w:style>
  <w:style w:type="paragraph" w:styleId="Footer">
    <w:name w:val="footer"/>
    <w:basedOn w:val="Normal"/>
    <w:link w:val="FooterChar"/>
    <w:uiPriority w:val="99"/>
    <w:unhideWhenUsed/>
    <w:rsid w:val="002F4699"/>
    <w:pPr>
      <w:tabs>
        <w:tab w:val="center" w:pos="4536"/>
        <w:tab w:val="right" w:pos="9072"/>
      </w:tabs>
    </w:pPr>
  </w:style>
  <w:style w:type="character" w:customStyle="1" w:styleId="FooterChar">
    <w:name w:val="Footer Char"/>
    <w:basedOn w:val="DefaultParagraphFont"/>
    <w:link w:val="Footer"/>
    <w:uiPriority w:val="99"/>
    <w:rsid w:val="002F4699"/>
    <w:rPr>
      <w:rFonts w:ascii="Times New Roman" w:eastAsia="Times New Roman" w:hAnsi="Times New Roman" w:cs="Times New Roman"/>
      <w:sz w:val="24"/>
      <w:szCs w:val="24"/>
      <w:lang w:eastAsia="tr-TR"/>
    </w:rPr>
  </w:style>
  <w:style w:type="character" w:styleId="PageNumber">
    <w:name w:val="page number"/>
    <w:basedOn w:val="DefaultParagraphFont"/>
    <w:uiPriority w:val="99"/>
    <w:semiHidden/>
    <w:unhideWhenUsed/>
    <w:rsid w:val="002F4699"/>
  </w:style>
  <w:style w:type="table" w:styleId="PlainTable2">
    <w:name w:val="Plain Table 2"/>
    <w:basedOn w:val="TableNormal"/>
    <w:uiPriority w:val="42"/>
    <w:rsid w:val="00BC5B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C5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069">
      <w:bodyDiv w:val="1"/>
      <w:marLeft w:val="0"/>
      <w:marRight w:val="0"/>
      <w:marTop w:val="0"/>
      <w:marBottom w:val="0"/>
      <w:divBdr>
        <w:top w:val="none" w:sz="0" w:space="0" w:color="auto"/>
        <w:left w:val="none" w:sz="0" w:space="0" w:color="auto"/>
        <w:bottom w:val="none" w:sz="0" w:space="0" w:color="auto"/>
        <w:right w:val="none" w:sz="0" w:space="0" w:color="auto"/>
      </w:divBdr>
      <w:divsChild>
        <w:div w:id="1127890788">
          <w:marLeft w:val="0"/>
          <w:marRight w:val="0"/>
          <w:marTop w:val="0"/>
          <w:marBottom w:val="0"/>
          <w:divBdr>
            <w:top w:val="none" w:sz="0" w:space="0" w:color="auto"/>
            <w:left w:val="none" w:sz="0" w:space="0" w:color="auto"/>
            <w:bottom w:val="none" w:sz="0" w:space="0" w:color="auto"/>
            <w:right w:val="none" w:sz="0" w:space="0" w:color="auto"/>
          </w:divBdr>
          <w:divsChild>
            <w:div w:id="515268223">
              <w:marLeft w:val="0"/>
              <w:marRight w:val="0"/>
              <w:marTop w:val="0"/>
              <w:marBottom w:val="0"/>
              <w:divBdr>
                <w:top w:val="none" w:sz="0" w:space="0" w:color="auto"/>
                <w:left w:val="none" w:sz="0" w:space="0" w:color="auto"/>
                <w:bottom w:val="none" w:sz="0" w:space="0" w:color="auto"/>
                <w:right w:val="none" w:sz="0" w:space="0" w:color="auto"/>
              </w:divBdr>
              <w:divsChild>
                <w:div w:id="1504977766">
                  <w:marLeft w:val="0"/>
                  <w:marRight w:val="0"/>
                  <w:marTop w:val="0"/>
                  <w:marBottom w:val="0"/>
                  <w:divBdr>
                    <w:top w:val="none" w:sz="0" w:space="0" w:color="auto"/>
                    <w:left w:val="none" w:sz="0" w:space="0" w:color="auto"/>
                    <w:bottom w:val="none" w:sz="0" w:space="0" w:color="auto"/>
                    <w:right w:val="none" w:sz="0" w:space="0" w:color="auto"/>
                  </w:divBdr>
                  <w:divsChild>
                    <w:div w:id="1567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6227">
      <w:bodyDiv w:val="1"/>
      <w:marLeft w:val="0"/>
      <w:marRight w:val="0"/>
      <w:marTop w:val="0"/>
      <w:marBottom w:val="0"/>
      <w:divBdr>
        <w:top w:val="none" w:sz="0" w:space="0" w:color="auto"/>
        <w:left w:val="none" w:sz="0" w:space="0" w:color="auto"/>
        <w:bottom w:val="none" w:sz="0" w:space="0" w:color="auto"/>
        <w:right w:val="none" w:sz="0" w:space="0" w:color="auto"/>
      </w:divBdr>
    </w:div>
    <w:div w:id="567303190">
      <w:bodyDiv w:val="1"/>
      <w:marLeft w:val="0"/>
      <w:marRight w:val="0"/>
      <w:marTop w:val="0"/>
      <w:marBottom w:val="0"/>
      <w:divBdr>
        <w:top w:val="none" w:sz="0" w:space="0" w:color="auto"/>
        <w:left w:val="none" w:sz="0" w:space="0" w:color="auto"/>
        <w:bottom w:val="none" w:sz="0" w:space="0" w:color="auto"/>
        <w:right w:val="none" w:sz="0" w:space="0" w:color="auto"/>
      </w:divBdr>
      <w:divsChild>
        <w:div w:id="490875167">
          <w:marLeft w:val="0"/>
          <w:marRight w:val="0"/>
          <w:marTop w:val="0"/>
          <w:marBottom w:val="0"/>
          <w:divBdr>
            <w:top w:val="none" w:sz="0" w:space="0" w:color="auto"/>
            <w:left w:val="none" w:sz="0" w:space="0" w:color="auto"/>
            <w:bottom w:val="none" w:sz="0" w:space="0" w:color="auto"/>
            <w:right w:val="none" w:sz="0" w:space="0" w:color="auto"/>
          </w:divBdr>
          <w:divsChild>
            <w:div w:id="1254512540">
              <w:marLeft w:val="0"/>
              <w:marRight w:val="0"/>
              <w:marTop w:val="0"/>
              <w:marBottom w:val="0"/>
              <w:divBdr>
                <w:top w:val="none" w:sz="0" w:space="0" w:color="auto"/>
                <w:left w:val="none" w:sz="0" w:space="0" w:color="auto"/>
                <w:bottom w:val="none" w:sz="0" w:space="0" w:color="auto"/>
                <w:right w:val="none" w:sz="0" w:space="0" w:color="auto"/>
              </w:divBdr>
              <w:divsChild>
                <w:div w:id="1029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3072">
      <w:bodyDiv w:val="1"/>
      <w:marLeft w:val="0"/>
      <w:marRight w:val="0"/>
      <w:marTop w:val="0"/>
      <w:marBottom w:val="0"/>
      <w:divBdr>
        <w:top w:val="none" w:sz="0" w:space="0" w:color="auto"/>
        <w:left w:val="none" w:sz="0" w:space="0" w:color="auto"/>
        <w:bottom w:val="none" w:sz="0" w:space="0" w:color="auto"/>
        <w:right w:val="none" w:sz="0" w:space="0" w:color="auto"/>
      </w:divBdr>
      <w:divsChild>
        <w:div w:id="1112286865">
          <w:marLeft w:val="0"/>
          <w:marRight w:val="0"/>
          <w:marTop w:val="0"/>
          <w:marBottom w:val="0"/>
          <w:divBdr>
            <w:top w:val="none" w:sz="0" w:space="0" w:color="auto"/>
            <w:left w:val="none" w:sz="0" w:space="0" w:color="auto"/>
            <w:bottom w:val="none" w:sz="0" w:space="0" w:color="auto"/>
            <w:right w:val="none" w:sz="0" w:space="0" w:color="auto"/>
          </w:divBdr>
          <w:divsChild>
            <w:div w:id="1643729627">
              <w:marLeft w:val="0"/>
              <w:marRight w:val="0"/>
              <w:marTop w:val="0"/>
              <w:marBottom w:val="0"/>
              <w:divBdr>
                <w:top w:val="none" w:sz="0" w:space="0" w:color="auto"/>
                <w:left w:val="none" w:sz="0" w:space="0" w:color="auto"/>
                <w:bottom w:val="none" w:sz="0" w:space="0" w:color="auto"/>
                <w:right w:val="none" w:sz="0" w:space="0" w:color="auto"/>
              </w:divBdr>
              <w:divsChild>
                <w:div w:id="124272994">
                  <w:marLeft w:val="0"/>
                  <w:marRight w:val="0"/>
                  <w:marTop w:val="0"/>
                  <w:marBottom w:val="0"/>
                  <w:divBdr>
                    <w:top w:val="none" w:sz="0" w:space="0" w:color="auto"/>
                    <w:left w:val="none" w:sz="0" w:space="0" w:color="auto"/>
                    <w:bottom w:val="none" w:sz="0" w:space="0" w:color="auto"/>
                    <w:right w:val="none" w:sz="0" w:space="0" w:color="auto"/>
                  </w:divBdr>
                  <w:divsChild>
                    <w:div w:id="1188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6753">
      <w:bodyDiv w:val="1"/>
      <w:marLeft w:val="0"/>
      <w:marRight w:val="0"/>
      <w:marTop w:val="0"/>
      <w:marBottom w:val="0"/>
      <w:divBdr>
        <w:top w:val="none" w:sz="0" w:space="0" w:color="auto"/>
        <w:left w:val="none" w:sz="0" w:space="0" w:color="auto"/>
        <w:bottom w:val="none" w:sz="0" w:space="0" w:color="auto"/>
        <w:right w:val="none" w:sz="0" w:space="0" w:color="auto"/>
      </w:divBdr>
    </w:div>
    <w:div w:id="1044595084">
      <w:bodyDiv w:val="1"/>
      <w:marLeft w:val="0"/>
      <w:marRight w:val="0"/>
      <w:marTop w:val="0"/>
      <w:marBottom w:val="0"/>
      <w:divBdr>
        <w:top w:val="none" w:sz="0" w:space="0" w:color="auto"/>
        <w:left w:val="none" w:sz="0" w:space="0" w:color="auto"/>
        <w:bottom w:val="none" w:sz="0" w:space="0" w:color="auto"/>
        <w:right w:val="none" w:sz="0" w:space="0" w:color="auto"/>
      </w:divBdr>
      <w:divsChild>
        <w:div w:id="2049600768">
          <w:marLeft w:val="0"/>
          <w:marRight w:val="0"/>
          <w:marTop w:val="0"/>
          <w:marBottom w:val="0"/>
          <w:divBdr>
            <w:top w:val="none" w:sz="0" w:space="0" w:color="auto"/>
            <w:left w:val="none" w:sz="0" w:space="0" w:color="auto"/>
            <w:bottom w:val="none" w:sz="0" w:space="0" w:color="auto"/>
            <w:right w:val="none" w:sz="0" w:space="0" w:color="auto"/>
          </w:divBdr>
          <w:divsChild>
            <w:div w:id="964501786">
              <w:marLeft w:val="0"/>
              <w:marRight w:val="0"/>
              <w:marTop w:val="0"/>
              <w:marBottom w:val="0"/>
              <w:divBdr>
                <w:top w:val="none" w:sz="0" w:space="0" w:color="auto"/>
                <w:left w:val="none" w:sz="0" w:space="0" w:color="auto"/>
                <w:bottom w:val="none" w:sz="0" w:space="0" w:color="auto"/>
                <w:right w:val="none" w:sz="0" w:space="0" w:color="auto"/>
              </w:divBdr>
              <w:divsChild>
                <w:div w:id="1697265155">
                  <w:marLeft w:val="0"/>
                  <w:marRight w:val="0"/>
                  <w:marTop w:val="0"/>
                  <w:marBottom w:val="0"/>
                  <w:divBdr>
                    <w:top w:val="none" w:sz="0" w:space="0" w:color="auto"/>
                    <w:left w:val="none" w:sz="0" w:space="0" w:color="auto"/>
                    <w:bottom w:val="none" w:sz="0" w:space="0" w:color="auto"/>
                    <w:right w:val="none" w:sz="0" w:space="0" w:color="auto"/>
                  </w:divBdr>
                  <w:divsChild>
                    <w:div w:id="16153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29743">
      <w:bodyDiv w:val="1"/>
      <w:marLeft w:val="0"/>
      <w:marRight w:val="0"/>
      <w:marTop w:val="0"/>
      <w:marBottom w:val="0"/>
      <w:divBdr>
        <w:top w:val="none" w:sz="0" w:space="0" w:color="auto"/>
        <w:left w:val="none" w:sz="0" w:space="0" w:color="auto"/>
        <w:bottom w:val="none" w:sz="0" w:space="0" w:color="auto"/>
        <w:right w:val="none" w:sz="0" w:space="0" w:color="auto"/>
      </w:divBdr>
      <w:divsChild>
        <w:div w:id="560291248">
          <w:marLeft w:val="0"/>
          <w:marRight w:val="0"/>
          <w:marTop w:val="0"/>
          <w:marBottom w:val="0"/>
          <w:divBdr>
            <w:top w:val="none" w:sz="0" w:space="0" w:color="auto"/>
            <w:left w:val="none" w:sz="0" w:space="0" w:color="auto"/>
            <w:bottom w:val="none" w:sz="0" w:space="0" w:color="auto"/>
            <w:right w:val="none" w:sz="0" w:space="0" w:color="auto"/>
          </w:divBdr>
          <w:divsChild>
            <w:div w:id="1314600034">
              <w:marLeft w:val="0"/>
              <w:marRight w:val="0"/>
              <w:marTop w:val="0"/>
              <w:marBottom w:val="0"/>
              <w:divBdr>
                <w:top w:val="none" w:sz="0" w:space="0" w:color="auto"/>
                <w:left w:val="none" w:sz="0" w:space="0" w:color="auto"/>
                <w:bottom w:val="none" w:sz="0" w:space="0" w:color="auto"/>
                <w:right w:val="none" w:sz="0" w:space="0" w:color="auto"/>
              </w:divBdr>
              <w:divsChild>
                <w:div w:id="1954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2424">
      <w:bodyDiv w:val="1"/>
      <w:marLeft w:val="0"/>
      <w:marRight w:val="0"/>
      <w:marTop w:val="0"/>
      <w:marBottom w:val="0"/>
      <w:divBdr>
        <w:top w:val="none" w:sz="0" w:space="0" w:color="auto"/>
        <w:left w:val="none" w:sz="0" w:space="0" w:color="auto"/>
        <w:bottom w:val="none" w:sz="0" w:space="0" w:color="auto"/>
        <w:right w:val="none" w:sz="0" w:space="0" w:color="auto"/>
      </w:divBdr>
    </w:div>
    <w:div w:id="1519348409">
      <w:bodyDiv w:val="1"/>
      <w:marLeft w:val="0"/>
      <w:marRight w:val="0"/>
      <w:marTop w:val="0"/>
      <w:marBottom w:val="0"/>
      <w:divBdr>
        <w:top w:val="none" w:sz="0" w:space="0" w:color="auto"/>
        <w:left w:val="none" w:sz="0" w:space="0" w:color="auto"/>
        <w:bottom w:val="none" w:sz="0" w:space="0" w:color="auto"/>
        <w:right w:val="none" w:sz="0" w:space="0" w:color="auto"/>
      </w:divBdr>
    </w:div>
    <w:div w:id="1850485525">
      <w:bodyDiv w:val="1"/>
      <w:marLeft w:val="0"/>
      <w:marRight w:val="0"/>
      <w:marTop w:val="0"/>
      <w:marBottom w:val="0"/>
      <w:divBdr>
        <w:top w:val="none" w:sz="0" w:space="0" w:color="auto"/>
        <w:left w:val="none" w:sz="0" w:space="0" w:color="auto"/>
        <w:bottom w:val="none" w:sz="0" w:space="0" w:color="auto"/>
        <w:right w:val="none" w:sz="0" w:space="0" w:color="auto"/>
      </w:divBdr>
      <w:divsChild>
        <w:div w:id="211700834">
          <w:marLeft w:val="0"/>
          <w:marRight w:val="0"/>
          <w:marTop w:val="0"/>
          <w:marBottom w:val="0"/>
          <w:divBdr>
            <w:top w:val="none" w:sz="0" w:space="0" w:color="auto"/>
            <w:left w:val="none" w:sz="0" w:space="0" w:color="auto"/>
            <w:bottom w:val="none" w:sz="0" w:space="0" w:color="auto"/>
            <w:right w:val="none" w:sz="0" w:space="0" w:color="auto"/>
          </w:divBdr>
          <w:divsChild>
            <w:div w:id="1291010173">
              <w:marLeft w:val="0"/>
              <w:marRight w:val="0"/>
              <w:marTop w:val="0"/>
              <w:marBottom w:val="0"/>
              <w:divBdr>
                <w:top w:val="none" w:sz="0" w:space="0" w:color="auto"/>
                <w:left w:val="none" w:sz="0" w:space="0" w:color="auto"/>
                <w:bottom w:val="none" w:sz="0" w:space="0" w:color="auto"/>
                <w:right w:val="none" w:sz="0" w:space="0" w:color="auto"/>
              </w:divBdr>
              <w:divsChild>
                <w:div w:id="165168628">
                  <w:marLeft w:val="0"/>
                  <w:marRight w:val="0"/>
                  <w:marTop w:val="0"/>
                  <w:marBottom w:val="0"/>
                  <w:divBdr>
                    <w:top w:val="none" w:sz="0" w:space="0" w:color="auto"/>
                    <w:left w:val="none" w:sz="0" w:space="0" w:color="auto"/>
                    <w:bottom w:val="none" w:sz="0" w:space="0" w:color="auto"/>
                    <w:right w:val="none" w:sz="0" w:space="0" w:color="auto"/>
                  </w:divBdr>
                  <w:divsChild>
                    <w:div w:id="13485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10736">
      <w:bodyDiv w:val="1"/>
      <w:marLeft w:val="0"/>
      <w:marRight w:val="0"/>
      <w:marTop w:val="0"/>
      <w:marBottom w:val="0"/>
      <w:divBdr>
        <w:top w:val="none" w:sz="0" w:space="0" w:color="auto"/>
        <w:left w:val="none" w:sz="0" w:space="0" w:color="auto"/>
        <w:bottom w:val="none" w:sz="0" w:space="0" w:color="auto"/>
        <w:right w:val="none" w:sz="0" w:space="0" w:color="auto"/>
      </w:divBdr>
    </w:div>
    <w:div w:id="19360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6599-B337-4BC0-A73A-BF44BC94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24419</Words>
  <Characters>139189</Characters>
  <Application>Microsoft Office Word</Application>
  <DocSecurity>0</DocSecurity>
  <Lines>1159</Lines>
  <Paragraphs>326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DOKUZLAR</dc:creator>
  <cp:keywords/>
  <dc:description/>
  <cp:lastModifiedBy>Lee Smith</cp:lastModifiedBy>
  <cp:revision>2</cp:revision>
  <dcterms:created xsi:type="dcterms:W3CDTF">2019-09-16T17:06:00Z</dcterms:created>
  <dcterms:modified xsi:type="dcterms:W3CDTF">2019-09-16T17:06:00Z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607c77a0-d56c-3940-8d58-7cbe8ec18ead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http://www.zotero.org/styles/diabetes-care</vt:lpwstr>
  </property>
  <property fmtid="{D5CDD505-2E9C-101B-9397-08002B2CF9AE}" pid="16" name="Mendeley Recent Style Name 5_1">
    <vt:lpwstr>Diabetes Care</vt:lpwstr>
  </property>
  <property fmtid="{D5CDD505-2E9C-101B-9397-08002B2CF9AE}" pid="17" name="Mendeley Recent Style Id 6_1">
    <vt:lpwstr>http://www.zotero.org/styles/experimental-gerontology</vt:lpwstr>
  </property>
  <property fmtid="{D5CDD505-2E9C-101B-9397-08002B2CF9AE}" pid="18" name="Mendeley Recent Style Name 6_1">
    <vt:lpwstr>Experimental Gerontology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(deprecated)</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