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449AAC" w14:textId="77777777" w:rsidR="00DD6EA4" w:rsidRPr="009B5064" w:rsidRDefault="009F5584" w:rsidP="00CA47A2">
      <w:pPr>
        <w:pStyle w:val="Heading"/>
        <w:spacing w:after="0" w:line="480" w:lineRule="auto"/>
        <w:jc w:val="center"/>
        <w:rPr>
          <w:color w:val="auto"/>
        </w:rPr>
      </w:pPr>
      <w:r w:rsidRPr="009B5064">
        <w:rPr>
          <w:color w:val="auto"/>
        </w:rPr>
        <w:t>Sexual activity in older adults with visual impairment: findings from the English Longitudinal Study of Ageing</w:t>
      </w:r>
    </w:p>
    <w:p w14:paraId="01EE83F1" w14:textId="77777777" w:rsidR="00B95CBC" w:rsidRPr="009B5064" w:rsidRDefault="00B95CBC" w:rsidP="00CA47A2">
      <w:pPr>
        <w:pStyle w:val="Body"/>
        <w:spacing w:line="480" w:lineRule="auto"/>
        <w:rPr>
          <w:color w:val="auto"/>
        </w:rPr>
      </w:pPr>
    </w:p>
    <w:p w14:paraId="0A95E8D3"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 xml:space="preserve">Lee Smith, PhD </w:t>
      </w:r>
      <w:r>
        <w:rPr>
          <w:sz w:val="16"/>
          <w:szCs w:val="16"/>
          <w:lang w:val="en-GB" w:eastAsia="en-GB"/>
        </w:rPr>
        <w:t>1*</w:t>
      </w:r>
      <w:r>
        <w:rPr>
          <w:lang w:val="en-GB" w:eastAsia="en-GB"/>
        </w:rPr>
        <w:t xml:space="preserve">, Ai </w:t>
      </w:r>
      <w:proofErr w:type="spellStart"/>
      <w:r>
        <w:rPr>
          <w:lang w:val="en-GB" w:eastAsia="en-GB"/>
        </w:rPr>
        <w:t>Koyanagi</w:t>
      </w:r>
      <w:proofErr w:type="spellEnd"/>
      <w:r>
        <w:rPr>
          <w:lang w:val="en-GB" w:eastAsia="en-GB"/>
        </w:rPr>
        <w:t xml:space="preserve"> </w:t>
      </w:r>
      <w:r>
        <w:rPr>
          <w:sz w:val="16"/>
          <w:szCs w:val="16"/>
          <w:lang w:val="en-GB" w:eastAsia="en-GB"/>
        </w:rPr>
        <w:t>2</w:t>
      </w:r>
      <w:r>
        <w:rPr>
          <w:lang w:val="en-GB" w:eastAsia="en-GB"/>
        </w:rPr>
        <w:t xml:space="preserve">, </w:t>
      </w:r>
      <w:proofErr w:type="spellStart"/>
      <w:r>
        <w:rPr>
          <w:lang w:val="en-GB" w:eastAsia="en-GB"/>
        </w:rPr>
        <w:t>Shahina</w:t>
      </w:r>
      <w:proofErr w:type="spellEnd"/>
      <w:r>
        <w:rPr>
          <w:lang w:val="en-GB" w:eastAsia="en-GB"/>
        </w:rPr>
        <w:t xml:space="preserve"> </w:t>
      </w:r>
      <w:proofErr w:type="spellStart"/>
      <w:r>
        <w:rPr>
          <w:lang w:val="en-GB" w:eastAsia="en-GB"/>
        </w:rPr>
        <w:t>Pardhan</w:t>
      </w:r>
      <w:proofErr w:type="spellEnd"/>
      <w:r>
        <w:rPr>
          <w:lang w:val="en-GB" w:eastAsia="en-GB"/>
        </w:rPr>
        <w:t xml:space="preserve">, PhD </w:t>
      </w:r>
      <w:r>
        <w:rPr>
          <w:sz w:val="16"/>
          <w:szCs w:val="16"/>
          <w:lang w:val="en-GB" w:eastAsia="en-GB"/>
        </w:rPr>
        <w:t>3</w:t>
      </w:r>
      <w:r>
        <w:rPr>
          <w:lang w:val="en-GB" w:eastAsia="en-GB"/>
        </w:rPr>
        <w:t xml:space="preserve">, Igor </w:t>
      </w:r>
      <w:proofErr w:type="spellStart"/>
      <w:r>
        <w:rPr>
          <w:lang w:val="en-GB" w:eastAsia="en-GB"/>
        </w:rPr>
        <w:t>Grabovac</w:t>
      </w:r>
      <w:proofErr w:type="spellEnd"/>
      <w:r>
        <w:rPr>
          <w:lang w:val="en-GB" w:eastAsia="en-GB"/>
        </w:rPr>
        <w:t xml:space="preserve">, PhD </w:t>
      </w:r>
      <w:r>
        <w:rPr>
          <w:sz w:val="16"/>
          <w:szCs w:val="16"/>
          <w:lang w:val="en-GB" w:eastAsia="en-GB"/>
        </w:rPr>
        <w:t>4</w:t>
      </w:r>
      <w:r>
        <w:rPr>
          <w:lang w:val="en-GB" w:eastAsia="en-GB"/>
        </w:rPr>
        <w:t xml:space="preserve">, </w:t>
      </w:r>
      <w:proofErr w:type="spellStart"/>
      <w:r>
        <w:rPr>
          <w:lang w:val="en-GB" w:eastAsia="en-GB"/>
        </w:rPr>
        <w:t>Viren</w:t>
      </w:r>
      <w:proofErr w:type="spellEnd"/>
    </w:p>
    <w:p w14:paraId="34119017"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 xml:space="preserve">Swami, PhD </w:t>
      </w:r>
      <w:r>
        <w:rPr>
          <w:sz w:val="16"/>
          <w:szCs w:val="16"/>
          <w:lang w:val="en-GB" w:eastAsia="en-GB"/>
        </w:rPr>
        <w:t>5</w:t>
      </w:r>
      <w:r>
        <w:rPr>
          <w:lang w:val="en-GB" w:eastAsia="en-GB"/>
        </w:rPr>
        <w:t xml:space="preserve">, Pinar </w:t>
      </w:r>
      <w:proofErr w:type="spellStart"/>
      <w:r>
        <w:rPr>
          <w:lang w:val="en-GB" w:eastAsia="en-GB"/>
        </w:rPr>
        <w:t>Soysal</w:t>
      </w:r>
      <w:proofErr w:type="spellEnd"/>
      <w:r>
        <w:rPr>
          <w:lang w:val="en-GB" w:eastAsia="en-GB"/>
        </w:rPr>
        <w:t xml:space="preserve">, PhD </w:t>
      </w:r>
      <w:r>
        <w:rPr>
          <w:sz w:val="16"/>
          <w:szCs w:val="16"/>
          <w:lang w:val="en-GB" w:eastAsia="en-GB"/>
        </w:rPr>
        <w:t>6</w:t>
      </w:r>
      <w:r>
        <w:rPr>
          <w:lang w:val="en-GB" w:eastAsia="en-GB"/>
        </w:rPr>
        <w:t xml:space="preserve">, Ahmet </w:t>
      </w:r>
      <w:proofErr w:type="spellStart"/>
      <w:r>
        <w:rPr>
          <w:lang w:val="en-GB" w:eastAsia="en-GB"/>
        </w:rPr>
        <w:t>Isik</w:t>
      </w:r>
      <w:proofErr w:type="spellEnd"/>
      <w:r>
        <w:rPr>
          <w:lang w:val="en-GB" w:eastAsia="en-GB"/>
        </w:rPr>
        <w:t xml:space="preserve">, PhD </w:t>
      </w:r>
      <w:r>
        <w:rPr>
          <w:sz w:val="16"/>
          <w:szCs w:val="16"/>
          <w:lang w:val="en-GB" w:eastAsia="en-GB"/>
        </w:rPr>
        <w:t>6</w:t>
      </w:r>
      <w:r>
        <w:rPr>
          <w:lang w:val="en-GB" w:eastAsia="en-GB"/>
        </w:rPr>
        <w:t xml:space="preserve">, Guillermo F. López-Sánchez, PhD </w:t>
      </w:r>
      <w:r>
        <w:rPr>
          <w:sz w:val="16"/>
          <w:szCs w:val="16"/>
          <w:lang w:val="en-GB" w:eastAsia="en-GB"/>
        </w:rPr>
        <w:t>7</w:t>
      </w:r>
      <w:r>
        <w:rPr>
          <w:lang w:val="en-GB" w:eastAsia="en-GB"/>
        </w:rPr>
        <w:t>,</w:t>
      </w:r>
    </w:p>
    <w:p w14:paraId="20D186FE" w14:textId="32E849DB"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6"/>
          <w:szCs w:val="16"/>
          <w:lang w:val="en-GB" w:eastAsia="en-GB"/>
        </w:rPr>
      </w:pPr>
      <w:proofErr w:type="spellStart"/>
      <w:r>
        <w:rPr>
          <w:lang w:val="en-GB" w:eastAsia="en-GB"/>
        </w:rPr>
        <w:t>Daragh</w:t>
      </w:r>
      <w:proofErr w:type="spellEnd"/>
      <w:r>
        <w:rPr>
          <w:lang w:val="en-GB" w:eastAsia="en-GB"/>
        </w:rPr>
        <w:t xml:space="preserve"> McDermott, PhD </w:t>
      </w:r>
      <w:r>
        <w:rPr>
          <w:sz w:val="16"/>
          <w:szCs w:val="16"/>
          <w:lang w:val="en-GB" w:eastAsia="en-GB"/>
        </w:rPr>
        <w:t>5</w:t>
      </w:r>
      <w:r>
        <w:rPr>
          <w:lang w:val="en-GB" w:eastAsia="en-GB"/>
        </w:rPr>
        <w:t xml:space="preserve">, Lin Yang, PhD </w:t>
      </w:r>
      <w:r>
        <w:rPr>
          <w:sz w:val="16"/>
          <w:szCs w:val="16"/>
          <w:lang w:val="en-GB" w:eastAsia="en-GB"/>
        </w:rPr>
        <w:t>8</w:t>
      </w:r>
      <w:r>
        <w:rPr>
          <w:lang w:val="en-GB" w:eastAsia="en-GB"/>
        </w:rPr>
        <w:t xml:space="preserve">, Sarah E Jackson, PhD </w:t>
      </w:r>
      <w:r>
        <w:rPr>
          <w:sz w:val="16"/>
          <w:szCs w:val="16"/>
          <w:lang w:val="en-GB" w:eastAsia="en-GB"/>
        </w:rPr>
        <w:t>9</w:t>
      </w:r>
    </w:p>
    <w:p w14:paraId="14662EE7" w14:textId="2F220D50"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6"/>
          <w:szCs w:val="16"/>
          <w:lang w:val="en-GB" w:eastAsia="en-GB"/>
        </w:rPr>
      </w:pPr>
    </w:p>
    <w:p w14:paraId="48659525"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6"/>
          <w:szCs w:val="16"/>
          <w:lang w:val="en-GB" w:eastAsia="en-GB"/>
        </w:rPr>
      </w:pPr>
    </w:p>
    <w:p w14:paraId="21348070"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1) The Cambridge Centre for Sport and Exercise Sciences, School of Psychology and Sports</w:t>
      </w:r>
    </w:p>
    <w:p w14:paraId="76300B12"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Sciences, Anglia Ruskin University, Cambridge, UK.</w:t>
      </w:r>
    </w:p>
    <w:p w14:paraId="2C25AF32"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 xml:space="preserve">2) Parc </w:t>
      </w:r>
      <w:proofErr w:type="spellStart"/>
      <w:r>
        <w:rPr>
          <w:lang w:val="en-GB" w:eastAsia="en-GB"/>
        </w:rPr>
        <w:t>Sanitari</w:t>
      </w:r>
      <w:proofErr w:type="spellEnd"/>
      <w:r>
        <w:rPr>
          <w:lang w:val="en-GB" w:eastAsia="en-GB"/>
        </w:rPr>
        <w:t xml:space="preserve"> Sant Joan de </w:t>
      </w:r>
      <w:proofErr w:type="spellStart"/>
      <w:r>
        <w:rPr>
          <w:lang w:val="en-GB" w:eastAsia="en-GB"/>
        </w:rPr>
        <w:t>Déu</w:t>
      </w:r>
      <w:proofErr w:type="spellEnd"/>
      <w:r>
        <w:rPr>
          <w:lang w:val="en-GB" w:eastAsia="en-GB"/>
        </w:rPr>
        <w:t xml:space="preserve">, CIBERSAM, Dr Antoni Pujadas, 42, Sant </w:t>
      </w:r>
      <w:proofErr w:type="spellStart"/>
      <w:r>
        <w:rPr>
          <w:lang w:val="en-GB" w:eastAsia="en-GB"/>
        </w:rPr>
        <w:t>Boi</w:t>
      </w:r>
      <w:proofErr w:type="spellEnd"/>
      <w:r>
        <w:rPr>
          <w:lang w:val="en-GB" w:eastAsia="en-GB"/>
        </w:rPr>
        <w:t xml:space="preserve"> de </w:t>
      </w:r>
      <w:proofErr w:type="spellStart"/>
      <w:r>
        <w:rPr>
          <w:lang w:val="en-GB" w:eastAsia="en-GB"/>
        </w:rPr>
        <w:t>Llobregat</w:t>
      </w:r>
      <w:proofErr w:type="spellEnd"/>
      <w:r>
        <w:rPr>
          <w:lang w:val="en-GB" w:eastAsia="en-GB"/>
        </w:rPr>
        <w:t>,</w:t>
      </w:r>
    </w:p>
    <w:p w14:paraId="3CBEDC2B"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Barcelona 08830, Spain.</w:t>
      </w:r>
    </w:p>
    <w:p w14:paraId="011130A5"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3) Vision and Eye Research Unit (VERU), School of Medicine. Anglia Ruskin University,</w:t>
      </w:r>
    </w:p>
    <w:p w14:paraId="0B83E750"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Cambridge, UK.</w:t>
      </w:r>
    </w:p>
    <w:p w14:paraId="5E4D9279"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4) Department of Social and Preventive Medicine, Centre for Public Health, Medical</w:t>
      </w:r>
    </w:p>
    <w:p w14:paraId="60F909F4"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University of Vienna, Vienna, Austria.</w:t>
      </w:r>
    </w:p>
    <w:p w14:paraId="4CFFBDA4"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5) Division of Psychology, School of Psychology and Sports Sciences, Anglia Ruskin</w:t>
      </w:r>
    </w:p>
    <w:p w14:paraId="0A1B1AEB"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University, Cambridge, UK.</w:t>
      </w:r>
    </w:p>
    <w:p w14:paraId="4CE450C8"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 xml:space="preserve">6) Department of Geriatric Medicine, </w:t>
      </w:r>
      <w:proofErr w:type="spellStart"/>
      <w:r>
        <w:rPr>
          <w:lang w:val="en-GB" w:eastAsia="en-GB"/>
        </w:rPr>
        <w:t>Bezmialem</w:t>
      </w:r>
      <w:proofErr w:type="spellEnd"/>
      <w:r>
        <w:rPr>
          <w:lang w:val="en-GB" w:eastAsia="en-GB"/>
        </w:rPr>
        <w:t xml:space="preserve"> </w:t>
      </w:r>
      <w:proofErr w:type="spellStart"/>
      <w:r>
        <w:rPr>
          <w:lang w:val="en-GB" w:eastAsia="en-GB"/>
        </w:rPr>
        <w:t>Vakif</w:t>
      </w:r>
      <w:proofErr w:type="spellEnd"/>
      <w:r>
        <w:rPr>
          <w:lang w:val="en-GB" w:eastAsia="en-GB"/>
        </w:rPr>
        <w:t xml:space="preserve"> University, Faculty of Medicine,</w:t>
      </w:r>
    </w:p>
    <w:p w14:paraId="6DFBF753"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Istanbul, Turkey</w:t>
      </w:r>
    </w:p>
    <w:p w14:paraId="764C0FDA"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7) Faculty of Sport Sciences, University of Murcia, Spain.</w:t>
      </w:r>
    </w:p>
    <w:p w14:paraId="5F092331"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 xml:space="preserve">8) Department of Epidemiology, </w:t>
      </w:r>
      <w:proofErr w:type="spellStart"/>
      <w:r>
        <w:rPr>
          <w:lang w:val="en-GB" w:eastAsia="en-GB"/>
        </w:rPr>
        <w:t>Center</w:t>
      </w:r>
      <w:proofErr w:type="spellEnd"/>
      <w:r>
        <w:rPr>
          <w:lang w:val="en-GB" w:eastAsia="en-GB"/>
        </w:rPr>
        <w:t xml:space="preserve"> for Public Health, </w:t>
      </w:r>
      <w:proofErr w:type="spellStart"/>
      <w:r>
        <w:rPr>
          <w:lang w:val="en-GB" w:eastAsia="en-GB"/>
        </w:rPr>
        <w:t>Kinderspitalgasse</w:t>
      </w:r>
      <w:proofErr w:type="spellEnd"/>
      <w:r>
        <w:rPr>
          <w:lang w:val="en-GB" w:eastAsia="en-GB"/>
        </w:rPr>
        <w:t xml:space="preserve"> 15, 1st floor,</w:t>
      </w:r>
    </w:p>
    <w:p w14:paraId="7C97F885"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Vienna, 1090, Austria.</w:t>
      </w:r>
    </w:p>
    <w:p w14:paraId="6D2611D5"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9) Department of Behavioural Science and Health, UCL, London, UK.</w:t>
      </w:r>
    </w:p>
    <w:p w14:paraId="44AB6090"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p>
    <w:p w14:paraId="17354678" w14:textId="0F36F4B1"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 xml:space="preserve">Corresponding author: </w:t>
      </w:r>
      <w:proofErr w:type="spellStart"/>
      <w:r>
        <w:rPr>
          <w:lang w:val="en-GB" w:eastAsia="en-GB"/>
        </w:rPr>
        <w:t>Dr.</w:t>
      </w:r>
      <w:proofErr w:type="spellEnd"/>
      <w:r>
        <w:rPr>
          <w:lang w:val="en-GB" w:eastAsia="en-GB"/>
        </w:rPr>
        <w:t xml:space="preserve"> Lee Smith. The Cambridge Centre for Sport and Exercise </w:t>
      </w:r>
      <w:proofErr w:type="spellStart"/>
      <w:proofErr w:type="gramStart"/>
      <w:r>
        <w:rPr>
          <w:lang w:val="en-GB" w:eastAsia="en-GB"/>
        </w:rPr>
        <w:t>Sciences,School</w:t>
      </w:r>
      <w:proofErr w:type="spellEnd"/>
      <w:proofErr w:type="gramEnd"/>
      <w:r>
        <w:rPr>
          <w:lang w:val="en-GB" w:eastAsia="en-GB"/>
        </w:rPr>
        <w:t xml:space="preserve"> of Psychology and Sports Sciences, Anglia Ruskin University, Cambridge, </w:t>
      </w:r>
      <w:hyperlink r:id="rId6" w:history="1">
        <w:r w:rsidRPr="00576DA8">
          <w:rPr>
            <w:rStyle w:val="Hyperlink"/>
            <w:lang w:val="en-GB" w:eastAsia="en-GB"/>
          </w:rPr>
          <w:t>UK.Lee.Smith@anglia.ac.uk</w:t>
        </w:r>
      </w:hyperlink>
    </w:p>
    <w:p w14:paraId="55FE06CB"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p>
    <w:p w14:paraId="4E9F1FF2"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b/>
          <w:bCs/>
          <w:lang w:val="en-GB" w:eastAsia="en-GB"/>
        </w:rPr>
        <w:t xml:space="preserve">Financial Support: </w:t>
      </w:r>
      <w:r>
        <w:rPr>
          <w:lang w:val="en-GB" w:eastAsia="en-GB"/>
        </w:rPr>
        <w:t>This research did not receive any specific grant from funding agencies in</w:t>
      </w:r>
    </w:p>
    <w:p w14:paraId="77B1BB8A" w14:textId="48CE7B60"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r>
        <w:rPr>
          <w:lang w:val="en-GB" w:eastAsia="en-GB"/>
        </w:rPr>
        <w:t>the public, commercial, or not-for-profit sectors. Dr Guillermo F. López Sánchez is funded by</w:t>
      </w:r>
      <w:r>
        <w:rPr>
          <w:lang w:val="en-GB" w:eastAsia="en-GB"/>
        </w:rPr>
        <w:t xml:space="preserve"> </w:t>
      </w:r>
      <w:r>
        <w:rPr>
          <w:lang w:val="en-GB" w:eastAsia="en-GB"/>
        </w:rPr>
        <w:t>the Seneca Foundation - Agency for Science and Technology of the Region of Murcia, Spain.</w:t>
      </w:r>
      <w:r>
        <w:rPr>
          <w:lang w:val="en-GB" w:eastAsia="en-GB"/>
        </w:rPr>
        <w:t xml:space="preserve"> </w:t>
      </w:r>
      <w:r>
        <w:rPr>
          <w:lang w:val="en-GB" w:eastAsia="en-GB"/>
        </w:rPr>
        <w:t>20390/PD/17.</w:t>
      </w:r>
    </w:p>
    <w:p w14:paraId="345FFBAD" w14:textId="77777777" w:rsidR="009B5064" w:rsidRDefault="009B5064" w:rsidP="009B5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eastAsia="en-GB"/>
        </w:rPr>
      </w:pPr>
    </w:p>
    <w:p w14:paraId="364864A8" w14:textId="78748FEB" w:rsidR="00B95CBC" w:rsidRPr="009B5064" w:rsidRDefault="009B5064" w:rsidP="009B5064">
      <w:pPr>
        <w:pStyle w:val="Heading"/>
        <w:spacing w:line="480" w:lineRule="auto"/>
        <w:rPr>
          <w:color w:val="auto"/>
          <w:lang w:val="de-DE"/>
        </w:rPr>
      </w:pPr>
      <w:r>
        <w:rPr>
          <w:b w:val="0"/>
          <w:bCs w:val="0"/>
          <w:lang w:val="en-GB"/>
        </w:rPr>
        <w:t xml:space="preserve">Conflict of Interest: </w:t>
      </w:r>
      <w:r>
        <w:rPr>
          <w:lang w:val="en-GB"/>
        </w:rPr>
        <w:t>No conflicting relationship exists for any author.</w:t>
      </w:r>
    </w:p>
    <w:p w14:paraId="124A4C0A" w14:textId="77777777" w:rsidR="00B95CBC" w:rsidRPr="009B5064" w:rsidRDefault="00B95CBC" w:rsidP="00CA47A2">
      <w:pPr>
        <w:pStyle w:val="Heading"/>
        <w:spacing w:line="480" w:lineRule="auto"/>
        <w:rPr>
          <w:color w:val="auto"/>
          <w:lang w:val="de-DE"/>
        </w:rPr>
      </w:pPr>
    </w:p>
    <w:p w14:paraId="4753DF4B" w14:textId="77777777" w:rsidR="00B95CBC" w:rsidRPr="009B5064" w:rsidRDefault="00B95CBC" w:rsidP="00CA47A2">
      <w:pPr>
        <w:pStyle w:val="Heading"/>
        <w:spacing w:line="480" w:lineRule="auto"/>
        <w:rPr>
          <w:color w:val="auto"/>
          <w:lang w:val="de-DE"/>
        </w:rPr>
      </w:pPr>
    </w:p>
    <w:p w14:paraId="708CB29C" w14:textId="77777777" w:rsidR="00462897" w:rsidRPr="009B5064" w:rsidRDefault="00462897" w:rsidP="00CA47A2">
      <w:pPr>
        <w:pStyle w:val="Heading"/>
        <w:spacing w:line="480" w:lineRule="auto"/>
        <w:rPr>
          <w:color w:val="auto"/>
          <w:lang w:val="de-DE"/>
        </w:rPr>
      </w:pPr>
    </w:p>
    <w:p w14:paraId="60AD0C5F" w14:textId="77777777" w:rsidR="00DD6EA4" w:rsidRPr="009B5064" w:rsidRDefault="009F5584" w:rsidP="00CA47A2">
      <w:pPr>
        <w:pStyle w:val="Heading"/>
        <w:spacing w:line="480" w:lineRule="auto"/>
        <w:rPr>
          <w:color w:val="auto"/>
        </w:rPr>
      </w:pPr>
      <w:r w:rsidRPr="009B5064">
        <w:rPr>
          <w:color w:val="auto"/>
          <w:lang w:val="de-DE"/>
        </w:rPr>
        <w:lastRenderedPageBreak/>
        <w:t>Abstract</w:t>
      </w:r>
    </w:p>
    <w:p w14:paraId="69C08288" w14:textId="04787ED7" w:rsidR="00946373" w:rsidRPr="009B5064" w:rsidRDefault="009F5584" w:rsidP="00CA47A2">
      <w:pPr>
        <w:pStyle w:val="Body"/>
        <w:spacing w:after="288" w:line="480" w:lineRule="auto"/>
        <w:rPr>
          <w:color w:val="auto"/>
          <w:lang w:val="de-DE"/>
        </w:rPr>
      </w:pPr>
      <w:r w:rsidRPr="009B5064">
        <w:rPr>
          <w:b/>
          <w:bCs/>
          <w:color w:val="auto"/>
        </w:rPr>
        <w:t>Background</w:t>
      </w:r>
      <w:r w:rsidRPr="009B5064">
        <w:rPr>
          <w:color w:val="auto"/>
        </w:rPr>
        <w:t>:</w:t>
      </w:r>
      <w:r w:rsidRPr="009B5064">
        <w:rPr>
          <w:color w:val="auto"/>
          <w:lang w:val="de-DE"/>
        </w:rPr>
        <w:t xml:space="preserve"> Sexual activity </w:t>
      </w:r>
      <w:r w:rsidR="00455D33" w:rsidRPr="009B5064">
        <w:rPr>
          <w:color w:val="auto"/>
          <w:lang w:val="de-DE"/>
        </w:rPr>
        <w:t xml:space="preserve">is a central component of intimate relationships and </w:t>
      </w:r>
      <w:r w:rsidRPr="009B5064">
        <w:rPr>
          <w:color w:val="auto"/>
          <w:lang w:val="de-DE"/>
        </w:rPr>
        <w:t xml:space="preserve">has </w:t>
      </w:r>
      <w:r w:rsidR="00455D33" w:rsidRPr="009B5064">
        <w:rPr>
          <w:color w:val="auto"/>
          <w:lang w:val="de-DE"/>
        </w:rPr>
        <w:t xml:space="preserve">been shown to have </w:t>
      </w:r>
      <w:r w:rsidRPr="009B5064">
        <w:rPr>
          <w:color w:val="auto"/>
          <w:lang w:val="de-DE"/>
        </w:rPr>
        <w:t xml:space="preserve">numerous </w:t>
      </w:r>
      <w:r w:rsidR="00455D33" w:rsidRPr="009B5064">
        <w:rPr>
          <w:color w:val="auto"/>
          <w:lang w:val="de-DE"/>
        </w:rPr>
        <w:t>benefits for health and wellbeing</w:t>
      </w:r>
      <w:r w:rsidR="003B459D" w:rsidRPr="009B5064">
        <w:rPr>
          <w:color w:val="auto"/>
          <w:lang w:val="de-DE"/>
        </w:rPr>
        <w:t>.</w:t>
      </w:r>
      <w:r w:rsidR="00B86282" w:rsidRPr="009B5064">
        <w:rPr>
          <w:color w:val="auto"/>
          <w:lang w:val="de-DE"/>
        </w:rPr>
        <w:t xml:space="preserve"> </w:t>
      </w:r>
      <w:r w:rsidR="003B459D" w:rsidRPr="009B5064">
        <w:rPr>
          <w:color w:val="auto"/>
          <w:lang w:val="de-DE"/>
        </w:rPr>
        <w:t>Studies have shown that p</w:t>
      </w:r>
      <w:r w:rsidRPr="009B5064">
        <w:rPr>
          <w:color w:val="auto"/>
          <w:lang w:val="de-DE"/>
        </w:rPr>
        <w:t>eople with disabilit</w:t>
      </w:r>
      <w:r w:rsidR="003B459D" w:rsidRPr="009B5064">
        <w:rPr>
          <w:color w:val="auto"/>
          <w:lang w:val="de-DE"/>
        </w:rPr>
        <w:t>ies</w:t>
      </w:r>
      <w:r w:rsidRPr="009B5064">
        <w:rPr>
          <w:color w:val="auto"/>
          <w:lang w:val="de-DE"/>
        </w:rPr>
        <w:t xml:space="preserve"> often report less satisfactio</w:t>
      </w:r>
      <w:r w:rsidR="003B459D" w:rsidRPr="009B5064">
        <w:rPr>
          <w:color w:val="auto"/>
          <w:lang w:val="de-DE"/>
        </w:rPr>
        <w:t>n</w:t>
      </w:r>
      <w:r w:rsidR="00024A6E" w:rsidRPr="009B5064">
        <w:rPr>
          <w:color w:val="auto"/>
          <w:lang w:val="de-DE"/>
        </w:rPr>
        <w:t xml:space="preserve"> </w:t>
      </w:r>
      <w:r w:rsidR="003B459D" w:rsidRPr="009B5064">
        <w:rPr>
          <w:color w:val="auto"/>
          <w:lang w:val="de-DE"/>
        </w:rPr>
        <w:t>with their sex lives,</w:t>
      </w:r>
      <w:r w:rsidR="00946373" w:rsidRPr="009B5064">
        <w:rPr>
          <w:color w:val="auto"/>
          <w:lang w:val="de-DE"/>
        </w:rPr>
        <w:t xml:space="preserve"> </w:t>
      </w:r>
      <w:r w:rsidR="003B459D" w:rsidRPr="009B5064">
        <w:rPr>
          <w:color w:val="auto"/>
          <w:lang w:val="de-DE"/>
        </w:rPr>
        <w:t>but none have examined</w:t>
      </w:r>
      <w:r w:rsidRPr="009B5064">
        <w:rPr>
          <w:color w:val="auto"/>
          <w:lang w:val="de-DE"/>
        </w:rPr>
        <w:t xml:space="preserve"> the </w:t>
      </w:r>
      <w:r w:rsidR="003B459D" w:rsidRPr="009B5064">
        <w:rPr>
          <w:color w:val="auto"/>
          <w:lang w:val="de-DE"/>
        </w:rPr>
        <w:t>levels of</w:t>
      </w:r>
      <w:r w:rsidRPr="009B5064">
        <w:rPr>
          <w:color w:val="auto"/>
          <w:lang w:val="de-DE"/>
        </w:rPr>
        <w:t xml:space="preserve"> sexual activity </w:t>
      </w:r>
      <w:r w:rsidR="003B459D" w:rsidRPr="009B5064">
        <w:rPr>
          <w:color w:val="auto"/>
          <w:lang w:val="de-DE"/>
        </w:rPr>
        <w:t xml:space="preserve">in </w:t>
      </w:r>
      <w:r w:rsidR="00E1749A" w:rsidRPr="009B5064">
        <w:rPr>
          <w:color w:val="auto"/>
          <w:lang w:val="de-DE"/>
        </w:rPr>
        <w:t xml:space="preserve">older adults </w:t>
      </w:r>
      <w:r w:rsidR="003B459D" w:rsidRPr="009B5064">
        <w:rPr>
          <w:color w:val="auto"/>
          <w:lang w:val="de-DE"/>
        </w:rPr>
        <w:t xml:space="preserve">with </w:t>
      </w:r>
      <w:r w:rsidRPr="009B5064">
        <w:rPr>
          <w:color w:val="auto"/>
          <w:lang w:val="de-DE"/>
        </w:rPr>
        <w:t xml:space="preserve">visual </w:t>
      </w:r>
      <w:r w:rsidR="003F5039" w:rsidRPr="009B5064">
        <w:rPr>
          <w:color w:val="auto"/>
          <w:lang w:val="de-DE"/>
        </w:rPr>
        <w:t>problems</w:t>
      </w:r>
      <w:r w:rsidR="003B459D" w:rsidRPr="009B5064">
        <w:rPr>
          <w:color w:val="auto"/>
          <w:lang w:val="de-DE"/>
        </w:rPr>
        <w:t>.</w:t>
      </w:r>
    </w:p>
    <w:p w14:paraId="195C9C6F" w14:textId="77777777" w:rsidR="00DD6EA4" w:rsidRPr="009B5064" w:rsidRDefault="00946373" w:rsidP="00CA47A2">
      <w:pPr>
        <w:pStyle w:val="Body"/>
        <w:spacing w:after="288" w:line="480" w:lineRule="auto"/>
        <w:rPr>
          <w:color w:val="auto"/>
        </w:rPr>
      </w:pPr>
      <w:r w:rsidRPr="009B5064">
        <w:rPr>
          <w:b/>
          <w:color w:val="auto"/>
          <w:lang w:val="de-DE"/>
        </w:rPr>
        <w:t>Aim</w:t>
      </w:r>
      <w:r w:rsidRPr="009B5064">
        <w:rPr>
          <w:color w:val="auto"/>
          <w:lang w:val="de-DE"/>
        </w:rPr>
        <w:t xml:space="preserve">: </w:t>
      </w:r>
      <w:r w:rsidR="003B459D" w:rsidRPr="009B5064">
        <w:rPr>
          <w:color w:val="auto"/>
          <w:lang w:val="de-DE"/>
        </w:rPr>
        <w:t xml:space="preserve">We investigated associations between self-rated eyesight and sexual activity </w:t>
      </w:r>
      <w:r w:rsidR="009F5584" w:rsidRPr="009B5064">
        <w:rPr>
          <w:color w:val="auto"/>
          <w:lang w:val="de-DE"/>
        </w:rPr>
        <w:t>in</w:t>
      </w:r>
      <w:r w:rsidR="003B459D" w:rsidRPr="009B5064">
        <w:rPr>
          <w:color w:val="auto"/>
          <w:lang w:val="de-DE"/>
        </w:rPr>
        <w:t xml:space="preserve"> a population-based sample of</w:t>
      </w:r>
      <w:r w:rsidR="009F5584" w:rsidRPr="009B5064">
        <w:rPr>
          <w:color w:val="auto"/>
          <w:lang w:val="de-DE"/>
        </w:rPr>
        <w:t xml:space="preserve"> older adults.</w:t>
      </w:r>
    </w:p>
    <w:p w14:paraId="10EA1FED" w14:textId="77777777" w:rsidR="00DD6EA4" w:rsidRPr="009B5064" w:rsidRDefault="009F5584" w:rsidP="00CA47A2">
      <w:pPr>
        <w:pStyle w:val="Body"/>
        <w:spacing w:after="288" w:line="480" w:lineRule="auto"/>
        <w:rPr>
          <w:color w:val="auto"/>
          <w:u w:color="FF0000"/>
        </w:rPr>
      </w:pPr>
      <w:r w:rsidRPr="009B5064">
        <w:rPr>
          <w:b/>
          <w:bCs/>
          <w:color w:val="auto"/>
        </w:rPr>
        <w:t>Method</w:t>
      </w:r>
      <w:r w:rsidR="00946373" w:rsidRPr="009B5064">
        <w:rPr>
          <w:b/>
          <w:bCs/>
          <w:color w:val="auto"/>
        </w:rPr>
        <w:t>s</w:t>
      </w:r>
      <w:r w:rsidRPr="009B5064">
        <w:rPr>
          <w:color w:val="auto"/>
        </w:rPr>
        <w:t xml:space="preserve">: </w:t>
      </w:r>
      <w:r w:rsidRPr="009B5064">
        <w:rPr>
          <w:color w:val="auto"/>
          <w:lang w:val="de-DE"/>
        </w:rPr>
        <w:t>Analys</w:t>
      </w:r>
      <w:r w:rsidR="0004018B" w:rsidRPr="009B5064">
        <w:rPr>
          <w:color w:val="auto"/>
          <w:lang w:val="de-DE"/>
        </w:rPr>
        <w:t>e</w:t>
      </w:r>
      <w:r w:rsidRPr="009B5064">
        <w:rPr>
          <w:color w:val="auto"/>
          <w:lang w:val="de-DE"/>
        </w:rPr>
        <w:t>s w</w:t>
      </w:r>
      <w:r w:rsidR="0004018B" w:rsidRPr="009B5064">
        <w:rPr>
          <w:color w:val="auto"/>
          <w:lang w:val="de-DE"/>
        </w:rPr>
        <w:t>ere conducted</w:t>
      </w:r>
      <w:r w:rsidRPr="009B5064">
        <w:rPr>
          <w:color w:val="auto"/>
          <w:lang w:val="de-DE"/>
        </w:rPr>
        <w:t xml:space="preserve"> using d</w:t>
      </w:r>
      <w:proofErr w:type="spellStart"/>
      <w:r w:rsidRPr="009B5064">
        <w:rPr>
          <w:color w:val="auto"/>
        </w:rPr>
        <w:t>ata</w:t>
      </w:r>
      <w:proofErr w:type="spellEnd"/>
      <w:r w:rsidRPr="009B5064">
        <w:rPr>
          <w:color w:val="auto"/>
        </w:rPr>
        <w:t xml:space="preserve"> from 2,587 men and 3,238 women participating in the English Longitudinal Study of Ageing. Participants provided information on self-rated eyesight in three domains: overall, at distance, and up close (</w:t>
      </w:r>
      <w:proofErr w:type="spellStart"/>
      <w:r w:rsidRPr="009B5064">
        <w:rPr>
          <w:color w:val="auto"/>
        </w:rPr>
        <w:t>categorised</w:t>
      </w:r>
      <w:proofErr w:type="spellEnd"/>
      <w:r w:rsidRPr="009B5064">
        <w:rPr>
          <w:color w:val="auto"/>
        </w:rPr>
        <w:t xml:space="preserve"> as: excellent/very good/good/fair-poor), sexual activity (any vs. none in the last year)</w:t>
      </w:r>
      <w:r w:rsidR="0004018B" w:rsidRPr="009B5064">
        <w:rPr>
          <w:color w:val="auto"/>
        </w:rPr>
        <w:t>,</w:t>
      </w:r>
      <w:r w:rsidRPr="009B5064">
        <w:rPr>
          <w:color w:val="auto"/>
        </w:rPr>
        <w:t xml:space="preserve"> and frequency of sexual intercourse in the last month</w:t>
      </w:r>
      <w:r w:rsidR="006A02E9" w:rsidRPr="009B5064">
        <w:rPr>
          <w:color w:val="auto"/>
        </w:rPr>
        <w:t xml:space="preserve"> </w:t>
      </w:r>
      <w:r w:rsidRPr="009B5064">
        <w:rPr>
          <w:color w:val="auto"/>
        </w:rPr>
        <w:t xml:space="preserve">(not at all, once, 2-3 times, once a week or more) among those who were sexually active. Associations between self-rated eyesight and sexual activity were examined using </w:t>
      </w:r>
      <w:r w:rsidR="00E1749A" w:rsidRPr="009B5064">
        <w:rPr>
          <w:color w:val="auto"/>
        </w:rPr>
        <w:t xml:space="preserve">adjusted </w:t>
      </w:r>
      <w:r w:rsidRPr="009B5064">
        <w:rPr>
          <w:color w:val="auto"/>
        </w:rPr>
        <w:t>logistic regression</w:t>
      </w:r>
      <w:r w:rsidRPr="009B5064">
        <w:rPr>
          <w:color w:val="auto"/>
          <w:lang w:val="de-DE"/>
        </w:rPr>
        <w:t>.</w:t>
      </w:r>
    </w:p>
    <w:p w14:paraId="00D77329" w14:textId="6B776CEB" w:rsidR="00DD6EA4" w:rsidRPr="009B5064" w:rsidRDefault="009F5584" w:rsidP="00CA47A2">
      <w:pPr>
        <w:pStyle w:val="Body"/>
        <w:spacing w:line="480" w:lineRule="auto"/>
        <w:rPr>
          <w:color w:val="auto"/>
          <w:shd w:val="clear" w:color="auto" w:fill="FFFFFF"/>
        </w:rPr>
      </w:pPr>
      <w:r w:rsidRPr="009B5064">
        <w:rPr>
          <w:b/>
          <w:bCs/>
          <w:color w:val="auto"/>
        </w:rPr>
        <w:t>Results</w:t>
      </w:r>
      <w:r w:rsidRPr="009B5064">
        <w:rPr>
          <w:color w:val="auto"/>
        </w:rPr>
        <w:t>: Relative to excellent self-rated eyesight, f</w:t>
      </w:r>
      <w:r w:rsidRPr="009B5064">
        <w:rPr>
          <w:color w:val="auto"/>
          <w:shd w:val="clear" w:color="auto" w:fill="FFFFFF"/>
          <w:lang w:val="fr-FR"/>
        </w:rPr>
        <w:t>air</w:t>
      </w:r>
      <w:r w:rsidRPr="009B5064">
        <w:rPr>
          <w:color w:val="auto"/>
          <w:shd w:val="clear" w:color="auto" w:fill="FFFFFF"/>
        </w:rPr>
        <w:t xml:space="preserve">–poor eyesight was consistently associated with significantly lower odds of being sexually active in men (overall eyesight OR 0.41, 95% CI 0.26-0.64, </w:t>
      </w:r>
      <w:r w:rsidRPr="009B5064">
        <w:rPr>
          <w:i/>
          <w:iCs/>
          <w:color w:val="auto"/>
          <w:shd w:val="clear" w:color="auto" w:fill="FFFFFF"/>
        </w:rPr>
        <w:t>p</w:t>
      </w:r>
      <w:r w:rsidRPr="009B5064">
        <w:rPr>
          <w:color w:val="auto"/>
          <w:shd w:val="clear" w:color="auto" w:fill="FFFFFF"/>
        </w:rPr>
        <w:t xml:space="preserve">&lt;0.001) but not in women (overall eyesight OR=0.99, 95% CI 0.70-1.41, </w:t>
      </w:r>
      <w:r w:rsidRPr="009B5064">
        <w:rPr>
          <w:i/>
          <w:iCs/>
          <w:color w:val="auto"/>
          <w:shd w:val="clear" w:color="auto" w:fill="FFFFFF"/>
        </w:rPr>
        <w:t>p</w:t>
      </w:r>
      <w:r w:rsidRPr="009B5064">
        <w:rPr>
          <w:color w:val="auto"/>
          <w:shd w:val="clear" w:color="auto" w:fill="FFFFFF"/>
        </w:rPr>
        <w:t xml:space="preserve">=0.959). However, among women who were sexually active, there was some evidence that fair–poor eyesight was associated with lower frequency of sexual intercourse in the last month (e.g. fair–poor eyesight at distance OR=0.45, 95% CI 0.31-0.66, </w:t>
      </w:r>
      <w:r w:rsidRPr="009B5064">
        <w:rPr>
          <w:i/>
          <w:iCs/>
          <w:color w:val="auto"/>
          <w:shd w:val="clear" w:color="auto" w:fill="FFFFFF"/>
        </w:rPr>
        <w:t>p</w:t>
      </w:r>
      <w:r w:rsidRPr="009B5064">
        <w:rPr>
          <w:color w:val="auto"/>
          <w:shd w:val="clear" w:color="auto" w:fill="FFFFFF"/>
        </w:rPr>
        <w:t>&lt;0.001). No association between self-rated eyesight and frequency of sexual intercourse was observed for men.</w:t>
      </w:r>
    </w:p>
    <w:p w14:paraId="646997E0" w14:textId="77777777" w:rsidR="00946373" w:rsidRPr="009B5064" w:rsidRDefault="00946373" w:rsidP="00CA47A2">
      <w:pPr>
        <w:pStyle w:val="Body"/>
        <w:spacing w:after="0" w:line="480" w:lineRule="auto"/>
        <w:rPr>
          <w:color w:val="auto"/>
        </w:rPr>
      </w:pPr>
      <w:r w:rsidRPr="009B5064">
        <w:rPr>
          <w:b/>
          <w:color w:val="auto"/>
          <w:shd w:val="clear" w:color="auto" w:fill="FFFFFF"/>
        </w:rPr>
        <w:t xml:space="preserve">Clinical Implications: </w:t>
      </w:r>
      <w:r w:rsidRPr="009B5064">
        <w:rPr>
          <w:color w:val="auto"/>
          <w:lang w:val="de-DE"/>
        </w:rPr>
        <w:t>Identifying ways to help older patients with impaired vision achieve a more active sex life could help to improve the health and well</w:t>
      </w:r>
      <w:r w:rsidR="00B86282" w:rsidRPr="009B5064">
        <w:rPr>
          <w:color w:val="auto"/>
          <w:lang w:val="de-DE"/>
        </w:rPr>
        <w:t>being of this population group.</w:t>
      </w:r>
    </w:p>
    <w:p w14:paraId="41F45E1E" w14:textId="77777777" w:rsidR="00DD6EA4" w:rsidRPr="009B5064" w:rsidRDefault="009F5584" w:rsidP="00CA47A2">
      <w:pPr>
        <w:pStyle w:val="Body"/>
        <w:spacing w:line="480" w:lineRule="auto"/>
        <w:rPr>
          <w:color w:val="auto"/>
        </w:rPr>
      </w:pPr>
      <w:r w:rsidRPr="009B5064">
        <w:rPr>
          <w:b/>
          <w:bCs/>
          <w:color w:val="auto"/>
        </w:rPr>
        <w:lastRenderedPageBreak/>
        <w:t>Conclusion</w:t>
      </w:r>
      <w:r w:rsidRPr="009B5064">
        <w:rPr>
          <w:color w:val="auto"/>
        </w:rPr>
        <w:t xml:space="preserve">: </w:t>
      </w:r>
      <w:r w:rsidR="00801C80" w:rsidRPr="009B5064">
        <w:rPr>
          <w:color w:val="auto"/>
        </w:rPr>
        <w:t>Visual impairment is associated with lower prevalence of any sexual activity in older men</w:t>
      </w:r>
      <w:r w:rsidR="00A377FE" w:rsidRPr="009B5064">
        <w:rPr>
          <w:color w:val="auto"/>
        </w:rPr>
        <w:t xml:space="preserve">, </w:t>
      </w:r>
      <w:r w:rsidR="00801C80" w:rsidRPr="009B5064">
        <w:rPr>
          <w:color w:val="auto"/>
        </w:rPr>
        <w:t xml:space="preserve">and lower frequency of sexual intercourse in older women. </w:t>
      </w:r>
    </w:p>
    <w:p w14:paraId="56CB7FDC" w14:textId="3C8E86A1" w:rsidR="00DD6EA4" w:rsidRPr="009B5064" w:rsidRDefault="009F5584" w:rsidP="00CA47A2">
      <w:pPr>
        <w:pStyle w:val="Body"/>
        <w:spacing w:after="288" w:line="480" w:lineRule="auto"/>
        <w:rPr>
          <w:color w:val="auto"/>
        </w:rPr>
      </w:pPr>
      <w:r w:rsidRPr="009B5064">
        <w:rPr>
          <w:b/>
          <w:bCs/>
          <w:color w:val="auto"/>
        </w:rPr>
        <w:t>Key words:</w:t>
      </w:r>
      <w:r w:rsidRPr="009B5064">
        <w:rPr>
          <w:color w:val="auto"/>
        </w:rPr>
        <w:t xml:space="preserve"> sexual activity; sexual intercourse; </w:t>
      </w:r>
      <w:r w:rsidR="00A5046F" w:rsidRPr="009B5064">
        <w:rPr>
          <w:color w:val="auto"/>
        </w:rPr>
        <w:t>visual impairment; older adults; diabetic retinopathy</w:t>
      </w:r>
      <w:r w:rsidR="00024A6E" w:rsidRPr="009B5064">
        <w:rPr>
          <w:color w:val="auto"/>
        </w:rPr>
        <w:t xml:space="preserve">; </w:t>
      </w:r>
      <w:r w:rsidR="00B71935" w:rsidRPr="009B5064">
        <w:rPr>
          <w:color w:val="auto"/>
        </w:rPr>
        <w:t>England</w:t>
      </w:r>
      <w:r w:rsidR="00A5046F" w:rsidRPr="009B5064">
        <w:rPr>
          <w:color w:val="auto"/>
        </w:rPr>
        <w:t>.</w:t>
      </w:r>
    </w:p>
    <w:p w14:paraId="57F50864" w14:textId="77777777" w:rsidR="00EB523B" w:rsidRPr="009B5064" w:rsidRDefault="00EB523B" w:rsidP="00CA47A2">
      <w:pPr>
        <w:pStyle w:val="Body"/>
        <w:spacing w:line="480" w:lineRule="auto"/>
        <w:rPr>
          <w:b/>
          <w:bCs/>
          <w:color w:val="auto"/>
          <w:sz w:val="26"/>
          <w:szCs w:val="26"/>
        </w:rPr>
      </w:pPr>
    </w:p>
    <w:p w14:paraId="6E4FCCA0" w14:textId="77777777" w:rsidR="00EB523B" w:rsidRPr="009B5064" w:rsidRDefault="00EB523B" w:rsidP="00CA47A2">
      <w:pPr>
        <w:pStyle w:val="Body"/>
        <w:spacing w:line="480" w:lineRule="auto"/>
        <w:rPr>
          <w:b/>
          <w:bCs/>
          <w:color w:val="auto"/>
          <w:sz w:val="26"/>
          <w:szCs w:val="26"/>
        </w:rPr>
      </w:pPr>
    </w:p>
    <w:p w14:paraId="066A1056" w14:textId="77777777" w:rsidR="00EB523B" w:rsidRPr="009B5064" w:rsidRDefault="00EB523B" w:rsidP="00CA47A2">
      <w:pPr>
        <w:pStyle w:val="Body"/>
        <w:spacing w:line="480" w:lineRule="auto"/>
        <w:rPr>
          <w:b/>
          <w:bCs/>
          <w:color w:val="auto"/>
          <w:sz w:val="26"/>
          <w:szCs w:val="26"/>
        </w:rPr>
      </w:pPr>
    </w:p>
    <w:p w14:paraId="2E01709C" w14:textId="77777777" w:rsidR="00EB523B" w:rsidRPr="009B5064" w:rsidRDefault="00EB523B" w:rsidP="00CA47A2">
      <w:pPr>
        <w:pStyle w:val="Body"/>
        <w:spacing w:line="480" w:lineRule="auto"/>
        <w:rPr>
          <w:b/>
          <w:bCs/>
          <w:color w:val="auto"/>
          <w:sz w:val="26"/>
          <w:szCs w:val="26"/>
        </w:rPr>
      </w:pPr>
    </w:p>
    <w:p w14:paraId="0849E173" w14:textId="77777777" w:rsidR="00EB523B" w:rsidRPr="009B5064" w:rsidRDefault="00EB523B" w:rsidP="00CA47A2">
      <w:pPr>
        <w:pStyle w:val="Body"/>
        <w:spacing w:line="480" w:lineRule="auto"/>
        <w:rPr>
          <w:b/>
          <w:bCs/>
          <w:color w:val="auto"/>
          <w:sz w:val="26"/>
          <w:szCs w:val="26"/>
        </w:rPr>
      </w:pPr>
    </w:p>
    <w:p w14:paraId="155AA4EA" w14:textId="77777777" w:rsidR="00EB523B" w:rsidRPr="009B5064" w:rsidRDefault="00EB523B" w:rsidP="00CA47A2">
      <w:pPr>
        <w:pStyle w:val="Body"/>
        <w:spacing w:line="480" w:lineRule="auto"/>
        <w:rPr>
          <w:b/>
          <w:bCs/>
          <w:color w:val="auto"/>
          <w:sz w:val="26"/>
          <w:szCs w:val="26"/>
        </w:rPr>
      </w:pPr>
    </w:p>
    <w:p w14:paraId="517557F5" w14:textId="77777777" w:rsidR="00EB523B" w:rsidRPr="009B5064" w:rsidRDefault="00EB523B" w:rsidP="00CA47A2">
      <w:pPr>
        <w:pStyle w:val="Body"/>
        <w:spacing w:line="480" w:lineRule="auto"/>
        <w:rPr>
          <w:b/>
          <w:bCs/>
          <w:color w:val="auto"/>
          <w:sz w:val="26"/>
          <w:szCs w:val="26"/>
        </w:rPr>
      </w:pPr>
    </w:p>
    <w:p w14:paraId="1DBC3FA0" w14:textId="77777777" w:rsidR="00EB523B" w:rsidRPr="009B5064" w:rsidRDefault="00EB523B" w:rsidP="00CA47A2">
      <w:pPr>
        <w:pStyle w:val="Body"/>
        <w:spacing w:line="480" w:lineRule="auto"/>
        <w:rPr>
          <w:b/>
          <w:bCs/>
          <w:color w:val="auto"/>
          <w:sz w:val="26"/>
          <w:szCs w:val="26"/>
        </w:rPr>
      </w:pPr>
    </w:p>
    <w:p w14:paraId="59E1ACFF" w14:textId="77777777" w:rsidR="00EB523B" w:rsidRPr="009B5064" w:rsidRDefault="00EB523B" w:rsidP="00CA47A2">
      <w:pPr>
        <w:pStyle w:val="Body"/>
        <w:spacing w:line="480" w:lineRule="auto"/>
        <w:rPr>
          <w:b/>
          <w:bCs/>
          <w:color w:val="auto"/>
          <w:sz w:val="26"/>
          <w:szCs w:val="26"/>
        </w:rPr>
      </w:pPr>
    </w:p>
    <w:p w14:paraId="41B6A49A" w14:textId="77777777" w:rsidR="00785795" w:rsidRPr="009B5064" w:rsidRDefault="00785795" w:rsidP="00CA47A2">
      <w:pPr>
        <w:pStyle w:val="Body"/>
        <w:spacing w:line="480" w:lineRule="auto"/>
        <w:rPr>
          <w:b/>
          <w:bCs/>
          <w:color w:val="auto"/>
          <w:sz w:val="26"/>
          <w:szCs w:val="26"/>
        </w:rPr>
      </w:pPr>
    </w:p>
    <w:p w14:paraId="16D58C5A" w14:textId="77777777" w:rsidR="00785795" w:rsidRPr="009B5064" w:rsidRDefault="00785795" w:rsidP="00CA47A2">
      <w:pPr>
        <w:pStyle w:val="Body"/>
        <w:spacing w:line="480" w:lineRule="auto"/>
        <w:rPr>
          <w:b/>
          <w:bCs/>
          <w:color w:val="auto"/>
          <w:sz w:val="26"/>
          <w:szCs w:val="26"/>
        </w:rPr>
      </w:pPr>
    </w:p>
    <w:p w14:paraId="19761B76" w14:textId="77777777" w:rsidR="00785795" w:rsidRPr="009B5064" w:rsidRDefault="00785795" w:rsidP="00CA47A2">
      <w:pPr>
        <w:pStyle w:val="Body"/>
        <w:spacing w:line="480" w:lineRule="auto"/>
        <w:rPr>
          <w:b/>
          <w:bCs/>
          <w:color w:val="auto"/>
          <w:sz w:val="26"/>
          <w:szCs w:val="26"/>
        </w:rPr>
      </w:pPr>
    </w:p>
    <w:p w14:paraId="4B70F91E" w14:textId="77777777" w:rsidR="00785795" w:rsidRPr="009B5064" w:rsidRDefault="00785795" w:rsidP="00CA47A2">
      <w:pPr>
        <w:pStyle w:val="Body"/>
        <w:spacing w:line="480" w:lineRule="auto"/>
        <w:rPr>
          <w:b/>
          <w:bCs/>
          <w:color w:val="auto"/>
          <w:sz w:val="26"/>
          <w:szCs w:val="26"/>
        </w:rPr>
      </w:pPr>
    </w:p>
    <w:p w14:paraId="4811C1D3" w14:textId="77777777" w:rsidR="003C3D16" w:rsidRPr="009B5064" w:rsidRDefault="003C3D16" w:rsidP="00CA47A2">
      <w:pPr>
        <w:pStyle w:val="Body"/>
        <w:spacing w:line="480" w:lineRule="auto"/>
        <w:rPr>
          <w:b/>
          <w:bCs/>
          <w:color w:val="auto"/>
          <w:sz w:val="26"/>
          <w:szCs w:val="26"/>
        </w:rPr>
      </w:pPr>
      <w:r w:rsidRPr="009B5064">
        <w:rPr>
          <w:b/>
          <w:bCs/>
          <w:color w:val="auto"/>
          <w:sz w:val="26"/>
          <w:szCs w:val="26"/>
        </w:rPr>
        <w:lastRenderedPageBreak/>
        <w:t>Introduction</w:t>
      </w:r>
    </w:p>
    <w:p w14:paraId="6C4591E4" w14:textId="5293393F" w:rsidR="0088129D" w:rsidRPr="009B5064" w:rsidRDefault="00E513C8" w:rsidP="00CA47A2">
      <w:pPr>
        <w:pStyle w:val="Body"/>
        <w:spacing w:line="480" w:lineRule="auto"/>
        <w:rPr>
          <w:color w:val="auto"/>
        </w:rPr>
      </w:pPr>
      <w:r w:rsidRPr="009B5064">
        <w:rPr>
          <w:color w:val="auto"/>
        </w:rPr>
        <w:t>S</w:t>
      </w:r>
      <w:r w:rsidR="009F5584" w:rsidRPr="009B5064">
        <w:rPr>
          <w:color w:val="auto"/>
        </w:rPr>
        <w:t>exual activity</w:t>
      </w:r>
      <w:r w:rsidR="0004018B" w:rsidRPr="009B5064">
        <w:rPr>
          <w:color w:val="auto"/>
        </w:rPr>
        <w:t xml:space="preserve"> –</w:t>
      </w:r>
      <w:r w:rsidR="009F5584" w:rsidRPr="009B5064">
        <w:rPr>
          <w:color w:val="auto"/>
        </w:rPr>
        <w:t xml:space="preserve"> defined as sexual intercourse, masturbation, petting or fondling</w:t>
      </w:r>
      <w:r w:rsidR="0004018B" w:rsidRPr="009B5064">
        <w:rPr>
          <w:color w:val="auto"/>
        </w:rPr>
        <w:t xml:space="preserve"> –</w:t>
      </w:r>
      <w:r w:rsidR="009F5584" w:rsidRPr="009B5064">
        <w:rPr>
          <w:color w:val="auto"/>
        </w:rPr>
        <w:t xml:space="preserve"> is </w:t>
      </w:r>
      <w:r w:rsidRPr="009B5064">
        <w:rPr>
          <w:color w:val="auto"/>
        </w:rPr>
        <w:t>a central component of intimate relationships</w:t>
      </w:r>
      <w:r w:rsidR="00946373" w:rsidRPr="009B5064">
        <w:rPr>
          <w:color w:val="auto"/>
        </w:rPr>
        <w:t xml:space="preserve"> </w:t>
      </w:r>
      <w:r w:rsidR="00D52C5F" w:rsidRPr="009B5064">
        <w:rPr>
          <w:color w:val="auto"/>
        </w:rPr>
        <w:t xml:space="preserve">and has been shown to be </w:t>
      </w:r>
      <w:r w:rsidR="009F5584" w:rsidRPr="009B5064">
        <w:rPr>
          <w:color w:val="auto"/>
        </w:rPr>
        <w:t xml:space="preserve">associated with </w:t>
      </w:r>
      <w:r w:rsidR="00D52C5F" w:rsidRPr="009B5064">
        <w:rPr>
          <w:color w:val="auto"/>
          <w:lang w:val="de-DE"/>
        </w:rPr>
        <w:t>benefits for health and wellbeing</w:t>
      </w:r>
      <w:r w:rsidR="00AB7C32" w:rsidRPr="009B5064">
        <w:rPr>
          <w:color w:val="auto"/>
          <w:lang w:val="de-DE"/>
        </w:rPr>
        <w:t xml:space="preserve"> </w:t>
      </w:r>
      <w:r w:rsidR="00B27D07" w:rsidRPr="009B5064">
        <w:rPr>
          <w:color w:val="auto"/>
          <w:lang w:val="de-DE"/>
        </w:rPr>
        <w:t>[1]</w:t>
      </w:r>
      <w:r w:rsidR="003F40DF" w:rsidRPr="009B5064">
        <w:rPr>
          <w:color w:val="auto"/>
          <w:lang w:val="de-DE"/>
        </w:rPr>
        <w:t xml:space="preserve">. </w:t>
      </w:r>
      <w:r w:rsidR="00E43516" w:rsidRPr="009B5064">
        <w:rPr>
          <w:color w:val="auto"/>
        </w:rPr>
        <w:t>For example, i</w:t>
      </w:r>
      <w:r w:rsidR="00E6527C" w:rsidRPr="009B5064">
        <w:rPr>
          <w:color w:val="auto"/>
        </w:rPr>
        <w:t>n a</w:t>
      </w:r>
      <w:r w:rsidR="009F5584" w:rsidRPr="009B5064">
        <w:rPr>
          <w:color w:val="auto"/>
          <w:lang w:val="de-DE"/>
        </w:rPr>
        <w:t xml:space="preserve"> US-based </w:t>
      </w:r>
      <w:r w:rsidR="009F5584" w:rsidRPr="009B5064">
        <w:rPr>
          <w:color w:val="auto"/>
        </w:rPr>
        <w:t>study of 1,046 men and 1,158 women (aged 57-85), with a five-year follow-up, frequen</w:t>
      </w:r>
      <w:r w:rsidR="00E6527C" w:rsidRPr="009B5064">
        <w:rPr>
          <w:color w:val="auto"/>
        </w:rPr>
        <w:t>t</w:t>
      </w:r>
      <w:r w:rsidR="009F5584" w:rsidRPr="009B5064">
        <w:rPr>
          <w:color w:val="auto"/>
        </w:rPr>
        <w:t xml:space="preserve"> and </w:t>
      </w:r>
      <w:r w:rsidR="00E6527C" w:rsidRPr="009B5064">
        <w:rPr>
          <w:color w:val="auto"/>
        </w:rPr>
        <w:t>high-</w:t>
      </w:r>
      <w:r w:rsidR="009F5584" w:rsidRPr="009B5064">
        <w:rPr>
          <w:color w:val="auto"/>
          <w:lang w:val="it-IT"/>
        </w:rPr>
        <w:t>quality</w:t>
      </w:r>
      <w:r w:rsidR="009F5584" w:rsidRPr="009B5064">
        <w:rPr>
          <w:color w:val="auto"/>
        </w:rPr>
        <w:t xml:space="preserve"> sex</w:t>
      </w:r>
      <w:r w:rsidR="00E6527C" w:rsidRPr="009B5064">
        <w:rPr>
          <w:color w:val="auto"/>
        </w:rPr>
        <w:t xml:space="preserve"> was found to</w:t>
      </w:r>
      <w:r w:rsidR="009F5584" w:rsidRPr="009B5064">
        <w:rPr>
          <w:color w:val="auto"/>
        </w:rPr>
        <w:t xml:space="preserve"> protect against cardiovascular events in later life</w:t>
      </w:r>
      <w:r w:rsidR="00AB7C32" w:rsidRPr="009B5064">
        <w:rPr>
          <w:color w:val="auto"/>
        </w:rPr>
        <w:t xml:space="preserve"> </w:t>
      </w:r>
      <w:r w:rsidR="003F40DF" w:rsidRPr="009B5064">
        <w:rPr>
          <w:color w:val="auto"/>
        </w:rPr>
        <w:t xml:space="preserve">[2]. </w:t>
      </w:r>
      <w:r w:rsidR="00E6527C" w:rsidRPr="009B5064">
        <w:rPr>
          <w:color w:val="auto"/>
        </w:rPr>
        <w:t>Regular</w:t>
      </w:r>
      <w:r w:rsidR="009F5584" w:rsidRPr="009B5064">
        <w:rPr>
          <w:color w:val="auto"/>
        </w:rPr>
        <w:t xml:space="preserve"> sexual activity has also been shown to be associated with reduced risk of fatal coronary events, a</w:t>
      </w:r>
      <w:r w:rsidR="009F5584" w:rsidRPr="009B5064">
        <w:rPr>
          <w:color w:val="auto"/>
          <w:lang w:val="de-DE"/>
        </w:rPr>
        <w:t>s well as</w:t>
      </w:r>
      <w:r w:rsidR="009F5584" w:rsidRPr="009B5064">
        <w:rPr>
          <w:color w:val="auto"/>
        </w:rPr>
        <w:t xml:space="preserve"> prostate and breast cancer</w:t>
      </w:r>
      <w:r w:rsidR="003F40DF" w:rsidRPr="009B5064">
        <w:rPr>
          <w:color w:val="auto"/>
        </w:rPr>
        <w:t xml:space="preserve"> [3-5]</w:t>
      </w:r>
      <w:r w:rsidR="009F5584" w:rsidRPr="009B5064">
        <w:rPr>
          <w:color w:val="auto"/>
        </w:rPr>
        <w:t xml:space="preserve">. Moreover, </w:t>
      </w:r>
      <w:r w:rsidR="00E6527C" w:rsidRPr="009B5064">
        <w:rPr>
          <w:color w:val="auto"/>
        </w:rPr>
        <w:t xml:space="preserve">engaging in </w:t>
      </w:r>
      <w:r w:rsidR="009F5584" w:rsidRPr="009B5064">
        <w:rPr>
          <w:color w:val="auto"/>
        </w:rPr>
        <w:t xml:space="preserve">sexual activity has been shown to be beneficial for mental health. In a study of 133 older adults (mean age 74 years), both the frequency and </w:t>
      </w:r>
      <w:r w:rsidR="00244BA4" w:rsidRPr="009B5064">
        <w:rPr>
          <w:color w:val="auto"/>
        </w:rPr>
        <w:t xml:space="preserve">self-rated </w:t>
      </w:r>
      <w:r w:rsidR="009F5584" w:rsidRPr="009B5064">
        <w:rPr>
          <w:color w:val="auto"/>
        </w:rPr>
        <w:t>importance of sexual behaviors were moderately positively correlated (r = 0.52 and 0.47, respectively, both p&lt;0.001) with quality of lif</w:t>
      </w:r>
      <w:r w:rsidR="006328A6" w:rsidRPr="009B5064">
        <w:rPr>
          <w:color w:val="auto"/>
        </w:rPr>
        <w:t xml:space="preserve">e </w:t>
      </w:r>
      <w:r w:rsidR="0088129D" w:rsidRPr="009B5064">
        <w:rPr>
          <w:color w:val="auto"/>
        </w:rPr>
        <w:t xml:space="preserve">[6]. </w:t>
      </w:r>
      <w:r w:rsidR="009F5584" w:rsidRPr="009B5064">
        <w:rPr>
          <w:color w:val="auto"/>
        </w:rPr>
        <w:t>In another</w:t>
      </w:r>
      <w:r w:rsidR="00D11338" w:rsidRPr="009B5064">
        <w:rPr>
          <w:color w:val="auto"/>
        </w:rPr>
        <w:t>, larger</w:t>
      </w:r>
      <w:r w:rsidR="009F5584" w:rsidRPr="009B5064">
        <w:rPr>
          <w:color w:val="auto"/>
        </w:rPr>
        <w:t xml:space="preserve"> study </w:t>
      </w:r>
      <w:r w:rsidR="00D11338" w:rsidRPr="009B5064">
        <w:rPr>
          <w:color w:val="auto"/>
        </w:rPr>
        <w:t>(n=2,810)</w:t>
      </w:r>
      <w:r w:rsidR="009F5584" w:rsidRPr="009B5064">
        <w:rPr>
          <w:color w:val="auto"/>
        </w:rPr>
        <w:t xml:space="preserve">, the frequency of sexual intercourse was positively associated with sexual satisfaction, health, and wellbeing </w:t>
      </w:r>
      <w:r w:rsidR="0088129D" w:rsidRPr="009B5064">
        <w:rPr>
          <w:color w:val="auto"/>
        </w:rPr>
        <w:t>[7].</w:t>
      </w:r>
    </w:p>
    <w:p w14:paraId="43FADAA7" w14:textId="282E888E" w:rsidR="00DD6EA4" w:rsidRPr="009B5064" w:rsidRDefault="002776FF" w:rsidP="00CA47A2">
      <w:pPr>
        <w:pStyle w:val="Body"/>
        <w:spacing w:line="480" w:lineRule="auto"/>
        <w:rPr>
          <w:color w:val="auto"/>
        </w:rPr>
      </w:pPr>
      <w:r w:rsidRPr="009B5064">
        <w:rPr>
          <w:color w:val="auto"/>
        </w:rPr>
        <w:t>Studies have indicated</w:t>
      </w:r>
      <w:r w:rsidR="009F5584" w:rsidRPr="009B5064">
        <w:rPr>
          <w:color w:val="auto"/>
        </w:rPr>
        <w:t xml:space="preserve"> that </w:t>
      </w:r>
      <w:r w:rsidR="005B7262" w:rsidRPr="009B5064">
        <w:rPr>
          <w:color w:val="auto"/>
        </w:rPr>
        <w:t xml:space="preserve">people </w:t>
      </w:r>
      <w:r w:rsidR="00BA6B60" w:rsidRPr="009B5064">
        <w:rPr>
          <w:color w:val="auto"/>
        </w:rPr>
        <w:t>with</w:t>
      </w:r>
      <w:r w:rsidR="00E23D41" w:rsidRPr="009B5064">
        <w:rPr>
          <w:color w:val="auto"/>
        </w:rPr>
        <w:t xml:space="preserve"> physical</w:t>
      </w:r>
      <w:r w:rsidR="00BA6B60" w:rsidRPr="009B5064">
        <w:rPr>
          <w:color w:val="auto"/>
        </w:rPr>
        <w:t xml:space="preserve"> disabilities may be less likely to have active and satisfying sex lives</w:t>
      </w:r>
      <w:r w:rsidR="009F5584" w:rsidRPr="009B5064">
        <w:rPr>
          <w:color w:val="auto"/>
        </w:rPr>
        <w:t>. For instance, in a sample of 1</w:t>
      </w:r>
      <w:r w:rsidR="001A7E13" w:rsidRPr="009B5064">
        <w:rPr>
          <w:color w:val="auto"/>
        </w:rPr>
        <w:t>,</w:t>
      </w:r>
      <w:r w:rsidR="009F5584" w:rsidRPr="009B5064">
        <w:rPr>
          <w:color w:val="auto"/>
        </w:rPr>
        <w:t>196 participants (with a mean age around 36 years)</w:t>
      </w:r>
      <w:r w:rsidR="00B5568F" w:rsidRPr="009B5064">
        <w:rPr>
          <w:color w:val="auto"/>
        </w:rPr>
        <w:t>,</w:t>
      </w:r>
      <w:r w:rsidR="009F5584" w:rsidRPr="009B5064">
        <w:rPr>
          <w:color w:val="auto"/>
        </w:rPr>
        <w:t xml:space="preserve"> people with severe physical impairments experienced significantly lower levels of sexual esteem and sexual satisfaction and significantly higher levels of sexual depression than </w:t>
      </w:r>
      <w:r w:rsidR="005B7262" w:rsidRPr="009B5064">
        <w:rPr>
          <w:color w:val="auto"/>
        </w:rPr>
        <w:t xml:space="preserve">those </w:t>
      </w:r>
      <w:r w:rsidR="009F5584" w:rsidRPr="009B5064">
        <w:rPr>
          <w:color w:val="auto"/>
        </w:rPr>
        <w:t>who had mild</w:t>
      </w:r>
      <w:r w:rsidR="00B5568F" w:rsidRPr="009B5064">
        <w:rPr>
          <w:color w:val="auto"/>
        </w:rPr>
        <w:t>er</w:t>
      </w:r>
      <w:r w:rsidR="009F5584" w:rsidRPr="009B5064">
        <w:rPr>
          <w:color w:val="auto"/>
        </w:rPr>
        <w:t xml:space="preserve"> impairments or who did not report having a physical impairment</w:t>
      </w:r>
      <w:r w:rsidR="00AB7C32" w:rsidRPr="009B5064">
        <w:rPr>
          <w:color w:val="auto"/>
        </w:rPr>
        <w:t xml:space="preserve"> </w:t>
      </w:r>
      <w:r w:rsidR="0088129D" w:rsidRPr="009B5064">
        <w:rPr>
          <w:color w:val="auto"/>
        </w:rPr>
        <w:t xml:space="preserve">[8]. </w:t>
      </w:r>
      <w:r w:rsidR="009F5584" w:rsidRPr="009B5064">
        <w:rPr>
          <w:color w:val="auto"/>
        </w:rPr>
        <w:t xml:space="preserve">The </w:t>
      </w:r>
      <w:r w:rsidR="003A1E5A" w:rsidRPr="009B5064">
        <w:rPr>
          <w:color w:val="auto"/>
        </w:rPr>
        <w:t xml:space="preserve">same </w:t>
      </w:r>
      <w:r w:rsidR="009F5584" w:rsidRPr="009B5064">
        <w:rPr>
          <w:color w:val="auto"/>
        </w:rPr>
        <w:t>study also found that people with more severe physical disabilities engaged in mutual sexual activity significantly less frequent</w:t>
      </w:r>
      <w:r w:rsidR="00866B72" w:rsidRPr="009B5064">
        <w:rPr>
          <w:color w:val="auto"/>
        </w:rPr>
        <w:t>ly</w:t>
      </w:r>
      <w:r w:rsidR="00AB7C32" w:rsidRPr="009B5064">
        <w:rPr>
          <w:color w:val="auto"/>
        </w:rPr>
        <w:t xml:space="preserve"> </w:t>
      </w:r>
      <w:r w:rsidR="0088129D" w:rsidRPr="009B5064">
        <w:rPr>
          <w:color w:val="auto"/>
        </w:rPr>
        <w:t>[8]</w:t>
      </w:r>
      <w:r w:rsidR="009F5584" w:rsidRPr="009B5064">
        <w:rPr>
          <w:color w:val="auto"/>
        </w:rPr>
        <w:t xml:space="preserve">. One </w:t>
      </w:r>
      <w:proofErr w:type="gramStart"/>
      <w:r w:rsidR="009F5584" w:rsidRPr="009B5064">
        <w:rPr>
          <w:color w:val="auto"/>
        </w:rPr>
        <w:t>particular disability</w:t>
      </w:r>
      <w:proofErr w:type="gramEnd"/>
      <w:r w:rsidR="009F5584" w:rsidRPr="009B5064">
        <w:rPr>
          <w:color w:val="auto"/>
        </w:rPr>
        <w:t xml:space="preserve"> that has yet to be studied </w:t>
      </w:r>
      <w:r w:rsidR="00E23D41" w:rsidRPr="009B5064">
        <w:rPr>
          <w:color w:val="auto"/>
        </w:rPr>
        <w:t xml:space="preserve">in older adults </w:t>
      </w:r>
      <w:r w:rsidR="009F5584" w:rsidRPr="009B5064">
        <w:rPr>
          <w:color w:val="auto"/>
        </w:rPr>
        <w:t xml:space="preserve">and may present itself as a key barrier to sexual activity is reduced </w:t>
      </w:r>
      <w:r w:rsidR="005D1DDE" w:rsidRPr="009B5064">
        <w:rPr>
          <w:color w:val="auto"/>
        </w:rPr>
        <w:t>vision</w:t>
      </w:r>
      <w:r w:rsidR="009F5584" w:rsidRPr="009B5064">
        <w:rPr>
          <w:color w:val="auto"/>
        </w:rPr>
        <w:t xml:space="preserve">. This is of </w:t>
      </w:r>
      <w:proofErr w:type="gramStart"/>
      <w:r w:rsidR="009F5584" w:rsidRPr="009B5064">
        <w:rPr>
          <w:color w:val="auto"/>
        </w:rPr>
        <w:t>particular concern</w:t>
      </w:r>
      <w:proofErr w:type="gramEnd"/>
      <w:r w:rsidR="009F5584" w:rsidRPr="009B5064">
        <w:rPr>
          <w:color w:val="auto"/>
        </w:rPr>
        <w:t xml:space="preserve"> as approximately two million people in the UK are living with sight loss (defined here as partial sight or blindness in the better seeing eye)</w:t>
      </w:r>
      <w:r w:rsidR="005D1DDE" w:rsidRPr="009B5064">
        <w:rPr>
          <w:color w:val="auto"/>
        </w:rPr>
        <w:t xml:space="preserve">, </w:t>
      </w:r>
      <w:r w:rsidR="009F5584" w:rsidRPr="009B5064">
        <w:rPr>
          <w:color w:val="auto"/>
        </w:rPr>
        <w:t>and the prevalence of sight loss is on the rise</w:t>
      </w:r>
      <w:r w:rsidR="00AB7C32" w:rsidRPr="009B5064">
        <w:rPr>
          <w:color w:val="auto"/>
        </w:rPr>
        <w:t xml:space="preserve"> </w:t>
      </w:r>
      <w:r w:rsidR="0088129D" w:rsidRPr="009B5064">
        <w:rPr>
          <w:color w:val="auto"/>
        </w:rPr>
        <w:t>[9]</w:t>
      </w:r>
      <w:r w:rsidR="009F5584" w:rsidRPr="009B5064">
        <w:rPr>
          <w:color w:val="auto"/>
        </w:rPr>
        <w:t xml:space="preserve">, owing to </w:t>
      </w:r>
      <w:r w:rsidR="003A1E5A" w:rsidRPr="009B5064">
        <w:rPr>
          <w:color w:val="auto"/>
        </w:rPr>
        <w:t>an</w:t>
      </w:r>
      <w:r w:rsidR="009F5584" w:rsidRPr="009B5064">
        <w:rPr>
          <w:color w:val="auto"/>
        </w:rPr>
        <w:t xml:space="preserve"> ageing UK population</w:t>
      </w:r>
      <w:r w:rsidR="0088129D" w:rsidRPr="009B5064">
        <w:rPr>
          <w:color w:val="auto"/>
        </w:rPr>
        <w:t xml:space="preserve"> [10]. </w:t>
      </w:r>
      <w:r w:rsidR="004D4496" w:rsidRPr="009B5064">
        <w:rPr>
          <w:color w:val="auto"/>
        </w:rPr>
        <w:t xml:space="preserve">Importantly, along with a decline in </w:t>
      </w:r>
      <w:r w:rsidR="005D1DDE" w:rsidRPr="009B5064">
        <w:rPr>
          <w:color w:val="auto"/>
        </w:rPr>
        <w:t>vision</w:t>
      </w:r>
      <w:r w:rsidR="004D4496" w:rsidRPr="009B5064">
        <w:rPr>
          <w:color w:val="auto"/>
        </w:rPr>
        <w:t xml:space="preserve">, ageing is also known to be associated with </w:t>
      </w:r>
      <w:r w:rsidR="005D1DDE" w:rsidRPr="009B5064">
        <w:rPr>
          <w:color w:val="auto"/>
        </w:rPr>
        <w:t xml:space="preserve">reduced </w:t>
      </w:r>
      <w:r w:rsidR="004D4496" w:rsidRPr="009B5064">
        <w:rPr>
          <w:color w:val="auto"/>
        </w:rPr>
        <w:t xml:space="preserve">sexual activity </w:t>
      </w:r>
      <w:r w:rsidR="0088129D" w:rsidRPr="009B5064">
        <w:rPr>
          <w:color w:val="auto"/>
        </w:rPr>
        <w:t xml:space="preserve">[11]. </w:t>
      </w:r>
      <w:r w:rsidR="00DF5503" w:rsidRPr="009B5064">
        <w:rPr>
          <w:color w:val="auto"/>
        </w:rPr>
        <w:t xml:space="preserve">Studies </w:t>
      </w:r>
      <w:r w:rsidR="009F5584" w:rsidRPr="009B5064">
        <w:rPr>
          <w:color w:val="auto"/>
        </w:rPr>
        <w:t>ha</w:t>
      </w:r>
      <w:r w:rsidR="00DF5503" w:rsidRPr="009B5064">
        <w:rPr>
          <w:color w:val="auto"/>
        </w:rPr>
        <w:t>ve</w:t>
      </w:r>
      <w:r w:rsidR="009F5584" w:rsidRPr="009B5064">
        <w:rPr>
          <w:color w:val="auto"/>
        </w:rPr>
        <w:t xml:space="preserve"> shown that levels of free-living physical activity are lower in those with reduced eyesight compared to those with “normal” vision</w:t>
      </w:r>
      <w:r w:rsidR="0088129D" w:rsidRPr="009B5064">
        <w:rPr>
          <w:color w:val="auto"/>
        </w:rPr>
        <w:t xml:space="preserve"> [12]. </w:t>
      </w:r>
      <w:r w:rsidR="005D1DDE" w:rsidRPr="009B5064">
        <w:rPr>
          <w:color w:val="auto"/>
        </w:rPr>
        <w:t>Whil</w:t>
      </w:r>
      <w:r w:rsidR="005B7262" w:rsidRPr="009B5064">
        <w:rPr>
          <w:color w:val="auto"/>
        </w:rPr>
        <w:t>e</w:t>
      </w:r>
      <w:r w:rsidR="005D1DDE" w:rsidRPr="009B5064">
        <w:rPr>
          <w:color w:val="auto"/>
        </w:rPr>
        <w:t xml:space="preserve"> </w:t>
      </w:r>
      <w:r w:rsidR="005D1DDE" w:rsidRPr="009B5064">
        <w:rPr>
          <w:color w:val="auto"/>
        </w:rPr>
        <w:lastRenderedPageBreak/>
        <w:t>s</w:t>
      </w:r>
      <w:r w:rsidR="009F5584" w:rsidRPr="009B5064">
        <w:rPr>
          <w:color w:val="auto"/>
        </w:rPr>
        <w:t xml:space="preserve">exual activity has been classed as a form of physical activity, </w:t>
      </w:r>
      <w:r w:rsidR="005D1DDE" w:rsidRPr="009B5064">
        <w:rPr>
          <w:color w:val="auto"/>
        </w:rPr>
        <w:t>it</w:t>
      </w:r>
      <w:r w:rsidR="003F5039" w:rsidRPr="009B5064">
        <w:rPr>
          <w:color w:val="auto"/>
        </w:rPr>
        <w:t xml:space="preserve"> </w:t>
      </w:r>
      <w:r w:rsidR="009F5584" w:rsidRPr="009B5064">
        <w:rPr>
          <w:color w:val="auto"/>
        </w:rPr>
        <w:t>is not captured by physical activity measurement tools</w:t>
      </w:r>
      <w:r w:rsidR="005D1DDE" w:rsidRPr="009B5064">
        <w:rPr>
          <w:color w:val="auto"/>
        </w:rPr>
        <w:t xml:space="preserve">. It is </w:t>
      </w:r>
      <w:r w:rsidR="009F5584" w:rsidRPr="009B5064">
        <w:rPr>
          <w:color w:val="auto"/>
        </w:rPr>
        <w:t xml:space="preserve">likely that levels of sexual activity are low among </w:t>
      </w:r>
      <w:r w:rsidR="005B7262" w:rsidRPr="009B5064">
        <w:rPr>
          <w:color w:val="auto"/>
        </w:rPr>
        <w:t>people with</w:t>
      </w:r>
      <w:r w:rsidR="009F5584" w:rsidRPr="009B5064">
        <w:rPr>
          <w:color w:val="auto"/>
        </w:rPr>
        <w:t xml:space="preserve"> visua</w:t>
      </w:r>
      <w:r w:rsidR="005B7262" w:rsidRPr="009B5064">
        <w:rPr>
          <w:color w:val="auto"/>
        </w:rPr>
        <w:t>l</w:t>
      </w:r>
      <w:r w:rsidR="009F5584" w:rsidRPr="009B5064">
        <w:rPr>
          <w:color w:val="auto"/>
        </w:rPr>
        <w:t xml:space="preserve"> impair</w:t>
      </w:r>
      <w:r w:rsidR="005B7262" w:rsidRPr="009B5064">
        <w:rPr>
          <w:color w:val="auto"/>
        </w:rPr>
        <w:t>ment</w:t>
      </w:r>
      <w:r w:rsidR="009F5584" w:rsidRPr="009B5064">
        <w:rPr>
          <w:color w:val="auto"/>
        </w:rPr>
        <w:t xml:space="preserve">. However, to date </w:t>
      </w:r>
      <w:r w:rsidR="00DF5503" w:rsidRPr="009B5064">
        <w:rPr>
          <w:color w:val="auto"/>
        </w:rPr>
        <w:t>no studies have</w:t>
      </w:r>
      <w:r w:rsidR="009F5584" w:rsidRPr="009B5064">
        <w:rPr>
          <w:color w:val="auto"/>
        </w:rPr>
        <w:t xml:space="preserve"> investigate</w:t>
      </w:r>
      <w:r w:rsidR="00DF5503" w:rsidRPr="009B5064">
        <w:rPr>
          <w:color w:val="auto"/>
        </w:rPr>
        <w:t>d</w:t>
      </w:r>
      <w:r w:rsidR="009F5584" w:rsidRPr="009B5064">
        <w:rPr>
          <w:color w:val="auto"/>
        </w:rPr>
        <w:t xml:space="preserve"> the </w:t>
      </w:r>
      <w:r w:rsidR="00DF5503" w:rsidRPr="009B5064">
        <w:rPr>
          <w:color w:val="auto"/>
        </w:rPr>
        <w:t>relationship between</w:t>
      </w:r>
      <w:r w:rsidR="00AB7C32" w:rsidRPr="009B5064">
        <w:rPr>
          <w:color w:val="auto"/>
        </w:rPr>
        <w:t xml:space="preserve"> </w:t>
      </w:r>
      <w:r w:rsidR="003F5039" w:rsidRPr="009B5064">
        <w:rPr>
          <w:color w:val="auto"/>
        </w:rPr>
        <w:t xml:space="preserve">vision loss and </w:t>
      </w:r>
      <w:r w:rsidR="00DF5503" w:rsidRPr="009B5064">
        <w:rPr>
          <w:color w:val="auto"/>
        </w:rPr>
        <w:t>sexual activity</w:t>
      </w:r>
      <w:r w:rsidR="009F5584" w:rsidRPr="009B5064">
        <w:rPr>
          <w:color w:val="auto"/>
        </w:rPr>
        <w:t xml:space="preserve">.  </w:t>
      </w:r>
    </w:p>
    <w:p w14:paraId="09A31835" w14:textId="10B90239" w:rsidR="00DD6EA4" w:rsidRPr="009B5064" w:rsidRDefault="009F5584" w:rsidP="00CA47A2">
      <w:pPr>
        <w:pStyle w:val="Body"/>
        <w:spacing w:line="480" w:lineRule="auto"/>
        <w:rPr>
          <w:color w:val="auto"/>
        </w:rPr>
      </w:pPr>
      <w:r w:rsidRPr="009B5064">
        <w:rPr>
          <w:color w:val="auto"/>
        </w:rPr>
        <w:t xml:space="preserve">The present study </w:t>
      </w:r>
      <w:r w:rsidR="00DF5503" w:rsidRPr="009B5064">
        <w:rPr>
          <w:color w:val="auto"/>
        </w:rPr>
        <w:t xml:space="preserve">therefore </w:t>
      </w:r>
      <w:r w:rsidRPr="009B5064">
        <w:rPr>
          <w:color w:val="auto"/>
        </w:rPr>
        <w:t xml:space="preserve">aimed to compare levels of sexual activity </w:t>
      </w:r>
      <w:r w:rsidR="009C6070" w:rsidRPr="009B5064">
        <w:rPr>
          <w:color w:val="auto"/>
        </w:rPr>
        <w:t>in relation to self-rated eyesight</w:t>
      </w:r>
      <w:r w:rsidRPr="009B5064">
        <w:rPr>
          <w:color w:val="auto"/>
        </w:rPr>
        <w:t xml:space="preserve"> in a large</w:t>
      </w:r>
      <w:r w:rsidR="009C6070" w:rsidRPr="009B5064">
        <w:rPr>
          <w:color w:val="auto"/>
        </w:rPr>
        <w:t>,</w:t>
      </w:r>
      <w:r w:rsidRPr="009B5064">
        <w:rPr>
          <w:color w:val="auto"/>
        </w:rPr>
        <w:t xml:space="preserve"> representative sample of older English adults. </w:t>
      </w:r>
      <w:r w:rsidR="00CD5C84" w:rsidRPr="009B5064">
        <w:rPr>
          <w:color w:val="auto"/>
        </w:rPr>
        <w:t>Specifically, we aimed to explore whether</w:t>
      </w:r>
      <w:r w:rsidR="003A1E5A" w:rsidRPr="009B5064">
        <w:rPr>
          <w:color w:val="auto"/>
        </w:rPr>
        <w:t>:</w:t>
      </w:r>
      <w:r w:rsidR="00CD5C84" w:rsidRPr="009B5064">
        <w:rPr>
          <w:color w:val="auto"/>
        </w:rPr>
        <w:t xml:space="preserve"> (a) the prevalence of any sexual activity</w:t>
      </w:r>
      <w:r w:rsidR="003A1E5A" w:rsidRPr="009B5064">
        <w:rPr>
          <w:color w:val="auto"/>
        </w:rPr>
        <w:t>,</w:t>
      </w:r>
      <w:r w:rsidR="00CD5C84" w:rsidRPr="009B5064">
        <w:rPr>
          <w:color w:val="auto"/>
        </w:rPr>
        <w:t xml:space="preserve"> and (b) the frequency of sexual intercourse differed between individuals who rated their eyesight as excellent, very good, good, or fair-poor. We hypothesized that those who rated their sight as fair-poor would be less likely to be sexually active and would engage in less frequent sexual intercourse</w:t>
      </w:r>
      <w:r w:rsidR="00821342" w:rsidRPr="009B5064">
        <w:rPr>
          <w:color w:val="auto"/>
        </w:rPr>
        <w:t xml:space="preserve"> than those who rated their eyesight as good or </w:t>
      </w:r>
      <w:proofErr w:type="spellStart"/>
      <w:r w:rsidR="00821342" w:rsidRPr="009B5064">
        <w:rPr>
          <w:color w:val="auto"/>
        </w:rPr>
        <w:t>bettter</w:t>
      </w:r>
      <w:proofErr w:type="spellEnd"/>
      <w:r w:rsidR="00CD5C84" w:rsidRPr="009B5064">
        <w:rPr>
          <w:color w:val="auto"/>
        </w:rPr>
        <w:t>.</w:t>
      </w:r>
    </w:p>
    <w:p w14:paraId="50E44D12" w14:textId="77777777" w:rsidR="003C3D16" w:rsidRPr="009B5064" w:rsidRDefault="003C3D16" w:rsidP="00CA47A2">
      <w:pPr>
        <w:pStyle w:val="Heading2"/>
        <w:spacing w:after="288" w:line="480" w:lineRule="auto"/>
        <w:rPr>
          <w:color w:val="auto"/>
          <w:sz w:val="26"/>
          <w:szCs w:val="26"/>
        </w:rPr>
      </w:pPr>
      <w:r w:rsidRPr="009B5064">
        <w:rPr>
          <w:color w:val="auto"/>
          <w:sz w:val="26"/>
          <w:szCs w:val="26"/>
        </w:rPr>
        <w:t>Methods</w:t>
      </w:r>
    </w:p>
    <w:p w14:paraId="616D7EA2" w14:textId="77777777" w:rsidR="00DD6EA4" w:rsidRPr="009B5064" w:rsidRDefault="009F5584" w:rsidP="00CA47A2">
      <w:pPr>
        <w:pStyle w:val="Heading2"/>
        <w:spacing w:after="288" w:line="480" w:lineRule="auto"/>
        <w:rPr>
          <w:color w:val="auto"/>
          <w:sz w:val="22"/>
          <w:szCs w:val="22"/>
        </w:rPr>
      </w:pPr>
      <w:r w:rsidRPr="009B5064">
        <w:rPr>
          <w:color w:val="auto"/>
          <w:sz w:val="22"/>
          <w:szCs w:val="22"/>
        </w:rPr>
        <w:t>Study population</w:t>
      </w:r>
      <w:r w:rsidR="001139F2" w:rsidRPr="009B5064">
        <w:rPr>
          <w:color w:val="auto"/>
          <w:sz w:val="22"/>
          <w:szCs w:val="22"/>
        </w:rPr>
        <w:t xml:space="preserve"> </w:t>
      </w:r>
    </w:p>
    <w:p w14:paraId="409FF78D" w14:textId="77777777" w:rsidR="00DD6EA4" w:rsidRPr="009B5064" w:rsidRDefault="009F5584" w:rsidP="00CA47A2">
      <w:pPr>
        <w:pStyle w:val="Body"/>
        <w:spacing w:after="288" w:line="480" w:lineRule="auto"/>
        <w:rPr>
          <w:color w:val="auto"/>
        </w:rPr>
      </w:pPr>
      <w:r w:rsidRPr="009B5064">
        <w:rPr>
          <w:color w:val="auto"/>
        </w:rPr>
        <w:t>The English Longitudinal Study of Ageing (ELSA) is a population-representative longitudinal panel study of men and women aged ≥50 years living in England</w:t>
      </w:r>
      <w:r w:rsidR="0088129D" w:rsidRPr="009B5064">
        <w:rPr>
          <w:color w:val="auto"/>
        </w:rPr>
        <w:t xml:space="preserve"> [13]</w:t>
      </w:r>
      <w:r w:rsidR="001139F2" w:rsidRPr="009B5064">
        <w:rPr>
          <w:color w:val="auto"/>
        </w:rPr>
        <w:t xml:space="preserve">. </w:t>
      </w:r>
      <w:r w:rsidRPr="009B5064">
        <w:rPr>
          <w:color w:val="auto"/>
        </w:rPr>
        <w:t>Participants take part in biennial assessments, in which they complete a computer</w:t>
      </w:r>
      <w:r w:rsidR="003A1E5A" w:rsidRPr="009B5064">
        <w:rPr>
          <w:color w:val="auto"/>
        </w:rPr>
        <w:t>-</w:t>
      </w:r>
      <w:r w:rsidRPr="009B5064">
        <w:rPr>
          <w:color w:val="auto"/>
        </w:rPr>
        <w:t>assisted personal interview and self-completion questionnaires. For the purpose of the present analyses, we used data from Wave 6 (collected 2012/13)</w:t>
      </w:r>
      <w:r w:rsidR="003A1E5A" w:rsidRPr="009B5064">
        <w:rPr>
          <w:color w:val="auto"/>
        </w:rPr>
        <w:t>,</w:t>
      </w:r>
      <w:r w:rsidRPr="009B5064">
        <w:rPr>
          <w:color w:val="auto"/>
        </w:rPr>
        <w:t xml:space="preserve"> as this is the only wave to date that has included assessment of sexual activity. Of the 10,601 individuals who were interviewed in wave 6 of ELSA, 7,079 (67% of those eligible) completed the paper‐based questionnaire that included measures of sexual attitudes and behavior. We restricted our sample to those who had complete data on sexual activity, self-rated eyesight</w:t>
      </w:r>
      <w:r w:rsidR="003A1E5A" w:rsidRPr="009B5064">
        <w:rPr>
          <w:color w:val="auto"/>
        </w:rPr>
        <w:t>,</w:t>
      </w:r>
      <w:r w:rsidRPr="009B5064">
        <w:rPr>
          <w:color w:val="auto"/>
        </w:rPr>
        <w:t xml:space="preserve"> and all covariates (</w:t>
      </w:r>
      <w:r w:rsidRPr="009B5064">
        <w:rPr>
          <w:i/>
          <w:iCs/>
          <w:color w:val="auto"/>
        </w:rPr>
        <w:t>n</w:t>
      </w:r>
      <w:r w:rsidRPr="009B5064">
        <w:rPr>
          <w:color w:val="auto"/>
        </w:rPr>
        <w:t>=5,825). All participants gave full informed consent to participate in the study and ethic</w:t>
      </w:r>
      <w:r w:rsidR="003A1E5A" w:rsidRPr="009B5064">
        <w:rPr>
          <w:color w:val="auto"/>
        </w:rPr>
        <w:t>s</w:t>
      </w:r>
      <w:r w:rsidRPr="009B5064">
        <w:rPr>
          <w:color w:val="auto"/>
        </w:rPr>
        <w:t xml:space="preserve"> approval was obtained from the London Multi‐Centre Research Ethics Committee.</w:t>
      </w:r>
    </w:p>
    <w:p w14:paraId="53E8A8E0" w14:textId="77777777" w:rsidR="00DD6EA4" w:rsidRPr="009B5064" w:rsidRDefault="009F5584" w:rsidP="00CA47A2">
      <w:pPr>
        <w:pStyle w:val="Heading2"/>
        <w:spacing w:after="288" w:line="480" w:lineRule="auto"/>
        <w:rPr>
          <w:color w:val="auto"/>
          <w:sz w:val="22"/>
          <w:szCs w:val="22"/>
        </w:rPr>
      </w:pPr>
      <w:r w:rsidRPr="009B5064">
        <w:rPr>
          <w:color w:val="auto"/>
          <w:sz w:val="22"/>
          <w:szCs w:val="22"/>
          <w:lang w:val="fr-FR"/>
        </w:rPr>
        <w:lastRenderedPageBreak/>
        <w:t>Measures</w:t>
      </w:r>
    </w:p>
    <w:p w14:paraId="1FA36C3F" w14:textId="77777777" w:rsidR="00DD6EA4" w:rsidRPr="009B5064" w:rsidRDefault="009F5584" w:rsidP="00CA47A2">
      <w:pPr>
        <w:pStyle w:val="Body"/>
        <w:spacing w:after="288" w:line="480" w:lineRule="auto"/>
        <w:rPr>
          <w:color w:val="auto"/>
          <w:u w:val="single"/>
          <w:shd w:val="clear" w:color="auto" w:fill="FFFFFF"/>
        </w:rPr>
      </w:pPr>
      <w:r w:rsidRPr="009B5064">
        <w:rPr>
          <w:color w:val="auto"/>
          <w:u w:val="single"/>
          <w:shd w:val="clear" w:color="auto" w:fill="FFFFFF"/>
        </w:rPr>
        <w:t>Exposure: self-rated eyesight</w:t>
      </w:r>
    </w:p>
    <w:p w14:paraId="5B7C82AE" w14:textId="77777777" w:rsidR="001B4229" w:rsidRPr="009B5064" w:rsidRDefault="009F5584" w:rsidP="00CA47A2">
      <w:pPr>
        <w:pStyle w:val="Body"/>
        <w:spacing w:after="288" w:line="480" w:lineRule="auto"/>
        <w:rPr>
          <w:color w:val="auto"/>
        </w:rPr>
      </w:pPr>
      <w:r w:rsidRPr="009B5064">
        <w:rPr>
          <w:color w:val="auto"/>
        </w:rPr>
        <w:t>To assess self-rated eyesight, participants were asked “</w:t>
      </w:r>
      <w:r w:rsidRPr="009B5064">
        <w:rPr>
          <w:i/>
          <w:iCs/>
          <w:color w:val="auto"/>
        </w:rPr>
        <w:t>Is your eyesight (using glasses or corrective lenses; if you use them) excellent/very good/good/fair/or poor?</w:t>
      </w:r>
      <w:r w:rsidRPr="009B5064">
        <w:rPr>
          <w:color w:val="auto"/>
        </w:rPr>
        <w:t>” Based on response options, participants were then categori</w:t>
      </w:r>
      <w:r w:rsidR="003A1E5A" w:rsidRPr="009B5064">
        <w:rPr>
          <w:color w:val="auto"/>
        </w:rPr>
        <w:t>z</w:t>
      </w:r>
      <w:r w:rsidRPr="009B5064">
        <w:rPr>
          <w:color w:val="auto"/>
        </w:rPr>
        <w:t>ed into one of four groups (excellent/very good/good/fair–poor). Participants were also asked “</w:t>
      </w:r>
      <w:r w:rsidRPr="009B5064">
        <w:rPr>
          <w:i/>
          <w:iCs/>
          <w:color w:val="auto"/>
        </w:rPr>
        <w:t xml:space="preserve">How good is your eyesight for seeing things at a distance, like </w:t>
      </w:r>
      <w:proofErr w:type="spellStart"/>
      <w:r w:rsidRPr="009B5064">
        <w:rPr>
          <w:i/>
          <w:iCs/>
          <w:color w:val="auto"/>
        </w:rPr>
        <w:t>recognising</w:t>
      </w:r>
      <w:proofErr w:type="spellEnd"/>
      <w:r w:rsidRPr="009B5064">
        <w:rPr>
          <w:i/>
          <w:iCs/>
          <w:color w:val="auto"/>
        </w:rPr>
        <w:t xml:space="preserve"> a friend across the street?”</w:t>
      </w:r>
      <w:r w:rsidRPr="009B5064">
        <w:rPr>
          <w:color w:val="auto"/>
        </w:rPr>
        <w:t xml:space="preserve"> and “</w:t>
      </w:r>
      <w:r w:rsidRPr="009B5064">
        <w:rPr>
          <w:i/>
          <w:iCs/>
          <w:color w:val="auto"/>
        </w:rPr>
        <w:t>How good is your eyesight for seeing things up close, like reading ordinary newspaper print?</w:t>
      </w:r>
      <w:r w:rsidRPr="009B5064">
        <w:rPr>
          <w:color w:val="auto"/>
        </w:rPr>
        <w:t>” Response options were categori</w:t>
      </w:r>
      <w:r w:rsidR="003A1E5A" w:rsidRPr="009B5064">
        <w:rPr>
          <w:color w:val="auto"/>
        </w:rPr>
        <w:t>z</w:t>
      </w:r>
      <w:r w:rsidRPr="009B5064">
        <w:rPr>
          <w:color w:val="auto"/>
        </w:rPr>
        <w:t>ed as above (excellent/very good/good/fair–</w:t>
      </w:r>
      <w:r w:rsidRPr="009B5064">
        <w:rPr>
          <w:color w:val="auto"/>
          <w:lang w:val="nl-NL"/>
        </w:rPr>
        <w:t>poor</w:t>
      </w:r>
      <w:r w:rsidRPr="009B5064">
        <w:rPr>
          <w:color w:val="auto"/>
        </w:rPr>
        <w:t>).</w:t>
      </w:r>
    </w:p>
    <w:p w14:paraId="52AE263A" w14:textId="77777777" w:rsidR="00DD6EA4" w:rsidRPr="009B5064" w:rsidRDefault="009F5584" w:rsidP="00CA47A2">
      <w:pPr>
        <w:pStyle w:val="Body"/>
        <w:spacing w:after="288" w:line="480" w:lineRule="auto"/>
        <w:rPr>
          <w:color w:val="auto"/>
          <w:u w:val="single"/>
          <w:shd w:val="clear" w:color="auto" w:fill="FFFFFF"/>
        </w:rPr>
      </w:pPr>
      <w:r w:rsidRPr="009B5064">
        <w:rPr>
          <w:color w:val="auto"/>
          <w:u w:val="single"/>
          <w:shd w:val="clear" w:color="auto" w:fill="FFFFFF"/>
        </w:rPr>
        <w:t>Outcome: sexual activity</w:t>
      </w:r>
    </w:p>
    <w:p w14:paraId="7DFD50D0" w14:textId="77777777" w:rsidR="00DD6EA4" w:rsidRPr="009B5064" w:rsidRDefault="009F5584" w:rsidP="00CA47A2">
      <w:pPr>
        <w:pStyle w:val="Body"/>
        <w:spacing w:after="288" w:line="480" w:lineRule="auto"/>
        <w:rPr>
          <w:color w:val="auto"/>
          <w:shd w:val="clear" w:color="auto" w:fill="FFFFFF"/>
        </w:rPr>
      </w:pPr>
      <w:r w:rsidRPr="009B5064">
        <w:rPr>
          <w:color w:val="auto"/>
          <w:shd w:val="clear" w:color="auto" w:fill="FFFFFF"/>
        </w:rPr>
        <w:t xml:space="preserve">Sexual activity was assessed via two items from the </w:t>
      </w:r>
      <w:r w:rsidRPr="009B5064">
        <w:rPr>
          <w:color w:val="auto"/>
        </w:rPr>
        <w:t>Sexual Relationships and Activities Questionnaire (</w:t>
      </w:r>
      <w:r w:rsidRPr="009B5064">
        <w:rPr>
          <w:color w:val="auto"/>
          <w:shd w:val="clear" w:color="auto" w:fill="FFFFFF"/>
        </w:rPr>
        <w:t>SRA-Q). All men and women were asked “</w:t>
      </w:r>
      <w:r w:rsidRPr="009B5064">
        <w:rPr>
          <w:i/>
          <w:iCs/>
          <w:color w:val="auto"/>
        </w:rPr>
        <w:t>Have you had any sexual activity (sexual intercourse, masturbation, petting or fondling) in the past year?</w:t>
      </w:r>
      <w:r w:rsidRPr="009B5064">
        <w:rPr>
          <w:color w:val="auto"/>
        </w:rPr>
        <w:t>” (yes/no). Those who reported being sexually active in the past year were asked “</w:t>
      </w:r>
      <w:r w:rsidRPr="009B5064">
        <w:rPr>
          <w:i/>
          <w:iCs/>
          <w:color w:val="auto"/>
        </w:rPr>
        <w:t>How many times have you had or attempted sexual intercourse (vaginal, anal or oral sex) in the past month?</w:t>
      </w:r>
      <w:r w:rsidRPr="009B5064">
        <w:rPr>
          <w:color w:val="auto"/>
        </w:rPr>
        <w:t>”, with the following response options: not at all, once in the past month, 2-3 times in the past month, once a week, 2-3 times a week, once a day, more than once a day. Due to low numbers of participants endorsing the latter three response options, we combined those reporting having or attempting sexual intercourse once a week or more for analyses. The SRA-Q was administered as a self-completion questionnaire and returned in a sealed envelope. Participants were advised that all responses would be kept anonymous.</w:t>
      </w:r>
    </w:p>
    <w:p w14:paraId="7A124248" w14:textId="77777777" w:rsidR="00DD6EA4" w:rsidRPr="009B5064" w:rsidRDefault="009F5584" w:rsidP="00CA47A2">
      <w:pPr>
        <w:pStyle w:val="Body"/>
        <w:spacing w:after="288" w:line="480" w:lineRule="auto"/>
        <w:rPr>
          <w:color w:val="auto"/>
          <w:u w:val="single"/>
          <w:shd w:val="clear" w:color="auto" w:fill="FFFFFF"/>
        </w:rPr>
      </w:pPr>
      <w:r w:rsidRPr="009B5064">
        <w:rPr>
          <w:color w:val="auto"/>
          <w:u w:val="single"/>
          <w:shd w:val="clear" w:color="auto" w:fill="FFFFFF"/>
          <w:lang w:val="it-IT"/>
        </w:rPr>
        <w:t>Covariates</w:t>
      </w:r>
    </w:p>
    <w:p w14:paraId="2985B4C6" w14:textId="6D2DDB63" w:rsidR="00DD6EA4" w:rsidRPr="009B5064" w:rsidRDefault="009F5584" w:rsidP="00CA47A2">
      <w:pPr>
        <w:pStyle w:val="Body"/>
        <w:spacing w:after="288" w:line="480" w:lineRule="auto"/>
        <w:rPr>
          <w:color w:val="auto"/>
          <w:shd w:val="clear" w:color="auto" w:fill="FFFFFF"/>
        </w:rPr>
      </w:pPr>
      <w:r w:rsidRPr="009B5064">
        <w:rPr>
          <w:color w:val="auto"/>
          <w:shd w:val="clear" w:color="auto" w:fill="FFFFFF"/>
        </w:rPr>
        <w:lastRenderedPageBreak/>
        <w:t xml:space="preserve">All covariates were selected </w:t>
      </w:r>
      <w:r w:rsidRPr="009B5064">
        <w:rPr>
          <w:i/>
          <w:iCs/>
          <w:color w:val="auto"/>
          <w:shd w:val="clear" w:color="auto" w:fill="FFFFFF"/>
          <w:lang w:val="it-IT"/>
        </w:rPr>
        <w:t>a priori</w:t>
      </w:r>
      <w:r w:rsidRPr="009B5064">
        <w:rPr>
          <w:color w:val="auto"/>
          <w:shd w:val="clear" w:color="auto" w:fill="FFFFFF"/>
        </w:rPr>
        <w:t>. Age, sex, ethnicity (</w:t>
      </w:r>
      <w:r w:rsidR="003B637F" w:rsidRPr="009B5064">
        <w:rPr>
          <w:color w:val="auto"/>
          <w:shd w:val="clear" w:color="auto" w:fill="FFFFFF"/>
        </w:rPr>
        <w:t>white vs. non-white</w:t>
      </w:r>
      <w:r w:rsidRPr="009B5064">
        <w:rPr>
          <w:color w:val="auto"/>
          <w:shd w:val="clear" w:color="auto" w:fill="FFFFFF"/>
        </w:rPr>
        <w:t>)</w:t>
      </w:r>
      <w:r w:rsidR="003A1E5A" w:rsidRPr="009B5064">
        <w:rPr>
          <w:color w:val="auto"/>
          <w:shd w:val="clear" w:color="auto" w:fill="FFFFFF"/>
        </w:rPr>
        <w:t>,</w:t>
      </w:r>
      <w:r w:rsidRPr="009B5064">
        <w:rPr>
          <w:color w:val="auto"/>
          <w:shd w:val="clear" w:color="auto" w:fill="FFFFFF"/>
        </w:rPr>
        <w:t xml:space="preserve"> and partner status (married/cohabiting, separated/divorced, widowed, or single/never married) were self-reported. Socioeconomic status was indexed using household non-pension wealth quintile (calculated across all ELSA Wave 6 participants), a measure shown to be particularly sensitive in this age group</w:t>
      </w:r>
      <w:r w:rsidR="001139F2" w:rsidRPr="009B5064">
        <w:rPr>
          <w:color w:val="auto"/>
          <w:shd w:val="clear" w:color="auto" w:fill="FFFFFF"/>
        </w:rPr>
        <w:t xml:space="preserve"> </w:t>
      </w:r>
      <w:r w:rsidR="001139F2" w:rsidRPr="009B5064">
        <w:rPr>
          <w:color w:val="auto"/>
        </w:rPr>
        <w:t>[14]</w:t>
      </w:r>
      <w:r w:rsidRPr="009B5064">
        <w:rPr>
          <w:color w:val="auto"/>
          <w:shd w:val="clear" w:color="auto" w:fill="FFFFFF"/>
        </w:rPr>
        <w:t>.</w:t>
      </w:r>
    </w:p>
    <w:p w14:paraId="0974EA12" w14:textId="77777777" w:rsidR="00DD6EA4" w:rsidRPr="009B5064" w:rsidRDefault="009F5584" w:rsidP="00CA47A2">
      <w:pPr>
        <w:pStyle w:val="Body"/>
        <w:spacing w:after="288" w:line="480" w:lineRule="auto"/>
        <w:rPr>
          <w:color w:val="auto"/>
          <w:shd w:val="clear" w:color="auto" w:fill="FFFFFF"/>
        </w:rPr>
      </w:pPr>
      <w:r w:rsidRPr="009B5064">
        <w:rPr>
          <w:color w:val="auto"/>
          <w:shd w:val="clear" w:color="auto" w:fill="FFFFFF"/>
        </w:rPr>
        <w:t>Trained interviewers asked participants about their smoking status (smoker vs. non-smoker), alcohol intake (categori</w:t>
      </w:r>
      <w:r w:rsidR="003A1E5A" w:rsidRPr="009B5064">
        <w:rPr>
          <w:color w:val="auto"/>
          <w:shd w:val="clear" w:color="auto" w:fill="FFFFFF"/>
        </w:rPr>
        <w:t>z</w:t>
      </w:r>
      <w:r w:rsidRPr="009B5064">
        <w:rPr>
          <w:color w:val="auto"/>
          <w:shd w:val="clear" w:color="auto" w:fill="FFFFFF"/>
        </w:rPr>
        <w:t>ed as: never/rarely [never – once or twice a year], regularly [once every couple of months – twice a week], or frequently [3 days a week – almost every day]</w:t>
      </w:r>
      <w:r w:rsidR="001139F2" w:rsidRPr="009B5064">
        <w:rPr>
          <w:color w:val="auto"/>
          <w:shd w:val="clear" w:color="auto" w:fill="FFFFFF"/>
        </w:rPr>
        <w:t xml:space="preserve"> </w:t>
      </w:r>
      <w:r w:rsidR="001139F2" w:rsidRPr="009B5064">
        <w:rPr>
          <w:color w:val="auto"/>
        </w:rPr>
        <w:t>[15]</w:t>
      </w:r>
      <w:r w:rsidRPr="009B5064">
        <w:rPr>
          <w:color w:val="auto"/>
          <w:shd w:val="clear" w:color="auto" w:fill="FFFFFF"/>
        </w:rPr>
        <w:t>), physical activity (categori</w:t>
      </w:r>
      <w:r w:rsidR="003A1E5A" w:rsidRPr="009B5064">
        <w:rPr>
          <w:color w:val="auto"/>
          <w:shd w:val="clear" w:color="auto" w:fill="FFFFFF"/>
        </w:rPr>
        <w:t>z</w:t>
      </w:r>
      <w:r w:rsidRPr="009B5064">
        <w:rPr>
          <w:color w:val="auto"/>
          <w:shd w:val="clear" w:color="auto" w:fill="FFFFFF"/>
        </w:rPr>
        <w:t>ed as: inactive [no moderate/vigorous activity on a weekly basis], moderate activity at least once a week, and vigorous activity at least once a week</w:t>
      </w:r>
      <w:r w:rsidR="001139F2" w:rsidRPr="009B5064">
        <w:rPr>
          <w:color w:val="auto"/>
          <w:shd w:val="clear" w:color="auto" w:fill="FFFFFF"/>
        </w:rPr>
        <w:t xml:space="preserve"> </w:t>
      </w:r>
      <w:r w:rsidR="001139F2" w:rsidRPr="009B5064">
        <w:rPr>
          <w:color w:val="auto"/>
        </w:rPr>
        <w:t>[16]</w:t>
      </w:r>
      <w:r w:rsidRPr="009B5064">
        <w:rPr>
          <w:color w:val="auto"/>
          <w:shd w:val="clear" w:color="auto" w:fill="FFFFFF"/>
        </w:rPr>
        <w:t>), depressive symptoms (using the eight-item Centre for Epidemiological Studies Depression Scale</w:t>
      </w:r>
      <w:r w:rsidR="001139F2" w:rsidRPr="009B5064">
        <w:rPr>
          <w:color w:val="auto"/>
          <w:shd w:val="clear" w:color="auto" w:fill="FFFFFF"/>
        </w:rPr>
        <w:t xml:space="preserve"> </w:t>
      </w:r>
      <w:r w:rsidR="001139F2" w:rsidRPr="009B5064">
        <w:rPr>
          <w:color w:val="auto"/>
        </w:rPr>
        <w:t>[17]</w:t>
      </w:r>
      <w:r w:rsidRPr="009B5064">
        <w:rPr>
          <w:color w:val="auto"/>
          <w:shd w:val="clear" w:color="auto" w:fill="FFFFFF"/>
        </w:rPr>
        <w:t xml:space="preserve">), history of </w:t>
      </w:r>
      <w:r w:rsidR="003A1E5A" w:rsidRPr="009B5064">
        <w:rPr>
          <w:color w:val="auto"/>
          <w:shd w:val="clear" w:color="auto" w:fill="FFFFFF"/>
        </w:rPr>
        <w:t xml:space="preserve">cardiovascular disease (CVD; </w:t>
      </w:r>
      <w:r w:rsidRPr="009B5064">
        <w:rPr>
          <w:color w:val="auto"/>
          <w:shd w:val="clear" w:color="auto" w:fill="FFFFFF"/>
        </w:rPr>
        <w:t>angina, heart attack, stroke, hypertension), history of diabetes, and history of eye disease (glaucoma, diabetic eye disease, macular degeneration, cataract).</w:t>
      </w:r>
    </w:p>
    <w:p w14:paraId="65447BB8" w14:textId="77777777" w:rsidR="00DD6EA4" w:rsidRPr="009B5064" w:rsidRDefault="009F5584" w:rsidP="00CA47A2">
      <w:pPr>
        <w:pStyle w:val="Heading2"/>
        <w:spacing w:after="288" w:line="480" w:lineRule="auto"/>
        <w:rPr>
          <w:color w:val="auto"/>
          <w:sz w:val="22"/>
          <w:szCs w:val="22"/>
        </w:rPr>
      </w:pPr>
      <w:r w:rsidRPr="009B5064">
        <w:rPr>
          <w:color w:val="auto"/>
          <w:sz w:val="22"/>
          <w:szCs w:val="22"/>
        </w:rPr>
        <w:t>Statistical analysis</w:t>
      </w:r>
    </w:p>
    <w:p w14:paraId="0F4B311E" w14:textId="77777777" w:rsidR="00DD6EA4" w:rsidRPr="009B5064" w:rsidRDefault="009F5584" w:rsidP="00CA47A2">
      <w:pPr>
        <w:pStyle w:val="Body"/>
        <w:spacing w:after="288" w:line="480" w:lineRule="auto"/>
        <w:rPr>
          <w:rStyle w:val="Hyperlink3"/>
          <w:color w:val="auto"/>
        </w:rPr>
      </w:pPr>
      <w:r w:rsidRPr="009B5064">
        <w:rPr>
          <w:color w:val="auto"/>
          <w:shd w:val="clear" w:color="auto" w:fill="FFFFFF"/>
        </w:rPr>
        <w:t>Analyses were performed using IBM SPSS Statistics 25. Data were weighted to correct for sampling probabilities and for differential non-response and to calibrate back to the 2011 National Census population distributions for age and sex. The weights accounted for the differential probability of being included in wave 6 of ELSA and for non-response to the SRA‐Q. Details can be found at </w:t>
      </w:r>
      <w:hyperlink r:id="rId7" w:history="1">
        <w:r w:rsidRPr="009B5064">
          <w:rPr>
            <w:rStyle w:val="Hyperlink2"/>
            <w:color w:val="auto"/>
          </w:rPr>
          <w:t>http://doc.ukdataservice.ac.uk/doc/</w:t>
        </w:r>
      </w:hyperlink>
      <w:r w:rsidRPr="009B5064">
        <w:rPr>
          <w:rStyle w:val="None"/>
          <w:color w:val="auto"/>
          <w:shd w:val="clear" w:color="auto" w:fill="FFFFFF"/>
        </w:rPr>
        <w:t>5050</w:t>
      </w:r>
      <w:hyperlink r:id="rId8" w:history="1">
        <w:r w:rsidRPr="009B5064">
          <w:rPr>
            <w:rStyle w:val="Hyperlink3"/>
            <w:color w:val="auto"/>
          </w:rPr>
          <w:t>/mrdoc/pdf/</w:t>
        </w:r>
      </w:hyperlink>
      <w:r w:rsidRPr="009B5064">
        <w:rPr>
          <w:rStyle w:val="Hyperlink3"/>
          <w:color w:val="auto"/>
        </w:rPr>
        <w:t>5050</w:t>
      </w:r>
      <w:hyperlink r:id="rId9" w:history="1">
        <w:r w:rsidRPr="009B5064">
          <w:rPr>
            <w:rStyle w:val="Hyperlink3"/>
            <w:color w:val="auto"/>
          </w:rPr>
          <w:t>_elsa_w6_technical_report_v1.pdf</w:t>
        </w:r>
      </w:hyperlink>
      <w:r w:rsidRPr="009B5064">
        <w:rPr>
          <w:rStyle w:val="Hyperlink3"/>
          <w:color w:val="auto"/>
        </w:rPr>
        <w:t>.</w:t>
      </w:r>
    </w:p>
    <w:p w14:paraId="52A7F542" w14:textId="32EB3611" w:rsidR="00DD6EA4" w:rsidRPr="009B5064" w:rsidRDefault="009F5584" w:rsidP="00CA47A2">
      <w:pPr>
        <w:pStyle w:val="Body"/>
        <w:spacing w:after="288" w:line="480" w:lineRule="auto"/>
        <w:rPr>
          <w:color w:val="auto"/>
        </w:rPr>
      </w:pPr>
      <w:r w:rsidRPr="009B5064">
        <w:rPr>
          <w:color w:val="auto"/>
        </w:rPr>
        <w:t>Associations between visual impairment and (</w:t>
      </w:r>
      <w:proofErr w:type="spellStart"/>
      <w:r w:rsidRPr="009B5064">
        <w:rPr>
          <w:color w:val="auto"/>
        </w:rPr>
        <w:t>i</w:t>
      </w:r>
      <w:proofErr w:type="spellEnd"/>
      <w:r w:rsidRPr="009B5064">
        <w:rPr>
          <w:color w:val="auto"/>
        </w:rPr>
        <w:t>) covariates</w:t>
      </w:r>
      <w:r w:rsidR="003A1E5A" w:rsidRPr="009B5064">
        <w:rPr>
          <w:color w:val="auto"/>
        </w:rPr>
        <w:t>,</w:t>
      </w:r>
      <w:r w:rsidRPr="009B5064">
        <w:rPr>
          <w:color w:val="auto"/>
        </w:rPr>
        <w:t xml:space="preserve"> and (ii) sexual activity were assessed using one-way analyses of variance (ANOVAs) for continuous variables and chi-square tests for categorical variables. Multivariable logistic regression models were used to analy</w:t>
      </w:r>
      <w:r w:rsidR="003A1E5A" w:rsidRPr="009B5064">
        <w:rPr>
          <w:color w:val="auto"/>
        </w:rPr>
        <w:t>z</w:t>
      </w:r>
      <w:r w:rsidRPr="009B5064">
        <w:rPr>
          <w:color w:val="auto"/>
        </w:rPr>
        <w:t xml:space="preserve">e independent associations between </w:t>
      </w:r>
      <w:r w:rsidR="003B637F" w:rsidRPr="009B5064">
        <w:rPr>
          <w:color w:val="auto"/>
        </w:rPr>
        <w:t>self-rated eyesight</w:t>
      </w:r>
      <w:r w:rsidRPr="009B5064">
        <w:rPr>
          <w:color w:val="auto"/>
        </w:rPr>
        <w:t xml:space="preserve"> </w:t>
      </w:r>
      <w:r w:rsidR="001A749A" w:rsidRPr="009B5064">
        <w:rPr>
          <w:color w:val="auto"/>
        </w:rPr>
        <w:t xml:space="preserve">(as a four-level variable as described above and a binary variable comparing fair-poor with all other ratings) </w:t>
      </w:r>
      <w:r w:rsidRPr="009B5064">
        <w:rPr>
          <w:color w:val="auto"/>
        </w:rPr>
        <w:t xml:space="preserve">and sexual activity, adjusting for age, partner status, ethnicity, wealth, smoking status, alcohol intake, physical activity, depressive symptoms, and </w:t>
      </w:r>
      <w:r w:rsidRPr="009B5064">
        <w:rPr>
          <w:color w:val="auto"/>
        </w:rPr>
        <w:lastRenderedPageBreak/>
        <w:t>history of CVD, diabetes</w:t>
      </w:r>
      <w:r w:rsidR="003A1E5A" w:rsidRPr="009B5064">
        <w:rPr>
          <w:color w:val="auto"/>
        </w:rPr>
        <w:t>,</w:t>
      </w:r>
      <w:r w:rsidRPr="009B5064">
        <w:rPr>
          <w:color w:val="auto"/>
        </w:rPr>
        <w:t xml:space="preserve"> and eye disease. We used binary logistic regression to analy</w:t>
      </w:r>
      <w:r w:rsidR="003A1E5A" w:rsidRPr="009B5064">
        <w:rPr>
          <w:color w:val="auto"/>
        </w:rPr>
        <w:t>z</w:t>
      </w:r>
      <w:r w:rsidRPr="009B5064">
        <w:rPr>
          <w:color w:val="auto"/>
        </w:rPr>
        <w:t>e data on any sexual activity in the past year in the whole sample and ordinal logistic regression to analy</w:t>
      </w:r>
      <w:r w:rsidR="003A1E5A" w:rsidRPr="009B5064">
        <w:rPr>
          <w:color w:val="auto"/>
        </w:rPr>
        <w:t>z</w:t>
      </w:r>
      <w:r w:rsidRPr="009B5064">
        <w:rPr>
          <w:color w:val="auto"/>
        </w:rPr>
        <w:t xml:space="preserve">e the frequency of sexual activity in the past month among those who were sexually active. All analyses were performed separately for men and women, with a </w:t>
      </w:r>
      <w:r w:rsidRPr="009B5064">
        <w:rPr>
          <w:rStyle w:val="None"/>
          <w:i/>
          <w:iCs/>
          <w:color w:val="auto"/>
        </w:rPr>
        <w:t>p</w:t>
      </w:r>
      <w:r w:rsidRPr="009B5064">
        <w:rPr>
          <w:color w:val="auto"/>
        </w:rPr>
        <w:t>-value &lt;0.05 indicating statistical significance.</w:t>
      </w:r>
    </w:p>
    <w:p w14:paraId="1078C902" w14:textId="77777777" w:rsidR="00DD6EA4" w:rsidRPr="009B5064" w:rsidRDefault="00DD6EA4" w:rsidP="00CA47A2">
      <w:pPr>
        <w:pStyle w:val="Body"/>
        <w:spacing w:after="288" w:line="480" w:lineRule="auto"/>
        <w:rPr>
          <w:b/>
          <w:bCs/>
          <w:color w:val="auto"/>
        </w:rPr>
      </w:pPr>
    </w:p>
    <w:p w14:paraId="04C41803" w14:textId="77777777" w:rsidR="00DD6EA4" w:rsidRPr="009B5064" w:rsidRDefault="009F5584" w:rsidP="00CA47A2">
      <w:pPr>
        <w:pStyle w:val="Heading"/>
        <w:spacing w:line="480" w:lineRule="auto"/>
        <w:rPr>
          <w:color w:val="auto"/>
        </w:rPr>
      </w:pPr>
      <w:r w:rsidRPr="009B5064">
        <w:rPr>
          <w:color w:val="auto"/>
        </w:rPr>
        <w:t>Results</w:t>
      </w:r>
    </w:p>
    <w:p w14:paraId="71D9ED19" w14:textId="258176BC" w:rsidR="00DD6EA4" w:rsidRPr="009B5064" w:rsidRDefault="009F5584" w:rsidP="00CA47A2">
      <w:pPr>
        <w:pStyle w:val="Body"/>
        <w:spacing w:line="480" w:lineRule="auto"/>
        <w:rPr>
          <w:color w:val="auto"/>
        </w:rPr>
      </w:pPr>
      <w:r w:rsidRPr="009B5064">
        <w:rPr>
          <w:color w:val="auto"/>
        </w:rPr>
        <w:t>Complete data were available for 2,587 men and 3,238 women. Sample characteristics are summari</w:t>
      </w:r>
      <w:r w:rsidR="003A1E5A" w:rsidRPr="009B5064">
        <w:rPr>
          <w:color w:val="auto"/>
        </w:rPr>
        <w:t>z</w:t>
      </w:r>
      <w:r w:rsidRPr="009B5064">
        <w:rPr>
          <w:color w:val="auto"/>
        </w:rPr>
        <w:t>ed in Table 1. A total of 17.3%, 35.0%, 38.1%</w:t>
      </w:r>
      <w:r w:rsidR="003A1E5A" w:rsidRPr="009B5064">
        <w:rPr>
          <w:color w:val="auto"/>
        </w:rPr>
        <w:t>,</w:t>
      </w:r>
      <w:r w:rsidRPr="009B5064">
        <w:rPr>
          <w:color w:val="auto"/>
        </w:rPr>
        <w:t xml:space="preserve"> and 9.6% of men and 13.6%, 34.9%, 39.4%</w:t>
      </w:r>
      <w:r w:rsidR="003A1E5A" w:rsidRPr="009B5064">
        <w:rPr>
          <w:color w:val="auto"/>
        </w:rPr>
        <w:t>,</w:t>
      </w:r>
      <w:r w:rsidRPr="009B5064">
        <w:rPr>
          <w:color w:val="auto"/>
        </w:rPr>
        <w:t xml:space="preserve"> and 12.0% of women rated their eyesight as excellent, very good, good</w:t>
      </w:r>
      <w:r w:rsidR="003A1E5A" w:rsidRPr="009B5064">
        <w:rPr>
          <w:color w:val="auto"/>
        </w:rPr>
        <w:t>,</w:t>
      </w:r>
      <w:r w:rsidRPr="009B5064">
        <w:rPr>
          <w:color w:val="auto"/>
        </w:rPr>
        <w:t xml:space="preserve"> and fair–poor, respectively.</w:t>
      </w:r>
      <w:r w:rsidR="003F5039" w:rsidRPr="009B5064">
        <w:rPr>
          <w:color w:val="auto"/>
        </w:rPr>
        <w:t xml:space="preserve"> </w:t>
      </w:r>
      <w:r w:rsidRPr="009B5064">
        <w:rPr>
          <w:color w:val="auto"/>
        </w:rPr>
        <w:t xml:space="preserve">Those with fair–poor self-rated eyesight </w:t>
      </w:r>
      <w:proofErr w:type="gramStart"/>
      <w:r w:rsidRPr="009B5064">
        <w:rPr>
          <w:color w:val="auto"/>
        </w:rPr>
        <w:t>were</w:t>
      </w:r>
      <w:proofErr w:type="gramEnd"/>
      <w:r w:rsidRPr="009B5064">
        <w:rPr>
          <w:color w:val="auto"/>
        </w:rPr>
        <w:t xml:space="preserve"> older (</w:t>
      </w:r>
      <w:r w:rsidRPr="009B5064">
        <w:rPr>
          <w:rStyle w:val="None"/>
          <w:i/>
          <w:iCs/>
          <w:color w:val="auto"/>
        </w:rPr>
        <w:t>p</w:t>
      </w:r>
      <w:r w:rsidRPr="009B5064">
        <w:rPr>
          <w:color w:val="auto"/>
        </w:rPr>
        <w:t>&lt;0.001)</w:t>
      </w:r>
      <w:r w:rsidR="003A1E5A" w:rsidRPr="009B5064">
        <w:rPr>
          <w:color w:val="auto"/>
        </w:rPr>
        <w:t>,</w:t>
      </w:r>
      <w:r w:rsidRPr="009B5064">
        <w:rPr>
          <w:color w:val="auto"/>
        </w:rPr>
        <w:t xml:space="preserve"> less wealthy (</w:t>
      </w:r>
      <w:r w:rsidRPr="009B5064">
        <w:rPr>
          <w:rStyle w:val="None"/>
          <w:i/>
          <w:iCs/>
          <w:color w:val="auto"/>
        </w:rPr>
        <w:t>p</w:t>
      </w:r>
      <w:r w:rsidRPr="009B5064">
        <w:rPr>
          <w:color w:val="auto"/>
        </w:rPr>
        <w:t>&lt;0.001)</w:t>
      </w:r>
      <w:r w:rsidR="003A1E5A" w:rsidRPr="009B5064">
        <w:rPr>
          <w:color w:val="auto"/>
        </w:rPr>
        <w:t>,</w:t>
      </w:r>
      <w:r w:rsidRPr="009B5064">
        <w:rPr>
          <w:color w:val="auto"/>
        </w:rPr>
        <w:t xml:space="preserve"> and less likely to be married (</w:t>
      </w:r>
      <w:r w:rsidRPr="009B5064">
        <w:rPr>
          <w:rStyle w:val="None"/>
          <w:i/>
          <w:iCs/>
          <w:color w:val="auto"/>
        </w:rPr>
        <w:t>p</w:t>
      </w:r>
      <w:r w:rsidRPr="009B5064">
        <w:rPr>
          <w:color w:val="auto"/>
        </w:rPr>
        <w:t xml:space="preserve">&lt;0.001) or </w:t>
      </w:r>
      <w:r w:rsidR="001A749A" w:rsidRPr="009B5064">
        <w:rPr>
          <w:color w:val="auto"/>
        </w:rPr>
        <w:t>w</w:t>
      </w:r>
      <w:r w:rsidRPr="009B5064">
        <w:rPr>
          <w:color w:val="auto"/>
        </w:rPr>
        <w:t>hite (</w:t>
      </w:r>
      <w:r w:rsidRPr="009B5064">
        <w:rPr>
          <w:rStyle w:val="None"/>
          <w:i/>
          <w:iCs/>
          <w:color w:val="auto"/>
        </w:rPr>
        <w:t>p</w:t>
      </w:r>
      <w:r w:rsidRPr="009B5064">
        <w:rPr>
          <w:color w:val="auto"/>
        </w:rPr>
        <w:t xml:space="preserve">=0.011 men, </w:t>
      </w:r>
      <w:r w:rsidRPr="009B5064">
        <w:rPr>
          <w:rStyle w:val="None"/>
          <w:i/>
          <w:iCs/>
          <w:color w:val="auto"/>
        </w:rPr>
        <w:t>p</w:t>
      </w:r>
      <w:r w:rsidRPr="009B5064">
        <w:rPr>
          <w:color w:val="auto"/>
        </w:rPr>
        <w:t>&lt;0.001 women). They also had the highest prevalence of smoking (</w:t>
      </w:r>
      <w:r w:rsidRPr="009B5064">
        <w:rPr>
          <w:rStyle w:val="None"/>
          <w:i/>
          <w:iCs/>
          <w:color w:val="auto"/>
        </w:rPr>
        <w:t>p</w:t>
      </w:r>
      <w:r w:rsidRPr="009B5064">
        <w:rPr>
          <w:color w:val="auto"/>
        </w:rPr>
        <w:t>&lt;0.001), physical inactivity (</w:t>
      </w:r>
      <w:r w:rsidRPr="009B5064">
        <w:rPr>
          <w:rStyle w:val="None"/>
          <w:i/>
          <w:iCs/>
          <w:color w:val="auto"/>
        </w:rPr>
        <w:t>p</w:t>
      </w:r>
      <w:r w:rsidRPr="009B5064">
        <w:rPr>
          <w:color w:val="auto"/>
        </w:rPr>
        <w:t>&lt;0.001), history of CVD (</w:t>
      </w:r>
      <w:r w:rsidRPr="009B5064">
        <w:rPr>
          <w:rStyle w:val="None"/>
          <w:i/>
          <w:iCs/>
          <w:color w:val="auto"/>
        </w:rPr>
        <w:t>p</w:t>
      </w:r>
      <w:r w:rsidRPr="009B5064">
        <w:rPr>
          <w:color w:val="auto"/>
        </w:rPr>
        <w:t>&lt;0.001), history of diabetes (</w:t>
      </w:r>
      <w:r w:rsidRPr="009B5064">
        <w:rPr>
          <w:rStyle w:val="None"/>
          <w:i/>
          <w:iCs/>
          <w:color w:val="auto"/>
        </w:rPr>
        <w:t>p</w:t>
      </w:r>
      <w:r w:rsidRPr="009B5064">
        <w:rPr>
          <w:color w:val="auto"/>
        </w:rPr>
        <w:t>&lt;0.001)</w:t>
      </w:r>
      <w:r w:rsidR="007A5166" w:rsidRPr="009B5064">
        <w:rPr>
          <w:color w:val="auto"/>
        </w:rPr>
        <w:t>,</w:t>
      </w:r>
      <w:r w:rsidRPr="009B5064">
        <w:rPr>
          <w:color w:val="auto"/>
        </w:rPr>
        <w:t xml:space="preserve"> and history of eye disease (</w:t>
      </w:r>
      <w:r w:rsidRPr="009B5064">
        <w:rPr>
          <w:rStyle w:val="None"/>
          <w:i/>
          <w:iCs/>
          <w:color w:val="auto"/>
        </w:rPr>
        <w:t>p</w:t>
      </w:r>
      <w:r w:rsidRPr="009B5064">
        <w:rPr>
          <w:color w:val="auto"/>
        </w:rPr>
        <w:t>&lt;0.001)</w:t>
      </w:r>
      <w:r w:rsidR="007A5166" w:rsidRPr="009B5064">
        <w:rPr>
          <w:color w:val="auto"/>
        </w:rPr>
        <w:t>,</w:t>
      </w:r>
      <w:r w:rsidRPr="009B5064">
        <w:rPr>
          <w:color w:val="auto"/>
        </w:rPr>
        <w:t xml:space="preserve"> and the highest mean number of depressive symptoms (</w:t>
      </w:r>
      <w:r w:rsidRPr="009B5064">
        <w:rPr>
          <w:rStyle w:val="None"/>
          <w:i/>
          <w:iCs/>
          <w:color w:val="auto"/>
        </w:rPr>
        <w:t>p</w:t>
      </w:r>
      <w:r w:rsidRPr="009B5064">
        <w:rPr>
          <w:color w:val="auto"/>
        </w:rPr>
        <w:t>&lt;0.001), but reported less frequent alcohol intake (</w:t>
      </w:r>
      <w:r w:rsidRPr="009B5064">
        <w:rPr>
          <w:rStyle w:val="None"/>
          <w:i/>
          <w:iCs/>
          <w:color w:val="auto"/>
        </w:rPr>
        <w:t>p</w:t>
      </w:r>
      <w:r w:rsidRPr="009B5064">
        <w:rPr>
          <w:color w:val="auto"/>
        </w:rPr>
        <w:t>&lt;0.001).</w:t>
      </w:r>
    </w:p>
    <w:p w14:paraId="5069D942" w14:textId="77777777" w:rsidR="00DD6EA4" w:rsidRPr="009B5064" w:rsidRDefault="009F5584" w:rsidP="00CA47A2">
      <w:pPr>
        <w:pStyle w:val="Body"/>
        <w:spacing w:line="480" w:lineRule="auto"/>
        <w:rPr>
          <w:color w:val="auto"/>
        </w:rPr>
      </w:pPr>
      <w:r w:rsidRPr="009B5064">
        <w:rPr>
          <w:color w:val="auto"/>
        </w:rPr>
        <w:t xml:space="preserve">Compared with other self-rated eyesight groups, the prevalence of any sexual activity in the last year was highest in the group who rated their eyesight as excellent (87.1% of men, 63.6% of women) and lowest in the group who rated their eyesight as fair or poor (56.7% of men, 38.0% of women; </w:t>
      </w:r>
      <w:r w:rsidRPr="009B5064">
        <w:rPr>
          <w:rStyle w:val="None"/>
          <w:i/>
          <w:iCs/>
          <w:color w:val="auto"/>
        </w:rPr>
        <w:t>p</w:t>
      </w:r>
      <w:r w:rsidRPr="009B5064">
        <w:rPr>
          <w:color w:val="auto"/>
        </w:rPr>
        <w:t xml:space="preserve">&lt;0.001). Among those who were sexually active, the proportion of men who reported no sexual intercourse in the last month was lowest in the group who rated their eyesight as excellent (31.8%) and highest in the group who rated their eyesight as fair or poor (48.1%; </w:t>
      </w:r>
      <w:r w:rsidRPr="009B5064">
        <w:rPr>
          <w:rStyle w:val="None"/>
          <w:i/>
          <w:iCs/>
          <w:color w:val="auto"/>
        </w:rPr>
        <w:t>p</w:t>
      </w:r>
      <w:r w:rsidRPr="009B5064">
        <w:rPr>
          <w:color w:val="auto"/>
        </w:rPr>
        <w:t xml:space="preserve">=0.002). The proportion of women who reported sexual intercourse once a week or more was highest in the group who rated their eyesight as excellent (29.3%) and lowest in the group who rated their eyesight as fair or poor (15.9%; </w:t>
      </w:r>
      <w:r w:rsidRPr="009B5064">
        <w:rPr>
          <w:rStyle w:val="None"/>
          <w:i/>
          <w:iCs/>
          <w:color w:val="auto"/>
        </w:rPr>
        <w:t>p</w:t>
      </w:r>
      <w:r w:rsidRPr="009B5064">
        <w:rPr>
          <w:color w:val="auto"/>
        </w:rPr>
        <w:t>=0.001) (</w:t>
      </w:r>
      <w:hyperlink r:id="rId10" w:anchor="T1" w:history="1">
        <w:r w:rsidRPr="009B5064">
          <w:rPr>
            <w:color w:val="auto"/>
          </w:rPr>
          <w:t>Table</w:t>
        </w:r>
      </w:hyperlink>
      <w:r w:rsidRPr="009B5064">
        <w:rPr>
          <w:color w:val="auto"/>
        </w:rPr>
        <w:t xml:space="preserve"> 1).</w:t>
      </w:r>
    </w:p>
    <w:p w14:paraId="07C09884" w14:textId="3123170E" w:rsidR="00DD6EA4" w:rsidRPr="009B5064" w:rsidRDefault="009F5584" w:rsidP="00CA47A2">
      <w:pPr>
        <w:pStyle w:val="Body"/>
        <w:spacing w:line="480" w:lineRule="auto"/>
        <w:rPr>
          <w:rStyle w:val="Hyperlink3"/>
          <w:color w:val="auto"/>
        </w:rPr>
      </w:pPr>
      <w:r w:rsidRPr="009B5064">
        <w:rPr>
          <w:rStyle w:val="Hyperlink3"/>
          <w:color w:val="auto"/>
        </w:rPr>
        <w:lastRenderedPageBreak/>
        <w:t>In adjusted logistic regression models,</w:t>
      </w:r>
      <w:r w:rsidR="00B54FB4" w:rsidRPr="009B5064">
        <w:rPr>
          <w:rStyle w:val="Hyperlink3"/>
          <w:color w:val="auto"/>
        </w:rPr>
        <w:t xml:space="preserve"> when self-rated eyesight was analyzed as </w:t>
      </w:r>
      <w:proofErr w:type="gramStart"/>
      <w:r w:rsidR="00B54FB4" w:rsidRPr="009B5064">
        <w:rPr>
          <w:rStyle w:val="Hyperlink3"/>
          <w:color w:val="auto"/>
        </w:rPr>
        <w:t>a four-level variable</w:t>
      </w:r>
      <w:r w:rsidRPr="009B5064">
        <w:rPr>
          <w:rStyle w:val="Hyperlink3"/>
          <w:color w:val="auto"/>
        </w:rPr>
        <w:t xml:space="preserve"> men</w:t>
      </w:r>
      <w:proofErr w:type="gramEnd"/>
      <w:r w:rsidRPr="009B5064">
        <w:rPr>
          <w:rStyle w:val="Hyperlink3"/>
          <w:color w:val="auto"/>
        </w:rPr>
        <w:t xml:space="preserve"> with fair–poor eyesight were significantly less likely to be sexually active than those who reported excellent eyesight (OR 0.41, 95% CI 0.26-0.64, </w:t>
      </w:r>
      <w:r w:rsidRPr="009B5064">
        <w:rPr>
          <w:rStyle w:val="None"/>
          <w:i/>
          <w:iCs/>
          <w:color w:val="auto"/>
          <w:shd w:val="clear" w:color="auto" w:fill="FFFFFF"/>
        </w:rPr>
        <w:t>p</w:t>
      </w:r>
      <w:r w:rsidRPr="009B5064">
        <w:rPr>
          <w:rStyle w:val="Hyperlink3"/>
          <w:color w:val="auto"/>
        </w:rPr>
        <w:t>&lt;0.001; Table 2). Similar findings were found for the variables ‘recognition of friends across street’ and ‘reading ordinary newspaper’ (Table 2). There was no association between self-reported eyesight and the prevalence of sexual activity in women (fair–</w:t>
      </w:r>
      <w:r w:rsidRPr="009B5064">
        <w:rPr>
          <w:rStyle w:val="Hyperlink3"/>
          <w:color w:val="auto"/>
          <w:lang w:val="nl-NL"/>
        </w:rPr>
        <w:t xml:space="preserve">poor vs. excellent OR=0.99, 95% CI 0.70-1.41, </w:t>
      </w:r>
      <w:r w:rsidRPr="009B5064">
        <w:rPr>
          <w:rStyle w:val="None"/>
          <w:i/>
          <w:iCs/>
          <w:color w:val="auto"/>
          <w:shd w:val="clear" w:color="auto" w:fill="FFFFFF"/>
        </w:rPr>
        <w:t>p</w:t>
      </w:r>
      <w:r w:rsidRPr="009B5064">
        <w:rPr>
          <w:rStyle w:val="Hyperlink3"/>
          <w:color w:val="auto"/>
        </w:rPr>
        <w:t xml:space="preserve">=0.959; Table 2). However, among women who were sexually active, fair–poor eyesight for recognition of friends across the street (OR=0.45, 95% CI 0.31-0.66, </w:t>
      </w:r>
      <w:r w:rsidRPr="009B5064">
        <w:rPr>
          <w:rStyle w:val="None"/>
          <w:i/>
          <w:iCs/>
          <w:color w:val="auto"/>
          <w:shd w:val="clear" w:color="auto" w:fill="FFFFFF"/>
        </w:rPr>
        <w:t>p</w:t>
      </w:r>
      <w:r w:rsidRPr="009B5064">
        <w:rPr>
          <w:rStyle w:val="Hyperlink3"/>
          <w:color w:val="auto"/>
        </w:rPr>
        <w:t xml:space="preserve">&lt;0.001) and reading ordinary newspaper print (OR=0.61, 95% CI 0.43-0.88, </w:t>
      </w:r>
      <w:r w:rsidRPr="009B5064">
        <w:rPr>
          <w:rStyle w:val="None"/>
          <w:i/>
          <w:iCs/>
          <w:color w:val="auto"/>
          <w:shd w:val="clear" w:color="auto" w:fill="FFFFFF"/>
        </w:rPr>
        <w:t>p</w:t>
      </w:r>
      <w:r w:rsidRPr="009B5064">
        <w:rPr>
          <w:rStyle w:val="Hyperlink3"/>
          <w:color w:val="auto"/>
        </w:rPr>
        <w:t xml:space="preserve">=0.007) was associated with lower frequency of sexual intercourse in the last month (Table 3). The association with frequency of intercourse in women did not reach significance based on the overall measure of self-rated eyesight (OR=0.76, 95% CI 0.53-1.09, </w:t>
      </w:r>
      <w:r w:rsidRPr="009B5064">
        <w:rPr>
          <w:rStyle w:val="None"/>
          <w:i/>
          <w:iCs/>
          <w:color w:val="auto"/>
          <w:shd w:val="clear" w:color="auto" w:fill="FFFFFF"/>
        </w:rPr>
        <w:t>p</w:t>
      </w:r>
      <w:r w:rsidRPr="009B5064">
        <w:rPr>
          <w:rStyle w:val="Hyperlink3"/>
          <w:color w:val="auto"/>
        </w:rPr>
        <w:t>=0.140), and no significant association between self-reported eyesight and frequency of sexual intercourse was observed for men (Table 3).</w:t>
      </w:r>
      <w:r w:rsidR="00B54FB4" w:rsidRPr="009B5064">
        <w:rPr>
          <w:rStyle w:val="Hyperlink3"/>
          <w:color w:val="auto"/>
        </w:rPr>
        <w:t xml:space="preserve"> Results were largely unchanged when self-rated eyesight was analyzed as a binary variable, the only notable difference being that the association in men between fair-poor eyesight for recognition of friends across the street and sexual activity was no longer statistically significant</w:t>
      </w:r>
      <w:r w:rsidR="00B9444D" w:rsidRPr="009B5064">
        <w:rPr>
          <w:rStyle w:val="Hyperlink3"/>
          <w:color w:val="auto"/>
        </w:rPr>
        <w:t xml:space="preserve"> (Table 2).</w:t>
      </w:r>
    </w:p>
    <w:p w14:paraId="02A7A3C6" w14:textId="77777777" w:rsidR="00DD6EA4" w:rsidRPr="009B5064" w:rsidRDefault="00DD6EA4" w:rsidP="00CA47A2">
      <w:pPr>
        <w:pStyle w:val="Body"/>
        <w:spacing w:line="480" w:lineRule="auto"/>
        <w:rPr>
          <w:color w:val="auto"/>
        </w:rPr>
      </w:pPr>
    </w:p>
    <w:p w14:paraId="74428FA9" w14:textId="77777777" w:rsidR="00DD6EA4" w:rsidRPr="009B5064" w:rsidRDefault="009F5584" w:rsidP="00CA47A2">
      <w:pPr>
        <w:pStyle w:val="Heading"/>
        <w:spacing w:line="480" w:lineRule="auto"/>
        <w:rPr>
          <w:color w:val="auto"/>
        </w:rPr>
      </w:pPr>
      <w:r w:rsidRPr="009B5064">
        <w:rPr>
          <w:color w:val="auto"/>
        </w:rPr>
        <w:t>Discussion</w:t>
      </w:r>
    </w:p>
    <w:p w14:paraId="388E3118" w14:textId="77777777" w:rsidR="00BC6775" w:rsidRPr="009B5064" w:rsidRDefault="009F5584" w:rsidP="00CA47A2">
      <w:pPr>
        <w:pStyle w:val="Body"/>
        <w:spacing w:after="288" w:line="480" w:lineRule="auto"/>
        <w:rPr>
          <w:rStyle w:val="Hyperlink3"/>
          <w:color w:val="auto"/>
          <w:lang w:val="de-DE"/>
        </w:rPr>
      </w:pPr>
      <w:r w:rsidRPr="009B5064">
        <w:rPr>
          <w:color w:val="auto"/>
        </w:rPr>
        <w:t>In this large</w:t>
      </w:r>
      <w:r w:rsidR="00DD1DC0" w:rsidRPr="009B5064">
        <w:rPr>
          <w:color w:val="auto"/>
        </w:rPr>
        <w:t>,</w:t>
      </w:r>
      <w:r w:rsidRPr="009B5064">
        <w:rPr>
          <w:color w:val="auto"/>
        </w:rPr>
        <w:t xml:space="preserve"> representative sample of older English adults</w:t>
      </w:r>
      <w:r w:rsidR="00E872CE" w:rsidRPr="009B5064">
        <w:rPr>
          <w:color w:val="auto"/>
        </w:rPr>
        <w:t>,</w:t>
      </w:r>
      <w:r w:rsidRPr="009B5064">
        <w:rPr>
          <w:color w:val="auto"/>
        </w:rPr>
        <w:t xml:space="preserve"> we found that </w:t>
      </w:r>
      <w:r w:rsidR="00FB5EA3" w:rsidRPr="009B5064">
        <w:rPr>
          <w:rStyle w:val="Hyperlink3"/>
          <w:color w:val="auto"/>
        </w:rPr>
        <w:t xml:space="preserve">men with fair–poor </w:t>
      </w:r>
      <w:r w:rsidRPr="009B5064">
        <w:rPr>
          <w:rStyle w:val="Hyperlink3"/>
          <w:color w:val="auto"/>
        </w:rPr>
        <w:t xml:space="preserve">eyesight were significantly less likely to be sexually active than those who reported excellent eyesight. Similar findings were found for the variables ‘recognition of friends across street’ and ‘reading ordinary newspaper’. Interestingly, there was no association between self-reported eyesight and the prevalence of sexual activity in women. However, among women who were sexually active, fair–poor eyesight for recognition of friends across the street and reading ordinary </w:t>
      </w:r>
      <w:r w:rsidRPr="009B5064">
        <w:rPr>
          <w:rStyle w:val="Hyperlink3"/>
          <w:color w:val="auto"/>
        </w:rPr>
        <w:lastRenderedPageBreak/>
        <w:t>newspaper print was associated with lower frequency of sexual intercourse in the last month. Taken together</w:t>
      </w:r>
      <w:r w:rsidR="006D05F4" w:rsidRPr="009B5064">
        <w:rPr>
          <w:rStyle w:val="Hyperlink3"/>
          <w:color w:val="auto"/>
        </w:rPr>
        <w:t>,</w:t>
      </w:r>
      <w:r w:rsidRPr="009B5064">
        <w:rPr>
          <w:rStyle w:val="Hyperlink3"/>
          <w:color w:val="auto"/>
        </w:rPr>
        <w:t xml:space="preserve"> these results confirm the hypothesis that poor self-rated eyesight is associated with lower levels of sexual activity. These findings support previous work </w:t>
      </w:r>
      <w:r w:rsidR="00E872CE" w:rsidRPr="009B5064">
        <w:rPr>
          <w:rStyle w:val="Hyperlink3"/>
          <w:color w:val="auto"/>
        </w:rPr>
        <w:t>showing that</w:t>
      </w:r>
      <w:r w:rsidRPr="009B5064">
        <w:rPr>
          <w:rStyle w:val="Hyperlink3"/>
          <w:color w:val="auto"/>
        </w:rPr>
        <w:t xml:space="preserve"> people with a </w:t>
      </w:r>
      <w:r w:rsidR="00FB5EA3" w:rsidRPr="009B5064">
        <w:rPr>
          <w:rStyle w:val="Hyperlink3"/>
          <w:color w:val="auto"/>
        </w:rPr>
        <w:t xml:space="preserve">physical </w:t>
      </w:r>
      <w:r w:rsidRPr="009B5064">
        <w:rPr>
          <w:rStyle w:val="Hyperlink3"/>
          <w:color w:val="auto"/>
        </w:rPr>
        <w:t xml:space="preserve">disability tend to have </w:t>
      </w:r>
      <w:r w:rsidRPr="009B5064">
        <w:rPr>
          <w:rStyle w:val="Hyperlink3"/>
          <w:color w:val="auto"/>
          <w:lang w:val="de-DE"/>
        </w:rPr>
        <w:t>poorer sexuality</w:t>
      </w:r>
      <w:r w:rsidR="00E872CE" w:rsidRPr="009B5064">
        <w:rPr>
          <w:rStyle w:val="Hyperlink3"/>
          <w:color w:val="auto"/>
          <w:lang w:val="de-DE"/>
        </w:rPr>
        <w:t>-</w:t>
      </w:r>
      <w:r w:rsidRPr="009B5064">
        <w:rPr>
          <w:rStyle w:val="Hyperlink3"/>
          <w:color w:val="auto"/>
          <w:lang w:val="de-DE"/>
        </w:rPr>
        <w:t>related outcomes</w:t>
      </w:r>
      <w:r w:rsidR="00BC6775" w:rsidRPr="009B5064">
        <w:rPr>
          <w:rStyle w:val="Hyperlink3"/>
          <w:color w:val="auto"/>
          <w:lang w:val="de-DE"/>
        </w:rPr>
        <w:t xml:space="preserve"> </w:t>
      </w:r>
      <w:r w:rsidR="00BC6775" w:rsidRPr="009B5064">
        <w:rPr>
          <w:color w:val="auto"/>
        </w:rPr>
        <w:t>[8].</w:t>
      </w:r>
    </w:p>
    <w:p w14:paraId="41FE4973" w14:textId="09B8B891" w:rsidR="00DD6EA4" w:rsidRPr="009B5064" w:rsidRDefault="009F5584" w:rsidP="00CA47A2">
      <w:pPr>
        <w:pStyle w:val="Body"/>
        <w:spacing w:after="288" w:line="480" w:lineRule="auto"/>
        <w:rPr>
          <w:rStyle w:val="None"/>
          <w:color w:val="auto"/>
        </w:rPr>
      </w:pPr>
      <w:r w:rsidRPr="009B5064">
        <w:rPr>
          <w:rStyle w:val="Hyperlink3"/>
          <w:color w:val="auto"/>
        </w:rPr>
        <w:t>Low levels of sexual activity in those with reduced eyesight is of concern as this population may be at an increased risk of non-communicable disease</w:t>
      </w:r>
      <w:r w:rsidR="006D05F4" w:rsidRPr="009B5064">
        <w:rPr>
          <w:rStyle w:val="Hyperlink3"/>
          <w:color w:val="auto"/>
        </w:rPr>
        <w:t>s</w:t>
      </w:r>
      <w:r w:rsidRPr="009B5064">
        <w:rPr>
          <w:rStyle w:val="Hyperlink3"/>
          <w:color w:val="auto"/>
        </w:rPr>
        <w:t xml:space="preserve">, such as higher risk of </w:t>
      </w:r>
      <w:r w:rsidR="00E872CE" w:rsidRPr="009B5064">
        <w:rPr>
          <w:rStyle w:val="Hyperlink3"/>
          <w:color w:val="auto"/>
        </w:rPr>
        <w:t>CVD</w:t>
      </w:r>
      <w:r w:rsidR="00BC6775" w:rsidRPr="009B5064">
        <w:rPr>
          <w:rStyle w:val="Hyperlink3"/>
          <w:color w:val="auto"/>
        </w:rPr>
        <w:t xml:space="preserve"> </w:t>
      </w:r>
      <w:r w:rsidR="00BC6775" w:rsidRPr="009B5064">
        <w:rPr>
          <w:color w:val="auto"/>
        </w:rPr>
        <w:t>[18]</w:t>
      </w:r>
      <w:r w:rsidR="00BC6775" w:rsidRPr="009B5064">
        <w:rPr>
          <w:rStyle w:val="Hyperlink3"/>
          <w:color w:val="auto"/>
        </w:rPr>
        <w:t xml:space="preserve"> </w:t>
      </w:r>
      <w:r w:rsidRPr="009B5064">
        <w:rPr>
          <w:rStyle w:val="Hyperlink3"/>
          <w:color w:val="auto"/>
        </w:rPr>
        <w:t xml:space="preserve">and </w:t>
      </w:r>
      <w:r w:rsidR="006D05F4" w:rsidRPr="009B5064">
        <w:rPr>
          <w:rStyle w:val="Hyperlink3"/>
          <w:color w:val="auto"/>
        </w:rPr>
        <w:t>tend to report</w:t>
      </w:r>
      <w:r w:rsidR="003F5039" w:rsidRPr="009B5064">
        <w:rPr>
          <w:rStyle w:val="Hyperlink3"/>
          <w:color w:val="auto"/>
        </w:rPr>
        <w:t xml:space="preserve"> </w:t>
      </w:r>
      <w:r w:rsidR="006D05F4" w:rsidRPr="009B5064">
        <w:rPr>
          <w:rStyle w:val="Hyperlink3"/>
          <w:color w:val="auto"/>
        </w:rPr>
        <w:t>poorer</w:t>
      </w:r>
      <w:r w:rsidR="003F5039" w:rsidRPr="009B5064">
        <w:rPr>
          <w:rStyle w:val="Hyperlink3"/>
          <w:color w:val="auto"/>
        </w:rPr>
        <w:t xml:space="preserve"> </w:t>
      </w:r>
      <w:r w:rsidRPr="009B5064">
        <w:rPr>
          <w:rStyle w:val="Hyperlink3"/>
          <w:color w:val="auto"/>
        </w:rPr>
        <w:t>quality of life</w:t>
      </w:r>
      <w:r w:rsidR="00BC6775" w:rsidRPr="009B5064">
        <w:rPr>
          <w:rStyle w:val="Hyperlink3"/>
          <w:color w:val="auto"/>
        </w:rPr>
        <w:t xml:space="preserve"> </w:t>
      </w:r>
      <w:r w:rsidR="00BC6775" w:rsidRPr="009B5064">
        <w:rPr>
          <w:color w:val="auto"/>
        </w:rPr>
        <w:t>[19]</w:t>
      </w:r>
      <w:r w:rsidR="00A73317" w:rsidRPr="009B5064">
        <w:rPr>
          <w:rStyle w:val="Hyperlink3"/>
          <w:color w:val="auto"/>
        </w:rPr>
        <w:t>.</w:t>
      </w:r>
      <w:r w:rsidR="003F5039" w:rsidRPr="009B5064">
        <w:rPr>
          <w:rStyle w:val="Hyperlink3"/>
          <w:color w:val="auto"/>
        </w:rPr>
        <w:t xml:space="preserve"> </w:t>
      </w:r>
      <w:r w:rsidR="006D05F4" w:rsidRPr="009B5064">
        <w:rPr>
          <w:rStyle w:val="Hyperlink3"/>
          <w:color w:val="auto"/>
        </w:rPr>
        <w:t>Studies have suggested that e</w:t>
      </w:r>
      <w:r w:rsidRPr="009B5064">
        <w:rPr>
          <w:rStyle w:val="Hyperlink3"/>
          <w:color w:val="auto"/>
        </w:rPr>
        <w:t xml:space="preserve">ngaging in frequent sexual activity may be protective against </w:t>
      </w:r>
      <w:r w:rsidR="00E872CE" w:rsidRPr="009B5064">
        <w:rPr>
          <w:rStyle w:val="Hyperlink3"/>
          <w:color w:val="auto"/>
        </w:rPr>
        <w:t>CVD</w:t>
      </w:r>
      <w:r w:rsidR="00F31665" w:rsidRPr="009B5064">
        <w:rPr>
          <w:rStyle w:val="Hyperlink3"/>
          <w:color w:val="auto"/>
        </w:rPr>
        <w:t xml:space="preserve"> </w:t>
      </w:r>
      <w:r w:rsidR="00BC6775" w:rsidRPr="009B5064">
        <w:rPr>
          <w:color w:val="auto"/>
        </w:rPr>
        <w:t>[3]</w:t>
      </w:r>
      <w:r w:rsidR="00BC6775" w:rsidRPr="009B5064">
        <w:rPr>
          <w:rStyle w:val="Hyperlink3"/>
          <w:color w:val="auto"/>
        </w:rPr>
        <w:t xml:space="preserve"> </w:t>
      </w:r>
      <w:r w:rsidRPr="009B5064">
        <w:rPr>
          <w:rStyle w:val="Hyperlink3"/>
          <w:color w:val="auto"/>
        </w:rPr>
        <w:t>and is associated with better quality of life</w:t>
      </w:r>
      <w:r w:rsidR="00BC6775" w:rsidRPr="009B5064">
        <w:rPr>
          <w:rStyle w:val="Hyperlink3"/>
          <w:color w:val="auto"/>
        </w:rPr>
        <w:t xml:space="preserve"> </w:t>
      </w:r>
      <w:r w:rsidR="00BC6775" w:rsidRPr="009B5064">
        <w:rPr>
          <w:color w:val="auto"/>
        </w:rPr>
        <w:t>[6]</w:t>
      </w:r>
      <w:r w:rsidR="00BC6775" w:rsidRPr="009B5064">
        <w:rPr>
          <w:rStyle w:val="Hyperlink3"/>
          <w:color w:val="auto"/>
        </w:rPr>
        <w:t xml:space="preserve">. </w:t>
      </w:r>
      <w:r w:rsidR="00FB5EA3" w:rsidRPr="009B5064">
        <w:rPr>
          <w:color w:val="auto"/>
        </w:rPr>
        <w:t xml:space="preserve">The low levels of sexual activity in older adults who are visually impaired may reflect inhibitions and functional barriers based on visible restrictions. It may also reflect lower sexual confidence or sex appeal on the part of individuals with visual impairments or greater dyadic difficulties in initiating sexual activity. More broadly, older individuals may also internalize cultural scripts that desexualize people with physical disabilities (i.e., that physical disability excludes one from sexuality and engenders discomfort with the notion of differently-abled sexuality) </w:t>
      </w:r>
      <w:r w:rsidR="00BC6775" w:rsidRPr="009B5064">
        <w:rPr>
          <w:color w:val="auto"/>
        </w:rPr>
        <w:t>[20]</w:t>
      </w:r>
      <w:r w:rsidR="00FB5EA3" w:rsidRPr="009B5064">
        <w:rPr>
          <w:color w:val="auto"/>
        </w:rPr>
        <w:t xml:space="preserve">, which in turn results in lower sexual esteem and avoidant approaches to sexual activity. </w:t>
      </w:r>
      <w:r w:rsidRPr="009B5064">
        <w:rPr>
          <w:rStyle w:val="None"/>
          <w:color w:val="auto"/>
        </w:rPr>
        <w:t xml:space="preserve">The </w:t>
      </w:r>
      <w:r w:rsidR="006D09E9" w:rsidRPr="009B5064">
        <w:rPr>
          <w:rStyle w:val="None"/>
          <w:color w:val="auto"/>
        </w:rPr>
        <w:t>fact that we only observed an</w:t>
      </w:r>
      <w:r w:rsidRPr="009B5064">
        <w:rPr>
          <w:rStyle w:val="Hyperlink3"/>
          <w:color w:val="auto"/>
        </w:rPr>
        <w:t xml:space="preserve"> association between self-reported eyesight and prevalence of sexual activity in </w:t>
      </w:r>
      <w:r w:rsidRPr="009B5064">
        <w:rPr>
          <w:rStyle w:val="None"/>
          <w:color w:val="auto"/>
        </w:rPr>
        <w:t>men</w:t>
      </w:r>
      <w:r w:rsidR="006D09E9" w:rsidRPr="009B5064">
        <w:rPr>
          <w:rStyle w:val="None"/>
          <w:color w:val="auto"/>
        </w:rPr>
        <w:t>, with no significant association in women,</w:t>
      </w:r>
      <w:r w:rsidRPr="009B5064">
        <w:rPr>
          <w:rStyle w:val="None"/>
          <w:color w:val="auto"/>
        </w:rPr>
        <w:t xml:space="preserve"> should be noted. One plausible explanation may be that in men conditions that are </w:t>
      </w:r>
      <w:r w:rsidR="00BD687F" w:rsidRPr="009B5064">
        <w:rPr>
          <w:rStyle w:val="None"/>
          <w:color w:val="auto"/>
        </w:rPr>
        <w:t xml:space="preserve">known to be </w:t>
      </w:r>
      <w:r w:rsidRPr="009B5064">
        <w:rPr>
          <w:rStyle w:val="None"/>
          <w:color w:val="auto"/>
        </w:rPr>
        <w:t>associated with erectile dysfunction are also related to reduce</w:t>
      </w:r>
      <w:r w:rsidRPr="009B5064">
        <w:rPr>
          <w:rStyle w:val="None"/>
          <w:color w:val="auto"/>
          <w:lang w:val="de-DE"/>
        </w:rPr>
        <w:t>d</w:t>
      </w:r>
      <w:r w:rsidRPr="009B5064">
        <w:rPr>
          <w:rStyle w:val="None"/>
          <w:color w:val="auto"/>
        </w:rPr>
        <w:t xml:space="preserve"> eyesight, for example, </w:t>
      </w:r>
      <w:r w:rsidR="00E872CE" w:rsidRPr="009B5064">
        <w:rPr>
          <w:rStyle w:val="None"/>
          <w:color w:val="auto"/>
        </w:rPr>
        <w:t>CVD</w:t>
      </w:r>
      <w:r w:rsidRPr="009B5064">
        <w:rPr>
          <w:rStyle w:val="None"/>
          <w:color w:val="auto"/>
        </w:rPr>
        <w:t xml:space="preserve"> and overweight/obesity</w:t>
      </w:r>
      <w:r w:rsidR="00BD687F" w:rsidRPr="009B5064">
        <w:rPr>
          <w:rStyle w:val="None"/>
          <w:color w:val="auto"/>
          <w:lang w:val="de-DE"/>
        </w:rPr>
        <w:t>.These factors</w:t>
      </w:r>
      <w:r w:rsidR="007D715F" w:rsidRPr="009B5064">
        <w:rPr>
          <w:rStyle w:val="None"/>
          <w:color w:val="auto"/>
          <w:lang w:val="de-DE"/>
        </w:rPr>
        <w:t xml:space="preserve"> </w:t>
      </w:r>
      <w:r w:rsidRPr="009B5064">
        <w:rPr>
          <w:rStyle w:val="None"/>
          <w:color w:val="auto"/>
        </w:rPr>
        <w:t xml:space="preserve">may be driving the observed association in men. Interestingly, </w:t>
      </w:r>
      <w:r w:rsidR="00BD687F" w:rsidRPr="009B5064">
        <w:rPr>
          <w:rStyle w:val="None"/>
          <w:color w:val="auto"/>
        </w:rPr>
        <w:t xml:space="preserve">among </w:t>
      </w:r>
      <w:r w:rsidRPr="009B5064">
        <w:rPr>
          <w:rStyle w:val="None"/>
          <w:color w:val="auto"/>
        </w:rPr>
        <w:t xml:space="preserve">women </w:t>
      </w:r>
      <w:r w:rsidR="00BD687F" w:rsidRPr="009B5064">
        <w:rPr>
          <w:rStyle w:val="None"/>
          <w:color w:val="auto"/>
        </w:rPr>
        <w:t xml:space="preserve">who were sexually active, those </w:t>
      </w:r>
      <w:r w:rsidRPr="009B5064">
        <w:rPr>
          <w:rStyle w:val="None"/>
          <w:color w:val="auto"/>
        </w:rPr>
        <w:t xml:space="preserve">who reported </w:t>
      </w:r>
      <w:r w:rsidRPr="009B5064">
        <w:rPr>
          <w:rStyle w:val="Hyperlink3"/>
          <w:color w:val="auto"/>
        </w:rPr>
        <w:t xml:space="preserve">poor eyesight for recognition of friends across the street and reading ordinary newspaper print </w:t>
      </w:r>
      <w:r w:rsidR="00BD687F" w:rsidRPr="009B5064">
        <w:rPr>
          <w:rStyle w:val="Hyperlink3"/>
          <w:color w:val="auto"/>
        </w:rPr>
        <w:t>engaged in sexual intercourse less frequently,</w:t>
      </w:r>
      <w:r w:rsidRPr="009B5064">
        <w:rPr>
          <w:rStyle w:val="Hyperlink3"/>
          <w:color w:val="auto"/>
        </w:rPr>
        <w:t xml:space="preserve"> suggesting that reduced eyesight </w:t>
      </w:r>
      <w:r w:rsidR="00F2670D" w:rsidRPr="009B5064">
        <w:rPr>
          <w:rStyle w:val="Hyperlink3"/>
          <w:color w:val="auto"/>
        </w:rPr>
        <w:t xml:space="preserve">is associated with reduced </w:t>
      </w:r>
      <w:r w:rsidRPr="009B5064">
        <w:rPr>
          <w:rStyle w:val="Hyperlink3"/>
          <w:color w:val="auto"/>
        </w:rPr>
        <w:t xml:space="preserve">sexuality in older women. </w:t>
      </w:r>
    </w:p>
    <w:p w14:paraId="5354918D" w14:textId="3EAE5FFD" w:rsidR="00DD6EA4" w:rsidRPr="009B5064" w:rsidRDefault="009F5584" w:rsidP="00CA47A2">
      <w:pPr>
        <w:pStyle w:val="Body"/>
        <w:spacing w:after="288" w:line="480" w:lineRule="auto"/>
        <w:rPr>
          <w:color w:val="auto"/>
        </w:rPr>
      </w:pPr>
      <w:r w:rsidRPr="009B5064">
        <w:rPr>
          <w:color w:val="auto"/>
        </w:rPr>
        <w:t xml:space="preserve">A clear strength of the present study is </w:t>
      </w:r>
      <w:r w:rsidR="00A212FB" w:rsidRPr="009B5064">
        <w:rPr>
          <w:color w:val="auto"/>
        </w:rPr>
        <w:t>the</w:t>
      </w:r>
      <w:r w:rsidRPr="009B5064">
        <w:rPr>
          <w:color w:val="auto"/>
        </w:rPr>
        <w:t xml:space="preserve"> large</w:t>
      </w:r>
      <w:r w:rsidR="00A212FB" w:rsidRPr="009B5064">
        <w:rPr>
          <w:color w:val="auto"/>
        </w:rPr>
        <w:t>,</w:t>
      </w:r>
      <w:r w:rsidRPr="009B5064">
        <w:rPr>
          <w:color w:val="auto"/>
        </w:rPr>
        <w:t xml:space="preserve"> representative sample of older English adults. However, data from the present study must be interpreted </w:t>
      </w:r>
      <w:proofErr w:type="gramStart"/>
      <w:r w:rsidRPr="009B5064">
        <w:rPr>
          <w:color w:val="auto"/>
        </w:rPr>
        <w:t>in light of</w:t>
      </w:r>
      <w:proofErr w:type="gramEnd"/>
      <w:r w:rsidRPr="009B5064">
        <w:rPr>
          <w:color w:val="auto"/>
        </w:rPr>
        <w:t xml:space="preserve"> its limitations. Participants </w:t>
      </w:r>
      <w:r w:rsidRPr="009B5064">
        <w:rPr>
          <w:color w:val="auto"/>
        </w:rPr>
        <w:lastRenderedPageBreak/>
        <w:t>who were included in the analytic sample were slightly older, less likely to have fair-poor eyesight</w:t>
      </w:r>
      <w:r w:rsidR="00E872CE" w:rsidRPr="009B5064">
        <w:rPr>
          <w:color w:val="auto"/>
        </w:rPr>
        <w:t>,</w:t>
      </w:r>
      <w:r w:rsidRPr="009B5064">
        <w:rPr>
          <w:color w:val="auto"/>
        </w:rPr>
        <w:t xml:space="preserve"> and less likely to be sexually active than those who were excluded </w:t>
      </w:r>
      <w:proofErr w:type="gramStart"/>
      <w:r w:rsidRPr="009B5064">
        <w:rPr>
          <w:color w:val="auto"/>
        </w:rPr>
        <w:t>on the basis of</w:t>
      </w:r>
      <w:proofErr w:type="gramEnd"/>
      <w:r w:rsidRPr="009B5064">
        <w:rPr>
          <w:color w:val="auto"/>
        </w:rPr>
        <w:t xml:space="preserve"> missing data. Measures of eyesight and </w:t>
      </w:r>
      <w:r w:rsidR="00CE2CE4" w:rsidRPr="009B5064">
        <w:rPr>
          <w:color w:val="auto"/>
        </w:rPr>
        <w:t>sexual activity</w:t>
      </w:r>
      <w:r w:rsidRPr="009B5064">
        <w:rPr>
          <w:color w:val="auto"/>
        </w:rPr>
        <w:t xml:space="preserve"> were self-reported and thus may have introduced bias. The present analys</w:t>
      </w:r>
      <w:r w:rsidR="00E872CE" w:rsidRPr="009B5064">
        <w:rPr>
          <w:color w:val="auto"/>
        </w:rPr>
        <w:t>e</w:t>
      </w:r>
      <w:r w:rsidRPr="009B5064">
        <w:rPr>
          <w:color w:val="auto"/>
        </w:rPr>
        <w:t xml:space="preserve">s </w:t>
      </w:r>
      <w:r w:rsidR="00B11582" w:rsidRPr="009B5064">
        <w:rPr>
          <w:color w:val="auto"/>
        </w:rPr>
        <w:t>w</w:t>
      </w:r>
      <w:r w:rsidR="00E872CE" w:rsidRPr="009B5064">
        <w:rPr>
          <w:color w:val="auto"/>
        </w:rPr>
        <w:t>ere</w:t>
      </w:r>
      <w:r w:rsidR="00A533EA" w:rsidRPr="009B5064">
        <w:rPr>
          <w:color w:val="auto"/>
        </w:rPr>
        <w:t xml:space="preserve"> </w:t>
      </w:r>
      <w:r w:rsidRPr="009B5064">
        <w:rPr>
          <w:color w:val="auto"/>
        </w:rPr>
        <w:t>cross-sectional in design</w:t>
      </w:r>
      <w:r w:rsidR="00E872CE" w:rsidRPr="009B5064">
        <w:rPr>
          <w:color w:val="auto"/>
        </w:rPr>
        <w:t xml:space="preserve"> and so </w:t>
      </w:r>
      <w:r w:rsidRPr="009B5064">
        <w:rPr>
          <w:color w:val="auto"/>
        </w:rPr>
        <w:t>the causal direction of the observed association</w:t>
      </w:r>
      <w:r w:rsidR="004F4E47" w:rsidRPr="009B5064">
        <w:rPr>
          <w:color w:val="auto"/>
        </w:rPr>
        <w:t>s</w:t>
      </w:r>
      <w:r w:rsidR="00A533EA" w:rsidRPr="009B5064">
        <w:rPr>
          <w:color w:val="auto"/>
        </w:rPr>
        <w:t xml:space="preserve"> </w:t>
      </w:r>
      <w:r w:rsidR="00E872CE" w:rsidRPr="009B5064">
        <w:rPr>
          <w:color w:val="auto"/>
        </w:rPr>
        <w:t>should be inferred with caution</w:t>
      </w:r>
      <w:r w:rsidR="007D715F" w:rsidRPr="009B5064">
        <w:rPr>
          <w:color w:val="auto"/>
        </w:rPr>
        <w:t>. Nonetheless, it seems more plausible that visual impairment causes reduced sexual activity than low sexual activity caus</w:t>
      </w:r>
      <w:r w:rsidR="00234FB6" w:rsidRPr="009B5064">
        <w:rPr>
          <w:color w:val="auto"/>
        </w:rPr>
        <w:t>es</w:t>
      </w:r>
      <w:r w:rsidR="007D715F" w:rsidRPr="009B5064">
        <w:rPr>
          <w:color w:val="auto"/>
        </w:rPr>
        <w:t xml:space="preserve"> visual impairment</w:t>
      </w:r>
      <w:r w:rsidRPr="009B5064">
        <w:rPr>
          <w:color w:val="auto"/>
        </w:rPr>
        <w:t xml:space="preserve">. </w:t>
      </w:r>
    </w:p>
    <w:p w14:paraId="6E60A0B7" w14:textId="77777777" w:rsidR="003C3D16" w:rsidRPr="009B5064" w:rsidRDefault="003C3D16" w:rsidP="00CA47A2">
      <w:pPr>
        <w:pStyle w:val="Heading"/>
        <w:tabs>
          <w:tab w:val="left" w:pos="142"/>
        </w:tabs>
        <w:spacing w:line="480" w:lineRule="auto"/>
        <w:rPr>
          <w:color w:val="auto"/>
        </w:rPr>
      </w:pPr>
      <w:r w:rsidRPr="009B5064">
        <w:rPr>
          <w:color w:val="auto"/>
          <w:lang w:val="fr-FR"/>
        </w:rPr>
        <w:t>Conclusions</w:t>
      </w:r>
    </w:p>
    <w:p w14:paraId="0C028C29" w14:textId="6146E19B" w:rsidR="00B54437" w:rsidRDefault="007D715F" w:rsidP="00CA47A2">
      <w:pPr>
        <w:pStyle w:val="Body"/>
        <w:spacing w:after="288" w:line="480" w:lineRule="auto"/>
        <w:rPr>
          <w:color w:val="auto"/>
        </w:rPr>
      </w:pPr>
      <w:r w:rsidRPr="009B5064">
        <w:rPr>
          <w:color w:val="auto"/>
        </w:rPr>
        <w:t>This</w:t>
      </w:r>
      <w:r w:rsidR="009F5584" w:rsidRPr="009B5064">
        <w:rPr>
          <w:color w:val="auto"/>
        </w:rPr>
        <w:t xml:space="preserve"> study is the first to show that </w:t>
      </w:r>
      <w:r w:rsidRPr="009B5064">
        <w:rPr>
          <w:color w:val="auto"/>
        </w:rPr>
        <w:t xml:space="preserve">prevalence </w:t>
      </w:r>
      <w:r w:rsidR="009F5584" w:rsidRPr="009B5064">
        <w:rPr>
          <w:color w:val="auto"/>
        </w:rPr>
        <w:t xml:space="preserve">and frequency of sexual activity in older adults with self-rated fair-poor vision is low compared to those reporting better vision. </w:t>
      </w:r>
      <w:r w:rsidR="00B54437" w:rsidRPr="009B5064">
        <w:rPr>
          <w:color w:val="auto"/>
        </w:rPr>
        <w:t>These findings are important because healthcare professionals are often reluctant to discuss sexual issues with older patients</w:t>
      </w:r>
      <w:r w:rsidR="00BC6775" w:rsidRPr="009B5064">
        <w:rPr>
          <w:color w:val="auto"/>
        </w:rPr>
        <w:t xml:space="preserve"> [21-23]</w:t>
      </w:r>
      <w:r w:rsidR="00B54437" w:rsidRPr="009B5064">
        <w:rPr>
          <w:color w:val="auto"/>
        </w:rPr>
        <w:t xml:space="preserve">, which is further compounded by the reticence of older adults to raise sexual concerns themselves </w:t>
      </w:r>
      <w:r w:rsidR="00BC6775" w:rsidRPr="009B5064">
        <w:rPr>
          <w:color w:val="auto"/>
        </w:rPr>
        <w:t>[24]</w:t>
      </w:r>
      <w:r w:rsidR="00B54437" w:rsidRPr="009B5064">
        <w:rPr>
          <w:color w:val="auto"/>
        </w:rPr>
        <w:t>. However,</w:t>
      </w:r>
      <w:r w:rsidR="001B5884" w:rsidRPr="009B5064">
        <w:rPr>
          <w:color w:val="auto"/>
        </w:rPr>
        <w:t xml:space="preserve"> noting the limitations of the cross-sectional study design,</w:t>
      </w:r>
      <w:r w:rsidR="00B54437" w:rsidRPr="009B5064">
        <w:rPr>
          <w:color w:val="auto"/>
        </w:rPr>
        <w:t xml:space="preserve"> the present findings suggest that loss of vision may have an adverse impact on sexual activity in older adults</w:t>
      </w:r>
      <w:r w:rsidR="001B5884" w:rsidRPr="009B5064">
        <w:rPr>
          <w:color w:val="auto"/>
        </w:rPr>
        <w:t>.</w:t>
      </w:r>
      <w:r w:rsidR="00B54437" w:rsidRPr="009B5064">
        <w:rPr>
          <w:color w:val="auto"/>
        </w:rPr>
        <w:t xml:space="preserve"> </w:t>
      </w:r>
      <w:r w:rsidR="001B5884" w:rsidRPr="009B5064">
        <w:rPr>
          <w:color w:val="auto"/>
        </w:rPr>
        <w:t xml:space="preserve">This </w:t>
      </w:r>
      <w:r w:rsidR="00B54437" w:rsidRPr="009B5064">
        <w:rPr>
          <w:color w:val="auto"/>
        </w:rPr>
        <w:t xml:space="preserve">in turn </w:t>
      </w:r>
      <w:r w:rsidR="001B5884" w:rsidRPr="009B5064">
        <w:rPr>
          <w:color w:val="auto"/>
        </w:rPr>
        <w:t xml:space="preserve">could </w:t>
      </w:r>
      <w:r w:rsidR="00B54437" w:rsidRPr="009B5064">
        <w:rPr>
          <w:color w:val="auto"/>
        </w:rPr>
        <w:t xml:space="preserve">affect the maintenance of intimate relationships in later life. </w:t>
      </w:r>
      <w:r w:rsidR="00227827" w:rsidRPr="009B5064">
        <w:rPr>
          <w:color w:val="auto"/>
        </w:rPr>
        <w:t xml:space="preserve">Introducing sensitive discussions </w:t>
      </w:r>
      <w:r w:rsidR="001B5884" w:rsidRPr="009B5064">
        <w:rPr>
          <w:color w:val="auto"/>
        </w:rPr>
        <w:t xml:space="preserve">about </w:t>
      </w:r>
      <w:r w:rsidR="00227827" w:rsidRPr="009B5064">
        <w:rPr>
          <w:color w:val="auto"/>
        </w:rPr>
        <w:t>sexual activity as part of routine enquiry for older adults with vis</w:t>
      </w:r>
      <w:r w:rsidR="001B5884" w:rsidRPr="009B5064">
        <w:rPr>
          <w:color w:val="auto"/>
        </w:rPr>
        <w:t>ual</w:t>
      </w:r>
      <w:r w:rsidR="00227827" w:rsidRPr="009B5064">
        <w:rPr>
          <w:color w:val="auto"/>
        </w:rPr>
        <w:t xml:space="preserve"> impairment could </w:t>
      </w:r>
      <w:r w:rsidR="001B5884" w:rsidRPr="009B5064">
        <w:rPr>
          <w:color w:val="auto"/>
        </w:rPr>
        <w:t xml:space="preserve">facilitate </w:t>
      </w:r>
      <w:r w:rsidR="00227827" w:rsidRPr="009B5064">
        <w:rPr>
          <w:color w:val="auto"/>
        </w:rPr>
        <w:t xml:space="preserve">better management of concerns and promote better quality of life </w:t>
      </w:r>
      <w:r w:rsidR="00BC6775" w:rsidRPr="009B5064">
        <w:rPr>
          <w:color w:val="auto"/>
        </w:rPr>
        <w:t xml:space="preserve">[25]. </w:t>
      </w:r>
      <w:r w:rsidR="00F2670D" w:rsidRPr="009B5064">
        <w:rPr>
          <w:color w:val="auto"/>
        </w:rPr>
        <w:t>Whil</w:t>
      </w:r>
      <w:r w:rsidR="001B5884" w:rsidRPr="009B5064">
        <w:rPr>
          <w:color w:val="auto"/>
        </w:rPr>
        <w:t>e</w:t>
      </w:r>
      <w:r w:rsidR="00F2670D" w:rsidRPr="009B5064">
        <w:rPr>
          <w:color w:val="auto"/>
        </w:rPr>
        <w:t xml:space="preserve"> it may be difficult to treat vision loss if </w:t>
      </w:r>
      <w:r w:rsidR="00603BD0" w:rsidRPr="009B5064">
        <w:rPr>
          <w:color w:val="auto"/>
        </w:rPr>
        <w:t xml:space="preserve">it associated with significant ocular pathology, rehabilitation could target factors that reduce sexual activity in order to promote better quality of life and wellbeing.  </w:t>
      </w:r>
    </w:p>
    <w:p w14:paraId="7749D544" w14:textId="6687895D" w:rsidR="009B5064" w:rsidRDefault="009B5064" w:rsidP="00CA47A2">
      <w:pPr>
        <w:pStyle w:val="Body"/>
        <w:spacing w:after="288" w:line="480" w:lineRule="auto"/>
        <w:rPr>
          <w:color w:val="auto"/>
        </w:rPr>
      </w:pPr>
    </w:p>
    <w:p w14:paraId="78AD91C5" w14:textId="35BE1C5E" w:rsidR="009B5064" w:rsidRDefault="009B5064" w:rsidP="00CA47A2">
      <w:pPr>
        <w:pStyle w:val="Body"/>
        <w:spacing w:after="288" w:line="480" w:lineRule="auto"/>
        <w:rPr>
          <w:color w:val="auto"/>
        </w:rPr>
      </w:pPr>
    </w:p>
    <w:p w14:paraId="595307E8" w14:textId="61632D3D" w:rsidR="009B5064" w:rsidRDefault="009B5064" w:rsidP="00CA47A2">
      <w:pPr>
        <w:pStyle w:val="Body"/>
        <w:spacing w:after="288" w:line="480" w:lineRule="auto"/>
        <w:rPr>
          <w:color w:val="auto"/>
        </w:rPr>
      </w:pPr>
    </w:p>
    <w:p w14:paraId="34CB74D2" w14:textId="77777777" w:rsidR="009B5064" w:rsidRPr="009B5064" w:rsidRDefault="009B5064" w:rsidP="00CA47A2">
      <w:pPr>
        <w:pStyle w:val="Body"/>
        <w:spacing w:after="288" w:line="480" w:lineRule="auto"/>
        <w:rPr>
          <w:color w:val="auto"/>
        </w:rPr>
      </w:pPr>
      <w:bookmarkStart w:id="0" w:name="_GoBack"/>
      <w:bookmarkEnd w:id="0"/>
    </w:p>
    <w:p w14:paraId="58C7C826" w14:textId="77777777" w:rsidR="00DD6EA4" w:rsidRPr="009B5064" w:rsidRDefault="009F5584" w:rsidP="00CA47A2">
      <w:pPr>
        <w:pStyle w:val="Heading"/>
        <w:tabs>
          <w:tab w:val="left" w:pos="142"/>
        </w:tabs>
        <w:spacing w:line="480" w:lineRule="auto"/>
        <w:rPr>
          <w:color w:val="auto"/>
          <w:lang w:val="fr-FR"/>
        </w:rPr>
      </w:pPr>
      <w:r w:rsidRPr="009B5064">
        <w:rPr>
          <w:color w:val="auto"/>
          <w:lang w:val="fr-FR"/>
        </w:rPr>
        <w:lastRenderedPageBreak/>
        <w:t>References</w:t>
      </w:r>
    </w:p>
    <w:p w14:paraId="0356500C" w14:textId="77777777" w:rsidR="00F4488A" w:rsidRPr="009B5064" w:rsidRDefault="00FC6A62" w:rsidP="00F4488A">
      <w:pPr>
        <w:pStyle w:val="Bibliography"/>
        <w:spacing w:line="480" w:lineRule="auto"/>
      </w:pPr>
      <w:r w:rsidRPr="009B5064">
        <w:fldChar w:fldCharType="begin"/>
      </w:r>
      <w:r w:rsidR="004D4496" w:rsidRPr="009B5064">
        <w:instrText xml:space="preserve"> ADDIN ZOTERO_BIBL {"uncited":[],"omitted":[],"custom":[]} CSL_BIBLIOGRAPHY </w:instrText>
      </w:r>
      <w:r w:rsidRPr="009B5064">
        <w:fldChar w:fldCharType="separate"/>
      </w:r>
      <w:r w:rsidR="00BE6AD2" w:rsidRPr="009B5064">
        <w:rPr>
          <w:rFonts w:ascii="Calibri" w:hAnsi="Calibri" w:cs="Calibri"/>
          <w:sz w:val="22"/>
        </w:rPr>
        <w:t>[1]</w:t>
      </w:r>
      <w:r w:rsidR="004D4496" w:rsidRPr="009B5064">
        <w:rPr>
          <w:rFonts w:ascii="Calibri" w:hAnsi="Calibri" w:cs="Calibri"/>
          <w:sz w:val="22"/>
        </w:rPr>
        <w:tab/>
      </w:r>
      <w:r w:rsidR="00AB7C32" w:rsidRPr="009B5064">
        <w:rPr>
          <w:rFonts w:ascii="Calibri" w:hAnsi="Calibri" w:cs="Calibri"/>
          <w:sz w:val="22"/>
        </w:rPr>
        <w:t>Diamond</w:t>
      </w:r>
      <w:r w:rsidR="00442513" w:rsidRPr="009B5064">
        <w:rPr>
          <w:rFonts w:ascii="Calibri" w:hAnsi="Calibri" w:cs="Calibri"/>
          <w:sz w:val="22"/>
        </w:rPr>
        <w:t>,</w:t>
      </w:r>
      <w:r w:rsidR="00AB7C32" w:rsidRPr="009B5064">
        <w:rPr>
          <w:rFonts w:ascii="Calibri" w:hAnsi="Calibri" w:cs="Calibri"/>
          <w:sz w:val="22"/>
        </w:rPr>
        <w:t xml:space="preserve"> L</w:t>
      </w:r>
      <w:r w:rsidR="00442513" w:rsidRPr="009B5064">
        <w:rPr>
          <w:rFonts w:ascii="Calibri" w:hAnsi="Calibri" w:cs="Calibri"/>
          <w:sz w:val="22"/>
        </w:rPr>
        <w:t>.</w:t>
      </w:r>
      <w:r w:rsidR="00F4488A" w:rsidRPr="009B5064">
        <w:rPr>
          <w:rFonts w:ascii="Calibri" w:hAnsi="Calibri" w:cs="Calibri"/>
          <w:sz w:val="22"/>
        </w:rPr>
        <w:t>M</w:t>
      </w:r>
      <w:r w:rsidR="00AB7C32" w:rsidRPr="009B5064">
        <w:rPr>
          <w:rFonts w:ascii="Calibri" w:hAnsi="Calibri" w:cs="Calibri"/>
          <w:sz w:val="22"/>
        </w:rPr>
        <w:t>.</w:t>
      </w:r>
      <w:r w:rsidR="00B033A9" w:rsidRPr="009B5064">
        <w:rPr>
          <w:rFonts w:ascii="Calibri" w:hAnsi="Calibri" w:cs="Calibri"/>
          <w:sz w:val="22"/>
        </w:rPr>
        <w:t>:</w:t>
      </w:r>
      <w:r w:rsidR="00AB7C32" w:rsidRPr="009B5064">
        <w:rPr>
          <w:rFonts w:ascii="Calibri" w:hAnsi="Calibri" w:cs="Calibri"/>
          <w:sz w:val="22"/>
        </w:rPr>
        <w:t xml:space="preserve"> Where’s the sex in relationship research? In</w:t>
      </w:r>
      <w:r w:rsidR="00F4488A" w:rsidRPr="009B5064">
        <w:rPr>
          <w:rFonts w:ascii="Calibri" w:hAnsi="Calibri" w:cs="Calibri"/>
          <w:sz w:val="22"/>
        </w:rPr>
        <w:t>:</w:t>
      </w:r>
      <w:r w:rsidR="00AB7C32" w:rsidRPr="009B5064">
        <w:rPr>
          <w:rFonts w:ascii="Calibri" w:hAnsi="Calibri" w:cs="Calibri"/>
          <w:sz w:val="22"/>
        </w:rPr>
        <w:t xml:space="preserve"> Stewart</w:t>
      </w:r>
      <w:r w:rsidR="007E2BB7" w:rsidRPr="009B5064">
        <w:rPr>
          <w:rFonts w:ascii="Calibri" w:hAnsi="Calibri" w:cs="Calibri"/>
          <w:sz w:val="22"/>
        </w:rPr>
        <w:t>,</w:t>
      </w:r>
      <w:r w:rsidR="00AB7C32" w:rsidRPr="009B5064">
        <w:rPr>
          <w:rFonts w:ascii="Calibri" w:hAnsi="Calibri" w:cs="Calibri"/>
          <w:sz w:val="22"/>
        </w:rPr>
        <w:t xml:space="preserve"> </w:t>
      </w:r>
      <w:r w:rsidR="00F4488A" w:rsidRPr="009B5064">
        <w:rPr>
          <w:rFonts w:ascii="Calibri" w:hAnsi="Calibri" w:cs="Calibri"/>
          <w:sz w:val="22"/>
        </w:rPr>
        <w:t>R</w:t>
      </w:r>
      <w:r w:rsidR="007E2BB7" w:rsidRPr="009B5064">
        <w:rPr>
          <w:rFonts w:ascii="Calibri" w:hAnsi="Calibri" w:cs="Calibri"/>
          <w:sz w:val="22"/>
        </w:rPr>
        <w:t>.</w:t>
      </w:r>
      <w:r w:rsidR="00F4488A" w:rsidRPr="009B5064">
        <w:rPr>
          <w:rFonts w:ascii="Calibri" w:hAnsi="Calibri" w:cs="Calibri"/>
          <w:sz w:val="22"/>
        </w:rPr>
        <w:t>S</w:t>
      </w:r>
      <w:r w:rsidR="007E2BB7" w:rsidRPr="009B5064">
        <w:rPr>
          <w:rFonts w:ascii="Calibri" w:hAnsi="Calibri" w:cs="Calibri"/>
          <w:sz w:val="22"/>
        </w:rPr>
        <w:t>.</w:t>
      </w:r>
      <w:r w:rsidR="00F4488A" w:rsidRPr="009B5064">
        <w:rPr>
          <w:rFonts w:ascii="Calibri" w:hAnsi="Calibri" w:cs="Calibri"/>
          <w:sz w:val="22"/>
        </w:rPr>
        <w:t xml:space="preserve"> </w:t>
      </w:r>
      <w:r w:rsidR="007E2BB7" w:rsidRPr="009B5064">
        <w:rPr>
          <w:rFonts w:ascii="Calibri" w:hAnsi="Calibri" w:cs="Calibri"/>
          <w:sz w:val="22"/>
        </w:rPr>
        <w:t>(ed</w:t>
      </w:r>
      <w:r w:rsidR="00F4488A" w:rsidRPr="009B5064">
        <w:rPr>
          <w:rFonts w:ascii="Calibri" w:hAnsi="Calibri" w:cs="Calibri"/>
          <w:sz w:val="22"/>
        </w:rPr>
        <w:t>.</w:t>
      </w:r>
      <w:r w:rsidR="007E2BB7" w:rsidRPr="009B5064">
        <w:rPr>
          <w:rFonts w:ascii="Calibri" w:hAnsi="Calibri" w:cs="Calibri"/>
          <w:sz w:val="22"/>
        </w:rPr>
        <w:t>)</w:t>
      </w:r>
      <w:r w:rsidR="00F4488A" w:rsidRPr="009B5064">
        <w:rPr>
          <w:rFonts w:ascii="Calibri" w:hAnsi="Calibri" w:cs="Calibri"/>
          <w:sz w:val="22"/>
        </w:rPr>
        <w:t xml:space="preserve"> </w:t>
      </w:r>
      <w:r w:rsidR="00AB7C32" w:rsidRPr="009B5064">
        <w:rPr>
          <w:rFonts w:ascii="Calibri" w:hAnsi="Calibri" w:cs="Calibri"/>
          <w:sz w:val="22"/>
        </w:rPr>
        <w:t>Let’s talk about sex: Multidisciplinary discussions</w:t>
      </w:r>
      <w:r w:rsidR="007E2BB7" w:rsidRPr="009B5064">
        <w:rPr>
          <w:rFonts w:ascii="Calibri" w:hAnsi="Calibri" w:cs="Calibri"/>
          <w:sz w:val="22"/>
        </w:rPr>
        <w:t xml:space="preserve">, pp. 46-66. Cape Breton University Press, </w:t>
      </w:r>
      <w:r w:rsidR="00AB7C32" w:rsidRPr="009B5064">
        <w:rPr>
          <w:rFonts w:ascii="Calibri" w:hAnsi="Calibri" w:cs="Calibri"/>
          <w:sz w:val="22"/>
        </w:rPr>
        <w:t>Sydney, Australi</w:t>
      </w:r>
      <w:r w:rsidR="007E2BB7" w:rsidRPr="009B5064">
        <w:rPr>
          <w:rFonts w:ascii="Calibri" w:hAnsi="Calibri" w:cs="Calibri"/>
          <w:sz w:val="22"/>
        </w:rPr>
        <w:t>a (2013).</w:t>
      </w:r>
      <w:r w:rsidR="00F4488A" w:rsidRPr="009B5064">
        <w:rPr>
          <w:rFonts w:ascii="Calibri" w:hAnsi="Calibri" w:cs="Calibri"/>
          <w:sz w:val="22"/>
        </w:rPr>
        <w:t xml:space="preserve"> </w:t>
      </w:r>
    </w:p>
    <w:p w14:paraId="2149819A" w14:textId="77777777" w:rsidR="004D4496" w:rsidRPr="009B5064" w:rsidRDefault="00BE6AD2" w:rsidP="00CA47A2">
      <w:pPr>
        <w:pStyle w:val="Bibliography"/>
        <w:spacing w:line="480" w:lineRule="auto"/>
        <w:rPr>
          <w:rFonts w:ascii="Calibri" w:hAnsi="Calibri" w:cs="Calibri"/>
          <w:sz w:val="22"/>
        </w:rPr>
      </w:pPr>
      <w:r w:rsidRPr="009B5064">
        <w:rPr>
          <w:rFonts w:ascii="Calibri" w:hAnsi="Calibri" w:cs="Calibri"/>
          <w:sz w:val="22"/>
        </w:rPr>
        <w:t>[2]</w:t>
      </w:r>
      <w:r w:rsidR="00A533EA" w:rsidRPr="009B5064">
        <w:rPr>
          <w:rFonts w:ascii="Calibri" w:hAnsi="Calibri" w:cs="Calibri"/>
          <w:sz w:val="22"/>
        </w:rPr>
        <w:t xml:space="preserve">   </w:t>
      </w:r>
      <w:r w:rsidR="004D4496" w:rsidRPr="009B5064">
        <w:rPr>
          <w:rFonts w:ascii="Calibri" w:hAnsi="Calibri" w:cs="Calibri"/>
          <w:sz w:val="22"/>
        </w:rPr>
        <w:t>Liu</w:t>
      </w:r>
      <w:r w:rsidR="00442513" w:rsidRPr="009B5064">
        <w:rPr>
          <w:rFonts w:ascii="Calibri" w:hAnsi="Calibri" w:cs="Calibri"/>
          <w:sz w:val="22"/>
        </w:rPr>
        <w:t>,</w:t>
      </w:r>
      <w:r w:rsidR="004D4496" w:rsidRPr="009B5064">
        <w:rPr>
          <w:rFonts w:ascii="Calibri" w:hAnsi="Calibri" w:cs="Calibri"/>
          <w:sz w:val="22"/>
        </w:rPr>
        <w:t xml:space="preserve"> H</w:t>
      </w:r>
      <w:r w:rsidR="00442513" w:rsidRPr="009B5064">
        <w:rPr>
          <w:rFonts w:ascii="Calibri" w:hAnsi="Calibri" w:cs="Calibri"/>
          <w:sz w:val="22"/>
        </w:rPr>
        <w:t>.</w:t>
      </w:r>
      <w:r w:rsidR="004D4496" w:rsidRPr="009B5064">
        <w:rPr>
          <w:rFonts w:ascii="Calibri" w:hAnsi="Calibri" w:cs="Calibri"/>
          <w:sz w:val="22"/>
        </w:rPr>
        <w:t>, Waite</w:t>
      </w:r>
      <w:r w:rsidR="00442513" w:rsidRPr="009B5064">
        <w:rPr>
          <w:rFonts w:ascii="Calibri" w:hAnsi="Calibri" w:cs="Calibri"/>
          <w:sz w:val="22"/>
        </w:rPr>
        <w:t>,</w:t>
      </w:r>
      <w:r w:rsidR="004D4496" w:rsidRPr="009B5064">
        <w:rPr>
          <w:rFonts w:ascii="Calibri" w:hAnsi="Calibri" w:cs="Calibri"/>
          <w:sz w:val="22"/>
        </w:rPr>
        <w:t xml:space="preserve"> L</w:t>
      </w:r>
      <w:r w:rsidR="00442513" w:rsidRPr="009B5064">
        <w:rPr>
          <w:rFonts w:ascii="Calibri" w:hAnsi="Calibri" w:cs="Calibri"/>
          <w:sz w:val="22"/>
        </w:rPr>
        <w:t>.</w:t>
      </w:r>
      <w:r w:rsidR="004D4496" w:rsidRPr="009B5064">
        <w:rPr>
          <w:rFonts w:ascii="Calibri" w:hAnsi="Calibri" w:cs="Calibri"/>
          <w:sz w:val="22"/>
        </w:rPr>
        <w:t>, Shen</w:t>
      </w:r>
      <w:r w:rsidR="00442513" w:rsidRPr="009B5064">
        <w:rPr>
          <w:rFonts w:ascii="Calibri" w:hAnsi="Calibri" w:cs="Calibri"/>
          <w:sz w:val="22"/>
        </w:rPr>
        <w:t>,</w:t>
      </w:r>
      <w:r w:rsidR="004D4496" w:rsidRPr="009B5064">
        <w:rPr>
          <w:rFonts w:ascii="Calibri" w:hAnsi="Calibri" w:cs="Calibri"/>
          <w:sz w:val="22"/>
        </w:rPr>
        <w:t xml:space="preserve"> S</w:t>
      </w:r>
      <w:r w:rsidR="00442513" w:rsidRPr="009B5064">
        <w:rPr>
          <w:rFonts w:ascii="Calibri" w:hAnsi="Calibri" w:cs="Calibri"/>
          <w:sz w:val="22"/>
        </w:rPr>
        <w:t>.</w:t>
      </w:r>
      <w:r w:rsidR="004D4496" w:rsidRPr="009B5064">
        <w:rPr>
          <w:rFonts w:ascii="Calibri" w:hAnsi="Calibri" w:cs="Calibri"/>
          <w:sz w:val="22"/>
        </w:rPr>
        <w:t>, Wang</w:t>
      </w:r>
      <w:r w:rsidR="00442513" w:rsidRPr="009B5064">
        <w:rPr>
          <w:rFonts w:ascii="Calibri" w:hAnsi="Calibri" w:cs="Calibri"/>
          <w:sz w:val="22"/>
        </w:rPr>
        <w:t>,</w:t>
      </w:r>
      <w:r w:rsidR="004D4496" w:rsidRPr="009B5064">
        <w:rPr>
          <w:rFonts w:ascii="Calibri" w:hAnsi="Calibri" w:cs="Calibri"/>
          <w:sz w:val="22"/>
        </w:rPr>
        <w:t xml:space="preserve"> D.</w:t>
      </w:r>
      <w:r w:rsidR="00B033A9" w:rsidRPr="009B5064">
        <w:rPr>
          <w:rFonts w:ascii="Calibri" w:hAnsi="Calibri" w:cs="Calibri"/>
          <w:sz w:val="22"/>
        </w:rPr>
        <w:t>:</w:t>
      </w:r>
      <w:r w:rsidR="004D4496" w:rsidRPr="009B5064">
        <w:rPr>
          <w:rFonts w:ascii="Calibri" w:hAnsi="Calibri" w:cs="Calibri"/>
          <w:sz w:val="22"/>
        </w:rPr>
        <w:t xml:space="preserve"> Is Sex Good for Your Health? A National Study on Partnered Sexuality and Cardiovascular Risk Among Older Me</w:t>
      </w:r>
      <w:r w:rsidR="00EB49B2" w:rsidRPr="009B5064">
        <w:rPr>
          <w:rFonts w:ascii="Calibri" w:hAnsi="Calibri" w:cs="Calibri"/>
          <w:sz w:val="22"/>
        </w:rPr>
        <w:t>n and Women. J Health Soc Behav</w:t>
      </w:r>
      <w:r w:rsidR="00AC256F" w:rsidRPr="009B5064">
        <w:rPr>
          <w:rFonts w:ascii="Calibri" w:hAnsi="Calibri" w:cs="Calibri"/>
          <w:sz w:val="22"/>
        </w:rPr>
        <w:t>.</w:t>
      </w:r>
      <w:r w:rsidR="006A563C" w:rsidRPr="009B5064">
        <w:rPr>
          <w:rFonts w:ascii="Calibri" w:hAnsi="Calibri" w:cs="Calibri"/>
          <w:sz w:val="22"/>
        </w:rPr>
        <w:t xml:space="preserve"> 57(3), 276–</w:t>
      </w:r>
      <w:r w:rsidR="0068640F" w:rsidRPr="009B5064">
        <w:rPr>
          <w:rFonts w:ascii="Calibri" w:hAnsi="Calibri" w:cs="Calibri"/>
          <w:sz w:val="22"/>
        </w:rPr>
        <w:t>2</w:t>
      </w:r>
      <w:r w:rsidR="006A563C" w:rsidRPr="009B5064">
        <w:rPr>
          <w:rFonts w:ascii="Calibri" w:hAnsi="Calibri" w:cs="Calibri"/>
          <w:sz w:val="22"/>
        </w:rPr>
        <w:t>96 (2016)</w:t>
      </w:r>
      <w:r w:rsidR="0068640F" w:rsidRPr="009B5064">
        <w:rPr>
          <w:rFonts w:ascii="Calibri" w:hAnsi="Calibri" w:cs="Calibri"/>
          <w:sz w:val="22"/>
        </w:rPr>
        <w:t>.</w:t>
      </w:r>
    </w:p>
    <w:p w14:paraId="1BFDAEFD" w14:textId="77777777" w:rsidR="004D4496" w:rsidRPr="009B5064" w:rsidRDefault="00BE6AD2" w:rsidP="00CA47A2">
      <w:pPr>
        <w:pStyle w:val="Bibliography"/>
        <w:spacing w:line="480" w:lineRule="auto"/>
        <w:rPr>
          <w:rFonts w:ascii="Calibri" w:hAnsi="Calibri" w:cs="Calibri"/>
          <w:sz w:val="22"/>
        </w:rPr>
      </w:pPr>
      <w:r w:rsidRPr="009B5064">
        <w:rPr>
          <w:rFonts w:ascii="Calibri" w:hAnsi="Calibri" w:cs="Calibri"/>
          <w:sz w:val="22"/>
        </w:rPr>
        <w:t xml:space="preserve">[3]   </w:t>
      </w:r>
      <w:r w:rsidR="00393907" w:rsidRPr="009B5064">
        <w:rPr>
          <w:rFonts w:ascii="Calibri" w:hAnsi="Calibri" w:cs="Calibri"/>
          <w:sz w:val="22"/>
        </w:rPr>
        <w:t>Ebrahim</w:t>
      </w:r>
      <w:r w:rsidR="00442513" w:rsidRPr="009B5064">
        <w:rPr>
          <w:rFonts w:ascii="Calibri" w:hAnsi="Calibri" w:cs="Calibri"/>
          <w:sz w:val="22"/>
        </w:rPr>
        <w:t>,</w:t>
      </w:r>
      <w:r w:rsidR="00393907" w:rsidRPr="009B5064">
        <w:rPr>
          <w:rFonts w:ascii="Calibri" w:hAnsi="Calibri" w:cs="Calibri"/>
          <w:sz w:val="22"/>
        </w:rPr>
        <w:t xml:space="preserve"> S</w:t>
      </w:r>
      <w:r w:rsidR="00442513" w:rsidRPr="009B5064">
        <w:rPr>
          <w:rFonts w:ascii="Calibri" w:hAnsi="Calibri" w:cs="Calibri"/>
          <w:sz w:val="22"/>
        </w:rPr>
        <w:t>.</w:t>
      </w:r>
      <w:r w:rsidR="00393907" w:rsidRPr="009B5064">
        <w:rPr>
          <w:rFonts w:ascii="Calibri" w:hAnsi="Calibri" w:cs="Calibri"/>
          <w:sz w:val="22"/>
        </w:rPr>
        <w:t>, May</w:t>
      </w:r>
      <w:r w:rsidR="00442513" w:rsidRPr="009B5064">
        <w:rPr>
          <w:rFonts w:ascii="Calibri" w:hAnsi="Calibri" w:cs="Calibri"/>
          <w:sz w:val="22"/>
        </w:rPr>
        <w:t>,</w:t>
      </w:r>
      <w:r w:rsidR="00393907" w:rsidRPr="009B5064">
        <w:rPr>
          <w:rFonts w:ascii="Calibri" w:hAnsi="Calibri" w:cs="Calibri"/>
          <w:sz w:val="22"/>
        </w:rPr>
        <w:t xml:space="preserve"> M</w:t>
      </w:r>
      <w:r w:rsidR="00442513" w:rsidRPr="009B5064">
        <w:rPr>
          <w:rFonts w:ascii="Calibri" w:hAnsi="Calibri" w:cs="Calibri"/>
          <w:sz w:val="22"/>
        </w:rPr>
        <w:t>.</w:t>
      </w:r>
      <w:r w:rsidR="00393907" w:rsidRPr="009B5064">
        <w:rPr>
          <w:rFonts w:ascii="Calibri" w:hAnsi="Calibri" w:cs="Calibri"/>
          <w:sz w:val="22"/>
        </w:rPr>
        <w:t>, Ben Shlomo</w:t>
      </w:r>
      <w:r w:rsidR="00442513" w:rsidRPr="009B5064">
        <w:rPr>
          <w:rFonts w:ascii="Calibri" w:hAnsi="Calibri" w:cs="Calibri"/>
          <w:sz w:val="22"/>
        </w:rPr>
        <w:t>,</w:t>
      </w:r>
      <w:r w:rsidR="00393907" w:rsidRPr="009B5064">
        <w:rPr>
          <w:rFonts w:ascii="Calibri" w:hAnsi="Calibri" w:cs="Calibri"/>
          <w:sz w:val="22"/>
        </w:rPr>
        <w:t xml:space="preserve"> Y</w:t>
      </w:r>
      <w:r w:rsidR="00442513" w:rsidRPr="009B5064">
        <w:rPr>
          <w:rFonts w:ascii="Calibri" w:hAnsi="Calibri" w:cs="Calibri"/>
          <w:sz w:val="22"/>
        </w:rPr>
        <w:t>.</w:t>
      </w:r>
      <w:r w:rsidR="00393907" w:rsidRPr="009B5064">
        <w:rPr>
          <w:rFonts w:ascii="Calibri" w:hAnsi="Calibri" w:cs="Calibri"/>
          <w:sz w:val="22"/>
        </w:rPr>
        <w:t>, McCarron</w:t>
      </w:r>
      <w:r w:rsidR="00442513" w:rsidRPr="009B5064">
        <w:rPr>
          <w:rFonts w:ascii="Calibri" w:hAnsi="Calibri" w:cs="Calibri"/>
          <w:sz w:val="22"/>
        </w:rPr>
        <w:t>,</w:t>
      </w:r>
      <w:r w:rsidR="00393907" w:rsidRPr="009B5064">
        <w:rPr>
          <w:rFonts w:ascii="Calibri" w:hAnsi="Calibri" w:cs="Calibri"/>
          <w:sz w:val="22"/>
        </w:rPr>
        <w:t xml:space="preserve"> P</w:t>
      </w:r>
      <w:r w:rsidR="00442513" w:rsidRPr="009B5064">
        <w:rPr>
          <w:rFonts w:ascii="Calibri" w:hAnsi="Calibri" w:cs="Calibri"/>
          <w:sz w:val="22"/>
        </w:rPr>
        <w:t>.</w:t>
      </w:r>
      <w:r w:rsidR="00393907" w:rsidRPr="009B5064">
        <w:rPr>
          <w:rFonts w:ascii="Calibri" w:hAnsi="Calibri" w:cs="Calibri"/>
          <w:sz w:val="22"/>
        </w:rPr>
        <w:t>, Frankel</w:t>
      </w:r>
      <w:r w:rsidR="00442513" w:rsidRPr="009B5064">
        <w:rPr>
          <w:rFonts w:ascii="Calibri" w:hAnsi="Calibri" w:cs="Calibri"/>
          <w:sz w:val="22"/>
        </w:rPr>
        <w:t>,</w:t>
      </w:r>
      <w:r w:rsidR="00393907" w:rsidRPr="009B5064">
        <w:rPr>
          <w:rFonts w:ascii="Calibri" w:hAnsi="Calibri" w:cs="Calibri"/>
          <w:sz w:val="22"/>
        </w:rPr>
        <w:t xml:space="preserve"> S</w:t>
      </w:r>
      <w:r w:rsidR="00442513" w:rsidRPr="009B5064">
        <w:rPr>
          <w:rFonts w:ascii="Calibri" w:hAnsi="Calibri" w:cs="Calibri"/>
          <w:sz w:val="22"/>
        </w:rPr>
        <w:t>.</w:t>
      </w:r>
      <w:r w:rsidR="00393907" w:rsidRPr="009B5064">
        <w:rPr>
          <w:rFonts w:ascii="Calibri" w:hAnsi="Calibri" w:cs="Calibri"/>
          <w:sz w:val="22"/>
        </w:rPr>
        <w:t>, Yarnell</w:t>
      </w:r>
      <w:r w:rsidR="00442513" w:rsidRPr="009B5064">
        <w:rPr>
          <w:rFonts w:ascii="Calibri" w:hAnsi="Calibri" w:cs="Calibri"/>
          <w:sz w:val="22"/>
        </w:rPr>
        <w:t>,</w:t>
      </w:r>
      <w:r w:rsidR="00393907" w:rsidRPr="009B5064">
        <w:rPr>
          <w:rFonts w:ascii="Calibri" w:hAnsi="Calibri" w:cs="Calibri"/>
          <w:sz w:val="22"/>
        </w:rPr>
        <w:t xml:space="preserve"> J</w:t>
      </w:r>
      <w:r w:rsidR="00442513" w:rsidRPr="009B5064">
        <w:rPr>
          <w:rFonts w:ascii="Calibri" w:hAnsi="Calibri" w:cs="Calibri"/>
          <w:sz w:val="22"/>
        </w:rPr>
        <w:t>.</w:t>
      </w:r>
      <w:r w:rsidR="00393907" w:rsidRPr="009B5064">
        <w:rPr>
          <w:rFonts w:ascii="Calibri" w:hAnsi="Calibri" w:cs="Calibri"/>
          <w:sz w:val="22"/>
        </w:rPr>
        <w:t>, Davey Smith</w:t>
      </w:r>
      <w:r w:rsidR="00442513" w:rsidRPr="009B5064">
        <w:rPr>
          <w:rFonts w:ascii="Calibri" w:hAnsi="Calibri" w:cs="Calibri"/>
          <w:sz w:val="22"/>
        </w:rPr>
        <w:t>,</w:t>
      </w:r>
      <w:r w:rsidR="00393907" w:rsidRPr="009B5064">
        <w:rPr>
          <w:rFonts w:ascii="Calibri" w:hAnsi="Calibri" w:cs="Calibri"/>
          <w:sz w:val="22"/>
        </w:rPr>
        <w:t xml:space="preserve"> G</w:t>
      </w:r>
      <w:r w:rsidR="004D4496" w:rsidRPr="009B5064">
        <w:rPr>
          <w:rFonts w:ascii="Calibri" w:hAnsi="Calibri" w:cs="Calibri"/>
          <w:sz w:val="22"/>
        </w:rPr>
        <w:t>.</w:t>
      </w:r>
      <w:r w:rsidR="00B033A9" w:rsidRPr="009B5064">
        <w:rPr>
          <w:rFonts w:ascii="Calibri" w:hAnsi="Calibri" w:cs="Calibri"/>
          <w:sz w:val="22"/>
        </w:rPr>
        <w:t>:</w:t>
      </w:r>
      <w:r w:rsidR="004D4496" w:rsidRPr="009B5064">
        <w:rPr>
          <w:rFonts w:ascii="Calibri" w:hAnsi="Calibri" w:cs="Calibri"/>
          <w:sz w:val="22"/>
        </w:rPr>
        <w:t xml:space="preserve"> Sexual intercourse and risk of ischaemic stroke and coronary heart disease: the Caerphilly stud</w:t>
      </w:r>
      <w:r w:rsidR="00EB49B2" w:rsidRPr="009B5064">
        <w:rPr>
          <w:rFonts w:ascii="Calibri" w:hAnsi="Calibri" w:cs="Calibri"/>
          <w:sz w:val="22"/>
        </w:rPr>
        <w:t>y. J Epidemiol Community Health</w:t>
      </w:r>
      <w:r w:rsidR="00AC256F" w:rsidRPr="009B5064">
        <w:rPr>
          <w:rFonts w:ascii="Calibri" w:hAnsi="Calibri" w:cs="Calibri"/>
          <w:sz w:val="22"/>
        </w:rPr>
        <w:t>.</w:t>
      </w:r>
      <w:r w:rsidR="006A563C" w:rsidRPr="009B5064">
        <w:rPr>
          <w:rFonts w:ascii="Calibri" w:hAnsi="Calibri" w:cs="Calibri"/>
          <w:sz w:val="22"/>
        </w:rPr>
        <w:t xml:space="preserve"> 56(2), 99–102 (2002)</w:t>
      </w:r>
      <w:r w:rsidR="0068640F" w:rsidRPr="009B5064">
        <w:rPr>
          <w:rFonts w:ascii="Calibri" w:hAnsi="Calibri" w:cs="Calibri"/>
          <w:sz w:val="22"/>
        </w:rPr>
        <w:t>.</w:t>
      </w:r>
    </w:p>
    <w:p w14:paraId="6E2EE2AB" w14:textId="77777777" w:rsidR="004D4496" w:rsidRPr="009B5064" w:rsidRDefault="00B033A9" w:rsidP="00CA47A2">
      <w:pPr>
        <w:pStyle w:val="Bibliography"/>
        <w:spacing w:line="480" w:lineRule="auto"/>
        <w:rPr>
          <w:rFonts w:ascii="Calibri" w:hAnsi="Calibri" w:cs="Calibri"/>
          <w:sz w:val="22"/>
        </w:rPr>
      </w:pPr>
      <w:r w:rsidRPr="009B5064">
        <w:rPr>
          <w:rFonts w:ascii="Calibri" w:hAnsi="Calibri" w:cs="Calibri"/>
          <w:sz w:val="22"/>
        </w:rPr>
        <w:t xml:space="preserve">[4]  </w:t>
      </w:r>
      <w:r w:rsidR="004D4496" w:rsidRPr="009B5064">
        <w:rPr>
          <w:rFonts w:ascii="Calibri" w:hAnsi="Calibri" w:cs="Calibri"/>
          <w:sz w:val="22"/>
        </w:rPr>
        <w:t>Lê</w:t>
      </w:r>
      <w:r w:rsidR="00442513" w:rsidRPr="009B5064">
        <w:rPr>
          <w:rFonts w:ascii="Calibri" w:hAnsi="Calibri" w:cs="Calibri"/>
          <w:sz w:val="22"/>
        </w:rPr>
        <w:t>,</w:t>
      </w:r>
      <w:r w:rsidR="004D4496" w:rsidRPr="009B5064">
        <w:rPr>
          <w:rFonts w:ascii="Calibri" w:hAnsi="Calibri" w:cs="Calibri"/>
          <w:sz w:val="22"/>
        </w:rPr>
        <w:t xml:space="preserve"> M</w:t>
      </w:r>
      <w:r w:rsidR="00442513" w:rsidRPr="009B5064">
        <w:rPr>
          <w:rFonts w:ascii="Calibri" w:hAnsi="Calibri" w:cs="Calibri"/>
          <w:sz w:val="22"/>
        </w:rPr>
        <w:t>.</w:t>
      </w:r>
      <w:r w:rsidR="004D4496" w:rsidRPr="009B5064">
        <w:rPr>
          <w:rFonts w:ascii="Calibri" w:hAnsi="Calibri" w:cs="Calibri"/>
          <w:sz w:val="22"/>
        </w:rPr>
        <w:t>G</w:t>
      </w:r>
      <w:r w:rsidR="00442513" w:rsidRPr="009B5064">
        <w:rPr>
          <w:rFonts w:ascii="Calibri" w:hAnsi="Calibri" w:cs="Calibri"/>
          <w:sz w:val="22"/>
        </w:rPr>
        <w:t>.</w:t>
      </w:r>
      <w:r w:rsidR="004D4496" w:rsidRPr="009B5064">
        <w:rPr>
          <w:rFonts w:ascii="Calibri" w:hAnsi="Calibri" w:cs="Calibri"/>
          <w:sz w:val="22"/>
        </w:rPr>
        <w:t>, Bachelot</w:t>
      </w:r>
      <w:r w:rsidR="00442513" w:rsidRPr="009B5064">
        <w:rPr>
          <w:rFonts w:ascii="Calibri" w:hAnsi="Calibri" w:cs="Calibri"/>
          <w:sz w:val="22"/>
        </w:rPr>
        <w:t>,</w:t>
      </w:r>
      <w:r w:rsidR="004D4496" w:rsidRPr="009B5064">
        <w:rPr>
          <w:rFonts w:ascii="Calibri" w:hAnsi="Calibri" w:cs="Calibri"/>
          <w:sz w:val="22"/>
        </w:rPr>
        <w:t xml:space="preserve"> A</w:t>
      </w:r>
      <w:r w:rsidR="00442513" w:rsidRPr="009B5064">
        <w:rPr>
          <w:rFonts w:ascii="Calibri" w:hAnsi="Calibri" w:cs="Calibri"/>
          <w:sz w:val="22"/>
        </w:rPr>
        <w:t>.</w:t>
      </w:r>
      <w:r w:rsidR="004D4496" w:rsidRPr="009B5064">
        <w:rPr>
          <w:rFonts w:ascii="Calibri" w:hAnsi="Calibri" w:cs="Calibri"/>
          <w:sz w:val="22"/>
        </w:rPr>
        <w:t>, Hill</w:t>
      </w:r>
      <w:r w:rsidR="00442513" w:rsidRPr="009B5064">
        <w:rPr>
          <w:rFonts w:ascii="Calibri" w:hAnsi="Calibri" w:cs="Calibri"/>
          <w:sz w:val="22"/>
        </w:rPr>
        <w:t>,</w:t>
      </w:r>
      <w:r w:rsidR="004D4496" w:rsidRPr="009B5064">
        <w:rPr>
          <w:rFonts w:ascii="Calibri" w:hAnsi="Calibri" w:cs="Calibri"/>
          <w:sz w:val="22"/>
        </w:rPr>
        <w:t xml:space="preserve"> C.</w:t>
      </w:r>
      <w:r w:rsidRPr="009B5064">
        <w:rPr>
          <w:rFonts w:ascii="Calibri" w:hAnsi="Calibri" w:cs="Calibri"/>
          <w:sz w:val="22"/>
        </w:rPr>
        <w:t>:</w:t>
      </w:r>
      <w:r w:rsidR="004D4496" w:rsidRPr="009B5064">
        <w:rPr>
          <w:rFonts w:ascii="Calibri" w:hAnsi="Calibri" w:cs="Calibri"/>
          <w:sz w:val="22"/>
        </w:rPr>
        <w:t xml:space="preserve"> Characteristics of reproductive life and risk of breast cancer in a case-control study of young null</w:t>
      </w:r>
      <w:r w:rsidR="004B08F7" w:rsidRPr="009B5064">
        <w:rPr>
          <w:rFonts w:ascii="Calibri" w:hAnsi="Calibri" w:cs="Calibri"/>
          <w:sz w:val="22"/>
        </w:rPr>
        <w:t>iparous women. J Clin Epidemiol</w:t>
      </w:r>
      <w:r w:rsidR="00AC256F" w:rsidRPr="009B5064">
        <w:rPr>
          <w:rFonts w:ascii="Calibri" w:hAnsi="Calibri" w:cs="Calibri"/>
          <w:sz w:val="22"/>
        </w:rPr>
        <w:t>.</w:t>
      </w:r>
      <w:r w:rsidR="006A563C" w:rsidRPr="009B5064">
        <w:rPr>
          <w:rFonts w:ascii="Calibri" w:hAnsi="Calibri" w:cs="Calibri"/>
          <w:sz w:val="22"/>
        </w:rPr>
        <w:t xml:space="preserve"> 42(12), </w:t>
      </w:r>
      <w:r w:rsidR="0068640F" w:rsidRPr="009B5064">
        <w:rPr>
          <w:rFonts w:ascii="Calibri" w:hAnsi="Calibri" w:cs="Calibri"/>
          <w:sz w:val="22"/>
        </w:rPr>
        <w:t>1227–1233 (</w:t>
      </w:r>
      <w:r w:rsidR="006A563C" w:rsidRPr="009B5064">
        <w:rPr>
          <w:rFonts w:ascii="Calibri" w:hAnsi="Calibri" w:cs="Calibri"/>
          <w:sz w:val="22"/>
        </w:rPr>
        <w:t>1989</w:t>
      </w:r>
      <w:r w:rsidR="0068640F" w:rsidRPr="009B5064">
        <w:rPr>
          <w:rFonts w:ascii="Calibri" w:hAnsi="Calibri" w:cs="Calibri"/>
          <w:sz w:val="22"/>
        </w:rPr>
        <w:t>).</w:t>
      </w:r>
    </w:p>
    <w:p w14:paraId="17BAB442" w14:textId="77777777" w:rsidR="004D4496" w:rsidRPr="009B5064" w:rsidRDefault="00BE6AD2" w:rsidP="00CA47A2">
      <w:pPr>
        <w:pStyle w:val="Bibliography"/>
        <w:spacing w:line="480" w:lineRule="auto"/>
        <w:rPr>
          <w:rFonts w:ascii="Calibri" w:hAnsi="Calibri" w:cs="Calibri"/>
          <w:sz w:val="22"/>
        </w:rPr>
      </w:pPr>
      <w:r w:rsidRPr="009B5064">
        <w:rPr>
          <w:rFonts w:ascii="Calibri" w:hAnsi="Calibri" w:cs="Calibri"/>
          <w:sz w:val="22"/>
        </w:rPr>
        <w:t>[5]</w:t>
      </w:r>
      <w:r w:rsidR="004D4496" w:rsidRPr="009B5064">
        <w:rPr>
          <w:rFonts w:ascii="Calibri" w:hAnsi="Calibri" w:cs="Calibri"/>
          <w:sz w:val="22"/>
        </w:rPr>
        <w:t xml:space="preserve"> </w:t>
      </w:r>
      <w:r w:rsidR="004D4496" w:rsidRPr="009B5064">
        <w:rPr>
          <w:rFonts w:ascii="Calibri" w:hAnsi="Calibri" w:cs="Calibri"/>
          <w:sz w:val="22"/>
        </w:rPr>
        <w:tab/>
        <w:t>Bosland</w:t>
      </w:r>
      <w:r w:rsidR="00442513" w:rsidRPr="009B5064">
        <w:rPr>
          <w:rFonts w:ascii="Calibri" w:hAnsi="Calibri" w:cs="Calibri"/>
          <w:sz w:val="22"/>
        </w:rPr>
        <w:t>,</w:t>
      </w:r>
      <w:r w:rsidR="004D4496" w:rsidRPr="009B5064">
        <w:rPr>
          <w:rFonts w:ascii="Calibri" w:hAnsi="Calibri" w:cs="Calibri"/>
          <w:sz w:val="22"/>
        </w:rPr>
        <w:t xml:space="preserve"> M</w:t>
      </w:r>
      <w:r w:rsidR="00442513" w:rsidRPr="009B5064">
        <w:rPr>
          <w:rFonts w:ascii="Calibri" w:hAnsi="Calibri" w:cs="Calibri"/>
          <w:sz w:val="22"/>
        </w:rPr>
        <w:t>.</w:t>
      </w:r>
      <w:r w:rsidR="004D4496" w:rsidRPr="009B5064">
        <w:rPr>
          <w:rFonts w:ascii="Calibri" w:hAnsi="Calibri" w:cs="Calibri"/>
          <w:sz w:val="22"/>
        </w:rPr>
        <w:t>C.</w:t>
      </w:r>
      <w:r w:rsidR="00B033A9" w:rsidRPr="009B5064">
        <w:rPr>
          <w:rFonts w:ascii="Calibri" w:hAnsi="Calibri" w:cs="Calibri"/>
          <w:sz w:val="22"/>
        </w:rPr>
        <w:t>:</w:t>
      </w:r>
      <w:r w:rsidR="004D4496" w:rsidRPr="009B5064">
        <w:rPr>
          <w:rFonts w:ascii="Calibri" w:hAnsi="Calibri" w:cs="Calibri"/>
          <w:sz w:val="22"/>
        </w:rPr>
        <w:t xml:space="preserve"> The etiopathogenesis of prostatic cancer with special reference to enviro</w:t>
      </w:r>
      <w:r w:rsidR="004B08F7" w:rsidRPr="009B5064">
        <w:rPr>
          <w:rFonts w:ascii="Calibri" w:hAnsi="Calibri" w:cs="Calibri"/>
          <w:sz w:val="22"/>
        </w:rPr>
        <w:t>nmental factors. Adv Cancer Res</w:t>
      </w:r>
      <w:r w:rsidR="00AC256F" w:rsidRPr="009B5064">
        <w:rPr>
          <w:rFonts w:ascii="Calibri" w:hAnsi="Calibri" w:cs="Calibri"/>
          <w:sz w:val="22"/>
        </w:rPr>
        <w:t>.</w:t>
      </w:r>
      <w:r w:rsidR="0038318A" w:rsidRPr="009B5064">
        <w:rPr>
          <w:rFonts w:ascii="Calibri" w:hAnsi="Calibri" w:cs="Calibri"/>
          <w:sz w:val="22"/>
        </w:rPr>
        <w:t xml:space="preserve"> 51, 1–106 (</w:t>
      </w:r>
      <w:r w:rsidR="006A563C" w:rsidRPr="009B5064">
        <w:rPr>
          <w:rFonts w:ascii="Calibri" w:hAnsi="Calibri" w:cs="Calibri"/>
          <w:sz w:val="22"/>
        </w:rPr>
        <w:t>1988</w:t>
      </w:r>
      <w:r w:rsidR="0038318A" w:rsidRPr="009B5064">
        <w:rPr>
          <w:rFonts w:ascii="Calibri" w:hAnsi="Calibri" w:cs="Calibri"/>
          <w:sz w:val="22"/>
        </w:rPr>
        <w:t>).</w:t>
      </w:r>
    </w:p>
    <w:p w14:paraId="70A1FE72" w14:textId="77777777" w:rsidR="004D4496" w:rsidRPr="009B5064" w:rsidRDefault="00BE6AD2" w:rsidP="00CA47A2">
      <w:pPr>
        <w:pStyle w:val="Bibliography"/>
        <w:spacing w:line="480" w:lineRule="auto"/>
        <w:rPr>
          <w:rFonts w:ascii="Calibri" w:hAnsi="Calibri" w:cs="Calibri"/>
          <w:sz w:val="22"/>
        </w:rPr>
      </w:pPr>
      <w:r w:rsidRPr="009B5064">
        <w:rPr>
          <w:rFonts w:ascii="Calibri" w:hAnsi="Calibri" w:cs="Calibri"/>
          <w:sz w:val="22"/>
        </w:rPr>
        <w:t>[6]</w:t>
      </w:r>
      <w:r w:rsidR="00C266A2" w:rsidRPr="009B5064">
        <w:rPr>
          <w:rFonts w:ascii="Calibri" w:hAnsi="Calibri" w:cs="Calibri"/>
          <w:sz w:val="22"/>
        </w:rPr>
        <w:t xml:space="preserve"> </w:t>
      </w:r>
      <w:r w:rsidR="00C266A2" w:rsidRPr="009B5064">
        <w:rPr>
          <w:rFonts w:ascii="Calibri" w:hAnsi="Calibri" w:cs="Calibri"/>
          <w:sz w:val="22"/>
        </w:rPr>
        <w:tab/>
        <w:t>Flynn</w:t>
      </w:r>
      <w:r w:rsidR="00442513" w:rsidRPr="009B5064">
        <w:rPr>
          <w:rFonts w:ascii="Calibri" w:hAnsi="Calibri" w:cs="Calibri"/>
          <w:sz w:val="22"/>
        </w:rPr>
        <w:t>,</w:t>
      </w:r>
      <w:r w:rsidR="00C266A2" w:rsidRPr="009B5064">
        <w:rPr>
          <w:rFonts w:ascii="Calibri" w:hAnsi="Calibri" w:cs="Calibri"/>
          <w:sz w:val="22"/>
        </w:rPr>
        <w:t xml:space="preserve"> T</w:t>
      </w:r>
      <w:r w:rsidR="00442513" w:rsidRPr="009B5064">
        <w:rPr>
          <w:rFonts w:ascii="Calibri" w:hAnsi="Calibri" w:cs="Calibri"/>
          <w:sz w:val="22"/>
        </w:rPr>
        <w:t>.</w:t>
      </w:r>
      <w:r w:rsidR="004D4496" w:rsidRPr="009B5064">
        <w:rPr>
          <w:rFonts w:ascii="Calibri" w:hAnsi="Calibri" w:cs="Calibri"/>
          <w:sz w:val="22"/>
        </w:rPr>
        <w:t>J</w:t>
      </w:r>
      <w:r w:rsidR="00442513" w:rsidRPr="009B5064">
        <w:rPr>
          <w:rFonts w:ascii="Calibri" w:hAnsi="Calibri" w:cs="Calibri"/>
          <w:sz w:val="22"/>
        </w:rPr>
        <w:t>.</w:t>
      </w:r>
      <w:r w:rsidR="004D4496" w:rsidRPr="009B5064">
        <w:rPr>
          <w:rFonts w:ascii="Calibri" w:hAnsi="Calibri" w:cs="Calibri"/>
          <w:sz w:val="22"/>
        </w:rPr>
        <w:t>, Gow</w:t>
      </w:r>
      <w:r w:rsidR="00442513" w:rsidRPr="009B5064">
        <w:rPr>
          <w:rFonts w:ascii="Calibri" w:hAnsi="Calibri" w:cs="Calibri"/>
          <w:sz w:val="22"/>
        </w:rPr>
        <w:t>,</w:t>
      </w:r>
      <w:r w:rsidR="004D4496" w:rsidRPr="009B5064">
        <w:rPr>
          <w:rFonts w:ascii="Calibri" w:hAnsi="Calibri" w:cs="Calibri"/>
          <w:sz w:val="22"/>
        </w:rPr>
        <w:t xml:space="preserve"> A</w:t>
      </w:r>
      <w:r w:rsidR="00442513" w:rsidRPr="009B5064">
        <w:rPr>
          <w:rFonts w:ascii="Calibri" w:hAnsi="Calibri" w:cs="Calibri"/>
          <w:sz w:val="22"/>
        </w:rPr>
        <w:t>.</w:t>
      </w:r>
      <w:r w:rsidR="004D4496" w:rsidRPr="009B5064">
        <w:rPr>
          <w:rFonts w:ascii="Calibri" w:hAnsi="Calibri" w:cs="Calibri"/>
          <w:sz w:val="22"/>
        </w:rPr>
        <w:t>J.</w:t>
      </w:r>
      <w:r w:rsidR="00B033A9" w:rsidRPr="009B5064">
        <w:rPr>
          <w:rFonts w:ascii="Calibri" w:hAnsi="Calibri" w:cs="Calibri"/>
          <w:sz w:val="22"/>
        </w:rPr>
        <w:t>:</w:t>
      </w:r>
      <w:r w:rsidR="004D4496" w:rsidRPr="009B5064">
        <w:rPr>
          <w:rFonts w:ascii="Calibri" w:hAnsi="Calibri" w:cs="Calibri"/>
          <w:sz w:val="22"/>
        </w:rPr>
        <w:t xml:space="preserve"> Examining associations between sexual behaviours and quality of life in ol</w:t>
      </w:r>
      <w:r w:rsidR="004B08F7" w:rsidRPr="009B5064">
        <w:rPr>
          <w:rFonts w:ascii="Calibri" w:hAnsi="Calibri" w:cs="Calibri"/>
          <w:sz w:val="22"/>
        </w:rPr>
        <w:t>der adults. Age Ageing</w:t>
      </w:r>
      <w:r w:rsidR="00AC256F" w:rsidRPr="009B5064">
        <w:rPr>
          <w:rFonts w:ascii="Calibri" w:hAnsi="Calibri" w:cs="Calibri"/>
          <w:sz w:val="22"/>
        </w:rPr>
        <w:t>.</w:t>
      </w:r>
      <w:r w:rsidR="0038318A" w:rsidRPr="009B5064">
        <w:rPr>
          <w:rFonts w:ascii="Calibri" w:hAnsi="Calibri" w:cs="Calibri"/>
          <w:sz w:val="22"/>
        </w:rPr>
        <w:t xml:space="preserve"> 44(5), </w:t>
      </w:r>
      <w:r w:rsidR="004D4496" w:rsidRPr="009B5064">
        <w:rPr>
          <w:rFonts w:ascii="Calibri" w:hAnsi="Calibri" w:cs="Calibri"/>
          <w:sz w:val="22"/>
        </w:rPr>
        <w:t>823–</w:t>
      </w:r>
      <w:r w:rsidR="0068640F" w:rsidRPr="009B5064">
        <w:rPr>
          <w:rFonts w:ascii="Calibri" w:hAnsi="Calibri" w:cs="Calibri"/>
          <w:sz w:val="22"/>
        </w:rPr>
        <w:t>82</w:t>
      </w:r>
      <w:r w:rsidR="0038318A" w:rsidRPr="009B5064">
        <w:rPr>
          <w:rFonts w:ascii="Calibri" w:hAnsi="Calibri" w:cs="Calibri"/>
          <w:sz w:val="22"/>
        </w:rPr>
        <w:t>8 (</w:t>
      </w:r>
      <w:r w:rsidR="006A563C" w:rsidRPr="009B5064">
        <w:rPr>
          <w:rFonts w:ascii="Calibri" w:hAnsi="Calibri" w:cs="Calibri"/>
          <w:sz w:val="22"/>
        </w:rPr>
        <w:t>2015</w:t>
      </w:r>
      <w:r w:rsidR="0038318A" w:rsidRPr="009B5064">
        <w:rPr>
          <w:rFonts w:ascii="Calibri" w:hAnsi="Calibri" w:cs="Calibri"/>
          <w:sz w:val="22"/>
        </w:rPr>
        <w:t>).</w:t>
      </w:r>
    </w:p>
    <w:p w14:paraId="11AB5DA5" w14:textId="77777777" w:rsidR="004D4496" w:rsidRPr="009B5064" w:rsidRDefault="00BE6AD2" w:rsidP="00CA47A2">
      <w:pPr>
        <w:pStyle w:val="Bibliography"/>
        <w:spacing w:line="480" w:lineRule="auto"/>
        <w:rPr>
          <w:rFonts w:ascii="Calibri" w:hAnsi="Calibri" w:cs="Calibri"/>
          <w:sz w:val="22"/>
        </w:rPr>
      </w:pPr>
      <w:r w:rsidRPr="009B5064">
        <w:rPr>
          <w:rFonts w:ascii="Calibri" w:hAnsi="Calibri" w:cs="Calibri"/>
          <w:sz w:val="22"/>
        </w:rPr>
        <w:t>[7]</w:t>
      </w:r>
      <w:r w:rsidR="004D4496" w:rsidRPr="009B5064">
        <w:rPr>
          <w:rFonts w:ascii="Calibri" w:hAnsi="Calibri" w:cs="Calibri"/>
          <w:sz w:val="22"/>
        </w:rPr>
        <w:t xml:space="preserve"> </w:t>
      </w:r>
      <w:r w:rsidR="004D4496" w:rsidRPr="009B5064">
        <w:rPr>
          <w:rFonts w:ascii="Calibri" w:hAnsi="Calibri" w:cs="Calibri"/>
          <w:sz w:val="22"/>
        </w:rPr>
        <w:tab/>
        <w:t>Brody</w:t>
      </w:r>
      <w:r w:rsidR="00442513" w:rsidRPr="009B5064">
        <w:rPr>
          <w:rFonts w:ascii="Calibri" w:hAnsi="Calibri" w:cs="Calibri"/>
          <w:sz w:val="22"/>
        </w:rPr>
        <w:t>,</w:t>
      </w:r>
      <w:r w:rsidR="004D4496" w:rsidRPr="009B5064">
        <w:rPr>
          <w:rFonts w:ascii="Calibri" w:hAnsi="Calibri" w:cs="Calibri"/>
          <w:sz w:val="22"/>
        </w:rPr>
        <w:t xml:space="preserve"> S</w:t>
      </w:r>
      <w:r w:rsidR="00442513" w:rsidRPr="009B5064">
        <w:rPr>
          <w:rFonts w:ascii="Calibri" w:hAnsi="Calibri" w:cs="Calibri"/>
          <w:sz w:val="22"/>
        </w:rPr>
        <w:t>.</w:t>
      </w:r>
      <w:r w:rsidR="004D4496" w:rsidRPr="009B5064">
        <w:rPr>
          <w:rFonts w:ascii="Calibri" w:hAnsi="Calibri" w:cs="Calibri"/>
          <w:sz w:val="22"/>
        </w:rPr>
        <w:t>, Costa</w:t>
      </w:r>
      <w:r w:rsidR="00442513" w:rsidRPr="009B5064">
        <w:rPr>
          <w:rFonts w:ascii="Calibri" w:hAnsi="Calibri" w:cs="Calibri"/>
          <w:sz w:val="22"/>
        </w:rPr>
        <w:t>,</w:t>
      </w:r>
      <w:r w:rsidR="004D4496" w:rsidRPr="009B5064">
        <w:rPr>
          <w:rFonts w:ascii="Calibri" w:hAnsi="Calibri" w:cs="Calibri"/>
          <w:sz w:val="22"/>
        </w:rPr>
        <w:t xml:space="preserve"> R</w:t>
      </w:r>
      <w:r w:rsidR="00442513" w:rsidRPr="009B5064">
        <w:rPr>
          <w:rFonts w:ascii="Calibri" w:hAnsi="Calibri" w:cs="Calibri"/>
          <w:sz w:val="22"/>
        </w:rPr>
        <w:t>.</w:t>
      </w:r>
      <w:r w:rsidR="004D4496" w:rsidRPr="009B5064">
        <w:rPr>
          <w:rFonts w:ascii="Calibri" w:hAnsi="Calibri" w:cs="Calibri"/>
          <w:sz w:val="22"/>
        </w:rPr>
        <w:t>M.</w:t>
      </w:r>
      <w:r w:rsidR="00B033A9" w:rsidRPr="009B5064">
        <w:rPr>
          <w:rFonts w:ascii="Calibri" w:hAnsi="Calibri" w:cs="Calibri"/>
          <w:sz w:val="22"/>
        </w:rPr>
        <w:t>:</w:t>
      </w:r>
      <w:r w:rsidR="004D4496" w:rsidRPr="009B5064">
        <w:rPr>
          <w:rFonts w:ascii="Calibri" w:hAnsi="Calibri" w:cs="Calibri"/>
          <w:sz w:val="22"/>
        </w:rPr>
        <w:t xml:space="preserve"> Satisfaction (sexual, life, relationship, and mental health) is associated directly with penile-vaginal intercourse, but inversely with other sexual be</w:t>
      </w:r>
      <w:r w:rsidR="004B08F7" w:rsidRPr="009B5064">
        <w:rPr>
          <w:rFonts w:ascii="Calibri" w:hAnsi="Calibri" w:cs="Calibri"/>
          <w:sz w:val="22"/>
        </w:rPr>
        <w:t>havior frequencies. J Sex Med</w:t>
      </w:r>
      <w:r w:rsidR="00AC256F" w:rsidRPr="009B5064">
        <w:rPr>
          <w:rFonts w:ascii="Calibri" w:hAnsi="Calibri" w:cs="Calibri"/>
          <w:sz w:val="22"/>
        </w:rPr>
        <w:t>.</w:t>
      </w:r>
      <w:r w:rsidR="0038318A" w:rsidRPr="009B5064">
        <w:rPr>
          <w:rFonts w:ascii="Calibri" w:hAnsi="Calibri" w:cs="Calibri"/>
          <w:sz w:val="22"/>
        </w:rPr>
        <w:t xml:space="preserve"> 6(7), </w:t>
      </w:r>
      <w:r w:rsidR="004D4496" w:rsidRPr="009B5064">
        <w:rPr>
          <w:rFonts w:ascii="Calibri" w:hAnsi="Calibri" w:cs="Calibri"/>
          <w:sz w:val="22"/>
        </w:rPr>
        <w:t>1947–</w:t>
      </w:r>
      <w:r w:rsidR="0068640F" w:rsidRPr="009B5064">
        <w:rPr>
          <w:rFonts w:ascii="Calibri" w:hAnsi="Calibri" w:cs="Calibri"/>
          <w:sz w:val="22"/>
        </w:rPr>
        <w:t>19</w:t>
      </w:r>
      <w:r w:rsidR="0038318A" w:rsidRPr="009B5064">
        <w:rPr>
          <w:rFonts w:ascii="Calibri" w:hAnsi="Calibri" w:cs="Calibri"/>
          <w:sz w:val="22"/>
        </w:rPr>
        <w:t>54 (</w:t>
      </w:r>
      <w:r w:rsidR="006A563C" w:rsidRPr="009B5064">
        <w:rPr>
          <w:rFonts w:ascii="Calibri" w:hAnsi="Calibri" w:cs="Calibri"/>
          <w:sz w:val="22"/>
        </w:rPr>
        <w:t>2009</w:t>
      </w:r>
      <w:r w:rsidR="0038318A" w:rsidRPr="009B5064">
        <w:rPr>
          <w:rFonts w:ascii="Calibri" w:hAnsi="Calibri" w:cs="Calibri"/>
          <w:sz w:val="22"/>
        </w:rPr>
        <w:t xml:space="preserve">). </w:t>
      </w:r>
    </w:p>
    <w:p w14:paraId="76342ABA" w14:textId="77777777" w:rsidR="00DF3718" w:rsidRPr="009B5064" w:rsidRDefault="00BE6AD2" w:rsidP="00DF3718">
      <w:pPr>
        <w:pStyle w:val="Bibliography"/>
        <w:spacing w:line="480" w:lineRule="auto"/>
        <w:rPr>
          <w:rFonts w:ascii="Calibri" w:hAnsi="Calibri" w:cs="Calibri"/>
          <w:sz w:val="22"/>
        </w:rPr>
      </w:pPr>
      <w:r w:rsidRPr="009B5064">
        <w:rPr>
          <w:rFonts w:ascii="Calibri" w:hAnsi="Calibri" w:cs="Calibri"/>
          <w:sz w:val="22"/>
        </w:rPr>
        <w:t>[8]</w:t>
      </w:r>
      <w:r w:rsidR="004D4496" w:rsidRPr="009B5064">
        <w:rPr>
          <w:rFonts w:ascii="Calibri" w:hAnsi="Calibri" w:cs="Calibri"/>
          <w:sz w:val="22"/>
        </w:rPr>
        <w:t xml:space="preserve"> </w:t>
      </w:r>
      <w:r w:rsidR="004D4496" w:rsidRPr="009B5064">
        <w:rPr>
          <w:rFonts w:ascii="Calibri" w:hAnsi="Calibri" w:cs="Calibri"/>
          <w:sz w:val="22"/>
        </w:rPr>
        <w:tab/>
        <w:t>McCabe</w:t>
      </w:r>
      <w:r w:rsidR="00442513" w:rsidRPr="009B5064">
        <w:rPr>
          <w:rFonts w:ascii="Calibri" w:hAnsi="Calibri" w:cs="Calibri"/>
          <w:sz w:val="22"/>
        </w:rPr>
        <w:t>,</w:t>
      </w:r>
      <w:r w:rsidR="004D4496" w:rsidRPr="009B5064">
        <w:rPr>
          <w:rFonts w:ascii="Calibri" w:hAnsi="Calibri" w:cs="Calibri"/>
          <w:sz w:val="22"/>
        </w:rPr>
        <w:t xml:space="preserve"> M</w:t>
      </w:r>
      <w:r w:rsidR="00442513" w:rsidRPr="009B5064">
        <w:rPr>
          <w:rFonts w:ascii="Calibri" w:hAnsi="Calibri" w:cs="Calibri"/>
          <w:sz w:val="22"/>
        </w:rPr>
        <w:t>.</w:t>
      </w:r>
      <w:r w:rsidR="004D4496" w:rsidRPr="009B5064">
        <w:rPr>
          <w:rFonts w:ascii="Calibri" w:hAnsi="Calibri" w:cs="Calibri"/>
          <w:sz w:val="22"/>
        </w:rPr>
        <w:t>P</w:t>
      </w:r>
      <w:r w:rsidR="00442513" w:rsidRPr="009B5064">
        <w:rPr>
          <w:rFonts w:ascii="Calibri" w:hAnsi="Calibri" w:cs="Calibri"/>
          <w:sz w:val="22"/>
        </w:rPr>
        <w:t>.</w:t>
      </w:r>
      <w:r w:rsidR="004D4496" w:rsidRPr="009B5064">
        <w:rPr>
          <w:rFonts w:ascii="Calibri" w:hAnsi="Calibri" w:cs="Calibri"/>
          <w:sz w:val="22"/>
        </w:rPr>
        <w:t>, Taleporos</w:t>
      </w:r>
      <w:r w:rsidR="00442513" w:rsidRPr="009B5064">
        <w:rPr>
          <w:rFonts w:ascii="Calibri" w:hAnsi="Calibri" w:cs="Calibri"/>
          <w:sz w:val="22"/>
        </w:rPr>
        <w:t>,</w:t>
      </w:r>
      <w:r w:rsidR="004D4496" w:rsidRPr="009B5064">
        <w:rPr>
          <w:rFonts w:ascii="Calibri" w:hAnsi="Calibri" w:cs="Calibri"/>
          <w:sz w:val="22"/>
        </w:rPr>
        <w:t xml:space="preserve"> G.</w:t>
      </w:r>
      <w:r w:rsidR="00B033A9" w:rsidRPr="009B5064">
        <w:rPr>
          <w:rFonts w:ascii="Calibri" w:hAnsi="Calibri" w:cs="Calibri"/>
          <w:sz w:val="22"/>
        </w:rPr>
        <w:t>:</w:t>
      </w:r>
      <w:r w:rsidR="004D4496" w:rsidRPr="009B5064">
        <w:rPr>
          <w:rFonts w:ascii="Calibri" w:hAnsi="Calibri" w:cs="Calibri"/>
          <w:sz w:val="22"/>
        </w:rPr>
        <w:t xml:space="preserve"> Sexual esteem, sexual satisfaction, and sexual behavior among people with phys</w:t>
      </w:r>
      <w:r w:rsidR="004B08F7" w:rsidRPr="009B5064">
        <w:rPr>
          <w:rFonts w:ascii="Calibri" w:hAnsi="Calibri" w:cs="Calibri"/>
          <w:sz w:val="22"/>
        </w:rPr>
        <w:t>ical disability. Arch Sex Behav</w:t>
      </w:r>
      <w:r w:rsidR="00AC256F" w:rsidRPr="009B5064">
        <w:rPr>
          <w:rFonts w:ascii="Calibri" w:hAnsi="Calibri" w:cs="Calibri"/>
          <w:sz w:val="22"/>
        </w:rPr>
        <w:t>.</w:t>
      </w:r>
      <w:r w:rsidR="0038318A" w:rsidRPr="009B5064">
        <w:rPr>
          <w:rFonts w:ascii="Calibri" w:hAnsi="Calibri" w:cs="Calibri"/>
          <w:sz w:val="22"/>
        </w:rPr>
        <w:t xml:space="preserve"> 32(4), </w:t>
      </w:r>
      <w:r w:rsidR="004D4496" w:rsidRPr="009B5064">
        <w:rPr>
          <w:rFonts w:ascii="Calibri" w:hAnsi="Calibri" w:cs="Calibri"/>
          <w:sz w:val="22"/>
        </w:rPr>
        <w:t>359–</w:t>
      </w:r>
      <w:r w:rsidR="0068640F" w:rsidRPr="009B5064">
        <w:rPr>
          <w:rFonts w:ascii="Calibri" w:hAnsi="Calibri" w:cs="Calibri"/>
          <w:sz w:val="22"/>
        </w:rPr>
        <w:t>3</w:t>
      </w:r>
      <w:r w:rsidR="0038318A" w:rsidRPr="009B5064">
        <w:rPr>
          <w:rFonts w:ascii="Calibri" w:hAnsi="Calibri" w:cs="Calibri"/>
          <w:sz w:val="22"/>
        </w:rPr>
        <w:t>69 (</w:t>
      </w:r>
      <w:r w:rsidR="006A563C" w:rsidRPr="009B5064">
        <w:rPr>
          <w:rFonts w:ascii="Calibri" w:hAnsi="Calibri" w:cs="Calibri"/>
          <w:sz w:val="22"/>
        </w:rPr>
        <w:t>2003</w:t>
      </w:r>
      <w:r w:rsidR="0038318A" w:rsidRPr="009B5064">
        <w:rPr>
          <w:rFonts w:ascii="Calibri" w:hAnsi="Calibri" w:cs="Calibri"/>
          <w:sz w:val="22"/>
        </w:rPr>
        <w:t xml:space="preserve">). </w:t>
      </w:r>
    </w:p>
    <w:p w14:paraId="4A580CB8" w14:textId="77777777" w:rsidR="00BE6AD2" w:rsidRPr="009B5064" w:rsidRDefault="00BE6AD2" w:rsidP="008D52EA">
      <w:pPr>
        <w:pStyle w:val="Bibliography"/>
        <w:spacing w:line="480" w:lineRule="auto"/>
        <w:rPr>
          <w:rFonts w:ascii="Calibri" w:hAnsi="Calibri"/>
          <w:sz w:val="22"/>
          <w:szCs w:val="22"/>
          <w:shd w:val="clear" w:color="auto" w:fill="FFFFFF"/>
        </w:rPr>
      </w:pPr>
      <w:r w:rsidRPr="009B5064">
        <w:rPr>
          <w:rFonts w:ascii="Calibri" w:hAnsi="Calibri" w:cs="Calibri"/>
          <w:sz w:val="22"/>
          <w:szCs w:val="22"/>
        </w:rPr>
        <w:lastRenderedPageBreak/>
        <w:t>[9]</w:t>
      </w:r>
      <w:r w:rsidR="004D4496" w:rsidRPr="009B5064">
        <w:rPr>
          <w:rFonts w:ascii="Calibri" w:hAnsi="Calibri" w:cs="Calibri"/>
          <w:sz w:val="22"/>
          <w:szCs w:val="22"/>
        </w:rPr>
        <w:t xml:space="preserve"> </w:t>
      </w:r>
      <w:r w:rsidR="004D4496" w:rsidRPr="009B5064">
        <w:rPr>
          <w:rFonts w:ascii="Calibri" w:hAnsi="Calibri" w:cs="Calibri"/>
          <w:sz w:val="22"/>
          <w:szCs w:val="22"/>
        </w:rPr>
        <w:tab/>
      </w:r>
      <w:r w:rsidR="008D52EA" w:rsidRPr="009B5064">
        <w:rPr>
          <w:rFonts w:ascii="Calibri" w:hAnsi="Calibri"/>
          <w:sz w:val="22"/>
          <w:szCs w:val="22"/>
        </w:rPr>
        <w:t>RNIB</w:t>
      </w:r>
      <w:r w:rsidRPr="009B5064">
        <w:rPr>
          <w:rFonts w:ascii="Calibri" w:hAnsi="Calibri"/>
          <w:sz w:val="22"/>
          <w:szCs w:val="22"/>
        </w:rPr>
        <w:t>.</w:t>
      </w:r>
      <w:r w:rsidR="00B033A9" w:rsidRPr="009B5064">
        <w:rPr>
          <w:rFonts w:ascii="Calibri" w:hAnsi="Calibri"/>
          <w:sz w:val="22"/>
          <w:szCs w:val="22"/>
        </w:rPr>
        <w:t>:</w:t>
      </w:r>
      <w:r w:rsidRPr="009B5064">
        <w:rPr>
          <w:rFonts w:ascii="Calibri" w:hAnsi="Calibri"/>
          <w:sz w:val="22"/>
          <w:szCs w:val="22"/>
        </w:rPr>
        <w:t xml:space="preserve"> Future Sight Loss UK 1: Economic Impact of Partial Sight and Blind</w:t>
      </w:r>
      <w:r w:rsidR="008D52EA" w:rsidRPr="009B5064">
        <w:rPr>
          <w:rFonts w:ascii="Calibri" w:hAnsi="Calibri"/>
          <w:sz w:val="22"/>
          <w:szCs w:val="22"/>
        </w:rPr>
        <w:t xml:space="preserve">ness </w:t>
      </w:r>
      <w:r w:rsidR="00DF3718" w:rsidRPr="009B5064">
        <w:rPr>
          <w:rFonts w:ascii="Calibri" w:hAnsi="Calibri"/>
          <w:sz w:val="22"/>
          <w:szCs w:val="22"/>
        </w:rPr>
        <w:t>in the UK adult population.</w:t>
      </w:r>
      <w:r w:rsidR="008D52EA" w:rsidRPr="009B5064">
        <w:rPr>
          <w:rFonts w:ascii="Calibri" w:hAnsi="Calibri"/>
          <w:i/>
          <w:sz w:val="22"/>
          <w:szCs w:val="22"/>
        </w:rPr>
        <w:t xml:space="preserve"> </w:t>
      </w:r>
      <w:r w:rsidRPr="009B5064">
        <w:rPr>
          <w:rFonts w:ascii="Calibri" w:hAnsi="Calibri"/>
          <w:sz w:val="22"/>
          <w:szCs w:val="22"/>
        </w:rPr>
        <w:t>https://www.rnib.org.uk/knowledge-and-research-hub/research-reports/general-research/future-sight-loss-uk-1</w:t>
      </w:r>
      <w:r w:rsidR="00DF3718" w:rsidRPr="009B5064">
        <w:rPr>
          <w:rFonts w:ascii="Calibri" w:hAnsi="Calibri"/>
          <w:sz w:val="22"/>
          <w:szCs w:val="22"/>
        </w:rPr>
        <w:t xml:space="preserve"> (</w:t>
      </w:r>
      <w:r w:rsidR="008D52EA" w:rsidRPr="009B5064">
        <w:rPr>
          <w:rFonts w:ascii="Calibri" w:hAnsi="Calibri"/>
          <w:sz w:val="22"/>
          <w:szCs w:val="22"/>
        </w:rPr>
        <w:t>2014</w:t>
      </w:r>
      <w:r w:rsidR="00DF3718" w:rsidRPr="009B5064">
        <w:rPr>
          <w:rFonts w:ascii="Calibri" w:hAnsi="Calibri"/>
          <w:sz w:val="22"/>
          <w:szCs w:val="22"/>
        </w:rPr>
        <w:t>). A</w:t>
      </w:r>
      <w:r w:rsidR="008D52EA" w:rsidRPr="009B5064">
        <w:rPr>
          <w:rFonts w:ascii="Calibri" w:hAnsi="Calibri"/>
          <w:sz w:val="22"/>
          <w:szCs w:val="22"/>
          <w:shd w:val="clear" w:color="auto" w:fill="FFFFFF"/>
        </w:rPr>
        <w:t>ccessed 15</w:t>
      </w:r>
      <w:r w:rsidRPr="009B5064">
        <w:rPr>
          <w:rFonts w:ascii="Calibri" w:hAnsi="Calibri"/>
          <w:sz w:val="22"/>
          <w:szCs w:val="22"/>
          <w:shd w:val="clear" w:color="auto" w:fill="FFFFFF"/>
        </w:rPr>
        <w:t xml:space="preserve"> </w:t>
      </w:r>
      <w:r w:rsidR="008D52EA" w:rsidRPr="009B5064">
        <w:rPr>
          <w:rFonts w:ascii="Calibri" w:hAnsi="Calibri"/>
          <w:sz w:val="22"/>
          <w:szCs w:val="22"/>
          <w:shd w:val="clear" w:color="auto" w:fill="FFFFFF"/>
        </w:rPr>
        <w:t>Sep</w:t>
      </w:r>
      <w:r w:rsidR="00DF3718" w:rsidRPr="009B5064">
        <w:rPr>
          <w:rFonts w:ascii="Calibri" w:hAnsi="Calibri"/>
          <w:sz w:val="22"/>
          <w:szCs w:val="22"/>
          <w:shd w:val="clear" w:color="auto" w:fill="FFFFFF"/>
        </w:rPr>
        <w:t>tember</w:t>
      </w:r>
      <w:r w:rsidR="008D52EA" w:rsidRPr="009B5064">
        <w:rPr>
          <w:rFonts w:ascii="Calibri" w:hAnsi="Calibri"/>
          <w:sz w:val="22"/>
          <w:szCs w:val="22"/>
          <w:shd w:val="clear" w:color="auto" w:fill="FFFFFF"/>
        </w:rPr>
        <w:t xml:space="preserve"> 2018</w:t>
      </w:r>
      <w:r w:rsidR="00DF3718" w:rsidRPr="009B5064">
        <w:rPr>
          <w:rFonts w:ascii="Calibri" w:hAnsi="Calibri"/>
          <w:sz w:val="22"/>
          <w:szCs w:val="22"/>
          <w:shd w:val="clear" w:color="auto" w:fill="FFFFFF"/>
        </w:rPr>
        <w:t>.</w:t>
      </w:r>
    </w:p>
    <w:p w14:paraId="2EECBF18" w14:textId="77777777" w:rsidR="004D4496" w:rsidRPr="009B5064" w:rsidRDefault="00BE6AD2" w:rsidP="00CA47A2">
      <w:pPr>
        <w:pStyle w:val="Bibliography"/>
        <w:spacing w:line="480" w:lineRule="auto"/>
        <w:rPr>
          <w:rFonts w:ascii="Calibri" w:hAnsi="Calibri" w:cs="Calibri"/>
          <w:sz w:val="22"/>
        </w:rPr>
      </w:pPr>
      <w:r w:rsidRPr="009B5064">
        <w:rPr>
          <w:rFonts w:ascii="Calibri" w:hAnsi="Calibri" w:cs="Calibri"/>
          <w:sz w:val="22"/>
          <w:szCs w:val="22"/>
        </w:rPr>
        <w:t xml:space="preserve">[10] </w:t>
      </w:r>
      <w:r w:rsidR="004D4496" w:rsidRPr="009B5064">
        <w:rPr>
          <w:rFonts w:ascii="Calibri" w:hAnsi="Calibri" w:cs="Calibri"/>
          <w:sz w:val="22"/>
          <w:szCs w:val="22"/>
        </w:rPr>
        <w:t>Owen</w:t>
      </w:r>
      <w:r w:rsidR="00442513" w:rsidRPr="009B5064">
        <w:rPr>
          <w:rFonts w:ascii="Calibri" w:hAnsi="Calibri" w:cs="Calibri"/>
          <w:sz w:val="22"/>
          <w:szCs w:val="22"/>
        </w:rPr>
        <w:t>,</w:t>
      </w:r>
      <w:r w:rsidR="004D4496" w:rsidRPr="009B5064">
        <w:rPr>
          <w:rFonts w:ascii="Calibri" w:hAnsi="Calibri" w:cs="Calibri"/>
          <w:sz w:val="22"/>
          <w:szCs w:val="22"/>
        </w:rPr>
        <w:t xml:space="preserve"> C</w:t>
      </w:r>
      <w:r w:rsidR="00442513" w:rsidRPr="009B5064">
        <w:rPr>
          <w:rFonts w:ascii="Calibri" w:hAnsi="Calibri" w:cs="Calibri"/>
          <w:sz w:val="22"/>
          <w:szCs w:val="22"/>
        </w:rPr>
        <w:t>.</w:t>
      </w:r>
      <w:r w:rsidR="004D4496" w:rsidRPr="009B5064">
        <w:rPr>
          <w:rFonts w:ascii="Calibri" w:hAnsi="Calibri" w:cs="Calibri"/>
          <w:sz w:val="22"/>
          <w:szCs w:val="22"/>
        </w:rPr>
        <w:t>G</w:t>
      </w:r>
      <w:r w:rsidR="00442513" w:rsidRPr="009B5064">
        <w:rPr>
          <w:rFonts w:ascii="Calibri" w:hAnsi="Calibri" w:cs="Calibri"/>
          <w:sz w:val="22"/>
          <w:szCs w:val="22"/>
        </w:rPr>
        <w:t>.</w:t>
      </w:r>
      <w:r w:rsidR="004D4496" w:rsidRPr="009B5064">
        <w:rPr>
          <w:rFonts w:ascii="Calibri" w:hAnsi="Calibri" w:cs="Calibri"/>
          <w:sz w:val="22"/>
          <w:szCs w:val="22"/>
        </w:rPr>
        <w:t>, Jarrar</w:t>
      </w:r>
      <w:r w:rsidR="00442513" w:rsidRPr="009B5064">
        <w:rPr>
          <w:rFonts w:ascii="Calibri" w:hAnsi="Calibri" w:cs="Calibri"/>
          <w:sz w:val="22"/>
          <w:szCs w:val="22"/>
        </w:rPr>
        <w:t>,</w:t>
      </w:r>
      <w:r w:rsidR="004D4496" w:rsidRPr="009B5064">
        <w:rPr>
          <w:rFonts w:ascii="Calibri" w:hAnsi="Calibri" w:cs="Calibri"/>
          <w:sz w:val="22"/>
          <w:szCs w:val="22"/>
        </w:rPr>
        <w:t xml:space="preserve"> Z</w:t>
      </w:r>
      <w:r w:rsidR="00442513" w:rsidRPr="009B5064">
        <w:rPr>
          <w:rFonts w:ascii="Calibri" w:hAnsi="Calibri" w:cs="Calibri"/>
          <w:sz w:val="22"/>
          <w:szCs w:val="22"/>
        </w:rPr>
        <w:t>.</w:t>
      </w:r>
      <w:r w:rsidR="004D4496" w:rsidRPr="009B5064">
        <w:rPr>
          <w:rFonts w:ascii="Calibri" w:hAnsi="Calibri" w:cs="Calibri"/>
          <w:sz w:val="22"/>
          <w:szCs w:val="22"/>
        </w:rPr>
        <w:t>, Wormald</w:t>
      </w:r>
      <w:r w:rsidR="00442513" w:rsidRPr="009B5064">
        <w:rPr>
          <w:rFonts w:ascii="Calibri" w:hAnsi="Calibri" w:cs="Calibri"/>
          <w:sz w:val="22"/>
          <w:szCs w:val="22"/>
        </w:rPr>
        <w:t>,</w:t>
      </w:r>
      <w:r w:rsidR="004D4496" w:rsidRPr="009B5064">
        <w:rPr>
          <w:rFonts w:ascii="Calibri" w:hAnsi="Calibri" w:cs="Calibri"/>
          <w:sz w:val="22"/>
          <w:szCs w:val="22"/>
        </w:rPr>
        <w:t xml:space="preserve"> R</w:t>
      </w:r>
      <w:r w:rsidR="00442513" w:rsidRPr="009B5064">
        <w:rPr>
          <w:rFonts w:ascii="Calibri" w:hAnsi="Calibri" w:cs="Calibri"/>
          <w:sz w:val="22"/>
          <w:szCs w:val="22"/>
        </w:rPr>
        <w:t>.</w:t>
      </w:r>
      <w:r w:rsidR="004D4496" w:rsidRPr="009B5064">
        <w:rPr>
          <w:rFonts w:ascii="Calibri" w:hAnsi="Calibri" w:cs="Calibri"/>
          <w:sz w:val="22"/>
          <w:szCs w:val="22"/>
        </w:rPr>
        <w:t>, Cook</w:t>
      </w:r>
      <w:r w:rsidR="00442513" w:rsidRPr="009B5064">
        <w:rPr>
          <w:rFonts w:ascii="Calibri" w:hAnsi="Calibri" w:cs="Calibri"/>
          <w:sz w:val="22"/>
          <w:szCs w:val="22"/>
        </w:rPr>
        <w:t>,</w:t>
      </w:r>
      <w:r w:rsidR="004D4496" w:rsidRPr="009B5064">
        <w:rPr>
          <w:rFonts w:ascii="Calibri" w:hAnsi="Calibri" w:cs="Calibri"/>
          <w:sz w:val="22"/>
          <w:szCs w:val="22"/>
        </w:rPr>
        <w:t xml:space="preserve"> D</w:t>
      </w:r>
      <w:r w:rsidR="00442513" w:rsidRPr="009B5064">
        <w:rPr>
          <w:rFonts w:ascii="Calibri" w:hAnsi="Calibri" w:cs="Calibri"/>
          <w:sz w:val="22"/>
          <w:szCs w:val="22"/>
        </w:rPr>
        <w:t>.</w:t>
      </w:r>
      <w:r w:rsidR="004D4496" w:rsidRPr="009B5064">
        <w:rPr>
          <w:rFonts w:ascii="Calibri" w:hAnsi="Calibri" w:cs="Calibri"/>
          <w:sz w:val="22"/>
          <w:szCs w:val="22"/>
        </w:rPr>
        <w:t>G</w:t>
      </w:r>
      <w:r w:rsidR="00442513" w:rsidRPr="009B5064">
        <w:rPr>
          <w:rFonts w:ascii="Calibri" w:hAnsi="Calibri" w:cs="Calibri"/>
          <w:sz w:val="22"/>
          <w:szCs w:val="22"/>
        </w:rPr>
        <w:t>.</w:t>
      </w:r>
      <w:r w:rsidR="004D4496" w:rsidRPr="009B5064">
        <w:rPr>
          <w:rFonts w:ascii="Calibri" w:hAnsi="Calibri" w:cs="Calibri"/>
          <w:sz w:val="22"/>
          <w:szCs w:val="22"/>
        </w:rPr>
        <w:t>, Fletcher</w:t>
      </w:r>
      <w:r w:rsidR="00442513" w:rsidRPr="009B5064">
        <w:rPr>
          <w:rFonts w:ascii="Calibri" w:hAnsi="Calibri" w:cs="Calibri"/>
          <w:sz w:val="22"/>
          <w:szCs w:val="22"/>
        </w:rPr>
        <w:t>,</w:t>
      </w:r>
      <w:r w:rsidR="004D4496" w:rsidRPr="009B5064">
        <w:rPr>
          <w:rFonts w:ascii="Calibri" w:hAnsi="Calibri" w:cs="Calibri"/>
          <w:sz w:val="22"/>
          <w:szCs w:val="22"/>
        </w:rPr>
        <w:t xml:space="preserve"> A</w:t>
      </w:r>
      <w:r w:rsidR="00442513" w:rsidRPr="009B5064">
        <w:rPr>
          <w:rFonts w:ascii="Calibri" w:hAnsi="Calibri" w:cs="Calibri"/>
          <w:sz w:val="22"/>
          <w:szCs w:val="22"/>
        </w:rPr>
        <w:t>.</w:t>
      </w:r>
      <w:r w:rsidR="004D4496" w:rsidRPr="009B5064">
        <w:rPr>
          <w:rFonts w:ascii="Calibri" w:hAnsi="Calibri" w:cs="Calibri"/>
          <w:sz w:val="22"/>
          <w:szCs w:val="22"/>
        </w:rPr>
        <w:t>E</w:t>
      </w:r>
      <w:r w:rsidR="00442513" w:rsidRPr="009B5064">
        <w:rPr>
          <w:rFonts w:ascii="Calibri" w:hAnsi="Calibri" w:cs="Calibri"/>
          <w:sz w:val="22"/>
          <w:szCs w:val="22"/>
        </w:rPr>
        <w:t>.</w:t>
      </w:r>
      <w:r w:rsidR="004D4496" w:rsidRPr="009B5064">
        <w:rPr>
          <w:rFonts w:ascii="Calibri" w:hAnsi="Calibri" w:cs="Calibri"/>
          <w:sz w:val="22"/>
          <w:szCs w:val="22"/>
        </w:rPr>
        <w:t>, Rudnicka</w:t>
      </w:r>
      <w:r w:rsidR="00442513" w:rsidRPr="009B5064">
        <w:rPr>
          <w:rFonts w:ascii="Calibri" w:hAnsi="Calibri" w:cs="Calibri"/>
          <w:sz w:val="22"/>
          <w:szCs w:val="22"/>
        </w:rPr>
        <w:t>,</w:t>
      </w:r>
      <w:r w:rsidR="004D4496" w:rsidRPr="009B5064">
        <w:rPr>
          <w:rFonts w:ascii="Calibri" w:hAnsi="Calibri" w:cs="Calibri"/>
          <w:sz w:val="22"/>
          <w:szCs w:val="22"/>
        </w:rPr>
        <w:t xml:space="preserve"> A</w:t>
      </w:r>
      <w:r w:rsidR="00442513" w:rsidRPr="009B5064">
        <w:rPr>
          <w:rFonts w:ascii="Calibri" w:hAnsi="Calibri" w:cs="Calibri"/>
          <w:sz w:val="22"/>
          <w:szCs w:val="22"/>
        </w:rPr>
        <w:t>.</w:t>
      </w:r>
      <w:r w:rsidR="004D4496" w:rsidRPr="009B5064">
        <w:rPr>
          <w:rFonts w:ascii="Calibri" w:hAnsi="Calibri" w:cs="Calibri"/>
          <w:sz w:val="22"/>
          <w:szCs w:val="22"/>
        </w:rPr>
        <w:t>R.</w:t>
      </w:r>
      <w:r w:rsidR="00B033A9" w:rsidRPr="009B5064">
        <w:rPr>
          <w:rFonts w:ascii="Calibri" w:hAnsi="Calibri" w:cs="Calibri"/>
          <w:sz w:val="22"/>
          <w:szCs w:val="22"/>
        </w:rPr>
        <w:t>:</w:t>
      </w:r>
      <w:r w:rsidR="004D4496" w:rsidRPr="009B5064">
        <w:rPr>
          <w:rFonts w:ascii="Calibri" w:hAnsi="Calibri" w:cs="Calibri"/>
          <w:sz w:val="22"/>
          <w:szCs w:val="22"/>
        </w:rPr>
        <w:t xml:space="preserve"> The estimated prevalence and incidence o</w:t>
      </w:r>
      <w:r w:rsidR="004D4496" w:rsidRPr="009B5064">
        <w:rPr>
          <w:rFonts w:ascii="Calibri" w:hAnsi="Calibri" w:cs="Calibri"/>
          <w:sz w:val="22"/>
        </w:rPr>
        <w:t>f late stage age related macular degenera</w:t>
      </w:r>
      <w:r w:rsidR="004B08F7" w:rsidRPr="009B5064">
        <w:rPr>
          <w:rFonts w:ascii="Calibri" w:hAnsi="Calibri" w:cs="Calibri"/>
          <w:sz w:val="22"/>
        </w:rPr>
        <w:t>tion in the UK. Br J Ophthalmol</w:t>
      </w:r>
      <w:r w:rsidR="00AC256F" w:rsidRPr="009B5064">
        <w:rPr>
          <w:rFonts w:ascii="Calibri" w:hAnsi="Calibri" w:cs="Calibri"/>
          <w:sz w:val="22"/>
        </w:rPr>
        <w:t>.</w:t>
      </w:r>
      <w:r w:rsidR="0038318A" w:rsidRPr="009B5064">
        <w:rPr>
          <w:rFonts w:ascii="Calibri" w:hAnsi="Calibri" w:cs="Calibri"/>
          <w:sz w:val="22"/>
        </w:rPr>
        <w:t xml:space="preserve"> 96(5), </w:t>
      </w:r>
      <w:r w:rsidR="004D4496" w:rsidRPr="009B5064">
        <w:rPr>
          <w:rFonts w:ascii="Calibri" w:hAnsi="Calibri" w:cs="Calibri"/>
          <w:sz w:val="22"/>
        </w:rPr>
        <w:t>752–</w:t>
      </w:r>
      <w:r w:rsidR="0068640F" w:rsidRPr="009B5064">
        <w:rPr>
          <w:rFonts w:ascii="Calibri" w:hAnsi="Calibri" w:cs="Calibri"/>
          <w:sz w:val="22"/>
        </w:rPr>
        <w:t>75</w:t>
      </w:r>
      <w:r w:rsidR="0038318A" w:rsidRPr="009B5064">
        <w:rPr>
          <w:rFonts w:ascii="Calibri" w:hAnsi="Calibri" w:cs="Calibri"/>
          <w:sz w:val="22"/>
        </w:rPr>
        <w:t>6 (</w:t>
      </w:r>
      <w:r w:rsidR="006A563C" w:rsidRPr="009B5064">
        <w:rPr>
          <w:rFonts w:ascii="Calibri" w:hAnsi="Calibri" w:cs="Calibri"/>
          <w:sz w:val="22"/>
        </w:rPr>
        <w:t>2012</w:t>
      </w:r>
      <w:r w:rsidR="0038318A" w:rsidRPr="009B5064">
        <w:rPr>
          <w:rFonts w:ascii="Calibri" w:hAnsi="Calibri" w:cs="Calibri"/>
          <w:sz w:val="22"/>
        </w:rPr>
        <w:t xml:space="preserve">). </w:t>
      </w:r>
    </w:p>
    <w:p w14:paraId="4B6BC3CD" w14:textId="77777777" w:rsidR="004D4496" w:rsidRPr="009B5064" w:rsidRDefault="00BE6AD2" w:rsidP="00CA47A2">
      <w:pPr>
        <w:pStyle w:val="Bibliography"/>
        <w:spacing w:line="480" w:lineRule="auto"/>
        <w:rPr>
          <w:rFonts w:ascii="Calibri" w:hAnsi="Calibri" w:cs="Calibri"/>
          <w:sz w:val="22"/>
        </w:rPr>
      </w:pPr>
      <w:r w:rsidRPr="009B5064">
        <w:rPr>
          <w:rFonts w:ascii="Calibri" w:hAnsi="Calibri" w:cs="Calibri"/>
          <w:sz w:val="22"/>
        </w:rPr>
        <w:t xml:space="preserve">[11] </w:t>
      </w:r>
      <w:r w:rsidR="004D4496" w:rsidRPr="009B5064">
        <w:rPr>
          <w:rFonts w:ascii="Calibri" w:hAnsi="Calibri" w:cs="Calibri"/>
          <w:sz w:val="22"/>
        </w:rPr>
        <w:t>Lindau</w:t>
      </w:r>
      <w:r w:rsidR="00442513" w:rsidRPr="009B5064">
        <w:rPr>
          <w:rFonts w:ascii="Calibri" w:hAnsi="Calibri" w:cs="Calibri"/>
          <w:sz w:val="22"/>
        </w:rPr>
        <w:t>,</w:t>
      </w:r>
      <w:r w:rsidR="004D4496" w:rsidRPr="009B5064">
        <w:rPr>
          <w:rFonts w:ascii="Calibri" w:hAnsi="Calibri" w:cs="Calibri"/>
          <w:sz w:val="22"/>
        </w:rPr>
        <w:t xml:space="preserve"> S</w:t>
      </w:r>
      <w:r w:rsidR="00442513" w:rsidRPr="009B5064">
        <w:rPr>
          <w:rFonts w:ascii="Calibri" w:hAnsi="Calibri" w:cs="Calibri"/>
          <w:sz w:val="22"/>
        </w:rPr>
        <w:t>.</w:t>
      </w:r>
      <w:r w:rsidR="004D4496" w:rsidRPr="009B5064">
        <w:rPr>
          <w:rFonts w:ascii="Calibri" w:hAnsi="Calibri" w:cs="Calibri"/>
          <w:sz w:val="22"/>
        </w:rPr>
        <w:t>T</w:t>
      </w:r>
      <w:r w:rsidR="00442513" w:rsidRPr="009B5064">
        <w:rPr>
          <w:rFonts w:ascii="Calibri" w:hAnsi="Calibri" w:cs="Calibri"/>
          <w:sz w:val="22"/>
        </w:rPr>
        <w:t>.</w:t>
      </w:r>
      <w:r w:rsidR="004D4496" w:rsidRPr="009B5064">
        <w:rPr>
          <w:rFonts w:ascii="Calibri" w:hAnsi="Calibri" w:cs="Calibri"/>
          <w:sz w:val="22"/>
        </w:rPr>
        <w:t>, Schumm</w:t>
      </w:r>
      <w:r w:rsidR="00442513" w:rsidRPr="009B5064">
        <w:rPr>
          <w:rFonts w:ascii="Calibri" w:hAnsi="Calibri" w:cs="Calibri"/>
          <w:sz w:val="22"/>
        </w:rPr>
        <w:t>,</w:t>
      </w:r>
      <w:r w:rsidR="004D4496" w:rsidRPr="009B5064">
        <w:rPr>
          <w:rFonts w:ascii="Calibri" w:hAnsi="Calibri" w:cs="Calibri"/>
          <w:sz w:val="22"/>
        </w:rPr>
        <w:t xml:space="preserve"> L</w:t>
      </w:r>
      <w:r w:rsidR="00442513" w:rsidRPr="009B5064">
        <w:rPr>
          <w:rFonts w:ascii="Calibri" w:hAnsi="Calibri" w:cs="Calibri"/>
          <w:sz w:val="22"/>
        </w:rPr>
        <w:t>.</w:t>
      </w:r>
      <w:r w:rsidR="004D4496" w:rsidRPr="009B5064">
        <w:rPr>
          <w:rFonts w:ascii="Calibri" w:hAnsi="Calibri" w:cs="Calibri"/>
          <w:sz w:val="22"/>
        </w:rPr>
        <w:t>P</w:t>
      </w:r>
      <w:r w:rsidR="00442513" w:rsidRPr="009B5064">
        <w:rPr>
          <w:rFonts w:ascii="Calibri" w:hAnsi="Calibri" w:cs="Calibri"/>
          <w:sz w:val="22"/>
        </w:rPr>
        <w:t>.</w:t>
      </w:r>
      <w:r w:rsidR="004D4496" w:rsidRPr="009B5064">
        <w:rPr>
          <w:rFonts w:ascii="Calibri" w:hAnsi="Calibri" w:cs="Calibri"/>
          <w:sz w:val="22"/>
        </w:rPr>
        <w:t>, Laumann</w:t>
      </w:r>
      <w:r w:rsidR="00442513" w:rsidRPr="009B5064">
        <w:rPr>
          <w:rFonts w:ascii="Calibri" w:hAnsi="Calibri" w:cs="Calibri"/>
          <w:sz w:val="22"/>
        </w:rPr>
        <w:t>,</w:t>
      </w:r>
      <w:r w:rsidR="004D4496" w:rsidRPr="009B5064">
        <w:rPr>
          <w:rFonts w:ascii="Calibri" w:hAnsi="Calibri" w:cs="Calibri"/>
          <w:sz w:val="22"/>
        </w:rPr>
        <w:t xml:space="preserve"> E</w:t>
      </w:r>
      <w:r w:rsidR="00442513" w:rsidRPr="009B5064">
        <w:rPr>
          <w:rFonts w:ascii="Calibri" w:hAnsi="Calibri" w:cs="Calibri"/>
          <w:sz w:val="22"/>
        </w:rPr>
        <w:t>.</w:t>
      </w:r>
      <w:r w:rsidR="004D4496" w:rsidRPr="009B5064">
        <w:rPr>
          <w:rFonts w:ascii="Calibri" w:hAnsi="Calibri" w:cs="Calibri"/>
          <w:sz w:val="22"/>
        </w:rPr>
        <w:t>O</w:t>
      </w:r>
      <w:r w:rsidR="00442513" w:rsidRPr="009B5064">
        <w:rPr>
          <w:rFonts w:ascii="Calibri" w:hAnsi="Calibri" w:cs="Calibri"/>
          <w:sz w:val="22"/>
        </w:rPr>
        <w:t>.</w:t>
      </w:r>
      <w:r w:rsidR="004D4496" w:rsidRPr="009B5064">
        <w:rPr>
          <w:rFonts w:ascii="Calibri" w:hAnsi="Calibri" w:cs="Calibri"/>
          <w:sz w:val="22"/>
        </w:rPr>
        <w:t>, Levinson</w:t>
      </w:r>
      <w:r w:rsidR="00442513" w:rsidRPr="009B5064">
        <w:rPr>
          <w:rFonts w:ascii="Calibri" w:hAnsi="Calibri" w:cs="Calibri"/>
          <w:sz w:val="22"/>
        </w:rPr>
        <w:t>,</w:t>
      </w:r>
      <w:r w:rsidR="004D4496" w:rsidRPr="009B5064">
        <w:rPr>
          <w:rFonts w:ascii="Calibri" w:hAnsi="Calibri" w:cs="Calibri"/>
          <w:sz w:val="22"/>
        </w:rPr>
        <w:t xml:space="preserve"> W</w:t>
      </w:r>
      <w:r w:rsidR="00442513" w:rsidRPr="009B5064">
        <w:rPr>
          <w:rFonts w:ascii="Calibri" w:hAnsi="Calibri" w:cs="Calibri"/>
          <w:sz w:val="22"/>
        </w:rPr>
        <w:t>.</w:t>
      </w:r>
      <w:r w:rsidR="004D4496" w:rsidRPr="009B5064">
        <w:rPr>
          <w:rFonts w:ascii="Calibri" w:hAnsi="Calibri" w:cs="Calibri"/>
          <w:sz w:val="22"/>
        </w:rPr>
        <w:t>, O’Muircheartaigh</w:t>
      </w:r>
      <w:r w:rsidR="00442513" w:rsidRPr="009B5064">
        <w:rPr>
          <w:rFonts w:ascii="Calibri" w:hAnsi="Calibri" w:cs="Calibri"/>
          <w:sz w:val="22"/>
        </w:rPr>
        <w:t>,</w:t>
      </w:r>
      <w:r w:rsidR="004D4496" w:rsidRPr="009B5064">
        <w:rPr>
          <w:rFonts w:ascii="Calibri" w:hAnsi="Calibri" w:cs="Calibri"/>
          <w:sz w:val="22"/>
        </w:rPr>
        <w:t xml:space="preserve"> C</w:t>
      </w:r>
      <w:r w:rsidR="00442513" w:rsidRPr="009B5064">
        <w:rPr>
          <w:rFonts w:ascii="Calibri" w:hAnsi="Calibri" w:cs="Calibri"/>
          <w:sz w:val="22"/>
        </w:rPr>
        <w:t>.</w:t>
      </w:r>
      <w:r w:rsidR="004D4496" w:rsidRPr="009B5064">
        <w:rPr>
          <w:rFonts w:ascii="Calibri" w:hAnsi="Calibri" w:cs="Calibri"/>
          <w:sz w:val="22"/>
        </w:rPr>
        <w:t>A</w:t>
      </w:r>
      <w:r w:rsidR="00442513" w:rsidRPr="009B5064">
        <w:rPr>
          <w:rFonts w:ascii="Calibri" w:hAnsi="Calibri" w:cs="Calibri"/>
          <w:sz w:val="22"/>
        </w:rPr>
        <w:t>.</w:t>
      </w:r>
      <w:r w:rsidR="004D4496" w:rsidRPr="009B5064">
        <w:rPr>
          <w:rFonts w:ascii="Calibri" w:hAnsi="Calibri" w:cs="Calibri"/>
          <w:sz w:val="22"/>
        </w:rPr>
        <w:t>, Waite</w:t>
      </w:r>
      <w:r w:rsidR="00442513" w:rsidRPr="009B5064">
        <w:rPr>
          <w:rFonts w:ascii="Calibri" w:hAnsi="Calibri" w:cs="Calibri"/>
          <w:sz w:val="22"/>
        </w:rPr>
        <w:t>,</w:t>
      </w:r>
      <w:r w:rsidR="004D4496" w:rsidRPr="009B5064">
        <w:rPr>
          <w:rFonts w:ascii="Calibri" w:hAnsi="Calibri" w:cs="Calibri"/>
          <w:sz w:val="22"/>
        </w:rPr>
        <w:t xml:space="preserve"> L</w:t>
      </w:r>
      <w:r w:rsidR="00442513" w:rsidRPr="009B5064">
        <w:rPr>
          <w:rFonts w:ascii="Calibri" w:hAnsi="Calibri" w:cs="Calibri"/>
          <w:sz w:val="22"/>
        </w:rPr>
        <w:t>.</w:t>
      </w:r>
      <w:r w:rsidR="004D4496" w:rsidRPr="009B5064">
        <w:rPr>
          <w:rFonts w:ascii="Calibri" w:hAnsi="Calibri" w:cs="Calibri"/>
          <w:sz w:val="22"/>
        </w:rPr>
        <w:t>J.</w:t>
      </w:r>
      <w:r w:rsidR="00B033A9" w:rsidRPr="009B5064">
        <w:rPr>
          <w:rFonts w:ascii="Calibri" w:hAnsi="Calibri" w:cs="Calibri"/>
          <w:sz w:val="22"/>
        </w:rPr>
        <w:t>:</w:t>
      </w:r>
      <w:r w:rsidR="004D4496" w:rsidRPr="009B5064">
        <w:rPr>
          <w:rFonts w:ascii="Calibri" w:hAnsi="Calibri" w:cs="Calibri"/>
          <w:sz w:val="22"/>
        </w:rPr>
        <w:t xml:space="preserve"> A Study of Sexuality and Health among Older Adults in </w:t>
      </w:r>
      <w:r w:rsidR="004B08F7" w:rsidRPr="009B5064">
        <w:rPr>
          <w:rFonts w:ascii="Calibri" w:hAnsi="Calibri" w:cs="Calibri"/>
          <w:sz w:val="22"/>
        </w:rPr>
        <w:t>the United States. N Engl J Med</w:t>
      </w:r>
      <w:r w:rsidR="00AC256F" w:rsidRPr="009B5064">
        <w:rPr>
          <w:rFonts w:ascii="Calibri" w:hAnsi="Calibri" w:cs="Calibri"/>
          <w:sz w:val="22"/>
        </w:rPr>
        <w:t>.</w:t>
      </w:r>
      <w:r w:rsidR="0038318A" w:rsidRPr="009B5064">
        <w:rPr>
          <w:rFonts w:ascii="Calibri" w:hAnsi="Calibri" w:cs="Calibri"/>
          <w:sz w:val="22"/>
        </w:rPr>
        <w:t xml:space="preserve"> 357(8), </w:t>
      </w:r>
      <w:r w:rsidR="004D4496" w:rsidRPr="009B5064">
        <w:rPr>
          <w:rFonts w:ascii="Calibri" w:hAnsi="Calibri" w:cs="Calibri"/>
          <w:sz w:val="22"/>
        </w:rPr>
        <w:t>762–</w:t>
      </w:r>
      <w:r w:rsidR="0068640F" w:rsidRPr="009B5064">
        <w:rPr>
          <w:rFonts w:ascii="Calibri" w:hAnsi="Calibri" w:cs="Calibri"/>
          <w:sz w:val="22"/>
        </w:rPr>
        <w:t>7</w:t>
      </w:r>
      <w:r w:rsidR="0038318A" w:rsidRPr="009B5064">
        <w:rPr>
          <w:rFonts w:ascii="Calibri" w:hAnsi="Calibri" w:cs="Calibri"/>
          <w:sz w:val="22"/>
        </w:rPr>
        <w:t>74 (</w:t>
      </w:r>
      <w:r w:rsidR="006A563C" w:rsidRPr="009B5064">
        <w:rPr>
          <w:rFonts w:ascii="Calibri" w:hAnsi="Calibri" w:cs="Calibri"/>
          <w:sz w:val="22"/>
        </w:rPr>
        <w:t>2007</w:t>
      </w:r>
      <w:r w:rsidR="0038318A" w:rsidRPr="009B5064">
        <w:rPr>
          <w:rFonts w:ascii="Calibri" w:hAnsi="Calibri" w:cs="Calibri"/>
          <w:sz w:val="22"/>
        </w:rPr>
        <w:t xml:space="preserve">). </w:t>
      </w:r>
    </w:p>
    <w:p w14:paraId="00435F47" w14:textId="77777777" w:rsidR="004D4496" w:rsidRPr="009B5064" w:rsidRDefault="00BE6AD2" w:rsidP="00CA47A2">
      <w:pPr>
        <w:pStyle w:val="Bibliography"/>
        <w:spacing w:line="480" w:lineRule="auto"/>
        <w:rPr>
          <w:rFonts w:ascii="Calibri" w:hAnsi="Calibri" w:cs="Calibri"/>
          <w:sz w:val="22"/>
        </w:rPr>
      </w:pPr>
      <w:r w:rsidRPr="009B5064">
        <w:rPr>
          <w:rFonts w:ascii="Calibri" w:hAnsi="Calibri" w:cs="Calibri"/>
          <w:sz w:val="22"/>
        </w:rPr>
        <w:t xml:space="preserve">[12] </w:t>
      </w:r>
      <w:r w:rsidR="004D4496" w:rsidRPr="009B5064">
        <w:rPr>
          <w:rFonts w:ascii="Calibri" w:hAnsi="Calibri" w:cs="Calibri"/>
          <w:sz w:val="22"/>
        </w:rPr>
        <w:t>Smith</w:t>
      </w:r>
      <w:r w:rsidR="00442513" w:rsidRPr="009B5064">
        <w:rPr>
          <w:rFonts w:ascii="Calibri" w:hAnsi="Calibri" w:cs="Calibri"/>
          <w:sz w:val="22"/>
        </w:rPr>
        <w:t>,</w:t>
      </w:r>
      <w:r w:rsidR="004D4496" w:rsidRPr="009B5064">
        <w:rPr>
          <w:rFonts w:ascii="Calibri" w:hAnsi="Calibri" w:cs="Calibri"/>
          <w:sz w:val="22"/>
        </w:rPr>
        <w:t xml:space="preserve"> L</w:t>
      </w:r>
      <w:r w:rsidR="00442513" w:rsidRPr="009B5064">
        <w:rPr>
          <w:rFonts w:ascii="Calibri" w:hAnsi="Calibri" w:cs="Calibri"/>
          <w:sz w:val="22"/>
        </w:rPr>
        <w:t>.</w:t>
      </w:r>
      <w:r w:rsidR="004D4496" w:rsidRPr="009B5064">
        <w:rPr>
          <w:rFonts w:ascii="Calibri" w:hAnsi="Calibri" w:cs="Calibri"/>
          <w:sz w:val="22"/>
        </w:rPr>
        <w:t>, Timmis</w:t>
      </w:r>
      <w:r w:rsidR="00442513" w:rsidRPr="009B5064">
        <w:rPr>
          <w:rFonts w:ascii="Calibri" w:hAnsi="Calibri" w:cs="Calibri"/>
          <w:sz w:val="22"/>
        </w:rPr>
        <w:t>,</w:t>
      </w:r>
      <w:r w:rsidR="004D4496" w:rsidRPr="009B5064">
        <w:rPr>
          <w:rFonts w:ascii="Calibri" w:hAnsi="Calibri" w:cs="Calibri"/>
          <w:sz w:val="22"/>
        </w:rPr>
        <w:t xml:space="preserve"> M</w:t>
      </w:r>
      <w:r w:rsidR="00442513" w:rsidRPr="009B5064">
        <w:rPr>
          <w:rFonts w:ascii="Calibri" w:hAnsi="Calibri" w:cs="Calibri"/>
          <w:sz w:val="22"/>
        </w:rPr>
        <w:t>.</w:t>
      </w:r>
      <w:r w:rsidR="004D4496" w:rsidRPr="009B5064">
        <w:rPr>
          <w:rFonts w:ascii="Calibri" w:hAnsi="Calibri" w:cs="Calibri"/>
          <w:sz w:val="22"/>
        </w:rPr>
        <w:t>A</w:t>
      </w:r>
      <w:r w:rsidR="00442513" w:rsidRPr="009B5064">
        <w:rPr>
          <w:rFonts w:ascii="Calibri" w:hAnsi="Calibri" w:cs="Calibri"/>
          <w:sz w:val="22"/>
        </w:rPr>
        <w:t>.</w:t>
      </w:r>
      <w:r w:rsidR="004D4496" w:rsidRPr="009B5064">
        <w:rPr>
          <w:rFonts w:ascii="Calibri" w:hAnsi="Calibri" w:cs="Calibri"/>
          <w:sz w:val="22"/>
        </w:rPr>
        <w:t>, Pardhan</w:t>
      </w:r>
      <w:r w:rsidR="00442513" w:rsidRPr="009B5064">
        <w:rPr>
          <w:rFonts w:ascii="Calibri" w:hAnsi="Calibri" w:cs="Calibri"/>
          <w:sz w:val="22"/>
        </w:rPr>
        <w:t>,</w:t>
      </w:r>
      <w:r w:rsidR="004D4496" w:rsidRPr="009B5064">
        <w:rPr>
          <w:rFonts w:ascii="Calibri" w:hAnsi="Calibri" w:cs="Calibri"/>
          <w:sz w:val="22"/>
        </w:rPr>
        <w:t xml:space="preserve"> S</w:t>
      </w:r>
      <w:r w:rsidR="00442513" w:rsidRPr="009B5064">
        <w:rPr>
          <w:rFonts w:ascii="Calibri" w:hAnsi="Calibri" w:cs="Calibri"/>
          <w:sz w:val="22"/>
        </w:rPr>
        <w:t>.</w:t>
      </w:r>
      <w:r w:rsidR="004D4496" w:rsidRPr="009B5064">
        <w:rPr>
          <w:rFonts w:ascii="Calibri" w:hAnsi="Calibri" w:cs="Calibri"/>
          <w:sz w:val="22"/>
        </w:rPr>
        <w:t>, Latham</w:t>
      </w:r>
      <w:r w:rsidR="00442513" w:rsidRPr="009B5064">
        <w:rPr>
          <w:rFonts w:ascii="Calibri" w:hAnsi="Calibri" w:cs="Calibri"/>
          <w:sz w:val="22"/>
        </w:rPr>
        <w:t>,</w:t>
      </w:r>
      <w:r w:rsidR="004D4496" w:rsidRPr="009B5064">
        <w:rPr>
          <w:rFonts w:ascii="Calibri" w:hAnsi="Calibri" w:cs="Calibri"/>
          <w:sz w:val="22"/>
        </w:rPr>
        <w:t xml:space="preserve"> K</w:t>
      </w:r>
      <w:r w:rsidR="00442513" w:rsidRPr="009B5064">
        <w:rPr>
          <w:rFonts w:ascii="Calibri" w:hAnsi="Calibri" w:cs="Calibri"/>
          <w:sz w:val="22"/>
        </w:rPr>
        <w:t>.</w:t>
      </w:r>
      <w:r w:rsidR="004D4496" w:rsidRPr="009B5064">
        <w:rPr>
          <w:rFonts w:ascii="Calibri" w:hAnsi="Calibri" w:cs="Calibri"/>
          <w:sz w:val="22"/>
        </w:rPr>
        <w:t>, Johnstone</w:t>
      </w:r>
      <w:r w:rsidR="00442513" w:rsidRPr="009B5064">
        <w:rPr>
          <w:rFonts w:ascii="Calibri" w:hAnsi="Calibri" w:cs="Calibri"/>
          <w:sz w:val="22"/>
        </w:rPr>
        <w:t>,</w:t>
      </w:r>
      <w:r w:rsidR="004D4496" w:rsidRPr="009B5064">
        <w:rPr>
          <w:rFonts w:ascii="Calibri" w:hAnsi="Calibri" w:cs="Calibri"/>
          <w:sz w:val="22"/>
        </w:rPr>
        <w:t xml:space="preserve"> J</w:t>
      </w:r>
      <w:r w:rsidR="00442513" w:rsidRPr="009B5064">
        <w:rPr>
          <w:rFonts w:ascii="Calibri" w:hAnsi="Calibri" w:cs="Calibri"/>
          <w:sz w:val="22"/>
        </w:rPr>
        <w:t>.</w:t>
      </w:r>
      <w:r w:rsidR="004D4496" w:rsidRPr="009B5064">
        <w:rPr>
          <w:rFonts w:ascii="Calibri" w:hAnsi="Calibri" w:cs="Calibri"/>
          <w:sz w:val="22"/>
        </w:rPr>
        <w:t>, Hamer</w:t>
      </w:r>
      <w:r w:rsidR="00442513" w:rsidRPr="009B5064">
        <w:rPr>
          <w:rFonts w:ascii="Calibri" w:hAnsi="Calibri" w:cs="Calibri"/>
          <w:sz w:val="22"/>
        </w:rPr>
        <w:t>,</w:t>
      </w:r>
      <w:r w:rsidR="004D4496" w:rsidRPr="009B5064">
        <w:rPr>
          <w:rFonts w:ascii="Calibri" w:hAnsi="Calibri" w:cs="Calibri"/>
          <w:sz w:val="22"/>
        </w:rPr>
        <w:t xml:space="preserve"> M.</w:t>
      </w:r>
      <w:r w:rsidR="00B033A9" w:rsidRPr="009B5064">
        <w:rPr>
          <w:rFonts w:ascii="Calibri" w:hAnsi="Calibri" w:cs="Calibri"/>
          <w:sz w:val="22"/>
        </w:rPr>
        <w:t>:</w:t>
      </w:r>
      <w:r w:rsidR="004D4496" w:rsidRPr="009B5064">
        <w:rPr>
          <w:rFonts w:ascii="Calibri" w:hAnsi="Calibri" w:cs="Calibri"/>
          <w:sz w:val="22"/>
        </w:rPr>
        <w:t xml:space="preserve"> Physical inactivity in relation to self-rated eyesight: cross-sectional analysis from the English Longitudinal Study of Ageing.</w:t>
      </w:r>
      <w:r w:rsidR="004B08F7" w:rsidRPr="009B5064">
        <w:rPr>
          <w:rFonts w:ascii="Calibri" w:hAnsi="Calibri" w:cs="Calibri"/>
          <w:sz w:val="22"/>
        </w:rPr>
        <w:t xml:space="preserve"> BMJ Open Ophthalmol</w:t>
      </w:r>
      <w:r w:rsidR="00AC256F" w:rsidRPr="009B5064">
        <w:rPr>
          <w:rFonts w:ascii="Calibri" w:hAnsi="Calibri" w:cs="Calibri"/>
          <w:sz w:val="22"/>
        </w:rPr>
        <w:t>.</w:t>
      </w:r>
      <w:r w:rsidR="0038318A" w:rsidRPr="009B5064">
        <w:rPr>
          <w:rFonts w:ascii="Calibri" w:hAnsi="Calibri" w:cs="Calibri"/>
          <w:sz w:val="22"/>
        </w:rPr>
        <w:t xml:space="preserve"> 1(1), e000046 (</w:t>
      </w:r>
      <w:r w:rsidR="006A563C" w:rsidRPr="009B5064">
        <w:rPr>
          <w:rFonts w:ascii="Calibri" w:hAnsi="Calibri" w:cs="Calibri"/>
          <w:sz w:val="22"/>
        </w:rPr>
        <w:t>2017</w:t>
      </w:r>
      <w:r w:rsidR="0038318A" w:rsidRPr="009B5064">
        <w:rPr>
          <w:rFonts w:ascii="Calibri" w:hAnsi="Calibri" w:cs="Calibri"/>
          <w:sz w:val="22"/>
        </w:rPr>
        <w:t xml:space="preserve">). </w:t>
      </w:r>
    </w:p>
    <w:p w14:paraId="33AAC511" w14:textId="77777777" w:rsidR="004D4496" w:rsidRPr="009B5064" w:rsidRDefault="00BE6AD2" w:rsidP="00CA47A2">
      <w:pPr>
        <w:pStyle w:val="Bibliography"/>
        <w:spacing w:line="480" w:lineRule="auto"/>
        <w:rPr>
          <w:rFonts w:ascii="Calibri" w:hAnsi="Calibri" w:cs="Calibri"/>
          <w:sz w:val="22"/>
        </w:rPr>
      </w:pPr>
      <w:r w:rsidRPr="009B5064">
        <w:rPr>
          <w:rFonts w:ascii="Calibri" w:hAnsi="Calibri" w:cs="Calibri"/>
          <w:sz w:val="22"/>
        </w:rPr>
        <w:t xml:space="preserve">[13] </w:t>
      </w:r>
      <w:r w:rsidR="004D4496" w:rsidRPr="009B5064">
        <w:rPr>
          <w:rFonts w:ascii="Calibri" w:hAnsi="Calibri" w:cs="Calibri"/>
          <w:sz w:val="22"/>
        </w:rPr>
        <w:t>Steptoe</w:t>
      </w:r>
      <w:r w:rsidR="00442513" w:rsidRPr="009B5064">
        <w:rPr>
          <w:rFonts w:ascii="Calibri" w:hAnsi="Calibri" w:cs="Calibri"/>
          <w:sz w:val="22"/>
        </w:rPr>
        <w:t>,</w:t>
      </w:r>
      <w:r w:rsidR="004D4496" w:rsidRPr="009B5064">
        <w:rPr>
          <w:rFonts w:ascii="Calibri" w:hAnsi="Calibri" w:cs="Calibri"/>
          <w:sz w:val="22"/>
        </w:rPr>
        <w:t xml:space="preserve"> A</w:t>
      </w:r>
      <w:r w:rsidR="00442513" w:rsidRPr="009B5064">
        <w:rPr>
          <w:rFonts w:ascii="Calibri" w:hAnsi="Calibri" w:cs="Calibri"/>
          <w:sz w:val="22"/>
        </w:rPr>
        <w:t>.</w:t>
      </w:r>
      <w:r w:rsidR="004D4496" w:rsidRPr="009B5064">
        <w:rPr>
          <w:rFonts w:ascii="Calibri" w:hAnsi="Calibri" w:cs="Calibri"/>
          <w:sz w:val="22"/>
        </w:rPr>
        <w:t>, Breeze</w:t>
      </w:r>
      <w:r w:rsidR="00442513" w:rsidRPr="009B5064">
        <w:rPr>
          <w:rFonts w:ascii="Calibri" w:hAnsi="Calibri" w:cs="Calibri"/>
          <w:sz w:val="22"/>
        </w:rPr>
        <w:t>,</w:t>
      </w:r>
      <w:r w:rsidR="004D4496" w:rsidRPr="009B5064">
        <w:rPr>
          <w:rFonts w:ascii="Calibri" w:hAnsi="Calibri" w:cs="Calibri"/>
          <w:sz w:val="22"/>
        </w:rPr>
        <w:t xml:space="preserve"> E</w:t>
      </w:r>
      <w:r w:rsidR="00442513" w:rsidRPr="009B5064">
        <w:rPr>
          <w:rFonts w:ascii="Calibri" w:hAnsi="Calibri" w:cs="Calibri"/>
          <w:sz w:val="22"/>
        </w:rPr>
        <w:t>.</w:t>
      </w:r>
      <w:r w:rsidR="004D4496" w:rsidRPr="009B5064">
        <w:rPr>
          <w:rFonts w:ascii="Calibri" w:hAnsi="Calibri" w:cs="Calibri"/>
          <w:sz w:val="22"/>
        </w:rPr>
        <w:t>, Banks</w:t>
      </w:r>
      <w:r w:rsidR="00442513" w:rsidRPr="009B5064">
        <w:rPr>
          <w:rFonts w:ascii="Calibri" w:hAnsi="Calibri" w:cs="Calibri"/>
          <w:sz w:val="22"/>
        </w:rPr>
        <w:t>,</w:t>
      </w:r>
      <w:r w:rsidR="004D4496" w:rsidRPr="009B5064">
        <w:rPr>
          <w:rFonts w:ascii="Calibri" w:hAnsi="Calibri" w:cs="Calibri"/>
          <w:sz w:val="22"/>
        </w:rPr>
        <w:t xml:space="preserve"> J</w:t>
      </w:r>
      <w:r w:rsidR="00442513" w:rsidRPr="009B5064">
        <w:rPr>
          <w:rFonts w:ascii="Calibri" w:hAnsi="Calibri" w:cs="Calibri"/>
          <w:sz w:val="22"/>
        </w:rPr>
        <w:t>.</w:t>
      </w:r>
      <w:r w:rsidR="004D4496" w:rsidRPr="009B5064">
        <w:rPr>
          <w:rFonts w:ascii="Calibri" w:hAnsi="Calibri" w:cs="Calibri"/>
          <w:sz w:val="22"/>
        </w:rPr>
        <w:t>, Nazroo</w:t>
      </w:r>
      <w:r w:rsidR="00442513" w:rsidRPr="009B5064">
        <w:rPr>
          <w:rFonts w:ascii="Calibri" w:hAnsi="Calibri" w:cs="Calibri"/>
          <w:sz w:val="22"/>
        </w:rPr>
        <w:t>,</w:t>
      </w:r>
      <w:r w:rsidR="004D4496" w:rsidRPr="009B5064">
        <w:rPr>
          <w:rFonts w:ascii="Calibri" w:hAnsi="Calibri" w:cs="Calibri"/>
          <w:sz w:val="22"/>
        </w:rPr>
        <w:t xml:space="preserve"> J.</w:t>
      </w:r>
      <w:r w:rsidR="00B033A9" w:rsidRPr="009B5064">
        <w:rPr>
          <w:rFonts w:ascii="Calibri" w:hAnsi="Calibri" w:cs="Calibri"/>
          <w:sz w:val="22"/>
        </w:rPr>
        <w:t>:</w:t>
      </w:r>
      <w:r w:rsidR="004D4496" w:rsidRPr="009B5064">
        <w:rPr>
          <w:rFonts w:ascii="Calibri" w:hAnsi="Calibri" w:cs="Calibri"/>
          <w:sz w:val="22"/>
        </w:rPr>
        <w:t xml:space="preserve"> Cohort profile: the English Longitudinal S</w:t>
      </w:r>
      <w:r w:rsidR="004B08F7" w:rsidRPr="009B5064">
        <w:rPr>
          <w:rFonts w:ascii="Calibri" w:hAnsi="Calibri" w:cs="Calibri"/>
          <w:sz w:val="22"/>
        </w:rPr>
        <w:t>tudy of Ageing. Int J Epidemiol</w:t>
      </w:r>
      <w:r w:rsidR="00AC256F" w:rsidRPr="009B5064">
        <w:rPr>
          <w:rFonts w:ascii="Calibri" w:hAnsi="Calibri" w:cs="Calibri"/>
          <w:sz w:val="22"/>
        </w:rPr>
        <w:t>.</w:t>
      </w:r>
      <w:r w:rsidR="0038318A" w:rsidRPr="009B5064">
        <w:rPr>
          <w:rFonts w:ascii="Calibri" w:hAnsi="Calibri" w:cs="Calibri"/>
          <w:sz w:val="22"/>
        </w:rPr>
        <w:t xml:space="preserve"> 42(6), </w:t>
      </w:r>
      <w:r w:rsidR="004D4496" w:rsidRPr="009B5064">
        <w:rPr>
          <w:rFonts w:ascii="Calibri" w:hAnsi="Calibri" w:cs="Calibri"/>
          <w:sz w:val="22"/>
        </w:rPr>
        <w:t>1640–</w:t>
      </w:r>
      <w:r w:rsidR="0068640F" w:rsidRPr="009B5064">
        <w:rPr>
          <w:rFonts w:ascii="Calibri" w:hAnsi="Calibri" w:cs="Calibri"/>
          <w:sz w:val="22"/>
        </w:rPr>
        <w:t>164</w:t>
      </w:r>
      <w:r w:rsidR="0038318A" w:rsidRPr="009B5064">
        <w:rPr>
          <w:rFonts w:ascii="Calibri" w:hAnsi="Calibri" w:cs="Calibri"/>
          <w:sz w:val="22"/>
        </w:rPr>
        <w:t>8 (</w:t>
      </w:r>
      <w:r w:rsidR="006A563C" w:rsidRPr="009B5064">
        <w:rPr>
          <w:rFonts w:ascii="Calibri" w:hAnsi="Calibri" w:cs="Calibri"/>
          <w:sz w:val="22"/>
        </w:rPr>
        <w:t>2013</w:t>
      </w:r>
      <w:r w:rsidR="0038318A" w:rsidRPr="009B5064">
        <w:rPr>
          <w:rFonts w:ascii="Calibri" w:hAnsi="Calibri" w:cs="Calibri"/>
          <w:sz w:val="22"/>
        </w:rPr>
        <w:t xml:space="preserve">). </w:t>
      </w:r>
    </w:p>
    <w:p w14:paraId="3956DF57" w14:textId="77777777" w:rsidR="008745CE" w:rsidRPr="009B5064" w:rsidRDefault="00BE6AD2" w:rsidP="00CA47A2">
      <w:pPr>
        <w:pStyle w:val="Bibliography"/>
        <w:spacing w:line="480" w:lineRule="auto"/>
        <w:rPr>
          <w:rFonts w:ascii="Calibri" w:hAnsi="Calibri" w:cs="Calibri"/>
          <w:sz w:val="22"/>
        </w:rPr>
      </w:pPr>
      <w:r w:rsidRPr="009B5064">
        <w:rPr>
          <w:rFonts w:ascii="Calibri" w:hAnsi="Calibri" w:cs="Calibri"/>
          <w:sz w:val="22"/>
        </w:rPr>
        <w:t xml:space="preserve">[14] </w:t>
      </w:r>
      <w:r w:rsidR="004D4496" w:rsidRPr="009B5064">
        <w:rPr>
          <w:rFonts w:ascii="Calibri" w:hAnsi="Calibri" w:cs="Calibri"/>
          <w:sz w:val="22"/>
        </w:rPr>
        <w:t>Banks</w:t>
      </w:r>
      <w:r w:rsidR="00442513" w:rsidRPr="009B5064">
        <w:rPr>
          <w:rFonts w:ascii="Calibri" w:hAnsi="Calibri" w:cs="Calibri"/>
          <w:sz w:val="22"/>
        </w:rPr>
        <w:t>,</w:t>
      </w:r>
      <w:r w:rsidR="004D4496" w:rsidRPr="009B5064">
        <w:rPr>
          <w:rFonts w:ascii="Calibri" w:hAnsi="Calibri" w:cs="Calibri"/>
          <w:sz w:val="22"/>
        </w:rPr>
        <w:t xml:space="preserve"> J</w:t>
      </w:r>
      <w:r w:rsidR="00442513" w:rsidRPr="009B5064">
        <w:rPr>
          <w:rFonts w:ascii="Calibri" w:hAnsi="Calibri" w:cs="Calibri"/>
          <w:sz w:val="22"/>
        </w:rPr>
        <w:t>.</w:t>
      </w:r>
      <w:r w:rsidR="004D4496" w:rsidRPr="009B5064">
        <w:rPr>
          <w:rFonts w:ascii="Calibri" w:hAnsi="Calibri" w:cs="Calibri"/>
          <w:sz w:val="22"/>
        </w:rPr>
        <w:t>, Karlsen</w:t>
      </w:r>
      <w:r w:rsidR="00442513" w:rsidRPr="009B5064">
        <w:rPr>
          <w:rFonts w:ascii="Calibri" w:hAnsi="Calibri" w:cs="Calibri"/>
          <w:sz w:val="22"/>
        </w:rPr>
        <w:t>,</w:t>
      </w:r>
      <w:r w:rsidR="004D4496" w:rsidRPr="009B5064">
        <w:rPr>
          <w:rFonts w:ascii="Calibri" w:hAnsi="Calibri" w:cs="Calibri"/>
          <w:sz w:val="22"/>
        </w:rPr>
        <w:t xml:space="preserve"> S</w:t>
      </w:r>
      <w:r w:rsidR="00442513" w:rsidRPr="009B5064">
        <w:rPr>
          <w:rFonts w:ascii="Calibri" w:hAnsi="Calibri" w:cs="Calibri"/>
          <w:sz w:val="22"/>
        </w:rPr>
        <w:t>.</w:t>
      </w:r>
      <w:r w:rsidR="004D4496" w:rsidRPr="009B5064">
        <w:rPr>
          <w:rFonts w:ascii="Calibri" w:hAnsi="Calibri" w:cs="Calibri"/>
          <w:sz w:val="22"/>
        </w:rPr>
        <w:t>, Oldf</w:t>
      </w:r>
      <w:r w:rsidR="008745CE" w:rsidRPr="009B5064">
        <w:rPr>
          <w:rFonts w:ascii="Calibri" w:hAnsi="Calibri" w:cs="Calibri"/>
          <w:sz w:val="22"/>
        </w:rPr>
        <w:t>ield</w:t>
      </w:r>
      <w:r w:rsidR="00442513" w:rsidRPr="009B5064">
        <w:rPr>
          <w:rFonts w:ascii="Calibri" w:hAnsi="Calibri" w:cs="Calibri"/>
          <w:sz w:val="22"/>
        </w:rPr>
        <w:t>,</w:t>
      </w:r>
      <w:r w:rsidR="008745CE" w:rsidRPr="009B5064">
        <w:rPr>
          <w:rFonts w:ascii="Calibri" w:hAnsi="Calibri" w:cs="Calibri"/>
          <w:sz w:val="22"/>
        </w:rPr>
        <w:t xml:space="preserve"> Z.</w:t>
      </w:r>
      <w:r w:rsidR="00B033A9" w:rsidRPr="009B5064">
        <w:rPr>
          <w:rFonts w:ascii="Calibri" w:hAnsi="Calibri" w:cs="Calibri"/>
          <w:sz w:val="22"/>
        </w:rPr>
        <w:t>:</w:t>
      </w:r>
      <w:r w:rsidR="00DF3718" w:rsidRPr="009B5064">
        <w:rPr>
          <w:rFonts w:ascii="Calibri" w:hAnsi="Calibri" w:cs="Calibri"/>
          <w:sz w:val="22"/>
        </w:rPr>
        <w:t xml:space="preserve"> Socio-economic position.</w:t>
      </w:r>
      <w:r w:rsidR="008745CE" w:rsidRPr="009B5064">
        <w:rPr>
          <w:rFonts w:ascii="Calibri" w:hAnsi="Calibri" w:cs="Calibri"/>
          <w:sz w:val="22"/>
        </w:rPr>
        <w:t xml:space="preserve"> http://discovery.ucl.ac.uk/15366/1/15366.pdf</w:t>
      </w:r>
      <w:r w:rsidR="00DF3718" w:rsidRPr="009B5064">
        <w:rPr>
          <w:rFonts w:ascii="Calibri" w:hAnsi="Calibri" w:cs="Calibri"/>
          <w:sz w:val="22"/>
        </w:rPr>
        <w:t xml:space="preserve"> (</w:t>
      </w:r>
      <w:r w:rsidR="004D4496" w:rsidRPr="009B5064">
        <w:rPr>
          <w:rFonts w:ascii="Calibri" w:hAnsi="Calibri" w:cs="Calibri"/>
          <w:sz w:val="22"/>
        </w:rPr>
        <w:t>2003</w:t>
      </w:r>
      <w:r w:rsidR="00DF3718" w:rsidRPr="009B5064">
        <w:rPr>
          <w:rFonts w:ascii="Calibri" w:hAnsi="Calibri" w:cs="Calibri"/>
          <w:sz w:val="22"/>
        </w:rPr>
        <w:t>). A</w:t>
      </w:r>
      <w:r w:rsidR="008745CE" w:rsidRPr="009B5064">
        <w:rPr>
          <w:rFonts w:ascii="Calibri" w:hAnsi="Calibri" w:cs="Calibri"/>
          <w:sz w:val="22"/>
        </w:rPr>
        <w:t>ccessed</w:t>
      </w:r>
      <w:r w:rsidR="004D4496" w:rsidRPr="009B5064">
        <w:rPr>
          <w:rFonts w:ascii="Calibri" w:hAnsi="Calibri" w:cs="Calibri"/>
          <w:sz w:val="22"/>
        </w:rPr>
        <w:t xml:space="preserve"> </w:t>
      </w:r>
      <w:r w:rsidR="008745CE" w:rsidRPr="009B5064">
        <w:rPr>
          <w:rFonts w:ascii="Calibri" w:hAnsi="Calibri" w:cs="Calibri"/>
          <w:sz w:val="22"/>
        </w:rPr>
        <w:t xml:space="preserve">4 </w:t>
      </w:r>
      <w:r w:rsidR="004D4496" w:rsidRPr="009B5064">
        <w:rPr>
          <w:rFonts w:ascii="Calibri" w:hAnsi="Calibri" w:cs="Calibri"/>
          <w:sz w:val="22"/>
        </w:rPr>
        <w:t>Mar</w:t>
      </w:r>
      <w:r w:rsidR="00DF3718" w:rsidRPr="009B5064">
        <w:rPr>
          <w:rFonts w:ascii="Calibri" w:hAnsi="Calibri" w:cs="Calibri"/>
          <w:sz w:val="22"/>
        </w:rPr>
        <w:t>ch</w:t>
      </w:r>
      <w:r w:rsidR="004D4496" w:rsidRPr="009B5064">
        <w:rPr>
          <w:rFonts w:ascii="Calibri" w:hAnsi="Calibri" w:cs="Calibri"/>
          <w:sz w:val="22"/>
        </w:rPr>
        <w:t xml:space="preserve"> </w:t>
      </w:r>
      <w:r w:rsidR="008745CE" w:rsidRPr="009B5064">
        <w:rPr>
          <w:rFonts w:ascii="Calibri" w:hAnsi="Calibri" w:cs="Calibri"/>
          <w:sz w:val="22"/>
        </w:rPr>
        <w:t>2014.</w:t>
      </w:r>
    </w:p>
    <w:p w14:paraId="54C2DD61" w14:textId="77777777" w:rsidR="005C0032" w:rsidRPr="009B5064" w:rsidRDefault="008745CE" w:rsidP="00B033A9">
      <w:pPr>
        <w:pStyle w:val="Bibliography"/>
        <w:spacing w:line="480" w:lineRule="auto"/>
      </w:pPr>
      <w:r w:rsidRPr="009B5064">
        <w:rPr>
          <w:rFonts w:ascii="Calibri" w:hAnsi="Calibri" w:cs="Calibri"/>
          <w:sz w:val="22"/>
        </w:rPr>
        <w:t xml:space="preserve"> </w:t>
      </w:r>
      <w:r w:rsidR="00F2459F" w:rsidRPr="009B5064">
        <w:rPr>
          <w:rFonts w:ascii="Calibri" w:hAnsi="Calibri" w:cs="Calibri"/>
          <w:sz w:val="22"/>
        </w:rPr>
        <w:t>[15</w:t>
      </w:r>
      <w:r w:rsidR="00BE6AD2" w:rsidRPr="009B5064">
        <w:rPr>
          <w:rFonts w:ascii="Calibri" w:hAnsi="Calibri" w:cs="Calibri"/>
          <w:sz w:val="22"/>
        </w:rPr>
        <w:t>]</w:t>
      </w:r>
      <w:r w:rsidR="00F2459F" w:rsidRPr="009B5064">
        <w:rPr>
          <w:rFonts w:ascii="Calibri" w:hAnsi="Calibri" w:cs="Calibri"/>
          <w:sz w:val="22"/>
        </w:rPr>
        <w:t xml:space="preserve"> </w:t>
      </w:r>
      <w:r w:rsidR="004D4496" w:rsidRPr="009B5064">
        <w:rPr>
          <w:rFonts w:ascii="Calibri" w:hAnsi="Calibri" w:cs="Calibri"/>
          <w:sz w:val="22"/>
        </w:rPr>
        <w:t>Lee</w:t>
      </w:r>
      <w:r w:rsidR="00442513" w:rsidRPr="009B5064">
        <w:rPr>
          <w:rFonts w:ascii="Calibri" w:hAnsi="Calibri" w:cs="Calibri"/>
          <w:sz w:val="22"/>
        </w:rPr>
        <w:t>,</w:t>
      </w:r>
      <w:r w:rsidR="004D4496" w:rsidRPr="009B5064">
        <w:rPr>
          <w:rFonts w:ascii="Calibri" w:hAnsi="Calibri" w:cs="Calibri"/>
          <w:sz w:val="22"/>
        </w:rPr>
        <w:t xml:space="preserve"> D</w:t>
      </w:r>
      <w:r w:rsidR="00442513" w:rsidRPr="009B5064">
        <w:rPr>
          <w:rFonts w:ascii="Calibri" w:hAnsi="Calibri" w:cs="Calibri"/>
          <w:sz w:val="22"/>
        </w:rPr>
        <w:t>.</w:t>
      </w:r>
      <w:r w:rsidR="004D4496" w:rsidRPr="009B5064">
        <w:rPr>
          <w:rFonts w:ascii="Calibri" w:hAnsi="Calibri" w:cs="Calibri"/>
          <w:sz w:val="22"/>
        </w:rPr>
        <w:t>M</w:t>
      </w:r>
      <w:r w:rsidR="00442513" w:rsidRPr="009B5064">
        <w:rPr>
          <w:rFonts w:ascii="Calibri" w:hAnsi="Calibri" w:cs="Calibri"/>
          <w:sz w:val="22"/>
        </w:rPr>
        <w:t>.</w:t>
      </w:r>
      <w:r w:rsidR="004D4496" w:rsidRPr="009B5064">
        <w:rPr>
          <w:rFonts w:ascii="Calibri" w:hAnsi="Calibri" w:cs="Calibri"/>
          <w:sz w:val="22"/>
        </w:rPr>
        <w:t>, Nazroo</w:t>
      </w:r>
      <w:r w:rsidR="00442513" w:rsidRPr="009B5064">
        <w:rPr>
          <w:rFonts w:ascii="Calibri" w:hAnsi="Calibri" w:cs="Calibri"/>
          <w:sz w:val="22"/>
        </w:rPr>
        <w:t>,</w:t>
      </w:r>
      <w:r w:rsidR="004D4496" w:rsidRPr="009B5064">
        <w:rPr>
          <w:rFonts w:ascii="Calibri" w:hAnsi="Calibri" w:cs="Calibri"/>
          <w:sz w:val="22"/>
        </w:rPr>
        <w:t xml:space="preserve"> J</w:t>
      </w:r>
      <w:r w:rsidR="00442513" w:rsidRPr="009B5064">
        <w:rPr>
          <w:rFonts w:ascii="Calibri" w:hAnsi="Calibri" w:cs="Calibri"/>
          <w:sz w:val="22"/>
        </w:rPr>
        <w:t>.</w:t>
      </w:r>
      <w:r w:rsidR="004D4496" w:rsidRPr="009B5064">
        <w:rPr>
          <w:rFonts w:ascii="Calibri" w:hAnsi="Calibri" w:cs="Calibri"/>
          <w:sz w:val="22"/>
        </w:rPr>
        <w:t>, O’Connor</w:t>
      </w:r>
      <w:r w:rsidR="00442513" w:rsidRPr="009B5064">
        <w:rPr>
          <w:rFonts w:ascii="Calibri" w:hAnsi="Calibri" w:cs="Calibri"/>
          <w:sz w:val="22"/>
        </w:rPr>
        <w:t>,</w:t>
      </w:r>
      <w:r w:rsidR="004D4496" w:rsidRPr="009B5064">
        <w:rPr>
          <w:rFonts w:ascii="Calibri" w:hAnsi="Calibri" w:cs="Calibri"/>
          <w:sz w:val="22"/>
        </w:rPr>
        <w:t xml:space="preserve"> D</w:t>
      </w:r>
      <w:r w:rsidR="00442513" w:rsidRPr="009B5064">
        <w:rPr>
          <w:rFonts w:ascii="Calibri" w:hAnsi="Calibri" w:cs="Calibri"/>
          <w:sz w:val="22"/>
        </w:rPr>
        <w:t>.</w:t>
      </w:r>
      <w:r w:rsidR="004D4496" w:rsidRPr="009B5064">
        <w:rPr>
          <w:rFonts w:ascii="Calibri" w:hAnsi="Calibri" w:cs="Calibri"/>
          <w:sz w:val="22"/>
        </w:rPr>
        <w:t>B</w:t>
      </w:r>
      <w:r w:rsidR="00442513" w:rsidRPr="009B5064">
        <w:rPr>
          <w:rFonts w:ascii="Calibri" w:hAnsi="Calibri" w:cs="Calibri"/>
          <w:sz w:val="22"/>
        </w:rPr>
        <w:t>.</w:t>
      </w:r>
      <w:r w:rsidR="004D4496" w:rsidRPr="009B5064">
        <w:rPr>
          <w:rFonts w:ascii="Calibri" w:hAnsi="Calibri" w:cs="Calibri"/>
          <w:sz w:val="22"/>
        </w:rPr>
        <w:t>, Blake</w:t>
      </w:r>
      <w:r w:rsidR="00442513" w:rsidRPr="009B5064">
        <w:rPr>
          <w:rFonts w:ascii="Calibri" w:hAnsi="Calibri" w:cs="Calibri"/>
          <w:sz w:val="22"/>
        </w:rPr>
        <w:t>,</w:t>
      </w:r>
      <w:r w:rsidR="004D4496" w:rsidRPr="009B5064">
        <w:rPr>
          <w:rFonts w:ascii="Calibri" w:hAnsi="Calibri" w:cs="Calibri"/>
          <w:sz w:val="22"/>
        </w:rPr>
        <w:t xml:space="preserve"> M</w:t>
      </w:r>
      <w:r w:rsidR="00442513" w:rsidRPr="009B5064">
        <w:rPr>
          <w:rFonts w:ascii="Calibri" w:hAnsi="Calibri" w:cs="Calibri"/>
          <w:sz w:val="22"/>
        </w:rPr>
        <w:t>.</w:t>
      </w:r>
      <w:r w:rsidR="004D4496" w:rsidRPr="009B5064">
        <w:rPr>
          <w:rFonts w:ascii="Calibri" w:hAnsi="Calibri" w:cs="Calibri"/>
          <w:sz w:val="22"/>
        </w:rPr>
        <w:t>, Pendleton</w:t>
      </w:r>
      <w:r w:rsidR="00442513" w:rsidRPr="009B5064">
        <w:rPr>
          <w:rFonts w:ascii="Calibri" w:hAnsi="Calibri" w:cs="Calibri"/>
          <w:sz w:val="22"/>
        </w:rPr>
        <w:t>,</w:t>
      </w:r>
      <w:r w:rsidR="004D4496" w:rsidRPr="009B5064">
        <w:rPr>
          <w:rFonts w:ascii="Calibri" w:hAnsi="Calibri" w:cs="Calibri"/>
          <w:sz w:val="22"/>
        </w:rPr>
        <w:t xml:space="preserve"> N.</w:t>
      </w:r>
      <w:r w:rsidR="00B033A9" w:rsidRPr="009B5064">
        <w:rPr>
          <w:rFonts w:ascii="Calibri" w:hAnsi="Calibri" w:cs="Calibri"/>
          <w:sz w:val="22"/>
        </w:rPr>
        <w:t>:</w:t>
      </w:r>
      <w:r w:rsidR="004D4496" w:rsidRPr="009B5064">
        <w:rPr>
          <w:rFonts w:ascii="Calibri" w:hAnsi="Calibri" w:cs="Calibri"/>
          <w:sz w:val="22"/>
        </w:rPr>
        <w:t xml:space="preserve"> Sexual Health and Well-being Among Older Men a</w:t>
      </w:r>
      <w:r w:rsidR="004D4496" w:rsidRPr="009B5064">
        <w:rPr>
          <w:rFonts w:ascii="Calibri" w:hAnsi="Calibri" w:cs="Calibri"/>
          <w:sz w:val="22"/>
          <w:szCs w:val="22"/>
        </w:rPr>
        <w:t>nd Women in England: Findings from the English Longitudinal S</w:t>
      </w:r>
      <w:r w:rsidR="004B08F7" w:rsidRPr="009B5064">
        <w:rPr>
          <w:rFonts w:ascii="Calibri" w:hAnsi="Calibri" w:cs="Calibri"/>
          <w:sz w:val="22"/>
          <w:szCs w:val="22"/>
        </w:rPr>
        <w:t>tud</w:t>
      </w:r>
      <w:r w:rsidR="005C0032" w:rsidRPr="009B5064">
        <w:rPr>
          <w:rFonts w:ascii="Calibri" w:hAnsi="Calibri" w:cs="Calibri"/>
          <w:sz w:val="22"/>
          <w:szCs w:val="22"/>
        </w:rPr>
        <w:t>y of Ageing. Arch Sex Behav</w:t>
      </w:r>
      <w:r w:rsidR="00AC256F" w:rsidRPr="009B5064">
        <w:rPr>
          <w:rFonts w:ascii="Calibri" w:hAnsi="Calibri" w:cs="Calibri"/>
          <w:sz w:val="22"/>
          <w:szCs w:val="22"/>
        </w:rPr>
        <w:t>.</w:t>
      </w:r>
      <w:r w:rsidR="0038318A" w:rsidRPr="009B5064">
        <w:rPr>
          <w:rFonts w:ascii="Calibri" w:hAnsi="Calibri" w:cs="Calibri"/>
          <w:sz w:val="22"/>
          <w:szCs w:val="22"/>
        </w:rPr>
        <w:t xml:space="preserve"> </w:t>
      </w:r>
      <w:r w:rsidR="0038318A" w:rsidRPr="009B5064">
        <w:rPr>
          <w:rFonts w:ascii="Calibri" w:hAnsi="Calibri"/>
          <w:sz w:val="22"/>
          <w:szCs w:val="22"/>
        </w:rPr>
        <w:t xml:space="preserve">45(1), </w:t>
      </w:r>
      <w:r w:rsidR="005C0032" w:rsidRPr="009B5064">
        <w:rPr>
          <w:rFonts w:ascii="Calibri" w:hAnsi="Calibri"/>
          <w:sz w:val="22"/>
          <w:szCs w:val="22"/>
        </w:rPr>
        <w:t>133-</w:t>
      </w:r>
      <w:r w:rsidR="0068640F" w:rsidRPr="009B5064">
        <w:rPr>
          <w:rFonts w:ascii="Calibri" w:hAnsi="Calibri"/>
          <w:sz w:val="22"/>
          <w:szCs w:val="22"/>
        </w:rPr>
        <w:t>1</w:t>
      </w:r>
      <w:r w:rsidR="0038318A" w:rsidRPr="009B5064">
        <w:rPr>
          <w:rFonts w:ascii="Calibri" w:hAnsi="Calibri"/>
          <w:sz w:val="22"/>
          <w:szCs w:val="22"/>
        </w:rPr>
        <w:t>44 (</w:t>
      </w:r>
      <w:r w:rsidR="006A563C" w:rsidRPr="009B5064">
        <w:rPr>
          <w:rFonts w:ascii="Calibri" w:hAnsi="Calibri" w:cs="Calibri"/>
          <w:sz w:val="22"/>
          <w:szCs w:val="22"/>
        </w:rPr>
        <w:t>2016</w:t>
      </w:r>
      <w:r w:rsidR="0038318A" w:rsidRPr="009B5064">
        <w:rPr>
          <w:rFonts w:ascii="Calibri" w:hAnsi="Calibri" w:cs="Calibri"/>
          <w:sz w:val="22"/>
          <w:szCs w:val="22"/>
        </w:rPr>
        <w:t xml:space="preserve">). </w:t>
      </w:r>
    </w:p>
    <w:p w14:paraId="52B3A4BC" w14:textId="77777777" w:rsidR="00DF3718" w:rsidRPr="009B5064" w:rsidRDefault="00F2459F" w:rsidP="00D9799B">
      <w:pPr>
        <w:pStyle w:val="Bibliography"/>
        <w:spacing w:line="480" w:lineRule="auto"/>
        <w:rPr>
          <w:rFonts w:ascii="Calibri" w:hAnsi="Calibri" w:cs="Calibri"/>
          <w:sz w:val="22"/>
        </w:rPr>
      </w:pPr>
      <w:r w:rsidRPr="009B5064">
        <w:rPr>
          <w:rFonts w:ascii="Calibri" w:hAnsi="Calibri" w:cs="Calibri"/>
          <w:sz w:val="22"/>
        </w:rPr>
        <w:t xml:space="preserve">[16] </w:t>
      </w:r>
      <w:r w:rsidR="004D4496" w:rsidRPr="009B5064">
        <w:rPr>
          <w:rFonts w:ascii="Calibri" w:hAnsi="Calibri" w:cs="Calibri"/>
          <w:sz w:val="22"/>
        </w:rPr>
        <w:t>Hamer</w:t>
      </w:r>
      <w:r w:rsidR="00442513" w:rsidRPr="009B5064">
        <w:rPr>
          <w:rFonts w:ascii="Calibri" w:hAnsi="Calibri" w:cs="Calibri"/>
          <w:sz w:val="22"/>
        </w:rPr>
        <w:t>,</w:t>
      </w:r>
      <w:r w:rsidR="004D4496" w:rsidRPr="009B5064">
        <w:rPr>
          <w:rFonts w:ascii="Calibri" w:hAnsi="Calibri" w:cs="Calibri"/>
          <w:sz w:val="22"/>
        </w:rPr>
        <w:t xml:space="preserve"> M</w:t>
      </w:r>
      <w:r w:rsidR="00442513" w:rsidRPr="009B5064">
        <w:rPr>
          <w:rFonts w:ascii="Calibri" w:hAnsi="Calibri" w:cs="Calibri"/>
          <w:sz w:val="22"/>
        </w:rPr>
        <w:t>.</w:t>
      </w:r>
      <w:r w:rsidR="004D4496" w:rsidRPr="009B5064">
        <w:rPr>
          <w:rFonts w:ascii="Calibri" w:hAnsi="Calibri" w:cs="Calibri"/>
          <w:sz w:val="22"/>
        </w:rPr>
        <w:t>, Molloy</w:t>
      </w:r>
      <w:r w:rsidR="00442513" w:rsidRPr="009B5064">
        <w:rPr>
          <w:rFonts w:ascii="Calibri" w:hAnsi="Calibri" w:cs="Calibri"/>
          <w:sz w:val="22"/>
        </w:rPr>
        <w:t>,</w:t>
      </w:r>
      <w:r w:rsidR="004D4496" w:rsidRPr="009B5064">
        <w:rPr>
          <w:rFonts w:ascii="Calibri" w:hAnsi="Calibri" w:cs="Calibri"/>
          <w:sz w:val="22"/>
        </w:rPr>
        <w:t xml:space="preserve"> G</w:t>
      </w:r>
      <w:r w:rsidR="00442513" w:rsidRPr="009B5064">
        <w:rPr>
          <w:rFonts w:ascii="Calibri" w:hAnsi="Calibri" w:cs="Calibri"/>
          <w:sz w:val="22"/>
        </w:rPr>
        <w:t>.</w:t>
      </w:r>
      <w:r w:rsidR="004D4496" w:rsidRPr="009B5064">
        <w:rPr>
          <w:rFonts w:ascii="Calibri" w:hAnsi="Calibri" w:cs="Calibri"/>
          <w:sz w:val="22"/>
        </w:rPr>
        <w:t>J</w:t>
      </w:r>
      <w:r w:rsidR="00442513" w:rsidRPr="009B5064">
        <w:rPr>
          <w:rFonts w:ascii="Calibri" w:hAnsi="Calibri" w:cs="Calibri"/>
          <w:sz w:val="22"/>
        </w:rPr>
        <w:t>.</w:t>
      </w:r>
      <w:r w:rsidR="004D4496" w:rsidRPr="009B5064">
        <w:rPr>
          <w:rFonts w:ascii="Calibri" w:hAnsi="Calibri" w:cs="Calibri"/>
          <w:sz w:val="22"/>
        </w:rPr>
        <w:t>, de Oliveira</w:t>
      </w:r>
      <w:r w:rsidR="00442513" w:rsidRPr="009B5064">
        <w:rPr>
          <w:rFonts w:ascii="Calibri" w:hAnsi="Calibri" w:cs="Calibri"/>
          <w:sz w:val="22"/>
        </w:rPr>
        <w:t>,</w:t>
      </w:r>
      <w:r w:rsidR="004D4496" w:rsidRPr="009B5064">
        <w:rPr>
          <w:rFonts w:ascii="Calibri" w:hAnsi="Calibri" w:cs="Calibri"/>
          <w:sz w:val="22"/>
        </w:rPr>
        <w:t xml:space="preserve"> C</w:t>
      </w:r>
      <w:r w:rsidR="00442513" w:rsidRPr="009B5064">
        <w:rPr>
          <w:rFonts w:ascii="Calibri" w:hAnsi="Calibri" w:cs="Calibri"/>
          <w:sz w:val="22"/>
        </w:rPr>
        <w:t>.</w:t>
      </w:r>
      <w:r w:rsidR="004D4496" w:rsidRPr="009B5064">
        <w:rPr>
          <w:rFonts w:ascii="Calibri" w:hAnsi="Calibri" w:cs="Calibri"/>
          <w:sz w:val="22"/>
        </w:rPr>
        <w:t>, Demakakos</w:t>
      </w:r>
      <w:r w:rsidR="00442513" w:rsidRPr="009B5064">
        <w:rPr>
          <w:rFonts w:ascii="Calibri" w:hAnsi="Calibri" w:cs="Calibri"/>
          <w:sz w:val="22"/>
        </w:rPr>
        <w:t>,</w:t>
      </w:r>
      <w:r w:rsidR="004D4496" w:rsidRPr="009B5064">
        <w:rPr>
          <w:rFonts w:ascii="Calibri" w:hAnsi="Calibri" w:cs="Calibri"/>
          <w:sz w:val="22"/>
        </w:rPr>
        <w:t xml:space="preserve"> P.</w:t>
      </w:r>
      <w:r w:rsidR="00B033A9" w:rsidRPr="009B5064">
        <w:rPr>
          <w:rFonts w:ascii="Calibri" w:hAnsi="Calibri" w:cs="Calibri"/>
          <w:sz w:val="22"/>
        </w:rPr>
        <w:t>:</w:t>
      </w:r>
      <w:r w:rsidR="004D4496" w:rsidRPr="009B5064">
        <w:rPr>
          <w:rFonts w:ascii="Calibri" w:hAnsi="Calibri" w:cs="Calibri"/>
          <w:sz w:val="22"/>
        </w:rPr>
        <w:t xml:space="preserve"> Leisure time physical activity, risk of depressive symptoms, and inflammatory mediators:</w:t>
      </w:r>
      <w:r w:rsidR="0038318A" w:rsidRPr="009B5064">
        <w:rPr>
          <w:rFonts w:ascii="Calibri" w:hAnsi="Calibri" w:cs="Calibri"/>
          <w:sz w:val="22"/>
        </w:rPr>
        <w:t xml:space="preserve"> </w:t>
      </w:r>
      <w:r w:rsidR="004D4496" w:rsidRPr="009B5064">
        <w:rPr>
          <w:rFonts w:ascii="Calibri" w:hAnsi="Calibri" w:cs="Calibri"/>
          <w:sz w:val="22"/>
        </w:rPr>
        <w:t>the English Longitudinal Study of Ageing. Psychoneu</w:t>
      </w:r>
      <w:r w:rsidR="004B08F7" w:rsidRPr="009B5064">
        <w:rPr>
          <w:rFonts w:ascii="Calibri" w:hAnsi="Calibri" w:cs="Calibri"/>
          <w:sz w:val="22"/>
        </w:rPr>
        <w:t>roendocrinology</w:t>
      </w:r>
      <w:r w:rsidR="00AC256F" w:rsidRPr="009B5064">
        <w:rPr>
          <w:rFonts w:ascii="Calibri" w:hAnsi="Calibri" w:cs="Calibri"/>
          <w:sz w:val="22"/>
        </w:rPr>
        <w:t>.</w:t>
      </w:r>
      <w:r w:rsidR="004B08F7" w:rsidRPr="009B5064">
        <w:rPr>
          <w:rFonts w:ascii="Calibri" w:hAnsi="Calibri" w:cs="Calibri"/>
          <w:sz w:val="22"/>
        </w:rPr>
        <w:t xml:space="preserve"> </w:t>
      </w:r>
      <w:r w:rsidR="0038318A" w:rsidRPr="009B5064">
        <w:rPr>
          <w:rFonts w:ascii="Calibri" w:hAnsi="Calibri" w:cs="Calibri"/>
          <w:sz w:val="22"/>
        </w:rPr>
        <w:t xml:space="preserve">34(7), </w:t>
      </w:r>
      <w:r w:rsidR="004D4496" w:rsidRPr="009B5064">
        <w:rPr>
          <w:rFonts w:ascii="Calibri" w:hAnsi="Calibri" w:cs="Calibri"/>
          <w:sz w:val="22"/>
        </w:rPr>
        <w:t>1050–</w:t>
      </w:r>
      <w:r w:rsidR="0068640F" w:rsidRPr="009B5064">
        <w:rPr>
          <w:rFonts w:ascii="Calibri" w:hAnsi="Calibri" w:cs="Calibri"/>
          <w:sz w:val="22"/>
        </w:rPr>
        <w:t>105</w:t>
      </w:r>
      <w:r w:rsidR="0038318A" w:rsidRPr="009B5064">
        <w:rPr>
          <w:rFonts w:ascii="Calibri" w:hAnsi="Calibri" w:cs="Calibri"/>
          <w:sz w:val="22"/>
        </w:rPr>
        <w:t>5 (</w:t>
      </w:r>
      <w:r w:rsidR="006A563C" w:rsidRPr="009B5064">
        <w:rPr>
          <w:rFonts w:ascii="Calibri" w:hAnsi="Calibri" w:cs="Calibri"/>
          <w:sz w:val="22"/>
        </w:rPr>
        <w:t>2009</w:t>
      </w:r>
      <w:r w:rsidR="0038318A" w:rsidRPr="009B5064">
        <w:rPr>
          <w:rFonts w:ascii="Calibri" w:hAnsi="Calibri" w:cs="Calibri"/>
          <w:sz w:val="22"/>
        </w:rPr>
        <w:t xml:space="preserve">). </w:t>
      </w:r>
    </w:p>
    <w:p w14:paraId="50C3999C" w14:textId="77777777" w:rsidR="004D4496" w:rsidRPr="009B5064" w:rsidRDefault="00F2459F" w:rsidP="00CA47A2">
      <w:pPr>
        <w:pStyle w:val="Bibliography"/>
        <w:spacing w:line="480" w:lineRule="auto"/>
        <w:rPr>
          <w:rFonts w:ascii="Calibri" w:hAnsi="Calibri" w:cs="Calibri"/>
          <w:sz w:val="22"/>
        </w:rPr>
      </w:pPr>
      <w:r w:rsidRPr="009B5064">
        <w:rPr>
          <w:rFonts w:ascii="Calibri" w:hAnsi="Calibri" w:cs="Calibri"/>
          <w:sz w:val="22"/>
        </w:rPr>
        <w:lastRenderedPageBreak/>
        <w:t xml:space="preserve">[17] </w:t>
      </w:r>
      <w:r w:rsidR="004D4496" w:rsidRPr="009B5064">
        <w:rPr>
          <w:rFonts w:ascii="Calibri" w:hAnsi="Calibri" w:cs="Calibri"/>
          <w:sz w:val="22"/>
        </w:rPr>
        <w:t>Steffick</w:t>
      </w:r>
      <w:r w:rsidR="00442513" w:rsidRPr="009B5064">
        <w:rPr>
          <w:rFonts w:ascii="Calibri" w:hAnsi="Calibri" w:cs="Calibri"/>
          <w:sz w:val="22"/>
        </w:rPr>
        <w:t>,</w:t>
      </w:r>
      <w:r w:rsidR="004D4496" w:rsidRPr="009B5064">
        <w:rPr>
          <w:rFonts w:ascii="Calibri" w:hAnsi="Calibri" w:cs="Calibri"/>
          <w:sz w:val="22"/>
        </w:rPr>
        <w:t xml:space="preserve"> D</w:t>
      </w:r>
      <w:r w:rsidR="00442513" w:rsidRPr="009B5064">
        <w:rPr>
          <w:rFonts w:ascii="Calibri" w:hAnsi="Calibri" w:cs="Calibri"/>
          <w:sz w:val="22"/>
        </w:rPr>
        <w:t>.</w:t>
      </w:r>
      <w:r w:rsidR="004D4496" w:rsidRPr="009B5064">
        <w:rPr>
          <w:rFonts w:ascii="Calibri" w:hAnsi="Calibri" w:cs="Calibri"/>
          <w:sz w:val="22"/>
        </w:rPr>
        <w:t>E.</w:t>
      </w:r>
      <w:r w:rsidR="00B033A9" w:rsidRPr="009B5064">
        <w:rPr>
          <w:rFonts w:ascii="Calibri" w:hAnsi="Calibri" w:cs="Calibri"/>
          <w:sz w:val="22"/>
        </w:rPr>
        <w:t>:</w:t>
      </w:r>
      <w:r w:rsidR="004D4496" w:rsidRPr="009B5064">
        <w:rPr>
          <w:rFonts w:ascii="Calibri" w:hAnsi="Calibri" w:cs="Calibri"/>
          <w:sz w:val="22"/>
        </w:rPr>
        <w:t xml:space="preserve"> Documentation of affective functioning measures in the Health and Retirement Study. H</w:t>
      </w:r>
      <w:r w:rsidR="00DF3718" w:rsidRPr="009B5064">
        <w:rPr>
          <w:rFonts w:ascii="Calibri" w:hAnsi="Calibri" w:cs="Calibri"/>
          <w:sz w:val="22"/>
        </w:rPr>
        <w:t>RS Documentation Report DR-005 (</w:t>
      </w:r>
      <w:r w:rsidR="004D4496" w:rsidRPr="009B5064">
        <w:rPr>
          <w:rFonts w:ascii="Calibri" w:hAnsi="Calibri" w:cs="Calibri"/>
          <w:sz w:val="22"/>
        </w:rPr>
        <w:t>2000</w:t>
      </w:r>
      <w:r w:rsidR="00DF3718" w:rsidRPr="009B5064">
        <w:rPr>
          <w:rFonts w:ascii="Calibri" w:hAnsi="Calibri" w:cs="Calibri"/>
          <w:sz w:val="22"/>
        </w:rPr>
        <w:t>)</w:t>
      </w:r>
      <w:r w:rsidR="004D4496" w:rsidRPr="009B5064">
        <w:rPr>
          <w:rFonts w:ascii="Calibri" w:hAnsi="Calibri" w:cs="Calibri"/>
          <w:sz w:val="22"/>
        </w:rPr>
        <w:t xml:space="preserve">. </w:t>
      </w:r>
    </w:p>
    <w:p w14:paraId="7AE8E34A" w14:textId="77777777" w:rsidR="004D4496" w:rsidRPr="009B5064" w:rsidRDefault="00F2459F" w:rsidP="00CA47A2">
      <w:pPr>
        <w:pStyle w:val="Bibliography"/>
        <w:spacing w:line="480" w:lineRule="auto"/>
        <w:rPr>
          <w:rFonts w:ascii="Calibri" w:hAnsi="Calibri" w:cs="Calibri"/>
          <w:sz w:val="22"/>
        </w:rPr>
      </w:pPr>
      <w:r w:rsidRPr="009B5064">
        <w:rPr>
          <w:rFonts w:ascii="Calibri" w:hAnsi="Calibri" w:cs="Calibri"/>
          <w:sz w:val="22"/>
        </w:rPr>
        <w:t xml:space="preserve">[18] </w:t>
      </w:r>
      <w:r w:rsidR="004D4496" w:rsidRPr="009B5064">
        <w:rPr>
          <w:rFonts w:ascii="Calibri" w:hAnsi="Calibri" w:cs="Calibri"/>
          <w:sz w:val="22"/>
        </w:rPr>
        <w:t>Rajala</w:t>
      </w:r>
      <w:r w:rsidR="00442513" w:rsidRPr="009B5064">
        <w:rPr>
          <w:rFonts w:ascii="Calibri" w:hAnsi="Calibri" w:cs="Calibri"/>
          <w:sz w:val="22"/>
        </w:rPr>
        <w:t>,</w:t>
      </w:r>
      <w:r w:rsidR="004D4496" w:rsidRPr="009B5064">
        <w:rPr>
          <w:rFonts w:ascii="Calibri" w:hAnsi="Calibri" w:cs="Calibri"/>
          <w:sz w:val="22"/>
        </w:rPr>
        <w:t xml:space="preserve"> U</w:t>
      </w:r>
      <w:r w:rsidR="00442513" w:rsidRPr="009B5064">
        <w:rPr>
          <w:rFonts w:ascii="Calibri" w:hAnsi="Calibri" w:cs="Calibri"/>
          <w:sz w:val="22"/>
        </w:rPr>
        <w:t>.</w:t>
      </w:r>
      <w:r w:rsidR="004D4496" w:rsidRPr="009B5064">
        <w:rPr>
          <w:rFonts w:ascii="Calibri" w:hAnsi="Calibri" w:cs="Calibri"/>
          <w:sz w:val="22"/>
        </w:rPr>
        <w:t>, Pajunpää</w:t>
      </w:r>
      <w:r w:rsidR="00442513" w:rsidRPr="009B5064">
        <w:rPr>
          <w:rFonts w:ascii="Calibri" w:hAnsi="Calibri" w:cs="Calibri"/>
          <w:sz w:val="22"/>
        </w:rPr>
        <w:t>,</w:t>
      </w:r>
      <w:r w:rsidR="004D4496" w:rsidRPr="009B5064">
        <w:rPr>
          <w:rFonts w:ascii="Calibri" w:hAnsi="Calibri" w:cs="Calibri"/>
          <w:sz w:val="22"/>
        </w:rPr>
        <w:t xml:space="preserve"> H</w:t>
      </w:r>
      <w:r w:rsidR="00442513" w:rsidRPr="009B5064">
        <w:rPr>
          <w:rFonts w:ascii="Calibri" w:hAnsi="Calibri" w:cs="Calibri"/>
          <w:sz w:val="22"/>
        </w:rPr>
        <w:t>.</w:t>
      </w:r>
      <w:r w:rsidR="004D4496" w:rsidRPr="009B5064">
        <w:rPr>
          <w:rFonts w:ascii="Calibri" w:hAnsi="Calibri" w:cs="Calibri"/>
          <w:sz w:val="22"/>
        </w:rPr>
        <w:t>, Koskela</w:t>
      </w:r>
      <w:r w:rsidR="00442513" w:rsidRPr="009B5064">
        <w:rPr>
          <w:rFonts w:ascii="Calibri" w:hAnsi="Calibri" w:cs="Calibri"/>
          <w:sz w:val="22"/>
        </w:rPr>
        <w:t>,</w:t>
      </w:r>
      <w:r w:rsidR="004D4496" w:rsidRPr="009B5064">
        <w:rPr>
          <w:rFonts w:ascii="Calibri" w:hAnsi="Calibri" w:cs="Calibri"/>
          <w:sz w:val="22"/>
        </w:rPr>
        <w:t xml:space="preserve"> P</w:t>
      </w:r>
      <w:r w:rsidR="00442513" w:rsidRPr="009B5064">
        <w:rPr>
          <w:rFonts w:ascii="Calibri" w:hAnsi="Calibri" w:cs="Calibri"/>
          <w:sz w:val="22"/>
        </w:rPr>
        <w:t>.</w:t>
      </w:r>
      <w:r w:rsidR="004D4496" w:rsidRPr="009B5064">
        <w:rPr>
          <w:rFonts w:ascii="Calibri" w:hAnsi="Calibri" w:cs="Calibri"/>
          <w:sz w:val="22"/>
        </w:rPr>
        <w:t>, Keinänen-Kiukaanniemi</w:t>
      </w:r>
      <w:r w:rsidR="00B033A9" w:rsidRPr="009B5064">
        <w:rPr>
          <w:rFonts w:ascii="Calibri" w:hAnsi="Calibri" w:cs="Calibri"/>
          <w:sz w:val="22"/>
        </w:rPr>
        <w:t>,</w:t>
      </w:r>
      <w:r w:rsidR="004D4496" w:rsidRPr="009B5064">
        <w:rPr>
          <w:rFonts w:ascii="Calibri" w:hAnsi="Calibri" w:cs="Calibri"/>
          <w:sz w:val="22"/>
        </w:rPr>
        <w:t xml:space="preserve"> S.</w:t>
      </w:r>
      <w:r w:rsidR="00B033A9" w:rsidRPr="009B5064">
        <w:rPr>
          <w:rFonts w:ascii="Calibri" w:hAnsi="Calibri" w:cs="Calibri"/>
          <w:sz w:val="22"/>
        </w:rPr>
        <w:t>:</w:t>
      </w:r>
      <w:r w:rsidR="004D4496" w:rsidRPr="009B5064">
        <w:rPr>
          <w:rFonts w:ascii="Calibri" w:hAnsi="Calibri" w:cs="Calibri"/>
          <w:sz w:val="22"/>
        </w:rPr>
        <w:t xml:space="preserve"> High cardiovascular disease mortality in subjects with visual impairment caused by diabetic retinopathy. Diabetes Care</w:t>
      </w:r>
      <w:r w:rsidR="00AC256F" w:rsidRPr="009B5064">
        <w:rPr>
          <w:rFonts w:ascii="Calibri" w:hAnsi="Calibri" w:cs="Calibri"/>
          <w:sz w:val="22"/>
        </w:rPr>
        <w:t>.</w:t>
      </w:r>
      <w:r w:rsidR="0038318A" w:rsidRPr="009B5064">
        <w:rPr>
          <w:rFonts w:ascii="Calibri" w:hAnsi="Calibri" w:cs="Calibri"/>
          <w:sz w:val="22"/>
        </w:rPr>
        <w:t xml:space="preserve"> 23(7), </w:t>
      </w:r>
      <w:r w:rsidR="004D4496" w:rsidRPr="009B5064">
        <w:rPr>
          <w:rFonts w:ascii="Calibri" w:hAnsi="Calibri" w:cs="Calibri"/>
          <w:sz w:val="22"/>
        </w:rPr>
        <w:t>957–</w:t>
      </w:r>
      <w:r w:rsidR="0068640F" w:rsidRPr="009B5064">
        <w:rPr>
          <w:rFonts w:ascii="Calibri" w:hAnsi="Calibri" w:cs="Calibri"/>
          <w:sz w:val="22"/>
        </w:rPr>
        <w:t>9</w:t>
      </w:r>
      <w:r w:rsidR="0038318A" w:rsidRPr="009B5064">
        <w:rPr>
          <w:rFonts w:ascii="Calibri" w:hAnsi="Calibri" w:cs="Calibri"/>
          <w:sz w:val="22"/>
        </w:rPr>
        <w:t>61 (</w:t>
      </w:r>
      <w:r w:rsidR="006A563C" w:rsidRPr="009B5064">
        <w:rPr>
          <w:rFonts w:ascii="Calibri" w:hAnsi="Calibri" w:cs="Calibri"/>
          <w:sz w:val="22"/>
        </w:rPr>
        <w:t>2000</w:t>
      </w:r>
      <w:r w:rsidR="0038318A" w:rsidRPr="009B5064">
        <w:rPr>
          <w:rFonts w:ascii="Calibri" w:hAnsi="Calibri" w:cs="Calibri"/>
          <w:sz w:val="22"/>
        </w:rPr>
        <w:t xml:space="preserve">). </w:t>
      </w:r>
    </w:p>
    <w:p w14:paraId="5364841E" w14:textId="77777777" w:rsidR="00F31665" w:rsidRPr="009B5064" w:rsidRDefault="00F2459F" w:rsidP="00CA47A2">
      <w:pPr>
        <w:pStyle w:val="Bibliography"/>
        <w:spacing w:line="480" w:lineRule="auto"/>
        <w:rPr>
          <w:rFonts w:ascii="Calibri" w:hAnsi="Calibri" w:cs="Calibri"/>
          <w:sz w:val="22"/>
        </w:rPr>
      </w:pPr>
      <w:r w:rsidRPr="009B5064">
        <w:rPr>
          <w:rFonts w:ascii="Calibri" w:hAnsi="Calibri" w:cs="Calibri"/>
          <w:sz w:val="22"/>
        </w:rPr>
        <w:t xml:space="preserve">[19] </w:t>
      </w:r>
      <w:r w:rsidR="00393907" w:rsidRPr="009B5064">
        <w:rPr>
          <w:rFonts w:ascii="Calibri" w:hAnsi="Calibri" w:cs="Calibri"/>
          <w:sz w:val="22"/>
        </w:rPr>
        <w:t xml:space="preserve">National Academies of Sciences, Engineering, and Medicine, Health and Medicine Division,  Board on Population Health and Public Health Practice, Committee on Public Health Approaches to Reduce Vision Impairment and </w:t>
      </w:r>
      <w:r w:rsidR="002E0DD5" w:rsidRPr="009B5064">
        <w:rPr>
          <w:rFonts w:ascii="Calibri" w:hAnsi="Calibri" w:cs="Calibri"/>
          <w:sz w:val="22"/>
        </w:rPr>
        <w:t>Promote Eye Health, Teutsch SM, McCoy MA, Woodbury RB, Welp</w:t>
      </w:r>
      <w:r w:rsidR="00393907" w:rsidRPr="009B5064">
        <w:rPr>
          <w:rFonts w:ascii="Calibri" w:hAnsi="Calibri" w:cs="Calibri"/>
          <w:sz w:val="22"/>
        </w:rPr>
        <w:t xml:space="preserve"> A</w:t>
      </w:r>
      <w:r w:rsidR="004D4496" w:rsidRPr="009B5064">
        <w:rPr>
          <w:rFonts w:ascii="Calibri" w:hAnsi="Calibri" w:cs="Calibri"/>
          <w:sz w:val="22"/>
        </w:rPr>
        <w:t>. The Impact of Vi</w:t>
      </w:r>
      <w:r w:rsidR="00A64D4A" w:rsidRPr="009B5064">
        <w:rPr>
          <w:rFonts w:ascii="Calibri" w:hAnsi="Calibri" w:cs="Calibri"/>
          <w:sz w:val="22"/>
        </w:rPr>
        <w:t>sion Loss</w:t>
      </w:r>
      <w:r w:rsidR="00D9799B" w:rsidRPr="009B5064">
        <w:rPr>
          <w:rFonts w:ascii="Calibri" w:hAnsi="Calibri" w:cs="Calibri"/>
          <w:sz w:val="22"/>
        </w:rPr>
        <w:t>. National Academies Press (US).</w:t>
      </w:r>
      <w:r w:rsidR="00A64D4A" w:rsidRPr="009B5064">
        <w:rPr>
          <w:rFonts w:ascii="Calibri" w:hAnsi="Calibri" w:cs="Calibri"/>
          <w:sz w:val="22"/>
        </w:rPr>
        <w:t xml:space="preserve"> https://www.ncbi.nlm.nih.gov/books/NBK402367/</w:t>
      </w:r>
      <w:r w:rsidR="00D9799B" w:rsidRPr="009B5064">
        <w:rPr>
          <w:rFonts w:ascii="Calibri" w:hAnsi="Calibri" w:cs="Calibri"/>
          <w:sz w:val="22"/>
        </w:rPr>
        <w:t xml:space="preserve"> (</w:t>
      </w:r>
      <w:r w:rsidR="004D4496" w:rsidRPr="009B5064">
        <w:rPr>
          <w:rFonts w:ascii="Calibri" w:hAnsi="Calibri" w:cs="Calibri"/>
          <w:sz w:val="22"/>
        </w:rPr>
        <w:t>2016</w:t>
      </w:r>
      <w:r w:rsidR="00D9799B" w:rsidRPr="009B5064">
        <w:rPr>
          <w:rFonts w:ascii="Calibri" w:hAnsi="Calibri" w:cs="Calibri"/>
          <w:sz w:val="22"/>
        </w:rPr>
        <w:t>). A</w:t>
      </w:r>
      <w:r w:rsidR="00A64D4A" w:rsidRPr="009B5064">
        <w:rPr>
          <w:rFonts w:ascii="Calibri" w:hAnsi="Calibri" w:cs="Calibri"/>
          <w:sz w:val="22"/>
        </w:rPr>
        <w:t>ccessed 15 Sep</w:t>
      </w:r>
      <w:r w:rsidR="00D9799B" w:rsidRPr="009B5064">
        <w:rPr>
          <w:rFonts w:ascii="Calibri" w:hAnsi="Calibri" w:cs="Calibri"/>
          <w:sz w:val="22"/>
        </w:rPr>
        <w:t>tember</w:t>
      </w:r>
      <w:r w:rsidR="00A64D4A" w:rsidRPr="009B5064">
        <w:rPr>
          <w:rFonts w:ascii="Calibri" w:hAnsi="Calibri" w:cs="Calibri"/>
          <w:sz w:val="22"/>
        </w:rPr>
        <w:t xml:space="preserve"> 2018. </w:t>
      </w:r>
    </w:p>
    <w:p w14:paraId="522D6503" w14:textId="77777777" w:rsidR="00F31665" w:rsidRPr="009B5064" w:rsidRDefault="00F2459F" w:rsidP="00CA47A2">
      <w:pPr>
        <w:pStyle w:val="Bibliography"/>
        <w:spacing w:line="480" w:lineRule="auto"/>
        <w:rPr>
          <w:rFonts w:ascii="Calibri" w:hAnsi="Calibri" w:cs="Calibri"/>
          <w:sz w:val="22"/>
          <w:szCs w:val="22"/>
        </w:rPr>
      </w:pPr>
      <w:r w:rsidRPr="009B5064">
        <w:rPr>
          <w:rFonts w:ascii="Calibri" w:hAnsi="Calibri" w:cs="Calibri"/>
          <w:sz w:val="22"/>
        </w:rPr>
        <w:t>[20]</w:t>
      </w:r>
      <w:r w:rsidR="00F31665" w:rsidRPr="009B5064">
        <w:rPr>
          <w:rFonts w:ascii="Calibri" w:hAnsi="Calibri" w:cs="Calibri"/>
          <w:sz w:val="22"/>
          <w:szCs w:val="22"/>
        </w:rPr>
        <w:t xml:space="preserve"> </w:t>
      </w:r>
      <w:r w:rsidR="004B08F7" w:rsidRPr="009B5064">
        <w:rPr>
          <w:rFonts w:ascii="Calibri" w:hAnsi="Calibri" w:cs="Calibri"/>
          <w:sz w:val="22"/>
          <w:szCs w:val="22"/>
        </w:rPr>
        <w:t>Nario‐Redmond</w:t>
      </w:r>
      <w:r w:rsidR="00B033A9" w:rsidRPr="009B5064">
        <w:rPr>
          <w:rFonts w:ascii="Calibri" w:hAnsi="Calibri" w:cs="Calibri"/>
          <w:sz w:val="22"/>
          <w:szCs w:val="22"/>
        </w:rPr>
        <w:t>,</w:t>
      </w:r>
      <w:r w:rsidR="002E0DD5" w:rsidRPr="009B5064">
        <w:rPr>
          <w:rFonts w:ascii="Calibri" w:hAnsi="Calibri" w:cs="Calibri"/>
          <w:sz w:val="22"/>
          <w:szCs w:val="22"/>
        </w:rPr>
        <w:t xml:space="preserve"> M</w:t>
      </w:r>
      <w:r w:rsidR="00B033A9" w:rsidRPr="009B5064">
        <w:rPr>
          <w:rFonts w:ascii="Calibri" w:hAnsi="Calibri" w:cs="Calibri"/>
          <w:sz w:val="22"/>
          <w:szCs w:val="22"/>
        </w:rPr>
        <w:t>.</w:t>
      </w:r>
      <w:r w:rsidR="004B08F7" w:rsidRPr="009B5064">
        <w:rPr>
          <w:rFonts w:ascii="Calibri" w:hAnsi="Calibri" w:cs="Calibri"/>
          <w:sz w:val="22"/>
          <w:szCs w:val="22"/>
        </w:rPr>
        <w:t>R</w:t>
      </w:r>
      <w:r w:rsidR="00F31665" w:rsidRPr="009B5064">
        <w:rPr>
          <w:rFonts w:ascii="Calibri" w:hAnsi="Calibri" w:cs="Calibri"/>
          <w:sz w:val="22"/>
          <w:szCs w:val="22"/>
        </w:rPr>
        <w:t>.</w:t>
      </w:r>
      <w:r w:rsidR="00B033A9" w:rsidRPr="009B5064">
        <w:rPr>
          <w:rFonts w:ascii="Calibri" w:hAnsi="Calibri" w:cs="Calibri"/>
          <w:sz w:val="22"/>
          <w:szCs w:val="22"/>
        </w:rPr>
        <w:t>:</w:t>
      </w:r>
      <w:r w:rsidR="00F31665" w:rsidRPr="009B5064">
        <w:rPr>
          <w:rFonts w:ascii="Calibri" w:hAnsi="Calibri" w:cs="Calibri"/>
          <w:sz w:val="22"/>
          <w:szCs w:val="22"/>
        </w:rPr>
        <w:t xml:space="preserve"> Cultural stereotypes of disabled and non‐disabled men and women: Consensus for global category representations and diagnostic domains. </w:t>
      </w:r>
      <w:r w:rsidR="004B08F7" w:rsidRPr="009B5064">
        <w:rPr>
          <w:rFonts w:ascii="Calibri" w:hAnsi="Calibri" w:cs="Calibri"/>
          <w:sz w:val="22"/>
          <w:szCs w:val="22"/>
        </w:rPr>
        <w:t>Brit J Soc Psychol</w:t>
      </w:r>
      <w:r w:rsidR="00AC256F" w:rsidRPr="009B5064">
        <w:rPr>
          <w:rFonts w:ascii="Calibri" w:hAnsi="Calibri" w:cs="Calibri"/>
          <w:sz w:val="22"/>
          <w:szCs w:val="22"/>
        </w:rPr>
        <w:t>.</w:t>
      </w:r>
      <w:r w:rsidR="0038318A" w:rsidRPr="009B5064">
        <w:rPr>
          <w:rFonts w:ascii="Calibri" w:hAnsi="Calibri" w:cs="Calibri"/>
          <w:sz w:val="22"/>
          <w:szCs w:val="22"/>
        </w:rPr>
        <w:t xml:space="preserve"> 49(3), </w:t>
      </w:r>
      <w:r w:rsidR="004B08F7" w:rsidRPr="009B5064">
        <w:rPr>
          <w:rFonts w:ascii="Calibri" w:hAnsi="Calibri" w:cs="Calibri"/>
          <w:sz w:val="22"/>
          <w:szCs w:val="22"/>
        </w:rPr>
        <w:t>471-</w:t>
      </w:r>
      <w:r w:rsidR="0068640F" w:rsidRPr="009B5064">
        <w:rPr>
          <w:rFonts w:ascii="Calibri" w:hAnsi="Calibri" w:cs="Calibri"/>
          <w:sz w:val="22"/>
          <w:szCs w:val="22"/>
        </w:rPr>
        <w:t>4</w:t>
      </w:r>
      <w:r w:rsidR="0038318A" w:rsidRPr="009B5064">
        <w:rPr>
          <w:rFonts w:ascii="Calibri" w:hAnsi="Calibri" w:cs="Calibri"/>
          <w:sz w:val="22"/>
          <w:szCs w:val="22"/>
        </w:rPr>
        <w:t>88 (</w:t>
      </w:r>
      <w:r w:rsidR="006A563C" w:rsidRPr="009B5064">
        <w:rPr>
          <w:rFonts w:ascii="Calibri" w:hAnsi="Calibri" w:cs="Calibri"/>
          <w:sz w:val="22"/>
          <w:szCs w:val="22"/>
        </w:rPr>
        <w:t>2010</w:t>
      </w:r>
      <w:r w:rsidR="0038318A" w:rsidRPr="009B5064">
        <w:rPr>
          <w:rFonts w:ascii="Calibri" w:hAnsi="Calibri" w:cs="Calibri"/>
          <w:sz w:val="22"/>
          <w:szCs w:val="22"/>
        </w:rPr>
        <w:t xml:space="preserve">). </w:t>
      </w:r>
    </w:p>
    <w:p w14:paraId="3289166E" w14:textId="77777777" w:rsidR="00A533EA" w:rsidRPr="009B5064" w:rsidRDefault="00F2459F" w:rsidP="00CA47A2">
      <w:pPr>
        <w:pStyle w:val="Bibliography"/>
        <w:spacing w:line="480" w:lineRule="auto"/>
        <w:rPr>
          <w:rFonts w:ascii="Calibri" w:hAnsi="Calibri" w:cs="Calibri"/>
          <w:sz w:val="22"/>
          <w:szCs w:val="22"/>
        </w:rPr>
      </w:pPr>
      <w:r w:rsidRPr="009B5064">
        <w:rPr>
          <w:rFonts w:ascii="Calibri" w:hAnsi="Calibri" w:cs="Calibri"/>
          <w:sz w:val="22"/>
        </w:rPr>
        <w:t>[21]</w:t>
      </w:r>
      <w:r w:rsidR="00A533EA" w:rsidRPr="009B5064">
        <w:rPr>
          <w:rFonts w:ascii="Calibri" w:hAnsi="Calibri" w:cs="Calibri"/>
          <w:sz w:val="22"/>
        </w:rPr>
        <w:t xml:space="preserve"> </w:t>
      </w:r>
      <w:r w:rsidR="002E0DD5" w:rsidRPr="009B5064">
        <w:rPr>
          <w:rFonts w:ascii="Calibri" w:hAnsi="Calibri" w:cs="Calibri"/>
          <w:sz w:val="22"/>
          <w:szCs w:val="22"/>
        </w:rPr>
        <w:t>Gott</w:t>
      </w:r>
      <w:r w:rsidR="00B033A9" w:rsidRPr="009B5064">
        <w:rPr>
          <w:rFonts w:ascii="Calibri" w:hAnsi="Calibri" w:cs="Calibri"/>
          <w:sz w:val="22"/>
          <w:szCs w:val="22"/>
        </w:rPr>
        <w:t>,</w:t>
      </w:r>
      <w:r w:rsidR="002E0DD5" w:rsidRPr="009B5064">
        <w:rPr>
          <w:rFonts w:ascii="Calibri" w:hAnsi="Calibri" w:cs="Calibri"/>
          <w:sz w:val="22"/>
          <w:szCs w:val="22"/>
        </w:rPr>
        <w:t xml:space="preserve"> M</w:t>
      </w:r>
      <w:r w:rsidR="00B033A9" w:rsidRPr="009B5064">
        <w:rPr>
          <w:rFonts w:ascii="Calibri" w:hAnsi="Calibri" w:cs="Calibri"/>
          <w:sz w:val="22"/>
          <w:szCs w:val="22"/>
        </w:rPr>
        <w:t>.</w:t>
      </w:r>
      <w:r w:rsidR="002E0DD5" w:rsidRPr="009B5064">
        <w:rPr>
          <w:rFonts w:ascii="Calibri" w:hAnsi="Calibri" w:cs="Calibri"/>
          <w:sz w:val="22"/>
          <w:szCs w:val="22"/>
        </w:rPr>
        <w:t>, Hinchliff</w:t>
      </w:r>
      <w:r w:rsidR="00B033A9" w:rsidRPr="009B5064">
        <w:rPr>
          <w:rFonts w:ascii="Calibri" w:hAnsi="Calibri" w:cs="Calibri"/>
          <w:sz w:val="22"/>
          <w:szCs w:val="22"/>
        </w:rPr>
        <w:t>,</w:t>
      </w:r>
      <w:r w:rsidR="002E0DD5" w:rsidRPr="009B5064">
        <w:rPr>
          <w:rFonts w:ascii="Calibri" w:hAnsi="Calibri" w:cs="Calibri"/>
          <w:sz w:val="22"/>
          <w:szCs w:val="22"/>
        </w:rPr>
        <w:t xml:space="preserve"> S</w:t>
      </w:r>
      <w:r w:rsidR="00B033A9" w:rsidRPr="009B5064">
        <w:rPr>
          <w:rFonts w:ascii="Calibri" w:hAnsi="Calibri" w:cs="Calibri"/>
          <w:sz w:val="22"/>
          <w:szCs w:val="22"/>
        </w:rPr>
        <w:t>.</w:t>
      </w:r>
      <w:r w:rsidR="002E0DD5" w:rsidRPr="009B5064">
        <w:rPr>
          <w:rFonts w:ascii="Calibri" w:hAnsi="Calibri" w:cs="Calibri"/>
          <w:sz w:val="22"/>
          <w:szCs w:val="22"/>
        </w:rPr>
        <w:t>, Galena</w:t>
      </w:r>
      <w:r w:rsidR="00B033A9" w:rsidRPr="009B5064">
        <w:rPr>
          <w:rFonts w:ascii="Calibri" w:hAnsi="Calibri" w:cs="Calibri"/>
          <w:sz w:val="22"/>
          <w:szCs w:val="22"/>
        </w:rPr>
        <w:t>,</w:t>
      </w:r>
      <w:r w:rsidR="00A533EA" w:rsidRPr="009B5064">
        <w:rPr>
          <w:rFonts w:ascii="Calibri" w:hAnsi="Calibri" w:cs="Calibri"/>
          <w:sz w:val="22"/>
          <w:szCs w:val="22"/>
        </w:rPr>
        <w:t xml:space="preserve"> E.</w:t>
      </w:r>
      <w:r w:rsidR="00B033A9" w:rsidRPr="009B5064">
        <w:rPr>
          <w:rFonts w:ascii="Calibri" w:hAnsi="Calibri" w:cs="Calibri"/>
          <w:sz w:val="22"/>
          <w:szCs w:val="22"/>
        </w:rPr>
        <w:t>:</w:t>
      </w:r>
      <w:r w:rsidR="00A533EA" w:rsidRPr="009B5064">
        <w:rPr>
          <w:rFonts w:ascii="Calibri" w:hAnsi="Calibri" w:cs="Calibri"/>
          <w:sz w:val="22"/>
          <w:szCs w:val="22"/>
        </w:rPr>
        <w:t xml:space="preserve"> General practitioner attitudes to discussing sexual health issues with older people. Soc</w:t>
      </w:r>
      <w:r w:rsidR="004B08F7" w:rsidRPr="009B5064">
        <w:rPr>
          <w:rFonts w:ascii="Calibri" w:hAnsi="Calibri" w:cs="Calibri"/>
          <w:sz w:val="22"/>
          <w:szCs w:val="22"/>
        </w:rPr>
        <w:t xml:space="preserve"> Sci Med</w:t>
      </w:r>
      <w:r w:rsidR="00AC256F" w:rsidRPr="009B5064">
        <w:rPr>
          <w:rFonts w:ascii="Calibri" w:hAnsi="Calibri" w:cs="Calibri"/>
          <w:sz w:val="22"/>
          <w:szCs w:val="22"/>
        </w:rPr>
        <w:t>.</w:t>
      </w:r>
      <w:r w:rsidR="0038318A" w:rsidRPr="009B5064">
        <w:rPr>
          <w:rFonts w:ascii="Calibri" w:hAnsi="Calibri" w:cs="Calibri"/>
          <w:sz w:val="22"/>
          <w:szCs w:val="22"/>
        </w:rPr>
        <w:t xml:space="preserve"> 58, </w:t>
      </w:r>
      <w:r w:rsidR="004B08F7" w:rsidRPr="009B5064">
        <w:rPr>
          <w:rFonts w:ascii="Calibri" w:hAnsi="Calibri" w:cs="Calibri"/>
          <w:sz w:val="22"/>
          <w:szCs w:val="22"/>
        </w:rPr>
        <w:t>2093–</w:t>
      </w:r>
      <w:r w:rsidR="0068640F" w:rsidRPr="009B5064">
        <w:rPr>
          <w:rFonts w:ascii="Calibri" w:hAnsi="Calibri" w:cs="Calibri"/>
          <w:sz w:val="22"/>
          <w:szCs w:val="22"/>
        </w:rPr>
        <w:t>2</w:t>
      </w:r>
      <w:r w:rsidR="0038318A" w:rsidRPr="009B5064">
        <w:rPr>
          <w:rFonts w:ascii="Calibri" w:hAnsi="Calibri" w:cs="Calibri"/>
          <w:sz w:val="22"/>
          <w:szCs w:val="22"/>
        </w:rPr>
        <w:t>103 (</w:t>
      </w:r>
      <w:r w:rsidR="006A563C" w:rsidRPr="009B5064">
        <w:rPr>
          <w:rFonts w:ascii="Calibri" w:hAnsi="Calibri" w:cs="Calibri"/>
          <w:sz w:val="22"/>
          <w:szCs w:val="22"/>
        </w:rPr>
        <w:t>2004</w:t>
      </w:r>
      <w:r w:rsidR="0038318A" w:rsidRPr="009B5064">
        <w:rPr>
          <w:rFonts w:ascii="Calibri" w:hAnsi="Calibri" w:cs="Calibri"/>
          <w:sz w:val="22"/>
          <w:szCs w:val="22"/>
        </w:rPr>
        <w:t xml:space="preserve">). </w:t>
      </w:r>
    </w:p>
    <w:p w14:paraId="502E5AD8" w14:textId="77777777" w:rsidR="00A533EA" w:rsidRPr="009B5064" w:rsidRDefault="00F2459F" w:rsidP="00CA47A2">
      <w:pPr>
        <w:pStyle w:val="Bibliography"/>
        <w:spacing w:line="480" w:lineRule="auto"/>
        <w:rPr>
          <w:rFonts w:ascii="Calibri" w:hAnsi="Calibri" w:cs="Calibri"/>
          <w:sz w:val="22"/>
          <w:szCs w:val="22"/>
        </w:rPr>
      </w:pPr>
      <w:r w:rsidRPr="009B5064">
        <w:rPr>
          <w:rFonts w:ascii="Calibri" w:hAnsi="Calibri" w:cs="Calibri"/>
          <w:sz w:val="22"/>
        </w:rPr>
        <w:t>[22]</w:t>
      </w:r>
      <w:r w:rsidR="00A533EA" w:rsidRPr="009B5064">
        <w:rPr>
          <w:rFonts w:ascii="Calibri" w:hAnsi="Calibri" w:cs="Calibri"/>
          <w:sz w:val="22"/>
          <w:szCs w:val="22"/>
        </w:rPr>
        <w:t xml:space="preserve"> </w:t>
      </w:r>
      <w:r w:rsidR="002E0DD5" w:rsidRPr="009B5064">
        <w:rPr>
          <w:rFonts w:ascii="Calibri" w:hAnsi="Calibri" w:cs="Calibri"/>
          <w:sz w:val="22"/>
          <w:szCs w:val="22"/>
        </w:rPr>
        <w:t>Haboubi</w:t>
      </w:r>
      <w:r w:rsidR="00B033A9" w:rsidRPr="009B5064">
        <w:rPr>
          <w:rFonts w:ascii="Calibri" w:hAnsi="Calibri" w:cs="Calibri"/>
          <w:sz w:val="22"/>
          <w:szCs w:val="22"/>
        </w:rPr>
        <w:t>,</w:t>
      </w:r>
      <w:r w:rsidR="002E0DD5" w:rsidRPr="009B5064">
        <w:rPr>
          <w:rFonts w:ascii="Calibri" w:hAnsi="Calibri" w:cs="Calibri"/>
          <w:sz w:val="22"/>
          <w:szCs w:val="22"/>
        </w:rPr>
        <w:t xml:space="preserve"> N</w:t>
      </w:r>
      <w:r w:rsidR="00B033A9" w:rsidRPr="009B5064">
        <w:rPr>
          <w:rFonts w:ascii="Calibri" w:hAnsi="Calibri" w:cs="Calibri"/>
          <w:sz w:val="22"/>
          <w:szCs w:val="22"/>
        </w:rPr>
        <w:t>.</w:t>
      </w:r>
      <w:r w:rsidR="002E0DD5" w:rsidRPr="009B5064">
        <w:rPr>
          <w:rFonts w:ascii="Calibri" w:hAnsi="Calibri" w:cs="Calibri"/>
          <w:sz w:val="22"/>
          <w:szCs w:val="22"/>
        </w:rPr>
        <w:t>H</w:t>
      </w:r>
      <w:r w:rsidR="00B033A9" w:rsidRPr="009B5064">
        <w:rPr>
          <w:rFonts w:ascii="Calibri" w:hAnsi="Calibri" w:cs="Calibri"/>
          <w:sz w:val="22"/>
          <w:szCs w:val="22"/>
        </w:rPr>
        <w:t>.</w:t>
      </w:r>
      <w:r w:rsidR="002E0DD5" w:rsidRPr="009B5064">
        <w:rPr>
          <w:rFonts w:ascii="Calibri" w:hAnsi="Calibri" w:cs="Calibri"/>
          <w:sz w:val="22"/>
          <w:szCs w:val="22"/>
        </w:rPr>
        <w:t>, Lincoln</w:t>
      </w:r>
      <w:r w:rsidR="00B033A9" w:rsidRPr="009B5064">
        <w:rPr>
          <w:rFonts w:ascii="Calibri" w:hAnsi="Calibri" w:cs="Calibri"/>
          <w:sz w:val="22"/>
          <w:szCs w:val="22"/>
        </w:rPr>
        <w:t>,</w:t>
      </w:r>
      <w:r w:rsidR="00A533EA" w:rsidRPr="009B5064">
        <w:rPr>
          <w:rFonts w:ascii="Calibri" w:hAnsi="Calibri" w:cs="Calibri"/>
          <w:sz w:val="22"/>
          <w:szCs w:val="22"/>
        </w:rPr>
        <w:t xml:space="preserve"> N.</w:t>
      </w:r>
      <w:r w:rsidR="00B033A9" w:rsidRPr="009B5064">
        <w:rPr>
          <w:rFonts w:ascii="Calibri" w:hAnsi="Calibri" w:cs="Calibri"/>
          <w:sz w:val="22"/>
          <w:szCs w:val="22"/>
        </w:rPr>
        <w:t>:</w:t>
      </w:r>
      <w:r w:rsidR="00A533EA" w:rsidRPr="009B5064">
        <w:rPr>
          <w:rFonts w:ascii="Calibri" w:hAnsi="Calibri" w:cs="Calibri"/>
          <w:sz w:val="22"/>
          <w:szCs w:val="22"/>
        </w:rPr>
        <w:t xml:space="preserve"> Views of health professionals on discussing sexua</w:t>
      </w:r>
      <w:r w:rsidR="004B08F7" w:rsidRPr="009B5064">
        <w:rPr>
          <w:rFonts w:ascii="Calibri" w:hAnsi="Calibri" w:cs="Calibri"/>
          <w:sz w:val="22"/>
          <w:szCs w:val="22"/>
        </w:rPr>
        <w:t>l issues with patients. Disabil Rehabil</w:t>
      </w:r>
      <w:r w:rsidR="00AC256F" w:rsidRPr="009B5064">
        <w:rPr>
          <w:rFonts w:ascii="Calibri" w:hAnsi="Calibri" w:cs="Calibri"/>
          <w:sz w:val="22"/>
          <w:szCs w:val="22"/>
        </w:rPr>
        <w:t>.</w:t>
      </w:r>
      <w:r w:rsidR="0038318A" w:rsidRPr="009B5064">
        <w:rPr>
          <w:rFonts w:ascii="Calibri" w:hAnsi="Calibri" w:cs="Calibri"/>
          <w:sz w:val="22"/>
          <w:szCs w:val="22"/>
        </w:rPr>
        <w:t xml:space="preserve"> 25, </w:t>
      </w:r>
      <w:r w:rsidR="004B08F7" w:rsidRPr="009B5064">
        <w:rPr>
          <w:rFonts w:ascii="Calibri" w:hAnsi="Calibri" w:cs="Calibri"/>
          <w:sz w:val="22"/>
          <w:szCs w:val="22"/>
        </w:rPr>
        <w:t>291–</w:t>
      </w:r>
      <w:r w:rsidR="0068640F" w:rsidRPr="009B5064">
        <w:rPr>
          <w:rFonts w:ascii="Calibri" w:hAnsi="Calibri" w:cs="Calibri"/>
          <w:sz w:val="22"/>
          <w:szCs w:val="22"/>
        </w:rPr>
        <w:t>29</w:t>
      </w:r>
      <w:r w:rsidR="0038318A" w:rsidRPr="009B5064">
        <w:rPr>
          <w:rFonts w:ascii="Calibri" w:hAnsi="Calibri" w:cs="Calibri"/>
          <w:sz w:val="22"/>
          <w:szCs w:val="22"/>
        </w:rPr>
        <w:t>6 (</w:t>
      </w:r>
      <w:r w:rsidR="006A563C" w:rsidRPr="009B5064">
        <w:rPr>
          <w:rFonts w:ascii="Calibri" w:hAnsi="Calibri" w:cs="Calibri"/>
          <w:sz w:val="22"/>
          <w:szCs w:val="22"/>
        </w:rPr>
        <w:t>2003</w:t>
      </w:r>
      <w:r w:rsidR="0038318A" w:rsidRPr="009B5064">
        <w:rPr>
          <w:rFonts w:ascii="Calibri" w:hAnsi="Calibri" w:cs="Calibri"/>
          <w:sz w:val="22"/>
          <w:szCs w:val="22"/>
        </w:rPr>
        <w:t xml:space="preserve">). </w:t>
      </w:r>
    </w:p>
    <w:p w14:paraId="1D5FE4FE" w14:textId="77777777" w:rsidR="00A533EA" w:rsidRPr="009B5064" w:rsidRDefault="00F2459F" w:rsidP="00CA47A2">
      <w:pPr>
        <w:pStyle w:val="Bibliography"/>
        <w:spacing w:line="480" w:lineRule="auto"/>
        <w:rPr>
          <w:rFonts w:ascii="Calibri" w:hAnsi="Calibri" w:cs="Calibri"/>
          <w:sz w:val="22"/>
          <w:szCs w:val="22"/>
        </w:rPr>
      </w:pPr>
      <w:r w:rsidRPr="009B5064">
        <w:rPr>
          <w:rFonts w:ascii="Calibri" w:hAnsi="Calibri" w:cs="Calibri"/>
          <w:sz w:val="22"/>
        </w:rPr>
        <w:t>[23]</w:t>
      </w:r>
      <w:r w:rsidR="00A533EA" w:rsidRPr="009B5064">
        <w:rPr>
          <w:rFonts w:ascii="Calibri" w:hAnsi="Calibri" w:cs="Calibri"/>
          <w:sz w:val="22"/>
          <w:szCs w:val="22"/>
        </w:rPr>
        <w:t xml:space="preserve"> Saunamaki</w:t>
      </w:r>
      <w:r w:rsidR="00B033A9" w:rsidRPr="009B5064">
        <w:rPr>
          <w:rFonts w:ascii="Calibri" w:hAnsi="Calibri" w:cs="Calibri"/>
          <w:sz w:val="22"/>
          <w:szCs w:val="22"/>
        </w:rPr>
        <w:t>,</w:t>
      </w:r>
      <w:r w:rsidR="002E0DD5" w:rsidRPr="009B5064">
        <w:rPr>
          <w:rFonts w:ascii="Calibri" w:hAnsi="Calibri" w:cs="Calibri"/>
          <w:sz w:val="22"/>
          <w:szCs w:val="22"/>
        </w:rPr>
        <w:t xml:space="preserve"> N</w:t>
      </w:r>
      <w:r w:rsidR="00B033A9" w:rsidRPr="009B5064">
        <w:rPr>
          <w:rFonts w:ascii="Calibri" w:hAnsi="Calibri" w:cs="Calibri"/>
          <w:sz w:val="22"/>
          <w:szCs w:val="22"/>
        </w:rPr>
        <w:t>.</w:t>
      </w:r>
      <w:r w:rsidR="002E0DD5" w:rsidRPr="009B5064">
        <w:rPr>
          <w:rFonts w:ascii="Calibri" w:hAnsi="Calibri" w:cs="Calibri"/>
          <w:sz w:val="22"/>
          <w:szCs w:val="22"/>
        </w:rPr>
        <w:t>, Andersson</w:t>
      </w:r>
      <w:r w:rsidR="00B033A9" w:rsidRPr="009B5064">
        <w:rPr>
          <w:rFonts w:ascii="Calibri" w:hAnsi="Calibri" w:cs="Calibri"/>
          <w:sz w:val="22"/>
          <w:szCs w:val="22"/>
        </w:rPr>
        <w:t>,</w:t>
      </w:r>
      <w:r w:rsidR="002E0DD5" w:rsidRPr="009B5064">
        <w:rPr>
          <w:rFonts w:ascii="Calibri" w:hAnsi="Calibri" w:cs="Calibri"/>
          <w:sz w:val="22"/>
          <w:szCs w:val="22"/>
        </w:rPr>
        <w:t xml:space="preserve"> M</w:t>
      </w:r>
      <w:r w:rsidR="00B033A9" w:rsidRPr="009B5064">
        <w:rPr>
          <w:rFonts w:ascii="Calibri" w:hAnsi="Calibri" w:cs="Calibri"/>
          <w:sz w:val="22"/>
          <w:szCs w:val="22"/>
        </w:rPr>
        <w:t>.</w:t>
      </w:r>
      <w:r w:rsidR="002E0DD5" w:rsidRPr="009B5064">
        <w:rPr>
          <w:rFonts w:ascii="Calibri" w:hAnsi="Calibri" w:cs="Calibri"/>
          <w:sz w:val="22"/>
          <w:szCs w:val="22"/>
        </w:rPr>
        <w:t>,</w:t>
      </w:r>
      <w:r w:rsidR="00A533EA" w:rsidRPr="009B5064">
        <w:rPr>
          <w:rFonts w:ascii="Calibri" w:hAnsi="Calibri" w:cs="Calibri"/>
          <w:sz w:val="22"/>
          <w:szCs w:val="22"/>
        </w:rPr>
        <w:t xml:space="preserve"> Engstrom</w:t>
      </w:r>
      <w:r w:rsidR="00B033A9" w:rsidRPr="009B5064">
        <w:rPr>
          <w:rFonts w:ascii="Calibri" w:hAnsi="Calibri" w:cs="Calibri"/>
          <w:sz w:val="22"/>
          <w:szCs w:val="22"/>
        </w:rPr>
        <w:t>,</w:t>
      </w:r>
      <w:r w:rsidR="00A533EA" w:rsidRPr="009B5064">
        <w:rPr>
          <w:rFonts w:ascii="Calibri" w:hAnsi="Calibri" w:cs="Calibri"/>
          <w:sz w:val="22"/>
          <w:szCs w:val="22"/>
        </w:rPr>
        <w:t xml:space="preserve"> M.</w:t>
      </w:r>
      <w:r w:rsidR="00B033A9" w:rsidRPr="009B5064">
        <w:rPr>
          <w:rFonts w:ascii="Calibri" w:hAnsi="Calibri" w:cs="Calibri"/>
          <w:sz w:val="22"/>
          <w:szCs w:val="22"/>
        </w:rPr>
        <w:t>:</w:t>
      </w:r>
      <w:r w:rsidR="00A533EA" w:rsidRPr="009B5064">
        <w:rPr>
          <w:rFonts w:ascii="Calibri" w:hAnsi="Calibri" w:cs="Calibri"/>
          <w:sz w:val="22"/>
          <w:szCs w:val="22"/>
        </w:rPr>
        <w:t xml:space="preserve"> Discussing sexuality with patients: n</w:t>
      </w:r>
      <w:r w:rsidR="004B08F7" w:rsidRPr="009B5064">
        <w:rPr>
          <w:rFonts w:ascii="Calibri" w:hAnsi="Calibri" w:cs="Calibri"/>
          <w:sz w:val="22"/>
          <w:szCs w:val="22"/>
        </w:rPr>
        <w:t>urses’ attitudes and beliefs. J Adv Nurs</w:t>
      </w:r>
      <w:r w:rsidR="00AC256F" w:rsidRPr="009B5064">
        <w:rPr>
          <w:rFonts w:ascii="Calibri" w:hAnsi="Calibri" w:cs="Calibri"/>
          <w:sz w:val="22"/>
          <w:szCs w:val="22"/>
        </w:rPr>
        <w:t>.</w:t>
      </w:r>
      <w:r w:rsidR="0038318A" w:rsidRPr="009B5064">
        <w:rPr>
          <w:rFonts w:ascii="Calibri" w:hAnsi="Calibri" w:cs="Calibri"/>
          <w:sz w:val="22"/>
          <w:szCs w:val="22"/>
        </w:rPr>
        <w:t xml:space="preserve"> 66, </w:t>
      </w:r>
      <w:r w:rsidR="004B08F7" w:rsidRPr="009B5064">
        <w:rPr>
          <w:rFonts w:ascii="Calibri" w:hAnsi="Calibri" w:cs="Calibri"/>
          <w:sz w:val="22"/>
          <w:szCs w:val="22"/>
        </w:rPr>
        <w:t>1308–</w:t>
      </w:r>
      <w:r w:rsidR="0068640F" w:rsidRPr="009B5064">
        <w:rPr>
          <w:rFonts w:ascii="Calibri" w:hAnsi="Calibri" w:cs="Calibri"/>
          <w:sz w:val="22"/>
          <w:szCs w:val="22"/>
        </w:rPr>
        <w:t>13</w:t>
      </w:r>
      <w:r w:rsidR="0038318A" w:rsidRPr="009B5064">
        <w:rPr>
          <w:rFonts w:ascii="Calibri" w:hAnsi="Calibri" w:cs="Calibri"/>
          <w:sz w:val="22"/>
          <w:szCs w:val="22"/>
        </w:rPr>
        <w:t>16 (</w:t>
      </w:r>
      <w:r w:rsidR="006A563C" w:rsidRPr="009B5064">
        <w:rPr>
          <w:rFonts w:ascii="Calibri" w:hAnsi="Calibri" w:cs="Calibri"/>
          <w:sz w:val="22"/>
          <w:szCs w:val="22"/>
        </w:rPr>
        <w:t>2010</w:t>
      </w:r>
      <w:r w:rsidR="0038318A" w:rsidRPr="009B5064">
        <w:rPr>
          <w:rFonts w:ascii="Calibri" w:hAnsi="Calibri" w:cs="Calibri"/>
          <w:sz w:val="22"/>
          <w:szCs w:val="22"/>
        </w:rPr>
        <w:t xml:space="preserve">). </w:t>
      </w:r>
    </w:p>
    <w:p w14:paraId="02E0938F" w14:textId="77777777" w:rsidR="00A533EA" w:rsidRPr="009B5064" w:rsidRDefault="00F2459F" w:rsidP="00CA47A2">
      <w:pPr>
        <w:pStyle w:val="Bibliography"/>
        <w:spacing w:line="480" w:lineRule="auto"/>
        <w:rPr>
          <w:rFonts w:ascii="Calibri" w:hAnsi="Calibri" w:cs="Calibri"/>
          <w:sz w:val="22"/>
          <w:szCs w:val="22"/>
          <w:lang w:val="en-GB"/>
        </w:rPr>
      </w:pPr>
      <w:r w:rsidRPr="009B5064">
        <w:rPr>
          <w:rFonts w:ascii="Calibri" w:hAnsi="Calibri" w:cs="Calibri"/>
          <w:sz w:val="22"/>
        </w:rPr>
        <w:t>[24]</w:t>
      </w:r>
      <w:r w:rsidR="00A533EA" w:rsidRPr="009B5064">
        <w:rPr>
          <w:rFonts w:ascii="Calibri" w:hAnsi="Calibri" w:cs="Calibri"/>
          <w:sz w:val="22"/>
          <w:szCs w:val="22"/>
        </w:rPr>
        <w:t xml:space="preserve"> </w:t>
      </w:r>
      <w:r w:rsidR="002E0DD5" w:rsidRPr="009B5064">
        <w:rPr>
          <w:rFonts w:ascii="Calibri" w:hAnsi="Calibri" w:cs="Calibri"/>
          <w:sz w:val="22"/>
          <w:szCs w:val="22"/>
          <w:lang w:val="en-GB"/>
        </w:rPr>
        <w:t>Gott</w:t>
      </w:r>
      <w:r w:rsidR="00B033A9" w:rsidRPr="009B5064">
        <w:rPr>
          <w:rFonts w:ascii="Calibri" w:hAnsi="Calibri" w:cs="Calibri"/>
          <w:sz w:val="22"/>
          <w:szCs w:val="22"/>
          <w:lang w:val="en-GB"/>
        </w:rPr>
        <w:t>,</w:t>
      </w:r>
      <w:r w:rsidR="002E0DD5" w:rsidRPr="009B5064">
        <w:rPr>
          <w:rFonts w:ascii="Calibri" w:hAnsi="Calibri" w:cs="Calibri"/>
          <w:sz w:val="22"/>
          <w:szCs w:val="22"/>
          <w:lang w:val="en-GB"/>
        </w:rPr>
        <w:t xml:space="preserve"> M</w:t>
      </w:r>
      <w:r w:rsidR="00B033A9" w:rsidRPr="009B5064">
        <w:rPr>
          <w:rFonts w:ascii="Calibri" w:hAnsi="Calibri" w:cs="Calibri"/>
          <w:sz w:val="22"/>
          <w:szCs w:val="22"/>
          <w:lang w:val="en-GB"/>
        </w:rPr>
        <w:t>.</w:t>
      </w:r>
      <w:r w:rsidR="002E0DD5" w:rsidRPr="009B5064">
        <w:rPr>
          <w:rFonts w:ascii="Calibri" w:hAnsi="Calibri" w:cs="Calibri"/>
          <w:sz w:val="22"/>
          <w:szCs w:val="22"/>
          <w:lang w:val="en-GB"/>
        </w:rPr>
        <w:t>,</w:t>
      </w:r>
      <w:r w:rsidR="00A533EA" w:rsidRPr="009B5064">
        <w:rPr>
          <w:rFonts w:ascii="Calibri" w:hAnsi="Calibri" w:cs="Calibri"/>
          <w:sz w:val="22"/>
          <w:szCs w:val="22"/>
          <w:lang w:val="en-GB"/>
        </w:rPr>
        <w:t xml:space="preserve"> Hinchliff</w:t>
      </w:r>
      <w:r w:rsidR="00B033A9" w:rsidRPr="009B5064">
        <w:rPr>
          <w:rFonts w:ascii="Calibri" w:hAnsi="Calibri" w:cs="Calibri"/>
          <w:sz w:val="22"/>
          <w:szCs w:val="22"/>
          <w:lang w:val="en-GB"/>
        </w:rPr>
        <w:t>,</w:t>
      </w:r>
      <w:r w:rsidR="00A533EA" w:rsidRPr="009B5064">
        <w:rPr>
          <w:rFonts w:ascii="Calibri" w:hAnsi="Calibri" w:cs="Calibri"/>
          <w:sz w:val="22"/>
          <w:szCs w:val="22"/>
          <w:lang w:val="en-GB"/>
        </w:rPr>
        <w:t xml:space="preserve"> S.</w:t>
      </w:r>
      <w:r w:rsidR="00B033A9" w:rsidRPr="009B5064">
        <w:rPr>
          <w:rFonts w:ascii="Calibri" w:hAnsi="Calibri" w:cs="Calibri"/>
          <w:sz w:val="22"/>
          <w:szCs w:val="22"/>
          <w:lang w:val="en-GB"/>
        </w:rPr>
        <w:t>:</w:t>
      </w:r>
      <w:r w:rsidR="00A533EA" w:rsidRPr="009B5064">
        <w:rPr>
          <w:rFonts w:ascii="Calibri" w:hAnsi="Calibri" w:cs="Calibri"/>
          <w:sz w:val="22"/>
          <w:szCs w:val="22"/>
          <w:lang w:val="en-GB"/>
        </w:rPr>
        <w:t xml:space="preserve"> Barriers to seeking treatment for sexual problems in primary care: a qualitative study with older people. </w:t>
      </w:r>
      <w:r w:rsidR="004B08F7" w:rsidRPr="009B5064">
        <w:rPr>
          <w:rFonts w:ascii="Calibri" w:hAnsi="Calibri" w:cs="Calibri"/>
          <w:iCs/>
          <w:sz w:val="22"/>
          <w:szCs w:val="22"/>
          <w:lang w:val="en-GB"/>
        </w:rPr>
        <w:t>Fam</w:t>
      </w:r>
      <w:r w:rsidR="00A533EA" w:rsidRPr="009B5064">
        <w:rPr>
          <w:rFonts w:ascii="Calibri" w:hAnsi="Calibri" w:cs="Calibri"/>
          <w:iCs/>
          <w:sz w:val="22"/>
          <w:szCs w:val="22"/>
          <w:lang w:val="en-GB"/>
        </w:rPr>
        <w:t xml:space="preserve"> Pract</w:t>
      </w:r>
      <w:r w:rsidR="00AC256F" w:rsidRPr="009B5064">
        <w:rPr>
          <w:rFonts w:ascii="Calibri" w:hAnsi="Calibri" w:cs="Calibri"/>
          <w:iCs/>
          <w:sz w:val="22"/>
          <w:szCs w:val="22"/>
          <w:lang w:val="en-GB"/>
        </w:rPr>
        <w:t>.</w:t>
      </w:r>
      <w:r w:rsidR="0038318A" w:rsidRPr="009B5064">
        <w:rPr>
          <w:rFonts w:ascii="Calibri" w:hAnsi="Calibri" w:cs="Calibri"/>
          <w:iCs/>
          <w:sz w:val="22"/>
          <w:szCs w:val="22"/>
          <w:lang w:val="en-GB"/>
        </w:rPr>
        <w:t xml:space="preserve"> </w:t>
      </w:r>
      <w:r w:rsidR="00A533EA" w:rsidRPr="009B5064">
        <w:rPr>
          <w:rFonts w:ascii="Calibri" w:hAnsi="Calibri" w:cs="Calibri"/>
          <w:bCs/>
          <w:sz w:val="22"/>
          <w:szCs w:val="22"/>
          <w:lang w:val="en-GB"/>
        </w:rPr>
        <w:t>20</w:t>
      </w:r>
      <w:r w:rsidR="0038318A" w:rsidRPr="009B5064">
        <w:rPr>
          <w:rFonts w:ascii="Calibri" w:hAnsi="Calibri" w:cs="Calibri"/>
          <w:sz w:val="22"/>
          <w:szCs w:val="22"/>
          <w:lang w:val="en-GB"/>
        </w:rPr>
        <w:t xml:space="preserve">, </w:t>
      </w:r>
      <w:r w:rsidR="004B08F7" w:rsidRPr="009B5064">
        <w:rPr>
          <w:rFonts w:ascii="Calibri" w:hAnsi="Calibri" w:cs="Calibri"/>
          <w:sz w:val="22"/>
          <w:szCs w:val="22"/>
          <w:lang w:val="en-GB"/>
        </w:rPr>
        <w:t>690-</w:t>
      </w:r>
      <w:r w:rsidR="0068640F" w:rsidRPr="009B5064">
        <w:rPr>
          <w:rFonts w:ascii="Calibri" w:hAnsi="Calibri" w:cs="Calibri"/>
          <w:sz w:val="22"/>
          <w:szCs w:val="22"/>
          <w:lang w:val="en-GB"/>
        </w:rPr>
        <w:t>69</w:t>
      </w:r>
      <w:r w:rsidR="00A533EA" w:rsidRPr="009B5064">
        <w:rPr>
          <w:rFonts w:ascii="Calibri" w:hAnsi="Calibri" w:cs="Calibri"/>
          <w:sz w:val="22"/>
          <w:szCs w:val="22"/>
          <w:lang w:val="en-GB"/>
        </w:rPr>
        <w:t>5</w:t>
      </w:r>
      <w:r w:rsidR="0038318A" w:rsidRPr="009B5064">
        <w:rPr>
          <w:rFonts w:ascii="Calibri" w:hAnsi="Calibri" w:cs="Calibri"/>
          <w:sz w:val="22"/>
          <w:szCs w:val="22"/>
          <w:lang w:val="en-GB"/>
        </w:rPr>
        <w:t xml:space="preserve"> (</w:t>
      </w:r>
      <w:r w:rsidR="006A563C" w:rsidRPr="009B5064">
        <w:rPr>
          <w:rFonts w:ascii="Calibri" w:hAnsi="Calibri" w:cs="Calibri"/>
          <w:iCs/>
          <w:sz w:val="22"/>
          <w:szCs w:val="22"/>
          <w:lang w:val="en-GB"/>
        </w:rPr>
        <w:t>2003</w:t>
      </w:r>
      <w:r w:rsidR="0038318A" w:rsidRPr="009B5064">
        <w:rPr>
          <w:rFonts w:ascii="Calibri" w:hAnsi="Calibri" w:cs="Calibri"/>
          <w:iCs/>
          <w:sz w:val="22"/>
          <w:szCs w:val="22"/>
          <w:lang w:val="en-GB"/>
        </w:rPr>
        <w:t xml:space="preserve">). </w:t>
      </w:r>
    </w:p>
    <w:p w14:paraId="7C8979A9" w14:textId="77777777" w:rsidR="00A533EA" w:rsidRPr="009B5064" w:rsidRDefault="00F2459F" w:rsidP="00CA47A2">
      <w:pPr>
        <w:pStyle w:val="Bibliography"/>
        <w:spacing w:line="480" w:lineRule="auto"/>
        <w:rPr>
          <w:rFonts w:ascii="Calibri" w:hAnsi="Calibri" w:cs="Calibri"/>
          <w:sz w:val="22"/>
          <w:szCs w:val="22"/>
          <w:lang w:val="en-GB"/>
        </w:rPr>
      </w:pPr>
      <w:r w:rsidRPr="009B5064">
        <w:rPr>
          <w:rFonts w:ascii="Calibri" w:hAnsi="Calibri" w:cs="Calibri"/>
          <w:sz w:val="22"/>
        </w:rPr>
        <w:lastRenderedPageBreak/>
        <w:t>[25]</w:t>
      </w:r>
      <w:r w:rsidR="004B08F7" w:rsidRPr="009B5064">
        <w:rPr>
          <w:rFonts w:ascii="Calibri" w:hAnsi="Calibri" w:cs="Calibri"/>
          <w:sz w:val="22"/>
          <w:szCs w:val="22"/>
          <w:lang w:val="en-GB"/>
        </w:rPr>
        <w:t xml:space="preserve"> Eisenberg</w:t>
      </w:r>
      <w:r w:rsidR="00B033A9" w:rsidRPr="009B5064">
        <w:rPr>
          <w:rFonts w:ascii="Calibri" w:hAnsi="Calibri" w:cs="Calibri"/>
          <w:sz w:val="22"/>
          <w:szCs w:val="22"/>
          <w:lang w:val="en-GB"/>
        </w:rPr>
        <w:t>,</w:t>
      </w:r>
      <w:r w:rsidR="004B08F7" w:rsidRPr="009B5064">
        <w:rPr>
          <w:rFonts w:ascii="Calibri" w:hAnsi="Calibri" w:cs="Calibri"/>
          <w:sz w:val="22"/>
          <w:szCs w:val="22"/>
          <w:lang w:val="en-GB"/>
        </w:rPr>
        <w:t xml:space="preserve"> N</w:t>
      </w:r>
      <w:r w:rsidR="00B033A9" w:rsidRPr="009B5064">
        <w:rPr>
          <w:rFonts w:ascii="Calibri" w:hAnsi="Calibri" w:cs="Calibri"/>
          <w:sz w:val="22"/>
          <w:szCs w:val="22"/>
          <w:lang w:val="en-GB"/>
        </w:rPr>
        <w:t>.</w:t>
      </w:r>
      <w:r w:rsidR="00A533EA" w:rsidRPr="009B5064">
        <w:rPr>
          <w:rFonts w:ascii="Calibri" w:hAnsi="Calibri" w:cs="Calibri"/>
          <w:sz w:val="22"/>
          <w:szCs w:val="22"/>
          <w:lang w:val="en-GB"/>
        </w:rPr>
        <w:t>W</w:t>
      </w:r>
      <w:r w:rsidR="00B033A9" w:rsidRPr="009B5064">
        <w:rPr>
          <w:rFonts w:ascii="Calibri" w:hAnsi="Calibri" w:cs="Calibri"/>
          <w:sz w:val="22"/>
          <w:szCs w:val="22"/>
          <w:lang w:val="en-GB"/>
        </w:rPr>
        <w:t>.</w:t>
      </w:r>
      <w:r w:rsidR="00A533EA" w:rsidRPr="009B5064">
        <w:rPr>
          <w:rFonts w:ascii="Calibri" w:hAnsi="Calibri" w:cs="Calibri"/>
          <w:sz w:val="22"/>
          <w:szCs w:val="22"/>
          <w:lang w:val="en-GB"/>
        </w:rPr>
        <w:t>, Andre</w:t>
      </w:r>
      <w:r w:rsidR="004B08F7" w:rsidRPr="009B5064">
        <w:rPr>
          <w:rFonts w:ascii="Calibri" w:hAnsi="Calibri" w:cs="Calibri"/>
          <w:sz w:val="22"/>
          <w:szCs w:val="22"/>
          <w:lang w:val="en-GB"/>
        </w:rPr>
        <w:t>ski</w:t>
      </w:r>
      <w:r w:rsidR="00B033A9" w:rsidRPr="009B5064">
        <w:rPr>
          <w:rFonts w:ascii="Calibri" w:hAnsi="Calibri" w:cs="Calibri"/>
          <w:sz w:val="22"/>
          <w:szCs w:val="22"/>
          <w:lang w:val="en-GB"/>
        </w:rPr>
        <w:t>,</w:t>
      </w:r>
      <w:r w:rsidR="004B08F7" w:rsidRPr="009B5064">
        <w:rPr>
          <w:rFonts w:ascii="Calibri" w:hAnsi="Calibri" w:cs="Calibri"/>
          <w:sz w:val="22"/>
          <w:szCs w:val="22"/>
          <w:lang w:val="en-GB"/>
        </w:rPr>
        <w:t xml:space="preserve"> S</w:t>
      </w:r>
      <w:r w:rsidR="00B033A9" w:rsidRPr="009B5064">
        <w:rPr>
          <w:rFonts w:ascii="Calibri" w:hAnsi="Calibri" w:cs="Calibri"/>
          <w:sz w:val="22"/>
          <w:szCs w:val="22"/>
          <w:lang w:val="en-GB"/>
        </w:rPr>
        <w:t>.</w:t>
      </w:r>
      <w:r w:rsidR="004B08F7" w:rsidRPr="009B5064">
        <w:rPr>
          <w:rFonts w:ascii="Calibri" w:hAnsi="Calibri" w:cs="Calibri"/>
          <w:sz w:val="22"/>
          <w:szCs w:val="22"/>
          <w:lang w:val="en-GB"/>
        </w:rPr>
        <w:t>R</w:t>
      </w:r>
      <w:r w:rsidR="00B033A9" w:rsidRPr="009B5064">
        <w:rPr>
          <w:rFonts w:ascii="Calibri" w:hAnsi="Calibri" w:cs="Calibri"/>
          <w:sz w:val="22"/>
          <w:szCs w:val="22"/>
          <w:lang w:val="en-GB"/>
        </w:rPr>
        <w:t>.</w:t>
      </w:r>
      <w:r w:rsidR="004B08F7" w:rsidRPr="009B5064">
        <w:rPr>
          <w:rFonts w:ascii="Calibri" w:hAnsi="Calibri" w:cs="Calibri"/>
          <w:sz w:val="22"/>
          <w:szCs w:val="22"/>
          <w:lang w:val="en-GB"/>
        </w:rPr>
        <w:t>, Mona</w:t>
      </w:r>
      <w:r w:rsidR="00B033A9" w:rsidRPr="009B5064">
        <w:rPr>
          <w:rFonts w:ascii="Calibri" w:hAnsi="Calibri" w:cs="Calibri"/>
          <w:sz w:val="22"/>
          <w:szCs w:val="22"/>
          <w:lang w:val="en-GB"/>
        </w:rPr>
        <w:t>,</w:t>
      </w:r>
      <w:r w:rsidR="004B08F7" w:rsidRPr="009B5064">
        <w:rPr>
          <w:rFonts w:ascii="Calibri" w:hAnsi="Calibri" w:cs="Calibri"/>
          <w:sz w:val="22"/>
          <w:szCs w:val="22"/>
          <w:lang w:val="en-GB"/>
        </w:rPr>
        <w:t xml:space="preserve"> L</w:t>
      </w:r>
      <w:r w:rsidR="00B033A9" w:rsidRPr="009B5064">
        <w:rPr>
          <w:rFonts w:ascii="Calibri" w:hAnsi="Calibri" w:cs="Calibri"/>
          <w:sz w:val="22"/>
          <w:szCs w:val="22"/>
          <w:lang w:val="en-GB"/>
        </w:rPr>
        <w:t>.</w:t>
      </w:r>
      <w:r w:rsidR="004B08F7" w:rsidRPr="009B5064">
        <w:rPr>
          <w:rFonts w:ascii="Calibri" w:hAnsi="Calibri" w:cs="Calibri"/>
          <w:sz w:val="22"/>
          <w:szCs w:val="22"/>
          <w:lang w:val="en-GB"/>
        </w:rPr>
        <w:t>R</w:t>
      </w:r>
      <w:r w:rsidR="00A533EA" w:rsidRPr="009B5064">
        <w:rPr>
          <w:rFonts w:ascii="Calibri" w:hAnsi="Calibri" w:cs="Calibri"/>
          <w:sz w:val="22"/>
          <w:szCs w:val="22"/>
          <w:lang w:val="en-GB"/>
        </w:rPr>
        <w:t>.</w:t>
      </w:r>
      <w:r w:rsidR="00B033A9" w:rsidRPr="009B5064">
        <w:rPr>
          <w:rFonts w:ascii="Calibri" w:hAnsi="Calibri" w:cs="Calibri"/>
          <w:sz w:val="22"/>
          <w:szCs w:val="22"/>
          <w:lang w:val="en-GB"/>
        </w:rPr>
        <w:t>:</w:t>
      </w:r>
      <w:r w:rsidR="00A533EA" w:rsidRPr="009B5064">
        <w:rPr>
          <w:rFonts w:ascii="Calibri" w:hAnsi="Calibri" w:cs="Calibri"/>
          <w:sz w:val="22"/>
          <w:szCs w:val="22"/>
          <w:lang w:val="en-GB"/>
        </w:rPr>
        <w:t xml:space="preserve"> Sexuality and physical disability: A disability-affirmative approach to assessment and intervention within health care</w:t>
      </w:r>
      <w:r w:rsidR="004B08F7" w:rsidRPr="009B5064">
        <w:rPr>
          <w:rFonts w:ascii="Calibri" w:hAnsi="Calibri" w:cs="Calibri"/>
          <w:sz w:val="22"/>
          <w:szCs w:val="22"/>
          <w:lang w:val="en-GB"/>
        </w:rPr>
        <w:t>. Curr Sex Health Rep</w:t>
      </w:r>
      <w:r w:rsidR="00AC256F" w:rsidRPr="009B5064">
        <w:rPr>
          <w:rFonts w:ascii="Calibri" w:hAnsi="Calibri" w:cs="Calibri"/>
          <w:sz w:val="22"/>
          <w:szCs w:val="22"/>
          <w:lang w:val="en-GB"/>
        </w:rPr>
        <w:t>.</w:t>
      </w:r>
      <w:r w:rsidR="0038318A" w:rsidRPr="009B5064">
        <w:rPr>
          <w:rFonts w:ascii="Calibri" w:hAnsi="Calibri" w:cs="Calibri"/>
          <w:sz w:val="22"/>
          <w:szCs w:val="22"/>
          <w:lang w:val="en-GB"/>
        </w:rPr>
        <w:t xml:space="preserve"> 7, 19-29 (</w:t>
      </w:r>
      <w:r w:rsidR="006A563C" w:rsidRPr="009B5064">
        <w:rPr>
          <w:rFonts w:ascii="Calibri" w:hAnsi="Calibri" w:cs="Calibri"/>
          <w:sz w:val="22"/>
          <w:szCs w:val="22"/>
          <w:lang w:val="en-GB"/>
        </w:rPr>
        <w:t>2015</w:t>
      </w:r>
      <w:r w:rsidR="0038318A" w:rsidRPr="009B5064">
        <w:rPr>
          <w:rFonts w:ascii="Calibri" w:hAnsi="Calibri" w:cs="Calibri"/>
          <w:sz w:val="22"/>
          <w:szCs w:val="22"/>
          <w:lang w:val="en-GB"/>
        </w:rPr>
        <w:t xml:space="preserve">). </w:t>
      </w:r>
    </w:p>
    <w:p w14:paraId="410D48C0" w14:textId="77777777" w:rsidR="00722460" w:rsidRPr="009B5064" w:rsidRDefault="00FC6A62" w:rsidP="00CA47A2">
      <w:pPr>
        <w:pStyle w:val="Body"/>
        <w:spacing w:after="160" w:line="480" w:lineRule="auto"/>
        <w:rPr>
          <w:color w:val="auto"/>
        </w:rPr>
      </w:pPr>
      <w:r w:rsidRPr="009B5064">
        <w:rPr>
          <w:color w:val="auto"/>
        </w:rPr>
        <w:fldChar w:fldCharType="end"/>
      </w:r>
    </w:p>
    <w:p w14:paraId="35ACBE00" w14:textId="77777777" w:rsidR="00722460" w:rsidRPr="009B5064" w:rsidRDefault="00722460">
      <w:pPr>
        <w:pStyle w:val="Body"/>
        <w:spacing w:after="160" w:line="259" w:lineRule="auto"/>
        <w:rPr>
          <w:color w:val="auto"/>
        </w:rPr>
      </w:pPr>
    </w:p>
    <w:p w14:paraId="3F01CE15" w14:textId="77777777" w:rsidR="00722460" w:rsidRPr="009B5064" w:rsidRDefault="00722460">
      <w:pPr>
        <w:pStyle w:val="Body"/>
        <w:spacing w:after="160" w:line="259" w:lineRule="auto"/>
        <w:rPr>
          <w:color w:val="auto"/>
        </w:rPr>
      </w:pPr>
    </w:p>
    <w:p w14:paraId="434BCB6D" w14:textId="77777777" w:rsidR="00722460" w:rsidRPr="009B5064" w:rsidRDefault="00722460">
      <w:pPr>
        <w:pStyle w:val="Body"/>
        <w:spacing w:after="160" w:line="259" w:lineRule="auto"/>
        <w:rPr>
          <w:color w:val="auto"/>
        </w:rPr>
      </w:pPr>
    </w:p>
    <w:p w14:paraId="4DC7FF98" w14:textId="77777777" w:rsidR="00722460" w:rsidRPr="009B5064" w:rsidRDefault="00722460">
      <w:pPr>
        <w:pStyle w:val="Body"/>
        <w:spacing w:after="160" w:line="259" w:lineRule="auto"/>
        <w:rPr>
          <w:color w:val="auto"/>
        </w:rPr>
      </w:pPr>
    </w:p>
    <w:p w14:paraId="0CA552BF" w14:textId="77777777" w:rsidR="00722460" w:rsidRPr="009B5064" w:rsidRDefault="00722460">
      <w:pPr>
        <w:pStyle w:val="Body"/>
        <w:spacing w:after="160" w:line="259" w:lineRule="auto"/>
        <w:rPr>
          <w:color w:val="auto"/>
        </w:rPr>
      </w:pPr>
    </w:p>
    <w:p w14:paraId="3D642BC6" w14:textId="77777777" w:rsidR="00722460" w:rsidRPr="009B5064" w:rsidRDefault="00722460">
      <w:pPr>
        <w:pStyle w:val="Body"/>
        <w:spacing w:after="160" w:line="259" w:lineRule="auto"/>
        <w:rPr>
          <w:color w:val="auto"/>
        </w:rPr>
      </w:pPr>
    </w:p>
    <w:p w14:paraId="46F02239" w14:textId="77777777" w:rsidR="00722460" w:rsidRPr="009B5064" w:rsidRDefault="00722460">
      <w:pPr>
        <w:pStyle w:val="Body"/>
        <w:spacing w:after="160" w:line="259" w:lineRule="auto"/>
        <w:rPr>
          <w:color w:val="auto"/>
        </w:rPr>
      </w:pPr>
    </w:p>
    <w:p w14:paraId="055DAFA4" w14:textId="77777777" w:rsidR="00722460" w:rsidRPr="009B5064" w:rsidRDefault="00722460">
      <w:pPr>
        <w:pStyle w:val="Body"/>
        <w:spacing w:after="160" w:line="259" w:lineRule="auto"/>
        <w:rPr>
          <w:color w:val="auto"/>
        </w:rPr>
        <w:sectPr w:rsidR="00722460" w:rsidRPr="009B5064">
          <w:footerReference w:type="default" r:id="rId11"/>
          <w:pgSz w:w="11900" w:h="16840"/>
          <w:pgMar w:top="1440" w:right="1440" w:bottom="1440" w:left="1440" w:header="708" w:footer="708" w:gutter="0"/>
          <w:cols w:space="720"/>
        </w:sectPr>
      </w:pPr>
    </w:p>
    <w:p w14:paraId="7627CC44" w14:textId="77777777" w:rsidR="00722460" w:rsidRPr="009B5064" w:rsidRDefault="00722460" w:rsidP="00722460">
      <w:pPr>
        <w:pStyle w:val="Heading1"/>
        <w:rPr>
          <w:color w:val="auto"/>
        </w:rPr>
      </w:pPr>
      <w:r w:rsidRPr="009B5064">
        <w:rPr>
          <w:color w:val="auto"/>
        </w:rPr>
        <w:lastRenderedPageBreak/>
        <w:t>Tables</w:t>
      </w:r>
    </w:p>
    <w:tbl>
      <w:tblPr>
        <w:tblStyle w:val="TableGrid"/>
        <w:tblW w:w="14601" w:type="dxa"/>
        <w:tblInd w:w="-1560" w:type="dxa"/>
        <w:tblLayout w:type="fixed"/>
        <w:tblLook w:val="04A0" w:firstRow="1" w:lastRow="0" w:firstColumn="1" w:lastColumn="0" w:noHBand="0" w:noVBand="1"/>
      </w:tblPr>
      <w:tblGrid>
        <w:gridCol w:w="335"/>
        <w:gridCol w:w="14266"/>
      </w:tblGrid>
      <w:tr w:rsidR="009B5064" w:rsidRPr="009B5064" w14:paraId="191A090A" w14:textId="77777777" w:rsidTr="00722460">
        <w:trPr>
          <w:trHeight w:val="227"/>
        </w:trPr>
        <w:tc>
          <w:tcPr>
            <w:tcW w:w="283" w:type="dxa"/>
            <w:tcBorders>
              <w:top w:val="nil"/>
              <w:left w:val="nil"/>
              <w:bottom w:val="nil"/>
              <w:right w:val="nil"/>
            </w:tcBorders>
          </w:tcPr>
          <w:p w14:paraId="6FD4348D" w14:textId="77777777" w:rsidR="00722460" w:rsidRPr="009B5064" w:rsidRDefault="00722460" w:rsidP="00722460">
            <w:pPr>
              <w:spacing w:after="160" w:line="259" w:lineRule="auto"/>
              <w:rPr>
                <w:rFonts w:eastAsia="Times New Roman"/>
                <w:sz w:val="20"/>
                <w:shd w:val="clear" w:color="auto" w:fill="FFFFFF"/>
                <w:vertAlign w:val="superscript"/>
              </w:rPr>
            </w:pPr>
          </w:p>
        </w:tc>
        <w:tc>
          <w:tcPr>
            <w:tcW w:w="12050" w:type="dxa"/>
            <w:tcBorders>
              <w:top w:val="nil"/>
              <w:left w:val="nil"/>
              <w:bottom w:val="nil"/>
              <w:right w:val="nil"/>
            </w:tcBorders>
          </w:tcPr>
          <w:tbl>
            <w:tblPr>
              <w:tblStyle w:val="TableGrid"/>
              <w:tblW w:w="1148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985"/>
              <w:gridCol w:w="850"/>
              <w:gridCol w:w="142"/>
              <w:gridCol w:w="992"/>
              <w:gridCol w:w="851"/>
              <w:gridCol w:w="850"/>
              <w:gridCol w:w="851"/>
              <w:gridCol w:w="283"/>
              <w:gridCol w:w="970"/>
              <w:gridCol w:w="1015"/>
              <w:gridCol w:w="709"/>
              <w:gridCol w:w="850"/>
              <w:gridCol w:w="850"/>
            </w:tblGrid>
            <w:tr w:rsidR="009B5064" w:rsidRPr="009B5064" w14:paraId="514DDDE2" w14:textId="77777777" w:rsidTr="00722460">
              <w:tc>
                <w:tcPr>
                  <w:tcW w:w="10632" w:type="dxa"/>
                  <w:gridSpan w:val="13"/>
                  <w:tcBorders>
                    <w:top w:val="nil"/>
                    <w:bottom w:val="single" w:sz="8" w:space="0" w:color="auto"/>
                  </w:tcBorders>
                </w:tcPr>
                <w:p w14:paraId="3AF0FC22" w14:textId="77777777" w:rsidR="00722460" w:rsidRPr="009B5064" w:rsidRDefault="00722460" w:rsidP="00722460">
                  <w:pPr>
                    <w:ind w:hanging="83"/>
                    <w:rPr>
                      <w:rFonts w:eastAsia="Times New Roman"/>
                      <w:b/>
                      <w:sz w:val="20"/>
                    </w:rPr>
                  </w:pPr>
                  <w:r w:rsidRPr="009B5064">
                    <w:rPr>
                      <w:rFonts w:eastAsia="Times New Roman"/>
                      <w:b/>
                      <w:sz w:val="20"/>
                    </w:rPr>
                    <w:t xml:space="preserve">Table </w:t>
                  </w:r>
                  <w:r w:rsidRPr="009B5064">
                    <w:rPr>
                      <w:rFonts w:eastAsia="Times New Roman"/>
                      <w:b/>
                      <w:noProof/>
                      <w:sz w:val="20"/>
                    </w:rPr>
                    <w:t>1</w:t>
                  </w:r>
                  <w:r w:rsidR="00A533EA" w:rsidRPr="009B5064">
                    <w:rPr>
                      <w:rFonts w:eastAsia="Times New Roman"/>
                      <w:b/>
                      <w:noProof/>
                      <w:sz w:val="20"/>
                    </w:rPr>
                    <w:t xml:space="preserve"> </w:t>
                  </w:r>
                  <w:r w:rsidRPr="009B5064">
                    <w:rPr>
                      <w:rFonts w:eastAsia="Times New Roman"/>
                      <w:sz w:val="20"/>
                    </w:rPr>
                    <w:t>Characteristics of the male and female samples in relation to self-rated eyesight</w:t>
                  </w:r>
                </w:p>
              </w:tc>
              <w:tc>
                <w:tcPr>
                  <w:tcW w:w="850" w:type="dxa"/>
                  <w:tcBorders>
                    <w:top w:val="nil"/>
                    <w:bottom w:val="single" w:sz="8" w:space="0" w:color="auto"/>
                  </w:tcBorders>
                </w:tcPr>
                <w:p w14:paraId="4A058861" w14:textId="77777777" w:rsidR="00722460" w:rsidRPr="009B5064" w:rsidRDefault="00722460" w:rsidP="00722460">
                  <w:pPr>
                    <w:rPr>
                      <w:rFonts w:eastAsia="Times New Roman"/>
                      <w:b/>
                      <w:sz w:val="20"/>
                    </w:rPr>
                  </w:pPr>
                </w:p>
              </w:tc>
            </w:tr>
            <w:tr w:rsidR="009B5064" w:rsidRPr="009B5064" w14:paraId="1C59AB56" w14:textId="77777777" w:rsidTr="00722460">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33460F7A"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tcPr>
                <w:p w14:paraId="21CC9623" w14:textId="77777777" w:rsidR="00722460" w:rsidRPr="009B5064" w:rsidRDefault="00722460" w:rsidP="00722460">
                  <w:pPr>
                    <w:rPr>
                      <w:rFonts w:eastAsia="Times New Roman"/>
                      <w:sz w:val="20"/>
                      <w:shd w:val="clear" w:color="auto" w:fill="FFFFFF"/>
                    </w:rPr>
                  </w:pPr>
                </w:p>
              </w:tc>
              <w:tc>
                <w:tcPr>
                  <w:tcW w:w="850" w:type="dxa"/>
                  <w:tcBorders>
                    <w:top w:val="single" w:sz="4" w:space="0" w:color="auto"/>
                    <w:left w:val="nil"/>
                    <w:bottom w:val="single" w:sz="4" w:space="0" w:color="auto"/>
                    <w:right w:val="nil"/>
                  </w:tcBorders>
                </w:tcPr>
                <w:p w14:paraId="40A875E3" w14:textId="77777777" w:rsidR="00722460" w:rsidRPr="009B5064" w:rsidRDefault="00722460" w:rsidP="00722460">
                  <w:pPr>
                    <w:jc w:val="center"/>
                    <w:rPr>
                      <w:rFonts w:eastAsia="Times New Roman"/>
                      <w:b/>
                      <w:sz w:val="20"/>
                      <w:shd w:val="clear" w:color="auto" w:fill="FFFFFF"/>
                    </w:rPr>
                  </w:pPr>
                </w:p>
              </w:tc>
              <w:tc>
                <w:tcPr>
                  <w:tcW w:w="3686" w:type="dxa"/>
                  <w:gridSpan w:val="5"/>
                  <w:tcBorders>
                    <w:top w:val="single" w:sz="4" w:space="0" w:color="auto"/>
                    <w:left w:val="nil"/>
                    <w:bottom w:val="single" w:sz="4" w:space="0" w:color="auto"/>
                    <w:right w:val="nil"/>
                  </w:tcBorders>
                  <w:vAlign w:val="center"/>
                </w:tcPr>
                <w:p w14:paraId="19BF4FA6" w14:textId="77777777" w:rsidR="00722460" w:rsidRPr="009B5064" w:rsidRDefault="00722460" w:rsidP="00722460">
                  <w:pPr>
                    <w:jc w:val="center"/>
                    <w:rPr>
                      <w:rFonts w:eastAsia="Times New Roman"/>
                      <w:b/>
                      <w:sz w:val="20"/>
                      <w:shd w:val="clear" w:color="auto" w:fill="FFFFFF"/>
                    </w:rPr>
                  </w:pPr>
                  <w:r w:rsidRPr="009B5064">
                    <w:rPr>
                      <w:rFonts w:eastAsia="Times New Roman"/>
                      <w:b/>
                      <w:sz w:val="20"/>
                      <w:shd w:val="clear" w:color="auto" w:fill="FFFFFF"/>
                    </w:rPr>
                    <w:t>Men</w:t>
                  </w:r>
                </w:p>
              </w:tc>
              <w:tc>
                <w:tcPr>
                  <w:tcW w:w="283" w:type="dxa"/>
                  <w:tcBorders>
                    <w:top w:val="nil"/>
                    <w:left w:val="nil"/>
                    <w:bottom w:val="nil"/>
                    <w:right w:val="nil"/>
                  </w:tcBorders>
                </w:tcPr>
                <w:p w14:paraId="5B5F4009" w14:textId="77777777" w:rsidR="00722460" w:rsidRPr="009B5064" w:rsidRDefault="00722460" w:rsidP="00722460">
                  <w:pPr>
                    <w:jc w:val="center"/>
                    <w:rPr>
                      <w:rFonts w:eastAsia="Times New Roman"/>
                      <w:b/>
                      <w:i/>
                      <w:sz w:val="20"/>
                      <w:shd w:val="clear" w:color="auto" w:fill="FFFFFF"/>
                    </w:rPr>
                  </w:pPr>
                </w:p>
              </w:tc>
              <w:tc>
                <w:tcPr>
                  <w:tcW w:w="3544" w:type="dxa"/>
                  <w:gridSpan w:val="4"/>
                  <w:tcBorders>
                    <w:top w:val="nil"/>
                    <w:left w:val="nil"/>
                    <w:bottom w:val="single" w:sz="4" w:space="0" w:color="auto"/>
                    <w:right w:val="nil"/>
                  </w:tcBorders>
                  <w:vAlign w:val="center"/>
                </w:tcPr>
                <w:p w14:paraId="702883F7" w14:textId="77777777" w:rsidR="00722460" w:rsidRPr="009B5064" w:rsidRDefault="00722460" w:rsidP="00722460">
                  <w:pPr>
                    <w:jc w:val="center"/>
                    <w:rPr>
                      <w:rFonts w:eastAsia="Times New Roman"/>
                      <w:b/>
                      <w:sz w:val="20"/>
                      <w:shd w:val="clear" w:color="auto" w:fill="FFFFFF"/>
                    </w:rPr>
                  </w:pPr>
                  <w:r w:rsidRPr="009B5064">
                    <w:rPr>
                      <w:rFonts w:eastAsia="Times New Roman"/>
                      <w:b/>
                      <w:sz w:val="20"/>
                      <w:shd w:val="clear" w:color="auto" w:fill="FFFFFF"/>
                    </w:rPr>
                    <w:t>Women</w:t>
                  </w:r>
                </w:p>
              </w:tc>
              <w:tc>
                <w:tcPr>
                  <w:tcW w:w="850" w:type="dxa"/>
                  <w:tcBorders>
                    <w:top w:val="nil"/>
                    <w:left w:val="nil"/>
                    <w:bottom w:val="single" w:sz="4" w:space="0" w:color="auto"/>
                    <w:right w:val="nil"/>
                  </w:tcBorders>
                </w:tcPr>
                <w:p w14:paraId="5D5B8DBE" w14:textId="77777777" w:rsidR="00722460" w:rsidRPr="009B5064" w:rsidRDefault="00722460" w:rsidP="00722460">
                  <w:pPr>
                    <w:jc w:val="center"/>
                    <w:rPr>
                      <w:rFonts w:eastAsia="Times New Roman"/>
                      <w:b/>
                      <w:sz w:val="20"/>
                      <w:shd w:val="clear" w:color="auto" w:fill="FFFFFF"/>
                    </w:rPr>
                  </w:pPr>
                </w:p>
              </w:tc>
            </w:tr>
            <w:tr w:rsidR="009B5064" w:rsidRPr="009B5064" w14:paraId="5025644E" w14:textId="77777777" w:rsidTr="00722460">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vAlign w:val="center"/>
                </w:tcPr>
                <w:p w14:paraId="370EB8A4" w14:textId="77777777" w:rsidR="00722460" w:rsidRPr="009B5064" w:rsidRDefault="00722460" w:rsidP="00722460">
                  <w:pPr>
                    <w:jc w:val="center"/>
                    <w:rPr>
                      <w:rFonts w:eastAsia="Times New Roman"/>
                      <w:sz w:val="20"/>
                      <w:shd w:val="clear" w:color="auto" w:fill="FFFFFF"/>
                    </w:rPr>
                  </w:pPr>
                </w:p>
              </w:tc>
              <w:tc>
                <w:tcPr>
                  <w:tcW w:w="1985" w:type="dxa"/>
                  <w:tcBorders>
                    <w:top w:val="nil"/>
                    <w:left w:val="nil"/>
                    <w:bottom w:val="single" w:sz="4" w:space="0" w:color="auto"/>
                    <w:right w:val="nil"/>
                  </w:tcBorders>
                  <w:vAlign w:val="center"/>
                </w:tcPr>
                <w:p w14:paraId="4ACE4079" w14:textId="77777777" w:rsidR="00722460" w:rsidRPr="009B5064" w:rsidRDefault="00722460" w:rsidP="00722460">
                  <w:pPr>
                    <w:jc w:val="center"/>
                    <w:rPr>
                      <w:rFonts w:eastAsia="Times New Roman"/>
                      <w:sz w:val="20"/>
                      <w:shd w:val="clear" w:color="auto" w:fill="FFFFFF"/>
                    </w:rPr>
                  </w:pPr>
                </w:p>
              </w:tc>
              <w:tc>
                <w:tcPr>
                  <w:tcW w:w="992" w:type="dxa"/>
                  <w:gridSpan w:val="2"/>
                  <w:tcBorders>
                    <w:top w:val="single" w:sz="4" w:space="0" w:color="auto"/>
                    <w:left w:val="nil"/>
                    <w:bottom w:val="single" w:sz="4" w:space="0" w:color="auto"/>
                    <w:right w:val="nil"/>
                  </w:tcBorders>
                  <w:vAlign w:val="bottom"/>
                </w:tcPr>
                <w:p w14:paraId="658C3414" w14:textId="77777777" w:rsidR="00722460" w:rsidRPr="009B5064" w:rsidRDefault="00722460" w:rsidP="00722460">
                  <w:pPr>
                    <w:jc w:val="center"/>
                    <w:rPr>
                      <w:rFonts w:eastAsia="Times New Roman"/>
                      <w:b/>
                      <w:sz w:val="20"/>
                      <w:shd w:val="clear" w:color="auto" w:fill="FFFFFF"/>
                    </w:rPr>
                  </w:pPr>
                  <w:r w:rsidRPr="009B5064">
                    <w:rPr>
                      <w:rFonts w:eastAsia="Times New Roman"/>
                      <w:b/>
                      <w:sz w:val="20"/>
                      <w:shd w:val="clear" w:color="auto" w:fill="FFFFFF"/>
                    </w:rPr>
                    <w:t>Excellent (</w:t>
                  </w:r>
                  <w:r w:rsidRPr="009B5064">
                    <w:rPr>
                      <w:rFonts w:eastAsia="Times New Roman"/>
                      <w:b/>
                      <w:i/>
                      <w:sz w:val="20"/>
                      <w:shd w:val="clear" w:color="auto" w:fill="FFFFFF"/>
                    </w:rPr>
                    <w:t>n</w:t>
                  </w:r>
                  <w:r w:rsidRPr="009B5064">
                    <w:rPr>
                      <w:rFonts w:eastAsia="Times New Roman"/>
                      <w:b/>
                      <w:sz w:val="20"/>
                      <w:shd w:val="clear" w:color="auto" w:fill="FFFFFF"/>
                    </w:rPr>
                    <w:t>=448)</w:t>
                  </w:r>
                  <w:r w:rsidRPr="009B5064">
                    <w:rPr>
                      <w:rFonts w:eastAsia="Times New Roman"/>
                      <w:b/>
                      <w:sz w:val="20"/>
                      <w:shd w:val="clear" w:color="auto" w:fill="FFFFFF"/>
                      <w:vertAlign w:val="superscript"/>
                    </w:rPr>
                    <w:t>1</w:t>
                  </w:r>
                </w:p>
              </w:tc>
              <w:tc>
                <w:tcPr>
                  <w:tcW w:w="992" w:type="dxa"/>
                  <w:tcBorders>
                    <w:top w:val="single" w:sz="4" w:space="0" w:color="auto"/>
                    <w:left w:val="nil"/>
                    <w:bottom w:val="single" w:sz="4" w:space="0" w:color="auto"/>
                    <w:right w:val="nil"/>
                  </w:tcBorders>
                  <w:vAlign w:val="bottom"/>
                </w:tcPr>
                <w:p w14:paraId="4EB6C01A" w14:textId="77777777" w:rsidR="00722460" w:rsidRPr="009B5064" w:rsidRDefault="00722460" w:rsidP="00722460">
                  <w:pPr>
                    <w:jc w:val="center"/>
                    <w:rPr>
                      <w:rFonts w:eastAsia="Times New Roman"/>
                      <w:b/>
                      <w:sz w:val="20"/>
                      <w:shd w:val="clear" w:color="auto" w:fill="FFFFFF"/>
                    </w:rPr>
                  </w:pPr>
                  <w:r w:rsidRPr="009B5064">
                    <w:rPr>
                      <w:rFonts w:eastAsia="Times New Roman"/>
                      <w:b/>
                      <w:sz w:val="20"/>
                      <w:shd w:val="clear" w:color="auto" w:fill="FFFFFF"/>
                    </w:rPr>
                    <w:t>Very good (</w:t>
                  </w:r>
                  <w:r w:rsidRPr="009B5064">
                    <w:rPr>
                      <w:rFonts w:eastAsia="Times New Roman"/>
                      <w:b/>
                      <w:i/>
                      <w:sz w:val="20"/>
                      <w:shd w:val="clear" w:color="auto" w:fill="FFFFFF"/>
                    </w:rPr>
                    <w:t>n</w:t>
                  </w:r>
                  <w:r w:rsidRPr="009B5064">
                    <w:rPr>
                      <w:rFonts w:eastAsia="Times New Roman"/>
                      <w:b/>
                      <w:sz w:val="20"/>
                      <w:shd w:val="clear" w:color="auto" w:fill="FFFFFF"/>
                    </w:rPr>
                    <w:t>=905)</w:t>
                  </w:r>
                </w:p>
              </w:tc>
              <w:tc>
                <w:tcPr>
                  <w:tcW w:w="851" w:type="dxa"/>
                  <w:tcBorders>
                    <w:top w:val="single" w:sz="4" w:space="0" w:color="auto"/>
                    <w:left w:val="nil"/>
                    <w:bottom w:val="single" w:sz="4" w:space="0" w:color="auto"/>
                    <w:right w:val="nil"/>
                  </w:tcBorders>
                  <w:vAlign w:val="bottom"/>
                </w:tcPr>
                <w:p w14:paraId="53F4814E" w14:textId="77777777" w:rsidR="00722460" w:rsidRPr="009B5064" w:rsidRDefault="00722460" w:rsidP="00722460">
                  <w:pPr>
                    <w:jc w:val="center"/>
                    <w:rPr>
                      <w:rFonts w:eastAsia="Times New Roman"/>
                      <w:b/>
                      <w:sz w:val="20"/>
                      <w:shd w:val="clear" w:color="auto" w:fill="FFFFFF"/>
                    </w:rPr>
                  </w:pPr>
                  <w:r w:rsidRPr="009B5064">
                    <w:rPr>
                      <w:rFonts w:eastAsia="Times New Roman"/>
                      <w:b/>
                      <w:sz w:val="20"/>
                      <w:shd w:val="clear" w:color="auto" w:fill="FFFFFF"/>
                    </w:rPr>
                    <w:t>Good (</w:t>
                  </w:r>
                  <w:r w:rsidRPr="009B5064">
                    <w:rPr>
                      <w:rFonts w:eastAsia="Times New Roman"/>
                      <w:b/>
                      <w:i/>
                      <w:sz w:val="20"/>
                      <w:shd w:val="clear" w:color="auto" w:fill="FFFFFF"/>
                    </w:rPr>
                    <w:t>n</w:t>
                  </w:r>
                  <w:r w:rsidRPr="009B5064">
                    <w:rPr>
                      <w:rFonts w:eastAsia="Times New Roman"/>
                      <w:b/>
                      <w:sz w:val="20"/>
                      <w:shd w:val="clear" w:color="auto" w:fill="FFFFFF"/>
                    </w:rPr>
                    <w:t>=985)</w:t>
                  </w:r>
                </w:p>
              </w:tc>
              <w:tc>
                <w:tcPr>
                  <w:tcW w:w="850" w:type="dxa"/>
                  <w:tcBorders>
                    <w:top w:val="nil"/>
                    <w:left w:val="nil"/>
                    <w:bottom w:val="single" w:sz="4" w:space="0" w:color="auto"/>
                    <w:right w:val="nil"/>
                  </w:tcBorders>
                  <w:vAlign w:val="bottom"/>
                </w:tcPr>
                <w:p w14:paraId="661181B3" w14:textId="77777777" w:rsidR="00722460" w:rsidRPr="009B5064" w:rsidRDefault="00722460" w:rsidP="00722460">
                  <w:pPr>
                    <w:jc w:val="center"/>
                    <w:rPr>
                      <w:rFonts w:eastAsia="Times New Roman"/>
                      <w:b/>
                      <w:sz w:val="20"/>
                      <w:shd w:val="clear" w:color="auto" w:fill="FFFFFF"/>
                    </w:rPr>
                  </w:pPr>
                  <w:r w:rsidRPr="009B5064">
                    <w:rPr>
                      <w:rFonts w:eastAsia="Times New Roman"/>
                      <w:b/>
                      <w:sz w:val="20"/>
                      <w:shd w:val="clear" w:color="auto" w:fill="FFFFFF"/>
                    </w:rPr>
                    <w:t>Fair-poor (</w:t>
                  </w:r>
                  <w:r w:rsidRPr="009B5064">
                    <w:rPr>
                      <w:rFonts w:eastAsia="Times New Roman"/>
                      <w:b/>
                      <w:i/>
                      <w:sz w:val="20"/>
                      <w:shd w:val="clear" w:color="auto" w:fill="FFFFFF"/>
                    </w:rPr>
                    <w:t>n</w:t>
                  </w:r>
                  <w:r w:rsidRPr="009B5064">
                    <w:rPr>
                      <w:rFonts w:eastAsia="Times New Roman"/>
                      <w:b/>
                      <w:sz w:val="20"/>
                      <w:shd w:val="clear" w:color="auto" w:fill="FFFFFF"/>
                    </w:rPr>
                    <w:t>=249)</w:t>
                  </w:r>
                </w:p>
              </w:tc>
              <w:tc>
                <w:tcPr>
                  <w:tcW w:w="851" w:type="dxa"/>
                  <w:tcBorders>
                    <w:top w:val="nil"/>
                    <w:left w:val="nil"/>
                    <w:bottom w:val="single" w:sz="4" w:space="0" w:color="auto"/>
                    <w:right w:val="nil"/>
                  </w:tcBorders>
                  <w:vAlign w:val="bottom"/>
                </w:tcPr>
                <w:p w14:paraId="48A98D3D" w14:textId="77777777" w:rsidR="00722460" w:rsidRPr="009B5064" w:rsidRDefault="00722460" w:rsidP="00722460">
                  <w:pPr>
                    <w:jc w:val="center"/>
                    <w:rPr>
                      <w:rFonts w:eastAsia="Times New Roman"/>
                      <w:b/>
                      <w:i/>
                      <w:sz w:val="20"/>
                      <w:shd w:val="clear" w:color="auto" w:fill="FFFFFF"/>
                    </w:rPr>
                  </w:pPr>
                  <w:r w:rsidRPr="009B5064">
                    <w:rPr>
                      <w:rFonts w:eastAsia="Times New Roman"/>
                      <w:b/>
                      <w:i/>
                      <w:sz w:val="20"/>
                      <w:shd w:val="clear" w:color="auto" w:fill="FFFFFF"/>
                    </w:rPr>
                    <w:t>p</w:t>
                  </w:r>
                </w:p>
              </w:tc>
              <w:tc>
                <w:tcPr>
                  <w:tcW w:w="283" w:type="dxa"/>
                  <w:tcBorders>
                    <w:top w:val="nil"/>
                    <w:left w:val="nil"/>
                    <w:bottom w:val="single" w:sz="4" w:space="0" w:color="auto"/>
                    <w:right w:val="nil"/>
                  </w:tcBorders>
                  <w:vAlign w:val="bottom"/>
                </w:tcPr>
                <w:p w14:paraId="2B9C3581" w14:textId="77777777" w:rsidR="00722460" w:rsidRPr="009B5064" w:rsidRDefault="00722460" w:rsidP="00722460">
                  <w:pPr>
                    <w:jc w:val="center"/>
                    <w:rPr>
                      <w:rFonts w:eastAsia="Times New Roman"/>
                      <w:b/>
                      <w:i/>
                      <w:sz w:val="20"/>
                      <w:shd w:val="clear" w:color="auto" w:fill="FFFFFF"/>
                    </w:rPr>
                  </w:pPr>
                </w:p>
              </w:tc>
              <w:tc>
                <w:tcPr>
                  <w:tcW w:w="970" w:type="dxa"/>
                  <w:tcBorders>
                    <w:top w:val="nil"/>
                    <w:left w:val="nil"/>
                    <w:bottom w:val="single" w:sz="4" w:space="0" w:color="auto"/>
                    <w:right w:val="nil"/>
                  </w:tcBorders>
                  <w:vAlign w:val="bottom"/>
                </w:tcPr>
                <w:p w14:paraId="22BD4F43" w14:textId="77777777" w:rsidR="00722460" w:rsidRPr="009B5064" w:rsidRDefault="00722460" w:rsidP="00722460">
                  <w:pPr>
                    <w:jc w:val="center"/>
                    <w:rPr>
                      <w:rFonts w:eastAsia="Times New Roman"/>
                      <w:b/>
                      <w:i/>
                      <w:sz w:val="20"/>
                      <w:shd w:val="clear" w:color="auto" w:fill="FFFFFF"/>
                    </w:rPr>
                  </w:pPr>
                  <w:r w:rsidRPr="009B5064">
                    <w:rPr>
                      <w:rFonts w:eastAsia="Times New Roman"/>
                      <w:b/>
                      <w:sz w:val="20"/>
                      <w:shd w:val="clear" w:color="auto" w:fill="FFFFFF"/>
                    </w:rPr>
                    <w:t>Excellent (</w:t>
                  </w:r>
                  <w:r w:rsidRPr="009B5064">
                    <w:rPr>
                      <w:rFonts w:eastAsia="Times New Roman"/>
                      <w:b/>
                      <w:i/>
                      <w:sz w:val="20"/>
                      <w:shd w:val="clear" w:color="auto" w:fill="FFFFFF"/>
                    </w:rPr>
                    <w:t>n</w:t>
                  </w:r>
                  <w:r w:rsidRPr="009B5064">
                    <w:rPr>
                      <w:rFonts w:eastAsia="Times New Roman"/>
                      <w:b/>
                      <w:sz w:val="20"/>
                      <w:shd w:val="clear" w:color="auto" w:fill="FFFFFF"/>
                    </w:rPr>
                    <w:t>=441)</w:t>
                  </w:r>
                </w:p>
              </w:tc>
              <w:tc>
                <w:tcPr>
                  <w:tcW w:w="1015" w:type="dxa"/>
                  <w:tcBorders>
                    <w:top w:val="nil"/>
                    <w:left w:val="nil"/>
                    <w:bottom w:val="single" w:sz="4" w:space="0" w:color="auto"/>
                    <w:right w:val="nil"/>
                  </w:tcBorders>
                  <w:vAlign w:val="bottom"/>
                </w:tcPr>
                <w:p w14:paraId="5396760F" w14:textId="77777777" w:rsidR="00722460" w:rsidRPr="009B5064" w:rsidRDefault="00722460" w:rsidP="00722460">
                  <w:pPr>
                    <w:jc w:val="center"/>
                    <w:rPr>
                      <w:rFonts w:eastAsia="Times New Roman"/>
                      <w:b/>
                      <w:i/>
                      <w:sz w:val="20"/>
                      <w:shd w:val="clear" w:color="auto" w:fill="FFFFFF"/>
                    </w:rPr>
                  </w:pPr>
                  <w:r w:rsidRPr="009B5064">
                    <w:rPr>
                      <w:rFonts w:eastAsia="Times New Roman"/>
                      <w:b/>
                      <w:sz w:val="20"/>
                      <w:shd w:val="clear" w:color="auto" w:fill="FFFFFF"/>
                    </w:rPr>
                    <w:t>Very good (</w:t>
                  </w:r>
                  <w:r w:rsidRPr="009B5064">
                    <w:rPr>
                      <w:rFonts w:eastAsia="Times New Roman"/>
                      <w:b/>
                      <w:i/>
                      <w:sz w:val="20"/>
                      <w:shd w:val="clear" w:color="auto" w:fill="FFFFFF"/>
                    </w:rPr>
                    <w:t>n</w:t>
                  </w:r>
                  <w:r w:rsidRPr="009B5064">
                    <w:rPr>
                      <w:rFonts w:eastAsia="Times New Roman"/>
                      <w:b/>
                      <w:sz w:val="20"/>
                      <w:shd w:val="clear" w:color="auto" w:fill="FFFFFF"/>
                    </w:rPr>
                    <w:t>=1131)</w:t>
                  </w:r>
                </w:p>
              </w:tc>
              <w:tc>
                <w:tcPr>
                  <w:tcW w:w="709" w:type="dxa"/>
                  <w:tcBorders>
                    <w:top w:val="nil"/>
                    <w:left w:val="nil"/>
                    <w:bottom w:val="single" w:sz="4" w:space="0" w:color="auto"/>
                    <w:right w:val="nil"/>
                  </w:tcBorders>
                  <w:vAlign w:val="bottom"/>
                </w:tcPr>
                <w:p w14:paraId="4E3C0A8B" w14:textId="77777777" w:rsidR="00722460" w:rsidRPr="009B5064" w:rsidRDefault="00722460" w:rsidP="00722460">
                  <w:pPr>
                    <w:jc w:val="center"/>
                    <w:rPr>
                      <w:rFonts w:eastAsia="Times New Roman"/>
                      <w:b/>
                      <w:i/>
                      <w:sz w:val="20"/>
                      <w:shd w:val="clear" w:color="auto" w:fill="FFFFFF"/>
                    </w:rPr>
                  </w:pPr>
                  <w:r w:rsidRPr="009B5064">
                    <w:rPr>
                      <w:rFonts w:eastAsia="Times New Roman"/>
                      <w:b/>
                      <w:sz w:val="20"/>
                      <w:shd w:val="clear" w:color="auto" w:fill="FFFFFF"/>
                    </w:rPr>
                    <w:t>Good (</w:t>
                  </w:r>
                  <w:r w:rsidRPr="009B5064">
                    <w:rPr>
                      <w:rFonts w:eastAsia="Times New Roman"/>
                      <w:b/>
                      <w:i/>
                      <w:sz w:val="20"/>
                      <w:shd w:val="clear" w:color="auto" w:fill="FFFFFF"/>
                    </w:rPr>
                    <w:t>n</w:t>
                  </w:r>
                  <w:r w:rsidRPr="009B5064">
                    <w:rPr>
                      <w:rFonts w:eastAsia="Times New Roman"/>
                      <w:b/>
                      <w:sz w:val="20"/>
                      <w:shd w:val="clear" w:color="auto" w:fill="FFFFFF"/>
                    </w:rPr>
                    <w:t>=1276)</w:t>
                  </w:r>
                </w:p>
              </w:tc>
              <w:tc>
                <w:tcPr>
                  <w:tcW w:w="850" w:type="dxa"/>
                  <w:tcBorders>
                    <w:top w:val="nil"/>
                    <w:left w:val="nil"/>
                    <w:bottom w:val="single" w:sz="4" w:space="0" w:color="auto"/>
                    <w:right w:val="nil"/>
                  </w:tcBorders>
                  <w:vAlign w:val="bottom"/>
                </w:tcPr>
                <w:p w14:paraId="706D6251" w14:textId="77777777" w:rsidR="00722460" w:rsidRPr="009B5064" w:rsidRDefault="00722460" w:rsidP="00722460">
                  <w:pPr>
                    <w:jc w:val="center"/>
                    <w:rPr>
                      <w:rFonts w:eastAsia="Times New Roman"/>
                      <w:b/>
                      <w:i/>
                      <w:sz w:val="20"/>
                      <w:shd w:val="clear" w:color="auto" w:fill="FFFFFF"/>
                    </w:rPr>
                  </w:pPr>
                  <w:r w:rsidRPr="009B5064">
                    <w:rPr>
                      <w:rFonts w:eastAsia="Times New Roman"/>
                      <w:b/>
                      <w:sz w:val="20"/>
                      <w:shd w:val="clear" w:color="auto" w:fill="FFFFFF"/>
                    </w:rPr>
                    <w:t>Fair-poor (</w:t>
                  </w:r>
                  <w:r w:rsidRPr="009B5064">
                    <w:rPr>
                      <w:rFonts w:eastAsia="Times New Roman"/>
                      <w:b/>
                      <w:i/>
                      <w:sz w:val="20"/>
                      <w:shd w:val="clear" w:color="auto" w:fill="FFFFFF"/>
                    </w:rPr>
                    <w:t>n</w:t>
                  </w:r>
                  <w:r w:rsidRPr="009B5064">
                    <w:rPr>
                      <w:rFonts w:eastAsia="Times New Roman"/>
                      <w:b/>
                      <w:sz w:val="20"/>
                      <w:shd w:val="clear" w:color="auto" w:fill="FFFFFF"/>
                    </w:rPr>
                    <w:t>=390)</w:t>
                  </w:r>
                </w:p>
              </w:tc>
              <w:tc>
                <w:tcPr>
                  <w:tcW w:w="850" w:type="dxa"/>
                  <w:tcBorders>
                    <w:top w:val="nil"/>
                    <w:left w:val="nil"/>
                    <w:bottom w:val="single" w:sz="4" w:space="0" w:color="auto"/>
                    <w:right w:val="nil"/>
                  </w:tcBorders>
                  <w:vAlign w:val="bottom"/>
                </w:tcPr>
                <w:p w14:paraId="2F61A5E1" w14:textId="77777777" w:rsidR="00722460" w:rsidRPr="009B5064" w:rsidRDefault="00722460" w:rsidP="00722460">
                  <w:pPr>
                    <w:jc w:val="center"/>
                    <w:rPr>
                      <w:rFonts w:eastAsia="Times New Roman"/>
                      <w:b/>
                      <w:i/>
                      <w:sz w:val="20"/>
                      <w:shd w:val="clear" w:color="auto" w:fill="FFFFFF"/>
                    </w:rPr>
                  </w:pPr>
                  <w:r w:rsidRPr="009B5064">
                    <w:rPr>
                      <w:rFonts w:eastAsia="Times New Roman"/>
                      <w:b/>
                      <w:i/>
                      <w:sz w:val="20"/>
                      <w:shd w:val="clear" w:color="auto" w:fill="FFFFFF"/>
                    </w:rPr>
                    <w:t>p</w:t>
                  </w:r>
                </w:p>
              </w:tc>
            </w:tr>
            <w:tr w:rsidR="009B5064" w:rsidRPr="009B5064" w14:paraId="48CB4B61" w14:textId="77777777" w:rsidTr="00722460">
              <w:tblPrEx>
                <w:tblBorders>
                  <w:left w:val="single" w:sz="4" w:space="0" w:color="auto"/>
                  <w:right w:val="single" w:sz="4" w:space="0" w:color="auto"/>
                  <w:insideV w:val="single" w:sz="4" w:space="0" w:color="auto"/>
                </w:tblBorders>
              </w:tblPrEx>
              <w:tc>
                <w:tcPr>
                  <w:tcW w:w="2269" w:type="dxa"/>
                  <w:gridSpan w:val="2"/>
                  <w:tcBorders>
                    <w:top w:val="nil"/>
                    <w:left w:val="nil"/>
                    <w:bottom w:val="single" w:sz="4" w:space="0" w:color="auto"/>
                    <w:right w:val="nil"/>
                  </w:tcBorders>
                  <w:vAlign w:val="center"/>
                </w:tcPr>
                <w:p w14:paraId="4585EDAF" w14:textId="77777777" w:rsidR="00722460" w:rsidRPr="009B5064" w:rsidRDefault="00722460" w:rsidP="00722460">
                  <w:pPr>
                    <w:rPr>
                      <w:rFonts w:eastAsia="Times New Roman"/>
                      <w:sz w:val="20"/>
                      <w:shd w:val="clear" w:color="auto" w:fill="FFFFFF"/>
                    </w:rPr>
                  </w:pPr>
                  <w:r w:rsidRPr="009B5064">
                    <w:rPr>
                      <w:rFonts w:cs="Arial"/>
                      <w:sz w:val="20"/>
                      <w:szCs w:val="20"/>
                    </w:rPr>
                    <w:t>Age (mean [SD] years)</w:t>
                  </w:r>
                </w:p>
              </w:tc>
              <w:tc>
                <w:tcPr>
                  <w:tcW w:w="992" w:type="dxa"/>
                  <w:gridSpan w:val="2"/>
                  <w:tcBorders>
                    <w:top w:val="nil"/>
                    <w:left w:val="nil"/>
                    <w:bottom w:val="single" w:sz="4" w:space="0" w:color="auto"/>
                    <w:right w:val="nil"/>
                  </w:tcBorders>
                  <w:vAlign w:val="center"/>
                </w:tcPr>
                <w:p w14:paraId="3DFC3B4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63.57 (8.88)</w:t>
                  </w:r>
                </w:p>
              </w:tc>
              <w:tc>
                <w:tcPr>
                  <w:tcW w:w="992" w:type="dxa"/>
                  <w:tcBorders>
                    <w:top w:val="nil"/>
                    <w:left w:val="nil"/>
                    <w:bottom w:val="single" w:sz="4" w:space="0" w:color="auto"/>
                    <w:right w:val="nil"/>
                  </w:tcBorders>
                  <w:vAlign w:val="center"/>
                </w:tcPr>
                <w:p w14:paraId="1079D69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64.18 (9.31)</w:t>
                  </w:r>
                </w:p>
              </w:tc>
              <w:tc>
                <w:tcPr>
                  <w:tcW w:w="851" w:type="dxa"/>
                  <w:tcBorders>
                    <w:top w:val="nil"/>
                    <w:left w:val="nil"/>
                    <w:bottom w:val="single" w:sz="4" w:space="0" w:color="auto"/>
                    <w:right w:val="nil"/>
                  </w:tcBorders>
                  <w:vAlign w:val="center"/>
                </w:tcPr>
                <w:p w14:paraId="2D29947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65.17 (9.53)</w:t>
                  </w:r>
                </w:p>
              </w:tc>
              <w:tc>
                <w:tcPr>
                  <w:tcW w:w="850" w:type="dxa"/>
                  <w:tcBorders>
                    <w:top w:val="nil"/>
                    <w:left w:val="nil"/>
                    <w:bottom w:val="single" w:sz="4" w:space="0" w:color="auto"/>
                    <w:right w:val="nil"/>
                  </w:tcBorders>
                  <w:vAlign w:val="center"/>
                </w:tcPr>
                <w:p w14:paraId="2F30F1D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67.56 (11.00)</w:t>
                  </w:r>
                </w:p>
              </w:tc>
              <w:tc>
                <w:tcPr>
                  <w:tcW w:w="851" w:type="dxa"/>
                  <w:tcBorders>
                    <w:top w:val="nil"/>
                    <w:left w:val="nil"/>
                    <w:bottom w:val="single" w:sz="4" w:space="0" w:color="auto"/>
                    <w:right w:val="nil"/>
                  </w:tcBorders>
                  <w:vAlign w:val="center"/>
                </w:tcPr>
                <w:p w14:paraId="03B9CA4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nil"/>
                    <w:left w:val="nil"/>
                    <w:bottom w:val="single" w:sz="4" w:space="0" w:color="auto"/>
                    <w:right w:val="nil"/>
                  </w:tcBorders>
                  <w:vAlign w:val="center"/>
                </w:tcPr>
                <w:p w14:paraId="0992AA9E"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single" w:sz="4" w:space="0" w:color="auto"/>
                    <w:right w:val="nil"/>
                  </w:tcBorders>
                  <w:vAlign w:val="center"/>
                </w:tcPr>
                <w:p w14:paraId="5AA81D2E"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62.73 (8.80)</w:t>
                  </w:r>
                </w:p>
              </w:tc>
              <w:tc>
                <w:tcPr>
                  <w:tcW w:w="1015" w:type="dxa"/>
                  <w:tcBorders>
                    <w:top w:val="nil"/>
                    <w:left w:val="nil"/>
                    <w:bottom w:val="single" w:sz="4" w:space="0" w:color="auto"/>
                    <w:right w:val="nil"/>
                  </w:tcBorders>
                  <w:vAlign w:val="center"/>
                </w:tcPr>
                <w:p w14:paraId="7E7446D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64.75 (9.53)</w:t>
                  </w:r>
                </w:p>
              </w:tc>
              <w:tc>
                <w:tcPr>
                  <w:tcW w:w="709" w:type="dxa"/>
                  <w:tcBorders>
                    <w:top w:val="nil"/>
                    <w:left w:val="nil"/>
                    <w:bottom w:val="single" w:sz="4" w:space="0" w:color="auto"/>
                    <w:right w:val="nil"/>
                  </w:tcBorders>
                  <w:vAlign w:val="center"/>
                </w:tcPr>
                <w:p w14:paraId="4DCFDF0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66.13 (9.62)</w:t>
                  </w:r>
                </w:p>
              </w:tc>
              <w:tc>
                <w:tcPr>
                  <w:tcW w:w="850" w:type="dxa"/>
                  <w:tcBorders>
                    <w:top w:val="nil"/>
                    <w:left w:val="nil"/>
                    <w:bottom w:val="single" w:sz="4" w:space="0" w:color="auto"/>
                    <w:right w:val="nil"/>
                  </w:tcBorders>
                  <w:vAlign w:val="center"/>
                </w:tcPr>
                <w:p w14:paraId="3AAD1AA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68.54 (10.55)</w:t>
                  </w:r>
                </w:p>
              </w:tc>
              <w:tc>
                <w:tcPr>
                  <w:tcW w:w="850" w:type="dxa"/>
                  <w:tcBorders>
                    <w:top w:val="nil"/>
                    <w:left w:val="nil"/>
                    <w:bottom w:val="single" w:sz="4" w:space="0" w:color="auto"/>
                    <w:right w:val="nil"/>
                  </w:tcBorders>
                  <w:vAlign w:val="center"/>
                </w:tcPr>
                <w:p w14:paraId="1DE3D76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579D4388" w14:textId="77777777" w:rsidTr="00722460">
              <w:tblPrEx>
                <w:tblBorders>
                  <w:left w:val="single" w:sz="4" w:space="0" w:color="auto"/>
                  <w:right w:val="single" w:sz="4" w:space="0" w:color="auto"/>
                  <w:insideV w:val="single" w:sz="4" w:space="0" w:color="auto"/>
                </w:tblBorders>
              </w:tblPrEx>
              <w:tc>
                <w:tcPr>
                  <w:tcW w:w="2269" w:type="dxa"/>
                  <w:gridSpan w:val="2"/>
                  <w:tcBorders>
                    <w:top w:val="single" w:sz="4" w:space="0" w:color="auto"/>
                    <w:left w:val="nil"/>
                    <w:bottom w:val="nil"/>
                    <w:right w:val="nil"/>
                  </w:tcBorders>
                </w:tcPr>
                <w:p w14:paraId="3A17B496"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Partner status</w:t>
                  </w:r>
                </w:p>
              </w:tc>
              <w:tc>
                <w:tcPr>
                  <w:tcW w:w="992" w:type="dxa"/>
                  <w:gridSpan w:val="2"/>
                  <w:tcBorders>
                    <w:top w:val="single" w:sz="4" w:space="0" w:color="auto"/>
                    <w:left w:val="nil"/>
                    <w:bottom w:val="nil"/>
                    <w:right w:val="nil"/>
                  </w:tcBorders>
                  <w:vAlign w:val="center"/>
                </w:tcPr>
                <w:p w14:paraId="3A77AAFF" w14:textId="77777777" w:rsidR="00722460" w:rsidRPr="009B5064" w:rsidRDefault="00722460" w:rsidP="00722460">
                  <w:pPr>
                    <w:jc w:val="center"/>
                    <w:rPr>
                      <w:rFonts w:eastAsia="Times New Roman"/>
                      <w:sz w:val="20"/>
                      <w:shd w:val="clear" w:color="auto" w:fill="FFFFFF"/>
                    </w:rPr>
                  </w:pPr>
                </w:p>
              </w:tc>
              <w:tc>
                <w:tcPr>
                  <w:tcW w:w="992" w:type="dxa"/>
                  <w:tcBorders>
                    <w:top w:val="single" w:sz="4" w:space="0" w:color="auto"/>
                    <w:left w:val="nil"/>
                    <w:bottom w:val="nil"/>
                    <w:right w:val="nil"/>
                  </w:tcBorders>
                  <w:vAlign w:val="center"/>
                </w:tcPr>
                <w:p w14:paraId="1BE7BD93"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24606813"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2185792C"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18863F6A" w14:textId="77777777" w:rsidR="00722460" w:rsidRPr="009B5064" w:rsidRDefault="00722460" w:rsidP="00722460">
                  <w:pPr>
                    <w:jc w:val="center"/>
                    <w:rPr>
                      <w:rFonts w:eastAsia="Times New Roman"/>
                      <w:sz w:val="20"/>
                      <w:shd w:val="clear" w:color="auto" w:fill="FFFFFF"/>
                    </w:rPr>
                  </w:pPr>
                </w:p>
              </w:tc>
              <w:tc>
                <w:tcPr>
                  <w:tcW w:w="283" w:type="dxa"/>
                  <w:tcBorders>
                    <w:top w:val="single" w:sz="4" w:space="0" w:color="auto"/>
                    <w:left w:val="nil"/>
                    <w:bottom w:val="nil"/>
                    <w:right w:val="nil"/>
                  </w:tcBorders>
                  <w:vAlign w:val="center"/>
                </w:tcPr>
                <w:p w14:paraId="713B8259" w14:textId="77777777" w:rsidR="00722460" w:rsidRPr="009B5064" w:rsidRDefault="00722460" w:rsidP="00722460">
                  <w:pPr>
                    <w:jc w:val="center"/>
                    <w:rPr>
                      <w:rFonts w:eastAsia="Times New Roman"/>
                      <w:sz w:val="20"/>
                      <w:shd w:val="clear" w:color="auto" w:fill="FFFFFF"/>
                    </w:rPr>
                  </w:pPr>
                </w:p>
              </w:tc>
              <w:tc>
                <w:tcPr>
                  <w:tcW w:w="970" w:type="dxa"/>
                  <w:tcBorders>
                    <w:top w:val="single" w:sz="4" w:space="0" w:color="auto"/>
                    <w:left w:val="nil"/>
                    <w:bottom w:val="nil"/>
                    <w:right w:val="nil"/>
                  </w:tcBorders>
                  <w:vAlign w:val="center"/>
                </w:tcPr>
                <w:p w14:paraId="13047D0E" w14:textId="77777777" w:rsidR="00722460" w:rsidRPr="009B5064" w:rsidRDefault="00722460" w:rsidP="00722460">
                  <w:pPr>
                    <w:jc w:val="center"/>
                    <w:rPr>
                      <w:rFonts w:eastAsia="Times New Roman"/>
                      <w:sz w:val="20"/>
                      <w:shd w:val="clear" w:color="auto" w:fill="FFFFFF"/>
                    </w:rPr>
                  </w:pPr>
                </w:p>
              </w:tc>
              <w:tc>
                <w:tcPr>
                  <w:tcW w:w="1015" w:type="dxa"/>
                  <w:tcBorders>
                    <w:top w:val="single" w:sz="4" w:space="0" w:color="auto"/>
                    <w:left w:val="nil"/>
                    <w:bottom w:val="nil"/>
                    <w:right w:val="nil"/>
                  </w:tcBorders>
                  <w:vAlign w:val="center"/>
                </w:tcPr>
                <w:p w14:paraId="2E3E4B24" w14:textId="77777777" w:rsidR="00722460" w:rsidRPr="009B5064" w:rsidRDefault="00722460" w:rsidP="00722460">
                  <w:pPr>
                    <w:jc w:val="center"/>
                    <w:rPr>
                      <w:rFonts w:eastAsia="Times New Roman"/>
                      <w:sz w:val="20"/>
                      <w:shd w:val="clear" w:color="auto" w:fill="FFFFFF"/>
                    </w:rPr>
                  </w:pPr>
                </w:p>
              </w:tc>
              <w:tc>
                <w:tcPr>
                  <w:tcW w:w="709" w:type="dxa"/>
                  <w:tcBorders>
                    <w:top w:val="single" w:sz="4" w:space="0" w:color="auto"/>
                    <w:left w:val="nil"/>
                    <w:bottom w:val="nil"/>
                    <w:right w:val="nil"/>
                  </w:tcBorders>
                  <w:vAlign w:val="center"/>
                </w:tcPr>
                <w:p w14:paraId="26D581BE"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67DF0B72"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72C701CE" w14:textId="77777777" w:rsidR="00722460" w:rsidRPr="009B5064" w:rsidRDefault="00722460" w:rsidP="00722460">
                  <w:pPr>
                    <w:jc w:val="center"/>
                    <w:rPr>
                      <w:rFonts w:eastAsia="Times New Roman"/>
                      <w:sz w:val="20"/>
                      <w:shd w:val="clear" w:color="auto" w:fill="FFFFFF"/>
                    </w:rPr>
                  </w:pPr>
                </w:p>
              </w:tc>
            </w:tr>
            <w:tr w:rsidR="009B5064" w:rsidRPr="009B5064" w14:paraId="1FDBF667"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47349072"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46964FAA" w14:textId="77777777" w:rsidR="00722460" w:rsidRPr="009B5064" w:rsidRDefault="00722460" w:rsidP="00722460">
                  <w:pPr>
                    <w:rPr>
                      <w:rFonts w:eastAsia="Times New Roman"/>
                      <w:sz w:val="20"/>
                      <w:shd w:val="clear" w:color="auto" w:fill="FFFFFF"/>
                    </w:rPr>
                  </w:pPr>
                  <w:r w:rsidRPr="009B5064">
                    <w:rPr>
                      <w:rFonts w:cs="Arial"/>
                      <w:sz w:val="20"/>
                      <w:szCs w:val="20"/>
                    </w:rPr>
                    <w:t>Married/cohabiting</w:t>
                  </w:r>
                </w:p>
              </w:tc>
              <w:tc>
                <w:tcPr>
                  <w:tcW w:w="992" w:type="dxa"/>
                  <w:gridSpan w:val="2"/>
                  <w:tcBorders>
                    <w:top w:val="nil"/>
                    <w:left w:val="nil"/>
                    <w:bottom w:val="nil"/>
                    <w:right w:val="nil"/>
                  </w:tcBorders>
                  <w:vAlign w:val="center"/>
                </w:tcPr>
                <w:p w14:paraId="0F7AF5F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77.7</w:t>
                  </w:r>
                </w:p>
              </w:tc>
              <w:tc>
                <w:tcPr>
                  <w:tcW w:w="992" w:type="dxa"/>
                  <w:tcBorders>
                    <w:top w:val="nil"/>
                    <w:left w:val="nil"/>
                    <w:bottom w:val="nil"/>
                    <w:right w:val="nil"/>
                  </w:tcBorders>
                  <w:vAlign w:val="center"/>
                </w:tcPr>
                <w:p w14:paraId="7B3AC9F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73.7</w:t>
                  </w:r>
                </w:p>
              </w:tc>
              <w:tc>
                <w:tcPr>
                  <w:tcW w:w="851" w:type="dxa"/>
                  <w:tcBorders>
                    <w:top w:val="nil"/>
                    <w:left w:val="nil"/>
                    <w:bottom w:val="nil"/>
                    <w:right w:val="nil"/>
                  </w:tcBorders>
                  <w:vAlign w:val="center"/>
                </w:tcPr>
                <w:p w14:paraId="1962DC4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75.7</w:t>
                  </w:r>
                </w:p>
              </w:tc>
              <w:tc>
                <w:tcPr>
                  <w:tcW w:w="850" w:type="dxa"/>
                  <w:tcBorders>
                    <w:top w:val="nil"/>
                    <w:left w:val="nil"/>
                    <w:bottom w:val="nil"/>
                    <w:right w:val="nil"/>
                  </w:tcBorders>
                  <w:vAlign w:val="center"/>
                </w:tcPr>
                <w:p w14:paraId="00A957A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59.7</w:t>
                  </w:r>
                </w:p>
              </w:tc>
              <w:tc>
                <w:tcPr>
                  <w:tcW w:w="851" w:type="dxa"/>
                  <w:tcBorders>
                    <w:top w:val="nil"/>
                    <w:left w:val="nil"/>
                    <w:bottom w:val="nil"/>
                    <w:right w:val="nil"/>
                  </w:tcBorders>
                  <w:vAlign w:val="center"/>
                </w:tcPr>
                <w:p w14:paraId="7B945C8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nil"/>
                    <w:left w:val="nil"/>
                    <w:bottom w:val="nil"/>
                    <w:right w:val="nil"/>
                  </w:tcBorders>
                  <w:vAlign w:val="center"/>
                </w:tcPr>
                <w:p w14:paraId="05AFD151"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44FDB6B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68.9</w:t>
                  </w:r>
                </w:p>
              </w:tc>
              <w:tc>
                <w:tcPr>
                  <w:tcW w:w="1015" w:type="dxa"/>
                  <w:tcBorders>
                    <w:top w:val="nil"/>
                    <w:left w:val="nil"/>
                    <w:bottom w:val="nil"/>
                    <w:right w:val="nil"/>
                  </w:tcBorders>
                  <w:vAlign w:val="center"/>
                </w:tcPr>
                <w:p w14:paraId="54575D5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62.3</w:t>
                  </w:r>
                </w:p>
              </w:tc>
              <w:tc>
                <w:tcPr>
                  <w:tcW w:w="709" w:type="dxa"/>
                  <w:tcBorders>
                    <w:top w:val="nil"/>
                    <w:left w:val="nil"/>
                    <w:bottom w:val="nil"/>
                    <w:right w:val="nil"/>
                  </w:tcBorders>
                  <w:vAlign w:val="center"/>
                </w:tcPr>
                <w:p w14:paraId="36A51B7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60.3</w:t>
                  </w:r>
                </w:p>
              </w:tc>
              <w:tc>
                <w:tcPr>
                  <w:tcW w:w="850" w:type="dxa"/>
                  <w:tcBorders>
                    <w:top w:val="nil"/>
                    <w:left w:val="nil"/>
                    <w:bottom w:val="nil"/>
                    <w:right w:val="nil"/>
                  </w:tcBorders>
                  <w:vAlign w:val="center"/>
                </w:tcPr>
                <w:p w14:paraId="771C636C"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52.0</w:t>
                  </w:r>
                </w:p>
              </w:tc>
              <w:tc>
                <w:tcPr>
                  <w:tcW w:w="850" w:type="dxa"/>
                  <w:tcBorders>
                    <w:top w:val="nil"/>
                    <w:left w:val="nil"/>
                    <w:bottom w:val="nil"/>
                    <w:right w:val="nil"/>
                  </w:tcBorders>
                  <w:vAlign w:val="center"/>
                </w:tcPr>
                <w:p w14:paraId="171F1E5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4BE280D6"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54889E7D"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18350FC8" w14:textId="77777777" w:rsidR="00722460" w:rsidRPr="009B5064" w:rsidRDefault="00722460" w:rsidP="00722460">
                  <w:pPr>
                    <w:rPr>
                      <w:rFonts w:eastAsia="Times New Roman"/>
                      <w:sz w:val="20"/>
                      <w:shd w:val="clear" w:color="auto" w:fill="FFFFFF"/>
                    </w:rPr>
                  </w:pPr>
                  <w:r w:rsidRPr="009B5064">
                    <w:rPr>
                      <w:rFonts w:cs="Arial"/>
                      <w:sz w:val="20"/>
                      <w:szCs w:val="20"/>
                    </w:rPr>
                    <w:t>Separated/divorced</w:t>
                  </w:r>
                </w:p>
              </w:tc>
              <w:tc>
                <w:tcPr>
                  <w:tcW w:w="992" w:type="dxa"/>
                  <w:gridSpan w:val="2"/>
                  <w:tcBorders>
                    <w:top w:val="nil"/>
                    <w:left w:val="nil"/>
                    <w:bottom w:val="nil"/>
                    <w:right w:val="nil"/>
                  </w:tcBorders>
                  <w:vAlign w:val="center"/>
                </w:tcPr>
                <w:p w14:paraId="46AB347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11.1</w:t>
                  </w:r>
                </w:p>
              </w:tc>
              <w:tc>
                <w:tcPr>
                  <w:tcW w:w="992" w:type="dxa"/>
                  <w:tcBorders>
                    <w:top w:val="nil"/>
                    <w:left w:val="nil"/>
                    <w:bottom w:val="nil"/>
                    <w:right w:val="nil"/>
                  </w:tcBorders>
                  <w:vAlign w:val="center"/>
                </w:tcPr>
                <w:p w14:paraId="3109682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9.8</w:t>
                  </w:r>
                </w:p>
              </w:tc>
              <w:tc>
                <w:tcPr>
                  <w:tcW w:w="851" w:type="dxa"/>
                  <w:tcBorders>
                    <w:top w:val="nil"/>
                    <w:left w:val="nil"/>
                    <w:bottom w:val="nil"/>
                    <w:right w:val="nil"/>
                  </w:tcBorders>
                  <w:vAlign w:val="center"/>
                </w:tcPr>
                <w:p w14:paraId="50EDFB6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11.6</w:t>
                  </w:r>
                </w:p>
              </w:tc>
              <w:tc>
                <w:tcPr>
                  <w:tcW w:w="850" w:type="dxa"/>
                  <w:tcBorders>
                    <w:top w:val="nil"/>
                    <w:left w:val="nil"/>
                    <w:bottom w:val="nil"/>
                    <w:right w:val="nil"/>
                  </w:tcBorders>
                  <w:vAlign w:val="center"/>
                </w:tcPr>
                <w:p w14:paraId="54D2B10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17.1</w:t>
                  </w:r>
                </w:p>
              </w:tc>
              <w:tc>
                <w:tcPr>
                  <w:tcW w:w="851" w:type="dxa"/>
                  <w:tcBorders>
                    <w:top w:val="nil"/>
                    <w:left w:val="nil"/>
                    <w:bottom w:val="nil"/>
                    <w:right w:val="nil"/>
                  </w:tcBorders>
                  <w:vAlign w:val="center"/>
                </w:tcPr>
                <w:p w14:paraId="31DF2B9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bottom w:val="nil"/>
                    <w:right w:val="nil"/>
                  </w:tcBorders>
                  <w:vAlign w:val="center"/>
                </w:tcPr>
                <w:p w14:paraId="59993BD1"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66989E9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15.1</w:t>
                  </w:r>
                </w:p>
              </w:tc>
              <w:tc>
                <w:tcPr>
                  <w:tcW w:w="1015" w:type="dxa"/>
                  <w:tcBorders>
                    <w:top w:val="nil"/>
                    <w:left w:val="nil"/>
                    <w:bottom w:val="nil"/>
                    <w:right w:val="nil"/>
                  </w:tcBorders>
                  <w:vAlign w:val="center"/>
                </w:tcPr>
                <w:p w14:paraId="0808BC4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15.6</w:t>
                  </w:r>
                </w:p>
              </w:tc>
              <w:tc>
                <w:tcPr>
                  <w:tcW w:w="709" w:type="dxa"/>
                  <w:tcBorders>
                    <w:top w:val="nil"/>
                    <w:left w:val="nil"/>
                    <w:bottom w:val="nil"/>
                    <w:right w:val="nil"/>
                  </w:tcBorders>
                  <w:vAlign w:val="center"/>
                </w:tcPr>
                <w:p w14:paraId="522BDD3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14.8</w:t>
                  </w:r>
                </w:p>
              </w:tc>
              <w:tc>
                <w:tcPr>
                  <w:tcW w:w="850" w:type="dxa"/>
                  <w:tcBorders>
                    <w:top w:val="nil"/>
                    <w:left w:val="nil"/>
                    <w:bottom w:val="nil"/>
                    <w:right w:val="nil"/>
                  </w:tcBorders>
                  <w:vAlign w:val="center"/>
                </w:tcPr>
                <w:p w14:paraId="77D15BC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19.0</w:t>
                  </w:r>
                </w:p>
              </w:tc>
              <w:tc>
                <w:tcPr>
                  <w:tcW w:w="850" w:type="dxa"/>
                  <w:tcBorders>
                    <w:top w:val="nil"/>
                    <w:left w:val="nil"/>
                    <w:bottom w:val="nil"/>
                    <w:right w:val="nil"/>
                  </w:tcBorders>
                  <w:vAlign w:val="center"/>
                </w:tcPr>
                <w:p w14:paraId="35BA6C8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0D307915"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4B756D01"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72E3A257" w14:textId="77777777" w:rsidR="00722460" w:rsidRPr="009B5064" w:rsidRDefault="00722460" w:rsidP="00722460">
                  <w:pPr>
                    <w:rPr>
                      <w:rFonts w:eastAsia="Times New Roman"/>
                      <w:sz w:val="20"/>
                      <w:shd w:val="clear" w:color="auto" w:fill="FFFFFF"/>
                    </w:rPr>
                  </w:pPr>
                  <w:r w:rsidRPr="009B5064">
                    <w:rPr>
                      <w:rFonts w:cs="Arial"/>
                      <w:sz w:val="20"/>
                      <w:szCs w:val="20"/>
                    </w:rPr>
                    <w:t>Widowed</w:t>
                  </w:r>
                </w:p>
              </w:tc>
              <w:tc>
                <w:tcPr>
                  <w:tcW w:w="992" w:type="dxa"/>
                  <w:gridSpan w:val="2"/>
                  <w:tcBorders>
                    <w:top w:val="nil"/>
                    <w:left w:val="nil"/>
                    <w:bottom w:val="nil"/>
                    <w:right w:val="nil"/>
                  </w:tcBorders>
                  <w:vAlign w:val="center"/>
                </w:tcPr>
                <w:p w14:paraId="21D7E1C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5.1</w:t>
                  </w:r>
                </w:p>
              </w:tc>
              <w:tc>
                <w:tcPr>
                  <w:tcW w:w="992" w:type="dxa"/>
                  <w:tcBorders>
                    <w:top w:val="nil"/>
                    <w:left w:val="nil"/>
                    <w:bottom w:val="nil"/>
                    <w:right w:val="nil"/>
                  </w:tcBorders>
                  <w:vAlign w:val="center"/>
                </w:tcPr>
                <w:p w14:paraId="71FDB15C"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5.9</w:t>
                  </w:r>
                </w:p>
              </w:tc>
              <w:tc>
                <w:tcPr>
                  <w:tcW w:w="851" w:type="dxa"/>
                  <w:tcBorders>
                    <w:top w:val="nil"/>
                    <w:left w:val="nil"/>
                    <w:bottom w:val="nil"/>
                    <w:right w:val="nil"/>
                  </w:tcBorders>
                  <w:vAlign w:val="center"/>
                </w:tcPr>
                <w:p w14:paraId="2C8A125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5.6</w:t>
                  </w:r>
                </w:p>
              </w:tc>
              <w:tc>
                <w:tcPr>
                  <w:tcW w:w="850" w:type="dxa"/>
                  <w:tcBorders>
                    <w:top w:val="nil"/>
                    <w:left w:val="nil"/>
                    <w:bottom w:val="nil"/>
                    <w:right w:val="nil"/>
                  </w:tcBorders>
                  <w:vAlign w:val="center"/>
                </w:tcPr>
                <w:p w14:paraId="47EEF15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11.9</w:t>
                  </w:r>
                </w:p>
              </w:tc>
              <w:tc>
                <w:tcPr>
                  <w:tcW w:w="851" w:type="dxa"/>
                  <w:tcBorders>
                    <w:top w:val="nil"/>
                    <w:left w:val="nil"/>
                    <w:bottom w:val="nil"/>
                    <w:right w:val="nil"/>
                  </w:tcBorders>
                  <w:vAlign w:val="center"/>
                </w:tcPr>
                <w:p w14:paraId="34AC9C7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bottom w:val="nil"/>
                    <w:right w:val="nil"/>
                  </w:tcBorders>
                  <w:vAlign w:val="center"/>
                </w:tcPr>
                <w:p w14:paraId="5CFBA4F3"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3CF3D3B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10.9</w:t>
                  </w:r>
                </w:p>
              </w:tc>
              <w:tc>
                <w:tcPr>
                  <w:tcW w:w="1015" w:type="dxa"/>
                  <w:tcBorders>
                    <w:top w:val="nil"/>
                    <w:left w:val="nil"/>
                    <w:bottom w:val="nil"/>
                    <w:right w:val="nil"/>
                  </w:tcBorders>
                  <w:vAlign w:val="center"/>
                </w:tcPr>
                <w:p w14:paraId="710D303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17.6</w:t>
                  </w:r>
                </w:p>
              </w:tc>
              <w:tc>
                <w:tcPr>
                  <w:tcW w:w="709" w:type="dxa"/>
                  <w:tcBorders>
                    <w:top w:val="nil"/>
                    <w:left w:val="nil"/>
                    <w:bottom w:val="nil"/>
                    <w:right w:val="nil"/>
                  </w:tcBorders>
                  <w:vAlign w:val="center"/>
                </w:tcPr>
                <w:p w14:paraId="21FEFAE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18.4</w:t>
                  </w:r>
                </w:p>
              </w:tc>
              <w:tc>
                <w:tcPr>
                  <w:tcW w:w="850" w:type="dxa"/>
                  <w:tcBorders>
                    <w:top w:val="nil"/>
                    <w:left w:val="nil"/>
                    <w:bottom w:val="nil"/>
                    <w:right w:val="nil"/>
                  </w:tcBorders>
                  <w:vAlign w:val="center"/>
                </w:tcPr>
                <w:p w14:paraId="4DEB685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21.4</w:t>
                  </w:r>
                </w:p>
              </w:tc>
              <w:tc>
                <w:tcPr>
                  <w:tcW w:w="850" w:type="dxa"/>
                  <w:tcBorders>
                    <w:top w:val="nil"/>
                    <w:left w:val="nil"/>
                    <w:bottom w:val="nil"/>
                    <w:right w:val="nil"/>
                  </w:tcBorders>
                  <w:vAlign w:val="center"/>
                </w:tcPr>
                <w:p w14:paraId="5B0FEE2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0C76BC5A"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tcPr>
                <w:p w14:paraId="17A1DA78" w14:textId="77777777" w:rsidR="00722460" w:rsidRPr="009B5064" w:rsidRDefault="00722460" w:rsidP="00722460">
                  <w:pPr>
                    <w:rPr>
                      <w:rFonts w:eastAsia="Times New Roman"/>
                      <w:sz w:val="20"/>
                      <w:shd w:val="clear" w:color="auto" w:fill="FFFFFF"/>
                    </w:rPr>
                  </w:pPr>
                </w:p>
              </w:tc>
              <w:tc>
                <w:tcPr>
                  <w:tcW w:w="1985" w:type="dxa"/>
                  <w:tcBorders>
                    <w:top w:val="nil"/>
                    <w:left w:val="nil"/>
                    <w:bottom w:val="single" w:sz="4" w:space="0" w:color="auto"/>
                    <w:right w:val="nil"/>
                  </w:tcBorders>
                  <w:vAlign w:val="center"/>
                </w:tcPr>
                <w:p w14:paraId="3746FE24" w14:textId="77777777" w:rsidR="00722460" w:rsidRPr="009B5064" w:rsidRDefault="00722460" w:rsidP="00722460">
                  <w:pPr>
                    <w:rPr>
                      <w:rFonts w:eastAsia="Times New Roman"/>
                      <w:sz w:val="20"/>
                      <w:shd w:val="clear" w:color="auto" w:fill="FFFFFF"/>
                    </w:rPr>
                  </w:pPr>
                  <w:r w:rsidRPr="009B5064">
                    <w:rPr>
                      <w:rFonts w:cs="Arial"/>
                      <w:sz w:val="20"/>
                      <w:szCs w:val="20"/>
                    </w:rPr>
                    <w:t>Single/never married</w:t>
                  </w:r>
                </w:p>
              </w:tc>
              <w:tc>
                <w:tcPr>
                  <w:tcW w:w="992" w:type="dxa"/>
                  <w:gridSpan w:val="2"/>
                  <w:tcBorders>
                    <w:top w:val="nil"/>
                    <w:left w:val="nil"/>
                    <w:right w:val="nil"/>
                  </w:tcBorders>
                  <w:vAlign w:val="center"/>
                </w:tcPr>
                <w:p w14:paraId="39908F0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6.0</w:t>
                  </w:r>
                </w:p>
              </w:tc>
              <w:tc>
                <w:tcPr>
                  <w:tcW w:w="992" w:type="dxa"/>
                  <w:tcBorders>
                    <w:top w:val="nil"/>
                    <w:left w:val="nil"/>
                    <w:right w:val="nil"/>
                  </w:tcBorders>
                  <w:vAlign w:val="center"/>
                </w:tcPr>
                <w:p w14:paraId="79CC0B9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10.6</w:t>
                  </w:r>
                </w:p>
              </w:tc>
              <w:tc>
                <w:tcPr>
                  <w:tcW w:w="851" w:type="dxa"/>
                  <w:tcBorders>
                    <w:top w:val="nil"/>
                    <w:left w:val="nil"/>
                    <w:right w:val="nil"/>
                  </w:tcBorders>
                  <w:vAlign w:val="center"/>
                </w:tcPr>
                <w:p w14:paraId="23E53FA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7.2</w:t>
                  </w:r>
                </w:p>
              </w:tc>
              <w:tc>
                <w:tcPr>
                  <w:tcW w:w="850" w:type="dxa"/>
                  <w:tcBorders>
                    <w:top w:val="nil"/>
                    <w:left w:val="nil"/>
                    <w:right w:val="nil"/>
                  </w:tcBorders>
                  <w:vAlign w:val="center"/>
                </w:tcPr>
                <w:p w14:paraId="2CC6B79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11.3</w:t>
                  </w:r>
                </w:p>
              </w:tc>
              <w:tc>
                <w:tcPr>
                  <w:tcW w:w="851" w:type="dxa"/>
                  <w:tcBorders>
                    <w:top w:val="nil"/>
                    <w:left w:val="nil"/>
                    <w:right w:val="nil"/>
                  </w:tcBorders>
                  <w:vAlign w:val="center"/>
                </w:tcPr>
                <w:p w14:paraId="5E7CF25E"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right w:val="nil"/>
                  </w:tcBorders>
                  <w:vAlign w:val="center"/>
                </w:tcPr>
                <w:p w14:paraId="7A6ADEEE"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right w:val="nil"/>
                  </w:tcBorders>
                  <w:vAlign w:val="center"/>
                </w:tcPr>
                <w:p w14:paraId="70F7480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5.2</w:t>
                  </w:r>
                </w:p>
              </w:tc>
              <w:tc>
                <w:tcPr>
                  <w:tcW w:w="1015" w:type="dxa"/>
                  <w:tcBorders>
                    <w:top w:val="nil"/>
                    <w:left w:val="nil"/>
                    <w:right w:val="nil"/>
                  </w:tcBorders>
                  <w:vAlign w:val="center"/>
                </w:tcPr>
                <w:p w14:paraId="5993CA4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4.5</w:t>
                  </w:r>
                </w:p>
              </w:tc>
              <w:tc>
                <w:tcPr>
                  <w:tcW w:w="709" w:type="dxa"/>
                  <w:tcBorders>
                    <w:top w:val="nil"/>
                    <w:left w:val="nil"/>
                    <w:right w:val="nil"/>
                  </w:tcBorders>
                  <w:vAlign w:val="center"/>
                </w:tcPr>
                <w:p w14:paraId="15C4D30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6.6</w:t>
                  </w:r>
                </w:p>
              </w:tc>
              <w:tc>
                <w:tcPr>
                  <w:tcW w:w="850" w:type="dxa"/>
                  <w:tcBorders>
                    <w:top w:val="nil"/>
                    <w:left w:val="nil"/>
                    <w:right w:val="nil"/>
                  </w:tcBorders>
                  <w:vAlign w:val="center"/>
                </w:tcPr>
                <w:p w14:paraId="3ADF777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7.6</w:t>
                  </w:r>
                </w:p>
              </w:tc>
              <w:tc>
                <w:tcPr>
                  <w:tcW w:w="850" w:type="dxa"/>
                  <w:tcBorders>
                    <w:top w:val="nil"/>
                    <w:left w:val="nil"/>
                    <w:right w:val="nil"/>
                  </w:tcBorders>
                  <w:vAlign w:val="center"/>
                </w:tcPr>
                <w:p w14:paraId="29F739F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6812AFFC" w14:textId="77777777" w:rsidTr="00722460">
              <w:tblPrEx>
                <w:tblBorders>
                  <w:left w:val="single" w:sz="4" w:space="0" w:color="auto"/>
                  <w:right w:val="single" w:sz="4" w:space="0" w:color="auto"/>
                  <w:insideV w:val="single" w:sz="4" w:space="0" w:color="auto"/>
                </w:tblBorders>
              </w:tblPrEx>
              <w:tc>
                <w:tcPr>
                  <w:tcW w:w="2269" w:type="dxa"/>
                  <w:gridSpan w:val="2"/>
                  <w:tcBorders>
                    <w:top w:val="single" w:sz="4" w:space="0" w:color="auto"/>
                    <w:left w:val="nil"/>
                    <w:bottom w:val="nil"/>
                    <w:right w:val="nil"/>
                  </w:tcBorders>
                </w:tcPr>
                <w:p w14:paraId="42248E74"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Ethnicity</w:t>
                  </w:r>
                </w:p>
              </w:tc>
              <w:tc>
                <w:tcPr>
                  <w:tcW w:w="992" w:type="dxa"/>
                  <w:gridSpan w:val="2"/>
                  <w:tcBorders>
                    <w:top w:val="single" w:sz="4" w:space="0" w:color="auto"/>
                    <w:left w:val="nil"/>
                    <w:bottom w:val="nil"/>
                    <w:right w:val="nil"/>
                  </w:tcBorders>
                  <w:vAlign w:val="center"/>
                </w:tcPr>
                <w:p w14:paraId="0F79D61B" w14:textId="77777777" w:rsidR="00722460" w:rsidRPr="009B5064" w:rsidRDefault="00722460" w:rsidP="00722460">
                  <w:pPr>
                    <w:jc w:val="center"/>
                    <w:rPr>
                      <w:rFonts w:eastAsia="Times New Roman"/>
                      <w:sz w:val="20"/>
                      <w:shd w:val="clear" w:color="auto" w:fill="FFFFFF"/>
                    </w:rPr>
                  </w:pPr>
                </w:p>
              </w:tc>
              <w:tc>
                <w:tcPr>
                  <w:tcW w:w="992" w:type="dxa"/>
                  <w:tcBorders>
                    <w:top w:val="single" w:sz="4" w:space="0" w:color="auto"/>
                    <w:left w:val="nil"/>
                    <w:bottom w:val="nil"/>
                    <w:right w:val="nil"/>
                  </w:tcBorders>
                  <w:vAlign w:val="center"/>
                </w:tcPr>
                <w:p w14:paraId="501774BE"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2EE679F0"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5AE0A8A7"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77B2FEE8" w14:textId="77777777" w:rsidR="00722460" w:rsidRPr="009B5064" w:rsidRDefault="00722460" w:rsidP="00722460">
                  <w:pPr>
                    <w:jc w:val="center"/>
                    <w:rPr>
                      <w:rFonts w:eastAsia="Times New Roman"/>
                      <w:sz w:val="20"/>
                      <w:shd w:val="clear" w:color="auto" w:fill="FFFFFF"/>
                    </w:rPr>
                  </w:pPr>
                </w:p>
              </w:tc>
              <w:tc>
                <w:tcPr>
                  <w:tcW w:w="283" w:type="dxa"/>
                  <w:tcBorders>
                    <w:top w:val="single" w:sz="4" w:space="0" w:color="auto"/>
                    <w:left w:val="nil"/>
                    <w:bottom w:val="nil"/>
                    <w:right w:val="nil"/>
                  </w:tcBorders>
                  <w:vAlign w:val="center"/>
                </w:tcPr>
                <w:p w14:paraId="28EA0E3B" w14:textId="77777777" w:rsidR="00722460" w:rsidRPr="009B5064" w:rsidRDefault="00722460" w:rsidP="00722460">
                  <w:pPr>
                    <w:jc w:val="center"/>
                    <w:rPr>
                      <w:rFonts w:eastAsia="Times New Roman"/>
                      <w:sz w:val="20"/>
                      <w:shd w:val="clear" w:color="auto" w:fill="FFFFFF"/>
                    </w:rPr>
                  </w:pPr>
                </w:p>
              </w:tc>
              <w:tc>
                <w:tcPr>
                  <w:tcW w:w="970" w:type="dxa"/>
                  <w:tcBorders>
                    <w:top w:val="single" w:sz="4" w:space="0" w:color="auto"/>
                    <w:left w:val="nil"/>
                    <w:bottom w:val="nil"/>
                    <w:right w:val="nil"/>
                  </w:tcBorders>
                  <w:vAlign w:val="center"/>
                </w:tcPr>
                <w:p w14:paraId="3630C254" w14:textId="77777777" w:rsidR="00722460" w:rsidRPr="009B5064" w:rsidRDefault="00722460" w:rsidP="00722460">
                  <w:pPr>
                    <w:jc w:val="center"/>
                    <w:rPr>
                      <w:rFonts w:eastAsia="Times New Roman"/>
                      <w:sz w:val="20"/>
                      <w:shd w:val="clear" w:color="auto" w:fill="FFFFFF"/>
                    </w:rPr>
                  </w:pPr>
                </w:p>
              </w:tc>
              <w:tc>
                <w:tcPr>
                  <w:tcW w:w="1015" w:type="dxa"/>
                  <w:tcBorders>
                    <w:top w:val="single" w:sz="4" w:space="0" w:color="auto"/>
                    <w:left w:val="nil"/>
                    <w:bottom w:val="nil"/>
                    <w:right w:val="nil"/>
                  </w:tcBorders>
                  <w:vAlign w:val="center"/>
                </w:tcPr>
                <w:p w14:paraId="079BE2A4" w14:textId="77777777" w:rsidR="00722460" w:rsidRPr="009B5064" w:rsidRDefault="00722460" w:rsidP="00722460">
                  <w:pPr>
                    <w:jc w:val="center"/>
                    <w:rPr>
                      <w:rFonts w:eastAsia="Times New Roman"/>
                      <w:sz w:val="20"/>
                      <w:shd w:val="clear" w:color="auto" w:fill="FFFFFF"/>
                    </w:rPr>
                  </w:pPr>
                </w:p>
              </w:tc>
              <w:tc>
                <w:tcPr>
                  <w:tcW w:w="709" w:type="dxa"/>
                  <w:tcBorders>
                    <w:top w:val="single" w:sz="4" w:space="0" w:color="auto"/>
                    <w:left w:val="nil"/>
                    <w:bottom w:val="nil"/>
                    <w:right w:val="nil"/>
                  </w:tcBorders>
                  <w:vAlign w:val="center"/>
                </w:tcPr>
                <w:p w14:paraId="0252640E"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2DD52296"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649CA27E" w14:textId="77777777" w:rsidR="00722460" w:rsidRPr="009B5064" w:rsidRDefault="00722460" w:rsidP="00722460">
                  <w:pPr>
                    <w:jc w:val="center"/>
                    <w:rPr>
                      <w:rFonts w:eastAsia="Times New Roman"/>
                      <w:sz w:val="20"/>
                      <w:shd w:val="clear" w:color="auto" w:fill="FFFFFF"/>
                    </w:rPr>
                  </w:pPr>
                </w:p>
              </w:tc>
            </w:tr>
            <w:tr w:rsidR="009B5064" w:rsidRPr="009B5064" w14:paraId="463519AC"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2FF64C30"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16D587A9" w14:textId="77777777" w:rsidR="00722460" w:rsidRPr="009B5064" w:rsidRDefault="00722460" w:rsidP="00722460">
                  <w:pPr>
                    <w:rPr>
                      <w:rFonts w:eastAsia="Times New Roman"/>
                      <w:sz w:val="20"/>
                      <w:shd w:val="clear" w:color="auto" w:fill="FFFFFF"/>
                    </w:rPr>
                  </w:pPr>
                  <w:r w:rsidRPr="009B5064">
                    <w:rPr>
                      <w:rFonts w:cs="Arial"/>
                      <w:sz w:val="20"/>
                      <w:szCs w:val="20"/>
                    </w:rPr>
                    <w:t>White</w:t>
                  </w:r>
                </w:p>
              </w:tc>
              <w:tc>
                <w:tcPr>
                  <w:tcW w:w="992" w:type="dxa"/>
                  <w:gridSpan w:val="2"/>
                  <w:tcBorders>
                    <w:top w:val="nil"/>
                    <w:left w:val="nil"/>
                    <w:bottom w:val="nil"/>
                    <w:right w:val="nil"/>
                  </w:tcBorders>
                  <w:vAlign w:val="center"/>
                </w:tcPr>
                <w:p w14:paraId="18C2170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94.2</w:t>
                  </w:r>
                </w:p>
              </w:tc>
              <w:tc>
                <w:tcPr>
                  <w:tcW w:w="992" w:type="dxa"/>
                  <w:tcBorders>
                    <w:top w:val="nil"/>
                    <w:left w:val="nil"/>
                    <w:bottom w:val="nil"/>
                    <w:right w:val="nil"/>
                  </w:tcBorders>
                  <w:vAlign w:val="center"/>
                </w:tcPr>
                <w:p w14:paraId="68FAC0C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95.8</w:t>
                  </w:r>
                </w:p>
              </w:tc>
              <w:tc>
                <w:tcPr>
                  <w:tcW w:w="851" w:type="dxa"/>
                  <w:tcBorders>
                    <w:top w:val="nil"/>
                    <w:left w:val="nil"/>
                    <w:bottom w:val="nil"/>
                    <w:right w:val="nil"/>
                  </w:tcBorders>
                  <w:vAlign w:val="center"/>
                </w:tcPr>
                <w:p w14:paraId="76C1C26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92.4</w:t>
                  </w:r>
                </w:p>
              </w:tc>
              <w:tc>
                <w:tcPr>
                  <w:tcW w:w="850" w:type="dxa"/>
                  <w:tcBorders>
                    <w:top w:val="nil"/>
                    <w:left w:val="nil"/>
                    <w:bottom w:val="nil"/>
                    <w:right w:val="nil"/>
                  </w:tcBorders>
                  <w:vAlign w:val="center"/>
                </w:tcPr>
                <w:p w14:paraId="024C6AF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92.5</w:t>
                  </w:r>
                </w:p>
              </w:tc>
              <w:tc>
                <w:tcPr>
                  <w:tcW w:w="851" w:type="dxa"/>
                  <w:tcBorders>
                    <w:top w:val="nil"/>
                    <w:left w:val="nil"/>
                    <w:bottom w:val="nil"/>
                    <w:right w:val="nil"/>
                  </w:tcBorders>
                  <w:vAlign w:val="center"/>
                </w:tcPr>
                <w:p w14:paraId="48AFAB4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0.011</w:t>
                  </w:r>
                </w:p>
              </w:tc>
              <w:tc>
                <w:tcPr>
                  <w:tcW w:w="283" w:type="dxa"/>
                  <w:tcBorders>
                    <w:top w:val="nil"/>
                    <w:left w:val="nil"/>
                    <w:bottom w:val="nil"/>
                    <w:right w:val="nil"/>
                  </w:tcBorders>
                  <w:vAlign w:val="center"/>
                </w:tcPr>
                <w:p w14:paraId="164B2CE0"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5D05429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96.5</w:t>
                  </w:r>
                </w:p>
              </w:tc>
              <w:tc>
                <w:tcPr>
                  <w:tcW w:w="1015" w:type="dxa"/>
                  <w:tcBorders>
                    <w:top w:val="nil"/>
                    <w:left w:val="nil"/>
                    <w:bottom w:val="nil"/>
                    <w:right w:val="nil"/>
                  </w:tcBorders>
                  <w:vAlign w:val="center"/>
                </w:tcPr>
                <w:p w14:paraId="2DD7D9E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97.3</w:t>
                  </w:r>
                </w:p>
              </w:tc>
              <w:tc>
                <w:tcPr>
                  <w:tcW w:w="709" w:type="dxa"/>
                  <w:tcBorders>
                    <w:top w:val="nil"/>
                    <w:left w:val="nil"/>
                    <w:bottom w:val="nil"/>
                    <w:right w:val="nil"/>
                  </w:tcBorders>
                  <w:vAlign w:val="center"/>
                </w:tcPr>
                <w:p w14:paraId="4CCEED8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96.0</w:t>
                  </w:r>
                </w:p>
              </w:tc>
              <w:tc>
                <w:tcPr>
                  <w:tcW w:w="850" w:type="dxa"/>
                  <w:tcBorders>
                    <w:top w:val="nil"/>
                    <w:left w:val="nil"/>
                    <w:bottom w:val="nil"/>
                    <w:right w:val="nil"/>
                  </w:tcBorders>
                  <w:vAlign w:val="center"/>
                </w:tcPr>
                <w:p w14:paraId="397B048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92.1</w:t>
                  </w:r>
                </w:p>
              </w:tc>
              <w:tc>
                <w:tcPr>
                  <w:tcW w:w="850" w:type="dxa"/>
                  <w:tcBorders>
                    <w:top w:val="nil"/>
                    <w:left w:val="nil"/>
                    <w:bottom w:val="nil"/>
                    <w:right w:val="nil"/>
                  </w:tcBorders>
                  <w:vAlign w:val="center"/>
                </w:tcPr>
                <w:p w14:paraId="3F69502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6C177BC6"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tcPr>
                <w:p w14:paraId="7E26C115" w14:textId="77777777" w:rsidR="00722460" w:rsidRPr="009B5064" w:rsidRDefault="00722460" w:rsidP="00722460">
                  <w:pPr>
                    <w:rPr>
                      <w:rFonts w:eastAsia="Times New Roman"/>
                      <w:sz w:val="20"/>
                      <w:shd w:val="clear" w:color="auto" w:fill="FFFFFF"/>
                    </w:rPr>
                  </w:pPr>
                </w:p>
              </w:tc>
              <w:tc>
                <w:tcPr>
                  <w:tcW w:w="1985" w:type="dxa"/>
                  <w:tcBorders>
                    <w:top w:val="nil"/>
                    <w:left w:val="nil"/>
                    <w:bottom w:val="single" w:sz="4" w:space="0" w:color="auto"/>
                    <w:right w:val="nil"/>
                  </w:tcBorders>
                  <w:vAlign w:val="center"/>
                </w:tcPr>
                <w:p w14:paraId="2FCA4E85" w14:textId="77777777" w:rsidR="00722460" w:rsidRPr="009B5064" w:rsidRDefault="00722460" w:rsidP="00722460">
                  <w:pPr>
                    <w:rPr>
                      <w:rFonts w:eastAsia="Times New Roman"/>
                      <w:sz w:val="20"/>
                      <w:shd w:val="clear" w:color="auto" w:fill="FFFFFF"/>
                    </w:rPr>
                  </w:pPr>
                  <w:r w:rsidRPr="009B5064">
                    <w:rPr>
                      <w:rFonts w:cs="Arial"/>
                      <w:sz w:val="20"/>
                      <w:szCs w:val="20"/>
                    </w:rPr>
                    <w:t>Non-white</w:t>
                  </w:r>
                </w:p>
              </w:tc>
              <w:tc>
                <w:tcPr>
                  <w:tcW w:w="992" w:type="dxa"/>
                  <w:gridSpan w:val="2"/>
                  <w:tcBorders>
                    <w:top w:val="nil"/>
                    <w:left w:val="nil"/>
                    <w:right w:val="nil"/>
                  </w:tcBorders>
                  <w:vAlign w:val="center"/>
                </w:tcPr>
                <w:p w14:paraId="7F3322F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5.8</w:t>
                  </w:r>
                </w:p>
              </w:tc>
              <w:tc>
                <w:tcPr>
                  <w:tcW w:w="992" w:type="dxa"/>
                  <w:tcBorders>
                    <w:top w:val="nil"/>
                    <w:left w:val="nil"/>
                    <w:right w:val="nil"/>
                  </w:tcBorders>
                  <w:vAlign w:val="center"/>
                </w:tcPr>
                <w:p w14:paraId="67D0ADE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4.2</w:t>
                  </w:r>
                </w:p>
              </w:tc>
              <w:tc>
                <w:tcPr>
                  <w:tcW w:w="851" w:type="dxa"/>
                  <w:tcBorders>
                    <w:top w:val="nil"/>
                    <w:left w:val="nil"/>
                    <w:right w:val="nil"/>
                  </w:tcBorders>
                  <w:vAlign w:val="center"/>
                </w:tcPr>
                <w:p w14:paraId="4BAD3B6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7.6</w:t>
                  </w:r>
                </w:p>
              </w:tc>
              <w:tc>
                <w:tcPr>
                  <w:tcW w:w="850" w:type="dxa"/>
                  <w:tcBorders>
                    <w:top w:val="nil"/>
                    <w:left w:val="nil"/>
                    <w:right w:val="nil"/>
                  </w:tcBorders>
                  <w:vAlign w:val="center"/>
                </w:tcPr>
                <w:p w14:paraId="4FCDDF1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7.5</w:t>
                  </w:r>
                </w:p>
              </w:tc>
              <w:tc>
                <w:tcPr>
                  <w:tcW w:w="851" w:type="dxa"/>
                  <w:tcBorders>
                    <w:top w:val="nil"/>
                    <w:left w:val="nil"/>
                    <w:right w:val="nil"/>
                  </w:tcBorders>
                  <w:vAlign w:val="center"/>
                </w:tcPr>
                <w:p w14:paraId="27F4B0C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right w:val="nil"/>
                  </w:tcBorders>
                  <w:vAlign w:val="center"/>
                </w:tcPr>
                <w:p w14:paraId="712D9A73"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right w:val="nil"/>
                  </w:tcBorders>
                  <w:vAlign w:val="center"/>
                </w:tcPr>
                <w:p w14:paraId="7D8B32C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3.5</w:t>
                  </w:r>
                </w:p>
              </w:tc>
              <w:tc>
                <w:tcPr>
                  <w:tcW w:w="1015" w:type="dxa"/>
                  <w:tcBorders>
                    <w:top w:val="nil"/>
                    <w:left w:val="nil"/>
                    <w:right w:val="nil"/>
                  </w:tcBorders>
                  <w:vAlign w:val="center"/>
                </w:tcPr>
                <w:p w14:paraId="6027BFA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2.7</w:t>
                  </w:r>
                </w:p>
              </w:tc>
              <w:tc>
                <w:tcPr>
                  <w:tcW w:w="709" w:type="dxa"/>
                  <w:tcBorders>
                    <w:top w:val="nil"/>
                    <w:left w:val="nil"/>
                    <w:right w:val="nil"/>
                  </w:tcBorders>
                  <w:vAlign w:val="center"/>
                </w:tcPr>
                <w:p w14:paraId="6FF04EE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4.0</w:t>
                  </w:r>
                </w:p>
              </w:tc>
              <w:tc>
                <w:tcPr>
                  <w:tcW w:w="850" w:type="dxa"/>
                  <w:tcBorders>
                    <w:top w:val="nil"/>
                    <w:left w:val="nil"/>
                    <w:right w:val="nil"/>
                  </w:tcBorders>
                  <w:vAlign w:val="center"/>
                </w:tcPr>
                <w:p w14:paraId="710F903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7.9</w:t>
                  </w:r>
                </w:p>
              </w:tc>
              <w:tc>
                <w:tcPr>
                  <w:tcW w:w="850" w:type="dxa"/>
                  <w:tcBorders>
                    <w:top w:val="nil"/>
                    <w:left w:val="nil"/>
                    <w:right w:val="nil"/>
                  </w:tcBorders>
                  <w:vAlign w:val="center"/>
                </w:tcPr>
                <w:p w14:paraId="7D1D677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7371FFC3" w14:textId="77777777" w:rsidTr="00722460">
              <w:tblPrEx>
                <w:tblBorders>
                  <w:left w:val="single" w:sz="4" w:space="0" w:color="auto"/>
                  <w:right w:val="single" w:sz="4" w:space="0" w:color="auto"/>
                  <w:insideV w:val="single" w:sz="4" w:space="0" w:color="auto"/>
                </w:tblBorders>
              </w:tblPrEx>
              <w:tc>
                <w:tcPr>
                  <w:tcW w:w="2269" w:type="dxa"/>
                  <w:gridSpan w:val="2"/>
                  <w:tcBorders>
                    <w:top w:val="single" w:sz="4" w:space="0" w:color="auto"/>
                    <w:left w:val="nil"/>
                    <w:bottom w:val="nil"/>
                    <w:right w:val="nil"/>
                  </w:tcBorders>
                </w:tcPr>
                <w:p w14:paraId="5BF44DA5"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Wealth quintile</w:t>
                  </w:r>
                </w:p>
              </w:tc>
              <w:tc>
                <w:tcPr>
                  <w:tcW w:w="992" w:type="dxa"/>
                  <w:gridSpan w:val="2"/>
                  <w:tcBorders>
                    <w:top w:val="single" w:sz="4" w:space="0" w:color="auto"/>
                    <w:left w:val="nil"/>
                    <w:bottom w:val="nil"/>
                    <w:right w:val="nil"/>
                  </w:tcBorders>
                  <w:vAlign w:val="center"/>
                </w:tcPr>
                <w:p w14:paraId="46539060" w14:textId="77777777" w:rsidR="00722460" w:rsidRPr="009B5064" w:rsidRDefault="00722460" w:rsidP="00722460">
                  <w:pPr>
                    <w:jc w:val="center"/>
                    <w:rPr>
                      <w:rFonts w:eastAsia="Times New Roman"/>
                      <w:sz w:val="20"/>
                      <w:shd w:val="clear" w:color="auto" w:fill="FFFFFF"/>
                    </w:rPr>
                  </w:pPr>
                </w:p>
              </w:tc>
              <w:tc>
                <w:tcPr>
                  <w:tcW w:w="992" w:type="dxa"/>
                  <w:tcBorders>
                    <w:top w:val="single" w:sz="4" w:space="0" w:color="auto"/>
                    <w:left w:val="nil"/>
                    <w:bottom w:val="nil"/>
                    <w:right w:val="nil"/>
                  </w:tcBorders>
                  <w:vAlign w:val="center"/>
                </w:tcPr>
                <w:p w14:paraId="0ED6A020"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5AC998A8"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02F2453E"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235717B1" w14:textId="77777777" w:rsidR="00722460" w:rsidRPr="009B5064" w:rsidRDefault="00722460" w:rsidP="00722460">
                  <w:pPr>
                    <w:jc w:val="center"/>
                    <w:rPr>
                      <w:rFonts w:eastAsia="Times New Roman"/>
                      <w:sz w:val="20"/>
                      <w:shd w:val="clear" w:color="auto" w:fill="FFFFFF"/>
                    </w:rPr>
                  </w:pPr>
                </w:p>
              </w:tc>
              <w:tc>
                <w:tcPr>
                  <w:tcW w:w="283" w:type="dxa"/>
                  <w:tcBorders>
                    <w:top w:val="single" w:sz="4" w:space="0" w:color="auto"/>
                    <w:left w:val="nil"/>
                    <w:bottom w:val="nil"/>
                    <w:right w:val="nil"/>
                  </w:tcBorders>
                  <w:vAlign w:val="center"/>
                </w:tcPr>
                <w:p w14:paraId="5F34B5AC" w14:textId="77777777" w:rsidR="00722460" w:rsidRPr="009B5064" w:rsidRDefault="00722460" w:rsidP="00722460">
                  <w:pPr>
                    <w:jc w:val="center"/>
                    <w:rPr>
                      <w:rFonts w:eastAsia="Times New Roman"/>
                      <w:sz w:val="20"/>
                      <w:shd w:val="clear" w:color="auto" w:fill="FFFFFF"/>
                    </w:rPr>
                  </w:pPr>
                </w:p>
              </w:tc>
              <w:tc>
                <w:tcPr>
                  <w:tcW w:w="970" w:type="dxa"/>
                  <w:tcBorders>
                    <w:top w:val="single" w:sz="4" w:space="0" w:color="auto"/>
                    <w:left w:val="nil"/>
                    <w:bottom w:val="nil"/>
                    <w:right w:val="nil"/>
                  </w:tcBorders>
                  <w:vAlign w:val="center"/>
                </w:tcPr>
                <w:p w14:paraId="042A6633" w14:textId="77777777" w:rsidR="00722460" w:rsidRPr="009B5064" w:rsidRDefault="00722460" w:rsidP="00722460">
                  <w:pPr>
                    <w:jc w:val="center"/>
                    <w:rPr>
                      <w:rFonts w:eastAsia="Times New Roman"/>
                      <w:sz w:val="20"/>
                      <w:shd w:val="clear" w:color="auto" w:fill="FFFFFF"/>
                    </w:rPr>
                  </w:pPr>
                </w:p>
              </w:tc>
              <w:tc>
                <w:tcPr>
                  <w:tcW w:w="1015" w:type="dxa"/>
                  <w:tcBorders>
                    <w:top w:val="single" w:sz="4" w:space="0" w:color="auto"/>
                    <w:left w:val="nil"/>
                    <w:bottom w:val="nil"/>
                    <w:right w:val="nil"/>
                  </w:tcBorders>
                  <w:vAlign w:val="center"/>
                </w:tcPr>
                <w:p w14:paraId="699F566A" w14:textId="77777777" w:rsidR="00722460" w:rsidRPr="009B5064" w:rsidRDefault="00722460" w:rsidP="00722460">
                  <w:pPr>
                    <w:jc w:val="center"/>
                    <w:rPr>
                      <w:rFonts w:eastAsia="Times New Roman"/>
                      <w:sz w:val="20"/>
                      <w:shd w:val="clear" w:color="auto" w:fill="FFFFFF"/>
                    </w:rPr>
                  </w:pPr>
                </w:p>
              </w:tc>
              <w:tc>
                <w:tcPr>
                  <w:tcW w:w="709" w:type="dxa"/>
                  <w:tcBorders>
                    <w:top w:val="single" w:sz="4" w:space="0" w:color="auto"/>
                    <w:left w:val="nil"/>
                    <w:bottom w:val="nil"/>
                    <w:right w:val="nil"/>
                  </w:tcBorders>
                  <w:vAlign w:val="center"/>
                </w:tcPr>
                <w:p w14:paraId="20C320F0"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78D35766"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5ECCD771" w14:textId="77777777" w:rsidR="00722460" w:rsidRPr="009B5064" w:rsidRDefault="00722460" w:rsidP="00722460">
                  <w:pPr>
                    <w:jc w:val="center"/>
                    <w:rPr>
                      <w:rFonts w:eastAsia="Times New Roman"/>
                      <w:sz w:val="20"/>
                      <w:shd w:val="clear" w:color="auto" w:fill="FFFFFF"/>
                    </w:rPr>
                  </w:pPr>
                </w:p>
              </w:tc>
            </w:tr>
            <w:tr w:rsidR="009B5064" w:rsidRPr="009B5064" w14:paraId="1D7A8019"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776DC363"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48EDAE5E" w14:textId="77777777" w:rsidR="00722460" w:rsidRPr="009B5064" w:rsidRDefault="00722460" w:rsidP="00722460">
                  <w:pPr>
                    <w:rPr>
                      <w:rFonts w:eastAsia="Times New Roman"/>
                      <w:sz w:val="20"/>
                      <w:shd w:val="clear" w:color="auto" w:fill="FFFFFF"/>
                    </w:rPr>
                  </w:pPr>
                  <w:r w:rsidRPr="009B5064">
                    <w:rPr>
                      <w:rFonts w:cs="Arial"/>
                      <w:sz w:val="20"/>
                      <w:szCs w:val="20"/>
                    </w:rPr>
                    <w:t>1 (poorest)</w:t>
                  </w:r>
                </w:p>
              </w:tc>
              <w:tc>
                <w:tcPr>
                  <w:tcW w:w="992" w:type="dxa"/>
                  <w:gridSpan w:val="2"/>
                  <w:tcBorders>
                    <w:top w:val="nil"/>
                    <w:left w:val="nil"/>
                    <w:bottom w:val="nil"/>
                    <w:right w:val="nil"/>
                  </w:tcBorders>
                  <w:vAlign w:val="center"/>
                </w:tcPr>
                <w:p w14:paraId="61471A4C"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10.9</w:t>
                  </w:r>
                </w:p>
              </w:tc>
              <w:tc>
                <w:tcPr>
                  <w:tcW w:w="992" w:type="dxa"/>
                  <w:tcBorders>
                    <w:top w:val="nil"/>
                    <w:left w:val="nil"/>
                    <w:bottom w:val="nil"/>
                    <w:right w:val="nil"/>
                  </w:tcBorders>
                  <w:vAlign w:val="center"/>
                </w:tcPr>
                <w:p w14:paraId="7FC8C0C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16.7</w:t>
                  </w:r>
                </w:p>
              </w:tc>
              <w:tc>
                <w:tcPr>
                  <w:tcW w:w="851" w:type="dxa"/>
                  <w:tcBorders>
                    <w:top w:val="nil"/>
                    <w:left w:val="nil"/>
                    <w:bottom w:val="nil"/>
                    <w:right w:val="nil"/>
                  </w:tcBorders>
                  <w:vAlign w:val="center"/>
                </w:tcPr>
                <w:p w14:paraId="5397A29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15.3</w:t>
                  </w:r>
                </w:p>
              </w:tc>
              <w:tc>
                <w:tcPr>
                  <w:tcW w:w="850" w:type="dxa"/>
                  <w:tcBorders>
                    <w:top w:val="nil"/>
                    <w:left w:val="nil"/>
                    <w:bottom w:val="nil"/>
                    <w:right w:val="nil"/>
                  </w:tcBorders>
                  <w:vAlign w:val="center"/>
                </w:tcPr>
                <w:p w14:paraId="7B44C1F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37.5</w:t>
                  </w:r>
                </w:p>
              </w:tc>
              <w:tc>
                <w:tcPr>
                  <w:tcW w:w="851" w:type="dxa"/>
                  <w:tcBorders>
                    <w:top w:val="nil"/>
                    <w:left w:val="nil"/>
                    <w:bottom w:val="nil"/>
                    <w:right w:val="nil"/>
                  </w:tcBorders>
                  <w:vAlign w:val="center"/>
                </w:tcPr>
                <w:p w14:paraId="17D2BF8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nil"/>
                    <w:left w:val="nil"/>
                    <w:bottom w:val="nil"/>
                    <w:right w:val="nil"/>
                  </w:tcBorders>
                  <w:vAlign w:val="center"/>
                </w:tcPr>
                <w:p w14:paraId="0B0B90B7"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55BB860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9.1</w:t>
                  </w:r>
                </w:p>
              </w:tc>
              <w:tc>
                <w:tcPr>
                  <w:tcW w:w="1015" w:type="dxa"/>
                  <w:tcBorders>
                    <w:top w:val="nil"/>
                    <w:left w:val="nil"/>
                    <w:bottom w:val="nil"/>
                    <w:right w:val="nil"/>
                  </w:tcBorders>
                  <w:vAlign w:val="center"/>
                </w:tcPr>
                <w:p w14:paraId="1612D58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16.8</w:t>
                  </w:r>
                </w:p>
              </w:tc>
              <w:tc>
                <w:tcPr>
                  <w:tcW w:w="709" w:type="dxa"/>
                  <w:tcBorders>
                    <w:top w:val="nil"/>
                    <w:left w:val="nil"/>
                    <w:bottom w:val="nil"/>
                    <w:right w:val="nil"/>
                  </w:tcBorders>
                  <w:vAlign w:val="center"/>
                </w:tcPr>
                <w:p w14:paraId="6B965AF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20.8</w:t>
                  </w:r>
                </w:p>
              </w:tc>
              <w:tc>
                <w:tcPr>
                  <w:tcW w:w="850" w:type="dxa"/>
                  <w:tcBorders>
                    <w:top w:val="nil"/>
                    <w:left w:val="nil"/>
                    <w:bottom w:val="nil"/>
                    <w:right w:val="nil"/>
                  </w:tcBorders>
                  <w:vAlign w:val="center"/>
                </w:tcPr>
                <w:p w14:paraId="022D3F3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35.5</w:t>
                  </w:r>
                </w:p>
              </w:tc>
              <w:tc>
                <w:tcPr>
                  <w:tcW w:w="850" w:type="dxa"/>
                  <w:tcBorders>
                    <w:top w:val="nil"/>
                    <w:left w:val="nil"/>
                    <w:bottom w:val="nil"/>
                    <w:right w:val="nil"/>
                  </w:tcBorders>
                  <w:vAlign w:val="center"/>
                </w:tcPr>
                <w:p w14:paraId="1CDE76A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0574E724"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7F90F5A0"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772C0451" w14:textId="77777777" w:rsidR="00722460" w:rsidRPr="009B5064" w:rsidRDefault="00722460" w:rsidP="00722460">
                  <w:pPr>
                    <w:rPr>
                      <w:rFonts w:eastAsia="Times New Roman"/>
                      <w:sz w:val="20"/>
                      <w:shd w:val="clear" w:color="auto" w:fill="FFFFFF"/>
                    </w:rPr>
                  </w:pPr>
                  <w:r w:rsidRPr="009B5064">
                    <w:rPr>
                      <w:rFonts w:cs="Arial"/>
                      <w:sz w:val="20"/>
                      <w:szCs w:val="20"/>
                    </w:rPr>
                    <w:t>2</w:t>
                  </w:r>
                </w:p>
              </w:tc>
              <w:tc>
                <w:tcPr>
                  <w:tcW w:w="992" w:type="dxa"/>
                  <w:gridSpan w:val="2"/>
                  <w:tcBorders>
                    <w:top w:val="nil"/>
                    <w:left w:val="nil"/>
                    <w:bottom w:val="nil"/>
                    <w:right w:val="nil"/>
                  </w:tcBorders>
                  <w:vAlign w:val="center"/>
                </w:tcPr>
                <w:p w14:paraId="6EAE87BE"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11.6</w:t>
                  </w:r>
                </w:p>
              </w:tc>
              <w:tc>
                <w:tcPr>
                  <w:tcW w:w="992" w:type="dxa"/>
                  <w:tcBorders>
                    <w:top w:val="nil"/>
                    <w:left w:val="nil"/>
                    <w:bottom w:val="nil"/>
                    <w:right w:val="nil"/>
                  </w:tcBorders>
                  <w:vAlign w:val="center"/>
                </w:tcPr>
                <w:p w14:paraId="389A68A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18.2</w:t>
                  </w:r>
                </w:p>
              </w:tc>
              <w:tc>
                <w:tcPr>
                  <w:tcW w:w="851" w:type="dxa"/>
                  <w:tcBorders>
                    <w:top w:val="nil"/>
                    <w:left w:val="nil"/>
                    <w:bottom w:val="nil"/>
                    <w:right w:val="nil"/>
                  </w:tcBorders>
                  <w:vAlign w:val="center"/>
                </w:tcPr>
                <w:p w14:paraId="16ADA66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22.7</w:t>
                  </w:r>
                </w:p>
              </w:tc>
              <w:tc>
                <w:tcPr>
                  <w:tcW w:w="850" w:type="dxa"/>
                  <w:tcBorders>
                    <w:top w:val="nil"/>
                    <w:left w:val="nil"/>
                    <w:bottom w:val="nil"/>
                    <w:right w:val="nil"/>
                  </w:tcBorders>
                  <w:vAlign w:val="center"/>
                </w:tcPr>
                <w:p w14:paraId="1ED5D88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19.1</w:t>
                  </w:r>
                </w:p>
              </w:tc>
              <w:tc>
                <w:tcPr>
                  <w:tcW w:w="851" w:type="dxa"/>
                  <w:tcBorders>
                    <w:top w:val="nil"/>
                    <w:left w:val="nil"/>
                    <w:bottom w:val="nil"/>
                    <w:right w:val="nil"/>
                  </w:tcBorders>
                  <w:vAlign w:val="center"/>
                </w:tcPr>
                <w:p w14:paraId="0CE0400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bottom w:val="nil"/>
                    <w:right w:val="nil"/>
                  </w:tcBorders>
                  <w:vAlign w:val="center"/>
                </w:tcPr>
                <w:p w14:paraId="12045077"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4A8FA08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15.8</w:t>
                  </w:r>
                </w:p>
              </w:tc>
              <w:tc>
                <w:tcPr>
                  <w:tcW w:w="1015" w:type="dxa"/>
                  <w:tcBorders>
                    <w:top w:val="nil"/>
                    <w:left w:val="nil"/>
                    <w:bottom w:val="nil"/>
                    <w:right w:val="nil"/>
                  </w:tcBorders>
                  <w:vAlign w:val="center"/>
                </w:tcPr>
                <w:p w14:paraId="030D1BF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20.4</w:t>
                  </w:r>
                </w:p>
              </w:tc>
              <w:tc>
                <w:tcPr>
                  <w:tcW w:w="709" w:type="dxa"/>
                  <w:tcBorders>
                    <w:top w:val="nil"/>
                    <w:left w:val="nil"/>
                    <w:bottom w:val="nil"/>
                    <w:right w:val="nil"/>
                  </w:tcBorders>
                  <w:vAlign w:val="center"/>
                </w:tcPr>
                <w:p w14:paraId="28F7189E"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21.1</w:t>
                  </w:r>
                </w:p>
              </w:tc>
              <w:tc>
                <w:tcPr>
                  <w:tcW w:w="850" w:type="dxa"/>
                  <w:tcBorders>
                    <w:top w:val="nil"/>
                    <w:left w:val="nil"/>
                    <w:bottom w:val="nil"/>
                    <w:right w:val="nil"/>
                  </w:tcBorders>
                  <w:vAlign w:val="center"/>
                </w:tcPr>
                <w:p w14:paraId="2A78343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24.9</w:t>
                  </w:r>
                </w:p>
              </w:tc>
              <w:tc>
                <w:tcPr>
                  <w:tcW w:w="850" w:type="dxa"/>
                  <w:tcBorders>
                    <w:top w:val="nil"/>
                    <w:left w:val="nil"/>
                    <w:bottom w:val="nil"/>
                    <w:right w:val="nil"/>
                  </w:tcBorders>
                  <w:vAlign w:val="center"/>
                </w:tcPr>
                <w:p w14:paraId="607862D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11F3401C"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70D40E6A"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1239FD82" w14:textId="77777777" w:rsidR="00722460" w:rsidRPr="009B5064" w:rsidRDefault="00722460" w:rsidP="00722460">
                  <w:pPr>
                    <w:rPr>
                      <w:rFonts w:cs="Arial"/>
                      <w:sz w:val="20"/>
                      <w:szCs w:val="20"/>
                    </w:rPr>
                  </w:pPr>
                  <w:r w:rsidRPr="009B5064">
                    <w:rPr>
                      <w:rFonts w:cs="Arial"/>
                      <w:sz w:val="20"/>
                      <w:szCs w:val="20"/>
                    </w:rPr>
                    <w:t>3</w:t>
                  </w:r>
                </w:p>
              </w:tc>
              <w:tc>
                <w:tcPr>
                  <w:tcW w:w="992" w:type="dxa"/>
                  <w:gridSpan w:val="2"/>
                  <w:tcBorders>
                    <w:top w:val="nil"/>
                    <w:left w:val="nil"/>
                    <w:bottom w:val="nil"/>
                    <w:right w:val="nil"/>
                  </w:tcBorders>
                  <w:vAlign w:val="center"/>
                </w:tcPr>
                <w:p w14:paraId="55BF279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22.3</w:t>
                  </w:r>
                </w:p>
              </w:tc>
              <w:tc>
                <w:tcPr>
                  <w:tcW w:w="992" w:type="dxa"/>
                  <w:tcBorders>
                    <w:top w:val="nil"/>
                    <w:left w:val="nil"/>
                    <w:bottom w:val="nil"/>
                    <w:right w:val="nil"/>
                  </w:tcBorders>
                  <w:vAlign w:val="center"/>
                </w:tcPr>
                <w:p w14:paraId="215E8AA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19.4</w:t>
                  </w:r>
                </w:p>
              </w:tc>
              <w:tc>
                <w:tcPr>
                  <w:tcW w:w="851" w:type="dxa"/>
                  <w:tcBorders>
                    <w:top w:val="nil"/>
                    <w:left w:val="nil"/>
                    <w:bottom w:val="nil"/>
                    <w:right w:val="nil"/>
                  </w:tcBorders>
                  <w:vAlign w:val="center"/>
                </w:tcPr>
                <w:p w14:paraId="42F9BE0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20.6</w:t>
                  </w:r>
                </w:p>
              </w:tc>
              <w:tc>
                <w:tcPr>
                  <w:tcW w:w="850" w:type="dxa"/>
                  <w:tcBorders>
                    <w:top w:val="nil"/>
                    <w:left w:val="nil"/>
                    <w:bottom w:val="nil"/>
                    <w:right w:val="nil"/>
                  </w:tcBorders>
                  <w:vAlign w:val="center"/>
                </w:tcPr>
                <w:p w14:paraId="01FBBD1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14.0</w:t>
                  </w:r>
                </w:p>
              </w:tc>
              <w:tc>
                <w:tcPr>
                  <w:tcW w:w="851" w:type="dxa"/>
                  <w:tcBorders>
                    <w:top w:val="nil"/>
                    <w:left w:val="nil"/>
                    <w:bottom w:val="nil"/>
                    <w:right w:val="nil"/>
                  </w:tcBorders>
                  <w:vAlign w:val="center"/>
                </w:tcPr>
                <w:p w14:paraId="31926EE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bottom w:val="nil"/>
                    <w:right w:val="nil"/>
                  </w:tcBorders>
                  <w:vAlign w:val="center"/>
                </w:tcPr>
                <w:p w14:paraId="59B47ED0"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7C71D09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24.4</w:t>
                  </w:r>
                </w:p>
              </w:tc>
              <w:tc>
                <w:tcPr>
                  <w:tcW w:w="1015" w:type="dxa"/>
                  <w:tcBorders>
                    <w:top w:val="nil"/>
                    <w:left w:val="nil"/>
                    <w:bottom w:val="nil"/>
                    <w:right w:val="nil"/>
                  </w:tcBorders>
                  <w:vAlign w:val="center"/>
                </w:tcPr>
                <w:p w14:paraId="355B572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22.2</w:t>
                  </w:r>
                </w:p>
              </w:tc>
              <w:tc>
                <w:tcPr>
                  <w:tcW w:w="709" w:type="dxa"/>
                  <w:tcBorders>
                    <w:top w:val="nil"/>
                    <w:left w:val="nil"/>
                    <w:bottom w:val="nil"/>
                    <w:right w:val="nil"/>
                  </w:tcBorders>
                  <w:vAlign w:val="center"/>
                </w:tcPr>
                <w:p w14:paraId="0C2BD64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19.3</w:t>
                  </w:r>
                </w:p>
              </w:tc>
              <w:tc>
                <w:tcPr>
                  <w:tcW w:w="850" w:type="dxa"/>
                  <w:tcBorders>
                    <w:top w:val="nil"/>
                    <w:left w:val="nil"/>
                    <w:bottom w:val="nil"/>
                    <w:right w:val="nil"/>
                  </w:tcBorders>
                  <w:vAlign w:val="center"/>
                </w:tcPr>
                <w:p w14:paraId="08C82A7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19.0</w:t>
                  </w:r>
                </w:p>
              </w:tc>
              <w:tc>
                <w:tcPr>
                  <w:tcW w:w="850" w:type="dxa"/>
                  <w:tcBorders>
                    <w:top w:val="nil"/>
                    <w:left w:val="nil"/>
                    <w:bottom w:val="nil"/>
                    <w:right w:val="nil"/>
                  </w:tcBorders>
                  <w:vAlign w:val="center"/>
                </w:tcPr>
                <w:p w14:paraId="0212452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6DD03A61"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3BEF3755"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632A9B75" w14:textId="77777777" w:rsidR="00722460" w:rsidRPr="009B5064" w:rsidRDefault="00722460" w:rsidP="00722460">
                  <w:pPr>
                    <w:rPr>
                      <w:rFonts w:eastAsia="Times New Roman"/>
                      <w:sz w:val="20"/>
                      <w:shd w:val="clear" w:color="auto" w:fill="FFFFFF"/>
                    </w:rPr>
                  </w:pPr>
                  <w:r w:rsidRPr="009B5064">
                    <w:rPr>
                      <w:rFonts w:cs="Arial"/>
                      <w:sz w:val="20"/>
                      <w:szCs w:val="20"/>
                    </w:rPr>
                    <w:t>4</w:t>
                  </w:r>
                </w:p>
              </w:tc>
              <w:tc>
                <w:tcPr>
                  <w:tcW w:w="992" w:type="dxa"/>
                  <w:gridSpan w:val="2"/>
                  <w:tcBorders>
                    <w:top w:val="nil"/>
                    <w:left w:val="nil"/>
                    <w:bottom w:val="nil"/>
                    <w:right w:val="nil"/>
                  </w:tcBorders>
                  <w:vAlign w:val="center"/>
                </w:tcPr>
                <w:p w14:paraId="749AC0B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26.6</w:t>
                  </w:r>
                </w:p>
              </w:tc>
              <w:tc>
                <w:tcPr>
                  <w:tcW w:w="992" w:type="dxa"/>
                  <w:tcBorders>
                    <w:top w:val="nil"/>
                    <w:left w:val="nil"/>
                    <w:bottom w:val="nil"/>
                    <w:right w:val="nil"/>
                  </w:tcBorders>
                  <w:vAlign w:val="center"/>
                </w:tcPr>
                <w:p w14:paraId="6FDF942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23.7</w:t>
                  </w:r>
                </w:p>
              </w:tc>
              <w:tc>
                <w:tcPr>
                  <w:tcW w:w="851" w:type="dxa"/>
                  <w:tcBorders>
                    <w:top w:val="nil"/>
                    <w:left w:val="nil"/>
                    <w:bottom w:val="nil"/>
                    <w:right w:val="nil"/>
                  </w:tcBorders>
                  <w:vAlign w:val="center"/>
                </w:tcPr>
                <w:p w14:paraId="6F428EA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20.5</w:t>
                  </w:r>
                </w:p>
              </w:tc>
              <w:tc>
                <w:tcPr>
                  <w:tcW w:w="850" w:type="dxa"/>
                  <w:tcBorders>
                    <w:top w:val="nil"/>
                    <w:left w:val="nil"/>
                    <w:bottom w:val="nil"/>
                    <w:right w:val="nil"/>
                  </w:tcBorders>
                  <w:vAlign w:val="center"/>
                </w:tcPr>
                <w:p w14:paraId="67668BD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14.0</w:t>
                  </w:r>
                </w:p>
              </w:tc>
              <w:tc>
                <w:tcPr>
                  <w:tcW w:w="851" w:type="dxa"/>
                  <w:tcBorders>
                    <w:top w:val="nil"/>
                    <w:left w:val="nil"/>
                    <w:bottom w:val="nil"/>
                    <w:right w:val="nil"/>
                  </w:tcBorders>
                  <w:vAlign w:val="center"/>
                </w:tcPr>
                <w:p w14:paraId="640F400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bottom w:val="nil"/>
                    <w:right w:val="nil"/>
                  </w:tcBorders>
                  <w:vAlign w:val="center"/>
                </w:tcPr>
                <w:p w14:paraId="3817F142"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098F4AF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26.4</w:t>
                  </w:r>
                </w:p>
              </w:tc>
              <w:tc>
                <w:tcPr>
                  <w:tcW w:w="1015" w:type="dxa"/>
                  <w:tcBorders>
                    <w:top w:val="nil"/>
                    <w:left w:val="nil"/>
                    <w:bottom w:val="nil"/>
                    <w:right w:val="nil"/>
                  </w:tcBorders>
                  <w:vAlign w:val="center"/>
                </w:tcPr>
                <w:p w14:paraId="593BC55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20.2</w:t>
                  </w:r>
                </w:p>
              </w:tc>
              <w:tc>
                <w:tcPr>
                  <w:tcW w:w="709" w:type="dxa"/>
                  <w:tcBorders>
                    <w:top w:val="nil"/>
                    <w:left w:val="nil"/>
                    <w:bottom w:val="nil"/>
                    <w:right w:val="nil"/>
                  </w:tcBorders>
                  <w:vAlign w:val="center"/>
                </w:tcPr>
                <w:p w14:paraId="650E6BC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20.2</w:t>
                  </w:r>
                </w:p>
              </w:tc>
              <w:tc>
                <w:tcPr>
                  <w:tcW w:w="850" w:type="dxa"/>
                  <w:tcBorders>
                    <w:top w:val="nil"/>
                    <w:left w:val="nil"/>
                    <w:bottom w:val="nil"/>
                    <w:right w:val="nil"/>
                  </w:tcBorders>
                  <w:vAlign w:val="center"/>
                </w:tcPr>
                <w:p w14:paraId="75489A1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11.3</w:t>
                  </w:r>
                </w:p>
              </w:tc>
              <w:tc>
                <w:tcPr>
                  <w:tcW w:w="850" w:type="dxa"/>
                  <w:tcBorders>
                    <w:top w:val="nil"/>
                    <w:left w:val="nil"/>
                    <w:bottom w:val="nil"/>
                    <w:right w:val="nil"/>
                  </w:tcBorders>
                  <w:vAlign w:val="center"/>
                </w:tcPr>
                <w:p w14:paraId="7D4C291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347D88C8"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tcPr>
                <w:p w14:paraId="685C86E8" w14:textId="77777777" w:rsidR="00722460" w:rsidRPr="009B5064" w:rsidRDefault="00722460" w:rsidP="00722460">
                  <w:pPr>
                    <w:rPr>
                      <w:rFonts w:eastAsia="Times New Roman"/>
                      <w:sz w:val="20"/>
                      <w:shd w:val="clear" w:color="auto" w:fill="FFFFFF"/>
                    </w:rPr>
                  </w:pPr>
                </w:p>
              </w:tc>
              <w:tc>
                <w:tcPr>
                  <w:tcW w:w="1985" w:type="dxa"/>
                  <w:tcBorders>
                    <w:top w:val="nil"/>
                    <w:left w:val="nil"/>
                    <w:bottom w:val="single" w:sz="4" w:space="0" w:color="auto"/>
                    <w:right w:val="nil"/>
                  </w:tcBorders>
                  <w:vAlign w:val="center"/>
                </w:tcPr>
                <w:p w14:paraId="40B0733C" w14:textId="77777777" w:rsidR="00722460" w:rsidRPr="009B5064" w:rsidRDefault="00722460" w:rsidP="00722460">
                  <w:pPr>
                    <w:rPr>
                      <w:rFonts w:eastAsia="Times New Roman"/>
                      <w:sz w:val="20"/>
                      <w:shd w:val="clear" w:color="auto" w:fill="FFFFFF"/>
                    </w:rPr>
                  </w:pPr>
                  <w:r w:rsidRPr="009B5064">
                    <w:rPr>
                      <w:rFonts w:cs="Arial"/>
                      <w:sz w:val="20"/>
                      <w:szCs w:val="20"/>
                    </w:rPr>
                    <w:t>5 (richest)</w:t>
                  </w:r>
                </w:p>
              </w:tc>
              <w:tc>
                <w:tcPr>
                  <w:tcW w:w="992" w:type="dxa"/>
                  <w:gridSpan w:val="2"/>
                  <w:tcBorders>
                    <w:top w:val="nil"/>
                    <w:left w:val="nil"/>
                    <w:right w:val="nil"/>
                  </w:tcBorders>
                  <w:vAlign w:val="center"/>
                </w:tcPr>
                <w:p w14:paraId="4C418F6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28.6</w:t>
                  </w:r>
                </w:p>
              </w:tc>
              <w:tc>
                <w:tcPr>
                  <w:tcW w:w="992" w:type="dxa"/>
                  <w:tcBorders>
                    <w:top w:val="nil"/>
                    <w:left w:val="nil"/>
                    <w:right w:val="nil"/>
                  </w:tcBorders>
                  <w:vAlign w:val="center"/>
                </w:tcPr>
                <w:p w14:paraId="0A281F2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21.9</w:t>
                  </w:r>
                </w:p>
              </w:tc>
              <w:tc>
                <w:tcPr>
                  <w:tcW w:w="851" w:type="dxa"/>
                  <w:tcBorders>
                    <w:top w:val="nil"/>
                    <w:left w:val="nil"/>
                    <w:right w:val="nil"/>
                  </w:tcBorders>
                  <w:vAlign w:val="center"/>
                </w:tcPr>
                <w:p w14:paraId="403F7A0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20.8</w:t>
                  </w:r>
                </w:p>
              </w:tc>
              <w:tc>
                <w:tcPr>
                  <w:tcW w:w="850" w:type="dxa"/>
                  <w:tcBorders>
                    <w:top w:val="nil"/>
                    <w:left w:val="nil"/>
                    <w:right w:val="nil"/>
                  </w:tcBorders>
                  <w:vAlign w:val="center"/>
                </w:tcPr>
                <w:p w14:paraId="5E3A139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15.4</w:t>
                  </w:r>
                </w:p>
              </w:tc>
              <w:tc>
                <w:tcPr>
                  <w:tcW w:w="851" w:type="dxa"/>
                  <w:tcBorders>
                    <w:top w:val="nil"/>
                    <w:left w:val="nil"/>
                    <w:right w:val="nil"/>
                  </w:tcBorders>
                  <w:vAlign w:val="center"/>
                </w:tcPr>
                <w:p w14:paraId="750F9ED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right w:val="nil"/>
                  </w:tcBorders>
                  <w:vAlign w:val="center"/>
                </w:tcPr>
                <w:p w14:paraId="734E77E6"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right w:val="nil"/>
                  </w:tcBorders>
                  <w:vAlign w:val="center"/>
                </w:tcPr>
                <w:p w14:paraId="245A96E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24.2</w:t>
                  </w:r>
                </w:p>
              </w:tc>
              <w:tc>
                <w:tcPr>
                  <w:tcW w:w="1015" w:type="dxa"/>
                  <w:tcBorders>
                    <w:top w:val="nil"/>
                    <w:left w:val="nil"/>
                    <w:right w:val="nil"/>
                  </w:tcBorders>
                  <w:vAlign w:val="center"/>
                </w:tcPr>
                <w:p w14:paraId="425B3E5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20.4</w:t>
                  </w:r>
                </w:p>
              </w:tc>
              <w:tc>
                <w:tcPr>
                  <w:tcW w:w="709" w:type="dxa"/>
                  <w:tcBorders>
                    <w:top w:val="nil"/>
                    <w:left w:val="nil"/>
                    <w:right w:val="nil"/>
                  </w:tcBorders>
                  <w:vAlign w:val="center"/>
                </w:tcPr>
                <w:p w14:paraId="417321B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18.6</w:t>
                  </w:r>
                </w:p>
              </w:tc>
              <w:tc>
                <w:tcPr>
                  <w:tcW w:w="850" w:type="dxa"/>
                  <w:tcBorders>
                    <w:top w:val="nil"/>
                    <w:left w:val="nil"/>
                    <w:right w:val="nil"/>
                  </w:tcBorders>
                  <w:vAlign w:val="center"/>
                </w:tcPr>
                <w:p w14:paraId="78E227D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9.4</w:t>
                  </w:r>
                </w:p>
              </w:tc>
              <w:tc>
                <w:tcPr>
                  <w:tcW w:w="850" w:type="dxa"/>
                  <w:tcBorders>
                    <w:top w:val="nil"/>
                    <w:left w:val="nil"/>
                    <w:right w:val="nil"/>
                  </w:tcBorders>
                  <w:vAlign w:val="center"/>
                </w:tcPr>
                <w:p w14:paraId="171FA80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770B0A3B" w14:textId="77777777" w:rsidTr="00722460">
              <w:tblPrEx>
                <w:tblBorders>
                  <w:left w:val="single" w:sz="4" w:space="0" w:color="auto"/>
                  <w:right w:val="single" w:sz="4" w:space="0" w:color="auto"/>
                  <w:insideV w:val="single" w:sz="4" w:space="0" w:color="auto"/>
                </w:tblBorders>
              </w:tblPrEx>
              <w:tc>
                <w:tcPr>
                  <w:tcW w:w="2269" w:type="dxa"/>
                  <w:gridSpan w:val="2"/>
                  <w:tcBorders>
                    <w:top w:val="single" w:sz="4" w:space="0" w:color="auto"/>
                    <w:left w:val="nil"/>
                    <w:bottom w:val="nil"/>
                    <w:right w:val="nil"/>
                  </w:tcBorders>
                </w:tcPr>
                <w:p w14:paraId="4EF526A4"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Current smoker</w:t>
                  </w:r>
                </w:p>
              </w:tc>
              <w:tc>
                <w:tcPr>
                  <w:tcW w:w="992" w:type="dxa"/>
                  <w:gridSpan w:val="2"/>
                  <w:tcBorders>
                    <w:top w:val="single" w:sz="4" w:space="0" w:color="auto"/>
                    <w:left w:val="nil"/>
                    <w:bottom w:val="nil"/>
                    <w:right w:val="nil"/>
                  </w:tcBorders>
                  <w:vAlign w:val="center"/>
                </w:tcPr>
                <w:p w14:paraId="2DD82E1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10.9</w:t>
                  </w:r>
                </w:p>
              </w:tc>
              <w:tc>
                <w:tcPr>
                  <w:tcW w:w="992" w:type="dxa"/>
                  <w:tcBorders>
                    <w:top w:val="single" w:sz="4" w:space="0" w:color="auto"/>
                    <w:left w:val="nil"/>
                    <w:bottom w:val="nil"/>
                    <w:right w:val="nil"/>
                  </w:tcBorders>
                  <w:vAlign w:val="center"/>
                </w:tcPr>
                <w:p w14:paraId="596CA09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12.2</w:t>
                  </w:r>
                </w:p>
              </w:tc>
              <w:tc>
                <w:tcPr>
                  <w:tcW w:w="851" w:type="dxa"/>
                  <w:tcBorders>
                    <w:top w:val="single" w:sz="4" w:space="0" w:color="auto"/>
                    <w:left w:val="nil"/>
                    <w:bottom w:val="nil"/>
                    <w:right w:val="nil"/>
                  </w:tcBorders>
                  <w:vAlign w:val="center"/>
                </w:tcPr>
                <w:p w14:paraId="3758925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15.8</w:t>
                  </w:r>
                </w:p>
              </w:tc>
              <w:tc>
                <w:tcPr>
                  <w:tcW w:w="850" w:type="dxa"/>
                  <w:tcBorders>
                    <w:top w:val="single" w:sz="4" w:space="0" w:color="auto"/>
                    <w:left w:val="nil"/>
                    <w:bottom w:val="nil"/>
                    <w:right w:val="nil"/>
                  </w:tcBorders>
                  <w:vAlign w:val="center"/>
                </w:tcPr>
                <w:p w14:paraId="5BF3389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22.2</w:t>
                  </w:r>
                </w:p>
              </w:tc>
              <w:tc>
                <w:tcPr>
                  <w:tcW w:w="851" w:type="dxa"/>
                  <w:tcBorders>
                    <w:top w:val="single" w:sz="4" w:space="0" w:color="auto"/>
                    <w:left w:val="nil"/>
                    <w:bottom w:val="nil"/>
                    <w:right w:val="nil"/>
                  </w:tcBorders>
                  <w:vAlign w:val="center"/>
                </w:tcPr>
                <w:p w14:paraId="1CCF1E6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single" w:sz="4" w:space="0" w:color="auto"/>
                    <w:left w:val="nil"/>
                    <w:bottom w:val="nil"/>
                    <w:right w:val="nil"/>
                  </w:tcBorders>
                  <w:vAlign w:val="center"/>
                </w:tcPr>
                <w:p w14:paraId="50CD05B7" w14:textId="77777777" w:rsidR="00722460" w:rsidRPr="009B5064" w:rsidRDefault="00722460" w:rsidP="00722460">
                  <w:pPr>
                    <w:jc w:val="center"/>
                    <w:rPr>
                      <w:rFonts w:eastAsia="Times New Roman"/>
                      <w:sz w:val="20"/>
                      <w:shd w:val="clear" w:color="auto" w:fill="FFFFFF"/>
                    </w:rPr>
                  </w:pPr>
                </w:p>
              </w:tc>
              <w:tc>
                <w:tcPr>
                  <w:tcW w:w="970" w:type="dxa"/>
                  <w:tcBorders>
                    <w:top w:val="single" w:sz="4" w:space="0" w:color="auto"/>
                    <w:left w:val="nil"/>
                    <w:bottom w:val="nil"/>
                    <w:right w:val="nil"/>
                  </w:tcBorders>
                  <w:vAlign w:val="center"/>
                </w:tcPr>
                <w:p w14:paraId="64612A3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13.3</w:t>
                  </w:r>
                </w:p>
              </w:tc>
              <w:tc>
                <w:tcPr>
                  <w:tcW w:w="1015" w:type="dxa"/>
                  <w:tcBorders>
                    <w:top w:val="single" w:sz="4" w:space="0" w:color="auto"/>
                    <w:left w:val="nil"/>
                    <w:bottom w:val="nil"/>
                    <w:right w:val="nil"/>
                  </w:tcBorders>
                  <w:vAlign w:val="center"/>
                </w:tcPr>
                <w:p w14:paraId="7E9CD5DE"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11.5</w:t>
                  </w:r>
                </w:p>
              </w:tc>
              <w:tc>
                <w:tcPr>
                  <w:tcW w:w="709" w:type="dxa"/>
                  <w:tcBorders>
                    <w:top w:val="single" w:sz="4" w:space="0" w:color="auto"/>
                    <w:left w:val="nil"/>
                    <w:bottom w:val="nil"/>
                    <w:right w:val="nil"/>
                  </w:tcBorders>
                  <w:vAlign w:val="center"/>
                </w:tcPr>
                <w:p w14:paraId="61C5A2B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13.2</w:t>
                  </w:r>
                </w:p>
              </w:tc>
              <w:tc>
                <w:tcPr>
                  <w:tcW w:w="850" w:type="dxa"/>
                  <w:tcBorders>
                    <w:top w:val="single" w:sz="4" w:space="0" w:color="auto"/>
                    <w:left w:val="nil"/>
                    <w:bottom w:val="nil"/>
                    <w:right w:val="nil"/>
                  </w:tcBorders>
                  <w:vAlign w:val="center"/>
                </w:tcPr>
                <w:p w14:paraId="75FFB35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18.2</w:t>
                  </w:r>
                </w:p>
              </w:tc>
              <w:tc>
                <w:tcPr>
                  <w:tcW w:w="850" w:type="dxa"/>
                  <w:tcBorders>
                    <w:top w:val="single" w:sz="4" w:space="0" w:color="auto"/>
                    <w:left w:val="nil"/>
                    <w:bottom w:val="nil"/>
                    <w:right w:val="nil"/>
                  </w:tcBorders>
                  <w:vAlign w:val="center"/>
                </w:tcPr>
                <w:p w14:paraId="6D91378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0.010</w:t>
                  </w:r>
                </w:p>
              </w:tc>
            </w:tr>
            <w:tr w:rsidR="009B5064" w:rsidRPr="009B5064" w14:paraId="090E0DDF" w14:textId="77777777" w:rsidTr="00722460">
              <w:tblPrEx>
                <w:tblBorders>
                  <w:left w:val="single" w:sz="4" w:space="0" w:color="auto"/>
                  <w:right w:val="single" w:sz="4" w:space="0" w:color="auto"/>
                  <w:insideV w:val="single" w:sz="4" w:space="0" w:color="auto"/>
                </w:tblBorders>
              </w:tblPrEx>
              <w:tc>
                <w:tcPr>
                  <w:tcW w:w="2269" w:type="dxa"/>
                  <w:gridSpan w:val="2"/>
                  <w:tcBorders>
                    <w:top w:val="single" w:sz="4" w:space="0" w:color="auto"/>
                    <w:left w:val="nil"/>
                    <w:bottom w:val="nil"/>
                    <w:right w:val="nil"/>
                  </w:tcBorders>
                </w:tcPr>
                <w:p w14:paraId="7D946673" w14:textId="77777777" w:rsidR="00722460" w:rsidRPr="009B5064" w:rsidRDefault="00722460" w:rsidP="00722460">
                  <w:pPr>
                    <w:rPr>
                      <w:rFonts w:eastAsia="Times New Roman"/>
                      <w:sz w:val="20"/>
                      <w:shd w:val="clear" w:color="auto" w:fill="FFFFFF"/>
                    </w:rPr>
                  </w:pPr>
                  <w:r w:rsidRPr="009B5064">
                    <w:rPr>
                      <w:rFonts w:cs="Arial"/>
                      <w:sz w:val="20"/>
                      <w:szCs w:val="20"/>
                    </w:rPr>
                    <w:t>Alcohol intake</w:t>
                  </w:r>
                  <w:r w:rsidRPr="009B5064">
                    <w:rPr>
                      <w:rFonts w:cstheme="minorHAnsi"/>
                      <w:sz w:val="20"/>
                      <w:szCs w:val="20"/>
                    </w:rPr>
                    <w:t>¹</w:t>
                  </w:r>
                </w:p>
              </w:tc>
              <w:tc>
                <w:tcPr>
                  <w:tcW w:w="992" w:type="dxa"/>
                  <w:gridSpan w:val="2"/>
                  <w:tcBorders>
                    <w:top w:val="single" w:sz="4" w:space="0" w:color="auto"/>
                    <w:left w:val="nil"/>
                    <w:bottom w:val="nil"/>
                    <w:right w:val="nil"/>
                  </w:tcBorders>
                  <w:vAlign w:val="center"/>
                </w:tcPr>
                <w:p w14:paraId="412B5512" w14:textId="77777777" w:rsidR="00722460" w:rsidRPr="009B5064" w:rsidRDefault="00722460" w:rsidP="00722460">
                  <w:pPr>
                    <w:jc w:val="center"/>
                    <w:rPr>
                      <w:rFonts w:eastAsia="Times New Roman"/>
                      <w:sz w:val="20"/>
                      <w:shd w:val="clear" w:color="auto" w:fill="FFFFFF"/>
                    </w:rPr>
                  </w:pPr>
                </w:p>
              </w:tc>
              <w:tc>
                <w:tcPr>
                  <w:tcW w:w="992" w:type="dxa"/>
                  <w:tcBorders>
                    <w:top w:val="single" w:sz="4" w:space="0" w:color="auto"/>
                    <w:left w:val="nil"/>
                    <w:bottom w:val="nil"/>
                    <w:right w:val="nil"/>
                  </w:tcBorders>
                  <w:vAlign w:val="center"/>
                </w:tcPr>
                <w:p w14:paraId="366B60CB"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506D09A3"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02178D68"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5C98846E" w14:textId="77777777" w:rsidR="00722460" w:rsidRPr="009B5064" w:rsidRDefault="00722460" w:rsidP="00722460">
                  <w:pPr>
                    <w:jc w:val="center"/>
                    <w:rPr>
                      <w:rFonts w:eastAsia="Times New Roman"/>
                      <w:sz w:val="20"/>
                      <w:shd w:val="clear" w:color="auto" w:fill="FFFFFF"/>
                    </w:rPr>
                  </w:pPr>
                </w:p>
              </w:tc>
              <w:tc>
                <w:tcPr>
                  <w:tcW w:w="283" w:type="dxa"/>
                  <w:tcBorders>
                    <w:top w:val="single" w:sz="4" w:space="0" w:color="auto"/>
                    <w:left w:val="nil"/>
                    <w:bottom w:val="nil"/>
                    <w:right w:val="nil"/>
                  </w:tcBorders>
                  <w:vAlign w:val="center"/>
                </w:tcPr>
                <w:p w14:paraId="621D4BE6" w14:textId="77777777" w:rsidR="00722460" w:rsidRPr="009B5064" w:rsidRDefault="00722460" w:rsidP="00722460">
                  <w:pPr>
                    <w:jc w:val="center"/>
                    <w:rPr>
                      <w:rFonts w:eastAsia="Times New Roman"/>
                      <w:sz w:val="20"/>
                      <w:shd w:val="clear" w:color="auto" w:fill="FFFFFF"/>
                    </w:rPr>
                  </w:pPr>
                </w:p>
              </w:tc>
              <w:tc>
                <w:tcPr>
                  <w:tcW w:w="970" w:type="dxa"/>
                  <w:tcBorders>
                    <w:top w:val="single" w:sz="4" w:space="0" w:color="auto"/>
                    <w:left w:val="nil"/>
                    <w:bottom w:val="nil"/>
                    <w:right w:val="nil"/>
                  </w:tcBorders>
                  <w:vAlign w:val="center"/>
                </w:tcPr>
                <w:p w14:paraId="18F5A287" w14:textId="77777777" w:rsidR="00722460" w:rsidRPr="009B5064" w:rsidRDefault="00722460" w:rsidP="00722460">
                  <w:pPr>
                    <w:jc w:val="center"/>
                    <w:rPr>
                      <w:rFonts w:eastAsia="Times New Roman"/>
                      <w:sz w:val="20"/>
                      <w:shd w:val="clear" w:color="auto" w:fill="FFFFFF"/>
                    </w:rPr>
                  </w:pPr>
                </w:p>
              </w:tc>
              <w:tc>
                <w:tcPr>
                  <w:tcW w:w="1015" w:type="dxa"/>
                  <w:tcBorders>
                    <w:top w:val="single" w:sz="4" w:space="0" w:color="auto"/>
                    <w:left w:val="nil"/>
                    <w:bottom w:val="nil"/>
                    <w:right w:val="nil"/>
                  </w:tcBorders>
                  <w:vAlign w:val="center"/>
                </w:tcPr>
                <w:p w14:paraId="2268E512" w14:textId="77777777" w:rsidR="00722460" w:rsidRPr="009B5064" w:rsidRDefault="00722460" w:rsidP="00722460">
                  <w:pPr>
                    <w:jc w:val="center"/>
                    <w:rPr>
                      <w:rFonts w:eastAsia="Times New Roman"/>
                      <w:sz w:val="20"/>
                      <w:shd w:val="clear" w:color="auto" w:fill="FFFFFF"/>
                    </w:rPr>
                  </w:pPr>
                </w:p>
              </w:tc>
              <w:tc>
                <w:tcPr>
                  <w:tcW w:w="709" w:type="dxa"/>
                  <w:tcBorders>
                    <w:top w:val="single" w:sz="4" w:space="0" w:color="auto"/>
                    <w:left w:val="nil"/>
                    <w:bottom w:val="nil"/>
                    <w:right w:val="nil"/>
                  </w:tcBorders>
                  <w:vAlign w:val="center"/>
                </w:tcPr>
                <w:p w14:paraId="2D2896B7"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092AC6A5"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49136B74" w14:textId="77777777" w:rsidR="00722460" w:rsidRPr="009B5064" w:rsidRDefault="00722460" w:rsidP="00722460">
                  <w:pPr>
                    <w:jc w:val="center"/>
                    <w:rPr>
                      <w:rFonts w:eastAsia="Times New Roman"/>
                      <w:sz w:val="20"/>
                      <w:shd w:val="clear" w:color="auto" w:fill="FFFFFF"/>
                    </w:rPr>
                  </w:pPr>
                </w:p>
              </w:tc>
            </w:tr>
            <w:tr w:rsidR="009B5064" w:rsidRPr="009B5064" w14:paraId="2F41C0D6"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7B36D77C"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01F5A816" w14:textId="77777777" w:rsidR="00722460" w:rsidRPr="009B5064" w:rsidRDefault="00722460" w:rsidP="00722460">
                  <w:pPr>
                    <w:rPr>
                      <w:rFonts w:eastAsia="Times New Roman"/>
                      <w:sz w:val="20"/>
                      <w:shd w:val="clear" w:color="auto" w:fill="FFFFFF"/>
                    </w:rPr>
                  </w:pPr>
                  <w:r w:rsidRPr="009B5064">
                    <w:rPr>
                      <w:rFonts w:cs="Arial"/>
                      <w:sz w:val="20"/>
                      <w:szCs w:val="20"/>
                    </w:rPr>
                    <w:t>Never/rarely</w:t>
                  </w:r>
                </w:p>
              </w:tc>
              <w:tc>
                <w:tcPr>
                  <w:tcW w:w="992" w:type="dxa"/>
                  <w:gridSpan w:val="2"/>
                  <w:tcBorders>
                    <w:top w:val="nil"/>
                    <w:left w:val="nil"/>
                    <w:bottom w:val="nil"/>
                    <w:right w:val="nil"/>
                  </w:tcBorders>
                  <w:vAlign w:val="center"/>
                </w:tcPr>
                <w:p w14:paraId="483E072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10.7</w:t>
                  </w:r>
                </w:p>
              </w:tc>
              <w:tc>
                <w:tcPr>
                  <w:tcW w:w="992" w:type="dxa"/>
                  <w:tcBorders>
                    <w:top w:val="nil"/>
                    <w:left w:val="nil"/>
                    <w:bottom w:val="nil"/>
                    <w:right w:val="nil"/>
                  </w:tcBorders>
                  <w:vAlign w:val="center"/>
                </w:tcPr>
                <w:p w14:paraId="0EA5D8C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13.7</w:t>
                  </w:r>
                </w:p>
              </w:tc>
              <w:tc>
                <w:tcPr>
                  <w:tcW w:w="851" w:type="dxa"/>
                  <w:tcBorders>
                    <w:top w:val="nil"/>
                    <w:left w:val="nil"/>
                    <w:bottom w:val="nil"/>
                    <w:right w:val="nil"/>
                  </w:tcBorders>
                  <w:vAlign w:val="center"/>
                </w:tcPr>
                <w:p w14:paraId="0B7A718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17.3</w:t>
                  </w:r>
                </w:p>
              </w:tc>
              <w:tc>
                <w:tcPr>
                  <w:tcW w:w="850" w:type="dxa"/>
                  <w:tcBorders>
                    <w:top w:val="nil"/>
                    <w:left w:val="nil"/>
                    <w:bottom w:val="nil"/>
                    <w:right w:val="nil"/>
                  </w:tcBorders>
                  <w:vAlign w:val="center"/>
                </w:tcPr>
                <w:p w14:paraId="7362586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25.9</w:t>
                  </w:r>
                </w:p>
              </w:tc>
              <w:tc>
                <w:tcPr>
                  <w:tcW w:w="851" w:type="dxa"/>
                  <w:tcBorders>
                    <w:top w:val="nil"/>
                    <w:left w:val="nil"/>
                    <w:bottom w:val="nil"/>
                    <w:right w:val="nil"/>
                  </w:tcBorders>
                  <w:vAlign w:val="center"/>
                </w:tcPr>
                <w:p w14:paraId="1EE74EA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nil"/>
                    <w:left w:val="nil"/>
                    <w:bottom w:val="nil"/>
                    <w:right w:val="nil"/>
                  </w:tcBorders>
                  <w:vAlign w:val="center"/>
                </w:tcPr>
                <w:p w14:paraId="2AC021E0"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27E0485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24.9</w:t>
                  </w:r>
                </w:p>
              </w:tc>
              <w:tc>
                <w:tcPr>
                  <w:tcW w:w="1015" w:type="dxa"/>
                  <w:tcBorders>
                    <w:top w:val="nil"/>
                    <w:left w:val="nil"/>
                    <w:bottom w:val="nil"/>
                    <w:right w:val="nil"/>
                  </w:tcBorders>
                  <w:vAlign w:val="center"/>
                </w:tcPr>
                <w:p w14:paraId="62452E9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24.8</w:t>
                  </w:r>
                </w:p>
              </w:tc>
              <w:tc>
                <w:tcPr>
                  <w:tcW w:w="709" w:type="dxa"/>
                  <w:tcBorders>
                    <w:top w:val="nil"/>
                    <w:left w:val="nil"/>
                    <w:bottom w:val="nil"/>
                    <w:right w:val="nil"/>
                  </w:tcBorders>
                  <w:vAlign w:val="center"/>
                </w:tcPr>
                <w:p w14:paraId="131A2F8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31.9</w:t>
                  </w:r>
                </w:p>
              </w:tc>
              <w:tc>
                <w:tcPr>
                  <w:tcW w:w="850" w:type="dxa"/>
                  <w:tcBorders>
                    <w:top w:val="nil"/>
                    <w:left w:val="nil"/>
                    <w:bottom w:val="nil"/>
                    <w:right w:val="nil"/>
                  </w:tcBorders>
                  <w:vAlign w:val="center"/>
                </w:tcPr>
                <w:p w14:paraId="6E9E167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41.1</w:t>
                  </w:r>
                </w:p>
              </w:tc>
              <w:tc>
                <w:tcPr>
                  <w:tcW w:w="850" w:type="dxa"/>
                  <w:tcBorders>
                    <w:top w:val="nil"/>
                    <w:left w:val="nil"/>
                    <w:bottom w:val="nil"/>
                    <w:right w:val="nil"/>
                  </w:tcBorders>
                  <w:vAlign w:val="center"/>
                </w:tcPr>
                <w:p w14:paraId="41D1F8C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7C7277DB"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088FA3B8"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09887262" w14:textId="77777777" w:rsidR="00722460" w:rsidRPr="009B5064" w:rsidRDefault="00722460" w:rsidP="00722460">
                  <w:pPr>
                    <w:rPr>
                      <w:rFonts w:eastAsia="Times New Roman"/>
                      <w:sz w:val="20"/>
                      <w:shd w:val="clear" w:color="auto" w:fill="FFFFFF"/>
                    </w:rPr>
                  </w:pPr>
                  <w:r w:rsidRPr="009B5064">
                    <w:rPr>
                      <w:rFonts w:cs="Arial"/>
                      <w:sz w:val="20"/>
                      <w:szCs w:val="20"/>
                    </w:rPr>
                    <w:t>Regularly</w:t>
                  </w:r>
                </w:p>
              </w:tc>
              <w:tc>
                <w:tcPr>
                  <w:tcW w:w="992" w:type="dxa"/>
                  <w:gridSpan w:val="2"/>
                  <w:tcBorders>
                    <w:top w:val="nil"/>
                    <w:left w:val="nil"/>
                    <w:bottom w:val="nil"/>
                    <w:right w:val="nil"/>
                  </w:tcBorders>
                  <w:vAlign w:val="center"/>
                </w:tcPr>
                <w:p w14:paraId="5298D75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42.9</w:t>
                  </w:r>
                </w:p>
              </w:tc>
              <w:tc>
                <w:tcPr>
                  <w:tcW w:w="992" w:type="dxa"/>
                  <w:tcBorders>
                    <w:top w:val="nil"/>
                    <w:left w:val="nil"/>
                    <w:bottom w:val="nil"/>
                    <w:right w:val="nil"/>
                  </w:tcBorders>
                  <w:vAlign w:val="center"/>
                </w:tcPr>
                <w:p w14:paraId="4C8A183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41.4</w:t>
                  </w:r>
                </w:p>
              </w:tc>
              <w:tc>
                <w:tcPr>
                  <w:tcW w:w="851" w:type="dxa"/>
                  <w:tcBorders>
                    <w:top w:val="nil"/>
                    <w:left w:val="nil"/>
                    <w:bottom w:val="nil"/>
                    <w:right w:val="nil"/>
                  </w:tcBorders>
                  <w:vAlign w:val="center"/>
                </w:tcPr>
                <w:p w14:paraId="68D0009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41.8</w:t>
                  </w:r>
                </w:p>
              </w:tc>
              <w:tc>
                <w:tcPr>
                  <w:tcW w:w="850" w:type="dxa"/>
                  <w:tcBorders>
                    <w:top w:val="nil"/>
                    <w:left w:val="nil"/>
                    <w:bottom w:val="nil"/>
                    <w:right w:val="nil"/>
                  </w:tcBorders>
                  <w:vAlign w:val="center"/>
                </w:tcPr>
                <w:p w14:paraId="0EB3C8C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43.7</w:t>
                  </w:r>
                </w:p>
              </w:tc>
              <w:tc>
                <w:tcPr>
                  <w:tcW w:w="851" w:type="dxa"/>
                  <w:tcBorders>
                    <w:top w:val="nil"/>
                    <w:left w:val="nil"/>
                    <w:bottom w:val="nil"/>
                    <w:right w:val="nil"/>
                  </w:tcBorders>
                  <w:vAlign w:val="center"/>
                </w:tcPr>
                <w:p w14:paraId="222A099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bottom w:val="nil"/>
                    <w:right w:val="nil"/>
                  </w:tcBorders>
                  <w:vAlign w:val="center"/>
                </w:tcPr>
                <w:p w14:paraId="41BE4EB4"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3CDE245C"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42.2</w:t>
                  </w:r>
                </w:p>
              </w:tc>
              <w:tc>
                <w:tcPr>
                  <w:tcW w:w="1015" w:type="dxa"/>
                  <w:tcBorders>
                    <w:top w:val="nil"/>
                    <w:left w:val="nil"/>
                    <w:bottom w:val="nil"/>
                    <w:right w:val="nil"/>
                  </w:tcBorders>
                  <w:vAlign w:val="center"/>
                </w:tcPr>
                <w:p w14:paraId="3125B68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46.1</w:t>
                  </w:r>
                </w:p>
              </w:tc>
              <w:tc>
                <w:tcPr>
                  <w:tcW w:w="709" w:type="dxa"/>
                  <w:tcBorders>
                    <w:top w:val="nil"/>
                    <w:left w:val="nil"/>
                    <w:bottom w:val="nil"/>
                    <w:right w:val="nil"/>
                  </w:tcBorders>
                  <w:vAlign w:val="center"/>
                </w:tcPr>
                <w:p w14:paraId="0ED7984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43.4</w:t>
                  </w:r>
                </w:p>
              </w:tc>
              <w:tc>
                <w:tcPr>
                  <w:tcW w:w="850" w:type="dxa"/>
                  <w:tcBorders>
                    <w:top w:val="nil"/>
                    <w:left w:val="nil"/>
                    <w:bottom w:val="nil"/>
                    <w:right w:val="nil"/>
                  </w:tcBorders>
                  <w:vAlign w:val="center"/>
                </w:tcPr>
                <w:p w14:paraId="7FFAC49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40.4</w:t>
                  </w:r>
                </w:p>
              </w:tc>
              <w:tc>
                <w:tcPr>
                  <w:tcW w:w="850" w:type="dxa"/>
                  <w:tcBorders>
                    <w:top w:val="nil"/>
                    <w:left w:val="nil"/>
                    <w:bottom w:val="nil"/>
                    <w:right w:val="nil"/>
                  </w:tcBorders>
                  <w:vAlign w:val="center"/>
                </w:tcPr>
                <w:p w14:paraId="525405E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650F9485"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tcPr>
                <w:p w14:paraId="4E6CF4B5" w14:textId="77777777" w:rsidR="00722460" w:rsidRPr="009B5064" w:rsidRDefault="00722460" w:rsidP="00722460">
                  <w:pPr>
                    <w:rPr>
                      <w:rFonts w:eastAsia="Times New Roman"/>
                      <w:sz w:val="20"/>
                      <w:shd w:val="clear" w:color="auto" w:fill="FFFFFF"/>
                    </w:rPr>
                  </w:pPr>
                </w:p>
              </w:tc>
              <w:tc>
                <w:tcPr>
                  <w:tcW w:w="1985" w:type="dxa"/>
                  <w:tcBorders>
                    <w:top w:val="nil"/>
                    <w:left w:val="nil"/>
                    <w:bottom w:val="single" w:sz="4" w:space="0" w:color="auto"/>
                    <w:right w:val="nil"/>
                  </w:tcBorders>
                  <w:vAlign w:val="center"/>
                </w:tcPr>
                <w:p w14:paraId="44F4B02D" w14:textId="77777777" w:rsidR="00722460" w:rsidRPr="009B5064" w:rsidRDefault="00722460" w:rsidP="00722460">
                  <w:pPr>
                    <w:rPr>
                      <w:rFonts w:eastAsia="Times New Roman"/>
                      <w:sz w:val="20"/>
                      <w:shd w:val="clear" w:color="auto" w:fill="FFFFFF"/>
                    </w:rPr>
                  </w:pPr>
                  <w:r w:rsidRPr="009B5064">
                    <w:rPr>
                      <w:rFonts w:cs="Arial"/>
                      <w:sz w:val="20"/>
                      <w:szCs w:val="20"/>
                    </w:rPr>
                    <w:t>Frequently</w:t>
                  </w:r>
                </w:p>
              </w:tc>
              <w:tc>
                <w:tcPr>
                  <w:tcW w:w="992" w:type="dxa"/>
                  <w:gridSpan w:val="2"/>
                  <w:tcBorders>
                    <w:top w:val="nil"/>
                    <w:left w:val="nil"/>
                    <w:right w:val="nil"/>
                  </w:tcBorders>
                  <w:vAlign w:val="center"/>
                </w:tcPr>
                <w:p w14:paraId="7A1781D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46.4</w:t>
                  </w:r>
                </w:p>
              </w:tc>
              <w:tc>
                <w:tcPr>
                  <w:tcW w:w="992" w:type="dxa"/>
                  <w:tcBorders>
                    <w:top w:val="nil"/>
                    <w:left w:val="nil"/>
                    <w:right w:val="nil"/>
                  </w:tcBorders>
                  <w:vAlign w:val="center"/>
                </w:tcPr>
                <w:p w14:paraId="72DC161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44.9</w:t>
                  </w:r>
                </w:p>
              </w:tc>
              <w:tc>
                <w:tcPr>
                  <w:tcW w:w="851" w:type="dxa"/>
                  <w:tcBorders>
                    <w:top w:val="nil"/>
                    <w:left w:val="nil"/>
                    <w:right w:val="nil"/>
                  </w:tcBorders>
                  <w:vAlign w:val="center"/>
                </w:tcPr>
                <w:p w14:paraId="0048C1E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40.9</w:t>
                  </w:r>
                </w:p>
              </w:tc>
              <w:tc>
                <w:tcPr>
                  <w:tcW w:w="850" w:type="dxa"/>
                  <w:tcBorders>
                    <w:top w:val="nil"/>
                    <w:left w:val="nil"/>
                    <w:right w:val="nil"/>
                  </w:tcBorders>
                  <w:vAlign w:val="center"/>
                </w:tcPr>
                <w:p w14:paraId="0244A34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30.4</w:t>
                  </w:r>
                </w:p>
              </w:tc>
              <w:tc>
                <w:tcPr>
                  <w:tcW w:w="851" w:type="dxa"/>
                  <w:tcBorders>
                    <w:top w:val="nil"/>
                    <w:left w:val="nil"/>
                    <w:right w:val="nil"/>
                  </w:tcBorders>
                  <w:vAlign w:val="center"/>
                </w:tcPr>
                <w:p w14:paraId="1E37954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right w:val="nil"/>
                  </w:tcBorders>
                  <w:vAlign w:val="center"/>
                </w:tcPr>
                <w:p w14:paraId="5566DADD"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right w:val="nil"/>
                  </w:tcBorders>
                  <w:vAlign w:val="center"/>
                </w:tcPr>
                <w:p w14:paraId="65E7239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32.8</w:t>
                  </w:r>
                </w:p>
              </w:tc>
              <w:tc>
                <w:tcPr>
                  <w:tcW w:w="1015" w:type="dxa"/>
                  <w:tcBorders>
                    <w:top w:val="nil"/>
                    <w:left w:val="nil"/>
                    <w:right w:val="nil"/>
                  </w:tcBorders>
                  <w:vAlign w:val="center"/>
                </w:tcPr>
                <w:p w14:paraId="6F4C5A9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29.1</w:t>
                  </w:r>
                </w:p>
              </w:tc>
              <w:tc>
                <w:tcPr>
                  <w:tcW w:w="709" w:type="dxa"/>
                  <w:tcBorders>
                    <w:top w:val="nil"/>
                    <w:left w:val="nil"/>
                    <w:right w:val="nil"/>
                  </w:tcBorders>
                  <w:vAlign w:val="center"/>
                </w:tcPr>
                <w:p w14:paraId="5F3B9EA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24.7</w:t>
                  </w:r>
                </w:p>
              </w:tc>
              <w:tc>
                <w:tcPr>
                  <w:tcW w:w="850" w:type="dxa"/>
                  <w:tcBorders>
                    <w:top w:val="nil"/>
                    <w:left w:val="nil"/>
                    <w:right w:val="nil"/>
                  </w:tcBorders>
                  <w:vAlign w:val="center"/>
                </w:tcPr>
                <w:p w14:paraId="0D416F9E"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18.5</w:t>
                  </w:r>
                </w:p>
              </w:tc>
              <w:tc>
                <w:tcPr>
                  <w:tcW w:w="850" w:type="dxa"/>
                  <w:tcBorders>
                    <w:top w:val="nil"/>
                    <w:left w:val="nil"/>
                    <w:right w:val="nil"/>
                  </w:tcBorders>
                  <w:vAlign w:val="center"/>
                </w:tcPr>
                <w:p w14:paraId="2263ADC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4A2030A7" w14:textId="77777777" w:rsidTr="00722460">
              <w:tblPrEx>
                <w:tblBorders>
                  <w:left w:val="single" w:sz="4" w:space="0" w:color="auto"/>
                  <w:right w:val="single" w:sz="4" w:space="0" w:color="auto"/>
                  <w:insideV w:val="single" w:sz="4" w:space="0" w:color="auto"/>
                </w:tblBorders>
              </w:tblPrEx>
              <w:tc>
                <w:tcPr>
                  <w:tcW w:w="2269" w:type="dxa"/>
                  <w:gridSpan w:val="2"/>
                  <w:tcBorders>
                    <w:top w:val="single" w:sz="4" w:space="0" w:color="auto"/>
                    <w:left w:val="nil"/>
                    <w:bottom w:val="nil"/>
                    <w:right w:val="nil"/>
                  </w:tcBorders>
                </w:tcPr>
                <w:p w14:paraId="21C1A69B" w14:textId="77777777" w:rsidR="00722460" w:rsidRPr="009B5064" w:rsidRDefault="00722460" w:rsidP="00722460">
                  <w:pPr>
                    <w:rPr>
                      <w:rFonts w:eastAsia="Times New Roman"/>
                      <w:sz w:val="20"/>
                      <w:shd w:val="clear" w:color="auto" w:fill="FFFFFF"/>
                    </w:rPr>
                  </w:pPr>
                  <w:r w:rsidRPr="009B5064">
                    <w:rPr>
                      <w:rFonts w:cs="Arial"/>
                      <w:sz w:val="20"/>
                      <w:szCs w:val="20"/>
                    </w:rPr>
                    <w:t>Physical activity</w:t>
                  </w:r>
                </w:p>
              </w:tc>
              <w:tc>
                <w:tcPr>
                  <w:tcW w:w="992" w:type="dxa"/>
                  <w:gridSpan w:val="2"/>
                  <w:tcBorders>
                    <w:top w:val="single" w:sz="4" w:space="0" w:color="auto"/>
                    <w:left w:val="nil"/>
                    <w:bottom w:val="nil"/>
                    <w:right w:val="nil"/>
                  </w:tcBorders>
                  <w:vAlign w:val="center"/>
                </w:tcPr>
                <w:p w14:paraId="1D215E8E" w14:textId="77777777" w:rsidR="00722460" w:rsidRPr="009B5064" w:rsidRDefault="00722460" w:rsidP="00722460">
                  <w:pPr>
                    <w:jc w:val="center"/>
                    <w:rPr>
                      <w:rFonts w:eastAsia="Times New Roman"/>
                      <w:sz w:val="20"/>
                      <w:shd w:val="clear" w:color="auto" w:fill="FFFFFF"/>
                    </w:rPr>
                  </w:pPr>
                </w:p>
              </w:tc>
              <w:tc>
                <w:tcPr>
                  <w:tcW w:w="992" w:type="dxa"/>
                  <w:tcBorders>
                    <w:top w:val="single" w:sz="4" w:space="0" w:color="auto"/>
                    <w:left w:val="nil"/>
                    <w:bottom w:val="nil"/>
                    <w:right w:val="nil"/>
                  </w:tcBorders>
                  <w:vAlign w:val="center"/>
                </w:tcPr>
                <w:p w14:paraId="243523B0"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25A6CFF6"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0B84CC9D"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00AA5803" w14:textId="77777777" w:rsidR="00722460" w:rsidRPr="009B5064" w:rsidRDefault="00722460" w:rsidP="00722460">
                  <w:pPr>
                    <w:jc w:val="center"/>
                    <w:rPr>
                      <w:rFonts w:eastAsia="Times New Roman"/>
                      <w:sz w:val="20"/>
                      <w:shd w:val="clear" w:color="auto" w:fill="FFFFFF"/>
                    </w:rPr>
                  </w:pPr>
                </w:p>
              </w:tc>
              <w:tc>
                <w:tcPr>
                  <w:tcW w:w="283" w:type="dxa"/>
                  <w:tcBorders>
                    <w:top w:val="single" w:sz="4" w:space="0" w:color="auto"/>
                    <w:left w:val="nil"/>
                    <w:bottom w:val="nil"/>
                    <w:right w:val="nil"/>
                  </w:tcBorders>
                  <w:vAlign w:val="center"/>
                </w:tcPr>
                <w:p w14:paraId="21FF2EAD" w14:textId="77777777" w:rsidR="00722460" w:rsidRPr="009B5064" w:rsidRDefault="00722460" w:rsidP="00722460">
                  <w:pPr>
                    <w:jc w:val="center"/>
                    <w:rPr>
                      <w:rFonts w:eastAsia="Times New Roman"/>
                      <w:sz w:val="20"/>
                      <w:shd w:val="clear" w:color="auto" w:fill="FFFFFF"/>
                    </w:rPr>
                  </w:pPr>
                </w:p>
              </w:tc>
              <w:tc>
                <w:tcPr>
                  <w:tcW w:w="970" w:type="dxa"/>
                  <w:tcBorders>
                    <w:top w:val="single" w:sz="4" w:space="0" w:color="auto"/>
                    <w:left w:val="nil"/>
                    <w:bottom w:val="nil"/>
                    <w:right w:val="nil"/>
                  </w:tcBorders>
                  <w:vAlign w:val="center"/>
                </w:tcPr>
                <w:p w14:paraId="55AE768B" w14:textId="77777777" w:rsidR="00722460" w:rsidRPr="009B5064" w:rsidRDefault="00722460" w:rsidP="00722460">
                  <w:pPr>
                    <w:jc w:val="center"/>
                    <w:rPr>
                      <w:rFonts w:eastAsia="Times New Roman"/>
                      <w:sz w:val="20"/>
                      <w:shd w:val="clear" w:color="auto" w:fill="FFFFFF"/>
                    </w:rPr>
                  </w:pPr>
                </w:p>
              </w:tc>
              <w:tc>
                <w:tcPr>
                  <w:tcW w:w="1015" w:type="dxa"/>
                  <w:tcBorders>
                    <w:top w:val="single" w:sz="4" w:space="0" w:color="auto"/>
                    <w:left w:val="nil"/>
                    <w:bottom w:val="nil"/>
                    <w:right w:val="nil"/>
                  </w:tcBorders>
                  <w:vAlign w:val="center"/>
                </w:tcPr>
                <w:p w14:paraId="210693B8" w14:textId="77777777" w:rsidR="00722460" w:rsidRPr="009B5064" w:rsidRDefault="00722460" w:rsidP="00722460">
                  <w:pPr>
                    <w:jc w:val="center"/>
                    <w:rPr>
                      <w:rFonts w:eastAsia="Times New Roman"/>
                      <w:sz w:val="20"/>
                      <w:shd w:val="clear" w:color="auto" w:fill="FFFFFF"/>
                    </w:rPr>
                  </w:pPr>
                </w:p>
              </w:tc>
              <w:tc>
                <w:tcPr>
                  <w:tcW w:w="709" w:type="dxa"/>
                  <w:tcBorders>
                    <w:top w:val="single" w:sz="4" w:space="0" w:color="auto"/>
                    <w:left w:val="nil"/>
                    <w:bottom w:val="nil"/>
                    <w:right w:val="nil"/>
                  </w:tcBorders>
                  <w:vAlign w:val="center"/>
                </w:tcPr>
                <w:p w14:paraId="145DB424"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69D488B1"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198CD04F" w14:textId="77777777" w:rsidR="00722460" w:rsidRPr="009B5064" w:rsidRDefault="00722460" w:rsidP="00722460">
                  <w:pPr>
                    <w:jc w:val="center"/>
                    <w:rPr>
                      <w:rFonts w:eastAsia="Times New Roman"/>
                      <w:sz w:val="20"/>
                      <w:shd w:val="clear" w:color="auto" w:fill="FFFFFF"/>
                    </w:rPr>
                  </w:pPr>
                </w:p>
              </w:tc>
            </w:tr>
            <w:tr w:rsidR="009B5064" w:rsidRPr="009B5064" w14:paraId="2C2A30BC"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4FF75B39"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5F736A67" w14:textId="77777777" w:rsidR="00722460" w:rsidRPr="009B5064" w:rsidRDefault="00722460" w:rsidP="00722460">
                  <w:pPr>
                    <w:rPr>
                      <w:rFonts w:eastAsia="Times New Roman"/>
                      <w:sz w:val="20"/>
                      <w:shd w:val="clear" w:color="auto" w:fill="FFFFFF"/>
                    </w:rPr>
                  </w:pPr>
                  <w:r w:rsidRPr="009B5064">
                    <w:rPr>
                      <w:rFonts w:cs="Arial"/>
                      <w:sz w:val="20"/>
                    </w:rPr>
                    <w:t>Inactive</w:t>
                  </w:r>
                </w:p>
              </w:tc>
              <w:tc>
                <w:tcPr>
                  <w:tcW w:w="992" w:type="dxa"/>
                  <w:gridSpan w:val="2"/>
                  <w:tcBorders>
                    <w:top w:val="nil"/>
                    <w:left w:val="nil"/>
                    <w:bottom w:val="nil"/>
                    <w:right w:val="nil"/>
                  </w:tcBorders>
                  <w:vAlign w:val="center"/>
                </w:tcPr>
                <w:p w14:paraId="69C5E34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11.4</w:t>
                  </w:r>
                </w:p>
              </w:tc>
              <w:tc>
                <w:tcPr>
                  <w:tcW w:w="992" w:type="dxa"/>
                  <w:tcBorders>
                    <w:top w:val="nil"/>
                    <w:left w:val="nil"/>
                    <w:bottom w:val="nil"/>
                    <w:right w:val="nil"/>
                  </w:tcBorders>
                  <w:vAlign w:val="center"/>
                </w:tcPr>
                <w:p w14:paraId="67AE2B2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15.0</w:t>
                  </w:r>
                </w:p>
              </w:tc>
              <w:tc>
                <w:tcPr>
                  <w:tcW w:w="851" w:type="dxa"/>
                  <w:tcBorders>
                    <w:top w:val="nil"/>
                    <w:left w:val="nil"/>
                    <w:bottom w:val="nil"/>
                    <w:right w:val="nil"/>
                  </w:tcBorders>
                  <w:vAlign w:val="center"/>
                </w:tcPr>
                <w:p w14:paraId="1FB9A49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21.5</w:t>
                  </w:r>
                </w:p>
              </w:tc>
              <w:tc>
                <w:tcPr>
                  <w:tcW w:w="850" w:type="dxa"/>
                  <w:tcBorders>
                    <w:top w:val="nil"/>
                    <w:left w:val="nil"/>
                    <w:bottom w:val="nil"/>
                    <w:right w:val="nil"/>
                  </w:tcBorders>
                  <w:vAlign w:val="center"/>
                </w:tcPr>
                <w:p w14:paraId="2FEC54F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41.6</w:t>
                  </w:r>
                </w:p>
              </w:tc>
              <w:tc>
                <w:tcPr>
                  <w:tcW w:w="851" w:type="dxa"/>
                  <w:tcBorders>
                    <w:top w:val="nil"/>
                    <w:left w:val="nil"/>
                    <w:bottom w:val="nil"/>
                    <w:right w:val="nil"/>
                  </w:tcBorders>
                  <w:vAlign w:val="center"/>
                </w:tcPr>
                <w:p w14:paraId="1884DB0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nil"/>
                    <w:left w:val="nil"/>
                    <w:bottom w:val="nil"/>
                    <w:right w:val="nil"/>
                  </w:tcBorders>
                  <w:vAlign w:val="center"/>
                </w:tcPr>
                <w:p w14:paraId="3BD37E13"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3B98734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14.8</w:t>
                  </w:r>
                </w:p>
              </w:tc>
              <w:tc>
                <w:tcPr>
                  <w:tcW w:w="1015" w:type="dxa"/>
                  <w:tcBorders>
                    <w:top w:val="nil"/>
                    <w:left w:val="nil"/>
                    <w:bottom w:val="nil"/>
                    <w:right w:val="nil"/>
                  </w:tcBorders>
                  <w:vAlign w:val="center"/>
                </w:tcPr>
                <w:p w14:paraId="628B0C2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21.5</w:t>
                  </w:r>
                </w:p>
              </w:tc>
              <w:tc>
                <w:tcPr>
                  <w:tcW w:w="709" w:type="dxa"/>
                  <w:tcBorders>
                    <w:top w:val="nil"/>
                    <w:left w:val="nil"/>
                    <w:bottom w:val="nil"/>
                    <w:right w:val="nil"/>
                  </w:tcBorders>
                  <w:vAlign w:val="center"/>
                </w:tcPr>
                <w:p w14:paraId="0B5D6E0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24.7</w:t>
                  </w:r>
                </w:p>
              </w:tc>
              <w:tc>
                <w:tcPr>
                  <w:tcW w:w="850" w:type="dxa"/>
                  <w:tcBorders>
                    <w:top w:val="nil"/>
                    <w:left w:val="nil"/>
                    <w:bottom w:val="nil"/>
                    <w:right w:val="nil"/>
                  </w:tcBorders>
                  <w:vAlign w:val="center"/>
                </w:tcPr>
                <w:p w14:paraId="1A53288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47.4</w:t>
                  </w:r>
                </w:p>
              </w:tc>
              <w:tc>
                <w:tcPr>
                  <w:tcW w:w="850" w:type="dxa"/>
                  <w:tcBorders>
                    <w:top w:val="nil"/>
                    <w:left w:val="nil"/>
                    <w:bottom w:val="nil"/>
                    <w:right w:val="nil"/>
                  </w:tcBorders>
                  <w:vAlign w:val="center"/>
                </w:tcPr>
                <w:p w14:paraId="0345E9E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2AA312E3"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699C6786"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303C7E9C" w14:textId="77777777" w:rsidR="00722460" w:rsidRPr="009B5064" w:rsidRDefault="00722460" w:rsidP="00722460">
                  <w:pPr>
                    <w:rPr>
                      <w:rFonts w:eastAsia="Times New Roman"/>
                      <w:sz w:val="20"/>
                      <w:shd w:val="clear" w:color="auto" w:fill="FFFFFF"/>
                    </w:rPr>
                  </w:pPr>
                  <w:r w:rsidRPr="009B5064">
                    <w:rPr>
                      <w:rFonts w:cs="Arial"/>
                      <w:sz w:val="20"/>
                    </w:rPr>
                    <w:t>Moderate at least once a week</w:t>
                  </w:r>
                </w:p>
              </w:tc>
              <w:tc>
                <w:tcPr>
                  <w:tcW w:w="992" w:type="dxa"/>
                  <w:gridSpan w:val="2"/>
                  <w:tcBorders>
                    <w:top w:val="nil"/>
                    <w:left w:val="nil"/>
                    <w:bottom w:val="nil"/>
                    <w:right w:val="nil"/>
                  </w:tcBorders>
                  <w:vAlign w:val="center"/>
                </w:tcPr>
                <w:p w14:paraId="1BD1F4F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39.6</w:t>
                  </w:r>
                </w:p>
              </w:tc>
              <w:tc>
                <w:tcPr>
                  <w:tcW w:w="992" w:type="dxa"/>
                  <w:tcBorders>
                    <w:top w:val="nil"/>
                    <w:left w:val="nil"/>
                    <w:bottom w:val="nil"/>
                    <w:right w:val="nil"/>
                  </w:tcBorders>
                  <w:vAlign w:val="center"/>
                </w:tcPr>
                <w:p w14:paraId="60AFC72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44.8</w:t>
                  </w:r>
                </w:p>
              </w:tc>
              <w:tc>
                <w:tcPr>
                  <w:tcW w:w="851" w:type="dxa"/>
                  <w:tcBorders>
                    <w:top w:val="nil"/>
                    <w:left w:val="nil"/>
                    <w:bottom w:val="nil"/>
                    <w:right w:val="nil"/>
                  </w:tcBorders>
                  <w:vAlign w:val="center"/>
                </w:tcPr>
                <w:p w14:paraId="5278F79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44.8</w:t>
                  </w:r>
                </w:p>
              </w:tc>
              <w:tc>
                <w:tcPr>
                  <w:tcW w:w="850" w:type="dxa"/>
                  <w:tcBorders>
                    <w:top w:val="nil"/>
                    <w:left w:val="nil"/>
                    <w:bottom w:val="nil"/>
                    <w:right w:val="nil"/>
                  </w:tcBorders>
                  <w:vAlign w:val="center"/>
                </w:tcPr>
                <w:p w14:paraId="05BE56F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39.9</w:t>
                  </w:r>
                </w:p>
              </w:tc>
              <w:tc>
                <w:tcPr>
                  <w:tcW w:w="851" w:type="dxa"/>
                  <w:tcBorders>
                    <w:top w:val="nil"/>
                    <w:left w:val="nil"/>
                    <w:bottom w:val="nil"/>
                    <w:right w:val="nil"/>
                  </w:tcBorders>
                  <w:vAlign w:val="center"/>
                </w:tcPr>
                <w:p w14:paraId="7219DFD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bottom w:val="nil"/>
                    <w:right w:val="nil"/>
                  </w:tcBorders>
                  <w:vAlign w:val="center"/>
                </w:tcPr>
                <w:p w14:paraId="65AC62B0"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2152ED4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43.2</w:t>
                  </w:r>
                </w:p>
              </w:tc>
              <w:tc>
                <w:tcPr>
                  <w:tcW w:w="1015" w:type="dxa"/>
                  <w:tcBorders>
                    <w:top w:val="nil"/>
                    <w:left w:val="nil"/>
                    <w:bottom w:val="nil"/>
                    <w:right w:val="nil"/>
                  </w:tcBorders>
                  <w:vAlign w:val="center"/>
                </w:tcPr>
                <w:p w14:paraId="05649EF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50.4</w:t>
                  </w:r>
                </w:p>
              </w:tc>
              <w:tc>
                <w:tcPr>
                  <w:tcW w:w="709" w:type="dxa"/>
                  <w:tcBorders>
                    <w:top w:val="nil"/>
                    <w:left w:val="nil"/>
                    <w:bottom w:val="nil"/>
                    <w:right w:val="nil"/>
                  </w:tcBorders>
                  <w:vAlign w:val="center"/>
                </w:tcPr>
                <w:p w14:paraId="003461F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50.4</w:t>
                  </w:r>
                </w:p>
              </w:tc>
              <w:tc>
                <w:tcPr>
                  <w:tcW w:w="850" w:type="dxa"/>
                  <w:tcBorders>
                    <w:top w:val="nil"/>
                    <w:left w:val="nil"/>
                    <w:bottom w:val="nil"/>
                    <w:right w:val="nil"/>
                  </w:tcBorders>
                  <w:vAlign w:val="center"/>
                </w:tcPr>
                <w:p w14:paraId="749E5B6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41.0</w:t>
                  </w:r>
                </w:p>
              </w:tc>
              <w:tc>
                <w:tcPr>
                  <w:tcW w:w="850" w:type="dxa"/>
                  <w:tcBorders>
                    <w:top w:val="nil"/>
                    <w:left w:val="nil"/>
                    <w:bottom w:val="nil"/>
                    <w:right w:val="nil"/>
                  </w:tcBorders>
                  <w:vAlign w:val="center"/>
                </w:tcPr>
                <w:p w14:paraId="7A264E9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5016825D"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tcPr>
                <w:p w14:paraId="4D18624F" w14:textId="77777777" w:rsidR="00722460" w:rsidRPr="009B5064" w:rsidRDefault="00722460" w:rsidP="00722460">
                  <w:pPr>
                    <w:rPr>
                      <w:rFonts w:eastAsia="Times New Roman"/>
                      <w:sz w:val="20"/>
                      <w:shd w:val="clear" w:color="auto" w:fill="FFFFFF"/>
                    </w:rPr>
                  </w:pPr>
                </w:p>
              </w:tc>
              <w:tc>
                <w:tcPr>
                  <w:tcW w:w="1985" w:type="dxa"/>
                  <w:tcBorders>
                    <w:top w:val="nil"/>
                    <w:left w:val="nil"/>
                    <w:bottom w:val="single" w:sz="4" w:space="0" w:color="auto"/>
                    <w:right w:val="nil"/>
                  </w:tcBorders>
                  <w:vAlign w:val="center"/>
                </w:tcPr>
                <w:p w14:paraId="3B80545B" w14:textId="77777777" w:rsidR="00722460" w:rsidRPr="009B5064" w:rsidRDefault="00722460" w:rsidP="00722460">
                  <w:pPr>
                    <w:rPr>
                      <w:rFonts w:eastAsia="Times New Roman"/>
                      <w:sz w:val="20"/>
                      <w:shd w:val="clear" w:color="auto" w:fill="FFFFFF"/>
                    </w:rPr>
                  </w:pPr>
                  <w:r w:rsidRPr="009B5064">
                    <w:rPr>
                      <w:rFonts w:cs="Arial"/>
                      <w:sz w:val="20"/>
                    </w:rPr>
                    <w:t>Vigorous at least once a week</w:t>
                  </w:r>
                </w:p>
              </w:tc>
              <w:tc>
                <w:tcPr>
                  <w:tcW w:w="992" w:type="dxa"/>
                  <w:gridSpan w:val="2"/>
                  <w:tcBorders>
                    <w:top w:val="nil"/>
                    <w:left w:val="nil"/>
                    <w:right w:val="nil"/>
                  </w:tcBorders>
                  <w:vAlign w:val="center"/>
                </w:tcPr>
                <w:p w14:paraId="4530F0D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49.0</w:t>
                  </w:r>
                </w:p>
              </w:tc>
              <w:tc>
                <w:tcPr>
                  <w:tcW w:w="992" w:type="dxa"/>
                  <w:tcBorders>
                    <w:top w:val="nil"/>
                    <w:left w:val="nil"/>
                    <w:right w:val="nil"/>
                  </w:tcBorders>
                  <w:vAlign w:val="center"/>
                </w:tcPr>
                <w:p w14:paraId="019524E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40.2</w:t>
                  </w:r>
                </w:p>
              </w:tc>
              <w:tc>
                <w:tcPr>
                  <w:tcW w:w="851" w:type="dxa"/>
                  <w:tcBorders>
                    <w:top w:val="nil"/>
                    <w:left w:val="nil"/>
                    <w:right w:val="nil"/>
                  </w:tcBorders>
                  <w:vAlign w:val="center"/>
                </w:tcPr>
                <w:p w14:paraId="51B58AD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33.7</w:t>
                  </w:r>
                </w:p>
              </w:tc>
              <w:tc>
                <w:tcPr>
                  <w:tcW w:w="850" w:type="dxa"/>
                  <w:tcBorders>
                    <w:top w:val="nil"/>
                    <w:left w:val="nil"/>
                    <w:right w:val="nil"/>
                  </w:tcBorders>
                  <w:vAlign w:val="center"/>
                </w:tcPr>
                <w:p w14:paraId="3C9CE4B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18.4</w:t>
                  </w:r>
                </w:p>
              </w:tc>
              <w:tc>
                <w:tcPr>
                  <w:tcW w:w="851" w:type="dxa"/>
                  <w:tcBorders>
                    <w:top w:val="nil"/>
                    <w:left w:val="nil"/>
                    <w:right w:val="nil"/>
                  </w:tcBorders>
                  <w:vAlign w:val="center"/>
                </w:tcPr>
                <w:p w14:paraId="69FE96F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right w:val="nil"/>
                  </w:tcBorders>
                  <w:vAlign w:val="center"/>
                </w:tcPr>
                <w:p w14:paraId="66F2902B"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right w:val="nil"/>
                  </w:tcBorders>
                  <w:vAlign w:val="center"/>
                </w:tcPr>
                <w:p w14:paraId="0291A6EE"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42.0</w:t>
                  </w:r>
                </w:p>
              </w:tc>
              <w:tc>
                <w:tcPr>
                  <w:tcW w:w="1015" w:type="dxa"/>
                  <w:tcBorders>
                    <w:top w:val="nil"/>
                    <w:left w:val="nil"/>
                    <w:right w:val="nil"/>
                  </w:tcBorders>
                  <w:vAlign w:val="center"/>
                </w:tcPr>
                <w:p w14:paraId="28BD9BC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28.1</w:t>
                  </w:r>
                </w:p>
              </w:tc>
              <w:tc>
                <w:tcPr>
                  <w:tcW w:w="709" w:type="dxa"/>
                  <w:tcBorders>
                    <w:top w:val="nil"/>
                    <w:left w:val="nil"/>
                    <w:right w:val="nil"/>
                  </w:tcBorders>
                  <w:vAlign w:val="center"/>
                </w:tcPr>
                <w:p w14:paraId="0D0D03C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24.9</w:t>
                  </w:r>
                </w:p>
              </w:tc>
              <w:tc>
                <w:tcPr>
                  <w:tcW w:w="850" w:type="dxa"/>
                  <w:tcBorders>
                    <w:top w:val="nil"/>
                    <w:left w:val="nil"/>
                    <w:right w:val="nil"/>
                  </w:tcBorders>
                  <w:vAlign w:val="center"/>
                </w:tcPr>
                <w:p w14:paraId="47577AEE"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11.6</w:t>
                  </w:r>
                </w:p>
              </w:tc>
              <w:tc>
                <w:tcPr>
                  <w:tcW w:w="850" w:type="dxa"/>
                  <w:tcBorders>
                    <w:top w:val="nil"/>
                    <w:left w:val="nil"/>
                    <w:right w:val="nil"/>
                  </w:tcBorders>
                  <w:vAlign w:val="center"/>
                </w:tcPr>
                <w:p w14:paraId="0213E3C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45E4B06C" w14:textId="77777777" w:rsidTr="00722460">
              <w:tblPrEx>
                <w:tblBorders>
                  <w:left w:val="single" w:sz="4" w:space="0" w:color="auto"/>
                  <w:right w:val="single" w:sz="4" w:space="0" w:color="auto"/>
                  <w:insideV w:val="single" w:sz="4" w:space="0" w:color="auto"/>
                </w:tblBorders>
              </w:tblPrEx>
              <w:tc>
                <w:tcPr>
                  <w:tcW w:w="2269" w:type="dxa"/>
                  <w:gridSpan w:val="2"/>
                  <w:tcBorders>
                    <w:top w:val="nil"/>
                    <w:left w:val="nil"/>
                    <w:bottom w:val="single" w:sz="4" w:space="0" w:color="auto"/>
                    <w:right w:val="nil"/>
                  </w:tcBorders>
                  <w:vAlign w:val="center"/>
                </w:tcPr>
                <w:p w14:paraId="0A941CA8" w14:textId="77777777" w:rsidR="00722460" w:rsidRPr="009B5064" w:rsidRDefault="00722460" w:rsidP="00722460">
                  <w:pPr>
                    <w:rPr>
                      <w:rFonts w:eastAsia="Times New Roman"/>
                      <w:sz w:val="20"/>
                      <w:shd w:val="clear" w:color="auto" w:fill="FFFFFF"/>
                    </w:rPr>
                  </w:pPr>
                  <w:r w:rsidRPr="009B5064">
                    <w:rPr>
                      <w:rFonts w:cs="Arial"/>
                      <w:sz w:val="20"/>
                      <w:szCs w:val="20"/>
                    </w:rPr>
                    <w:lastRenderedPageBreak/>
                    <w:t>Depressive symptoms (0-8) (mean [SD] years)</w:t>
                  </w:r>
                </w:p>
              </w:tc>
              <w:tc>
                <w:tcPr>
                  <w:tcW w:w="992" w:type="dxa"/>
                  <w:gridSpan w:val="2"/>
                  <w:tcBorders>
                    <w:top w:val="nil"/>
                    <w:left w:val="nil"/>
                    <w:bottom w:val="single" w:sz="4" w:space="0" w:color="auto"/>
                    <w:right w:val="nil"/>
                  </w:tcBorders>
                  <w:vAlign w:val="center"/>
                </w:tcPr>
                <w:p w14:paraId="6F1C0E9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0.67 (1.32)</w:t>
                  </w:r>
                </w:p>
              </w:tc>
              <w:tc>
                <w:tcPr>
                  <w:tcW w:w="992" w:type="dxa"/>
                  <w:tcBorders>
                    <w:top w:val="nil"/>
                    <w:left w:val="nil"/>
                    <w:bottom w:val="single" w:sz="4" w:space="0" w:color="auto"/>
                    <w:right w:val="nil"/>
                  </w:tcBorders>
                  <w:vAlign w:val="center"/>
                </w:tcPr>
                <w:p w14:paraId="2269254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0.89 (1.58)</w:t>
                  </w:r>
                </w:p>
              </w:tc>
              <w:tc>
                <w:tcPr>
                  <w:tcW w:w="851" w:type="dxa"/>
                  <w:tcBorders>
                    <w:top w:val="nil"/>
                    <w:left w:val="nil"/>
                    <w:bottom w:val="single" w:sz="4" w:space="0" w:color="auto"/>
                    <w:right w:val="nil"/>
                  </w:tcBorders>
                  <w:vAlign w:val="center"/>
                </w:tcPr>
                <w:p w14:paraId="36C7EE0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1.13 (1.79)</w:t>
                  </w:r>
                </w:p>
              </w:tc>
              <w:tc>
                <w:tcPr>
                  <w:tcW w:w="850" w:type="dxa"/>
                  <w:tcBorders>
                    <w:top w:val="nil"/>
                    <w:left w:val="nil"/>
                    <w:bottom w:val="single" w:sz="4" w:space="0" w:color="auto"/>
                    <w:right w:val="nil"/>
                  </w:tcBorders>
                  <w:vAlign w:val="center"/>
                </w:tcPr>
                <w:p w14:paraId="2F038F8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2.21 (2.37)</w:t>
                  </w:r>
                </w:p>
              </w:tc>
              <w:tc>
                <w:tcPr>
                  <w:tcW w:w="851" w:type="dxa"/>
                  <w:tcBorders>
                    <w:top w:val="nil"/>
                    <w:left w:val="nil"/>
                    <w:bottom w:val="single" w:sz="4" w:space="0" w:color="auto"/>
                    <w:right w:val="nil"/>
                  </w:tcBorders>
                  <w:vAlign w:val="center"/>
                </w:tcPr>
                <w:p w14:paraId="36A734F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nil"/>
                    <w:left w:val="nil"/>
                    <w:bottom w:val="single" w:sz="4" w:space="0" w:color="auto"/>
                    <w:right w:val="nil"/>
                  </w:tcBorders>
                  <w:vAlign w:val="center"/>
                </w:tcPr>
                <w:p w14:paraId="47A6F324"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single" w:sz="4" w:space="0" w:color="auto"/>
                    <w:right w:val="nil"/>
                  </w:tcBorders>
                  <w:vAlign w:val="center"/>
                </w:tcPr>
                <w:p w14:paraId="6ACA940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1.13 (1.71)</w:t>
                  </w:r>
                </w:p>
              </w:tc>
              <w:tc>
                <w:tcPr>
                  <w:tcW w:w="1015" w:type="dxa"/>
                  <w:tcBorders>
                    <w:top w:val="nil"/>
                    <w:left w:val="nil"/>
                    <w:bottom w:val="single" w:sz="4" w:space="0" w:color="auto"/>
                    <w:right w:val="nil"/>
                  </w:tcBorders>
                  <w:vAlign w:val="center"/>
                </w:tcPr>
                <w:p w14:paraId="789CC1B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1.36 (1.90)</w:t>
                  </w:r>
                </w:p>
              </w:tc>
              <w:tc>
                <w:tcPr>
                  <w:tcW w:w="709" w:type="dxa"/>
                  <w:tcBorders>
                    <w:top w:val="nil"/>
                    <w:left w:val="nil"/>
                    <w:bottom w:val="single" w:sz="4" w:space="0" w:color="auto"/>
                    <w:right w:val="nil"/>
                  </w:tcBorders>
                  <w:vAlign w:val="center"/>
                </w:tcPr>
                <w:p w14:paraId="30C0F4F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1.60 (1.97)</w:t>
                  </w:r>
                </w:p>
              </w:tc>
              <w:tc>
                <w:tcPr>
                  <w:tcW w:w="850" w:type="dxa"/>
                  <w:tcBorders>
                    <w:top w:val="nil"/>
                    <w:left w:val="nil"/>
                    <w:bottom w:val="single" w:sz="4" w:space="0" w:color="auto"/>
                    <w:right w:val="nil"/>
                  </w:tcBorders>
                  <w:vAlign w:val="center"/>
                </w:tcPr>
                <w:p w14:paraId="7583172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2.25 (2.28)</w:t>
                  </w:r>
                </w:p>
              </w:tc>
              <w:tc>
                <w:tcPr>
                  <w:tcW w:w="850" w:type="dxa"/>
                  <w:tcBorders>
                    <w:top w:val="nil"/>
                    <w:left w:val="nil"/>
                    <w:bottom w:val="single" w:sz="4" w:space="0" w:color="auto"/>
                    <w:right w:val="nil"/>
                  </w:tcBorders>
                  <w:vAlign w:val="center"/>
                </w:tcPr>
                <w:p w14:paraId="411B0D9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56F340D0" w14:textId="77777777" w:rsidTr="00722460">
              <w:tblPrEx>
                <w:tblBorders>
                  <w:left w:val="single" w:sz="4" w:space="0" w:color="auto"/>
                  <w:right w:val="single" w:sz="4" w:space="0" w:color="auto"/>
                  <w:insideV w:val="single" w:sz="4" w:space="0" w:color="auto"/>
                </w:tblBorders>
              </w:tblPrEx>
              <w:tc>
                <w:tcPr>
                  <w:tcW w:w="2269" w:type="dxa"/>
                  <w:gridSpan w:val="2"/>
                  <w:tcBorders>
                    <w:top w:val="nil"/>
                    <w:left w:val="nil"/>
                    <w:bottom w:val="single" w:sz="4" w:space="0" w:color="auto"/>
                    <w:right w:val="nil"/>
                  </w:tcBorders>
                  <w:vAlign w:val="center"/>
                </w:tcPr>
                <w:p w14:paraId="7150E7EA" w14:textId="77777777" w:rsidR="00722460" w:rsidRPr="009B5064" w:rsidRDefault="00722460" w:rsidP="00722460">
                  <w:pPr>
                    <w:rPr>
                      <w:rFonts w:eastAsia="Times New Roman"/>
                      <w:sz w:val="20"/>
                      <w:shd w:val="clear" w:color="auto" w:fill="FFFFFF"/>
                    </w:rPr>
                  </w:pPr>
                  <w:r w:rsidRPr="009B5064">
                    <w:rPr>
                      <w:rFonts w:cs="Arial"/>
                      <w:sz w:val="20"/>
                      <w:szCs w:val="20"/>
                    </w:rPr>
                    <w:t>History of CVD</w:t>
                  </w:r>
                </w:p>
              </w:tc>
              <w:tc>
                <w:tcPr>
                  <w:tcW w:w="992" w:type="dxa"/>
                  <w:gridSpan w:val="2"/>
                  <w:tcBorders>
                    <w:top w:val="nil"/>
                    <w:left w:val="nil"/>
                    <w:bottom w:val="single" w:sz="4" w:space="0" w:color="auto"/>
                    <w:right w:val="nil"/>
                  </w:tcBorders>
                  <w:vAlign w:val="center"/>
                </w:tcPr>
                <w:p w14:paraId="47DDDD3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38.8</w:t>
                  </w:r>
                </w:p>
              </w:tc>
              <w:tc>
                <w:tcPr>
                  <w:tcW w:w="992" w:type="dxa"/>
                  <w:tcBorders>
                    <w:top w:val="nil"/>
                    <w:left w:val="nil"/>
                    <w:bottom w:val="single" w:sz="4" w:space="0" w:color="auto"/>
                    <w:right w:val="nil"/>
                  </w:tcBorders>
                  <w:vAlign w:val="center"/>
                </w:tcPr>
                <w:p w14:paraId="257B6AE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41.4</w:t>
                  </w:r>
                </w:p>
              </w:tc>
              <w:tc>
                <w:tcPr>
                  <w:tcW w:w="851" w:type="dxa"/>
                  <w:tcBorders>
                    <w:top w:val="nil"/>
                    <w:left w:val="nil"/>
                    <w:bottom w:val="single" w:sz="4" w:space="0" w:color="auto"/>
                    <w:right w:val="nil"/>
                  </w:tcBorders>
                  <w:vAlign w:val="center"/>
                </w:tcPr>
                <w:p w14:paraId="0AC1126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46.6</w:t>
                  </w:r>
                </w:p>
              </w:tc>
              <w:tc>
                <w:tcPr>
                  <w:tcW w:w="850" w:type="dxa"/>
                  <w:tcBorders>
                    <w:top w:val="nil"/>
                    <w:left w:val="nil"/>
                    <w:bottom w:val="single" w:sz="4" w:space="0" w:color="auto"/>
                    <w:right w:val="nil"/>
                  </w:tcBorders>
                  <w:vAlign w:val="center"/>
                </w:tcPr>
                <w:p w14:paraId="2BEC0E9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54.9</w:t>
                  </w:r>
                </w:p>
              </w:tc>
              <w:tc>
                <w:tcPr>
                  <w:tcW w:w="851" w:type="dxa"/>
                  <w:tcBorders>
                    <w:top w:val="nil"/>
                    <w:left w:val="nil"/>
                    <w:bottom w:val="single" w:sz="4" w:space="0" w:color="auto"/>
                    <w:right w:val="nil"/>
                  </w:tcBorders>
                  <w:vAlign w:val="center"/>
                </w:tcPr>
                <w:p w14:paraId="19F8F63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nil"/>
                    <w:left w:val="nil"/>
                    <w:bottom w:val="single" w:sz="4" w:space="0" w:color="auto"/>
                    <w:right w:val="nil"/>
                  </w:tcBorders>
                  <w:vAlign w:val="center"/>
                </w:tcPr>
                <w:p w14:paraId="7F0ABF19"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single" w:sz="4" w:space="0" w:color="auto"/>
                    <w:right w:val="nil"/>
                  </w:tcBorders>
                  <w:vAlign w:val="center"/>
                </w:tcPr>
                <w:p w14:paraId="5A520C7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28.5</w:t>
                  </w:r>
                </w:p>
              </w:tc>
              <w:tc>
                <w:tcPr>
                  <w:tcW w:w="1015" w:type="dxa"/>
                  <w:tcBorders>
                    <w:top w:val="nil"/>
                    <w:left w:val="nil"/>
                    <w:bottom w:val="single" w:sz="4" w:space="0" w:color="auto"/>
                    <w:right w:val="nil"/>
                  </w:tcBorders>
                  <w:vAlign w:val="center"/>
                </w:tcPr>
                <w:p w14:paraId="18B5A1D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35.6</w:t>
                  </w:r>
                </w:p>
              </w:tc>
              <w:tc>
                <w:tcPr>
                  <w:tcW w:w="709" w:type="dxa"/>
                  <w:tcBorders>
                    <w:top w:val="nil"/>
                    <w:left w:val="nil"/>
                    <w:bottom w:val="single" w:sz="4" w:space="0" w:color="auto"/>
                    <w:right w:val="nil"/>
                  </w:tcBorders>
                  <w:vAlign w:val="center"/>
                </w:tcPr>
                <w:p w14:paraId="0B0DFF0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43.4</w:t>
                  </w:r>
                </w:p>
              </w:tc>
              <w:tc>
                <w:tcPr>
                  <w:tcW w:w="850" w:type="dxa"/>
                  <w:tcBorders>
                    <w:top w:val="nil"/>
                    <w:left w:val="nil"/>
                    <w:bottom w:val="single" w:sz="4" w:space="0" w:color="auto"/>
                    <w:right w:val="nil"/>
                  </w:tcBorders>
                  <w:vAlign w:val="center"/>
                </w:tcPr>
                <w:p w14:paraId="32FCC40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58.1</w:t>
                  </w:r>
                </w:p>
              </w:tc>
              <w:tc>
                <w:tcPr>
                  <w:tcW w:w="850" w:type="dxa"/>
                  <w:tcBorders>
                    <w:top w:val="nil"/>
                    <w:left w:val="nil"/>
                    <w:bottom w:val="single" w:sz="4" w:space="0" w:color="auto"/>
                    <w:right w:val="nil"/>
                  </w:tcBorders>
                  <w:vAlign w:val="center"/>
                </w:tcPr>
                <w:p w14:paraId="25F8DAE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01FF9913" w14:textId="77777777" w:rsidTr="00722460">
              <w:tblPrEx>
                <w:tblBorders>
                  <w:left w:val="single" w:sz="4" w:space="0" w:color="auto"/>
                  <w:right w:val="single" w:sz="4" w:space="0" w:color="auto"/>
                  <w:insideV w:val="single" w:sz="4" w:space="0" w:color="auto"/>
                </w:tblBorders>
              </w:tblPrEx>
              <w:tc>
                <w:tcPr>
                  <w:tcW w:w="2269" w:type="dxa"/>
                  <w:gridSpan w:val="2"/>
                  <w:tcBorders>
                    <w:top w:val="nil"/>
                    <w:left w:val="nil"/>
                    <w:bottom w:val="single" w:sz="4" w:space="0" w:color="auto"/>
                    <w:right w:val="nil"/>
                  </w:tcBorders>
                  <w:vAlign w:val="center"/>
                </w:tcPr>
                <w:p w14:paraId="4D0A446D" w14:textId="77777777" w:rsidR="00722460" w:rsidRPr="009B5064" w:rsidRDefault="00722460" w:rsidP="00722460">
                  <w:pPr>
                    <w:rPr>
                      <w:rFonts w:eastAsia="Times New Roman"/>
                      <w:sz w:val="20"/>
                      <w:shd w:val="clear" w:color="auto" w:fill="FFFFFF"/>
                    </w:rPr>
                  </w:pPr>
                  <w:r w:rsidRPr="009B5064">
                    <w:rPr>
                      <w:rFonts w:cs="Arial"/>
                      <w:sz w:val="20"/>
                      <w:szCs w:val="20"/>
                    </w:rPr>
                    <w:t>History of diabetes</w:t>
                  </w:r>
                </w:p>
              </w:tc>
              <w:tc>
                <w:tcPr>
                  <w:tcW w:w="992" w:type="dxa"/>
                  <w:gridSpan w:val="2"/>
                  <w:tcBorders>
                    <w:top w:val="nil"/>
                    <w:left w:val="nil"/>
                    <w:bottom w:val="single" w:sz="4" w:space="0" w:color="auto"/>
                    <w:right w:val="nil"/>
                  </w:tcBorders>
                  <w:vAlign w:val="center"/>
                </w:tcPr>
                <w:p w14:paraId="1DEFF3C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6.2</w:t>
                  </w:r>
                </w:p>
              </w:tc>
              <w:tc>
                <w:tcPr>
                  <w:tcW w:w="992" w:type="dxa"/>
                  <w:tcBorders>
                    <w:top w:val="nil"/>
                    <w:left w:val="nil"/>
                    <w:bottom w:val="single" w:sz="4" w:space="0" w:color="auto"/>
                    <w:right w:val="nil"/>
                  </w:tcBorders>
                  <w:vAlign w:val="center"/>
                </w:tcPr>
                <w:p w14:paraId="1967B52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11.8</w:t>
                  </w:r>
                </w:p>
              </w:tc>
              <w:tc>
                <w:tcPr>
                  <w:tcW w:w="851" w:type="dxa"/>
                  <w:tcBorders>
                    <w:top w:val="nil"/>
                    <w:left w:val="nil"/>
                    <w:bottom w:val="single" w:sz="4" w:space="0" w:color="auto"/>
                    <w:right w:val="nil"/>
                  </w:tcBorders>
                  <w:vAlign w:val="center"/>
                </w:tcPr>
                <w:p w14:paraId="3A9DFBF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13.2</w:t>
                  </w:r>
                </w:p>
              </w:tc>
              <w:tc>
                <w:tcPr>
                  <w:tcW w:w="850" w:type="dxa"/>
                  <w:tcBorders>
                    <w:top w:val="nil"/>
                    <w:left w:val="nil"/>
                    <w:bottom w:val="single" w:sz="4" w:space="0" w:color="auto"/>
                    <w:right w:val="nil"/>
                  </w:tcBorders>
                  <w:vAlign w:val="center"/>
                </w:tcPr>
                <w:p w14:paraId="59D878F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16.3</w:t>
                  </w:r>
                </w:p>
              </w:tc>
              <w:tc>
                <w:tcPr>
                  <w:tcW w:w="851" w:type="dxa"/>
                  <w:tcBorders>
                    <w:top w:val="nil"/>
                    <w:left w:val="nil"/>
                    <w:bottom w:val="single" w:sz="4" w:space="0" w:color="auto"/>
                    <w:right w:val="nil"/>
                  </w:tcBorders>
                  <w:vAlign w:val="center"/>
                </w:tcPr>
                <w:p w14:paraId="60A6739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nil"/>
                    <w:left w:val="nil"/>
                    <w:bottom w:val="single" w:sz="4" w:space="0" w:color="auto"/>
                    <w:right w:val="nil"/>
                  </w:tcBorders>
                  <w:vAlign w:val="center"/>
                </w:tcPr>
                <w:p w14:paraId="6CACBD4B"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single" w:sz="4" w:space="0" w:color="auto"/>
                    <w:right w:val="nil"/>
                  </w:tcBorders>
                  <w:vAlign w:val="center"/>
                </w:tcPr>
                <w:p w14:paraId="39E6DFD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6.2</w:t>
                  </w:r>
                </w:p>
              </w:tc>
              <w:tc>
                <w:tcPr>
                  <w:tcW w:w="1015" w:type="dxa"/>
                  <w:tcBorders>
                    <w:top w:val="nil"/>
                    <w:left w:val="nil"/>
                    <w:bottom w:val="single" w:sz="4" w:space="0" w:color="auto"/>
                    <w:right w:val="nil"/>
                  </w:tcBorders>
                  <w:vAlign w:val="center"/>
                </w:tcPr>
                <w:p w14:paraId="6926A6E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7.4</w:t>
                  </w:r>
                </w:p>
              </w:tc>
              <w:tc>
                <w:tcPr>
                  <w:tcW w:w="709" w:type="dxa"/>
                  <w:tcBorders>
                    <w:top w:val="nil"/>
                    <w:left w:val="nil"/>
                    <w:bottom w:val="single" w:sz="4" w:space="0" w:color="auto"/>
                    <w:right w:val="nil"/>
                  </w:tcBorders>
                  <w:vAlign w:val="center"/>
                </w:tcPr>
                <w:p w14:paraId="0ADDDDA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9.6</w:t>
                  </w:r>
                </w:p>
              </w:tc>
              <w:tc>
                <w:tcPr>
                  <w:tcW w:w="850" w:type="dxa"/>
                  <w:tcBorders>
                    <w:top w:val="nil"/>
                    <w:left w:val="nil"/>
                    <w:bottom w:val="single" w:sz="4" w:space="0" w:color="auto"/>
                    <w:right w:val="nil"/>
                  </w:tcBorders>
                  <w:vAlign w:val="center"/>
                </w:tcPr>
                <w:p w14:paraId="7C8D6BE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20.4</w:t>
                  </w:r>
                </w:p>
              </w:tc>
              <w:tc>
                <w:tcPr>
                  <w:tcW w:w="850" w:type="dxa"/>
                  <w:tcBorders>
                    <w:top w:val="nil"/>
                    <w:left w:val="nil"/>
                    <w:bottom w:val="single" w:sz="4" w:space="0" w:color="auto"/>
                    <w:right w:val="nil"/>
                  </w:tcBorders>
                  <w:vAlign w:val="center"/>
                </w:tcPr>
                <w:p w14:paraId="5870FF5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2CD473C5" w14:textId="77777777" w:rsidTr="00722460">
              <w:tblPrEx>
                <w:tblBorders>
                  <w:left w:val="single" w:sz="4" w:space="0" w:color="auto"/>
                  <w:right w:val="single" w:sz="4" w:space="0" w:color="auto"/>
                  <w:insideV w:val="single" w:sz="4" w:space="0" w:color="auto"/>
                </w:tblBorders>
              </w:tblPrEx>
              <w:tc>
                <w:tcPr>
                  <w:tcW w:w="2269" w:type="dxa"/>
                  <w:gridSpan w:val="2"/>
                  <w:tcBorders>
                    <w:top w:val="single" w:sz="4" w:space="0" w:color="auto"/>
                    <w:left w:val="nil"/>
                    <w:bottom w:val="nil"/>
                    <w:right w:val="nil"/>
                  </w:tcBorders>
                </w:tcPr>
                <w:p w14:paraId="45A02ECA"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History of eye disease</w:t>
                  </w:r>
                </w:p>
              </w:tc>
              <w:tc>
                <w:tcPr>
                  <w:tcW w:w="992" w:type="dxa"/>
                  <w:gridSpan w:val="2"/>
                  <w:tcBorders>
                    <w:top w:val="single" w:sz="4" w:space="0" w:color="auto"/>
                    <w:left w:val="nil"/>
                    <w:bottom w:val="nil"/>
                    <w:right w:val="nil"/>
                  </w:tcBorders>
                  <w:vAlign w:val="center"/>
                </w:tcPr>
                <w:p w14:paraId="2D2FE0C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15.4</w:t>
                  </w:r>
                </w:p>
              </w:tc>
              <w:tc>
                <w:tcPr>
                  <w:tcW w:w="992" w:type="dxa"/>
                  <w:tcBorders>
                    <w:top w:val="single" w:sz="4" w:space="0" w:color="auto"/>
                    <w:left w:val="nil"/>
                    <w:bottom w:val="nil"/>
                    <w:right w:val="nil"/>
                  </w:tcBorders>
                  <w:vAlign w:val="center"/>
                </w:tcPr>
                <w:p w14:paraId="20CE807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17.7</w:t>
                  </w:r>
                </w:p>
              </w:tc>
              <w:tc>
                <w:tcPr>
                  <w:tcW w:w="851" w:type="dxa"/>
                  <w:tcBorders>
                    <w:top w:val="single" w:sz="4" w:space="0" w:color="auto"/>
                    <w:left w:val="nil"/>
                    <w:bottom w:val="nil"/>
                    <w:right w:val="nil"/>
                  </w:tcBorders>
                  <w:vAlign w:val="center"/>
                </w:tcPr>
                <w:p w14:paraId="2D23371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24.8</w:t>
                  </w:r>
                </w:p>
              </w:tc>
              <w:tc>
                <w:tcPr>
                  <w:tcW w:w="850" w:type="dxa"/>
                  <w:tcBorders>
                    <w:top w:val="single" w:sz="4" w:space="0" w:color="auto"/>
                    <w:left w:val="nil"/>
                    <w:bottom w:val="nil"/>
                    <w:right w:val="nil"/>
                  </w:tcBorders>
                  <w:vAlign w:val="center"/>
                </w:tcPr>
                <w:p w14:paraId="3B05296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49.1</w:t>
                  </w:r>
                </w:p>
              </w:tc>
              <w:tc>
                <w:tcPr>
                  <w:tcW w:w="851" w:type="dxa"/>
                  <w:tcBorders>
                    <w:top w:val="single" w:sz="4" w:space="0" w:color="auto"/>
                    <w:left w:val="nil"/>
                    <w:bottom w:val="nil"/>
                    <w:right w:val="nil"/>
                  </w:tcBorders>
                  <w:vAlign w:val="center"/>
                </w:tcPr>
                <w:p w14:paraId="50110E4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single" w:sz="4" w:space="0" w:color="auto"/>
                    <w:left w:val="nil"/>
                    <w:bottom w:val="nil"/>
                    <w:right w:val="nil"/>
                  </w:tcBorders>
                  <w:vAlign w:val="center"/>
                </w:tcPr>
                <w:p w14:paraId="395EBCA6" w14:textId="77777777" w:rsidR="00722460" w:rsidRPr="009B5064" w:rsidRDefault="00722460" w:rsidP="00722460">
                  <w:pPr>
                    <w:jc w:val="center"/>
                    <w:rPr>
                      <w:rFonts w:eastAsia="Times New Roman"/>
                      <w:sz w:val="20"/>
                      <w:shd w:val="clear" w:color="auto" w:fill="FFFFFF"/>
                    </w:rPr>
                  </w:pPr>
                </w:p>
              </w:tc>
              <w:tc>
                <w:tcPr>
                  <w:tcW w:w="970" w:type="dxa"/>
                  <w:tcBorders>
                    <w:top w:val="single" w:sz="4" w:space="0" w:color="auto"/>
                    <w:left w:val="nil"/>
                    <w:bottom w:val="nil"/>
                    <w:right w:val="nil"/>
                  </w:tcBorders>
                  <w:vAlign w:val="center"/>
                </w:tcPr>
                <w:p w14:paraId="0277FEE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19.8</w:t>
                  </w:r>
                </w:p>
              </w:tc>
              <w:tc>
                <w:tcPr>
                  <w:tcW w:w="1015" w:type="dxa"/>
                  <w:tcBorders>
                    <w:top w:val="single" w:sz="4" w:space="0" w:color="auto"/>
                    <w:left w:val="nil"/>
                    <w:bottom w:val="nil"/>
                    <w:right w:val="nil"/>
                  </w:tcBorders>
                  <w:vAlign w:val="center"/>
                </w:tcPr>
                <w:p w14:paraId="5079B7A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22.8</w:t>
                  </w:r>
                </w:p>
              </w:tc>
              <w:tc>
                <w:tcPr>
                  <w:tcW w:w="709" w:type="dxa"/>
                  <w:tcBorders>
                    <w:top w:val="single" w:sz="4" w:space="0" w:color="auto"/>
                    <w:left w:val="nil"/>
                    <w:bottom w:val="nil"/>
                    <w:right w:val="nil"/>
                  </w:tcBorders>
                  <w:vAlign w:val="center"/>
                </w:tcPr>
                <w:p w14:paraId="6887918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32.6</w:t>
                  </w:r>
                </w:p>
              </w:tc>
              <w:tc>
                <w:tcPr>
                  <w:tcW w:w="850" w:type="dxa"/>
                  <w:tcBorders>
                    <w:top w:val="single" w:sz="4" w:space="0" w:color="auto"/>
                    <w:left w:val="nil"/>
                    <w:bottom w:val="nil"/>
                    <w:right w:val="nil"/>
                  </w:tcBorders>
                  <w:vAlign w:val="center"/>
                </w:tcPr>
                <w:p w14:paraId="33E6F5A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57.4</w:t>
                  </w:r>
                </w:p>
              </w:tc>
              <w:tc>
                <w:tcPr>
                  <w:tcW w:w="850" w:type="dxa"/>
                  <w:tcBorders>
                    <w:top w:val="single" w:sz="4" w:space="0" w:color="auto"/>
                    <w:left w:val="nil"/>
                    <w:bottom w:val="nil"/>
                    <w:right w:val="nil"/>
                  </w:tcBorders>
                  <w:vAlign w:val="center"/>
                </w:tcPr>
                <w:p w14:paraId="3E6B136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13B91926" w14:textId="77777777" w:rsidTr="00722460">
              <w:tblPrEx>
                <w:tblBorders>
                  <w:left w:val="single" w:sz="4" w:space="0" w:color="auto"/>
                  <w:right w:val="single" w:sz="4" w:space="0" w:color="auto"/>
                  <w:insideV w:val="single" w:sz="4" w:space="0" w:color="auto"/>
                </w:tblBorders>
              </w:tblPrEx>
              <w:tc>
                <w:tcPr>
                  <w:tcW w:w="2269" w:type="dxa"/>
                  <w:gridSpan w:val="2"/>
                  <w:tcBorders>
                    <w:top w:val="single" w:sz="4" w:space="0" w:color="auto"/>
                    <w:left w:val="nil"/>
                    <w:bottom w:val="nil"/>
                    <w:right w:val="nil"/>
                  </w:tcBorders>
                </w:tcPr>
                <w:p w14:paraId="6D6A1120"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Sexually active</w:t>
                  </w:r>
                  <w:r w:rsidRPr="009B5064">
                    <w:rPr>
                      <w:rFonts w:cstheme="minorHAnsi"/>
                      <w:sz w:val="20"/>
                      <w:szCs w:val="20"/>
                      <w:vertAlign w:val="superscript"/>
                    </w:rPr>
                    <w:t>3</w:t>
                  </w:r>
                </w:p>
              </w:tc>
              <w:tc>
                <w:tcPr>
                  <w:tcW w:w="992" w:type="dxa"/>
                  <w:gridSpan w:val="2"/>
                  <w:tcBorders>
                    <w:top w:val="single" w:sz="4" w:space="0" w:color="auto"/>
                    <w:left w:val="nil"/>
                    <w:bottom w:val="nil"/>
                    <w:right w:val="nil"/>
                  </w:tcBorders>
                  <w:vAlign w:val="center"/>
                </w:tcPr>
                <w:p w14:paraId="191FDA2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87.1</w:t>
                  </w:r>
                </w:p>
              </w:tc>
              <w:tc>
                <w:tcPr>
                  <w:tcW w:w="992" w:type="dxa"/>
                  <w:tcBorders>
                    <w:top w:val="single" w:sz="4" w:space="0" w:color="auto"/>
                    <w:left w:val="nil"/>
                    <w:bottom w:val="nil"/>
                    <w:right w:val="nil"/>
                  </w:tcBorders>
                  <w:vAlign w:val="center"/>
                </w:tcPr>
                <w:p w14:paraId="760203B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81.5</w:t>
                  </w:r>
                </w:p>
              </w:tc>
              <w:tc>
                <w:tcPr>
                  <w:tcW w:w="851" w:type="dxa"/>
                  <w:tcBorders>
                    <w:top w:val="single" w:sz="4" w:space="0" w:color="auto"/>
                    <w:left w:val="nil"/>
                    <w:bottom w:val="nil"/>
                    <w:right w:val="nil"/>
                  </w:tcBorders>
                  <w:vAlign w:val="center"/>
                </w:tcPr>
                <w:p w14:paraId="465601C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77.4</w:t>
                  </w:r>
                </w:p>
              </w:tc>
              <w:tc>
                <w:tcPr>
                  <w:tcW w:w="850" w:type="dxa"/>
                  <w:tcBorders>
                    <w:top w:val="single" w:sz="4" w:space="0" w:color="auto"/>
                    <w:left w:val="nil"/>
                    <w:bottom w:val="nil"/>
                    <w:right w:val="nil"/>
                  </w:tcBorders>
                  <w:vAlign w:val="center"/>
                </w:tcPr>
                <w:p w14:paraId="6C8F68B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56.7</w:t>
                  </w:r>
                </w:p>
              </w:tc>
              <w:tc>
                <w:tcPr>
                  <w:tcW w:w="851" w:type="dxa"/>
                  <w:tcBorders>
                    <w:top w:val="single" w:sz="4" w:space="0" w:color="auto"/>
                    <w:left w:val="nil"/>
                    <w:bottom w:val="nil"/>
                    <w:right w:val="nil"/>
                  </w:tcBorders>
                  <w:vAlign w:val="center"/>
                </w:tcPr>
                <w:p w14:paraId="54B20A0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c>
                <w:tcPr>
                  <w:tcW w:w="283" w:type="dxa"/>
                  <w:tcBorders>
                    <w:top w:val="single" w:sz="4" w:space="0" w:color="auto"/>
                    <w:left w:val="nil"/>
                    <w:bottom w:val="nil"/>
                    <w:right w:val="nil"/>
                  </w:tcBorders>
                  <w:vAlign w:val="center"/>
                </w:tcPr>
                <w:p w14:paraId="4D369F34" w14:textId="77777777" w:rsidR="00722460" w:rsidRPr="009B5064" w:rsidRDefault="00722460" w:rsidP="00722460">
                  <w:pPr>
                    <w:jc w:val="center"/>
                    <w:rPr>
                      <w:rFonts w:eastAsia="Times New Roman"/>
                      <w:sz w:val="20"/>
                      <w:shd w:val="clear" w:color="auto" w:fill="FFFFFF"/>
                    </w:rPr>
                  </w:pPr>
                </w:p>
              </w:tc>
              <w:tc>
                <w:tcPr>
                  <w:tcW w:w="970" w:type="dxa"/>
                  <w:tcBorders>
                    <w:top w:val="single" w:sz="4" w:space="0" w:color="auto"/>
                    <w:left w:val="nil"/>
                    <w:bottom w:val="nil"/>
                    <w:right w:val="nil"/>
                  </w:tcBorders>
                  <w:vAlign w:val="center"/>
                </w:tcPr>
                <w:p w14:paraId="43867BBC"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63.6</w:t>
                  </w:r>
                </w:p>
              </w:tc>
              <w:tc>
                <w:tcPr>
                  <w:tcW w:w="1015" w:type="dxa"/>
                  <w:tcBorders>
                    <w:top w:val="single" w:sz="4" w:space="0" w:color="auto"/>
                    <w:left w:val="nil"/>
                    <w:bottom w:val="nil"/>
                    <w:right w:val="nil"/>
                  </w:tcBorders>
                  <w:vAlign w:val="center"/>
                </w:tcPr>
                <w:p w14:paraId="1945C01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60.0</w:t>
                  </w:r>
                </w:p>
              </w:tc>
              <w:tc>
                <w:tcPr>
                  <w:tcW w:w="709" w:type="dxa"/>
                  <w:tcBorders>
                    <w:top w:val="single" w:sz="4" w:space="0" w:color="auto"/>
                    <w:left w:val="nil"/>
                    <w:bottom w:val="nil"/>
                    <w:right w:val="nil"/>
                  </w:tcBorders>
                  <w:vAlign w:val="center"/>
                </w:tcPr>
                <w:p w14:paraId="23E67E8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53.5</w:t>
                  </w:r>
                </w:p>
              </w:tc>
              <w:tc>
                <w:tcPr>
                  <w:tcW w:w="850" w:type="dxa"/>
                  <w:tcBorders>
                    <w:top w:val="single" w:sz="4" w:space="0" w:color="auto"/>
                    <w:left w:val="nil"/>
                    <w:bottom w:val="nil"/>
                    <w:right w:val="nil"/>
                  </w:tcBorders>
                  <w:vAlign w:val="center"/>
                </w:tcPr>
                <w:p w14:paraId="5C90006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38.0</w:t>
                  </w:r>
                </w:p>
              </w:tc>
              <w:tc>
                <w:tcPr>
                  <w:tcW w:w="850" w:type="dxa"/>
                  <w:tcBorders>
                    <w:top w:val="single" w:sz="4" w:space="0" w:color="auto"/>
                    <w:left w:val="nil"/>
                    <w:bottom w:val="nil"/>
                    <w:right w:val="nil"/>
                  </w:tcBorders>
                  <w:vAlign w:val="center"/>
                </w:tcPr>
                <w:p w14:paraId="1B6BDAE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&lt;0.001</w:t>
                  </w:r>
                </w:p>
              </w:tc>
            </w:tr>
            <w:tr w:rsidR="009B5064" w:rsidRPr="009B5064" w14:paraId="6DEBBA3E" w14:textId="77777777" w:rsidTr="00722460">
              <w:tblPrEx>
                <w:tblBorders>
                  <w:left w:val="single" w:sz="4" w:space="0" w:color="auto"/>
                  <w:right w:val="single" w:sz="4" w:space="0" w:color="auto"/>
                  <w:insideV w:val="single" w:sz="4" w:space="0" w:color="auto"/>
                </w:tblBorders>
              </w:tblPrEx>
              <w:tc>
                <w:tcPr>
                  <w:tcW w:w="2269" w:type="dxa"/>
                  <w:gridSpan w:val="2"/>
                  <w:tcBorders>
                    <w:top w:val="single" w:sz="4" w:space="0" w:color="auto"/>
                    <w:left w:val="nil"/>
                    <w:bottom w:val="nil"/>
                    <w:right w:val="nil"/>
                  </w:tcBorders>
                </w:tcPr>
                <w:p w14:paraId="3F0682BF" w14:textId="77777777" w:rsidR="00722460" w:rsidRPr="009B5064" w:rsidRDefault="00722460" w:rsidP="00722460">
                  <w:pPr>
                    <w:rPr>
                      <w:rFonts w:eastAsia="Times New Roman"/>
                      <w:sz w:val="20"/>
                      <w:shd w:val="clear" w:color="auto" w:fill="FFFFFF"/>
                    </w:rPr>
                  </w:pPr>
                  <w:r w:rsidRPr="009B5064">
                    <w:rPr>
                      <w:rFonts w:cs="Arial"/>
                      <w:sz w:val="20"/>
                      <w:szCs w:val="20"/>
                    </w:rPr>
                    <w:t>Frequency of sexual intercourse</w:t>
                  </w:r>
                  <w:r w:rsidRPr="009B5064">
                    <w:rPr>
                      <w:rFonts w:cs="Arial"/>
                      <w:sz w:val="20"/>
                      <w:szCs w:val="20"/>
                      <w:vertAlign w:val="superscript"/>
                    </w:rPr>
                    <w:t>4</w:t>
                  </w:r>
                </w:p>
              </w:tc>
              <w:tc>
                <w:tcPr>
                  <w:tcW w:w="992" w:type="dxa"/>
                  <w:gridSpan w:val="2"/>
                  <w:tcBorders>
                    <w:top w:val="single" w:sz="4" w:space="0" w:color="auto"/>
                    <w:left w:val="nil"/>
                    <w:bottom w:val="nil"/>
                    <w:right w:val="nil"/>
                  </w:tcBorders>
                  <w:vAlign w:val="center"/>
                </w:tcPr>
                <w:p w14:paraId="77D2BF36" w14:textId="77777777" w:rsidR="00722460" w:rsidRPr="009B5064" w:rsidRDefault="00722460" w:rsidP="00722460">
                  <w:pPr>
                    <w:jc w:val="center"/>
                    <w:rPr>
                      <w:rFonts w:eastAsia="Times New Roman"/>
                      <w:sz w:val="20"/>
                      <w:shd w:val="clear" w:color="auto" w:fill="FFFFFF"/>
                    </w:rPr>
                  </w:pPr>
                </w:p>
              </w:tc>
              <w:tc>
                <w:tcPr>
                  <w:tcW w:w="992" w:type="dxa"/>
                  <w:tcBorders>
                    <w:top w:val="single" w:sz="4" w:space="0" w:color="auto"/>
                    <w:left w:val="nil"/>
                    <w:bottom w:val="nil"/>
                    <w:right w:val="nil"/>
                  </w:tcBorders>
                  <w:vAlign w:val="center"/>
                </w:tcPr>
                <w:p w14:paraId="6AFE750C"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3EDD4612"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49D5EBFE" w14:textId="77777777" w:rsidR="00722460" w:rsidRPr="009B5064" w:rsidRDefault="00722460" w:rsidP="00722460">
                  <w:pPr>
                    <w:jc w:val="center"/>
                    <w:rPr>
                      <w:rFonts w:eastAsia="Times New Roman"/>
                      <w:sz w:val="20"/>
                      <w:shd w:val="clear" w:color="auto" w:fill="FFFFFF"/>
                    </w:rPr>
                  </w:pPr>
                </w:p>
              </w:tc>
              <w:tc>
                <w:tcPr>
                  <w:tcW w:w="851" w:type="dxa"/>
                  <w:tcBorders>
                    <w:top w:val="single" w:sz="4" w:space="0" w:color="auto"/>
                    <w:left w:val="nil"/>
                    <w:bottom w:val="nil"/>
                    <w:right w:val="nil"/>
                  </w:tcBorders>
                  <w:vAlign w:val="center"/>
                </w:tcPr>
                <w:p w14:paraId="2ECB45BE" w14:textId="77777777" w:rsidR="00722460" w:rsidRPr="009B5064" w:rsidRDefault="00722460" w:rsidP="00722460">
                  <w:pPr>
                    <w:jc w:val="center"/>
                    <w:rPr>
                      <w:rFonts w:eastAsia="Times New Roman"/>
                      <w:sz w:val="20"/>
                      <w:shd w:val="clear" w:color="auto" w:fill="FFFFFF"/>
                    </w:rPr>
                  </w:pPr>
                </w:p>
              </w:tc>
              <w:tc>
                <w:tcPr>
                  <w:tcW w:w="283" w:type="dxa"/>
                  <w:tcBorders>
                    <w:top w:val="single" w:sz="4" w:space="0" w:color="auto"/>
                    <w:left w:val="nil"/>
                    <w:bottom w:val="nil"/>
                    <w:right w:val="nil"/>
                  </w:tcBorders>
                  <w:vAlign w:val="center"/>
                </w:tcPr>
                <w:p w14:paraId="473F5507" w14:textId="77777777" w:rsidR="00722460" w:rsidRPr="009B5064" w:rsidRDefault="00722460" w:rsidP="00722460">
                  <w:pPr>
                    <w:jc w:val="center"/>
                    <w:rPr>
                      <w:rFonts w:eastAsia="Times New Roman"/>
                      <w:sz w:val="20"/>
                      <w:shd w:val="clear" w:color="auto" w:fill="FFFFFF"/>
                    </w:rPr>
                  </w:pPr>
                </w:p>
              </w:tc>
              <w:tc>
                <w:tcPr>
                  <w:tcW w:w="970" w:type="dxa"/>
                  <w:tcBorders>
                    <w:top w:val="single" w:sz="4" w:space="0" w:color="auto"/>
                    <w:left w:val="nil"/>
                    <w:bottom w:val="nil"/>
                    <w:right w:val="nil"/>
                  </w:tcBorders>
                  <w:vAlign w:val="center"/>
                </w:tcPr>
                <w:p w14:paraId="63ADC090" w14:textId="77777777" w:rsidR="00722460" w:rsidRPr="009B5064" w:rsidRDefault="00722460" w:rsidP="00722460">
                  <w:pPr>
                    <w:jc w:val="center"/>
                    <w:rPr>
                      <w:rFonts w:eastAsia="Times New Roman"/>
                      <w:sz w:val="20"/>
                      <w:shd w:val="clear" w:color="auto" w:fill="FFFFFF"/>
                    </w:rPr>
                  </w:pPr>
                </w:p>
              </w:tc>
              <w:tc>
                <w:tcPr>
                  <w:tcW w:w="1015" w:type="dxa"/>
                  <w:tcBorders>
                    <w:top w:val="single" w:sz="4" w:space="0" w:color="auto"/>
                    <w:left w:val="nil"/>
                    <w:bottom w:val="nil"/>
                    <w:right w:val="nil"/>
                  </w:tcBorders>
                  <w:vAlign w:val="center"/>
                </w:tcPr>
                <w:p w14:paraId="1BC1380B" w14:textId="77777777" w:rsidR="00722460" w:rsidRPr="009B5064" w:rsidRDefault="00722460" w:rsidP="00722460">
                  <w:pPr>
                    <w:jc w:val="center"/>
                    <w:rPr>
                      <w:rFonts w:eastAsia="Times New Roman"/>
                      <w:sz w:val="20"/>
                      <w:shd w:val="clear" w:color="auto" w:fill="FFFFFF"/>
                    </w:rPr>
                  </w:pPr>
                </w:p>
              </w:tc>
              <w:tc>
                <w:tcPr>
                  <w:tcW w:w="709" w:type="dxa"/>
                  <w:tcBorders>
                    <w:top w:val="single" w:sz="4" w:space="0" w:color="auto"/>
                    <w:left w:val="nil"/>
                    <w:bottom w:val="nil"/>
                    <w:right w:val="nil"/>
                  </w:tcBorders>
                  <w:vAlign w:val="center"/>
                </w:tcPr>
                <w:p w14:paraId="5E8FCEC4"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4DFC2E10" w14:textId="77777777" w:rsidR="00722460" w:rsidRPr="009B5064" w:rsidRDefault="00722460" w:rsidP="00722460">
                  <w:pPr>
                    <w:jc w:val="center"/>
                    <w:rPr>
                      <w:rFonts w:eastAsia="Times New Roman"/>
                      <w:sz w:val="20"/>
                      <w:shd w:val="clear" w:color="auto" w:fill="FFFFFF"/>
                    </w:rPr>
                  </w:pPr>
                </w:p>
              </w:tc>
              <w:tc>
                <w:tcPr>
                  <w:tcW w:w="850" w:type="dxa"/>
                  <w:tcBorders>
                    <w:top w:val="single" w:sz="4" w:space="0" w:color="auto"/>
                    <w:left w:val="nil"/>
                    <w:bottom w:val="nil"/>
                    <w:right w:val="nil"/>
                  </w:tcBorders>
                  <w:vAlign w:val="center"/>
                </w:tcPr>
                <w:p w14:paraId="5E7FF520" w14:textId="77777777" w:rsidR="00722460" w:rsidRPr="009B5064" w:rsidRDefault="00722460" w:rsidP="00722460">
                  <w:pPr>
                    <w:jc w:val="center"/>
                    <w:rPr>
                      <w:rFonts w:eastAsia="Times New Roman"/>
                      <w:sz w:val="20"/>
                      <w:shd w:val="clear" w:color="auto" w:fill="FFFFFF"/>
                    </w:rPr>
                  </w:pPr>
                </w:p>
              </w:tc>
            </w:tr>
            <w:tr w:rsidR="009B5064" w:rsidRPr="009B5064" w14:paraId="7718B1D2"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0754D2C4"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5C264E97"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Not at all</w:t>
                  </w:r>
                </w:p>
              </w:tc>
              <w:tc>
                <w:tcPr>
                  <w:tcW w:w="992" w:type="dxa"/>
                  <w:gridSpan w:val="2"/>
                  <w:tcBorders>
                    <w:top w:val="nil"/>
                    <w:left w:val="nil"/>
                    <w:bottom w:val="nil"/>
                    <w:right w:val="nil"/>
                  </w:tcBorders>
                  <w:vAlign w:val="center"/>
                </w:tcPr>
                <w:p w14:paraId="44A1E93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31.8</w:t>
                  </w:r>
                </w:p>
              </w:tc>
              <w:tc>
                <w:tcPr>
                  <w:tcW w:w="992" w:type="dxa"/>
                  <w:tcBorders>
                    <w:top w:val="nil"/>
                    <w:left w:val="nil"/>
                    <w:bottom w:val="nil"/>
                    <w:right w:val="nil"/>
                  </w:tcBorders>
                  <w:vAlign w:val="center"/>
                </w:tcPr>
                <w:p w14:paraId="127C040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31.1</w:t>
                  </w:r>
                </w:p>
              </w:tc>
              <w:tc>
                <w:tcPr>
                  <w:tcW w:w="851" w:type="dxa"/>
                  <w:tcBorders>
                    <w:top w:val="nil"/>
                    <w:left w:val="nil"/>
                    <w:bottom w:val="nil"/>
                    <w:right w:val="nil"/>
                  </w:tcBorders>
                  <w:vAlign w:val="center"/>
                </w:tcPr>
                <w:p w14:paraId="3AB414E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37.8</w:t>
                  </w:r>
                </w:p>
              </w:tc>
              <w:tc>
                <w:tcPr>
                  <w:tcW w:w="850" w:type="dxa"/>
                  <w:tcBorders>
                    <w:top w:val="nil"/>
                    <w:left w:val="nil"/>
                    <w:bottom w:val="nil"/>
                    <w:right w:val="nil"/>
                  </w:tcBorders>
                  <w:vAlign w:val="center"/>
                </w:tcPr>
                <w:p w14:paraId="2991D16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48.1</w:t>
                  </w:r>
                </w:p>
              </w:tc>
              <w:tc>
                <w:tcPr>
                  <w:tcW w:w="851" w:type="dxa"/>
                  <w:tcBorders>
                    <w:top w:val="nil"/>
                    <w:left w:val="nil"/>
                    <w:bottom w:val="nil"/>
                    <w:right w:val="nil"/>
                  </w:tcBorders>
                  <w:vAlign w:val="center"/>
                </w:tcPr>
                <w:p w14:paraId="5A1A67AE"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0.002</w:t>
                  </w:r>
                </w:p>
              </w:tc>
              <w:tc>
                <w:tcPr>
                  <w:tcW w:w="283" w:type="dxa"/>
                  <w:tcBorders>
                    <w:top w:val="nil"/>
                    <w:left w:val="nil"/>
                    <w:bottom w:val="nil"/>
                    <w:right w:val="nil"/>
                  </w:tcBorders>
                  <w:vAlign w:val="center"/>
                </w:tcPr>
                <w:p w14:paraId="42085833"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552C7C2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30.9</w:t>
                  </w:r>
                </w:p>
              </w:tc>
              <w:tc>
                <w:tcPr>
                  <w:tcW w:w="1015" w:type="dxa"/>
                  <w:tcBorders>
                    <w:top w:val="nil"/>
                    <w:left w:val="nil"/>
                    <w:bottom w:val="nil"/>
                    <w:right w:val="nil"/>
                  </w:tcBorders>
                  <w:vAlign w:val="center"/>
                </w:tcPr>
                <w:p w14:paraId="26A31BD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30.4</w:t>
                  </w:r>
                </w:p>
              </w:tc>
              <w:tc>
                <w:tcPr>
                  <w:tcW w:w="709" w:type="dxa"/>
                  <w:tcBorders>
                    <w:top w:val="nil"/>
                    <w:left w:val="nil"/>
                    <w:bottom w:val="nil"/>
                    <w:right w:val="nil"/>
                  </w:tcBorders>
                  <w:vAlign w:val="center"/>
                </w:tcPr>
                <w:p w14:paraId="5A70BC42"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29.4</w:t>
                  </w:r>
                </w:p>
              </w:tc>
              <w:tc>
                <w:tcPr>
                  <w:tcW w:w="850" w:type="dxa"/>
                  <w:tcBorders>
                    <w:top w:val="nil"/>
                    <w:left w:val="nil"/>
                    <w:bottom w:val="nil"/>
                    <w:right w:val="nil"/>
                  </w:tcBorders>
                  <w:vAlign w:val="center"/>
                </w:tcPr>
                <w:p w14:paraId="31F31B0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35.1</w:t>
                  </w:r>
                </w:p>
              </w:tc>
              <w:tc>
                <w:tcPr>
                  <w:tcW w:w="850" w:type="dxa"/>
                  <w:tcBorders>
                    <w:top w:val="nil"/>
                    <w:left w:val="nil"/>
                    <w:bottom w:val="nil"/>
                    <w:right w:val="nil"/>
                  </w:tcBorders>
                  <w:vAlign w:val="center"/>
                </w:tcPr>
                <w:p w14:paraId="56618AD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0.001</w:t>
                  </w:r>
                </w:p>
              </w:tc>
            </w:tr>
            <w:tr w:rsidR="009B5064" w:rsidRPr="009B5064" w14:paraId="3B84D85F"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096AC352"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5FD3E858"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Once in the past month</w:t>
                  </w:r>
                </w:p>
              </w:tc>
              <w:tc>
                <w:tcPr>
                  <w:tcW w:w="992" w:type="dxa"/>
                  <w:gridSpan w:val="2"/>
                  <w:tcBorders>
                    <w:top w:val="nil"/>
                    <w:left w:val="nil"/>
                    <w:bottom w:val="nil"/>
                    <w:right w:val="nil"/>
                  </w:tcBorders>
                  <w:vAlign w:val="center"/>
                </w:tcPr>
                <w:p w14:paraId="5F8563B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17.9</w:t>
                  </w:r>
                </w:p>
              </w:tc>
              <w:tc>
                <w:tcPr>
                  <w:tcW w:w="992" w:type="dxa"/>
                  <w:tcBorders>
                    <w:top w:val="nil"/>
                    <w:left w:val="nil"/>
                    <w:bottom w:val="nil"/>
                    <w:right w:val="nil"/>
                  </w:tcBorders>
                  <w:vAlign w:val="center"/>
                </w:tcPr>
                <w:p w14:paraId="1B4F44F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17.6</w:t>
                  </w:r>
                </w:p>
              </w:tc>
              <w:tc>
                <w:tcPr>
                  <w:tcW w:w="851" w:type="dxa"/>
                  <w:tcBorders>
                    <w:top w:val="nil"/>
                    <w:left w:val="nil"/>
                    <w:bottom w:val="nil"/>
                    <w:right w:val="nil"/>
                  </w:tcBorders>
                  <w:vAlign w:val="center"/>
                </w:tcPr>
                <w:p w14:paraId="4B15774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14.4</w:t>
                  </w:r>
                </w:p>
              </w:tc>
              <w:tc>
                <w:tcPr>
                  <w:tcW w:w="850" w:type="dxa"/>
                  <w:tcBorders>
                    <w:top w:val="nil"/>
                    <w:left w:val="nil"/>
                    <w:bottom w:val="nil"/>
                    <w:right w:val="nil"/>
                  </w:tcBorders>
                  <w:vAlign w:val="center"/>
                </w:tcPr>
                <w:p w14:paraId="118D6D1C"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13.6</w:t>
                  </w:r>
                </w:p>
              </w:tc>
              <w:tc>
                <w:tcPr>
                  <w:tcW w:w="851" w:type="dxa"/>
                  <w:tcBorders>
                    <w:top w:val="nil"/>
                    <w:left w:val="nil"/>
                    <w:bottom w:val="nil"/>
                    <w:right w:val="nil"/>
                  </w:tcBorders>
                  <w:vAlign w:val="center"/>
                </w:tcPr>
                <w:p w14:paraId="799F72E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bottom w:val="nil"/>
                    <w:right w:val="nil"/>
                  </w:tcBorders>
                  <w:vAlign w:val="center"/>
                </w:tcPr>
                <w:p w14:paraId="75072C47"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2F3A9A7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10.0</w:t>
                  </w:r>
                </w:p>
              </w:tc>
              <w:tc>
                <w:tcPr>
                  <w:tcW w:w="1015" w:type="dxa"/>
                  <w:tcBorders>
                    <w:top w:val="nil"/>
                    <w:left w:val="nil"/>
                    <w:bottom w:val="nil"/>
                    <w:right w:val="nil"/>
                  </w:tcBorders>
                  <w:vAlign w:val="center"/>
                </w:tcPr>
                <w:p w14:paraId="764414F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18.8</w:t>
                  </w:r>
                </w:p>
              </w:tc>
              <w:tc>
                <w:tcPr>
                  <w:tcW w:w="709" w:type="dxa"/>
                  <w:tcBorders>
                    <w:top w:val="nil"/>
                    <w:left w:val="nil"/>
                    <w:bottom w:val="nil"/>
                    <w:right w:val="nil"/>
                  </w:tcBorders>
                  <w:vAlign w:val="center"/>
                </w:tcPr>
                <w:p w14:paraId="2CE4B30D"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20.3</w:t>
                  </w:r>
                </w:p>
              </w:tc>
              <w:tc>
                <w:tcPr>
                  <w:tcW w:w="850" w:type="dxa"/>
                  <w:tcBorders>
                    <w:top w:val="nil"/>
                    <w:left w:val="nil"/>
                    <w:bottom w:val="nil"/>
                    <w:right w:val="nil"/>
                  </w:tcBorders>
                  <w:vAlign w:val="center"/>
                </w:tcPr>
                <w:p w14:paraId="5CB5CE7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28.5</w:t>
                  </w:r>
                </w:p>
              </w:tc>
              <w:tc>
                <w:tcPr>
                  <w:tcW w:w="850" w:type="dxa"/>
                  <w:tcBorders>
                    <w:top w:val="nil"/>
                    <w:left w:val="nil"/>
                    <w:bottom w:val="nil"/>
                    <w:right w:val="nil"/>
                  </w:tcBorders>
                  <w:vAlign w:val="center"/>
                </w:tcPr>
                <w:p w14:paraId="45BE95C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67E892A8"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726D8F9F" w14:textId="77777777" w:rsidR="00722460" w:rsidRPr="009B5064" w:rsidRDefault="00722460" w:rsidP="00722460">
                  <w:pPr>
                    <w:rPr>
                      <w:rFonts w:eastAsia="Times New Roman"/>
                      <w:sz w:val="20"/>
                      <w:shd w:val="clear" w:color="auto" w:fill="FFFFFF"/>
                    </w:rPr>
                  </w:pPr>
                </w:p>
              </w:tc>
              <w:tc>
                <w:tcPr>
                  <w:tcW w:w="1985" w:type="dxa"/>
                  <w:tcBorders>
                    <w:top w:val="nil"/>
                    <w:left w:val="nil"/>
                    <w:bottom w:val="nil"/>
                    <w:right w:val="nil"/>
                  </w:tcBorders>
                  <w:vAlign w:val="center"/>
                </w:tcPr>
                <w:p w14:paraId="702BC22A"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2-3 times in the past month</w:t>
                  </w:r>
                </w:p>
              </w:tc>
              <w:tc>
                <w:tcPr>
                  <w:tcW w:w="992" w:type="dxa"/>
                  <w:gridSpan w:val="2"/>
                  <w:tcBorders>
                    <w:top w:val="nil"/>
                    <w:left w:val="nil"/>
                    <w:bottom w:val="nil"/>
                    <w:right w:val="nil"/>
                  </w:tcBorders>
                  <w:vAlign w:val="center"/>
                </w:tcPr>
                <w:p w14:paraId="59C4CBC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23.3</w:t>
                  </w:r>
                </w:p>
              </w:tc>
              <w:tc>
                <w:tcPr>
                  <w:tcW w:w="992" w:type="dxa"/>
                  <w:tcBorders>
                    <w:top w:val="nil"/>
                    <w:left w:val="nil"/>
                    <w:bottom w:val="nil"/>
                    <w:right w:val="nil"/>
                  </w:tcBorders>
                  <w:vAlign w:val="center"/>
                </w:tcPr>
                <w:p w14:paraId="6DC986C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25.8</w:t>
                  </w:r>
                </w:p>
              </w:tc>
              <w:tc>
                <w:tcPr>
                  <w:tcW w:w="851" w:type="dxa"/>
                  <w:tcBorders>
                    <w:top w:val="nil"/>
                    <w:left w:val="nil"/>
                    <w:bottom w:val="nil"/>
                    <w:right w:val="nil"/>
                  </w:tcBorders>
                  <w:vAlign w:val="center"/>
                </w:tcPr>
                <w:p w14:paraId="6743533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22.7</w:t>
                  </w:r>
                </w:p>
              </w:tc>
              <w:tc>
                <w:tcPr>
                  <w:tcW w:w="850" w:type="dxa"/>
                  <w:tcBorders>
                    <w:top w:val="nil"/>
                    <w:left w:val="nil"/>
                    <w:bottom w:val="nil"/>
                    <w:right w:val="nil"/>
                  </w:tcBorders>
                  <w:vAlign w:val="center"/>
                </w:tcPr>
                <w:p w14:paraId="1CDC01F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15.4</w:t>
                  </w:r>
                </w:p>
              </w:tc>
              <w:tc>
                <w:tcPr>
                  <w:tcW w:w="851" w:type="dxa"/>
                  <w:tcBorders>
                    <w:top w:val="nil"/>
                    <w:left w:val="nil"/>
                    <w:bottom w:val="nil"/>
                    <w:right w:val="nil"/>
                  </w:tcBorders>
                  <w:vAlign w:val="center"/>
                </w:tcPr>
                <w:p w14:paraId="3F44B8F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bottom w:val="nil"/>
                    <w:right w:val="nil"/>
                  </w:tcBorders>
                  <w:vAlign w:val="center"/>
                </w:tcPr>
                <w:p w14:paraId="4A790A8A"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bottom w:val="nil"/>
                    <w:right w:val="nil"/>
                  </w:tcBorders>
                  <w:vAlign w:val="center"/>
                </w:tcPr>
                <w:p w14:paraId="2096210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29.7</w:t>
                  </w:r>
                </w:p>
              </w:tc>
              <w:tc>
                <w:tcPr>
                  <w:tcW w:w="1015" w:type="dxa"/>
                  <w:tcBorders>
                    <w:top w:val="nil"/>
                    <w:left w:val="nil"/>
                    <w:bottom w:val="nil"/>
                    <w:right w:val="nil"/>
                  </w:tcBorders>
                  <w:vAlign w:val="center"/>
                </w:tcPr>
                <w:p w14:paraId="3A7EF68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26.1</w:t>
                  </w:r>
                </w:p>
              </w:tc>
              <w:tc>
                <w:tcPr>
                  <w:tcW w:w="709" w:type="dxa"/>
                  <w:tcBorders>
                    <w:top w:val="nil"/>
                    <w:left w:val="nil"/>
                    <w:bottom w:val="nil"/>
                    <w:right w:val="nil"/>
                  </w:tcBorders>
                  <w:vAlign w:val="center"/>
                </w:tcPr>
                <w:p w14:paraId="33C41D64"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26.2</w:t>
                  </w:r>
                </w:p>
              </w:tc>
              <w:tc>
                <w:tcPr>
                  <w:tcW w:w="850" w:type="dxa"/>
                  <w:tcBorders>
                    <w:top w:val="nil"/>
                    <w:left w:val="nil"/>
                    <w:bottom w:val="nil"/>
                    <w:right w:val="nil"/>
                  </w:tcBorders>
                  <w:vAlign w:val="center"/>
                </w:tcPr>
                <w:p w14:paraId="05A84D57"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20.5</w:t>
                  </w:r>
                </w:p>
              </w:tc>
              <w:tc>
                <w:tcPr>
                  <w:tcW w:w="850" w:type="dxa"/>
                  <w:tcBorders>
                    <w:top w:val="nil"/>
                    <w:left w:val="nil"/>
                    <w:bottom w:val="nil"/>
                    <w:right w:val="nil"/>
                  </w:tcBorders>
                  <w:vAlign w:val="center"/>
                </w:tcPr>
                <w:p w14:paraId="24ABA51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60FD607E" w14:textId="77777777" w:rsidTr="00D52346">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tcPr>
                <w:p w14:paraId="604F1F2E" w14:textId="77777777" w:rsidR="00722460" w:rsidRPr="009B5064" w:rsidRDefault="00722460" w:rsidP="00722460">
                  <w:pPr>
                    <w:rPr>
                      <w:rFonts w:eastAsia="Times New Roman"/>
                      <w:sz w:val="20"/>
                      <w:shd w:val="clear" w:color="auto" w:fill="FFFFFF"/>
                    </w:rPr>
                  </w:pPr>
                </w:p>
              </w:tc>
              <w:tc>
                <w:tcPr>
                  <w:tcW w:w="1985" w:type="dxa"/>
                  <w:tcBorders>
                    <w:top w:val="nil"/>
                    <w:left w:val="nil"/>
                    <w:bottom w:val="single" w:sz="4" w:space="0" w:color="auto"/>
                    <w:right w:val="nil"/>
                  </w:tcBorders>
                  <w:vAlign w:val="center"/>
                </w:tcPr>
                <w:p w14:paraId="566C13FB"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Once a week or more</w:t>
                  </w:r>
                </w:p>
              </w:tc>
              <w:tc>
                <w:tcPr>
                  <w:tcW w:w="992" w:type="dxa"/>
                  <w:gridSpan w:val="2"/>
                  <w:tcBorders>
                    <w:top w:val="nil"/>
                    <w:left w:val="nil"/>
                    <w:right w:val="nil"/>
                  </w:tcBorders>
                  <w:vAlign w:val="center"/>
                </w:tcPr>
                <w:p w14:paraId="0B477015"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26.9</w:t>
                  </w:r>
                </w:p>
              </w:tc>
              <w:tc>
                <w:tcPr>
                  <w:tcW w:w="992" w:type="dxa"/>
                  <w:tcBorders>
                    <w:top w:val="nil"/>
                    <w:left w:val="nil"/>
                    <w:right w:val="nil"/>
                  </w:tcBorders>
                  <w:vAlign w:val="center"/>
                </w:tcPr>
                <w:p w14:paraId="4EA39EA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25.5</w:t>
                  </w:r>
                </w:p>
              </w:tc>
              <w:tc>
                <w:tcPr>
                  <w:tcW w:w="851" w:type="dxa"/>
                  <w:tcBorders>
                    <w:top w:val="nil"/>
                    <w:left w:val="nil"/>
                    <w:right w:val="nil"/>
                  </w:tcBorders>
                  <w:vAlign w:val="center"/>
                </w:tcPr>
                <w:p w14:paraId="760B7D3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25.2</w:t>
                  </w:r>
                </w:p>
              </w:tc>
              <w:tc>
                <w:tcPr>
                  <w:tcW w:w="850" w:type="dxa"/>
                  <w:tcBorders>
                    <w:top w:val="nil"/>
                    <w:left w:val="nil"/>
                    <w:right w:val="nil"/>
                  </w:tcBorders>
                  <w:vAlign w:val="center"/>
                </w:tcPr>
                <w:p w14:paraId="31D0429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22.8</w:t>
                  </w:r>
                </w:p>
              </w:tc>
              <w:tc>
                <w:tcPr>
                  <w:tcW w:w="851" w:type="dxa"/>
                  <w:tcBorders>
                    <w:top w:val="nil"/>
                    <w:left w:val="nil"/>
                    <w:right w:val="nil"/>
                  </w:tcBorders>
                  <w:vAlign w:val="center"/>
                </w:tcPr>
                <w:p w14:paraId="1D973B9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c>
                <w:tcPr>
                  <w:tcW w:w="283" w:type="dxa"/>
                  <w:tcBorders>
                    <w:top w:val="nil"/>
                    <w:left w:val="nil"/>
                    <w:right w:val="nil"/>
                  </w:tcBorders>
                  <w:vAlign w:val="center"/>
                </w:tcPr>
                <w:p w14:paraId="4DD644E2" w14:textId="77777777" w:rsidR="00722460" w:rsidRPr="009B5064" w:rsidRDefault="00722460" w:rsidP="00722460">
                  <w:pPr>
                    <w:jc w:val="center"/>
                    <w:rPr>
                      <w:rFonts w:eastAsia="Times New Roman"/>
                      <w:sz w:val="20"/>
                      <w:shd w:val="clear" w:color="auto" w:fill="FFFFFF"/>
                    </w:rPr>
                  </w:pPr>
                </w:p>
              </w:tc>
              <w:tc>
                <w:tcPr>
                  <w:tcW w:w="970" w:type="dxa"/>
                  <w:tcBorders>
                    <w:top w:val="nil"/>
                    <w:left w:val="nil"/>
                    <w:right w:val="nil"/>
                  </w:tcBorders>
                  <w:vAlign w:val="center"/>
                </w:tcPr>
                <w:p w14:paraId="301D65F3"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29.3</w:t>
                  </w:r>
                </w:p>
              </w:tc>
              <w:tc>
                <w:tcPr>
                  <w:tcW w:w="1015" w:type="dxa"/>
                  <w:tcBorders>
                    <w:top w:val="nil"/>
                    <w:left w:val="nil"/>
                    <w:right w:val="nil"/>
                  </w:tcBorders>
                  <w:vAlign w:val="center"/>
                </w:tcPr>
                <w:p w14:paraId="72DCD891"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24.8</w:t>
                  </w:r>
                </w:p>
              </w:tc>
              <w:tc>
                <w:tcPr>
                  <w:tcW w:w="709" w:type="dxa"/>
                  <w:tcBorders>
                    <w:top w:val="nil"/>
                    <w:left w:val="nil"/>
                    <w:right w:val="nil"/>
                  </w:tcBorders>
                  <w:vAlign w:val="center"/>
                </w:tcPr>
                <w:p w14:paraId="1D6D22D9"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24.1</w:t>
                  </w:r>
                </w:p>
              </w:tc>
              <w:tc>
                <w:tcPr>
                  <w:tcW w:w="850" w:type="dxa"/>
                  <w:tcBorders>
                    <w:top w:val="nil"/>
                    <w:left w:val="nil"/>
                    <w:right w:val="nil"/>
                  </w:tcBorders>
                  <w:vAlign w:val="center"/>
                </w:tcPr>
                <w:p w14:paraId="7EDE8F2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15.9</w:t>
                  </w:r>
                </w:p>
              </w:tc>
              <w:tc>
                <w:tcPr>
                  <w:tcW w:w="850" w:type="dxa"/>
                  <w:tcBorders>
                    <w:top w:val="nil"/>
                    <w:left w:val="nil"/>
                    <w:right w:val="nil"/>
                  </w:tcBorders>
                  <w:vAlign w:val="center"/>
                </w:tcPr>
                <w:p w14:paraId="3B26F7CE"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w:t>
                  </w:r>
                </w:p>
              </w:tc>
            </w:tr>
            <w:tr w:rsidR="009B5064" w:rsidRPr="009B5064" w14:paraId="5CAFF2F6" w14:textId="77777777" w:rsidTr="00722460">
              <w:tblPrEx>
                <w:tblBorders>
                  <w:left w:val="single" w:sz="4" w:space="0" w:color="auto"/>
                  <w:right w:val="single" w:sz="4" w:space="0" w:color="auto"/>
                  <w:insideV w:val="single" w:sz="4" w:space="0" w:color="auto"/>
                </w:tblBorders>
              </w:tblPrEx>
              <w:tc>
                <w:tcPr>
                  <w:tcW w:w="11482" w:type="dxa"/>
                  <w:gridSpan w:val="14"/>
                  <w:tcBorders>
                    <w:top w:val="single" w:sz="4" w:space="0" w:color="auto"/>
                    <w:left w:val="nil"/>
                    <w:bottom w:val="nil"/>
                    <w:right w:val="nil"/>
                  </w:tcBorders>
                  <w:vAlign w:val="center"/>
                </w:tcPr>
                <w:p w14:paraId="736BA6A0"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vertAlign w:val="superscript"/>
                    </w:rPr>
                    <w:t xml:space="preserve">1 </w:t>
                  </w:r>
                  <w:r w:rsidRPr="009B5064">
                    <w:rPr>
                      <w:rFonts w:eastAsia="Times New Roman"/>
                      <w:sz w:val="20"/>
                      <w:shd w:val="clear" w:color="auto" w:fill="FFFFFF"/>
                    </w:rPr>
                    <w:t>Unweighted sample sizes.</w:t>
                  </w:r>
                </w:p>
                <w:p w14:paraId="03E434B3" w14:textId="77777777" w:rsidR="00722460" w:rsidRPr="009B5064" w:rsidRDefault="00722460" w:rsidP="00722460">
                  <w:pPr>
                    <w:rPr>
                      <w:rFonts w:cs="Arial"/>
                      <w:sz w:val="20"/>
                      <w:szCs w:val="20"/>
                    </w:rPr>
                  </w:pPr>
                  <w:r w:rsidRPr="009B5064">
                    <w:rPr>
                      <w:rFonts w:cs="Arial"/>
                      <w:sz w:val="20"/>
                      <w:szCs w:val="20"/>
                    </w:rPr>
                    <w:t xml:space="preserve">Values are percentages unless otherwise stated. </w:t>
                  </w:r>
                </w:p>
                <w:p w14:paraId="64C67225" w14:textId="77777777" w:rsidR="00722460" w:rsidRPr="009B5064" w:rsidRDefault="00722460" w:rsidP="00722460">
                  <w:pPr>
                    <w:rPr>
                      <w:rFonts w:cs="Arial"/>
                      <w:sz w:val="20"/>
                      <w:szCs w:val="20"/>
                    </w:rPr>
                  </w:pPr>
                  <w:r w:rsidRPr="009B5064">
                    <w:rPr>
                      <w:rFonts w:cs="Arial"/>
                      <w:sz w:val="20"/>
                      <w:szCs w:val="20"/>
                    </w:rPr>
                    <w:t>All figures are weighted for sampling probabilities and differential non-response.</w:t>
                  </w:r>
                </w:p>
                <w:p w14:paraId="2C15DB58" w14:textId="77777777" w:rsidR="00722460" w:rsidRPr="009B5064" w:rsidRDefault="00722460" w:rsidP="00722460">
                  <w:pPr>
                    <w:rPr>
                      <w:rFonts w:cs="Arial"/>
                      <w:sz w:val="20"/>
                      <w:szCs w:val="20"/>
                    </w:rPr>
                  </w:pPr>
                  <w:r w:rsidRPr="009B5064">
                    <w:rPr>
                      <w:rFonts w:cs="Arial"/>
                      <w:sz w:val="20"/>
                      <w:szCs w:val="20"/>
                    </w:rPr>
                    <w:t>SD = standard deviation, CVD = cardiovascular disease.</w:t>
                  </w:r>
                </w:p>
                <w:p w14:paraId="5D8C9A01" w14:textId="77777777" w:rsidR="00722460" w:rsidRPr="009B5064" w:rsidRDefault="00722460" w:rsidP="00722460">
                  <w:pPr>
                    <w:rPr>
                      <w:rFonts w:cs="Arial"/>
                      <w:sz w:val="20"/>
                      <w:szCs w:val="20"/>
                    </w:rPr>
                  </w:pPr>
                  <w:r w:rsidRPr="009B5064">
                    <w:rPr>
                      <w:rFonts w:cstheme="minorHAnsi"/>
                      <w:sz w:val="20"/>
                      <w:szCs w:val="20"/>
                      <w:vertAlign w:val="superscript"/>
                    </w:rPr>
                    <w:t>2</w:t>
                  </w:r>
                  <w:r w:rsidRPr="009B5064">
                    <w:rPr>
                      <w:rFonts w:cs="Arial"/>
                      <w:sz w:val="20"/>
                      <w:szCs w:val="20"/>
                    </w:rPr>
                    <w:t>Never/rarely = never – once or twice a year; regularly = once every 2 months – twice a week; frequently = 3 days a week – almost every day.</w:t>
                  </w:r>
                </w:p>
                <w:p w14:paraId="75FD0CCD" w14:textId="77777777" w:rsidR="00722460" w:rsidRPr="009B5064" w:rsidRDefault="00722460" w:rsidP="00722460">
                  <w:pPr>
                    <w:rPr>
                      <w:rFonts w:cstheme="minorHAnsi"/>
                      <w:sz w:val="20"/>
                      <w:szCs w:val="20"/>
                    </w:rPr>
                  </w:pPr>
                  <w:r w:rsidRPr="009B5064">
                    <w:rPr>
                      <w:rFonts w:cstheme="minorHAnsi"/>
                      <w:sz w:val="20"/>
                      <w:szCs w:val="20"/>
                      <w:vertAlign w:val="superscript"/>
                    </w:rPr>
                    <w:t>3</w:t>
                  </w:r>
                  <w:r w:rsidRPr="009B5064">
                    <w:rPr>
                      <w:rFonts w:cstheme="minorHAnsi"/>
                      <w:sz w:val="20"/>
                      <w:szCs w:val="20"/>
                    </w:rPr>
                    <w:t xml:space="preserve"> Any sexual activity in the last year.</w:t>
                  </w:r>
                </w:p>
                <w:p w14:paraId="07E0F8A8" w14:textId="77777777" w:rsidR="00722460" w:rsidRPr="009B5064" w:rsidRDefault="00722460" w:rsidP="00722460">
                  <w:pPr>
                    <w:rPr>
                      <w:rFonts w:eastAsia="Times New Roman"/>
                      <w:sz w:val="20"/>
                      <w:shd w:val="clear" w:color="auto" w:fill="FFFFFF"/>
                    </w:rPr>
                  </w:pPr>
                  <w:r w:rsidRPr="009B5064">
                    <w:rPr>
                      <w:rFonts w:cstheme="minorHAnsi"/>
                      <w:sz w:val="20"/>
                      <w:szCs w:val="20"/>
                      <w:vertAlign w:val="superscript"/>
                    </w:rPr>
                    <w:t>4</w:t>
                  </w:r>
                  <w:r w:rsidRPr="009B5064">
                    <w:rPr>
                      <w:rFonts w:cstheme="minorHAnsi"/>
                      <w:sz w:val="20"/>
                      <w:szCs w:val="20"/>
                    </w:rPr>
                    <w:t xml:space="preserve"> In the last month, among participants who reported being sexually active.</w:t>
                  </w:r>
                </w:p>
              </w:tc>
            </w:tr>
          </w:tbl>
          <w:p w14:paraId="6508AE77" w14:textId="77777777" w:rsidR="00722460" w:rsidRPr="009B5064" w:rsidRDefault="00722460" w:rsidP="00722460">
            <w:pPr>
              <w:rPr>
                <w:rFonts w:eastAsia="Times New Roman"/>
                <w:sz w:val="20"/>
                <w:shd w:val="clear" w:color="auto" w:fill="FFFFFF"/>
                <w:vertAlign w:val="superscript"/>
              </w:rPr>
            </w:pPr>
          </w:p>
        </w:tc>
      </w:tr>
    </w:tbl>
    <w:p w14:paraId="16D97723" w14:textId="77777777" w:rsidR="00722460" w:rsidRPr="009B5064" w:rsidRDefault="00722460" w:rsidP="00722460">
      <w:pPr>
        <w:spacing w:after="160" w:line="259" w:lineRule="auto"/>
      </w:pPr>
      <w:r w:rsidRPr="009B5064">
        <w:lastRenderedPageBreak/>
        <w:br w:type="page"/>
      </w:r>
    </w:p>
    <w:p w14:paraId="2FBC3D87" w14:textId="77777777" w:rsidR="00722460" w:rsidRPr="009B5064" w:rsidRDefault="00722460" w:rsidP="00722460">
      <w:pPr>
        <w:sectPr w:rsidR="00722460" w:rsidRPr="009B5064" w:rsidSect="00722460">
          <w:pgSz w:w="11906" w:h="16838"/>
          <w:pgMar w:top="1440" w:right="1440" w:bottom="1440" w:left="1440" w:header="708" w:footer="708" w:gutter="0"/>
          <w:cols w:space="708"/>
          <w:docGrid w:linePitch="360"/>
        </w:sectPr>
      </w:pPr>
    </w:p>
    <w:p w14:paraId="63912647" w14:textId="77777777" w:rsidR="00722460" w:rsidRPr="009B5064" w:rsidRDefault="00722460" w:rsidP="00722460">
      <w:pPr>
        <w:tabs>
          <w:tab w:val="left" w:pos="1360"/>
        </w:tabs>
      </w:pPr>
      <w:r w:rsidRPr="009B5064">
        <w:lastRenderedPageBreak/>
        <w:tab/>
      </w:r>
    </w:p>
    <w:tbl>
      <w:tblPr>
        <w:tblStyle w:val="TableGrid"/>
        <w:tblpPr w:leftFromText="180" w:rightFromText="180" w:vertAnchor="text" w:horzAnchor="margin" w:tblpXSpec="center" w:tblpY="-44"/>
        <w:tblW w:w="13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5"/>
        <w:gridCol w:w="2126"/>
        <w:gridCol w:w="1842"/>
        <w:gridCol w:w="1985"/>
        <w:gridCol w:w="283"/>
        <w:gridCol w:w="1843"/>
        <w:gridCol w:w="1703"/>
        <w:gridCol w:w="1686"/>
        <w:gridCol w:w="8"/>
        <w:gridCol w:w="7"/>
      </w:tblGrid>
      <w:tr w:rsidR="009B5064" w:rsidRPr="009B5064" w14:paraId="2287B1C3" w14:textId="77777777" w:rsidTr="00CF0DE1">
        <w:trPr>
          <w:gridAfter w:val="2"/>
          <w:wAfter w:w="15" w:type="dxa"/>
        </w:trPr>
        <w:tc>
          <w:tcPr>
            <w:tcW w:w="13453" w:type="dxa"/>
            <w:gridSpan w:val="8"/>
            <w:tcBorders>
              <w:top w:val="nil"/>
              <w:bottom w:val="single" w:sz="8" w:space="0" w:color="auto"/>
            </w:tcBorders>
          </w:tcPr>
          <w:p w14:paraId="52766183" w14:textId="77777777" w:rsidR="00722460" w:rsidRPr="009B5064" w:rsidRDefault="00722460" w:rsidP="00722460">
            <w:pPr>
              <w:rPr>
                <w:rFonts w:eastAsia="Times New Roman"/>
                <w:b/>
                <w:sz w:val="20"/>
              </w:rPr>
            </w:pPr>
            <w:r w:rsidRPr="009B5064">
              <w:rPr>
                <w:rFonts w:eastAsia="Times New Roman"/>
                <w:b/>
                <w:sz w:val="20"/>
              </w:rPr>
              <w:t xml:space="preserve">Table </w:t>
            </w:r>
            <w:r w:rsidRPr="009B5064">
              <w:rPr>
                <w:rFonts w:eastAsia="Times New Roman"/>
                <w:b/>
                <w:noProof/>
                <w:sz w:val="20"/>
              </w:rPr>
              <w:t>2</w:t>
            </w:r>
            <w:r w:rsidR="00A533EA" w:rsidRPr="009B5064">
              <w:rPr>
                <w:rFonts w:eastAsia="Times New Roman"/>
                <w:b/>
                <w:noProof/>
                <w:sz w:val="20"/>
              </w:rPr>
              <w:t xml:space="preserve"> </w:t>
            </w:r>
            <w:r w:rsidRPr="009B5064">
              <w:rPr>
                <w:rFonts w:eastAsia="Times New Roman"/>
                <w:sz w:val="20"/>
              </w:rPr>
              <w:t>Associations between self-rated eyesight and any sexual activity in the last year in older men and women</w:t>
            </w:r>
          </w:p>
        </w:tc>
      </w:tr>
      <w:tr w:rsidR="009B5064" w:rsidRPr="009B5064" w14:paraId="1DA9382B" w14:textId="77777777" w:rsidTr="00CF0DE1">
        <w:tblPrEx>
          <w:tblBorders>
            <w:left w:val="single" w:sz="4" w:space="0" w:color="auto"/>
            <w:right w:val="single" w:sz="4" w:space="0" w:color="auto"/>
            <w:insideV w:val="single" w:sz="4" w:space="0" w:color="auto"/>
          </w:tblBorders>
        </w:tblPrEx>
        <w:trPr>
          <w:gridAfter w:val="1"/>
          <w:wAfter w:w="7" w:type="dxa"/>
        </w:trPr>
        <w:tc>
          <w:tcPr>
            <w:tcW w:w="1985" w:type="dxa"/>
            <w:vMerge w:val="restart"/>
            <w:tcBorders>
              <w:top w:val="nil"/>
              <w:left w:val="nil"/>
              <w:right w:val="nil"/>
            </w:tcBorders>
            <w:vAlign w:val="bottom"/>
          </w:tcPr>
          <w:p w14:paraId="4ABB5124" w14:textId="77777777" w:rsidR="00722460" w:rsidRPr="009B5064" w:rsidRDefault="00722460" w:rsidP="00722460">
            <w:pPr>
              <w:rPr>
                <w:rFonts w:eastAsia="Times New Roman"/>
                <w:b/>
                <w:sz w:val="20"/>
                <w:shd w:val="clear" w:color="auto" w:fill="FFFFFF"/>
              </w:rPr>
            </w:pPr>
            <w:r w:rsidRPr="009B5064">
              <w:rPr>
                <w:rFonts w:eastAsia="Times New Roman"/>
                <w:b/>
                <w:sz w:val="20"/>
                <w:shd w:val="clear" w:color="auto" w:fill="FFFFFF"/>
              </w:rPr>
              <w:t>Rating</w:t>
            </w:r>
          </w:p>
        </w:tc>
        <w:tc>
          <w:tcPr>
            <w:tcW w:w="5953" w:type="dxa"/>
            <w:gridSpan w:val="3"/>
            <w:tcBorders>
              <w:top w:val="single" w:sz="4" w:space="0" w:color="auto"/>
              <w:left w:val="nil"/>
              <w:bottom w:val="single" w:sz="4" w:space="0" w:color="auto"/>
              <w:right w:val="nil"/>
            </w:tcBorders>
            <w:vAlign w:val="center"/>
          </w:tcPr>
          <w:p w14:paraId="0F24C0FA" w14:textId="77777777" w:rsidR="00722460" w:rsidRPr="009B5064" w:rsidRDefault="00722460" w:rsidP="00722460">
            <w:pPr>
              <w:jc w:val="center"/>
              <w:rPr>
                <w:rFonts w:eastAsia="Times New Roman"/>
                <w:b/>
                <w:sz w:val="20"/>
                <w:shd w:val="clear" w:color="auto" w:fill="FFFFFF"/>
              </w:rPr>
            </w:pPr>
            <w:r w:rsidRPr="009B5064">
              <w:rPr>
                <w:rFonts w:eastAsia="Times New Roman"/>
                <w:b/>
                <w:sz w:val="20"/>
                <w:shd w:val="clear" w:color="auto" w:fill="FFFFFF"/>
              </w:rPr>
              <w:t>Men</w:t>
            </w:r>
          </w:p>
        </w:tc>
        <w:tc>
          <w:tcPr>
            <w:tcW w:w="283" w:type="dxa"/>
            <w:tcBorders>
              <w:top w:val="nil"/>
              <w:left w:val="nil"/>
              <w:bottom w:val="nil"/>
              <w:right w:val="nil"/>
            </w:tcBorders>
          </w:tcPr>
          <w:p w14:paraId="100BE3B5" w14:textId="77777777" w:rsidR="00722460" w:rsidRPr="009B5064" w:rsidRDefault="00722460" w:rsidP="00722460">
            <w:pPr>
              <w:jc w:val="center"/>
              <w:rPr>
                <w:rFonts w:eastAsia="Times New Roman"/>
                <w:b/>
                <w:i/>
                <w:sz w:val="20"/>
                <w:shd w:val="clear" w:color="auto" w:fill="FFFFFF"/>
              </w:rPr>
            </w:pPr>
          </w:p>
        </w:tc>
        <w:tc>
          <w:tcPr>
            <w:tcW w:w="5240" w:type="dxa"/>
            <w:gridSpan w:val="4"/>
            <w:tcBorders>
              <w:top w:val="nil"/>
              <w:left w:val="nil"/>
              <w:bottom w:val="single" w:sz="4" w:space="0" w:color="auto"/>
              <w:right w:val="nil"/>
            </w:tcBorders>
            <w:vAlign w:val="center"/>
          </w:tcPr>
          <w:p w14:paraId="332B42AA" w14:textId="77777777" w:rsidR="00722460" w:rsidRPr="009B5064" w:rsidRDefault="00722460" w:rsidP="00722460">
            <w:pPr>
              <w:jc w:val="center"/>
              <w:rPr>
                <w:rFonts w:eastAsia="Times New Roman"/>
                <w:b/>
                <w:sz w:val="20"/>
                <w:shd w:val="clear" w:color="auto" w:fill="FFFFFF"/>
              </w:rPr>
            </w:pPr>
            <w:r w:rsidRPr="009B5064">
              <w:rPr>
                <w:rFonts w:eastAsia="Times New Roman"/>
                <w:b/>
                <w:sz w:val="20"/>
                <w:shd w:val="clear" w:color="auto" w:fill="FFFFFF"/>
              </w:rPr>
              <w:t>Women</w:t>
            </w:r>
          </w:p>
        </w:tc>
      </w:tr>
      <w:tr w:rsidR="009B5064" w:rsidRPr="009B5064" w14:paraId="34B56093" w14:textId="77777777" w:rsidTr="00CF0DE1">
        <w:tblPrEx>
          <w:tblBorders>
            <w:left w:val="single" w:sz="4" w:space="0" w:color="auto"/>
            <w:right w:val="single" w:sz="4" w:space="0" w:color="auto"/>
            <w:insideV w:val="single" w:sz="4" w:space="0" w:color="auto"/>
          </w:tblBorders>
        </w:tblPrEx>
        <w:tc>
          <w:tcPr>
            <w:tcW w:w="1985" w:type="dxa"/>
            <w:vMerge/>
            <w:tcBorders>
              <w:left w:val="nil"/>
              <w:bottom w:val="single" w:sz="4" w:space="0" w:color="auto"/>
              <w:right w:val="nil"/>
            </w:tcBorders>
            <w:vAlign w:val="center"/>
          </w:tcPr>
          <w:p w14:paraId="7FDC9D3D" w14:textId="77777777" w:rsidR="00722460" w:rsidRPr="009B5064" w:rsidRDefault="00722460" w:rsidP="00722460">
            <w:pPr>
              <w:jc w:val="center"/>
              <w:rPr>
                <w:rFonts w:eastAsia="Times New Roman"/>
                <w:sz w:val="20"/>
                <w:shd w:val="clear" w:color="auto" w:fill="FFFFFF"/>
              </w:rPr>
            </w:pPr>
          </w:p>
        </w:tc>
        <w:tc>
          <w:tcPr>
            <w:tcW w:w="2126" w:type="dxa"/>
            <w:tcBorders>
              <w:top w:val="single" w:sz="4" w:space="0" w:color="auto"/>
              <w:left w:val="nil"/>
              <w:bottom w:val="single" w:sz="4" w:space="0" w:color="auto"/>
              <w:right w:val="nil"/>
            </w:tcBorders>
            <w:vAlign w:val="center"/>
          </w:tcPr>
          <w:p w14:paraId="4D892246" w14:textId="77777777" w:rsidR="00722460" w:rsidRPr="009B5064" w:rsidRDefault="00722460" w:rsidP="00722460">
            <w:pPr>
              <w:jc w:val="center"/>
              <w:rPr>
                <w:rFonts w:eastAsia="Times New Roman"/>
                <w:b/>
                <w:sz w:val="20"/>
                <w:shd w:val="clear" w:color="auto" w:fill="FFFFFF"/>
              </w:rPr>
            </w:pPr>
            <w:r w:rsidRPr="009B5064">
              <w:rPr>
                <w:rFonts w:eastAsia="Times New Roman"/>
                <w:b/>
                <w:sz w:val="20"/>
                <w:shd w:val="clear" w:color="auto" w:fill="FFFFFF"/>
              </w:rPr>
              <w:t>Self-rated eyesight</w:t>
            </w:r>
          </w:p>
        </w:tc>
        <w:tc>
          <w:tcPr>
            <w:tcW w:w="1842" w:type="dxa"/>
            <w:tcBorders>
              <w:top w:val="single" w:sz="4" w:space="0" w:color="auto"/>
              <w:left w:val="nil"/>
              <w:bottom w:val="single" w:sz="4" w:space="0" w:color="auto"/>
              <w:right w:val="nil"/>
            </w:tcBorders>
            <w:vAlign w:val="center"/>
          </w:tcPr>
          <w:p w14:paraId="20F4ADAD" w14:textId="77777777" w:rsidR="00722460" w:rsidRPr="009B5064" w:rsidRDefault="00722460" w:rsidP="00722460">
            <w:pPr>
              <w:jc w:val="center"/>
              <w:rPr>
                <w:rFonts w:eastAsia="Times New Roman"/>
                <w:b/>
                <w:sz w:val="20"/>
                <w:shd w:val="clear" w:color="auto" w:fill="FFFFFF"/>
              </w:rPr>
            </w:pPr>
            <w:r w:rsidRPr="009B5064">
              <w:rPr>
                <w:rFonts w:eastAsia="Times New Roman"/>
                <w:b/>
                <w:sz w:val="20"/>
                <w:shd w:val="clear" w:color="auto" w:fill="FFFFFF"/>
              </w:rPr>
              <w:t>Recognition of friends across street</w:t>
            </w:r>
          </w:p>
        </w:tc>
        <w:tc>
          <w:tcPr>
            <w:tcW w:w="1985" w:type="dxa"/>
            <w:tcBorders>
              <w:top w:val="nil"/>
              <w:left w:val="nil"/>
              <w:bottom w:val="single" w:sz="4" w:space="0" w:color="auto"/>
              <w:right w:val="nil"/>
            </w:tcBorders>
            <w:vAlign w:val="center"/>
          </w:tcPr>
          <w:p w14:paraId="65B77BF2" w14:textId="77777777" w:rsidR="00722460" w:rsidRPr="009B5064" w:rsidRDefault="00722460" w:rsidP="00722460">
            <w:pPr>
              <w:jc w:val="center"/>
              <w:rPr>
                <w:rFonts w:eastAsia="Times New Roman"/>
                <w:b/>
                <w:i/>
                <w:sz w:val="20"/>
                <w:shd w:val="clear" w:color="auto" w:fill="FFFFFF"/>
              </w:rPr>
            </w:pPr>
            <w:r w:rsidRPr="009B5064">
              <w:rPr>
                <w:rFonts w:eastAsia="Times New Roman"/>
                <w:b/>
                <w:sz w:val="20"/>
                <w:shd w:val="clear" w:color="auto" w:fill="FFFFFF"/>
              </w:rPr>
              <w:t>Reading ordinary newspaper</w:t>
            </w:r>
          </w:p>
        </w:tc>
        <w:tc>
          <w:tcPr>
            <w:tcW w:w="283" w:type="dxa"/>
            <w:tcBorders>
              <w:top w:val="nil"/>
              <w:left w:val="nil"/>
              <w:bottom w:val="single" w:sz="4" w:space="0" w:color="auto"/>
              <w:right w:val="nil"/>
            </w:tcBorders>
            <w:vAlign w:val="center"/>
          </w:tcPr>
          <w:p w14:paraId="4B1AD24C" w14:textId="77777777" w:rsidR="00722460" w:rsidRPr="009B5064" w:rsidRDefault="00722460" w:rsidP="00722460">
            <w:pPr>
              <w:jc w:val="center"/>
              <w:rPr>
                <w:rFonts w:eastAsia="Times New Roman"/>
                <w:b/>
                <w:i/>
                <w:sz w:val="20"/>
                <w:shd w:val="clear" w:color="auto" w:fill="FFFFFF"/>
              </w:rPr>
            </w:pPr>
          </w:p>
        </w:tc>
        <w:tc>
          <w:tcPr>
            <w:tcW w:w="1843" w:type="dxa"/>
            <w:tcBorders>
              <w:top w:val="nil"/>
              <w:left w:val="nil"/>
              <w:bottom w:val="single" w:sz="4" w:space="0" w:color="auto"/>
              <w:right w:val="nil"/>
            </w:tcBorders>
            <w:vAlign w:val="center"/>
          </w:tcPr>
          <w:p w14:paraId="5F029037" w14:textId="77777777" w:rsidR="00722460" w:rsidRPr="009B5064" w:rsidRDefault="00722460" w:rsidP="00722460">
            <w:pPr>
              <w:jc w:val="center"/>
              <w:rPr>
                <w:rFonts w:eastAsia="Times New Roman"/>
                <w:b/>
                <w:i/>
                <w:sz w:val="20"/>
                <w:shd w:val="clear" w:color="auto" w:fill="FFFFFF"/>
              </w:rPr>
            </w:pPr>
            <w:r w:rsidRPr="009B5064">
              <w:rPr>
                <w:rFonts w:eastAsia="Times New Roman"/>
                <w:b/>
                <w:sz w:val="20"/>
                <w:shd w:val="clear" w:color="auto" w:fill="FFFFFF"/>
              </w:rPr>
              <w:t>Self-rated eyesight</w:t>
            </w:r>
          </w:p>
        </w:tc>
        <w:tc>
          <w:tcPr>
            <w:tcW w:w="1703" w:type="dxa"/>
            <w:tcBorders>
              <w:top w:val="nil"/>
              <w:left w:val="nil"/>
              <w:bottom w:val="single" w:sz="4" w:space="0" w:color="auto"/>
              <w:right w:val="nil"/>
            </w:tcBorders>
            <w:vAlign w:val="center"/>
          </w:tcPr>
          <w:p w14:paraId="00636952" w14:textId="77777777" w:rsidR="00722460" w:rsidRPr="009B5064" w:rsidRDefault="00722460" w:rsidP="00722460">
            <w:pPr>
              <w:jc w:val="center"/>
              <w:rPr>
                <w:rFonts w:eastAsia="Times New Roman"/>
                <w:b/>
                <w:i/>
                <w:sz w:val="20"/>
                <w:shd w:val="clear" w:color="auto" w:fill="FFFFFF"/>
              </w:rPr>
            </w:pPr>
            <w:r w:rsidRPr="009B5064">
              <w:rPr>
                <w:rFonts w:eastAsia="Times New Roman"/>
                <w:b/>
                <w:sz w:val="20"/>
                <w:shd w:val="clear" w:color="auto" w:fill="FFFFFF"/>
              </w:rPr>
              <w:t>Recognition of friends across street</w:t>
            </w:r>
          </w:p>
        </w:tc>
        <w:tc>
          <w:tcPr>
            <w:tcW w:w="1701" w:type="dxa"/>
            <w:gridSpan w:val="3"/>
            <w:tcBorders>
              <w:top w:val="nil"/>
              <w:left w:val="nil"/>
              <w:bottom w:val="single" w:sz="4" w:space="0" w:color="auto"/>
              <w:right w:val="nil"/>
            </w:tcBorders>
            <w:vAlign w:val="center"/>
          </w:tcPr>
          <w:p w14:paraId="00CC3261" w14:textId="77777777" w:rsidR="00722460" w:rsidRPr="009B5064" w:rsidRDefault="00722460" w:rsidP="00722460">
            <w:pPr>
              <w:jc w:val="center"/>
              <w:rPr>
                <w:rFonts w:eastAsia="Times New Roman"/>
                <w:b/>
                <w:i/>
                <w:sz w:val="20"/>
                <w:shd w:val="clear" w:color="auto" w:fill="FFFFFF"/>
              </w:rPr>
            </w:pPr>
            <w:r w:rsidRPr="009B5064">
              <w:rPr>
                <w:rFonts w:eastAsia="Times New Roman"/>
                <w:b/>
                <w:sz w:val="20"/>
                <w:shd w:val="clear" w:color="auto" w:fill="FFFFFF"/>
              </w:rPr>
              <w:t>Reading ordinary newspaper</w:t>
            </w:r>
          </w:p>
        </w:tc>
      </w:tr>
      <w:tr w:rsidR="009B5064" w:rsidRPr="009B5064" w14:paraId="09A9BD15" w14:textId="77777777" w:rsidTr="00CF0DE1">
        <w:tblPrEx>
          <w:tblBorders>
            <w:left w:val="single" w:sz="4" w:space="0" w:color="auto"/>
            <w:right w:val="single" w:sz="4" w:space="0" w:color="auto"/>
            <w:insideV w:val="single" w:sz="4" w:space="0" w:color="auto"/>
          </w:tblBorders>
        </w:tblPrEx>
        <w:tc>
          <w:tcPr>
            <w:tcW w:w="1985" w:type="dxa"/>
            <w:tcBorders>
              <w:top w:val="single" w:sz="4" w:space="0" w:color="auto"/>
              <w:left w:val="nil"/>
              <w:bottom w:val="nil"/>
              <w:right w:val="nil"/>
            </w:tcBorders>
          </w:tcPr>
          <w:p w14:paraId="5F4DEC47" w14:textId="3C4B12E1" w:rsidR="001A749A" w:rsidRPr="009B5064" w:rsidRDefault="001A749A" w:rsidP="001A749A">
            <w:pPr>
              <w:rPr>
                <w:rFonts w:eastAsia="Times New Roman"/>
                <w:b/>
                <w:bCs/>
                <w:sz w:val="20"/>
                <w:shd w:val="clear" w:color="auto" w:fill="FFFFFF"/>
              </w:rPr>
            </w:pPr>
            <w:r w:rsidRPr="009B5064">
              <w:rPr>
                <w:rFonts w:eastAsia="Times New Roman"/>
                <w:b/>
                <w:bCs/>
                <w:sz w:val="20"/>
                <w:shd w:val="clear" w:color="auto" w:fill="FFFFFF"/>
              </w:rPr>
              <w:t>Four-level variable</w:t>
            </w:r>
          </w:p>
        </w:tc>
        <w:tc>
          <w:tcPr>
            <w:tcW w:w="2126" w:type="dxa"/>
            <w:tcBorders>
              <w:top w:val="single" w:sz="4" w:space="0" w:color="auto"/>
              <w:left w:val="nil"/>
              <w:bottom w:val="nil"/>
              <w:right w:val="nil"/>
            </w:tcBorders>
            <w:vAlign w:val="bottom"/>
          </w:tcPr>
          <w:p w14:paraId="4B6E3848" w14:textId="75E498C5" w:rsidR="001A749A" w:rsidRPr="009B5064" w:rsidRDefault="001A749A" w:rsidP="001A749A">
            <w:pPr>
              <w:jc w:val="center"/>
              <w:rPr>
                <w:rFonts w:eastAsia="Times New Roman"/>
                <w:sz w:val="20"/>
                <w:shd w:val="clear" w:color="auto" w:fill="FFFFFF"/>
              </w:rPr>
            </w:pPr>
          </w:p>
        </w:tc>
        <w:tc>
          <w:tcPr>
            <w:tcW w:w="1842" w:type="dxa"/>
            <w:tcBorders>
              <w:top w:val="single" w:sz="4" w:space="0" w:color="auto"/>
              <w:left w:val="nil"/>
              <w:bottom w:val="nil"/>
              <w:right w:val="nil"/>
            </w:tcBorders>
            <w:vAlign w:val="bottom"/>
          </w:tcPr>
          <w:p w14:paraId="5E720FDA" w14:textId="7BD35804" w:rsidR="001A749A" w:rsidRPr="009B5064" w:rsidRDefault="001A749A" w:rsidP="001A749A">
            <w:pPr>
              <w:jc w:val="center"/>
              <w:rPr>
                <w:rFonts w:eastAsia="Times New Roman"/>
                <w:sz w:val="20"/>
                <w:shd w:val="clear" w:color="auto" w:fill="FFFFFF"/>
              </w:rPr>
            </w:pPr>
          </w:p>
        </w:tc>
        <w:tc>
          <w:tcPr>
            <w:tcW w:w="1985" w:type="dxa"/>
            <w:tcBorders>
              <w:top w:val="single" w:sz="4" w:space="0" w:color="auto"/>
              <w:left w:val="nil"/>
              <w:bottom w:val="nil"/>
              <w:right w:val="nil"/>
            </w:tcBorders>
            <w:vAlign w:val="bottom"/>
          </w:tcPr>
          <w:p w14:paraId="58D6F509" w14:textId="4EBE7675" w:rsidR="001A749A" w:rsidRPr="009B5064" w:rsidRDefault="001A749A" w:rsidP="001A749A">
            <w:pPr>
              <w:jc w:val="center"/>
              <w:rPr>
                <w:rFonts w:eastAsia="Times New Roman"/>
                <w:sz w:val="20"/>
                <w:shd w:val="clear" w:color="auto" w:fill="FFFFFF"/>
              </w:rPr>
            </w:pPr>
          </w:p>
        </w:tc>
        <w:tc>
          <w:tcPr>
            <w:tcW w:w="283" w:type="dxa"/>
            <w:tcBorders>
              <w:top w:val="single" w:sz="4" w:space="0" w:color="auto"/>
              <w:left w:val="nil"/>
              <w:bottom w:val="nil"/>
              <w:right w:val="nil"/>
            </w:tcBorders>
            <w:vAlign w:val="bottom"/>
          </w:tcPr>
          <w:p w14:paraId="4983481D" w14:textId="77777777" w:rsidR="001A749A" w:rsidRPr="009B5064" w:rsidRDefault="001A749A" w:rsidP="001A749A">
            <w:pPr>
              <w:jc w:val="cente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4C726550" w14:textId="0EAE45F5" w:rsidR="001A749A" w:rsidRPr="009B5064" w:rsidRDefault="001A749A" w:rsidP="001A749A">
            <w:pPr>
              <w:jc w:val="center"/>
              <w:rPr>
                <w:rFonts w:eastAsia="Times New Roman"/>
                <w:sz w:val="20"/>
                <w:shd w:val="clear" w:color="auto" w:fill="FFFFFF"/>
              </w:rPr>
            </w:pPr>
          </w:p>
        </w:tc>
        <w:tc>
          <w:tcPr>
            <w:tcW w:w="1703" w:type="dxa"/>
            <w:tcBorders>
              <w:top w:val="single" w:sz="4" w:space="0" w:color="auto"/>
              <w:left w:val="nil"/>
              <w:bottom w:val="nil"/>
              <w:right w:val="nil"/>
            </w:tcBorders>
            <w:vAlign w:val="bottom"/>
          </w:tcPr>
          <w:p w14:paraId="5BA593AA" w14:textId="353007F6" w:rsidR="001A749A" w:rsidRPr="009B5064" w:rsidRDefault="001A749A" w:rsidP="001A749A">
            <w:pPr>
              <w:jc w:val="center"/>
              <w:rPr>
                <w:rFonts w:eastAsia="Times New Roman"/>
                <w:sz w:val="20"/>
                <w:shd w:val="clear" w:color="auto" w:fill="FFFFFF"/>
              </w:rPr>
            </w:pPr>
          </w:p>
        </w:tc>
        <w:tc>
          <w:tcPr>
            <w:tcW w:w="1701" w:type="dxa"/>
            <w:gridSpan w:val="3"/>
            <w:tcBorders>
              <w:top w:val="single" w:sz="4" w:space="0" w:color="auto"/>
              <w:left w:val="nil"/>
              <w:bottom w:val="nil"/>
              <w:right w:val="nil"/>
            </w:tcBorders>
            <w:vAlign w:val="bottom"/>
          </w:tcPr>
          <w:p w14:paraId="7A1EC648" w14:textId="4FC78B18" w:rsidR="001A749A" w:rsidRPr="009B5064" w:rsidRDefault="001A749A" w:rsidP="001A749A">
            <w:pPr>
              <w:jc w:val="center"/>
              <w:rPr>
                <w:rFonts w:eastAsia="Times New Roman"/>
                <w:sz w:val="20"/>
                <w:shd w:val="clear" w:color="auto" w:fill="FFFFFF"/>
              </w:rPr>
            </w:pPr>
          </w:p>
        </w:tc>
      </w:tr>
      <w:tr w:rsidR="009B5064" w:rsidRPr="009B5064" w14:paraId="2BB3C809" w14:textId="77777777" w:rsidTr="00CF0DE1">
        <w:tblPrEx>
          <w:tblBorders>
            <w:left w:val="single" w:sz="4" w:space="0" w:color="auto"/>
            <w:right w:val="single" w:sz="4" w:space="0" w:color="auto"/>
            <w:insideV w:val="single" w:sz="4" w:space="0" w:color="auto"/>
          </w:tblBorders>
        </w:tblPrEx>
        <w:tc>
          <w:tcPr>
            <w:tcW w:w="1985" w:type="dxa"/>
            <w:tcBorders>
              <w:top w:val="single" w:sz="4" w:space="0" w:color="auto"/>
              <w:left w:val="nil"/>
              <w:bottom w:val="nil"/>
              <w:right w:val="nil"/>
            </w:tcBorders>
          </w:tcPr>
          <w:p w14:paraId="2D46A522"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Excellent</w:t>
            </w:r>
          </w:p>
        </w:tc>
        <w:tc>
          <w:tcPr>
            <w:tcW w:w="2126" w:type="dxa"/>
            <w:tcBorders>
              <w:top w:val="single" w:sz="4" w:space="0" w:color="auto"/>
              <w:left w:val="nil"/>
              <w:bottom w:val="nil"/>
              <w:right w:val="nil"/>
            </w:tcBorders>
            <w:vAlign w:val="bottom"/>
          </w:tcPr>
          <w:p w14:paraId="0A39CB38"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1.00 [Ref]</w:t>
            </w:r>
          </w:p>
        </w:tc>
        <w:tc>
          <w:tcPr>
            <w:tcW w:w="1842" w:type="dxa"/>
            <w:tcBorders>
              <w:top w:val="single" w:sz="4" w:space="0" w:color="auto"/>
              <w:left w:val="nil"/>
              <w:bottom w:val="nil"/>
              <w:right w:val="nil"/>
            </w:tcBorders>
            <w:vAlign w:val="bottom"/>
          </w:tcPr>
          <w:p w14:paraId="6635C9DB"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1.00</w:t>
            </w:r>
          </w:p>
        </w:tc>
        <w:tc>
          <w:tcPr>
            <w:tcW w:w="1985" w:type="dxa"/>
            <w:tcBorders>
              <w:top w:val="single" w:sz="4" w:space="0" w:color="auto"/>
              <w:left w:val="nil"/>
              <w:bottom w:val="nil"/>
              <w:right w:val="nil"/>
            </w:tcBorders>
            <w:vAlign w:val="bottom"/>
          </w:tcPr>
          <w:p w14:paraId="388DBE56"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1.00</w:t>
            </w:r>
          </w:p>
        </w:tc>
        <w:tc>
          <w:tcPr>
            <w:tcW w:w="283" w:type="dxa"/>
            <w:tcBorders>
              <w:top w:val="single" w:sz="4" w:space="0" w:color="auto"/>
              <w:left w:val="nil"/>
              <w:bottom w:val="nil"/>
              <w:right w:val="nil"/>
            </w:tcBorders>
            <w:vAlign w:val="bottom"/>
          </w:tcPr>
          <w:p w14:paraId="30CBB2AC" w14:textId="77777777" w:rsidR="00722460" w:rsidRPr="009B5064" w:rsidRDefault="00722460" w:rsidP="00722460">
            <w:pPr>
              <w:jc w:val="cente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11924AA0"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1.00</w:t>
            </w:r>
          </w:p>
        </w:tc>
        <w:tc>
          <w:tcPr>
            <w:tcW w:w="1703" w:type="dxa"/>
            <w:tcBorders>
              <w:top w:val="single" w:sz="4" w:space="0" w:color="auto"/>
              <w:left w:val="nil"/>
              <w:bottom w:val="nil"/>
              <w:right w:val="nil"/>
            </w:tcBorders>
            <w:vAlign w:val="bottom"/>
          </w:tcPr>
          <w:p w14:paraId="3445A34F"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1.00</w:t>
            </w:r>
          </w:p>
        </w:tc>
        <w:tc>
          <w:tcPr>
            <w:tcW w:w="1701" w:type="dxa"/>
            <w:gridSpan w:val="3"/>
            <w:tcBorders>
              <w:top w:val="single" w:sz="4" w:space="0" w:color="auto"/>
              <w:left w:val="nil"/>
              <w:bottom w:val="nil"/>
              <w:right w:val="nil"/>
            </w:tcBorders>
            <w:vAlign w:val="bottom"/>
          </w:tcPr>
          <w:p w14:paraId="6E96D69A" w14:textId="77777777" w:rsidR="00722460" w:rsidRPr="009B5064" w:rsidRDefault="00722460" w:rsidP="00722460">
            <w:pPr>
              <w:jc w:val="center"/>
              <w:rPr>
                <w:rFonts w:eastAsia="Times New Roman"/>
                <w:sz w:val="20"/>
                <w:shd w:val="clear" w:color="auto" w:fill="FFFFFF"/>
              </w:rPr>
            </w:pPr>
            <w:r w:rsidRPr="009B5064">
              <w:rPr>
                <w:rFonts w:eastAsia="Times New Roman"/>
                <w:sz w:val="20"/>
                <w:shd w:val="clear" w:color="auto" w:fill="FFFFFF"/>
              </w:rPr>
              <w:t>1.00</w:t>
            </w:r>
          </w:p>
        </w:tc>
      </w:tr>
      <w:tr w:rsidR="009B5064" w:rsidRPr="009B5064" w14:paraId="7AEBAD0C" w14:textId="77777777" w:rsidTr="00CF0DE1">
        <w:tblPrEx>
          <w:tblBorders>
            <w:left w:val="single" w:sz="4" w:space="0" w:color="auto"/>
            <w:right w:val="single" w:sz="4" w:space="0" w:color="auto"/>
            <w:insideV w:val="single" w:sz="4" w:space="0" w:color="auto"/>
          </w:tblBorders>
        </w:tblPrEx>
        <w:tc>
          <w:tcPr>
            <w:tcW w:w="1985" w:type="dxa"/>
            <w:tcBorders>
              <w:top w:val="single" w:sz="4" w:space="0" w:color="auto"/>
              <w:left w:val="nil"/>
              <w:bottom w:val="nil"/>
              <w:right w:val="nil"/>
            </w:tcBorders>
          </w:tcPr>
          <w:p w14:paraId="2B0DBEF0" w14:textId="77777777" w:rsidR="00722460" w:rsidRPr="009B5064" w:rsidRDefault="00722460" w:rsidP="00722460">
            <w:pPr>
              <w:rPr>
                <w:sz w:val="20"/>
                <w:szCs w:val="20"/>
              </w:rPr>
            </w:pPr>
            <w:r w:rsidRPr="009B5064">
              <w:rPr>
                <w:sz w:val="20"/>
                <w:szCs w:val="20"/>
              </w:rPr>
              <w:t>Very good</w:t>
            </w:r>
          </w:p>
        </w:tc>
        <w:tc>
          <w:tcPr>
            <w:tcW w:w="2126" w:type="dxa"/>
            <w:tcBorders>
              <w:top w:val="single" w:sz="4" w:space="0" w:color="auto"/>
              <w:left w:val="nil"/>
              <w:bottom w:val="nil"/>
              <w:right w:val="nil"/>
            </w:tcBorders>
            <w:vAlign w:val="bottom"/>
          </w:tcPr>
          <w:p w14:paraId="4962C378"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0.77 [0.53-1.12]</w:t>
            </w:r>
          </w:p>
        </w:tc>
        <w:tc>
          <w:tcPr>
            <w:tcW w:w="1842" w:type="dxa"/>
            <w:tcBorders>
              <w:top w:val="single" w:sz="4" w:space="0" w:color="auto"/>
              <w:left w:val="nil"/>
              <w:bottom w:val="nil"/>
              <w:right w:val="nil"/>
            </w:tcBorders>
            <w:vAlign w:val="bottom"/>
          </w:tcPr>
          <w:p w14:paraId="6CF1BAF7"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0.76 [0.55-1.04]</w:t>
            </w:r>
          </w:p>
        </w:tc>
        <w:tc>
          <w:tcPr>
            <w:tcW w:w="1985" w:type="dxa"/>
            <w:tcBorders>
              <w:top w:val="single" w:sz="4" w:space="0" w:color="auto"/>
              <w:left w:val="nil"/>
              <w:bottom w:val="nil"/>
              <w:right w:val="nil"/>
            </w:tcBorders>
            <w:vAlign w:val="bottom"/>
          </w:tcPr>
          <w:p w14:paraId="109E96E9"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0.58 [0.40-0.83]**</w:t>
            </w:r>
          </w:p>
        </w:tc>
        <w:tc>
          <w:tcPr>
            <w:tcW w:w="283" w:type="dxa"/>
            <w:tcBorders>
              <w:top w:val="single" w:sz="4" w:space="0" w:color="auto"/>
              <w:left w:val="nil"/>
              <w:bottom w:val="nil"/>
              <w:right w:val="nil"/>
            </w:tcBorders>
            <w:vAlign w:val="bottom"/>
          </w:tcPr>
          <w:p w14:paraId="2F1021D1" w14:textId="77777777" w:rsidR="00722460" w:rsidRPr="009B5064" w:rsidRDefault="00722460" w:rsidP="00722460">
            <w:pP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18EE191C"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1.22 [0.92-1.62]</w:t>
            </w:r>
          </w:p>
        </w:tc>
        <w:tc>
          <w:tcPr>
            <w:tcW w:w="1703" w:type="dxa"/>
            <w:tcBorders>
              <w:top w:val="single" w:sz="4" w:space="0" w:color="auto"/>
              <w:left w:val="nil"/>
              <w:bottom w:val="nil"/>
              <w:right w:val="nil"/>
            </w:tcBorders>
            <w:vAlign w:val="bottom"/>
          </w:tcPr>
          <w:p w14:paraId="0145F3E9"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0.94 [0.74-1.19]</w:t>
            </w:r>
          </w:p>
        </w:tc>
        <w:tc>
          <w:tcPr>
            <w:tcW w:w="1701" w:type="dxa"/>
            <w:gridSpan w:val="3"/>
            <w:tcBorders>
              <w:top w:val="single" w:sz="4" w:space="0" w:color="auto"/>
              <w:left w:val="nil"/>
              <w:bottom w:val="nil"/>
              <w:right w:val="nil"/>
            </w:tcBorders>
            <w:vAlign w:val="bottom"/>
          </w:tcPr>
          <w:p w14:paraId="73AACF9D"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0.82 [0.63-1.07]</w:t>
            </w:r>
          </w:p>
        </w:tc>
      </w:tr>
      <w:tr w:rsidR="009B5064" w:rsidRPr="009B5064" w14:paraId="515DB860" w14:textId="77777777" w:rsidTr="00CF0DE1">
        <w:tblPrEx>
          <w:tblBorders>
            <w:left w:val="single" w:sz="4" w:space="0" w:color="auto"/>
            <w:right w:val="single" w:sz="4" w:space="0" w:color="auto"/>
            <w:insideV w:val="single" w:sz="4" w:space="0" w:color="auto"/>
          </w:tblBorders>
        </w:tblPrEx>
        <w:tc>
          <w:tcPr>
            <w:tcW w:w="1985" w:type="dxa"/>
            <w:tcBorders>
              <w:top w:val="single" w:sz="4" w:space="0" w:color="auto"/>
              <w:left w:val="nil"/>
              <w:bottom w:val="nil"/>
              <w:right w:val="nil"/>
            </w:tcBorders>
          </w:tcPr>
          <w:p w14:paraId="3E5AAA35" w14:textId="77777777" w:rsidR="00722460" w:rsidRPr="009B5064" w:rsidRDefault="00722460" w:rsidP="00722460">
            <w:pPr>
              <w:rPr>
                <w:sz w:val="20"/>
                <w:szCs w:val="20"/>
              </w:rPr>
            </w:pPr>
            <w:r w:rsidRPr="009B5064">
              <w:rPr>
                <w:sz w:val="20"/>
                <w:szCs w:val="20"/>
              </w:rPr>
              <w:t>Good</w:t>
            </w:r>
          </w:p>
        </w:tc>
        <w:tc>
          <w:tcPr>
            <w:tcW w:w="2126" w:type="dxa"/>
            <w:tcBorders>
              <w:top w:val="single" w:sz="4" w:space="0" w:color="auto"/>
              <w:left w:val="nil"/>
              <w:bottom w:val="nil"/>
              <w:right w:val="nil"/>
            </w:tcBorders>
            <w:vAlign w:val="bottom"/>
          </w:tcPr>
          <w:p w14:paraId="37408F0B"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0.71 [0.50-1.02]</w:t>
            </w:r>
          </w:p>
        </w:tc>
        <w:tc>
          <w:tcPr>
            <w:tcW w:w="1842" w:type="dxa"/>
            <w:tcBorders>
              <w:top w:val="single" w:sz="4" w:space="0" w:color="auto"/>
              <w:left w:val="nil"/>
              <w:bottom w:val="nil"/>
              <w:right w:val="nil"/>
            </w:tcBorders>
            <w:vAlign w:val="bottom"/>
          </w:tcPr>
          <w:p w14:paraId="42BC6007"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0.57 [0.42-0.79]**</w:t>
            </w:r>
          </w:p>
        </w:tc>
        <w:tc>
          <w:tcPr>
            <w:tcW w:w="1985" w:type="dxa"/>
            <w:tcBorders>
              <w:top w:val="single" w:sz="4" w:space="0" w:color="auto"/>
              <w:left w:val="nil"/>
              <w:bottom w:val="nil"/>
              <w:right w:val="nil"/>
            </w:tcBorders>
            <w:vAlign w:val="bottom"/>
          </w:tcPr>
          <w:p w14:paraId="4FBCCDE0"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0.50 [0.35-0.71]***</w:t>
            </w:r>
          </w:p>
        </w:tc>
        <w:tc>
          <w:tcPr>
            <w:tcW w:w="283" w:type="dxa"/>
            <w:tcBorders>
              <w:top w:val="single" w:sz="4" w:space="0" w:color="auto"/>
              <w:left w:val="nil"/>
              <w:bottom w:val="nil"/>
              <w:right w:val="nil"/>
            </w:tcBorders>
            <w:vAlign w:val="bottom"/>
          </w:tcPr>
          <w:p w14:paraId="1932E258" w14:textId="77777777" w:rsidR="00722460" w:rsidRPr="009B5064" w:rsidRDefault="00722460" w:rsidP="00722460">
            <w:pP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502206E3"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1.16 [0.88-1.53]</w:t>
            </w:r>
          </w:p>
        </w:tc>
        <w:tc>
          <w:tcPr>
            <w:tcW w:w="1703" w:type="dxa"/>
            <w:tcBorders>
              <w:top w:val="single" w:sz="4" w:space="0" w:color="auto"/>
              <w:left w:val="nil"/>
              <w:bottom w:val="nil"/>
              <w:right w:val="nil"/>
            </w:tcBorders>
            <w:vAlign w:val="bottom"/>
          </w:tcPr>
          <w:p w14:paraId="446EFFCA"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0.95 [0.74-1.22]</w:t>
            </w:r>
          </w:p>
        </w:tc>
        <w:tc>
          <w:tcPr>
            <w:tcW w:w="1701" w:type="dxa"/>
            <w:gridSpan w:val="3"/>
            <w:tcBorders>
              <w:top w:val="single" w:sz="4" w:space="0" w:color="auto"/>
              <w:left w:val="nil"/>
              <w:bottom w:val="nil"/>
              <w:right w:val="nil"/>
            </w:tcBorders>
            <w:vAlign w:val="bottom"/>
          </w:tcPr>
          <w:p w14:paraId="7157D39A"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0.93 [0.71-1.21]</w:t>
            </w:r>
          </w:p>
        </w:tc>
      </w:tr>
      <w:tr w:rsidR="009B5064" w:rsidRPr="009B5064" w14:paraId="4BA55804" w14:textId="77777777" w:rsidTr="00CF0DE1">
        <w:tblPrEx>
          <w:tblBorders>
            <w:left w:val="single" w:sz="4" w:space="0" w:color="auto"/>
            <w:right w:val="single" w:sz="4" w:space="0" w:color="auto"/>
            <w:insideV w:val="single" w:sz="4" w:space="0" w:color="auto"/>
          </w:tblBorders>
        </w:tblPrEx>
        <w:tc>
          <w:tcPr>
            <w:tcW w:w="1985" w:type="dxa"/>
            <w:tcBorders>
              <w:top w:val="single" w:sz="4" w:space="0" w:color="auto"/>
              <w:left w:val="nil"/>
              <w:bottom w:val="nil"/>
              <w:right w:val="nil"/>
            </w:tcBorders>
          </w:tcPr>
          <w:p w14:paraId="1377176A" w14:textId="77777777" w:rsidR="00722460" w:rsidRPr="009B5064" w:rsidRDefault="00722460" w:rsidP="00722460">
            <w:pPr>
              <w:rPr>
                <w:sz w:val="20"/>
                <w:szCs w:val="20"/>
              </w:rPr>
            </w:pPr>
            <w:r w:rsidRPr="009B5064">
              <w:rPr>
                <w:sz w:val="20"/>
                <w:szCs w:val="20"/>
              </w:rPr>
              <w:t>Fair–poor</w:t>
            </w:r>
          </w:p>
        </w:tc>
        <w:tc>
          <w:tcPr>
            <w:tcW w:w="2126" w:type="dxa"/>
            <w:tcBorders>
              <w:top w:val="single" w:sz="4" w:space="0" w:color="auto"/>
              <w:left w:val="nil"/>
              <w:bottom w:val="nil"/>
              <w:right w:val="nil"/>
            </w:tcBorders>
            <w:vAlign w:val="bottom"/>
          </w:tcPr>
          <w:p w14:paraId="5AC9FD7F"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0.41 [0.26-0.64]***</w:t>
            </w:r>
          </w:p>
        </w:tc>
        <w:tc>
          <w:tcPr>
            <w:tcW w:w="1842" w:type="dxa"/>
            <w:tcBorders>
              <w:top w:val="single" w:sz="4" w:space="0" w:color="auto"/>
              <w:left w:val="nil"/>
              <w:bottom w:val="nil"/>
              <w:right w:val="nil"/>
            </w:tcBorders>
            <w:vAlign w:val="bottom"/>
          </w:tcPr>
          <w:p w14:paraId="120ECFA0"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0.54 [0.33-0.89]*</w:t>
            </w:r>
          </w:p>
        </w:tc>
        <w:tc>
          <w:tcPr>
            <w:tcW w:w="1985" w:type="dxa"/>
            <w:tcBorders>
              <w:top w:val="single" w:sz="4" w:space="0" w:color="auto"/>
              <w:left w:val="nil"/>
              <w:bottom w:val="nil"/>
              <w:right w:val="nil"/>
            </w:tcBorders>
            <w:vAlign w:val="bottom"/>
          </w:tcPr>
          <w:p w14:paraId="5D3FE279"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0.30 [0.19-0.47]***</w:t>
            </w:r>
          </w:p>
        </w:tc>
        <w:tc>
          <w:tcPr>
            <w:tcW w:w="283" w:type="dxa"/>
            <w:tcBorders>
              <w:top w:val="single" w:sz="4" w:space="0" w:color="auto"/>
              <w:left w:val="nil"/>
              <w:bottom w:val="nil"/>
              <w:right w:val="nil"/>
            </w:tcBorders>
            <w:vAlign w:val="bottom"/>
          </w:tcPr>
          <w:p w14:paraId="76E02262" w14:textId="77777777" w:rsidR="00722460" w:rsidRPr="009B5064" w:rsidRDefault="00722460" w:rsidP="00722460">
            <w:pP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0F93EF0F"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0.99 [0.70-1.41]</w:t>
            </w:r>
          </w:p>
        </w:tc>
        <w:tc>
          <w:tcPr>
            <w:tcW w:w="1703" w:type="dxa"/>
            <w:tcBorders>
              <w:top w:val="single" w:sz="4" w:space="0" w:color="auto"/>
              <w:left w:val="nil"/>
              <w:bottom w:val="nil"/>
              <w:right w:val="nil"/>
            </w:tcBorders>
            <w:vAlign w:val="bottom"/>
          </w:tcPr>
          <w:p w14:paraId="3946C3D4"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0.80 [0.56-1.14]</w:t>
            </w:r>
          </w:p>
        </w:tc>
        <w:tc>
          <w:tcPr>
            <w:tcW w:w="1701" w:type="dxa"/>
            <w:gridSpan w:val="3"/>
            <w:tcBorders>
              <w:top w:val="single" w:sz="4" w:space="0" w:color="auto"/>
              <w:left w:val="nil"/>
              <w:bottom w:val="nil"/>
              <w:right w:val="nil"/>
            </w:tcBorders>
            <w:vAlign w:val="bottom"/>
          </w:tcPr>
          <w:p w14:paraId="6AD36A63" w14:textId="77777777" w:rsidR="00722460" w:rsidRPr="009B5064" w:rsidRDefault="00722460" w:rsidP="00722460">
            <w:pPr>
              <w:rPr>
                <w:rFonts w:eastAsia="Times New Roman"/>
                <w:sz w:val="20"/>
                <w:shd w:val="clear" w:color="auto" w:fill="FFFFFF"/>
              </w:rPr>
            </w:pPr>
            <w:r w:rsidRPr="009B5064">
              <w:rPr>
                <w:rFonts w:eastAsia="Times New Roman"/>
                <w:sz w:val="20"/>
                <w:shd w:val="clear" w:color="auto" w:fill="FFFFFF"/>
              </w:rPr>
              <w:t>0.93 [0.65-1.32]</w:t>
            </w:r>
          </w:p>
        </w:tc>
      </w:tr>
      <w:tr w:rsidR="009B5064" w:rsidRPr="009B5064" w14:paraId="1742385B" w14:textId="77777777" w:rsidTr="00CF0DE1">
        <w:tblPrEx>
          <w:tblBorders>
            <w:left w:val="single" w:sz="4" w:space="0" w:color="auto"/>
            <w:right w:val="single" w:sz="4" w:space="0" w:color="auto"/>
            <w:insideV w:val="single" w:sz="4" w:space="0" w:color="auto"/>
          </w:tblBorders>
        </w:tblPrEx>
        <w:tc>
          <w:tcPr>
            <w:tcW w:w="1985" w:type="dxa"/>
            <w:tcBorders>
              <w:top w:val="single" w:sz="4" w:space="0" w:color="auto"/>
              <w:left w:val="nil"/>
              <w:bottom w:val="nil"/>
              <w:right w:val="nil"/>
            </w:tcBorders>
          </w:tcPr>
          <w:p w14:paraId="281B33A9" w14:textId="7D4AAD99" w:rsidR="001A749A" w:rsidRPr="009B5064" w:rsidRDefault="001A749A" w:rsidP="001A749A">
            <w:pPr>
              <w:rPr>
                <w:rFonts w:eastAsia="Times New Roman"/>
                <w:b/>
                <w:bCs/>
                <w:sz w:val="20"/>
                <w:shd w:val="clear" w:color="auto" w:fill="FFFFFF"/>
              </w:rPr>
            </w:pPr>
            <w:r w:rsidRPr="009B5064">
              <w:rPr>
                <w:rFonts w:eastAsia="Times New Roman"/>
                <w:b/>
                <w:bCs/>
                <w:sz w:val="20"/>
                <w:shd w:val="clear" w:color="auto" w:fill="FFFFFF"/>
              </w:rPr>
              <w:t>Binary variable</w:t>
            </w:r>
          </w:p>
        </w:tc>
        <w:tc>
          <w:tcPr>
            <w:tcW w:w="2126" w:type="dxa"/>
            <w:tcBorders>
              <w:top w:val="single" w:sz="4" w:space="0" w:color="auto"/>
              <w:left w:val="nil"/>
              <w:bottom w:val="nil"/>
              <w:right w:val="nil"/>
            </w:tcBorders>
            <w:vAlign w:val="bottom"/>
          </w:tcPr>
          <w:p w14:paraId="3699B31C" w14:textId="77777777" w:rsidR="001A749A" w:rsidRPr="009B5064" w:rsidRDefault="001A749A" w:rsidP="001A749A">
            <w:pPr>
              <w:jc w:val="center"/>
              <w:rPr>
                <w:rFonts w:eastAsia="Times New Roman"/>
                <w:sz w:val="20"/>
                <w:shd w:val="clear" w:color="auto" w:fill="FFFFFF"/>
              </w:rPr>
            </w:pPr>
          </w:p>
        </w:tc>
        <w:tc>
          <w:tcPr>
            <w:tcW w:w="1842" w:type="dxa"/>
            <w:tcBorders>
              <w:top w:val="single" w:sz="4" w:space="0" w:color="auto"/>
              <w:left w:val="nil"/>
              <w:bottom w:val="nil"/>
              <w:right w:val="nil"/>
            </w:tcBorders>
            <w:vAlign w:val="bottom"/>
          </w:tcPr>
          <w:p w14:paraId="41791569" w14:textId="77777777" w:rsidR="001A749A" w:rsidRPr="009B5064" w:rsidRDefault="001A749A" w:rsidP="001A749A">
            <w:pPr>
              <w:jc w:val="center"/>
              <w:rPr>
                <w:rFonts w:eastAsia="Times New Roman"/>
                <w:sz w:val="20"/>
                <w:shd w:val="clear" w:color="auto" w:fill="FFFFFF"/>
              </w:rPr>
            </w:pPr>
          </w:p>
        </w:tc>
        <w:tc>
          <w:tcPr>
            <w:tcW w:w="1985" w:type="dxa"/>
            <w:tcBorders>
              <w:top w:val="single" w:sz="4" w:space="0" w:color="auto"/>
              <w:left w:val="nil"/>
              <w:bottom w:val="nil"/>
              <w:right w:val="nil"/>
            </w:tcBorders>
            <w:vAlign w:val="bottom"/>
          </w:tcPr>
          <w:p w14:paraId="5D37279F" w14:textId="77777777" w:rsidR="001A749A" w:rsidRPr="009B5064" w:rsidRDefault="001A749A" w:rsidP="001A749A">
            <w:pPr>
              <w:jc w:val="center"/>
              <w:rPr>
                <w:rFonts w:eastAsia="Times New Roman"/>
                <w:sz w:val="20"/>
                <w:shd w:val="clear" w:color="auto" w:fill="FFFFFF"/>
              </w:rPr>
            </w:pPr>
          </w:p>
        </w:tc>
        <w:tc>
          <w:tcPr>
            <w:tcW w:w="283" w:type="dxa"/>
            <w:tcBorders>
              <w:top w:val="single" w:sz="4" w:space="0" w:color="auto"/>
              <w:left w:val="nil"/>
              <w:bottom w:val="nil"/>
              <w:right w:val="nil"/>
            </w:tcBorders>
            <w:vAlign w:val="bottom"/>
          </w:tcPr>
          <w:p w14:paraId="27F7EDBB" w14:textId="77777777" w:rsidR="001A749A" w:rsidRPr="009B5064" w:rsidRDefault="001A749A" w:rsidP="001A749A">
            <w:pPr>
              <w:jc w:val="cente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6D67F925" w14:textId="77777777" w:rsidR="001A749A" w:rsidRPr="009B5064" w:rsidRDefault="001A749A" w:rsidP="001A749A">
            <w:pPr>
              <w:jc w:val="center"/>
              <w:rPr>
                <w:rFonts w:eastAsia="Times New Roman"/>
                <w:sz w:val="20"/>
                <w:shd w:val="clear" w:color="auto" w:fill="FFFFFF"/>
              </w:rPr>
            </w:pPr>
          </w:p>
        </w:tc>
        <w:tc>
          <w:tcPr>
            <w:tcW w:w="1703" w:type="dxa"/>
            <w:tcBorders>
              <w:top w:val="single" w:sz="4" w:space="0" w:color="auto"/>
              <w:left w:val="nil"/>
              <w:bottom w:val="nil"/>
              <w:right w:val="nil"/>
            </w:tcBorders>
            <w:vAlign w:val="bottom"/>
          </w:tcPr>
          <w:p w14:paraId="48CDF4F4" w14:textId="77777777" w:rsidR="001A749A" w:rsidRPr="009B5064" w:rsidRDefault="001A749A" w:rsidP="001A749A">
            <w:pPr>
              <w:jc w:val="center"/>
              <w:rPr>
                <w:rFonts w:eastAsia="Times New Roman"/>
                <w:sz w:val="20"/>
                <w:shd w:val="clear" w:color="auto" w:fill="FFFFFF"/>
              </w:rPr>
            </w:pPr>
          </w:p>
        </w:tc>
        <w:tc>
          <w:tcPr>
            <w:tcW w:w="1701" w:type="dxa"/>
            <w:gridSpan w:val="3"/>
            <w:tcBorders>
              <w:top w:val="single" w:sz="4" w:space="0" w:color="auto"/>
              <w:left w:val="nil"/>
              <w:bottom w:val="nil"/>
              <w:right w:val="nil"/>
            </w:tcBorders>
            <w:vAlign w:val="bottom"/>
          </w:tcPr>
          <w:p w14:paraId="203B1FDE" w14:textId="77777777" w:rsidR="001A749A" w:rsidRPr="009B5064" w:rsidRDefault="001A749A" w:rsidP="001A749A">
            <w:pPr>
              <w:jc w:val="center"/>
              <w:rPr>
                <w:rFonts w:eastAsia="Times New Roman"/>
                <w:sz w:val="20"/>
                <w:shd w:val="clear" w:color="auto" w:fill="FFFFFF"/>
              </w:rPr>
            </w:pPr>
          </w:p>
        </w:tc>
      </w:tr>
      <w:tr w:rsidR="009B5064" w:rsidRPr="009B5064" w14:paraId="302BA5B6" w14:textId="77777777" w:rsidTr="00CF0DE1">
        <w:tblPrEx>
          <w:tblBorders>
            <w:left w:val="single" w:sz="4" w:space="0" w:color="auto"/>
            <w:right w:val="single" w:sz="4" w:space="0" w:color="auto"/>
            <w:insideV w:val="single" w:sz="4" w:space="0" w:color="auto"/>
          </w:tblBorders>
        </w:tblPrEx>
        <w:tc>
          <w:tcPr>
            <w:tcW w:w="1985" w:type="dxa"/>
            <w:tcBorders>
              <w:top w:val="single" w:sz="4" w:space="0" w:color="auto"/>
              <w:left w:val="nil"/>
              <w:bottom w:val="nil"/>
              <w:right w:val="nil"/>
            </w:tcBorders>
          </w:tcPr>
          <w:p w14:paraId="6278B115" w14:textId="54BE0F5B" w:rsidR="001A749A" w:rsidRPr="009B5064" w:rsidRDefault="001A749A" w:rsidP="001A749A">
            <w:pPr>
              <w:rPr>
                <w:rFonts w:eastAsia="Times New Roman"/>
                <w:sz w:val="20"/>
                <w:shd w:val="clear" w:color="auto" w:fill="FFFFFF"/>
              </w:rPr>
            </w:pPr>
            <w:r w:rsidRPr="009B5064">
              <w:rPr>
                <w:rFonts w:eastAsia="Times New Roman"/>
                <w:sz w:val="20"/>
                <w:shd w:val="clear" w:color="auto" w:fill="FFFFFF"/>
              </w:rPr>
              <w:t>Good/very good/excellent</w:t>
            </w:r>
          </w:p>
        </w:tc>
        <w:tc>
          <w:tcPr>
            <w:tcW w:w="2126" w:type="dxa"/>
            <w:tcBorders>
              <w:top w:val="single" w:sz="4" w:space="0" w:color="auto"/>
              <w:left w:val="nil"/>
              <w:bottom w:val="nil"/>
              <w:right w:val="nil"/>
            </w:tcBorders>
            <w:vAlign w:val="bottom"/>
          </w:tcPr>
          <w:p w14:paraId="4B2E4B0B" w14:textId="77777777" w:rsidR="001A749A" w:rsidRPr="009B5064" w:rsidRDefault="001A749A" w:rsidP="001A749A">
            <w:pPr>
              <w:jc w:val="center"/>
              <w:rPr>
                <w:rFonts w:eastAsia="Times New Roman"/>
                <w:sz w:val="20"/>
                <w:shd w:val="clear" w:color="auto" w:fill="FFFFFF"/>
              </w:rPr>
            </w:pPr>
            <w:r w:rsidRPr="009B5064">
              <w:rPr>
                <w:rFonts w:eastAsia="Times New Roman"/>
                <w:sz w:val="20"/>
                <w:shd w:val="clear" w:color="auto" w:fill="FFFFFF"/>
              </w:rPr>
              <w:t>1.00 [Ref]</w:t>
            </w:r>
          </w:p>
        </w:tc>
        <w:tc>
          <w:tcPr>
            <w:tcW w:w="1842" w:type="dxa"/>
            <w:tcBorders>
              <w:top w:val="single" w:sz="4" w:space="0" w:color="auto"/>
              <w:left w:val="nil"/>
              <w:bottom w:val="nil"/>
              <w:right w:val="nil"/>
            </w:tcBorders>
            <w:vAlign w:val="bottom"/>
          </w:tcPr>
          <w:p w14:paraId="4A01CBB9" w14:textId="77777777" w:rsidR="001A749A" w:rsidRPr="009B5064" w:rsidRDefault="001A749A" w:rsidP="001A749A">
            <w:pPr>
              <w:jc w:val="center"/>
              <w:rPr>
                <w:rFonts w:eastAsia="Times New Roman"/>
                <w:sz w:val="20"/>
                <w:shd w:val="clear" w:color="auto" w:fill="FFFFFF"/>
              </w:rPr>
            </w:pPr>
            <w:r w:rsidRPr="009B5064">
              <w:rPr>
                <w:rFonts w:eastAsia="Times New Roman"/>
                <w:sz w:val="20"/>
                <w:shd w:val="clear" w:color="auto" w:fill="FFFFFF"/>
              </w:rPr>
              <w:t>1.00</w:t>
            </w:r>
          </w:p>
        </w:tc>
        <w:tc>
          <w:tcPr>
            <w:tcW w:w="1985" w:type="dxa"/>
            <w:tcBorders>
              <w:top w:val="single" w:sz="4" w:space="0" w:color="auto"/>
              <w:left w:val="nil"/>
              <w:bottom w:val="nil"/>
              <w:right w:val="nil"/>
            </w:tcBorders>
            <w:vAlign w:val="bottom"/>
          </w:tcPr>
          <w:p w14:paraId="41F1532C" w14:textId="77777777" w:rsidR="001A749A" w:rsidRPr="009B5064" w:rsidRDefault="001A749A" w:rsidP="001A749A">
            <w:pPr>
              <w:jc w:val="center"/>
              <w:rPr>
                <w:rFonts w:eastAsia="Times New Roman"/>
                <w:sz w:val="20"/>
                <w:shd w:val="clear" w:color="auto" w:fill="FFFFFF"/>
              </w:rPr>
            </w:pPr>
            <w:r w:rsidRPr="009B5064">
              <w:rPr>
                <w:rFonts w:eastAsia="Times New Roman"/>
                <w:sz w:val="20"/>
                <w:shd w:val="clear" w:color="auto" w:fill="FFFFFF"/>
              </w:rPr>
              <w:t>1.00</w:t>
            </w:r>
          </w:p>
        </w:tc>
        <w:tc>
          <w:tcPr>
            <w:tcW w:w="283" w:type="dxa"/>
            <w:tcBorders>
              <w:top w:val="single" w:sz="4" w:space="0" w:color="auto"/>
              <w:left w:val="nil"/>
              <w:bottom w:val="nil"/>
              <w:right w:val="nil"/>
            </w:tcBorders>
            <w:vAlign w:val="bottom"/>
          </w:tcPr>
          <w:p w14:paraId="62108617" w14:textId="77777777" w:rsidR="001A749A" w:rsidRPr="009B5064" w:rsidRDefault="001A749A" w:rsidP="001A749A">
            <w:pPr>
              <w:jc w:val="cente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2EF508A8" w14:textId="77777777" w:rsidR="001A749A" w:rsidRPr="009B5064" w:rsidRDefault="001A749A" w:rsidP="001A749A">
            <w:pPr>
              <w:jc w:val="center"/>
              <w:rPr>
                <w:rFonts w:eastAsia="Times New Roman"/>
                <w:sz w:val="20"/>
                <w:shd w:val="clear" w:color="auto" w:fill="FFFFFF"/>
              </w:rPr>
            </w:pPr>
            <w:r w:rsidRPr="009B5064">
              <w:rPr>
                <w:rFonts w:eastAsia="Times New Roman"/>
                <w:sz w:val="20"/>
                <w:shd w:val="clear" w:color="auto" w:fill="FFFFFF"/>
              </w:rPr>
              <w:t>1.00</w:t>
            </w:r>
          </w:p>
        </w:tc>
        <w:tc>
          <w:tcPr>
            <w:tcW w:w="1703" w:type="dxa"/>
            <w:tcBorders>
              <w:top w:val="single" w:sz="4" w:space="0" w:color="auto"/>
              <w:left w:val="nil"/>
              <w:bottom w:val="nil"/>
              <w:right w:val="nil"/>
            </w:tcBorders>
            <w:vAlign w:val="bottom"/>
          </w:tcPr>
          <w:p w14:paraId="0959E8E1" w14:textId="77777777" w:rsidR="001A749A" w:rsidRPr="009B5064" w:rsidRDefault="001A749A" w:rsidP="001A749A">
            <w:pPr>
              <w:jc w:val="center"/>
              <w:rPr>
                <w:rFonts w:eastAsia="Times New Roman"/>
                <w:sz w:val="20"/>
                <w:shd w:val="clear" w:color="auto" w:fill="FFFFFF"/>
              </w:rPr>
            </w:pPr>
            <w:r w:rsidRPr="009B5064">
              <w:rPr>
                <w:rFonts w:eastAsia="Times New Roman"/>
                <w:sz w:val="20"/>
                <w:shd w:val="clear" w:color="auto" w:fill="FFFFFF"/>
              </w:rPr>
              <w:t>1.00</w:t>
            </w:r>
          </w:p>
        </w:tc>
        <w:tc>
          <w:tcPr>
            <w:tcW w:w="1701" w:type="dxa"/>
            <w:gridSpan w:val="3"/>
            <w:tcBorders>
              <w:top w:val="single" w:sz="4" w:space="0" w:color="auto"/>
              <w:left w:val="nil"/>
              <w:bottom w:val="nil"/>
              <w:right w:val="nil"/>
            </w:tcBorders>
            <w:vAlign w:val="bottom"/>
          </w:tcPr>
          <w:p w14:paraId="5947BD07" w14:textId="77777777" w:rsidR="001A749A" w:rsidRPr="009B5064" w:rsidRDefault="001A749A" w:rsidP="001A749A">
            <w:pPr>
              <w:jc w:val="center"/>
              <w:rPr>
                <w:rFonts w:eastAsia="Times New Roman"/>
                <w:sz w:val="20"/>
                <w:shd w:val="clear" w:color="auto" w:fill="FFFFFF"/>
              </w:rPr>
            </w:pPr>
            <w:r w:rsidRPr="009B5064">
              <w:rPr>
                <w:rFonts w:eastAsia="Times New Roman"/>
                <w:sz w:val="20"/>
                <w:shd w:val="clear" w:color="auto" w:fill="FFFFFF"/>
              </w:rPr>
              <w:t>1.00</w:t>
            </w:r>
          </w:p>
        </w:tc>
      </w:tr>
      <w:tr w:rsidR="009B5064" w:rsidRPr="009B5064" w14:paraId="5D04B4D8" w14:textId="77777777" w:rsidTr="00CF0DE1">
        <w:tblPrEx>
          <w:tblBorders>
            <w:left w:val="single" w:sz="4" w:space="0" w:color="auto"/>
            <w:right w:val="single" w:sz="4" w:space="0" w:color="auto"/>
            <w:insideV w:val="single" w:sz="4" w:space="0" w:color="auto"/>
          </w:tblBorders>
        </w:tblPrEx>
        <w:tc>
          <w:tcPr>
            <w:tcW w:w="1985" w:type="dxa"/>
            <w:tcBorders>
              <w:top w:val="single" w:sz="4" w:space="0" w:color="auto"/>
              <w:left w:val="nil"/>
              <w:bottom w:val="nil"/>
              <w:right w:val="nil"/>
            </w:tcBorders>
          </w:tcPr>
          <w:p w14:paraId="15810DBD" w14:textId="1879B8E3" w:rsidR="001A749A" w:rsidRPr="009B5064" w:rsidRDefault="001A749A" w:rsidP="001A749A">
            <w:pPr>
              <w:rPr>
                <w:sz w:val="20"/>
                <w:szCs w:val="20"/>
              </w:rPr>
            </w:pPr>
            <w:r w:rsidRPr="009B5064">
              <w:rPr>
                <w:sz w:val="20"/>
                <w:szCs w:val="20"/>
              </w:rPr>
              <w:t>Fair–poor</w:t>
            </w:r>
          </w:p>
        </w:tc>
        <w:tc>
          <w:tcPr>
            <w:tcW w:w="2126" w:type="dxa"/>
            <w:tcBorders>
              <w:top w:val="single" w:sz="4" w:space="0" w:color="auto"/>
              <w:left w:val="nil"/>
              <w:bottom w:val="nil"/>
              <w:right w:val="nil"/>
            </w:tcBorders>
            <w:vAlign w:val="bottom"/>
          </w:tcPr>
          <w:p w14:paraId="12F8BE3D" w14:textId="7D7C1E64" w:rsidR="001A749A" w:rsidRPr="009B5064" w:rsidRDefault="00947D9F" w:rsidP="001A749A">
            <w:pPr>
              <w:rPr>
                <w:rFonts w:eastAsia="Times New Roman"/>
                <w:sz w:val="20"/>
                <w:shd w:val="clear" w:color="auto" w:fill="FFFFFF"/>
              </w:rPr>
            </w:pPr>
            <w:r w:rsidRPr="009B5064">
              <w:rPr>
                <w:rFonts w:eastAsia="Times New Roman"/>
                <w:sz w:val="20"/>
                <w:shd w:val="clear" w:color="auto" w:fill="FFFFFF"/>
              </w:rPr>
              <w:t>0.53 [0.39-0.74]***</w:t>
            </w:r>
          </w:p>
        </w:tc>
        <w:tc>
          <w:tcPr>
            <w:tcW w:w="1842" w:type="dxa"/>
            <w:tcBorders>
              <w:top w:val="single" w:sz="4" w:space="0" w:color="auto"/>
              <w:left w:val="nil"/>
              <w:bottom w:val="nil"/>
              <w:right w:val="nil"/>
            </w:tcBorders>
            <w:vAlign w:val="bottom"/>
          </w:tcPr>
          <w:p w14:paraId="6BA6F4F0" w14:textId="0A8294FD" w:rsidR="001A749A" w:rsidRPr="009B5064" w:rsidRDefault="00AF3836" w:rsidP="001A749A">
            <w:pPr>
              <w:rPr>
                <w:rFonts w:eastAsia="Times New Roman"/>
                <w:sz w:val="20"/>
                <w:shd w:val="clear" w:color="auto" w:fill="FFFFFF"/>
              </w:rPr>
            </w:pPr>
            <w:r w:rsidRPr="009B5064">
              <w:rPr>
                <w:rFonts w:eastAsia="Times New Roman"/>
                <w:sz w:val="20"/>
                <w:shd w:val="clear" w:color="auto" w:fill="FFFFFF"/>
              </w:rPr>
              <w:t>0.77 [0.50-1.19]</w:t>
            </w:r>
          </w:p>
        </w:tc>
        <w:tc>
          <w:tcPr>
            <w:tcW w:w="1985" w:type="dxa"/>
            <w:tcBorders>
              <w:top w:val="single" w:sz="4" w:space="0" w:color="auto"/>
              <w:left w:val="nil"/>
              <w:bottom w:val="nil"/>
              <w:right w:val="nil"/>
            </w:tcBorders>
            <w:vAlign w:val="bottom"/>
          </w:tcPr>
          <w:p w14:paraId="7F0F7FAA" w14:textId="45F4AD20" w:rsidR="001A749A" w:rsidRPr="009B5064" w:rsidRDefault="00AF3836" w:rsidP="001A749A">
            <w:pPr>
              <w:rPr>
                <w:rFonts w:eastAsia="Times New Roman"/>
                <w:sz w:val="20"/>
                <w:shd w:val="clear" w:color="auto" w:fill="FFFFFF"/>
              </w:rPr>
            </w:pPr>
            <w:r w:rsidRPr="009B5064">
              <w:rPr>
                <w:rFonts w:eastAsia="Times New Roman"/>
                <w:sz w:val="20"/>
                <w:shd w:val="clear" w:color="auto" w:fill="FFFFFF"/>
              </w:rPr>
              <w:t>0.52 [0.37-0.73]***</w:t>
            </w:r>
          </w:p>
        </w:tc>
        <w:tc>
          <w:tcPr>
            <w:tcW w:w="283" w:type="dxa"/>
            <w:tcBorders>
              <w:top w:val="single" w:sz="4" w:space="0" w:color="auto"/>
              <w:left w:val="nil"/>
              <w:bottom w:val="nil"/>
              <w:right w:val="nil"/>
            </w:tcBorders>
            <w:vAlign w:val="bottom"/>
          </w:tcPr>
          <w:p w14:paraId="10A18CEE" w14:textId="77777777" w:rsidR="001A749A" w:rsidRPr="009B5064" w:rsidRDefault="001A749A" w:rsidP="001A749A">
            <w:pP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20A836CB" w14:textId="0FF71C78" w:rsidR="001A749A" w:rsidRPr="009B5064" w:rsidRDefault="00947D9F" w:rsidP="001A749A">
            <w:pPr>
              <w:rPr>
                <w:rFonts w:eastAsia="Times New Roman"/>
                <w:sz w:val="20"/>
                <w:shd w:val="clear" w:color="auto" w:fill="FFFFFF"/>
              </w:rPr>
            </w:pPr>
            <w:r w:rsidRPr="009B5064">
              <w:rPr>
                <w:rFonts w:eastAsia="Times New Roman"/>
                <w:sz w:val="20"/>
                <w:shd w:val="clear" w:color="auto" w:fill="FFFFFF"/>
              </w:rPr>
              <w:t>0.86 [0.66-1.12]</w:t>
            </w:r>
          </w:p>
        </w:tc>
        <w:tc>
          <w:tcPr>
            <w:tcW w:w="1703" w:type="dxa"/>
            <w:tcBorders>
              <w:top w:val="single" w:sz="4" w:space="0" w:color="auto"/>
              <w:left w:val="nil"/>
              <w:bottom w:val="nil"/>
              <w:right w:val="nil"/>
            </w:tcBorders>
            <w:vAlign w:val="bottom"/>
          </w:tcPr>
          <w:p w14:paraId="704AC34A" w14:textId="574C340E" w:rsidR="001A749A" w:rsidRPr="009B5064" w:rsidRDefault="00AF3836" w:rsidP="001A749A">
            <w:pPr>
              <w:rPr>
                <w:rFonts w:eastAsia="Times New Roman"/>
                <w:sz w:val="20"/>
                <w:shd w:val="clear" w:color="auto" w:fill="FFFFFF"/>
              </w:rPr>
            </w:pPr>
            <w:r w:rsidRPr="009B5064">
              <w:rPr>
                <w:rFonts w:eastAsia="Times New Roman"/>
                <w:sz w:val="20"/>
                <w:shd w:val="clear" w:color="auto" w:fill="FFFFFF"/>
              </w:rPr>
              <w:t>0.83 [0.61-1.14]</w:t>
            </w:r>
          </w:p>
        </w:tc>
        <w:tc>
          <w:tcPr>
            <w:tcW w:w="1701" w:type="dxa"/>
            <w:gridSpan w:val="3"/>
            <w:tcBorders>
              <w:top w:val="single" w:sz="4" w:space="0" w:color="auto"/>
              <w:left w:val="nil"/>
              <w:bottom w:val="nil"/>
              <w:right w:val="nil"/>
            </w:tcBorders>
            <w:vAlign w:val="bottom"/>
          </w:tcPr>
          <w:p w14:paraId="7F32DAE6" w14:textId="046D74BC" w:rsidR="001A749A" w:rsidRPr="009B5064" w:rsidRDefault="00AF3836" w:rsidP="001A749A">
            <w:pPr>
              <w:rPr>
                <w:rFonts w:eastAsia="Times New Roman"/>
                <w:sz w:val="20"/>
                <w:shd w:val="clear" w:color="auto" w:fill="FFFFFF"/>
              </w:rPr>
            </w:pPr>
            <w:r w:rsidRPr="009B5064">
              <w:rPr>
                <w:rFonts w:eastAsia="Times New Roman"/>
                <w:sz w:val="20"/>
                <w:shd w:val="clear" w:color="auto" w:fill="FFFFFF"/>
              </w:rPr>
              <w:t>1.04 [0.77-1.39]</w:t>
            </w:r>
          </w:p>
        </w:tc>
      </w:tr>
      <w:tr w:rsidR="009B5064" w:rsidRPr="009B5064" w14:paraId="203C7A5F" w14:textId="77777777" w:rsidTr="00CF0DE1">
        <w:tblPrEx>
          <w:tblBorders>
            <w:left w:val="single" w:sz="4" w:space="0" w:color="auto"/>
            <w:right w:val="single" w:sz="4" w:space="0" w:color="auto"/>
            <w:insideV w:val="single" w:sz="4" w:space="0" w:color="auto"/>
          </w:tblBorders>
        </w:tblPrEx>
        <w:trPr>
          <w:gridAfter w:val="2"/>
          <w:wAfter w:w="15" w:type="dxa"/>
          <w:trHeight w:val="556"/>
        </w:trPr>
        <w:tc>
          <w:tcPr>
            <w:tcW w:w="13453" w:type="dxa"/>
            <w:gridSpan w:val="8"/>
            <w:tcBorders>
              <w:top w:val="single" w:sz="8" w:space="0" w:color="auto"/>
              <w:left w:val="nil"/>
              <w:bottom w:val="nil"/>
              <w:right w:val="nil"/>
            </w:tcBorders>
          </w:tcPr>
          <w:p w14:paraId="212E7BA1" w14:textId="77777777" w:rsidR="00722460" w:rsidRPr="009B5064" w:rsidRDefault="00722460" w:rsidP="00722460">
            <w:pPr>
              <w:rPr>
                <w:rFonts w:cs="Arial"/>
                <w:sz w:val="20"/>
                <w:szCs w:val="20"/>
              </w:rPr>
            </w:pPr>
            <w:r w:rsidRPr="009B5064">
              <w:rPr>
                <w:rFonts w:cs="Arial"/>
                <w:sz w:val="20"/>
                <w:szCs w:val="20"/>
              </w:rPr>
              <w:t xml:space="preserve">* </w:t>
            </w:r>
            <w:r w:rsidRPr="009B5064">
              <w:rPr>
                <w:rFonts w:cs="Arial"/>
                <w:i/>
                <w:sz w:val="20"/>
                <w:szCs w:val="20"/>
              </w:rPr>
              <w:t>p</w:t>
            </w:r>
            <w:r w:rsidRPr="009B5064">
              <w:rPr>
                <w:rFonts w:cs="Arial"/>
                <w:sz w:val="20"/>
                <w:szCs w:val="20"/>
              </w:rPr>
              <w:t xml:space="preserve">&lt;0.05, ** </w:t>
            </w:r>
            <w:r w:rsidRPr="009B5064">
              <w:rPr>
                <w:rFonts w:cs="Arial"/>
                <w:i/>
                <w:sz w:val="20"/>
                <w:szCs w:val="20"/>
              </w:rPr>
              <w:t>p</w:t>
            </w:r>
            <w:r w:rsidRPr="009B5064">
              <w:rPr>
                <w:rFonts w:cs="Arial"/>
                <w:sz w:val="20"/>
                <w:szCs w:val="20"/>
              </w:rPr>
              <w:t xml:space="preserve">&lt;0.01, *** </w:t>
            </w:r>
            <w:r w:rsidRPr="009B5064">
              <w:rPr>
                <w:rFonts w:cs="Arial"/>
                <w:i/>
                <w:sz w:val="20"/>
                <w:szCs w:val="20"/>
              </w:rPr>
              <w:t>p</w:t>
            </w:r>
            <w:r w:rsidRPr="009B5064">
              <w:rPr>
                <w:rFonts w:cs="Arial"/>
                <w:sz w:val="20"/>
                <w:szCs w:val="20"/>
              </w:rPr>
              <w:t>&lt;0.001.</w:t>
            </w:r>
          </w:p>
          <w:p w14:paraId="0F4991BA" w14:textId="77777777" w:rsidR="00722460" w:rsidRPr="009B5064" w:rsidRDefault="00722460" w:rsidP="00722460">
            <w:pPr>
              <w:rPr>
                <w:rFonts w:cs="Arial"/>
                <w:sz w:val="20"/>
                <w:szCs w:val="20"/>
              </w:rPr>
            </w:pPr>
            <w:r w:rsidRPr="009B5064">
              <w:rPr>
                <w:rFonts w:cs="Arial"/>
                <w:sz w:val="20"/>
                <w:szCs w:val="20"/>
              </w:rPr>
              <w:t xml:space="preserve">Values are odds ratios with 95% confidence intervals. </w:t>
            </w:r>
          </w:p>
          <w:p w14:paraId="146855EE" w14:textId="77777777" w:rsidR="00722460" w:rsidRPr="009B5064" w:rsidRDefault="00722460" w:rsidP="00722460">
            <w:pPr>
              <w:rPr>
                <w:rFonts w:cs="Arial"/>
                <w:sz w:val="20"/>
                <w:szCs w:val="20"/>
              </w:rPr>
            </w:pPr>
            <w:r w:rsidRPr="009B5064">
              <w:rPr>
                <w:rFonts w:cs="Arial"/>
                <w:sz w:val="20"/>
                <w:szCs w:val="20"/>
              </w:rPr>
              <w:t>All figures are adjusted for age, partner status, ethnicity, wealth, smoking status, alcohol intake, physical activity, depressive symptoms, and history of CVD, diabetes and eye disease, and weighted for sampling probabilities and differential non-response.</w:t>
            </w:r>
          </w:p>
          <w:p w14:paraId="01B53846" w14:textId="77777777" w:rsidR="00722460" w:rsidRPr="009B5064" w:rsidRDefault="00722460" w:rsidP="00722460">
            <w:pPr>
              <w:rPr>
                <w:rFonts w:cs="Arial"/>
                <w:sz w:val="20"/>
                <w:szCs w:val="20"/>
              </w:rPr>
            </w:pPr>
          </w:p>
        </w:tc>
      </w:tr>
    </w:tbl>
    <w:p w14:paraId="4B2F570B" w14:textId="77777777" w:rsidR="00722460" w:rsidRPr="009B5064" w:rsidRDefault="00722460" w:rsidP="00722460"/>
    <w:p w14:paraId="722B2B3E" w14:textId="77777777" w:rsidR="00722460" w:rsidRPr="009B5064" w:rsidRDefault="00722460" w:rsidP="00722460"/>
    <w:p w14:paraId="7D26D917" w14:textId="77777777" w:rsidR="00722460" w:rsidRPr="009B5064" w:rsidRDefault="00722460" w:rsidP="00722460"/>
    <w:p w14:paraId="56633307" w14:textId="77777777" w:rsidR="00722460" w:rsidRPr="009B5064" w:rsidRDefault="00722460" w:rsidP="00722460"/>
    <w:p w14:paraId="36A96E22" w14:textId="77777777" w:rsidR="00722460" w:rsidRPr="009B5064" w:rsidRDefault="00722460" w:rsidP="00722460"/>
    <w:p w14:paraId="6C2853E2" w14:textId="77777777" w:rsidR="00CF0DE1" w:rsidRPr="009B5064" w:rsidRDefault="00CF0DE1" w:rsidP="00CF0DE1"/>
    <w:tbl>
      <w:tblPr>
        <w:tblStyle w:val="TableGrid"/>
        <w:tblpPr w:leftFromText="180" w:rightFromText="180" w:vertAnchor="text" w:horzAnchor="margin" w:tblpXSpec="center" w:tblpY="278"/>
        <w:tblW w:w="1304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842"/>
        <w:gridCol w:w="1702"/>
        <w:gridCol w:w="1706"/>
        <w:gridCol w:w="283"/>
        <w:gridCol w:w="1843"/>
        <w:gridCol w:w="1980"/>
        <w:gridCol w:w="1837"/>
        <w:gridCol w:w="6"/>
        <w:gridCol w:w="6"/>
      </w:tblGrid>
      <w:tr w:rsidR="009B5064" w:rsidRPr="009B5064" w14:paraId="6AD39D56" w14:textId="77777777" w:rsidTr="00CF0DE1">
        <w:trPr>
          <w:gridAfter w:val="2"/>
          <w:wAfter w:w="12" w:type="dxa"/>
        </w:trPr>
        <w:tc>
          <w:tcPr>
            <w:tcW w:w="13036" w:type="dxa"/>
            <w:gridSpan w:val="8"/>
            <w:tcBorders>
              <w:top w:val="nil"/>
              <w:bottom w:val="single" w:sz="8" w:space="0" w:color="auto"/>
            </w:tcBorders>
          </w:tcPr>
          <w:p w14:paraId="13F2F5FD" w14:textId="77777777" w:rsidR="00A533EA" w:rsidRPr="009B5064" w:rsidRDefault="00A533EA" w:rsidP="00CF0DE1">
            <w:pPr>
              <w:rPr>
                <w:rFonts w:eastAsia="Times New Roman"/>
                <w:b/>
                <w:sz w:val="20"/>
              </w:rPr>
            </w:pPr>
            <w:r w:rsidRPr="009B5064">
              <w:rPr>
                <w:rFonts w:eastAsia="Times New Roman"/>
                <w:b/>
                <w:sz w:val="20"/>
              </w:rPr>
              <w:lastRenderedPageBreak/>
              <w:t xml:space="preserve">Table 3 </w:t>
            </w:r>
            <w:r w:rsidRPr="009B5064">
              <w:rPr>
                <w:rFonts w:eastAsia="Times New Roman"/>
                <w:sz w:val="20"/>
              </w:rPr>
              <w:t>Associations between self-rated eyesight and frequency of sexual intercourse in the last month in sexually active older men and women</w:t>
            </w:r>
          </w:p>
        </w:tc>
      </w:tr>
      <w:tr w:rsidR="009B5064" w:rsidRPr="009B5064" w14:paraId="0048A1F9" w14:textId="77777777" w:rsidTr="00CF0DE1">
        <w:tblPrEx>
          <w:tblBorders>
            <w:left w:val="single" w:sz="4" w:space="0" w:color="auto"/>
            <w:right w:val="single" w:sz="4" w:space="0" w:color="auto"/>
            <w:insideV w:val="single" w:sz="4" w:space="0" w:color="auto"/>
          </w:tblBorders>
        </w:tblPrEx>
        <w:trPr>
          <w:gridAfter w:val="1"/>
          <w:wAfter w:w="6" w:type="dxa"/>
        </w:trPr>
        <w:tc>
          <w:tcPr>
            <w:tcW w:w="1843" w:type="dxa"/>
            <w:vMerge w:val="restart"/>
            <w:tcBorders>
              <w:top w:val="nil"/>
              <w:left w:val="nil"/>
              <w:right w:val="nil"/>
            </w:tcBorders>
            <w:vAlign w:val="bottom"/>
          </w:tcPr>
          <w:p w14:paraId="5347CF72" w14:textId="77777777" w:rsidR="00A533EA" w:rsidRPr="009B5064" w:rsidRDefault="00A533EA" w:rsidP="00CF0DE1">
            <w:pPr>
              <w:rPr>
                <w:rFonts w:eastAsia="Times New Roman"/>
                <w:b/>
                <w:sz w:val="20"/>
                <w:shd w:val="clear" w:color="auto" w:fill="FFFFFF"/>
              </w:rPr>
            </w:pPr>
            <w:r w:rsidRPr="009B5064">
              <w:rPr>
                <w:rFonts w:eastAsia="Times New Roman"/>
                <w:b/>
                <w:sz w:val="20"/>
                <w:shd w:val="clear" w:color="auto" w:fill="FFFFFF"/>
              </w:rPr>
              <w:t>Rating</w:t>
            </w:r>
          </w:p>
        </w:tc>
        <w:tc>
          <w:tcPr>
            <w:tcW w:w="5250" w:type="dxa"/>
            <w:gridSpan w:val="3"/>
            <w:tcBorders>
              <w:top w:val="single" w:sz="4" w:space="0" w:color="auto"/>
              <w:left w:val="nil"/>
              <w:bottom w:val="single" w:sz="4" w:space="0" w:color="auto"/>
              <w:right w:val="nil"/>
            </w:tcBorders>
            <w:vAlign w:val="center"/>
          </w:tcPr>
          <w:p w14:paraId="04EE3524" w14:textId="77777777" w:rsidR="00A533EA" w:rsidRPr="009B5064" w:rsidRDefault="00A533EA" w:rsidP="00CF0DE1">
            <w:pPr>
              <w:jc w:val="center"/>
              <w:rPr>
                <w:rFonts w:eastAsia="Times New Roman"/>
                <w:b/>
                <w:sz w:val="20"/>
                <w:shd w:val="clear" w:color="auto" w:fill="FFFFFF"/>
              </w:rPr>
            </w:pPr>
            <w:r w:rsidRPr="009B5064">
              <w:rPr>
                <w:rFonts w:eastAsia="Times New Roman"/>
                <w:b/>
                <w:sz w:val="20"/>
                <w:shd w:val="clear" w:color="auto" w:fill="FFFFFF"/>
              </w:rPr>
              <w:t>Men</w:t>
            </w:r>
          </w:p>
        </w:tc>
        <w:tc>
          <w:tcPr>
            <w:tcW w:w="283" w:type="dxa"/>
            <w:tcBorders>
              <w:top w:val="nil"/>
              <w:left w:val="nil"/>
              <w:bottom w:val="nil"/>
              <w:right w:val="nil"/>
            </w:tcBorders>
          </w:tcPr>
          <w:p w14:paraId="417948B2" w14:textId="77777777" w:rsidR="00A533EA" w:rsidRPr="009B5064" w:rsidRDefault="00A533EA" w:rsidP="00CF0DE1">
            <w:pPr>
              <w:jc w:val="center"/>
              <w:rPr>
                <w:rFonts w:eastAsia="Times New Roman"/>
                <w:b/>
                <w:i/>
                <w:sz w:val="20"/>
                <w:shd w:val="clear" w:color="auto" w:fill="FFFFFF"/>
              </w:rPr>
            </w:pPr>
          </w:p>
        </w:tc>
        <w:tc>
          <w:tcPr>
            <w:tcW w:w="5666" w:type="dxa"/>
            <w:gridSpan w:val="4"/>
            <w:tcBorders>
              <w:top w:val="nil"/>
              <w:left w:val="nil"/>
              <w:bottom w:val="single" w:sz="4" w:space="0" w:color="auto"/>
              <w:right w:val="nil"/>
            </w:tcBorders>
            <w:vAlign w:val="center"/>
          </w:tcPr>
          <w:p w14:paraId="64E6AB5B" w14:textId="77777777" w:rsidR="00A533EA" w:rsidRPr="009B5064" w:rsidRDefault="00A533EA" w:rsidP="00CF0DE1">
            <w:pPr>
              <w:jc w:val="center"/>
              <w:rPr>
                <w:rFonts w:eastAsia="Times New Roman"/>
                <w:b/>
                <w:sz w:val="20"/>
                <w:shd w:val="clear" w:color="auto" w:fill="FFFFFF"/>
              </w:rPr>
            </w:pPr>
            <w:r w:rsidRPr="009B5064">
              <w:rPr>
                <w:rFonts w:eastAsia="Times New Roman"/>
                <w:b/>
                <w:sz w:val="20"/>
                <w:shd w:val="clear" w:color="auto" w:fill="FFFFFF"/>
              </w:rPr>
              <w:t>Women</w:t>
            </w:r>
          </w:p>
        </w:tc>
      </w:tr>
      <w:tr w:rsidR="009B5064" w:rsidRPr="009B5064" w14:paraId="482DA7ED" w14:textId="77777777" w:rsidTr="00CF0DE1">
        <w:tblPrEx>
          <w:tblBorders>
            <w:left w:val="single" w:sz="4" w:space="0" w:color="auto"/>
            <w:right w:val="single" w:sz="4" w:space="0" w:color="auto"/>
            <w:insideV w:val="single" w:sz="4" w:space="0" w:color="auto"/>
          </w:tblBorders>
        </w:tblPrEx>
        <w:tc>
          <w:tcPr>
            <w:tcW w:w="1843" w:type="dxa"/>
            <w:vMerge/>
            <w:tcBorders>
              <w:left w:val="nil"/>
              <w:bottom w:val="single" w:sz="4" w:space="0" w:color="auto"/>
              <w:right w:val="nil"/>
            </w:tcBorders>
            <w:vAlign w:val="center"/>
          </w:tcPr>
          <w:p w14:paraId="7D7A6DBF" w14:textId="77777777" w:rsidR="00A533EA" w:rsidRPr="009B5064" w:rsidRDefault="00A533EA" w:rsidP="00CF0DE1">
            <w:pPr>
              <w:jc w:val="center"/>
              <w:rPr>
                <w:rFonts w:eastAsia="Times New Roman"/>
                <w:sz w:val="20"/>
                <w:shd w:val="clear" w:color="auto" w:fill="FFFFFF"/>
              </w:rPr>
            </w:pPr>
          </w:p>
        </w:tc>
        <w:tc>
          <w:tcPr>
            <w:tcW w:w="1842" w:type="dxa"/>
            <w:tcBorders>
              <w:top w:val="single" w:sz="4" w:space="0" w:color="auto"/>
              <w:left w:val="nil"/>
              <w:bottom w:val="single" w:sz="4" w:space="0" w:color="auto"/>
              <w:right w:val="nil"/>
            </w:tcBorders>
            <w:vAlign w:val="center"/>
          </w:tcPr>
          <w:p w14:paraId="5CD1439A" w14:textId="77777777" w:rsidR="00A533EA" w:rsidRPr="009B5064" w:rsidRDefault="00A533EA" w:rsidP="00CF0DE1">
            <w:pPr>
              <w:jc w:val="center"/>
              <w:rPr>
                <w:rFonts w:eastAsia="Times New Roman"/>
                <w:b/>
                <w:sz w:val="20"/>
                <w:shd w:val="clear" w:color="auto" w:fill="FFFFFF"/>
              </w:rPr>
            </w:pPr>
            <w:r w:rsidRPr="009B5064">
              <w:rPr>
                <w:rFonts w:eastAsia="Times New Roman"/>
                <w:b/>
                <w:sz w:val="20"/>
                <w:shd w:val="clear" w:color="auto" w:fill="FFFFFF"/>
              </w:rPr>
              <w:t>Self-rated eyesight</w:t>
            </w:r>
          </w:p>
        </w:tc>
        <w:tc>
          <w:tcPr>
            <w:tcW w:w="1702" w:type="dxa"/>
            <w:tcBorders>
              <w:top w:val="single" w:sz="4" w:space="0" w:color="auto"/>
              <w:left w:val="nil"/>
              <w:bottom w:val="single" w:sz="4" w:space="0" w:color="auto"/>
              <w:right w:val="nil"/>
            </w:tcBorders>
            <w:vAlign w:val="center"/>
          </w:tcPr>
          <w:p w14:paraId="631B65E7" w14:textId="77777777" w:rsidR="00A533EA" w:rsidRPr="009B5064" w:rsidRDefault="00A533EA" w:rsidP="00CF0DE1">
            <w:pPr>
              <w:jc w:val="center"/>
              <w:rPr>
                <w:rFonts w:eastAsia="Times New Roman"/>
                <w:b/>
                <w:sz w:val="20"/>
                <w:shd w:val="clear" w:color="auto" w:fill="FFFFFF"/>
              </w:rPr>
            </w:pPr>
            <w:r w:rsidRPr="009B5064">
              <w:rPr>
                <w:rFonts w:eastAsia="Times New Roman"/>
                <w:b/>
                <w:sz w:val="20"/>
                <w:shd w:val="clear" w:color="auto" w:fill="FFFFFF"/>
              </w:rPr>
              <w:t>Recognition of friends across street</w:t>
            </w:r>
          </w:p>
        </w:tc>
        <w:tc>
          <w:tcPr>
            <w:tcW w:w="1706" w:type="dxa"/>
            <w:tcBorders>
              <w:top w:val="nil"/>
              <w:left w:val="nil"/>
              <w:bottom w:val="single" w:sz="4" w:space="0" w:color="auto"/>
              <w:right w:val="nil"/>
            </w:tcBorders>
            <w:vAlign w:val="center"/>
          </w:tcPr>
          <w:p w14:paraId="2D212B88" w14:textId="77777777" w:rsidR="00A533EA" w:rsidRPr="009B5064" w:rsidRDefault="00A533EA" w:rsidP="00CF0DE1">
            <w:pPr>
              <w:jc w:val="center"/>
              <w:rPr>
                <w:rFonts w:eastAsia="Times New Roman"/>
                <w:b/>
                <w:i/>
                <w:sz w:val="20"/>
                <w:shd w:val="clear" w:color="auto" w:fill="FFFFFF"/>
              </w:rPr>
            </w:pPr>
            <w:r w:rsidRPr="009B5064">
              <w:rPr>
                <w:rFonts w:eastAsia="Times New Roman"/>
                <w:b/>
                <w:sz w:val="20"/>
                <w:shd w:val="clear" w:color="auto" w:fill="FFFFFF"/>
              </w:rPr>
              <w:t>Reading ordinary newspaper</w:t>
            </w:r>
          </w:p>
        </w:tc>
        <w:tc>
          <w:tcPr>
            <w:tcW w:w="283" w:type="dxa"/>
            <w:tcBorders>
              <w:top w:val="nil"/>
              <w:left w:val="nil"/>
              <w:bottom w:val="single" w:sz="4" w:space="0" w:color="auto"/>
              <w:right w:val="nil"/>
            </w:tcBorders>
            <w:vAlign w:val="center"/>
          </w:tcPr>
          <w:p w14:paraId="6C8FC75C" w14:textId="77777777" w:rsidR="00A533EA" w:rsidRPr="009B5064" w:rsidRDefault="00A533EA" w:rsidP="00CF0DE1">
            <w:pPr>
              <w:jc w:val="center"/>
              <w:rPr>
                <w:rFonts w:eastAsia="Times New Roman"/>
                <w:b/>
                <w:i/>
                <w:sz w:val="20"/>
                <w:shd w:val="clear" w:color="auto" w:fill="FFFFFF"/>
              </w:rPr>
            </w:pPr>
          </w:p>
        </w:tc>
        <w:tc>
          <w:tcPr>
            <w:tcW w:w="1843" w:type="dxa"/>
            <w:tcBorders>
              <w:top w:val="nil"/>
              <w:left w:val="nil"/>
              <w:bottom w:val="single" w:sz="4" w:space="0" w:color="auto"/>
              <w:right w:val="nil"/>
            </w:tcBorders>
            <w:vAlign w:val="center"/>
          </w:tcPr>
          <w:p w14:paraId="62E01526" w14:textId="77777777" w:rsidR="00A533EA" w:rsidRPr="009B5064" w:rsidRDefault="00A533EA" w:rsidP="00CF0DE1">
            <w:pPr>
              <w:jc w:val="center"/>
              <w:rPr>
                <w:rFonts w:eastAsia="Times New Roman"/>
                <w:b/>
                <w:i/>
                <w:sz w:val="20"/>
                <w:shd w:val="clear" w:color="auto" w:fill="FFFFFF"/>
              </w:rPr>
            </w:pPr>
            <w:r w:rsidRPr="009B5064">
              <w:rPr>
                <w:rFonts w:eastAsia="Times New Roman"/>
                <w:b/>
                <w:sz w:val="20"/>
                <w:shd w:val="clear" w:color="auto" w:fill="FFFFFF"/>
              </w:rPr>
              <w:t>Self-rated eyesight</w:t>
            </w:r>
          </w:p>
        </w:tc>
        <w:tc>
          <w:tcPr>
            <w:tcW w:w="1980" w:type="dxa"/>
            <w:tcBorders>
              <w:top w:val="nil"/>
              <w:left w:val="nil"/>
              <w:bottom w:val="single" w:sz="4" w:space="0" w:color="auto"/>
              <w:right w:val="nil"/>
            </w:tcBorders>
            <w:vAlign w:val="center"/>
          </w:tcPr>
          <w:p w14:paraId="49982F0B" w14:textId="77777777" w:rsidR="00A533EA" w:rsidRPr="009B5064" w:rsidRDefault="00A533EA" w:rsidP="00CF0DE1">
            <w:pPr>
              <w:jc w:val="center"/>
              <w:rPr>
                <w:rFonts w:eastAsia="Times New Roman"/>
                <w:b/>
                <w:i/>
                <w:sz w:val="20"/>
                <w:shd w:val="clear" w:color="auto" w:fill="FFFFFF"/>
              </w:rPr>
            </w:pPr>
            <w:r w:rsidRPr="009B5064">
              <w:rPr>
                <w:rFonts w:eastAsia="Times New Roman"/>
                <w:b/>
                <w:sz w:val="20"/>
                <w:shd w:val="clear" w:color="auto" w:fill="FFFFFF"/>
              </w:rPr>
              <w:t>Recognition of friends across street</w:t>
            </w:r>
          </w:p>
        </w:tc>
        <w:tc>
          <w:tcPr>
            <w:tcW w:w="1849" w:type="dxa"/>
            <w:gridSpan w:val="3"/>
            <w:tcBorders>
              <w:top w:val="nil"/>
              <w:left w:val="nil"/>
              <w:bottom w:val="single" w:sz="4" w:space="0" w:color="auto"/>
              <w:right w:val="nil"/>
            </w:tcBorders>
            <w:vAlign w:val="center"/>
          </w:tcPr>
          <w:p w14:paraId="6E518379" w14:textId="77777777" w:rsidR="00A533EA" w:rsidRPr="009B5064" w:rsidRDefault="00A533EA" w:rsidP="00CF0DE1">
            <w:pPr>
              <w:jc w:val="center"/>
              <w:rPr>
                <w:rFonts w:eastAsia="Times New Roman"/>
                <w:b/>
                <w:i/>
                <w:sz w:val="20"/>
                <w:shd w:val="clear" w:color="auto" w:fill="FFFFFF"/>
              </w:rPr>
            </w:pPr>
            <w:r w:rsidRPr="009B5064">
              <w:rPr>
                <w:rFonts w:eastAsia="Times New Roman"/>
                <w:b/>
                <w:sz w:val="20"/>
                <w:shd w:val="clear" w:color="auto" w:fill="FFFFFF"/>
              </w:rPr>
              <w:t>Reading ordinary newspaper</w:t>
            </w:r>
          </w:p>
        </w:tc>
      </w:tr>
      <w:tr w:rsidR="009B5064" w:rsidRPr="009B5064" w14:paraId="1912CDAD" w14:textId="77777777" w:rsidTr="00CF0DE1">
        <w:tblPrEx>
          <w:tblBorders>
            <w:left w:val="single" w:sz="4" w:space="0" w:color="auto"/>
            <w:right w:val="single" w:sz="4" w:space="0" w:color="auto"/>
            <w:insideV w:val="single" w:sz="4" w:space="0" w:color="auto"/>
          </w:tblBorders>
        </w:tblPrEx>
        <w:tc>
          <w:tcPr>
            <w:tcW w:w="1843" w:type="dxa"/>
            <w:tcBorders>
              <w:top w:val="single" w:sz="4" w:space="0" w:color="auto"/>
              <w:left w:val="nil"/>
              <w:bottom w:val="nil"/>
              <w:right w:val="nil"/>
            </w:tcBorders>
          </w:tcPr>
          <w:p w14:paraId="5D653307" w14:textId="34B91EC0" w:rsidR="00134A79" w:rsidRPr="009B5064" w:rsidRDefault="00134A79" w:rsidP="00CF0DE1">
            <w:pPr>
              <w:rPr>
                <w:rFonts w:eastAsia="Times New Roman"/>
                <w:b/>
                <w:bCs/>
                <w:sz w:val="20"/>
                <w:shd w:val="clear" w:color="auto" w:fill="FFFFFF"/>
              </w:rPr>
            </w:pPr>
            <w:r w:rsidRPr="009B5064">
              <w:rPr>
                <w:rFonts w:eastAsia="Times New Roman"/>
                <w:b/>
                <w:bCs/>
                <w:sz w:val="20"/>
                <w:shd w:val="clear" w:color="auto" w:fill="FFFFFF"/>
              </w:rPr>
              <w:t>Four-level variable</w:t>
            </w:r>
          </w:p>
        </w:tc>
        <w:tc>
          <w:tcPr>
            <w:tcW w:w="1842" w:type="dxa"/>
            <w:tcBorders>
              <w:top w:val="single" w:sz="4" w:space="0" w:color="auto"/>
              <w:left w:val="nil"/>
              <w:bottom w:val="nil"/>
              <w:right w:val="nil"/>
            </w:tcBorders>
            <w:vAlign w:val="bottom"/>
          </w:tcPr>
          <w:p w14:paraId="0E636B36" w14:textId="4942C0DE" w:rsidR="00134A79" w:rsidRPr="009B5064" w:rsidRDefault="00134A79" w:rsidP="00CF0DE1">
            <w:pPr>
              <w:jc w:val="center"/>
              <w:rPr>
                <w:rFonts w:eastAsia="Times New Roman"/>
                <w:sz w:val="20"/>
                <w:shd w:val="clear" w:color="auto" w:fill="FFFFFF"/>
              </w:rPr>
            </w:pPr>
          </w:p>
        </w:tc>
        <w:tc>
          <w:tcPr>
            <w:tcW w:w="1702" w:type="dxa"/>
            <w:tcBorders>
              <w:top w:val="single" w:sz="4" w:space="0" w:color="auto"/>
              <w:left w:val="nil"/>
              <w:bottom w:val="nil"/>
              <w:right w:val="nil"/>
            </w:tcBorders>
            <w:vAlign w:val="bottom"/>
          </w:tcPr>
          <w:p w14:paraId="1714BE07" w14:textId="6884C9E8" w:rsidR="00134A79" w:rsidRPr="009B5064" w:rsidRDefault="00134A79" w:rsidP="00CF0DE1">
            <w:pPr>
              <w:jc w:val="center"/>
              <w:rPr>
                <w:rFonts w:eastAsia="Times New Roman"/>
                <w:sz w:val="20"/>
                <w:shd w:val="clear" w:color="auto" w:fill="FFFFFF"/>
              </w:rPr>
            </w:pPr>
          </w:p>
        </w:tc>
        <w:tc>
          <w:tcPr>
            <w:tcW w:w="1706" w:type="dxa"/>
            <w:tcBorders>
              <w:top w:val="single" w:sz="4" w:space="0" w:color="auto"/>
              <w:left w:val="nil"/>
              <w:bottom w:val="nil"/>
              <w:right w:val="nil"/>
            </w:tcBorders>
            <w:vAlign w:val="bottom"/>
          </w:tcPr>
          <w:p w14:paraId="11CAC9FE" w14:textId="30DEA5A0" w:rsidR="00134A79" w:rsidRPr="009B5064" w:rsidRDefault="00134A79" w:rsidP="00CF0DE1">
            <w:pPr>
              <w:jc w:val="center"/>
              <w:rPr>
                <w:rFonts w:eastAsia="Times New Roman"/>
                <w:sz w:val="20"/>
                <w:shd w:val="clear" w:color="auto" w:fill="FFFFFF"/>
              </w:rPr>
            </w:pPr>
          </w:p>
        </w:tc>
        <w:tc>
          <w:tcPr>
            <w:tcW w:w="283" w:type="dxa"/>
            <w:tcBorders>
              <w:top w:val="single" w:sz="4" w:space="0" w:color="auto"/>
              <w:left w:val="nil"/>
              <w:bottom w:val="nil"/>
              <w:right w:val="nil"/>
            </w:tcBorders>
            <w:vAlign w:val="bottom"/>
          </w:tcPr>
          <w:p w14:paraId="2BB3D8A3" w14:textId="77777777" w:rsidR="00134A79" w:rsidRPr="009B5064" w:rsidRDefault="00134A79" w:rsidP="00CF0DE1">
            <w:pPr>
              <w:jc w:val="cente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2D8AA402" w14:textId="4F093FBA" w:rsidR="00134A79" w:rsidRPr="009B5064" w:rsidRDefault="00134A79" w:rsidP="00CF0DE1">
            <w:pPr>
              <w:jc w:val="center"/>
              <w:rPr>
                <w:rFonts w:eastAsia="Times New Roman"/>
                <w:sz w:val="20"/>
                <w:shd w:val="clear" w:color="auto" w:fill="FFFFFF"/>
              </w:rPr>
            </w:pPr>
          </w:p>
        </w:tc>
        <w:tc>
          <w:tcPr>
            <w:tcW w:w="1980" w:type="dxa"/>
            <w:tcBorders>
              <w:top w:val="single" w:sz="4" w:space="0" w:color="auto"/>
              <w:left w:val="nil"/>
              <w:bottom w:val="nil"/>
              <w:right w:val="nil"/>
            </w:tcBorders>
            <w:vAlign w:val="bottom"/>
          </w:tcPr>
          <w:p w14:paraId="3AC29C72" w14:textId="2807D1D2" w:rsidR="00134A79" w:rsidRPr="009B5064" w:rsidRDefault="00134A79" w:rsidP="00CF0DE1">
            <w:pPr>
              <w:jc w:val="center"/>
              <w:rPr>
                <w:rFonts w:eastAsia="Times New Roman"/>
                <w:sz w:val="20"/>
                <w:shd w:val="clear" w:color="auto" w:fill="FFFFFF"/>
              </w:rPr>
            </w:pPr>
          </w:p>
        </w:tc>
        <w:tc>
          <w:tcPr>
            <w:tcW w:w="1849" w:type="dxa"/>
            <w:gridSpan w:val="3"/>
            <w:tcBorders>
              <w:top w:val="single" w:sz="4" w:space="0" w:color="auto"/>
              <w:left w:val="nil"/>
              <w:bottom w:val="nil"/>
              <w:right w:val="nil"/>
            </w:tcBorders>
            <w:vAlign w:val="bottom"/>
          </w:tcPr>
          <w:p w14:paraId="56F89256" w14:textId="7B091F6F" w:rsidR="00134A79" w:rsidRPr="009B5064" w:rsidRDefault="00134A79" w:rsidP="00CF0DE1">
            <w:pPr>
              <w:jc w:val="center"/>
              <w:rPr>
                <w:rFonts w:eastAsia="Times New Roman"/>
                <w:sz w:val="20"/>
                <w:shd w:val="clear" w:color="auto" w:fill="FFFFFF"/>
              </w:rPr>
            </w:pPr>
          </w:p>
        </w:tc>
      </w:tr>
      <w:tr w:rsidR="009B5064" w:rsidRPr="009B5064" w14:paraId="76C780EA" w14:textId="77777777" w:rsidTr="00CF0DE1">
        <w:tblPrEx>
          <w:tblBorders>
            <w:left w:val="single" w:sz="4" w:space="0" w:color="auto"/>
            <w:right w:val="single" w:sz="4" w:space="0" w:color="auto"/>
            <w:insideV w:val="single" w:sz="4" w:space="0" w:color="auto"/>
          </w:tblBorders>
        </w:tblPrEx>
        <w:tc>
          <w:tcPr>
            <w:tcW w:w="1843" w:type="dxa"/>
            <w:tcBorders>
              <w:top w:val="single" w:sz="4" w:space="0" w:color="auto"/>
              <w:left w:val="nil"/>
              <w:bottom w:val="nil"/>
              <w:right w:val="nil"/>
            </w:tcBorders>
          </w:tcPr>
          <w:p w14:paraId="1A900964"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Excellent</w:t>
            </w:r>
          </w:p>
        </w:tc>
        <w:tc>
          <w:tcPr>
            <w:tcW w:w="1842" w:type="dxa"/>
            <w:tcBorders>
              <w:top w:val="single" w:sz="4" w:space="0" w:color="auto"/>
              <w:left w:val="nil"/>
              <w:bottom w:val="nil"/>
              <w:right w:val="nil"/>
            </w:tcBorders>
            <w:vAlign w:val="bottom"/>
          </w:tcPr>
          <w:p w14:paraId="22C4F016" w14:textId="77777777" w:rsidR="00A533EA" w:rsidRPr="009B5064" w:rsidRDefault="00A533EA" w:rsidP="00CF0DE1">
            <w:pPr>
              <w:jc w:val="center"/>
              <w:rPr>
                <w:rFonts w:eastAsia="Times New Roman"/>
                <w:sz w:val="20"/>
                <w:shd w:val="clear" w:color="auto" w:fill="FFFFFF"/>
              </w:rPr>
            </w:pPr>
            <w:r w:rsidRPr="009B5064">
              <w:rPr>
                <w:rFonts w:eastAsia="Times New Roman"/>
                <w:sz w:val="20"/>
                <w:shd w:val="clear" w:color="auto" w:fill="FFFFFF"/>
              </w:rPr>
              <w:t>1.00 [Ref]</w:t>
            </w:r>
          </w:p>
        </w:tc>
        <w:tc>
          <w:tcPr>
            <w:tcW w:w="1702" w:type="dxa"/>
            <w:tcBorders>
              <w:top w:val="single" w:sz="4" w:space="0" w:color="auto"/>
              <w:left w:val="nil"/>
              <w:bottom w:val="nil"/>
              <w:right w:val="nil"/>
            </w:tcBorders>
            <w:vAlign w:val="bottom"/>
          </w:tcPr>
          <w:p w14:paraId="783B3CA7" w14:textId="77777777" w:rsidR="00A533EA" w:rsidRPr="009B5064" w:rsidRDefault="00A533EA" w:rsidP="00CF0DE1">
            <w:pPr>
              <w:jc w:val="center"/>
              <w:rPr>
                <w:rFonts w:eastAsia="Times New Roman"/>
                <w:sz w:val="20"/>
                <w:shd w:val="clear" w:color="auto" w:fill="FFFFFF"/>
              </w:rPr>
            </w:pPr>
            <w:r w:rsidRPr="009B5064">
              <w:rPr>
                <w:rFonts w:eastAsia="Times New Roman"/>
                <w:sz w:val="20"/>
                <w:shd w:val="clear" w:color="auto" w:fill="FFFFFF"/>
              </w:rPr>
              <w:t>1.00</w:t>
            </w:r>
          </w:p>
        </w:tc>
        <w:tc>
          <w:tcPr>
            <w:tcW w:w="1706" w:type="dxa"/>
            <w:tcBorders>
              <w:top w:val="single" w:sz="4" w:space="0" w:color="auto"/>
              <w:left w:val="nil"/>
              <w:bottom w:val="nil"/>
              <w:right w:val="nil"/>
            </w:tcBorders>
            <w:vAlign w:val="bottom"/>
          </w:tcPr>
          <w:p w14:paraId="1392C982" w14:textId="77777777" w:rsidR="00A533EA" w:rsidRPr="009B5064" w:rsidRDefault="00A533EA" w:rsidP="00CF0DE1">
            <w:pPr>
              <w:jc w:val="center"/>
              <w:rPr>
                <w:rFonts w:eastAsia="Times New Roman"/>
                <w:sz w:val="20"/>
                <w:shd w:val="clear" w:color="auto" w:fill="FFFFFF"/>
              </w:rPr>
            </w:pPr>
            <w:r w:rsidRPr="009B5064">
              <w:rPr>
                <w:rFonts w:eastAsia="Times New Roman"/>
                <w:sz w:val="20"/>
                <w:shd w:val="clear" w:color="auto" w:fill="FFFFFF"/>
              </w:rPr>
              <w:t>1.00</w:t>
            </w:r>
          </w:p>
        </w:tc>
        <w:tc>
          <w:tcPr>
            <w:tcW w:w="283" w:type="dxa"/>
            <w:tcBorders>
              <w:top w:val="single" w:sz="4" w:space="0" w:color="auto"/>
              <w:left w:val="nil"/>
              <w:bottom w:val="nil"/>
              <w:right w:val="nil"/>
            </w:tcBorders>
            <w:vAlign w:val="bottom"/>
          </w:tcPr>
          <w:p w14:paraId="01493701" w14:textId="77777777" w:rsidR="00A533EA" w:rsidRPr="009B5064" w:rsidRDefault="00A533EA" w:rsidP="00CF0DE1">
            <w:pPr>
              <w:jc w:val="cente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70CFCC5F" w14:textId="77777777" w:rsidR="00A533EA" w:rsidRPr="009B5064" w:rsidRDefault="00A533EA" w:rsidP="00CF0DE1">
            <w:pPr>
              <w:jc w:val="center"/>
              <w:rPr>
                <w:rFonts w:eastAsia="Times New Roman"/>
                <w:sz w:val="20"/>
                <w:shd w:val="clear" w:color="auto" w:fill="FFFFFF"/>
              </w:rPr>
            </w:pPr>
            <w:r w:rsidRPr="009B5064">
              <w:rPr>
                <w:rFonts w:eastAsia="Times New Roman"/>
                <w:sz w:val="20"/>
                <w:shd w:val="clear" w:color="auto" w:fill="FFFFFF"/>
              </w:rPr>
              <w:t>1.00</w:t>
            </w:r>
          </w:p>
        </w:tc>
        <w:tc>
          <w:tcPr>
            <w:tcW w:w="1980" w:type="dxa"/>
            <w:tcBorders>
              <w:top w:val="single" w:sz="4" w:space="0" w:color="auto"/>
              <w:left w:val="nil"/>
              <w:bottom w:val="nil"/>
              <w:right w:val="nil"/>
            </w:tcBorders>
            <w:vAlign w:val="bottom"/>
          </w:tcPr>
          <w:p w14:paraId="6EE03C64" w14:textId="77777777" w:rsidR="00A533EA" w:rsidRPr="009B5064" w:rsidRDefault="00A533EA" w:rsidP="00CF0DE1">
            <w:pPr>
              <w:jc w:val="center"/>
              <w:rPr>
                <w:rFonts w:eastAsia="Times New Roman"/>
                <w:sz w:val="20"/>
                <w:shd w:val="clear" w:color="auto" w:fill="FFFFFF"/>
              </w:rPr>
            </w:pPr>
            <w:r w:rsidRPr="009B5064">
              <w:rPr>
                <w:rFonts w:eastAsia="Times New Roman"/>
                <w:sz w:val="20"/>
                <w:shd w:val="clear" w:color="auto" w:fill="FFFFFF"/>
              </w:rPr>
              <w:t>1.00</w:t>
            </w:r>
          </w:p>
        </w:tc>
        <w:tc>
          <w:tcPr>
            <w:tcW w:w="1849" w:type="dxa"/>
            <w:gridSpan w:val="3"/>
            <w:tcBorders>
              <w:top w:val="single" w:sz="4" w:space="0" w:color="auto"/>
              <w:left w:val="nil"/>
              <w:bottom w:val="nil"/>
              <w:right w:val="nil"/>
            </w:tcBorders>
            <w:vAlign w:val="bottom"/>
          </w:tcPr>
          <w:p w14:paraId="2B79B2A7" w14:textId="77777777" w:rsidR="00A533EA" w:rsidRPr="009B5064" w:rsidRDefault="00A533EA" w:rsidP="00CF0DE1">
            <w:pPr>
              <w:jc w:val="center"/>
              <w:rPr>
                <w:rFonts w:eastAsia="Times New Roman"/>
                <w:sz w:val="20"/>
                <w:shd w:val="clear" w:color="auto" w:fill="FFFFFF"/>
              </w:rPr>
            </w:pPr>
            <w:r w:rsidRPr="009B5064">
              <w:rPr>
                <w:rFonts w:eastAsia="Times New Roman"/>
                <w:sz w:val="20"/>
                <w:shd w:val="clear" w:color="auto" w:fill="FFFFFF"/>
              </w:rPr>
              <w:t>1.00</w:t>
            </w:r>
          </w:p>
        </w:tc>
      </w:tr>
      <w:tr w:rsidR="009B5064" w:rsidRPr="009B5064" w14:paraId="171F02E4" w14:textId="77777777" w:rsidTr="00CF0DE1">
        <w:tblPrEx>
          <w:tblBorders>
            <w:left w:val="single" w:sz="4" w:space="0" w:color="auto"/>
            <w:right w:val="single" w:sz="4" w:space="0" w:color="auto"/>
            <w:insideV w:val="single" w:sz="4" w:space="0" w:color="auto"/>
          </w:tblBorders>
        </w:tblPrEx>
        <w:tc>
          <w:tcPr>
            <w:tcW w:w="1843" w:type="dxa"/>
            <w:tcBorders>
              <w:top w:val="single" w:sz="4" w:space="0" w:color="auto"/>
              <w:left w:val="nil"/>
              <w:bottom w:val="nil"/>
              <w:right w:val="nil"/>
            </w:tcBorders>
          </w:tcPr>
          <w:p w14:paraId="5EA97F73" w14:textId="77777777" w:rsidR="00A533EA" w:rsidRPr="009B5064" w:rsidRDefault="00A533EA" w:rsidP="00CF0DE1">
            <w:pPr>
              <w:rPr>
                <w:sz w:val="20"/>
                <w:szCs w:val="20"/>
              </w:rPr>
            </w:pPr>
            <w:r w:rsidRPr="009B5064">
              <w:rPr>
                <w:sz w:val="20"/>
                <w:szCs w:val="20"/>
              </w:rPr>
              <w:t>Very good</w:t>
            </w:r>
          </w:p>
        </w:tc>
        <w:tc>
          <w:tcPr>
            <w:tcW w:w="1842" w:type="dxa"/>
            <w:tcBorders>
              <w:top w:val="single" w:sz="4" w:space="0" w:color="auto"/>
              <w:left w:val="nil"/>
              <w:bottom w:val="nil"/>
              <w:right w:val="nil"/>
            </w:tcBorders>
            <w:vAlign w:val="bottom"/>
          </w:tcPr>
          <w:p w14:paraId="278B5517"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1.12 [0.90-1.38]</w:t>
            </w:r>
          </w:p>
        </w:tc>
        <w:tc>
          <w:tcPr>
            <w:tcW w:w="1702" w:type="dxa"/>
            <w:tcBorders>
              <w:top w:val="single" w:sz="4" w:space="0" w:color="auto"/>
              <w:left w:val="nil"/>
              <w:bottom w:val="nil"/>
              <w:right w:val="nil"/>
            </w:tcBorders>
            <w:vAlign w:val="bottom"/>
          </w:tcPr>
          <w:p w14:paraId="274C25EE"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1.04 [0.86-1.25]</w:t>
            </w:r>
          </w:p>
        </w:tc>
        <w:tc>
          <w:tcPr>
            <w:tcW w:w="1706" w:type="dxa"/>
            <w:tcBorders>
              <w:top w:val="single" w:sz="4" w:space="0" w:color="auto"/>
              <w:left w:val="nil"/>
              <w:bottom w:val="nil"/>
              <w:right w:val="nil"/>
            </w:tcBorders>
            <w:vAlign w:val="bottom"/>
          </w:tcPr>
          <w:p w14:paraId="2F57D562"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1.11 [0.91-1.36]</w:t>
            </w:r>
          </w:p>
        </w:tc>
        <w:tc>
          <w:tcPr>
            <w:tcW w:w="283" w:type="dxa"/>
            <w:tcBorders>
              <w:top w:val="single" w:sz="4" w:space="0" w:color="auto"/>
              <w:left w:val="nil"/>
              <w:bottom w:val="nil"/>
              <w:right w:val="nil"/>
            </w:tcBorders>
            <w:vAlign w:val="bottom"/>
          </w:tcPr>
          <w:p w14:paraId="57A1D3BC" w14:textId="77777777" w:rsidR="00A533EA" w:rsidRPr="009B5064" w:rsidRDefault="00A533EA" w:rsidP="00CF0DE1">
            <w:pP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7644C9E8"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0.87 [0.68-1.12]</w:t>
            </w:r>
          </w:p>
        </w:tc>
        <w:tc>
          <w:tcPr>
            <w:tcW w:w="1980" w:type="dxa"/>
            <w:tcBorders>
              <w:top w:val="single" w:sz="4" w:space="0" w:color="auto"/>
              <w:left w:val="nil"/>
              <w:bottom w:val="nil"/>
              <w:right w:val="nil"/>
            </w:tcBorders>
            <w:vAlign w:val="bottom"/>
          </w:tcPr>
          <w:p w14:paraId="4802B7BA"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0.90 [0.73-1.12]</w:t>
            </w:r>
          </w:p>
        </w:tc>
        <w:tc>
          <w:tcPr>
            <w:tcW w:w="1849" w:type="dxa"/>
            <w:gridSpan w:val="3"/>
            <w:tcBorders>
              <w:top w:val="single" w:sz="4" w:space="0" w:color="auto"/>
              <w:left w:val="nil"/>
              <w:bottom w:val="nil"/>
              <w:right w:val="nil"/>
            </w:tcBorders>
            <w:vAlign w:val="bottom"/>
          </w:tcPr>
          <w:p w14:paraId="2B4F2A85"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0.96 [0.76-1.20]</w:t>
            </w:r>
          </w:p>
        </w:tc>
      </w:tr>
      <w:tr w:rsidR="009B5064" w:rsidRPr="009B5064" w14:paraId="0E23D301" w14:textId="77777777" w:rsidTr="00CF0DE1">
        <w:tblPrEx>
          <w:tblBorders>
            <w:left w:val="single" w:sz="4" w:space="0" w:color="auto"/>
            <w:right w:val="single" w:sz="4" w:space="0" w:color="auto"/>
            <w:insideV w:val="single" w:sz="4" w:space="0" w:color="auto"/>
          </w:tblBorders>
        </w:tblPrEx>
        <w:tc>
          <w:tcPr>
            <w:tcW w:w="1843" w:type="dxa"/>
            <w:tcBorders>
              <w:top w:val="single" w:sz="4" w:space="0" w:color="auto"/>
              <w:left w:val="nil"/>
              <w:bottom w:val="nil"/>
              <w:right w:val="nil"/>
            </w:tcBorders>
          </w:tcPr>
          <w:p w14:paraId="1BBE9EC0" w14:textId="77777777" w:rsidR="00A533EA" w:rsidRPr="009B5064" w:rsidRDefault="00A533EA" w:rsidP="00CF0DE1">
            <w:pPr>
              <w:rPr>
                <w:sz w:val="20"/>
                <w:szCs w:val="20"/>
              </w:rPr>
            </w:pPr>
            <w:r w:rsidRPr="009B5064">
              <w:rPr>
                <w:sz w:val="20"/>
                <w:szCs w:val="20"/>
              </w:rPr>
              <w:t>Good</w:t>
            </w:r>
          </w:p>
        </w:tc>
        <w:tc>
          <w:tcPr>
            <w:tcW w:w="1842" w:type="dxa"/>
            <w:tcBorders>
              <w:top w:val="single" w:sz="4" w:space="0" w:color="auto"/>
              <w:left w:val="nil"/>
              <w:bottom w:val="nil"/>
              <w:right w:val="nil"/>
            </w:tcBorders>
            <w:vAlign w:val="bottom"/>
          </w:tcPr>
          <w:p w14:paraId="7ADCEEE2"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0.98 [0.80-1.21]</w:t>
            </w:r>
          </w:p>
        </w:tc>
        <w:tc>
          <w:tcPr>
            <w:tcW w:w="1702" w:type="dxa"/>
            <w:tcBorders>
              <w:top w:val="single" w:sz="4" w:space="0" w:color="auto"/>
              <w:left w:val="nil"/>
              <w:bottom w:val="nil"/>
              <w:right w:val="nil"/>
            </w:tcBorders>
            <w:vAlign w:val="bottom"/>
          </w:tcPr>
          <w:p w14:paraId="08C54AB7"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0.88 [0.72-1.08]</w:t>
            </w:r>
          </w:p>
        </w:tc>
        <w:tc>
          <w:tcPr>
            <w:tcW w:w="1706" w:type="dxa"/>
            <w:tcBorders>
              <w:top w:val="single" w:sz="4" w:space="0" w:color="auto"/>
              <w:left w:val="nil"/>
              <w:bottom w:val="nil"/>
              <w:right w:val="nil"/>
            </w:tcBorders>
            <w:vAlign w:val="bottom"/>
          </w:tcPr>
          <w:p w14:paraId="13D016A4"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1.05 [0.85-1.29]</w:t>
            </w:r>
          </w:p>
        </w:tc>
        <w:tc>
          <w:tcPr>
            <w:tcW w:w="283" w:type="dxa"/>
            <w:tcBorders>
              <w:top w:val="single" w:sz="4" w:space="0" w:color="auto"/>
              <w:left w:val="nil"/>
              <w:bottom w:val="nil"/>
              <w:right w:val="nil"/>
            </w:tcBorders>
            <w:vAlign w:val="bottom"/>
          </w:tcPr>
          <w:p w14:paraId="310141FC" w14:textId="77777777" w:rsidR="00A533EA" w:rsidRPr="009B5064" w:rsidRDefault="00A533EA" w:rsidP="00CF0DE1">
            <w:pP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184D2110"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0.94 [0.73-1.21]</w:t>
            </w:r>
          </w:p>
        </w:tc>
        <w:tc>
          <w:tcPr>
            <w:tcW w:w="1980" w:type="dxa"/>
            <w:tcBorders>
              <w:top w:val="single" w:sz="4" w:space="0" w:color="auto"/>
              <w:left w:val="nil"/>
              <w:bottom w:val="nil"/>
              <w:right w:val="nil"/>
            </w:tcBorders>
            <w:vAlign w:val="bottom"/>
          </w:tcPr>
          <w:p w14:paraId="61FA2559"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0.94 [0.75-1.18]</w:t>
            </w:r>
          </w:p>
        </w:tc>
        <w:tc>
          <w:tcPr>
            <w:tcW w:w="1849" w:type="dxa"/>
            <w:gridSpan w:val="3"/>
            <w:tcBorders>
              <w:top w:val="single" w:sz="4" w:space="0" w:color="auto"/>
              <w:left w:val="nil"/>
              <w:bottom w:val="nil"/>
              <w:right w:val="nil"/>
            </w:tcBorders>
            <w:vAlign w:val="bottom"/>
          </w:tcPr>
          <w:p w14:paraId="5477AC8F"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0.88 [0.70-1.11]</w:t>
            </w:r>
          </w:p>
        </w:tc>
      </w:tr>
      <w:tr w:rsidR="009B5064" w:rsidRPr="009B5064" w14:paraId="5F189AF5" w14:textId="77777777" w:rsidTr="00CF0DE1">
        <w:tblPrEx>
          <w:tblBorders>
            <w:left w:val="single" w:sz="4" w:space="0" w:color="auto"/>
            <w:right w:val="single" w:sz="4" w:space="0" w:color="auto"/>
            <w:insideV w:val="single" w:sz="4" w:space="0" w:color="auto"/>
          </w:tblBorders>
        </w:tblPrEx>
        <w:tc>
          <w:tcPr>
            <w:tcW w:w="1843" w:type="dxa"/>
            <w:tcBorders>
              <w:top w:val="single" w:sz="4" w:space="0" w:color="auto"/>
              <w:left w:val="nil"/>
              <w:bottom w:val="nil"/>
              <w:right w:val="nil"/>
            </w:tcBorders>
          </w:tcPr>
          <w:p w14:paraId="0F6273CE" w14:textId="77777777" w:rsidR="00A533EA" w:rsidRPr="009B5064" w:rsidRDefault="00A533EA" w:rsidP="00CF0DE1">
            <w:pPr>
              <w:rPr>
                <w:sz w:val="20"/>
                <w:szCs w:val="20"/>
              </w:rPr>
            </w:pPr>
            <w:r w:rsidRPr="009B5064">
              <w:rPr>
                <w:sz w:val="20"/>
                <w:szCs w:val="20"/>
              </w:rPr>
              <w:t>Fair–poor</w:t>
            </w:r>
          </w:p>
        </w:tc>
        <w:tc>
          <w:tcPr>
            <w:tcW w:w="1842" w:type="dxa"/>
            <w:tcBorders>
              <w:top w:val="single" w:sz="4" w:space="0" w:color="auto"/>
              <w:left w:val="nil"/>
              <w:bottom w:val="nil"/>
              <w:right w:val="nil"/>
            </w:tcBorders>
            <w:vAlign w:val="bottom"/>
          </w:tcPr>
          <w:p w14:paraId="4F016048"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0.79 [0.56-1.11]</w:t>
            </w:r>
          </w:p>
        </w:tc>
        <w:tc>
          <w:tcPr>
            <w:tcW w:w="1702" w:type="dxa"/>
            <w:tcBorders>
              <w:top w:val="single" w:sz="4" w:space="0" w:color="auto"/>
              <w:left w:val="nil"/>
              <w:bottom w:val="nil"/>
              <w:right w:val="nil"/>
            </w:tcBorders>
            <w:vAlign w:val="bottom"/>
          </w:tcPr>
          <w:p w14:paraId="02D777B6"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0.68 [0.44-1.05]</w:t>
            </w:r>
          </w:p>
        </w:tc>
        <w:tc>
          <w:tcPr>
            <w:tcW w:w="1706" w:type="dxa"/>
            <w:tcBorders>
              <w:top w:val="single" w:sz="4" w:space="0" w:color="auto"/>
              <w:left w:val="nil"/>
              <w:bottom w:val="nil"/>
              <w:right w:val="nil"/>
            </w:tcBorders>
            <w:vAlign w:val="bottom"/>
          </w:tcPr>
          <w:p w14:paraId="1F183485"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0.86 [0.60-1.23]</w:t>
            </w:r>
          </w:p>
        </w:tc>
        <w:tc>
          <w:tcPr>
            <w:tcW w:w="283" w:type="dxa"/>
            <w:tcBorders>
              <w:top w:val="single" w:sz="4" w:space="0" w:color="auto"/>
              <w:left w:val="nil"/>
              <w:bottom w:val="nil"/>
              <w:right w:val="nil"/>
            </w:tcBorders>
            <w:vAlign w:val="bottom"/>
          </w:tcPr>
          <w:p w14:paraId="7EA39D05" w14:textId="77777777" w:rsidR="00A533EA" w:rsidRPr="009B5064" w:rsidRDefault="00A533EA" w:rsidP="00CF0DE1">
            <w:pP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65CBBD54"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0.76 [0.53-1.09]</w:t>
            </w:r>
          </w:p>
        </w:tc>
        <w:tc>
          <w:tcPr>
            <w:tcW w:w="1980" w:type="dxa"/>
            <w:tcBorders>
              <w:top w:val="single" w:sz="4" w:space="0" w:color="auto"/>
              <w:left w:val="nil"/>
              <w:bottom w:val="nil"/>
              <w:right w:val="nil"/>
            </w:tcBorders>
            <w:vAlign w:val="bottom"/>
          </w:tcPr>
          <w:p w14:paraId="542B2ABD"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0.45 [0.31-0.66]***</w:t>
            </w:r>
          </w:p>
        </w:tc>
        <w:tc>
          <w:tcPr>
            <w:tcW w:w="1849" w:type="dxa"/>
            <w:gridSpan w:val="3"/>
            <w:tcBorders>
              <w:top w:val="single" w:sz="4" w:space="0" w:color="auto"/>
              <w:left w:val="nil"/>
              <w:bottom w:val="nil"/>
              <w:right w:val="nil"/>
            </w:tcBorders>
            <w:vAlign w:val="bottom"/>
          </w:tcPr>
          <w:p w14:paraId="17136BBB" w14:textId="77777777" w:rsidR="00A533EA" w:rsidRPr="009B5064" w:rsidRDefault="00A533EA" w:rsidP="00CF0DE1">
            <w:pPr>
              <w:rPr>
                <w:rFonts w:eastAsia="Times New Roman"/>
                <w:sz w:val="20"/>
                <w:shd w:val="clear" w:color="auto" w:fill="FFFFFF"/>
              </w:rPr>
            </w:pPr>
            <w:r w:rsidRPr="009B5064">
              <w:rPr>
                <w:rFonts w:eastAsia="Times New Roman"/>
                <w:sz w:val="20"/>
                <w:shd w:val="clear" w:color="auto" w:fill="FFFFFF"/>
              </w:rPr>
              <w:t>0.61 [0.43-0.88]**</w:t>
            </w:r>
          </w:p>
        </w:tc>
      </w:tr>
      <w:tr w:rsidR="009B5064" w:rsidRPr="009B5064" w14:paraId="07FACDB3" w14:textId="77777777" w:rsidTr="00CF0DE1">
        <w:tblPrEx>
          <w:tblBorders>
            <w:left w:val="single" w:sz="4" w:space="0" w:color="auto"/>
            <w:right w:val="single" w:sz="4" w:space="0" w:color="auto"/>
            <w:insideV w:val="single" w:sz="4" w:space="0" w:color="auto"/>
          </w:tblBorders>
        </w:tblPrEx>
        <w:tc>
          <w:tcPr>
            <w:tcW w:w="1843" w:type="dxa"/>
            <w:tcBorders>
              <w:top w:val="single" w:sz="4" w:space="0" w:color="auto"/>
              <w:left w:val="nil"/>
              <w:bottom w:val="nil"/>
              <w:right w:val="nil"/>
            </w:tcBorders>
          </w:tcPr>
          <w:p w14:paraId="0FA9867E" w14:textId="0A024EC5" w:rsidR="00901CDF" w:rsidRPr="009B5064" w:rsidRDefault="00901CDF" w:rsidP="00CF0DE1">
            <w:pPr>
              <w:rPr>
                <w:rFonts w:eastAsia="Times New Roman"/>
                <w:b/>
                <w:bCs/>
                <w:sz w:val="20"/>
                <w:shd w:val="clear" w:color="auto" w:fill="FFFFFF"/>
              </w:rPr>
            </w:pPr>
            <w:r w:rsidRPr="009B5064">
              <w:rPr>
                <w:rFonts w:eastAsia="Times New Roman"/>
                <w:b/>
                <w:bCs/>
                <w:sz w:val="20"/>
                <w:shd w:val="clear" w:color="auto" w:fill="FFFFFF"/>
              </w:rPr>
              <w:t>Binary variable</w:t>
            </w:r>
          </w:p>
        </w:tc>
        <w:tc>
          <w:tcPr>
            <w:tcW w:w="1842" w:type="dxa"/>
            <w:tcBorders>
              <w:top w:val="single" w:sz="4" w:space="0" w:color="auto"/>
              <w:left w:val="nil"/>
              <w:bottom w:val="nil"/>
              <w:right w:val="nil"/>
            </w:tcBorders>
            <w:vAlign w:val="bottom"/>
          </w:tcPr>
          <w:p w14:paraId="7599395B" w14:textId="77777777" w:rsidR="00901CDF" w:rsidRPr="009B5064" w:rsidRDefault="00901CDF" w:rsidP="00CF0DE1">
            <w:pPr>
              <w:jc w:val="center"/>
              <w:rPr>
                <w:rFonts w:eastAsia="Times New Roman"/>
                <w:sz w:val="20"/>
                <w:shd w:val="clear" w:color="auto" w:fill="FFFFFF"/>
              </w:rPr>
            </w:pPr>
          </w:p>
        </w:tc>
        <w:tc>
          <w:tcPr>
            <w:tcW w:w="1702" w:type="dxa"/>
            <w:tcBorders>
              <w:top w:val="single" w:sz="4" w:space="0" w:color="auto"/>
              <w:left w:val="nil"/>
              <w:bottom w:val="nil"/>
              <w:right w:val="nil"/>
            </w:tcBorders>
            <w:vAlign w:val="bottom"/>
          </w:tcPr>
          <w:p w14:paraId="123A50FF" w14:textId="77777777" w:rsidR="00901CDF" w:rsidRPr="009B5064" w:rsidRDefault="00901CDF" w:rsidP="00CF0DE1">
            <w:pPr>
              <w:jc w:val="center"/>
              <w:rPr>
                <w:rFonts w:eastAsia="Times New Roman"/>
                <w:sz w:val="20"/>
                <w:shd w:val="clear" w:color="auto" w:fill="FFFFFF"/>
              </w:rPr>
            </w:pPr>
          </w:p>
        </w:tc>
        <w:tc>
          <w:tcPr>
            <w:tcW w:w="1706" w:type="dxa"/>
            <w:tcBorders>
              <w:top w:val="single" w:sz="4" w:space="0" w:color="auto"/>
              <w:left w:val="nil"/>
              <w:bottom w:val="nil"/>
              <w:right w:val="nil"/>
            </w:tcBorders>
            <w:vAlign w:val="bottom"/>
          </w:tcPr>
          <w:p w14:paraId="624200B4" w14:textId="77777777" w:rsidR="00901CDF" w:rsidRPr="009B5064" w:rsidRDefault="00901CDF" w:rsidP="00CF0DE1">
            <w:pPr>
              <w:jc w:val="center"/>
              <w:rPr>
                <w:rFonts w:eastAsia="Times New Roman"/>
                <w:sz w:val="20"/>
                <w:shd w:val="clear" w:color="auto" w:fill="FFFFFF"/>
              </w:rPr>
            </w:pPr>
          </w:p>
        </w:tc>
        <w:tc>
          <w:tcPr>
            <w:tcW w:w="283" w:type="dxa"/>
            <w:tcBorders>
              <w:top w:val="single" w:sz="4" w:space="0" w:color="auto"/>
              <w:left w:val="nil"/>
              <w:bottom w:val="nil"/>
              <w:right w:val="nil"/>
            </w:tcBorders>
            <w:vAlign w:val="bottom"/>
          </w:tcPr>
          <w:p w14:paraId="1921F0D4" w14:textId="77777777" w:rsidR="00901CDF" w:rsidRPr="009B5064" w:rsidRDefault="00901CDF" w:rsidP="00CF0DE1">
            <w:pPr>
              <w:jc w:val="cente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4620BD06" w14:textId="77777777" w:rsidR="00901CDF" w:rsidRPr="009B5064" w:rsidRDefault="00901CDF" w:rsidP="00CF0DE1">
            <w:pPr>
              <w:jc w:val="center"/>
              <w:rPr>
                <w:rFonts w:eastAsia="Times New Roman"/>
                <w:sz w:val="20"/>
                <w:shd w:val="clear" w:color="auto" w:fill="FFFFFF"/>
              </w:rPr>
            </w:pPr>
          </w:p>
        </w:tc>
        <w:tc>
          <w:tcPr>
            <w:tcW w:w="1980" w:type="dxa"/>
            <w:tcBorders>
              <w:top w:val="single" w:sz="4" w:space="0" w:color="auto"/>
              <w:left w:val="nil"/>
              <w:bottom w:val="nil"/>
              <w:right w:val="nil"/>
            </w:tcBorders>
            <w:vAlign w:val="bottom"/>
          </w:tcPr>
          <w:p w14:paraId="71005802" w14:textId="77777777" w:rsidR="00901CDF" w:rsidRPr="009B5064" w:rsidRDefault="00901CDF" w:rsidP="00CF0DE1">
            <w:pPr>
              <w:jc w:val="center"/>
              <w:rPr>
                <w:rFonts w:eastAsia="Times New Roman"/>
                <w:sz w:val="20"/>
                <w:shd w:val="clear" w:color="auto" w:fill="FFFFFF"/>
              </w:rPr>
            </w:pPr>
          </w:p>
        </w:tc>
        <w:tc>
          <w:tcPr>
            <w:tcW w:w="1849" w:type="dxa"/>
            <w:gridSpan w:val="3"/>
            <w:tcBorders>
              <w:top w:val="single" w:sz="4" w:space="0" w:color="auto"/>
              <w:left w:val="nil"/>
              <w:bottom w:val="nil"/>
              <w:right w:val="nil"/>
            </w:tcBorders>
            <w:vAlign w:val="bottom"/>
          </w:tcPr>
          <w:p w14:paraId="353D33D9" w14:textId="77777777" w:rsidR="00901CDF" w:rsidRPr="009B5064" w:rsidRDefault="00901CDF" w:rsidP="00CF0DE1">
            <w:pPr>
              <w:jc w:val="center"/>
              <w:rPr>
                <w:rFonts w:eastAsia="Times New Roman"/>
                <w:sz w:val="20"/>
                <w:shd w:val="clear" w:color="auto" w:fill="FFFFFF"/>
              </w:rPr>
            </w:pPr>
          </w:p>
        </w:tc>
      </w:tr>
      <w:tr w:rsidR="009B5064" w:rsidRPr="009B5064" w14:paraId="2B3BA203" w14:textId="77777777" w:rsidTr="00CF0DE1">
        <w:tblPrEx>
          <w:tblBorders>
            <w:left w:val="single" w:sz="4" w:space="0" w:color="auto"/>
            <w:right w:val="single" w:sz="4" w:space="0" w:color="auto"/>
            <w:insideV w:val="single" w:sz="4" w:space="0" w:color="auto"/>
          </w:tblBorders>
        </w:tblPrEx>
        <w:tc>
          <w:tcPr>
            <w:tcW w:w="1843" w:type="dxa"/>
            <w:tcBorders>
              <w:top w:val="single" w:sz="4" w:space="0" w:color="auto"/>
              <w:left w:val="nil"/>
              <w:bottom w:val="nil"/>
              <w:right w:val="nil"/>
            </w:tcBorders>
          </w:tcPr>
          <w:p w14:paraId="3BB1F28B" w14:textId="71D65E04" w:rsidR="00901CDF" w:rsidRPr="009B5064" w:rsidRDefault="00901CDF" w:rsidP="00CF0DE1">
            <w:pPr>
              <w:rPr>
                <w:rFonts w:eastAsia="Times New Roman"/>
                <w:sz w:val="20"/>
                <w:shd w:val="clear" w:color="auto" w:fill="FFFFFF"/>
              </w:rPr>
            </w:pPr>
            <w:r w:rsidRPr="009B5064">
              <w:rPr>
                <w:rFonts w:eastAsia="Times New Roman"/>
                <w:sz w:val="20"/>
                <w:shd w:val="clear" w:color="auto" w:fill="FFFFFF"/>
              </w:rPr>
              <w:t>Good/very good/excellent</w:t>
            </w:r>
          </w:p>
        </w:tc>
        <w:tc>
          <w:tcPr>
            <w:tcW w:w="1842" w:type="dxa"/>
            <w:tcBorders>
              <w:top w:val="single" w:sz="4" w:space="0" w:color="auto"/>
              <w:left w:val="nil"/>
              <w:bottom w:val="nil"/>
              <w:right w:val="nil"/>
            </w:tcBorders>
            <w:vAlign w:val="bottom"/>
          </w:tcPr>
          <w:p w14:paraId="34B27FE9" w14:textId="77777777" w:rsidR="00901CDF" w:rsidRPr="009B5064" w:rsidRDefault="00901CDF" w:rsidP="00CF0DE1">
            <w:pPr>
              <w:jc w:val="center"/>
              <w:rPr>
                <w:rFonts w:eastAsia="Times New Roman"/>
                <w:sz w:val="20"/>
                <w:shd w:val="clear" w:color="auto" w:fill="FFFFFF"/>
              </w:rPr>
            </w:pPr>
            <w:r w:rsidRPr="009B5064">
              <w:rPr>
                <w:rFonts w:eastAsia="Times New Roman"/>
                <w:sz w:val="20"/>
                <w:shd w:val="clear" w:color="auto" w:fill="FFFFFF"/>
              </w:rPr>
              <w:t>1.00 [Ref]</w:t>
            </w:r>
          </w:p>
        </w:tc>
        <w:tc>
          <w:tcPr>
            <w:tcW w:w="1702" w:type="dxa"/>
            <w:tcBorders>
              <w:top w:val="single" w:sz="4" w:space="0" w:color="auto"/>
              <w:left w:val="nil"/>
              <w:bottom w:val="nil"/>
              <w:right w:val="nil"/>
            </w:tcBorders>
            <w:vAlign w:val="bottom"/>
          </w:tcPr>
          <w:p w14:paraId="3EE1D713" w14:textId="77777777" w:rsidR="00901CDF" w:rsidRPr="009B5064" w:rsidRDefault="00901CDF" w:rsidP="00CF0DE1">
            <w:pPr>
              <w:jc w:val="center"/>
              <w:rPr>
                <w:rFonts w:eastAsia="Times New Roman"/>
                <w:sz w:val="20"/>
                <w:shd w:val="clear" w:color="auto" w:fill="FFFFFF"/>
              </w:rPr>
            </w:pPr>
            <w:r w:rsidRPr="009B5064">
              <w:rPr>
                <w:rFonts w:eastAsia="Times New Roman"/>
                <w:sz w:val="20"/>
                <w:shd w:val="clear" w:color="auto" w:fill="FFFFFF"/>
              </w:rPr>
              <w:t>1.00</w:t>
            </w:r>
          </w:p>
        </w:tc>
        <w:tc>
          <w:tcPr>
            <w:tcW w:w="1706" w:type="dxa"/>
            <w:tcBorders>
              <w:top w:val="single" w:sz="4" w:space="0" w:color="auto"/>
              <w:left w:val="nil"/>
              <w:bottom w:val="nil"/>
              <w:right w:val="nil"/>
            </w:tcBorders>
            <w:vAlign w:val="bottom"/>
          </w:tcPr>
          <w:p w14:paraId="7904CE0A" w14:textId="77777777" w:rsidR="00901CDF" w:rsidRPr="009B5064" w:rsidRDefault="00901CDF" w:rsidP="00CF0DE1">
            <w:pPr>
              <w:jc w:val="center"/>
              <w:rPr>
                <w:rFonts w:eastAsia="Times New Roman"/>
                <w:sz w:val="20"/>
                <w:shd w:val="clear" w:color="auto" w:fill="FFFFFF"/>
              </w:rPr>
            </w:pPr>
            <w:r w:rsidRPr="009B5064">
              <w:rPr>
                <w:rFonts w:eastAsia="Times New Roman"/>
                <w:sz w:val="20"/>
                <w:shd w:val="clear" w:color="auto" w:fill="FFFFFF"/>
              </w:rPr>
              <w:t>1.00</w:t>
            </w:r>
          </w:p>
        </w:tc>
        <w:tc>
          <w:tcPr>
            <w:tcW w:w="283" w:type="dxa"/>
            <w:tcBorders>
              <w:top w:val="single" w:sz="4" w:space="0" w:color="auto"/>
              <w:left w:val="nil"/>
              <w:bottom w:val="nil"/>
              <w:right w:val="nil"/>
            </w:tcBorders>
            <w:vAlign w:val="bottom"/>
          </w:tcPr>
          <w:p w14:paraId="4861432E" w14:textId="77777777" w:rsidR="00901CDF" w:rsidRPr="009B5064" w:rsidRDefault="00901CDF" w:rsidP="00CF0DE1">
            <w:pPr>
              <w:jc w:val="cente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565B04C4" w14:textId="77777777" w:rsidR="00901CDF" w:rsidRPr="009B5064" w:rsidRDefault="00901CDF" w:rsidP="00CF0DE1">
            <w:pPr>
              <w:jc w:val="center"/>
              <w:rPr>
                <w:rFonts w:eastAsia="Times New Roman"/>
                <w:sz w:val="20"/>
                <w:shd w:val="clear" w:color="auto" w:fill="FFFFFF"/>
              </w:rPr>
            </w:pPr>
            <w:r w:rsidRPr="009B5064">
              <w:rPr>
                <w:rFonts w:eastAsia="Times New Roman"/>
                <w:sz w:val="20"/>
                <w:shd w:val="clear" w:color="auto" w:fill="FFFFFF"/>
              </w:rPr>
              <w:t>1.00</w:t>
            </w:r>
          </w:p>
        </w:tc>
        <w:tc>
          <w:tcPr>
            <w:tcW w:w="1980" w:type="dxa"/>
            <w:tcBorders>
              <w:top w:val="single" w:sz="4" w:space="0" w:color="auto"/>
              <w:left w:val="nil"/>
              <w:bottom w:val="nil"/>
              <w:right w:val="nil"/>
            </w:tcBorders>
            <w:vAlign w:val="bottom"/>
          </w:tcPr>
          <w:p w14:paraId="7CD2B0DC" w14:textId="77777777" w:rsidR="00901CDF" w:rsidRPr="009B5064" w:rsidRDefault="00901CDF" w:rsidP="00CF0DE1">
            <w:pPr>
              <w:jc w:val="center"/>
              <w:rPr>
                <w:rFonts w:eastAsia="Times New Roman"/>
                <w:sz w:val="20"/>
                <w:shd w:val="clear" w:color="auto" w:fill="FFFFFF"/>
              </w:rPr>
            </w:pPr>
            <w:r w:rsidRPr="009B5064">
              <w:rPr>
                <w:rFonts w:eastAsia="Times New Roman"/>
                <w:sz w:val="20"/>
                <w:shd w:val="clear" w:color="auto" w:fill="FFFFFF"/>
              </w:rPr>
              <w:t>1.00</w:t>
            </w:r>
          </w:p>
        </w:tc>
        <w:tc>
          <w:tcPr>
            <w:tcW w:w="1849" w:type="dxa"/>
            <w:gridSpan w:val="3"/>
            <w:tcBorders>
              <w:top w:val="single" w:sz="4" w:space="0" w:color="auto"/>
              <w:left w:val="nil"/>
              <w:bottom w:val="nil"/>
              <w:right w:val="nil"/>
            </w:tcBorders>
            <w:vAlign w:val="bottom"/>
          </w:tcPr>
          <w:p w14:paraId="39D7EA13" w14:textId="77777777" w:rsidR="00901CDF" w:rsidRPr="009B5064" w:rsidRDefault="00901CDF" w:rsidP="00CF0DE1">
            <w:pPr>
              <w:jc w:val="center"/>
              <w:rPr>
                <w:rFonts w:eastAsia="Times New Roman"/>
                <w:sz w:val="20"/>
                <w:shd w:val="clear" w:color="auto" w:fill="FFFFFF"/>
              </w:rPr>
            </w:pPr>
            <w:r w:rsidRPr="009B5064">
              <w:rPr>
                <w:rFonts w:eastAsia="Times New Roman"/>
                <w:sz w:val="20"/>
                <w:shd w:val="clear" w:color="auto" w:fill="FFFFFF"/>
              </w:rPr>
              <w:t>1.00</w:t>
            </w:r>
          </w:p>
        </w:tc>
      </w:tr>
      <w:tr w:rsidR="009B5064" w:rsidRPr="009B5064" w14:paraId="603B8DF7" w14:textId="77777777" w:rsidTr="00CF0DE1">
        <w:tblPrEx>
          <w:tblBorders>
            <w:left w:val="single" w:sz="4" w:space="0" w:color="auto"/>
            <w:right w:val="single" w:sz="4" w:space="0" w:color="auto"/>
            <w:insideV w:val="single" w:sz="4" w:space="0" w:color="auto"/>
          </w:tblBorders>
        </w:tblPrEx>
        <w:tc>
          <w:tcPr>
            <w:tcW w:w="1843" w:type="dxa"/>
            <w:tcBorders>
              <w:top w:val="single" w:sz="4" w:space="0" w:color="auto"/>
              <w:left w:val="nil"/>
              <w:bottom w:val="nil"/>
              <w:right w:val="nil"/>
            </w:tcBorders>
          </w:tcPr>
          <w:p w14:paraId="29C30F07" w14:textId="289026EE" w:rsidR="00AF3836" w:rsidRPr="009B5064" w:rsidRDefault="00AF3836" w:rsidP="00CF0DE1">
            <w:pPr>
              <w:rPr>
                <w:sz w:val="20"/>
                <w:szCs w:val="20"/>
              </w:rPr>
            </w:pPr>
            <w:r w:rsidRPr="009B5064">
              <w:rPr>
                <w:sz w:val="20"/>
                <w:szCs w:val="20"/>
              </w:rPr>
              <w:t>Fair-poor</w:t>
            </w:r>
          </w:p>
        </w:tc>
        <w:tc>
          <w:tcPr>
            <w:tcW w:w="1842" w:type="dxa"/>
            <w:tcBorders>
              <w:top w:val="single" w:sz="4" w:space="0" w:color="auto"/>
              <w:left w:val="nil"/>
              <w:bottom w:val="nil"/>
              <w:right w:val="nil"/>
            </w:tcBorders>
            <w:vAlign w:val="bottom"/>
          </w:tcPr>
          <w:p w14:paraId="3B245363" w14:textId="5DDFD2FD" w:rsidR="00AF3836" w:rsidRPr="009B5064" w:rsidRDefault="00AF3836" w:rsidP="00CF0DE1">
            <w:pPr>
              <w:rPr>
                <w:rFonts w:eastAsia="Times New Roman"/>
                <w:sz w:val="20"/>
                <w:shd w:val="clear" w:color="auto" w:fill="FFFFFF"/>
              </w:rPr>
            </w:pPr>
            <w:r w:rsidRPr="009B5064">
              <w:rPr>
                <w:rFonts w:eastAsia="Times New Roman"/>
                <w:sz w:val="20"/>
                <w:shd w:val="clear" w:color="auto" w:fill="FFFFFF"/>
              </w:rPr>
              <w:t>0.76 [0.56-1.03]</w:t>
            </w:r>
          </w:p>
        </w:tc>
        <w:tc>
          <w:tcPr>
            <w:tcW w:w="1702" w:type="dxa"/>
            <w:tcBorders>
              <w:top w:val="single" w:sz="4" w:space="0" w:color="auto"/>
              <w:left w:val="nil"/>
              <w:bottom w:val="nil"/>
              <w:right w:val="nil"/>
            </w:tcBorders>
            <w:vAlign w:val="bottom"/>
          </w:tcPr>
          <w:p w14:paraId="7B9FE09E" w14:textId="549711A5" w:rsidR="00AF3836" w:rsidRPr="009B5064" w:rsidRDefault="00AF3836" w:rsidP="00CF0DE1">
            <w:pPr>
              <w:rPr>
                <w:rFonts w:eastAsia="Times New Roman"/>
                <w:sz w:val="20"/>
                <w:shd w:val="clear" w:color="auto" w:fill="FFFFFF"/>
              </w:rPr>
            </w:pPr>
            <w:r w:rsidRPr="009B5064">
              <w:rPr>
                <w:rFonts w:eastAsia="Times New Roman"/>
                <w:sz w:val="20"/>
                <w:shd w:val="clear" w:color="auto" w:fill="FFFFFF"/>
              </w:rPr>
              <w:t>0.70 [0.46-1.05]</w:t>
            </w:r>
          </w:p>
        </w:tc>
        <w:tc>
          <w:tcPr>
            <w:tcW w:w="1706" w:type="dxa"/>
            <w:tcBorders>
              <w:top w:val="single" w:sz="4" w:space="0" w:color="auto"/>
              <w:left w:val="nil"/>
              <w:bottom w:val="nil"/>
              <w:right w:val="nil"/>
            </w:tcBorders>
            <w:vAlign w:val="bottom"/>
          </w:tcPr>
          <w:p w14:paraId="3F78FD91" w14:textId="2A7A604F" w:rsidR="00AF3836" w:rsidRPr="009B5064" w:rsidRDefault="00AF3836" w:rsidP="00CF0DE1">
            <w:pPr>
              <w:rPr>
                <w:rFonts w:eastAsia="Times New Roman"/>
                <w:sz w:val="20"/>
                <w:shd w:val="clear" w:color="auto" w:fill="FFFFFF"/>
              </w:rPr>
            </w:pPr>
            <w:r w:rsidRPr="009B5064">
              <w:rPr>
                <w:rFonts w:eastAsia="Times New Roman"/>
                <w:sz w:val="20"/>
                <w:shd w:val="clear" w:color="auto" w:fill="FFFFFF"/>
              </w:rPr>
              <w:t>0.81 [0.59-1.12]</w:t>
            </w:r>
          </w:p>
        </w:tc>
        <w:tc>
          <w:tcPr>
            <w:tcW w:w="283" w:type="dxa"/>
            <w:tcBorders>
              <w:top w:val="single" w:sz="4" w:space="0" w:color="auto"/>
              <w:left w:val="nil"/>
              <w:bottom w:val="nil"/>
              <w:right w:val="nil"/>
            </w:tcBorders>
            <w:vAlign w:val="bottom"/>
          </w:tcPr>
          <w:p w14:paraId="1FA47A5F" w14:textId="77777777" w:rsidR="00AF3836" w:rsidRPr="009B5064" w:rsidRDefault="00AF3836" w:rsidP="00CF0DE1">
            <w:pPr>
              <w:rPr>
                <w:rFonts w:eastAsia="Times New Roman"/>
                <w:sz w:val="20"/>
                <w:shd w:val="clear" w:color="auto" w:fill="FFFFFF"/>
              </w:rPr>
            </w:pPr>
          </w:p>
        </w:tc>
        <w:tc>
          <w:tcPr>
            <w:tcW w:w="1843" w:type="dxa"/>
            <w:tcBorders>
              <w:top w:val="single" w:sz="4" w:space="0" w:color="auto"/>
              <w:left w:val="nil"/>
              <w:bottom w:val="nil"/>
              <w:right w:val="nil"/>
            </w:tcBorders>
            <w:vAlign w:val="bottom"/>
          </w:tcPr>
          <w:p w14:paraId="03F74810" w14:textId="2292DC26" w:rsidR="00AF3836" w:rsidRPr="009B5064" w:rsidRDefault="00AF3836" w:rsidP="00CF0DE1">
            <w:pPr>
              <w:rPr>
                <w:rFonts w:eastAsia="Times New Roman"/>
                <w:sz w:val="20"/>
                <w:shd w:val="clear" w:color="auto" w:fill="FFFFFF"/>
              </w:rPr>
            </w:pPr>
            <w:r w:rsidRPr="009B5064">
              <w:rPr>
                <w:rFonts w:eastAsia="Times New Roman"/>
                <w:sz w:val="20"/>
                <w:shd w:val="clear" w:color="auto" w:fill="FFFFFF"/>
              </w:rPr>
              <w:t>0.83 [0.62-1.12]</w:t>
            </w:r>
          </w:p>
        </w:tc>
        <w:tc>
          <w:tcPr>
            <w:tcW w:w="1980" w:type="dxa"/>
            <w:tcBorders>
              <w:top w:val="single" w:sz="4" w:space="0" w:color="auto"/>
              <w:left w:val="nil"/>
              <w:bottom w:val="nil"/>
              <w:right w:val="nil"/>
            </w:tcBorders>
            <w:vAlign w:val="bottom"/>
          </w:tcPr>
          <w:p w14:paraId="40942E1B" w14:textId="6F363915" w:rsidR="00AF3836" w:rsidRPr="009B5064" w:rsidRDefault="00AF3836" w:rsidP="00CF0DE1">
            <w:pPr>
              <w:rPr>
                <w:rFonts w:eastAsia="Times New Roman"/>
                <w:sz w:val="20"/>
                <w:shd w:val="clear" w:color="auto" w:fill="FFFFFF"/>
              </w:rPr>
            </w:pPr>
            <w:r w:rsidRPr="009B5064">
              <w:rPr>
                <w:rFonts w:eastAsia="Times New Roman"/>
                <w:sz w:val="20"/>
                <w:shd w:val="clear" w:color="auto" w:fill="FFFFFF"/>
              </w:rPr>
              <w:t>0.48 [0.34-0.68]***</w:t>
            </w:r>
          </w:p>
        </w:tc>
        <w:tc>
          <w:tcPr>
            <w:tcW w:w="1849" w:type="dxa"/>
            <w:gridSpan w:val="3"/>
            <w:tcBorders>
              <w:top w:val="single" w:sz="4" w:space="0" w:color="auto"/>
              <w:left w:val="nil"/>
              <w:bottom w:val="nil"/>
              <w:right w:val="nil"/>
            </w:tcBorders>
            <w:vAlign w:val="bottom"/>
          </w:tcPr>
          <w:p w14:paraId="0FB9A6AA" w14:textId="6E866851" w:rsidR="00AF3836" w:rsidRPr="009B5064" w:rsidRDefault="00AF3836" w:rsidP="00CF0DE1">
            <w:pPr>
              <w:rPr>
                <w:rFonts w:eastAsia="Times New Roman"/>
                <w:sz w:val="20"/>
                <w:shd w:val="clear" w:color="auto" w:fill="FFFFFF"/>
              </w:rPr>
            </w:pPr>
            <w:r w:rsidRPr="009B5064">
              <w:rPr>
                <w:rFonts w:eastAsia="Times New Roman"/>
                <w:sz w:val="20"/>
                <w:shd w:val="clear" w:color="auto" w:fill="FFFFFF"/>
              </w:rPr>
              <w:t>0.66 [0.48-0.90]**</w:t>
            </w:r>
          </w:p>
        </w:tc>
      </w:tr>
      <w:tr w:rsidR="009B5064" w:rsidRPr="009B5064" w14:paraId="55010D08" w14:textId="77777777" w:rsidTr="00CF0DE1">
        <w:tblPrEx>
          <w:tblBorders>
            <w:left w:val="single" w:sz="4" w:space="0" w:color="auto"/>
            <w:right w:val="single" w:sz="4" w:space="0" w:color="auto"/>
            <w:insideV w:val="single" w:sz="4" w:space="0" w:color="auto"/>
          </w:tblBorders>
        </w:tblPrEx>
        <w:trPr>
          <w:gridAfter w:val="2"/>
          <w:wAfter w:w="12" w:type="dxa"/>
          <w:trHeight w:val="556"/>
        </w:trPr>
        <w:tc>
          <w:tcPr>
            <w:tcW w:w="13036" w:type="dxa"/>
            <w:gridSpan w:val="8"/>
            <w:tcBorders>
              <w:top w:val="single" w:sz="8" w:space="0" w:color="auto"/>
              <w:left w:val="nil"/>
              <w:bottom w:val="nil"/>
              <w:right w:val="nil"/>
            </w:tcBorders>
          </w:tcPr>
          <w:p w14:paraId="4DFD816B" w14:textId="77777777" w:rsidR="00AF3836" w:rsidRPr="009B5064" w:rsidRDefault="00AF3836" w:rsidP="00CF0DE1">
            <w:pPr>
              <w:rPr>
                <w:rFonts w:cs="Arial"/>
                <w:sz w:val="20"/>
                <w:szCs w:val="20"/>
              </w:rPr>
            </w:pPr>
            <w:r w:rsidRPr="009B5064">
              <w:rPr>
                <w:rFonts w:cs="Arial"/>
                <w:sz w:val="20"/>
                <w:szCs w:val="20"/>
              </w:rPr>
              <w:t xml:space="preserve">* </w:t>
            </w:r>
            <w:r w:rsidRPr="009B5064">
              <w:rPr>
                <w:rFonts w:cs="Arial"/>
                <w:i/>
                <w:sz w:val="20"/>
                <w:szCs w:val="20"/>
              </w:rPr>
              <w:t>p</w:t>
            </w:r>
            <w:r w:rsidRPr="009B5064">
              <w:rPr>
                <w:rFonts w:cs="Arial"/>
                <w:sz w:val="20"/>
                <w:szCs w:val="20"/>
              </w:rPr>
              <w:t xml:space="preserve">&lt;0.05, ** </w:t>
            </w:r>
            <w:r w:rsidRPr="009B5064">
              <w:rPr>
                <w:rFonts w:cs="Arial"/>
                <w:i/>
                <w:sz w:val="20"/>
                <w:szCs w:val="20"/>
              </w:rPr>
              <w:t>p</w:t>
            </w:r>
            <w:r w:rsidRPr="009B5064">
              <w:rPr>
                <w:rFonts w:cs="Arial"/>
                <w:sz w:val="20"/>
                <w:szCs w:val="20"/>
              </w:rPr>
              <w:t xml:space="preserve">&lt;0.01, *** </w:t>
            </w:r>
            <w:r w:rsidRPr="009B5064">
              <w:rPr>
                <w:rFonts w:cs="Arial"/>
                <w:i/>
                <w:sz w:val="20"/>
                <w:szCs w:val="20"/>
              </w:rPr>
              <w:t>p</w:t>
            </w:r>
            <w:r w:rsidRPr="009B5064">
              <w:rPr>
                <w:rFonts w:cs="Arial"/>
                <w:sz w:val="20"/>
                <w:szCs w:val="20"/>
              </w:rPr>
              <w:t>&lt;0.001.</w:t>
            </w:r>
          </w:p>
          <w:p w14:paraId="115ACC9A" w14:textId="77777777" w:rsidR="00AF3836" w:rsidRPr="009B5064" w:rsidRDefault="00AF3836" w:rsidP="00CF0DE1">
            <w:pPr>
              <w:rPr>
                <w:rFonts w:cs="Arial"/>
                <w:sz w:val="20"/>
                <w:szCs w:val="20"/>
              </w:rPr>
            </w:pPr>
            <w:r w:rsidRPr="009B5064">
              <w:rPr>
                <w:rFonts w:cs="Arial"/>
                <w:sz w:val="20"/>
                <w:szCs w:val="20"/>
              </w:rPr>
              <w:t xml:space="preserve">Values are odds ratios with 95% confidence intervals. </w:t>
            </w:r>
          </w:p>
          <w:p w14:paraId="6367E48B" w14:textId="77777777" w:rsidR="00AF3836" w:rsidRPr="009B5064" w:rsidRDefault="00AF3836" w:rsidP="00CF0DE1">
            <w:pPr>
              <w:rPr>
                <w:rFonts w:cs="Arial"/>
                <w:sz w:val="20"/>
                <w:szCs w:val="20"/>
              </w:rPr>
            </w:pPr>
            <w:r w:rsidRPr="009B5064">
              <w:rPr>
                <w:rFonts w:cs="Arial"/>
                <w:sz w:val="20"/>
                <w:szCs w:val="20"/>
              </w:rPr>
              <w:t>All figures are adjusted for age, partner status, ethnicity, wealth, smoking status, alcohol intake, physical activity, depressive symptoms, and history of CVD, diabetes and eye disease, and weighted for sampling probabilities and differential non-response.</w:t>
            </w:r>
          </w:p>
          <w:p w14:paraId="23B795F8" w14:textId="77777777" w:rsidR="00AF3836" w:rsidRPr="009B5064" w:rsidRDefault="00AF3836" w:rsidP="00CF0DE1">
            <w:pPr>
              <w:rPr>
                <w:rFonts w:cs="Arial"/>
                <w:sz w:val="20"/>
                <w:szCs w:val="20"/>
              </w:rPr>
            </w:pPr>
          </w:p>
        </w:tc>
      </w:tr>
    </w:tbl>
    <w:p w14:paraId="245DBFC1" w14:textId="77777777" w:rsidR="00722460" w:rsidRPr="009B5064" w:rsidRDefault="00722460" w:rsidP="003F5039">
      <w:pPr>
        <w:tabs>
          <w:tab w:val="left" w:pos="9739"/>
        </w:tabs>
      </w:pPr>
    </w:p>
    <w:sectPr w:rsidR="00722460" w:rsidRPr="009B5064" w:rsidSect="00A533EA">
      <w:headerReference w:type="default" r:id="rId12"/>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386B" w14:textId="77777777" w:rsidR="00C11AED" w:rsidRDefault="00C11AED">
      <w:r>
        <w:separator/>
      </w:r>
    </w:p>
  </w:endnote>
  <w:endnote w:type="continuationSeparator" w:id="0">
    <w:p w14:paraId="1E1EF0F7" w14:textId="77777777" w:rsidR="00C11AED" w:rsidRDefault="00C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584886"/>
      <w:docPartObj>
        <w:docPartGallery w:val="Page Numbers (Bottom of Page)"/>
        <w:docPartUnique/>
      </w:docPartObj>
    </w:sdtPr>
    <w:sdtEndPr>
      <w:rPr>
        <w:noProof/>
      </w:rPr>
    </w:sdtEndPr>
    <w:sdtContent>
      <w:p w14:paraId="44AF054F" w14:textId="77777777" w:rsidR="00134A79" w:rsidRDefault="00134A7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96B916D" w14:textId="77777777" w:rsidR="00134A79" w:rsidRDefault="0013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FF2C" w14:textId="77777777" w:rsidR="00C11AED" w:rsidRDefault="00C11AED">
      <w:r>
        <w:separator/>
      </w:r>
    </w:p>
  </w:footnote>
  <w:footnote w:type="continuationSeparator" w:id="0">
    <w:p w14:paraId="68DC750B" w14:textId="77777777" w:rsidR="00C11AED" w:rsidRDefault="00C1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D50C" w14:textId="77777777" w:rsidR="00134A79" w:rsidRDefault="00134A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GB" w:vendorID="64" w:dllVersion="0" w:nlCheck="1" w:checkStyle="0"/>
  <w:activeWritingStyle w:appName="MSWord" w:lang="es-ES" w:vendorID="64" w:dllVersion="6" w:nlCheck="1" w:checkStyle="1"/>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A4"/>
    <w:rsid w:val="00007076"/>
    <w:rsid w:val="0001101C"/>
    <w:rsid w:val="00021EC0"/>
    <w:rsid w:val="00024A6E"/>
    <w:rsid w:val="0003295B"/>
    <w:rsid w:val="00037990"/>
    <w:rsid w:val="0004018B"/>
    <w:rsid w:val="00072308"/>
    <w:rsid w:val="00075EDD"/>
    <w:rsid w:val="00082AF2"/>
    <w:rsid w:val="0008669F"/>
    <w:rsid w:val="00092652"/>
    <w:rsid w:val="00093608"/>
    <w:rsid w:val="000E1986"/>
    <w:rsid w:val="000F4616"/>
    <w:rsid w:val="00103C85"/>
    <w:rsid w:val="001139F2"/>
    <w:rsid w:val="00134A79"/>
    <w:rsid w:val="00142D9E"/>
    <w:rsid w:val="00153F1F"/>
    <w:rsid w:val="001A749A"/>
    <w:rsid w:val="001A7E13"/>
    <w:rsid w:val="001B4229"/>
    <w:rsid w:val="001B5884"/>
    <w:rsid w:val="001F2C42"/>
    <w:rsid w:val="002179FF"/>
    <w:rsid w:val="00227827"/>
    <w:rsid w:val="00234FB6"/>
    <w:rsid w:val="00244BA4"/>
    <w:rsid w:val="00265F09"/>
    <w:rsid w:val="002776FF"/>
    <w:rsid w:val="00285975"/>
    <w:rsid w:val="002B59F7"/>
    <w:rsid w:val="002E0DD5"/>
    <w:rsid w:val="002F3D34"/>
    <w:rsid w:val="0034334D"/>
    <w:rsid w:val="00346C93"/>
    <w:rsid w:val="0037458D"/>
    <w:rsid w:val="0038318A"/>
    <w:rsid w:val="00393907"/>
    <w:rsid w:val="003A1E5A"/>
    <w:rsid w:val="003A5E4C"/>
    <w:rsid w:val="003B459D"/>
    <w:rsid w:val="003B637F"/>
    <w:rsid w:val="003C3D16"/>
    <w:rsid w:val="003F40DF"/>
    <w:rsid w:val="003F5039"/>
    <w:rsid w:val="00407474"/>
    <w:rsid w:val="00417F40"/>
    <w:rsid w:val="00431343"/>
    <w:rsid w:val="00442513"/>
    <w:rsid w:val="004515CE"/>
    <w:rsid w:val="00455D33"/>
    <w:rsid w:val="00462897"/>
    <w:rsid w:val="0048171C"/>
    <w:rsid w:val="004A1A2F"/>
    <w:rsid w:val="004B08F7"/>
    <w:rsid w:val="004D4496"/>
    <w:rsid w:val="004D69EB"/>
    <w:rsid w:val="004F3BA8"/>
    <w:rsid w:val="004F4E47"/>
    <w:rsid w:val="00520E7C"/>
    <w:rsid w:val="005220A4"/>
    <w:rsid w:val="00526424"/>
    <w:rsid w:val="00541DAA"/>
    <w:rsid w:val="00560026"/>
    <w:rsid w:val="00565862"/>
    <w:rsid w:val="005911E0"/>
    <w:rsid w:val="005B7262"/>
    <w:rsid w:val="005C0032"/>
    <w:rsid w:val="005D1DDE"/>
    <w:rsid w:val="005D7937"/>
    <w:rsid w:val="00603BD0"/>
    <w:rsid w:val="00631FA6"/>
    <w:rsid w:val="006328A6"/>
    <w:rsid w:val="00636F2C"/>
    <w:rsid w:val="006406CB"/>
    <w:rsid w:val="00646A98"/>
    <w:rsid w:val="0065703C"/>
    <w:rsid w:val="00667EB0"/>
    <w:rsid w:val="0067022D"/>
    <w:rsid w:val="00681C76"/>
    <w:rsid w:val="0068640F"/>
    <w:rsid w:val="0068732B"/>
    <w:rsid w:val="006A02E9"/>
    <w:rsid w:val="006A563C"/>
    <w:rsid w:val="006C456F"/>
    <w:rsid w:val="006D05F4"/>
    <w:rsid w:val="006D09E9"/>
    <w:rsid w:val="006F4308"/>
    <w:rsid w:val="006F767C"/>
    <w:rsid w:val="00702EBF"/>
    <w:rsid w:val="00705625"/>
    <w:rsid w:val="0071421A"/>
    <w:rsid w:val="00722460"/>
    <w:rsid w:val="0073204A"/>
    <w:rsid w:val="00785795"/>
    <w:rsid w:val="00786631"/>
    <w:rsid w:val="0079771F"/>
    <w:rsid w:val="007A5166"/>
    <w:rsid w:val="007A6A08"/>
    <w:rsid w:val="007B47F8"/>
    <w:rsid w:val="007C0557"/>
    <w:rsid w:val="007D715F"/>
    <w:rsid w:val="007E2BB7"/>
    <w:rsid w:val="00801C80"/>
    <w:rsid w:val="00821342"/>
    <w:rsid w:val="00842C05"/>
    <w:rsid w:val="00866B72"/>
    <w:rsid w:val="008745CE"/>
    <w:rsid w:val="0088129D"/>
    <w:rsid w:val="008A0C03"/>
    <w:rsid w:val="008D52EA"/>
    <w:rsid w:val="008F6A66"/>
    <w:rsid w:val="0090175E"/>
    <w:rsid w:val="00901CDF"/>
    <w:rsid w:val="009408E3"/>
    <w:rsid w:val="00946373"/>
    <w:rsid w:val="00947D9F"/>
    <w:rsid w:val="00990804"/>
    <w:rsid w:val="009945F3"/>
    <w:rsid w:val="009B5064"/>
    <w:rsid w:val="009C6070"/>
    <w:rsid w:val="009F5584"/>
    <w:rsid w:val="00A128EB"/>
    <w:rsid w:val="00A212FB"/>
    <w:rsid w:val="00A377FE"/>
    <w:rsid w:val="00A42AE1"/>
    <w:rsid w:val="00A50178"/>
    <w:rsid w:val="00A5046F"/>
    <w:rsid w:val="00A533EA"/>
    <w:rsid w:val="00A64D4A"/>
    <w:rsid w:val="00A73317"/>
    <w:rsid w:val="00AA50F0"/>
    <w:rsid w:val="00AB7C32"/>
    <w:rsid w:val="00AC256F"/>
    <w:rsid w:val="00AF3836"/>
    <w:rsid w:val="00B033A9"/>
    <w:rsid w:val="00B11582"/>
    <w:rsid w:val="00B15C6D"/>
    <w:rsid w:val="00B261FE"/>
    <w:rsid w:val="00B27D07"/>
    <w:rsid w:val="00B54437"/>
    <w:rsid w:val="00B54FB4"/>
    <w:rsid w:val="00B555B3"/>
    <w:rsid w:val="00B5568F"/>
    <w:rsid w:val="00B71935"/>
    <w:rsid w:val="00B86282"/>
    <w:rsid w:val="00B9444D"/>
    <w:rsid w:val="00B95CBC"/>
    <w:rsid w:val="00BA6B60"/>
    <w:rsid w:val="00BC6775"/>
    <w:rsid w:val="00BD687F"/>
    <w:rsid w:val="00BE6AD2"/>
    <w:rsid w:val="00C04B89"/>
    <w:rsid w:val="00C11AED"/>
    <w:rsid w:val="00C266A2"/>
    <w:rsid w:val="00C54C1F"/>
    <w:rsid w:val="00C677DB"/>
    <w:rsid w:val="00C7731F"/>
    <w:rsid w:val="00CA47A2"/>
    <w:rsid w:val="00CB1705"/>
    <w:rsid w:val="00CD5C84"/>
    <w:rsid w:val="00CE2CE4"/>
    <w:rsid w:val="00CF0DE1"/>
    <w:rsid w:val="00CF581E"/>
    <w:rsid w:val="00D11338"/>
    <w:rsid w:val="00D45C1E"/>
    <w:rsid w:val="00D52346"/>
    <w:rsid w:val="00D52C5F"/>
    <w:rsid w:val="00D9799B"/>
    <w:rsid w:val="00DA5454"/>
    <w:rsid w:val="00DD1DC0"/>
    <w:rsid w:val="00DD6EA4"/>
    <w:rsid w:val="00DF3718"/>
    <w:rsid w:val="00DF5503"/>
    <w:rsid w:val="00E00C09"/>
    <w:rsid w:val="00E00E44"/>
    <w:rsid w:val="00E033F4"/>
    <w:rsid w:val="00E1749A"/>
    <w:rsid w:val="00E2257E"/>
    <w:rsid w:val="00E23090"/>
    <w:rsid w:val="00E23D41"/>
    <w:rsid w:val="00E37B1C"/>
    <w:rsid w:val="00E43516"/>
    <w:rsid w:val="00E513C8"/>
    <w:rsid w:val="00E55F26"/>
    <w:rsid w:val="00E6527C"/>
    <w:rsid w:val="00E707E0"/>
    <w:rsid w:val="00E77A45"/>
    <w:rsid w:val="00E872CE"/>
    <w:rsid w:val="00EA298F"/>
    <w:rsid w:val="00EA3B3D"/>
    <w:rsid w:val="00EB49B2"/>
    <w:rsid w:val="00EB523B"/>
    <w:rsid w:val="00EF1C50"/>
    <w:rsid w:val="00F2459F"/>
    <w:rsid w:val="00F2670D"/>
    <w:rsid w:val="00F31665"/>
    <w:rsid w:val="00F4488A"/>
    <w:rsid w:val="00F46A6E"/>
    <w:rsid w:val="00F5144E"/>
    <w:rsid w:val="00FB5EA3"/>
    <w:rsid w:val="00FC6A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3FBF"/>
  <w15:docId w15:val="{990741D9-29B9-4948-871B-514ABC7E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C0557"/>
    <w:rPr>
      <w:sz w:val="24"/>
      <w:szCs w:val="24"/>
      <w:lang w:val="en-US" w:eastAsia="en-US"/>
    </w:rPr>
  </w:style>
  <w:style w:type="paragraph" w:styleId="Heading1">
    <w:name w:val="heading 1"/>
    <w:basedOn w:val="Normal"/>
    <w:next w:val="Normal"/>
    <w:link w:val="Heading1Char"/>
    <w:uiPriority w:val="9"/>
    <w:qFormat/>
    <w:rsid w:val="00722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rsid w:val="007C0557"/>
    <w:pPr>
      <w:spacing w:after="240" w:line="360" w:lineRule="auto"/>
      <w:outlineLvl w:val="1"/>
    </w:pPr>
    <w:rPr>
      <w:rFonts w:ascii="Calibri" w:eastAsia="Calibri" w:hAnsi="Calibri" w:cs="Calibri"/>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0557"/>
    <w:rPr>
      <w:u w:val="single"/>
    </w:rPr>
  </w:style>
  <w:style w:type="paragraph" w:customStyle="1" w:styleId="HeaderFooter">
    <w:name w:val="Header &amp; Footer"/>
    <w:rsid w:val="007C0557"/>
    <w:pPr>
      <w:tabs>
        <w:tab w:val="right" w:pos="9020"/>
      </w:tabs>
    </w:pPr>
    <w:rPr>
      <w:rFonts w:ascii="Helvetica Neue" w:hAnsi="Helvetica Neue" w:cs="Arial Unicode MS"/>
      <w:color w:val="000000"/>
      <w:sz w:val="24"/>
      <w:szCs w:val="24"/>
    </w:rPr>
  </w:style>
  <w:style w:type="paragraph" w:customStyle="1" w:styleId="Heading">
    <w:name w:val="Heading"/>
    <w:next w:val="Body"/>
    <w:rsid w:val="007C0557"/>
    <w:pPr>
      <w:spacing w:after="240" w:line="360" w:lineRule="auto"/>
      <w:outlineLvl w:val="0"/>
    </w:pPr>
    <w:rPr>
      <w:rFonts w:ascii="Calibri" w:eastAsia="Calibri" w:hAnsi="Calibri" w:cs="Calibri"/>
      <w:b/>
      <w:bCs/>
      <w:color w:val="000000"/>
      <w:sz w:val="26"/>
      <w:szCs w:val="26"/>
      <w:u w:color="000000"/>
      <w:lang w:val="en-US"/>
    </w:rPr>
  </w:style>
  <w:style w:type="paragraph" w:customStyle="1" w:styleId="Body">
    <w:name w:val="Body"/>
    <w:rsid w:val="007C0557"/>
    <w:pPr>
      <w:spacing w:after="240" w:line="360" w:lineRule="auto"/>
    </w:pPr>
    <w:rPr>
      <w:rFonts w:ascii="Calibri" w:eastAsia="Calibri" w:hAnsi="Calibri" w:cs="Calibri"/>
      <w:color w:val="000000"/>
      <w:sz w:val="22"/>
      <w:szCs w:val="22"/>
      <w:u w:color="000000"/>
      <w:lang w:val="en-US"/>
    </w:rPr>
  </w:style>
  <w:style w:type="paragraph" w:customStyle="1" w:styleId="Default">
    <w:name w:val="Default"/>
    <w:rsid w:val="007C0557"/>
    <w:rPr>
      <w:rFonts w:ascii="Helvetica Neue" w:eastAsia="Helvetica Neue" w:hAnsi="Helvetica Neue" w:cs="Helvetica Neue"/>
      <w:color w:val="000000"/>
      <w:sz w:val="22"/>
      <w:szCs w:val="22"/>
    </w:rPr>
  </w:style>
  <w:style w:type="character" w:customStyle="1" w:styleId="Hyperlink0">
    <w:name w:val="Hyperlink.0"/>
    <w:basedOn w:val="Hyperlink"/>
    <w:rsid w:val="007C0557"/>
    <w:rPr>
      <w:color w:val="0563C1"/>
      <w:u w:val="single" w:color="0563C1"/>
    </w:rPr>
  </w:style>
  <w:style w:type="character" w:customStyle="1" w:styleId="Hyperlink1">
    <w:name w:val="Hyperlink.1"/>
    <w:basedOn w:val="Hyperlink0"/>
    <w:rsid w:val="007C0557"/>
    <w:rPr>
      <w:color w:val="0563C1"/>
      <w:sz w:val="24"/>
      <w:szCs w:val="24"/>
      <w:u w:val="single" w:color="0563C1"/>
    </w:rPr>
  </w:style>
  <w:style w:type="character" w:customStyle="1" w:styleId="None">
    <w:name w:val="None"/>
    <w:rsid w:val="007C0557"/>
  </w:style>
  <w:style w:type="character" w:customStyle="1" w:styleId="Hyperlink2">
    <w:name w:val="Hyperlink.2"/>
    <w:basedOn w:val="None"/>
    <w:rsid w:val="007C0557"/>
    <w:rPr>
      <w:shd w:val="clear" w:color="auto" w:fill="FFFFFF"/>
      <w:lang w:val="en-US"/>
    </w:rPr>
  </w:style>
  <w:style w:type="character" w:customStyle="1" w:styleId="Hyperlink3">
    <w:name w:val="Hyperlink.3"/>
    <w:basedOn w:val="None"/>
    <w:rsid w:val="007C0557"/>
    <w:rPr>
      <w:shd w:val="clear" w:color="auto" w:fill="FFFFFF"/>
    </w:rPr>
  </w:style>
  <w:style w:type="paragraph" w:customStyle="1" w:styleId="EndNoteBibliography">
    <w:name w:val="EndNote Bibliography"/>
    <w:rsid w:val="007C0557"/>
    <w:pPr>
      <w:spacing w:after="240"/>
    </w:pPr>
    <w:rPr>
      <w:rFonts w:ascii="Calibri" w:eastAsia="Calibri" w:hAnsi="Calibri" w:cs="Calibri"/>
      <w:color w:val="000000"/>
      <w:sz w:val="22"/>
      <w:szCs w:val="22"/>
      <w:u w:color="000000"/>
    </w:rPr>
  </w:style>
  <w:style w:type="paragraph" w:styleId="CommentText">
    <w:name w:val="annotation text"/>
    <w:basedOn w:val="Normal"/>
    <w:link w:val="CommentTextChar"/>
    <w:uiPriority w:val="99"/>
    <w:unhideWhenUsed/>
    <w:rsid w:val="007C0557"/>
    <w:rPr>
      <w:sz w:val="20"/>
      <w:szCs w:val="20"/>
    </w:rPr>
  </w:style>
  <w:style w:type="character" w:customStyle="1" w:styleId="CommentTextChar">
    <w:name w:val="Comment Text Char"/>
    <w:basedOn w:val="DefaultParagraphFont"/>
    <w:link w:val="CommentText"/>
    <w:uiPriority w:val="99"/>
    <w:rsid w:val="007C0557"/>
    <w:rPr>
      <w:lang w:val="en-US" w:eastAsia="en-US"/>
    </w:rPr>
  </w:style>
  <w:style w:type="character" w:styleId="CommentReference">
    <w:name w:val="annotation reference"/>
    <w:basedOn w:val="DefaultParagraphFont"/>
    <w:uiPriority w:val="99"/>
    <w:semiHidden/>
    <w:unhideWhenUsed/>
    <w:rsid w:val="007C0557"/>
    <w:rPr>
      <w:sz w:val="16"/>
      <w:szCs w:val="16"/>
    </w:rPr>
  </w:style>
  <w:style w:type="paragraph" w:styleId="BalloonText">
    <w:name w:val="Balloon Text"/>
    <w:basedOn w:val="Normal"/>
    <w:link w:val="BalloonTextChar"/>
    <w:uiPriority w:val="99"/>
    <w:semiHidden/>
    <w:unhideWhenUsed/>
    <w:rsid w:val="00732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4A"/>
    <w:rPr>
      <w:rFonts w:ascii="Segoe UI" w:hAnsi="Segoe UI" w:cs="Segoe UI"/>
      <w:sz w:val="18"/>
      <w:szCs w:val="18"/>
      <w:lang w:val="en-US" w:eastAsia="en-US"/>
    </w:rPr>
  </w:style>
  <w:style w:type="paragraph" w:styleId="Header">
    <w:name w:val="header"/>
    <w:basedOn w:val="Normal"/>
    <w:link w:val="HeaderChar"/>
    <w:uiPriority w:val="99"/>
    <w:unhideWhenUsed/>
    <w:rsid w:val="0073204A"/>
    <w:pPr>
      <w:tabs>
        <w:tab w:val="center" w:pos="4513"/>
        <w:tab w:val="right" w:pos="9026"/>
      </w:tabs>
    </w:pPr>
  </w:style>
  <w:style w:type="character" w:customStyle="1" w:styleId="HeaderChar">
    <w:name w:val="Header Char"/>
    <w:basedOn w:val="DefaultParagraphFont"/>
    <w:link w:val="Header"/>
    <w:uiPriority w:val="99"/>
    <w:rsid w:val="0073204A"/>
    <w:rPr>
      <w:sz w:val="24"/>
      <w:szCs w:val="24"/>
      <w:lang w:val="en-US" w:eastAsia="en-US"/>
    </w:rPr>
  </w:style>
  <w:style w:type="paragraph" w:styleId="Footer">
    <w:name w:val="footer"/>
    <w:basedOn w:val="Normal"/>
    <w:link w:val="FooterChar"/>
    <w:uiPriority w:val="99"/>
    <w:unhideWhenUsed/>
    <w:rsid w:val="0073204A"/>
    <w:pPr>
      <w:tabs>
        <w:tab w:val="center" w:pos="4513"/>
        <w:tab w:val="right" w:pos="9026"/>
      </w:tabs>
    </w:pPr>
  </w:style>
  <w:style w:type="character" w:customStyle="1" w:styleId="FooterChar">
    <w:name w:val="Footer Char"/>
    <w:basedOn w:val="DefaultParagraphFont"/>
    <w:link w:val="Footer"/>
    <w:uiPriority w:val="99"/>
    <w:rsid w:val="0073204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F5503"/>
    <w:rPr>
      <w:b/>
      <w:bCs/>
    </w:rPr>
  </w:style>
  <w:style w:type="character" w:customStyle="1" w:styleId="CommentSubjectChar">
    <w:name w:val="Comment Subject Char"/>
    <w:basedOn w:val="CommentTextChar"/>
    <w:link w:val="CommentSubject"/>
    <w:uiPriority w:val="99"/>
    <w:semiHidden/>
    <w:rsid w:val="00DF5503"/>
    <w:rPr>
      <w:b/>
      <w:bCs/>
      <w:lang w:val="en-US" w:eastAsia="en-US"/>
    </w:rPr>
  </w:style>
  <w:style w:type="paragraph" w:styleId="Bibliography">
    <w:name w:val="Bibliography"/>
    <w:basedOn w:val="Normal"/>
    <w:next w:val="Normal"/>
    <w:uiPriority w:val="37"/>
    <w:unhideWhenUsed/>
    <w:rsid w:val="00842C05"/>
    <w:pPr>
      <w:tabs>
        <w:tab w:val="left" w:pos="384"/>
      </w:tabs>
      <w:spacing w:after="240"/>
      <w:ind w:left="384" w:hanging="384"/>
    </w:pPr>
  </w:style>
  <w:style w:type="character" w:customStyle="1" w:styleId="Heading1Char">
    <w:name w:val="Heading 1 Char"/>
    <w:basedOn w:val="DefaultParagraphFont"/>
    <w:link w:val="Heading1"/>
    <w:uiPriority w:val="9"/>
    <w:rsid w:val="00722460"/>
    <w:rPr>
      <w:rFonts w:asciiTheme="majorHAnsi" w:eastAsiaTheme="majorEastAsia" w:hAnsiTheme="majorHAnsi" w:cstheme="majorBidi"/>
      <w:color w:val="2E74B5" w:themeColor="accent1" w:themeShade="BF"/>
      <w:sz w:val="32"/>
      <w:szCs w:val="32"/>
      <w:lang w:val="en-US" w:eastAsia="en-US"/>
    </w:rPr>
  </w:style>
  <w:style w:type="table" w:styleId="TableGrid">
    <w:name w:val="Table Grid"/>
    <w:basedOn w:val="TableNormal"/>
    <w:uiPriority w:val="59"/>
    <w:rsid w:val="0072246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43516"/>
  </w:style>
  <w:style w:type="character" w:styleId="Emphasis">
    <w:name w:val="Emphasis"/>
    <w:basedOn w:val="DefaultParagraphFont"/>
    <w:uiPriority w:val="20"/>
    <w:qFormat/>
    <w:rsid w:val="00E43516"/>
    <w:rPr>
      <w:i/>
      <w:iCs/>
    </w:rPr>
  </w:style>
  <w:style w:type="character" w:styleId="Strong">
    <w:name w:val="Strong"/>
    <w:basedOn w:val="DefaultParagraphFont"/>
    <w:uiPriority w:val="22"/>
    <w:qFormat/>
    <w:rsid w:val="00E43516"/>
    <w:rPr>
      <w:b/>
      <w:bCs/>
    </w:rPr>
  </w:style>
  <w:style w:type="paragraph" w:styleId="NormalWeb">
    <w:name w:val="Normal (Web)"/>
    <w:basedOn w:val="Normal"/>
    <w:uiPriority w:val="99"/>
    <w:semiHidden/>
    <w:unhideWhenUsed/>
    <w:rsid w:val="00E435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styleId="UnresolvedMention">
    <w:name w:val="Unresolved Mention"/>
    <w:basedOn w:val="DefaultParagraphFont"/>
    <w:uiPriority w:val="99"/>
    <w:semiHidden/>
    <w:unhideWhenUsed/>
    <w:rsid w:val="009B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6646">
      <w:bodyDiv w:val="1"/>
      <w:marLeft w:val="0"/>
      <w:marRight w:val="0"/>
      <w:marTop w:val="0"/>
      <w:marBottom w:val="0"/>
      <w:divBdr>
        <w:top w:val="none" w:sz="0" w:space="0" w:color="auto"/>
        <w:left w:val="none" w:sz="0" w:space="0" w:color="auto"/>
        <w:bottom w:val="none" w:sz="0" w:space="0" w:color="auto"/>
        <w:right w:val="none" w:sz="0" w:space="0" w:color="auto"/>
      </w:divBdr>
      <w:divsChild>
        <w:div w:id="746924682">
          <w:marLeft w:val="0"/>
          <w:marRight w:val="0"/>
          <w:marTop w:val="0"/>
          <w:marBottom w:val="0"/>
          <w:divBdr>
            <w:top w:val="none" w:sz="0" w:space="0" w:color="auto"/>
            <w:left w:val="none" w:sz="0" w:space="0" w:color="auto"/>
            <w:bottom w:val="none" w:sz="0" w:space="0" w:color="auto"/>
            <w:right w:val="none" w:sz="0" w:space="0" w:color="auto"/>
          </w:divBdr>
          <w:divsChild>
            <w:div w:id="2038390585">
              <w:marLeft w:val="0"/>
              <w:marRight w:val="0"/>
              <w:marTop w:val="0"/>
              <w:marBottom w:val="0"/>
              <w:divBdr>
                <w:top w:val="none" w:sz="0" w:space="0" w:color="auto"/>
                <w:left w:val="none" w:sz="0" w:space="0" w:color="auto"/>
                <w:bottom w:val="none" w:sz="0" w:space="0" w:color="auto"/>
                <w:right w:val="none" w:sz="0" w:space="0" w:color="auto"/>
              </w:divBdr>
              <w:divsChild>
                <w:div w:id="313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1">
      <w:bodyDiv w:val="1"/>
      <w:marLeft w:val="0"/>
      <w:marRight w:val="0"/>
      <w:marTop w:val="0"/>
      <w:marBottom w:val="0"/>
      <w:divBdr>
        <w:top w:val="none" w:sz="0" w:space="0" w:color="auto"/>
        <w:left w:val="none" w:sz="0" w:space="0" w:color="auto"/>
        <w:bottom w:val="none" w:sz="0" w:space="0" w:color="auto"/>
        <w:right w:val="none" w:sz="0" w:space="0" w:color="auto"/>
      </w:divBdr>
    </w:div>
    <w:div w:id="315573032">
      <w:bodyDiv w:val="1"/>
      <w:marLeft w:val="0"/>
      <w:marRight w:val="0"/>
      <w:marTop w:val="0"/>
      <w:marBottom w:val="0"/>
      <w:divBdr>
        <w:top w:val="none" w:sz="0" w:space="0" w:color="auto"/>
        <w:left w:val="none" w:sz="0" w:space="0" w:color="auto"/>
        <w:bottom w:val="none" w:sz="0" w:space="0" w:color="auto"/>
        <w:right w:val="none" w:sz="0" w:space="0" w:color="auto"/>
      </w:divBdr>
    </w:div>
    <w:div w:id="387002227">
      <w:bodyDiv w:val="1"/>
      <w:marLeft w:val="0"/>
      <w:marRight w:val="0"/>
      <w:marTop w:val="0"/>
      <w:marBottom w:val="0"/>
      <w:divBdr>
        <w:top w:val="none" w:sz="0" w:space="0" w:color="auto"/>
        <w:left w:val="none" w:sz="0" w:space="0" w:color="auto"/>
        <w:bottom w:val="none" w:sz="0" w:space="0" w:color="auto"/>
        <w:right w:val="none" w:sz="0" w:space="0" w:color="auto"/>
      </w:divBdr>
      <w:divsChild>
        <w:div w:id="1803957299">
          <w:marLeft w:val="0"/>
          <w:marRight w:val="0"/>
          <w:marTop w:val="0"/>
          <w:marBottom w:val="0"/>
          <w:divBdr>
            <w:top w:val="none" w:sz="0" w:space="0" w:color="auto"/>
            <w:left w:val="none" w:sz="0" w:space="0" w:color="auto"/>
            <w:bottom w:val="none" w:sz="0" w:space="0" w:color="auto"/>
            <w:right w:val="none" w:sz="0" w:space="0" w:color="auto"/>
          </w:divBdr>
          <w:divsChild>
            <w:div w:id="1130131113">
              <w:marLeft w:val="0"/>
              <w:marRight w:val="0"/>
              <w:marTop w:val="0"/>
              <w:marBottom w:val="0"/>
              <w:divBdr>
                <w:top w:val="none" w:sz="0" w:space="0" w:color="auto"/>
                <w:left w:val="none" w:sz="0" w:space="0" w:color="auto"/>
                <w:bottom w:val="none" w:sz="0" w:space="0" w:color="auto"/>
                <w:right w:val="none" w:sz="0" w:space="0" w:color="auto"/>
              </w:divBdr>
              <w:divsChild>
                <w:div w:id="1206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1495">
      <w:bodyDiv w:val="1"/>
      <w:marLeft w:val="0"/>
      <w:marRight w:val="0"/>
      <w:marTop w:val="0"/>
      <w:marBottom w:val="0"/>
      <w:divBdr>
        <w:top w:val="none" w:sz="0" w:space="0" w:color="auto"/>
        <w:left w:val="none" w:sz="0" w:space="0" w:color="auto"/>
        <w:bottom w:val="none" w:sz="0" w:space="0" w:color="auto"/>
        <w:right w:val="none" w:sz="0" w:space="0" w:color="auto"/>
      </w:divBdr>
    </w:div>
    <w:div w:id="541867114">
      <w:bodyDiv w:val="1"/>
      <w:marLeft w:val="0"/>
      <w:marRight w:val="0"/>
      <w:marTop w:val="0"/>
      <w:marBottom w:val="0"/>
      <w:divBdr>
        <w:top w:val="none" w:sz="0" w:space="0" w:color="auto"/>
        <w:left w:val="none" w:sz="0" w:space="0" w:color="auto"/>
        <w:bottom w:val="none" w:sz="0" w:space="0" w:color="auto"/>
        <w:right w:val="none" w:sz="0" w:space="0" w:color="auto"/>
      </w:divBdr>
    </w:div>
    <w:div w:id="624119968">
      <w:bodyDiv w:val="1"/>
      <w:marLeft w:val="0"/>
      <w:marRight w:val="0"/>
      <w:marTop w:val="0"/>
      <w:marBottom w:val="0"/>
      <w:divBdr>
        <w:top w:val="none" w:sz="0" w:space="0" w:color="auto"/>
        <w:left w:val="none" w:sz="0" w:space="0" w:color="auto"/>
        <w:bottom w:val="none" w:sz="0" w:space="0" w:color="auto"/>
        <w:right w:val="none" w:sz="0" w:space="0" w:color="auto"/>
      </w:divBdr>
    </w:div>
    <w:div w:id="1123578568">
      <w:bodyDiv w:val="1"/>
      <w:marLeft w:val="0"/>
      <w:marRight w:val="0"/>
      <w:marTop w:val="0"/>
      <w:marBottom w:val="0"/>
      <w:divBdr>
        <w:top w:val="none" w:sz="0" w:space="0" w:color="auto"/>
        <w:left w:val="none" w:sz="0" w:space="0" w:color="auto"/>
        <w:bottom w:val="none" w:sz="0" w:space="0" w:color="auto"/>
        <w:right w:val="none" w:sz="0" w:space="0" w:color="auto"/>
      </w:divBdr>
    </w:div>
    <w:div w:id="1149830731">
      <w:bodyDiv w:val="1"/>
      <w:marLeft w:val="0"/>
      <w:marRight w:val="0"/>
      <w:marTop w:val="0"/>
      <w:marBottom w:val="0"/>
      <w:divBdr>
        <w:top w:val="none" w:sz="0" w:space="0" w:color="auto"/>
        <w:left w:val="none" w:sz="0" w:space="0" w:color="auto"/>
        <w:bottom w:val="none" w:sz="0" w:space="0" w:color="auto"/>
        <w:right w:val="none" w:sz="0" w:space="0" w:color="auto"/>
      </w:divBdr>
    </w:div>
    <w:div w:id="1394966518">
      <w:bodyDiv w:val="1"/>
      <w:marLeft w:val="0"/>
      <w:marRight w:val="0"/>
      <w:marTop w:val="0"/>
      <w:marBottom w:val="0"/>
      <w:divBdr>
        <w:top w:val="none" w:sz="0" w:space="0" w:color="auto"/>
        <w:left w:val="none" w:sz="0" w:space="0" w:color="auto"/>
        <w:bottom w:val="none" w:sz="0" w:space="0" w:color="auto"/>
        <w:right w:val="none" w:sz="0" w:space="0" w:color="auto"/>
      </w:divBdr>
    </w:div>
    <w:div w:id="1784417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doc/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ukdataservice.ac.uk/doc/"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Lee.Smith@anglia.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bmjophth.bmj.com/content/1/1/e000046" TargetMode="External"/><Relationship Id="rId4" Type="http://schemas.openxmlformats.org/officeDocument/2006/relationships/footnotes" Target="footnotes.xml"/><Relationship Id="rId9" Type="http://schemas.openxmlformats.org/officeDocument/2006/relationships/hyperlink" Target="http://_elsa_w6_technical_report_v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4665</Words>
  <Characters>26591</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Lee Smith</cp:lastModifiedBy>
  <cp:revision>3</cp:revision>
  <dcterms:created xsi:type="dcterms:W3CDTF">2019-08-13T15:51:00Z</dcterms:created>
  <dcterms:modified xsi:type="dcterms:W3CDTF">2019-09-14T20:35:00Z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id="4ycIPNN4"/&gt;&lt;style id="http://www.zotero.org/styles/vancouver" locale="en-US"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value="true"/&gt;&lt;/prefs&gt;&lt;/data&gt;</vt:lpwstr>
  </property>
</Properties>
</file>