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B4" w:rsidRPr="00AA2949" w:rsidRDefault="00F979B4" w:rsidP="00F979B4">
      <w:pPr>
        <w:spacing w:after="0" w:line="240" w:lineRule="auto"/>
        <w:jc w:val="center"/>
        <w:rPr>
          <w:rFonts w:ascii="Times New Roman" w:hAnsi="Times New Roman" w:cs="Times New Roman"/>
          <w:sz w:val="24"/>
          <w:szCs w:val="24"/>
        </w:rPr>
      </w:pPr>
      <w:r w:rsidRPr="00AA2949">
        <w:rPr>
          <w:rFonts w:ascii="Times New Roman" w:hAnsi="Times New Roman" w:cs="Times New Roman"/>
          <w:sz w:val="24"/>
          <w:szCs w:val="24"/>
        </w:rPr>
        <w:t>Chapter 4.1</w:t>
      </w:r>
      <w:r w:rsidR="003D4A69" w:rsidRPr="00AA2949">
        <w:rPr>
          <w:rFonts w:ascii="Times New Roman" w:hAnsi="Times New Roman" w:cs="Times New Roman"/>
          <w:sz w:val="24"/>
          <w:szCs w:val="24"/>
        </w:rPr>
        <w:t>4</w:t>
      </w:r>
    </w:p>
    <w:p w:rsidR="00F979B4" w:rsidRPr="00AA2949" w:rsidRDefault="00F979B4" w:rsidP="00F979B4">
      <w:pPr>
        <w:spacing w:after="0" w:line="240" w:lineRule="auto"/>
        <w:jc w:val="center"/>
        <w:rPr>
          <w:rFonts w:ascii="Times New Roman" w:hAnsi="Times New Roman" w:cs="Times New Roman"/>
          <w:sz w:val="24"/>
          <w:szCs w:val="24"/>
        </w:rPr>
      </w:pPr>
    </w:p>
    <w:p w:rsidR="00F979B4" w:rsidRPr="00AA2949" w:rsidRDefault="00F979B4" w:rsidP="00F979B4">
      <w:pPr>
        <w:spacing w:after="0" w:line="240" w:lineRule="auto"/>
        <w:jc w:val="center"/>
        <w:rPr>
          <w:rFonts w:ascii="Times New Roman" w:hAnsi="Times New Roman" w:cs="Times New Roman"/>
          <w:b/>
          <w:sz w:val="24"/>
          <w:szCs w:val="24"/>
        </w:rPr>
      </w:pPr>
      <w:r w:rsidRPr="00AA2949">
        <w:rPr>
          <w:rFonts w:ascii="Times New Roman" w:hAnsi="Times New Roman" w:cs="Times New Roman"/>
          <w:b/>
          <w:sz w:val="24"/>
          <w:szCs w:val="24"/>
        </w:rPr>
        <w:t>NICOLA WALSHE, ELSA LEE, DANIELLE LLOYD AND RUTH SAPSED</w:t>
      </w:r>
    </w:p>
    <w:p w:rsidR="00F979B4" w:rsidRPr="00AA2949" w:rsidRDefault="00F979B4" w:rsidP="00F979B4">
      <w:pPr>
        <w:pStyle w:val="Newparagraph"/>
        <w:spacing w:line="240" w:lineRule="auto"/>
        <w:ind w:firstLine="0"/>
        <w:jc w:val="center"/>
        <w:rPr>
          <w:b/>
        </w:rPr>
      </w:pPr>
    </w:p>
    <w:p w:rsidR="00AB68A8" w:rsidRPr="00AA2949" w:rsidRDefault="00F979B4" w:rsidP="00F979B4">
      <w:pPr>
        <w:pStyle w:val="Newparagraph"/>
        <w:spacing w:line="240" w:lineRule="auto"/>
        <w:ind w:firstLine="0"/>
        <w:jc w:val="center"/>
        <w:rPr>
          <w:b/>
        </w:rPr>
      </w:pPr>
      <w:bookmarkStart w:id="0" w:name="_Hlk17032449"/>
      <w:r w:rsidRPr="00AA2949">
        <w:rPr>
          <w:b/>
        </w:rPr>
        <w:t>STEM TO STEAM AS AN APPROACH TO HUMAN DEVELOPMENT</w:t>
      </w:r>
      <w:bookmarkEnd w:id="0"/>
      <w:r w:rsidRPr="00AA2949">
        <w:rPr>
          <w:b/>
        </w:rPr>
        <w:t>: THE POTENTIAL OF ARTS PRACTICES FOR SUPPORTING WELLBEING</w:t>
      </w:r>
    </w:p>
    <w:p w:rsidR="00AB68A8" w:rsidRPr="00AA2949" w:rsidRDefault="00AB68A8" w:rsidP="00F979B4">
      <w:pPr>
        <w:spacing w:after="0" w:line="240" w:lineRule="auto"/>
        <w:jc w:val="center"/>
        <w:rPr>
          <w:rFonts w:ascii="Times New Roman" w:hAnsi="Times New Roman" w:cs="Times New Roman"/>
          <w:sz w:val="24"/>
          <w:szCs w:val="24"/>
        </w:rPr>
      </w:pPr>
    </w:p>
    <w:p w:rsidR="00AB68A8" w:rsidRPr="00AA2949" w:rsidRDefault="00AB68A8" w:rsidP="00F979B4">
      <w:pPr>
        <w:spacing w:after="0" w:line="240" w:lineRule="auto"/>
        <w:jc w:val="center"/>
        <w:rPr>
          <w:rFonts w:ascii="Times New Roman" w:hAnsi="Times New Roman" w:cs="Times New Roman"/>
          <w:i/>
          <w:sz w:val="24"/>
          <w:szCs w:val="24"/>
        </w:rPr>
      </w:pPr>
      <w:r w:rsidRPr="00AA2949">
        <w:rPr>
          <w:rFonts w:ascii="Times New Roman" w:hAnsi="Times New Roman" w:cs="Times New Roman"/>
          <w:i/>
          <w:sz w:val="24"/>
          <w:szCs w:val="24"/>
        </w:rPr>
        <w:t>Anglia Ruskin University, University of Cambridge</w:t>
      </w:r>
      <w:r w:rsidR="003D4A69" w:rsidRPr="00AA2949">
        <w:rPr>
          <w:rFonts w:ascii="Times New Roman" w:hAnsi="Times New Roman" w:cs="Times New Roman"/>
          <w:i/>
          <w:sz w:val="24"/>
          <w:szCs w:val="24"/>
        </w:rPr>
        <w:t>,</w:t>
      </w:r>
      <w:r w:rsidR="00F979B4" w:rsidRPr="00AA2949">
        <w:rPr>
          <w:rFonts w:ascii="Times New Roman" w:hAnsi="Times New Roman" w:cs="Times New Roman"/>
          <w:i/>
          <w:sz w:val="24"/>
          <w:szCs w:val="24"/>
        </w:rPr>
        <w:t xml:space="preserve"> and </w:t>
      </w:r>
      <w:r w:rsidRPr="00AA2949">
        <w:rPr>
          <w:rFonts w:ascii="Times New Roman" w:hAnsi="Times New Roman" w:cs="Times New Roman"/>
          <w:i/>
          <w:sz w:val="24"/>
          <w:szCs w:val="24"/>
        </w:rPr>
        <w:t>Cambridge Curiosity and Imagination</w:t>
      </w:r>
      <w:r w:rsidR="00F979B4" w:rsidRPr="00AA2949">
        <w:rPr>
          <w:rFonts w:ascii="Times New Roman" w:hAnsi="Times New Roman" w:cs="Times New Roman"/>
          <w:i/>
          <w:sz w:val="24"/>
          <w:szCs w:val="24"/>
        </w:rPr>
        <w:t>, United Kingdom</w:t>
      </w:r>
    </w:p>
    <w:p w:rsidR="00AB68A8" w:rsidRPr="00AA2949" w:rsidRDefault="00AB68A8" w:rsidP="00F979B4">
      <w:pPr>
        <w:spacing w:after="0" w:line="240" w:lineRule="auto"/>
        <w:jc w:val="both"/>
        <w:rPr>
          <w:rFonts w:ascii="Times New Roman" w:hAnsi="Times New Roman" w:cs="Times New Roman"/>
          <w:sz w:val="24"/>
          <w:szCs w:val="24"/>
        </w:rPr>
      </w:pPr>
    </w:p>
    <w:p w:rsidR="00F979B4" w:rsidRPr="00AA2949" w:rsidRDefault="00F979B4" w:rsidP="00F979B4">
      <w:pPr>
        <w:spacing w:after="0" w:line="240" w:lineRule="auto"/>
        <w:jc w:val="both"/>
        <w:rPr>
          <w:rFonts w:ascii="Times New Roman" w:hAnsi="Times New Roman" w:cs="Times New Roman"/>
          <w:sz w:val="24"/>
          <w:szCs w:val="24"/>
        </w:rPr>
      </w:pPr>
    </w:p>
    <w:p w:rsidR="00AB68A8" w:rsidRPr="00AA2949" w:rsidRDefault="00AB68A8" w:rsidP="00F979B4">
      <w:pPr>
        <w:spacing w:after="0" w:line="240" w:lineRule="auto"/>
        <w:jc w:val="center"/>
        <w:rPr>
          <w:rFonts w:ascii="Times New Roman" w:hAnsi="Times New Roman" w:cs="Times New Roman"/>
          <w:sz w:val="24"/>
          <w:szCs w:val="24"/>
        </w:rPr>
      </w:pPr>
      <w:r w:rsidRPr="00AA2949">
        <w:rPr>
          <w:rFonts w:ascii="Times New Roman" w:hAnsi="Times New Roman" w:cs="Times New Roman"/>
          <w:sz w:val="24"/>
          <w:szCs w:val="24"/>
        </w:rPr>
        <w:t>ABSTRACT</w:t>
      </w:r>
    </w:p>
    <w:p w:rsidR="00F979B4" w:rsidRPr="00AA2949" w:rsidRDefault="00F979B4" w:rsidP="00F979B4">
      <w:pPr>
        <w:spacing w:after="0" w:line="240" w:lineRule="auto"/>
        <w:jc w:val="both"/>
        <w:rPr>
          <w:rFonts w:ascii="Times New Roman" w:hAnsi="Times New Roman" w:cs="Times New Roman"/>
          <w:sz w:val="24"/>
          <w:szCs w:val="24"/>
        </w:rPr>
      </w:pPr>
    </w:p>
    <w:p w:rsidR="00AB68A8" w:rsidRPr="00AA2949" w:rsidRDefault="00AB68A8" w:rsidP="00F979B4">
      <w:pPr>
        <w:spacing w:after="0" w:line="240" w:lineRule="auto"/>
        <w:jc w:val="both"/>
        <w:rPr>
          <w:rFonts w:ascii="Times New Roman" w:hAnsi="Times New Roman" w:cs="Times New Roman"/>
          <w:sz w:val="24"/>
          <w:szCs w:val="24"/>
        </w:rPr>
      </w:pPr>
      <w:r w:rsidRPr="00AA2949">
        <w:rPr>
          <w:rFonts w:ascii="Times New Roman" w:hAnsi="Times New Roman" w:cs="Times New Roman"/>
          <w:sz w:val="24"/>
          <w:szCs w:val="24"/>
        </w:rPr>
        <w:t xml:space="preserve">The National Science Foundation conceived the term STEM with an emphasis on the links between economic prosperity and knowledge-intensive jobs </w:t>
      </w:r>
      <w:r w:rsidR="003D4A69" w:rsidRPr="00AA2949">
        <w:rPr>
          <w:rFonts w:ascii="Times New Roman" w:hAnsi="Times New Roman" w:cs="Times New Roman"/>
          <w:sz w:val="24"/>
          <w:szCs w:val="24"/>
        </w:rPr>
        <w:t xml:space="preserve">that are </w:t>
      </w:r>
      <w:r w:rsidRPr="00AA2949">
        <w:rPr>
          <w:rFonts w:ascii="Times New Roman" w:hAnsi="Times New Roman" w:cs="Times New Roman"/>
          <w:sz w:val="24"/>
          <w:szCs w:val="24"/>
        </w:rPr>
        <w:t>dependent on science and technology. As such, traditionally STEM subject initiatives have align</w:t>
      </w:r>
      <w:r w:rsidR="00F979B4" w:rsidRPr="00AA2949">
        <w:rPr>
          <w:rFonts w:ascii="Times New Roman" w:hAnsi="Times New Roman" w:cs="Times New Roman"/>
          <w:sz w:val="24"/>
          <w:szCs w:val="24"/>
        </w:rPr>
        <w:t>ed</w:t>
      </w:r>
      <w:r w:rsidRPr="00AA2949">
        <w:rPr>
          <w:rFonts w:ascii="Times New Roman" w:hAnsi="Times New Roman" w:cs="Times New Roman"/>
          <w:sz w:val="24"/>
          <w:szCs w:val="24"/>
        </w:rPr>
        <w:t xml:space="preserve"> with and facilitat</w:t>
      </w:r>
      <w:r w:rsidR="00F979B4" w:rsidRPr="00AA2949">
        <w:rPr>
          <w:rFonts w:ascii="Times New Roman" w:hAnsi="Times New Roman" w:cs="Times New Roman"/>
          <w:sz w:val="24"/>
          <w:szCs w:val="24"/>
        </w:rPr>
        <w:t>ed</w:t>
      </w:r>
      <w:r w:rsidRPr="00AA2949">
        <w:rPr>
          <w:rFonts w:ascii="Times New Roman" w:hAnsi="Times New Roman" w:cs="Times New Roman"/>
          <w:sz w:val="24"/>
          <w:szCs w:val="24"/>
        </w:rPr>
        <w:t xml:space="preserve"> a largely economic conceptualisation of human and social development. It seems likely that the wellbeing crisis that we are experiencing in the </w:t>
      </w:r>
      <w:r w:rsidR="00F979B4" w:rsidRPr="00AA2949">
        <w:rPr>
          <w:rFonts w:ascii="Times New Roman" w:hAnsi="Times New Roman" w:cs="Times New Roman"/>
          <w:sz w:val="24"/>
          <w:szCs w:val="24"/>
        </w:rPr>
        <w:t>W</w:t>
      </w:r>
      <w:r w:rsidRPr="00AA2949">
        <w:rPr>
          <w:rFonts w:ascii="Times New Roman" w:hAnsi="Times New Roman" w:cs="Times New Roman"/>
          <w:sz w:val="24"/>
          <w:szCs w:val="24"/>
        </w:rPr>
        <w:t>est is linked to this. This is compounded by the ris</w:t>
      </w:r>
      <w:r w:rsidRPr="00AA2949">
        <w:rPr>
          <w:rFonts w:ascii="Times New Roman" w:hAnsi="Times New Roman" w:cs="Times New Roman"/>
          <w:sz w:val="24"/>
          <w:szCs w:val="24"/>
          <w:shd w:val="clear" w:color="auto" w:fill="FFFFFF"/>
        </w:rPr>
        <w:t>ing influence of technology which has facilitated what is sometimes called the indoorisation of children,</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 xml:space="preserve">and the raised levels of parental concern about safety; </w:t>
      </w:r>
      <w:r w:rsidR="00304D34" w:rsidRPr="00AA2949">
        <w:rPr>
          <w:rFonts w:ascii="Times New Roman" w:hAnsi="Times New Roman" w:cs="Times New Roman"/>
          <w:sz w:val="24"/>
          <w:szCs w:val="24"/>
          <w:shd w:val="clear" w:color="auto" w:fill="FFFFFF"/>
        </w:rPr>
        <w:t xml:space="preserve">from this follows an </w:t>
      </w:r>
      <w:r w:rsidRPr="00AA2949">
        <w:rPr>
          <w:rFonts w:ascii="Times New Roman" w:hAnsi="Times New Roman" w:cs="Times New Roman"/>
          <w:sz w:val="24"/>
          <w:szCs w:val="24"/>
          <w:shd w:val="clear" w:color="auto" w:fill="FFFFFF"/>
        </w:rPr>
        <w:t>associated sense of disenfranchisement</w:t>
      </w:r>
      <w:r w:rsidR="00C746B9" w:rsidRPr="00AA2949">
        <w:rPr>
          <w:rFonts w:ascii="Times New Roman" w:hAnsi="Times New Roman" w:cs="Times New Roman"/>
          <w:sz w:val="24"/>
          <w:szCs w:val="24"/>
          <w:shd w:val="clear" w:color="auto" w:fill="FFFFFF"/>
        </w:rPr>
        <w:t xml:space="preserve"> for children</w:t>
      </w:r>
      <w:r w:rsidRPr="00AA2949">
        <w:rPr>
          <w:rFonts w:ascii="Times New Roman" w:hAnsi="Times New Roman" w:cs="Times New Roman"/>
          <w:sz w:val="24"/>
          <w:szCs w:val="24"/>
          <w:shd w:val="clear" w:color="auto" w:fill="FFFFFF"/>
        </w:rPr>
        <w:t>, with consequences for their wellbeing and happiness.</w:t>
      </w:r>
    </w:p>
    <w:p w:rsidR="00AB68A8" w:rsidRPr="00AA2949" w:rsidRDefault="00AB68A8" w:rsidP="00F979B4">
      <w:pPr>
        <w:spacing w:after="0" w:line="240" w:lineRule="auto"/>
        <w:ind w:firstLine="709"/>
        <w:jc w:val="both"/>
        <w:rPr>
          <w:rFonts w:ascii="Times New Roman" w:hAnsi="Times New Roman" w:cs="Times New Roman"/>
          <w:sz w:val="24"/>
          <w:szCs w:val="24"/>
        </w:rPr>
      </w:pPr>
      <w:r w:rsidRPr="00AA2949">
        <w:rPr>
          <w:rFonts w:ascii="Times New Roman" w:hAnsi="Times New Roman" w:cs="Times New Roman"/>
          <w:sz w:val="24"/>
          <w:szCs w:val="24"/>
          <w:shd w:val="clear" w:color="auto" w:fill="FFFFFF"/>
        </w:rPr>
        <w:t xml:space="preserve">This chapter </w:t>
      </w:r>
      <w:r w:rsidR="00F979B4" w:rsidRPr="00AA2949">
        <w:rPr>
          <w:rFonts w:ascii="Times New Roman" w:hAnsi="Times New Roman" w:cs="Times New Roman"/>
          <w:sz w:val="24"/>
          <w:szCs w:val="24"/>
          <w:shd w:val="clear" w:color="auto" w:fill="FFFFFF"/>
        </w:rPr>
        <w:t>begins with</w:t>
      </w:r>
      <w:r w:rsidRPr="00AA2949">
        <w:rPr>
          <w:rFonts w:ascii="Times New Roman" w:hAnsi="Times New Roman" w:cs="Times New Roman"/>
          <w:sz w:val="24"/>
          <w:szCs w:val="24"/>
          <w:shd w:val="clear" w:color="auto" w:fill="FFFFFF"/>
        </w:rPr>
        <w:t xml:space="preserve"> an overview of the impact of STEM on wellbeing, arguing that a focus on human development after Sen and Nussbaum </w:t>
      </w:r>
      <w:r w:rsidR="00F979B4" w:rsidRPr="00AA2949">
        <w:rPr>
          <w:rFonts w:ascii="Times New Roman" w:hAnsi="Times New Roman" w:cs="Times New Roman"/>
          <w:sz w:val="24"/>
          <w:szCs w:val="24"/>
          <w:shd w:val="clear" w:color="auto" w:fill="FFFFFF"/>
        </w:rPr>
        <w:t xml:space="preserve">is </w:t>
      </w:r>
      <w:r w:rsidRPr="00AA2949">
        <w:rPr>
          <w:rFonts w:ascii="Times New Roman" w:hAnsi="Times New Roman" w:cs="Times New Roman"/>
          <w:sz w:val="24"/>
          <w:szCs w:val="24"/>
          <w:shd w:val="clear" w:color="auto" w:fill="FFFFFF"/>
        </w:rPr>
        <w:t>a more holistic approach to understanding wellbeing</w:t>
      </w:r>
      <w:r w:rsidR="00F979B4" w:rsidRPr="00AA2949">
        <w:rPr>
          <w:rFonts w:ascii="Times New Roman" w:hAnsi="Times New Roman" w:cs="Times New Roman"/>
          <w:sz w:val="24"/>
          <w:szCs w:val="24"/>
          <w:shd w:val="clear" w:color="auto" w:fill="FFFFFF"/>
        </w:rPr>
        <w:t>.</w:t>
      </w:r>
      <w:r w:rsidRPr="00AA2949">
        <w:rPr>
          <w:rFonts w:ascii="Times New Roman" w:hAnsi="Times New Roman" w:cs="Times New Roman"/>
          <w:sz w:val="24"/>
          <w:szCs w:val="24"/>
          <w:shd w:val="clear" w:color="auto" w:fill="FFFFFF"/>
        </w:rPr>
        <w:t xml:space="preserve"> </w:t>
      </w:r>
      <w:r w:rsidR="00F979B4" w:rsidRPr="00AA2949">
        <w:rPr>
          <w:rFonts w:ascii="Times New Roman" w:hAnsi="Times New Roman" w:cs="Times New Roman"/>
          <w:sz w:val="24"/>
          <w:szCs w:val="24"/>
          <w:shd w:val="clear" w:color="auto" w:fill="FFFFFF"/>
        </w:rPr>
        <w:t>In this</w:t>
      </w:r>
      <w:r w:rsidRPr="00AA2949">
        <w:rPr>
          <w:rFonts w:ascii="Times New Roman" w:hAnsi="Times New Roman" w:cs="Times New Roman"/>
          <w:sz w:val="24"/>
          <w:szCs w:val="24"/>
          <w:shd w:val="clear" w:color="auto" w:fill="FFFFFF"/>
        </w:rPr>
        <w:t xml:space="preserve"> understanding</w:t>
      </w:r>
      <w:r w:rsidR="00F979B4" w:rsidRPr="00AA2949">
        <w:rPr>
          <w:rFonts w:ascii="Times New Roman" w:hAnsi="Times New Roman" w:cs="Times New Roman"/>
          <w:sz w:val="24"/>
          <w:szCs w:val="24"/>
          <w:shd w:val="clear" w:color="auto" w:fill="FFFFFF"/>
        </w:rPr>
        <w:t>,</w:t>
      </w:r>
      <w:r w:rsidRPr="00AA2949">
        <w:rPr>
          <w:rFonts w:ascii="Times New Roman" w:hAnsi="Times New Roman" w:cs="Times New Roman"/>
          <w:sz w:val="24"/>
          <w:szCs w:val="24"/>
          <w:shd w:val="clear" w:color="auto" w:fill="FFFFFF"/>
        </w:rPr>
        <w:t xml:space="preserve"> wellbeing arises from an </w:t>
      </w:r>
      <w:r w:rsidR="00D91CFE" w:rsidRPr="00AA2949">
        <w:rPr>
          <w:rFonts w:ascii="Times New Roman" w:hAnsi="Times New Roman" w:cs="Times New Roman"/>
          <w:i/>
          <w:sz w:val="24"/>
          <w:szCs w:val="24"/>
          <w:shd w:val="clear" w:color="auto" w:fill="FFFFFF"/>
        </w:rPr>
        <w:t>entanglement</w:t>
      </w:r>
      <w:r w:rsidRPr="00AA2949">
        <w:rPr>
          <w:rFonts w:ascii="Times New Roman" w:hAnsi="Times New Roman" w:cs="Times New Roman"/>
          <w:sz w:val="24"/>
          <w:szCs w:val="24"/>
          <w:shd w:val="clear" w:color="auto" w:fill="FFFFFF"/>
        </w:rPr>
        <w:t xml:space="preserve"> of threads representing the different elements of an individual’s life, such as their physical health, their social networks, their access to wild, natural and outdoor spaces, and so forth. </w:t>
      </w:r>
      <w:r w:rsidR="00F979B4" w:rsidRPr="00AA2949">
        <w:rPr>
          <w:rFonts w:ascii="Times New Roman" w:hAnsi="Times New Roman" w:cs="Times New Roman"/>
          <w:sz w:val="24"/>
          <w:szCs w:val="24"/>
          <w:shd w:val="clear" w:color="auto" w:fill="FFFFFF"/>
        </w:rPr>
        <w:t xml:space="preserve">This chapter </w:t>
      </w:r>
      <w:r w:rsidRPr="00AA2949">
        <w:rPr>
          <w:rFonts w:ascii="Times New Roman" w:hAnsi="Times New Roman" w:cs="Times New Roman"/>
          <w:sz w:val="24"/>
          <w:szCs w:val="24"/>
          <w:shd w:val="clear" w:color="auto" w:fill="FFFFFF"/>
        </w:rPr>
        <w:t>focus</w:t>
      </w:r>
      <w:r w:rsidR="00F979B4" w:rsidRPr="00AA2949">
        <w:rPr>
          <w:rFonts w:ascii="Times New Roman" w:hAnsi="Times New Roman" w:cs="Times New Roman"/>
          <w:sz w:val="24"/>
          <w:szCs w:val="24"/>
          <w:shd w:val="clear" w:color="auto" w:fill="FFFFFF"/>
        </w:rPr>
        <w:t>es</w:t>
      </w:r>
      <w:r w:rsidRPr="00AA2949">
        <w:rPr>
          <w:rFonts w:ascii="Times New Roman" w:hAnsi="Times New Roman" w:cs="Times New Roman"/>
          <w:sz w:val="24"/>
          <w:szCs w:val="24"/>
          <w:shd w:val="clear" w:color="auto" w:fill="FFFFFF"/>
        </w:rPr>
        <w:t xml:space="preserve"> specifically on this access to wild, natural and outdoor spaces</w:t>
      </w:r>
      <w:r w:rsidR="00920BD3" w:rsidRPr="00AA2949">
        <w:rPr>
          <w:rFonts w:ascii="Times New Roman" w:hAnsi="Times New Roman" w:cs="Times New Roman"/>
          <w:sz w:val="24"/>
          <w:szCs w:val="24"/>
          <w:shd w:val="clear" w:color="auto" w:fill="FFFFFF"/>
        </w:rPr>
        <w:t xml:space="preserve"> (using the arts and arts-based research to mediate this access)</w:t>
      </w:r>
      <w:r w:rsidRPr="00AA2949">
        <w:rPr>
          <w:rFonts w:ascii="Times New Roman" w:hAnsi="Times New Roman" w:cs="Times New Roman"/>
          <w:sz w:val="24"/>
          <w:szCs w:val="24"/>
          <w:shd w:val="clear" w:color="auto" w:fill="FFFFFF"/>
        </w:rPr>
        <w:t xml:space="preserve"> to consider how the capability approach provides a f</w:t>
      </w:r>
      <w:r w:rsidR="00C13724" w:rsidRPr="00AA2949">
        <w:rPr>
          <w:rFonts w:ascii="Times New Roman" w:hAnsi="Times New Roman" w:cs="Times New Roman"/>
          <w:sz w:val="24"/>
          <w:szCs w:val="24"/>
          <w:shd w:val="clear" w:color="auto" w:fill="FFFFFF"/>
        </w:rPr>
        <w:t xml:space="preserve">oundation for </w:t>
      </w:r>
      <w:r w:rsidRPr="00AA2949">
        <w:rPr>
          <w:rFonts w:ascii="Times New Roman" w:hAnsi="Times New Roman" w:cs="Times New Roman"/>
          <w:sz w:val="24"/>
          <w:szCs w:val="24"/>
          <w:shd w:val="clear" w:color="auto" w:fill="FFFFFF"/>
        </w:rPr>
        <w:t>a broadly conceived notion of wellbeing that incorporates environmental sustainability, social justice and future economic wellbeing</w:t>
      </w:r>
      <w:r w:rsidR="00920BD3"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 xml:space="preserve">Nussbaum’s list of capabilities </w:t>
      </w:r>
      <w:r w:rsidR="00F979B4" w:rsidRPr="00AA2949">
        <w:rPr>
          <w:rFonts w:ascii="Times New Roman" w:hAnsi="Times New Roman" w:cs="Times New Roman"/>
          <w:sz w:val="24"/>
          <w:szCs w:val="24"/>
          <w:shd w:val="clear" w:color="auto" w:fill="FFFFFF"/>
        </w:rPr>
        <w:t xml:space="preserve">is used </w:t>
      </w:r>
      <w:r w:rsidRPr="00AA2949">
        <w:rPr>
          <w:rFonts w:ascii="Times New Roman" w:hAnsi="Times New Roman" w:cs="Times New Roman"/>
          <w:sz w:val="24"/>
          <w:szCs w:val="24"/>
        </w:rPr>
        <w:t xml:space="preserve">as a framework with which to analyse focus group data from artists working with </w:t>
      </w:r>
      <w:r w:rsidR="00F979B4" w:rsidRPr="00AA2949">
        <w:rPr>
          <w:rFonts w:ascii="Times New Roman" w:hAnsi="Times New Roman" w:cs="Times New Roman"/>
          <w:sz w:val="24"/>
          <w:szCs w:val="24"/>
        </w:rPr>
        <w:t xml:space="preserve">the </w:t>
      </w:r>
      <w:r w:rsidRPr="00AA2949">
        <w:rPr>
          <w:rFonts w:ascii="Times New Roman" w:hAnsi="Times New Roman" w:cs="Times New Roman"/>
          <w:sz w:val="24"/>
          <w:szCs w:val="24"/>
        </w:rPr>
        <w:t xml:space="preserve">arts-based charity Cambridge Curiosity and Imagination. The chapter concludes by considering how working with artists as co-researchers and how the co-development of artwork between children and artists might </w:t>
      </w:r>
      <w:r w:rsidR="00C13724" w:rsidRPr="00AA2949">
        <w:rPr>
          <w:rFonts w:ascii="Times New Roman" w:hAnsi="Times New Roman" w:cs="Times New Roman"/>
          <w:sz w:val="24"/>
          <w:szCs w:val="24"/>
        </w:rPr>
        <w:t>expose</w:t>
      </w:r>
      <w:r w:rsidRPr="00AA2949">
        <w:rPr>
          <w:rFonts w:ascii="Times New Roman" w:hAnsi="Times New Roman" w:cs="Times New Roman"/>
          <w:sz w:val="24"/>
          <w:szCs w:val="24"/>
        </w:rPr>
        <w:t xml:space="preserve"> a more holistic understanding of </w:t>
      </w:r>
      <w:r w:rsidR="00F979B4" w:rsidRPr="00AA2949">
        <w:rPr>
          <w:rFonts w:ascii="Times New Roman" w:hAnsi="Times New Roman" w:cs="Times New Roman"/>
          <w:sz w:val="24"/>
          <w:szCs w:val="24"/>
        </w:rPr>
        <w:t xml:space="preserve">the </w:t>
      </w:r>
      <w:r w:rsidR="00D91CFE" w:rsidRPr="00AA2949">
        <w:rPr>
          <w:rFonts w:ascii="Times New Roman" w:hAnsi="Times New Roman" w:cs="Times New Roman"/>
          <w:sz w:val="24"/>
          <w:szCs w:val="24"/>
        </w:rPr>
        <w:t xml:space="preserve">entangled </w:t>
      </w:r>
      <w:r w:rsidRPr="00AA2949">
        <w:rPr>
          <w:rFonts w:ascii="Times New Roman" w:hAnsi="Times New Roman" w:cs="Times New Roman"/>
          <w:sz w:val="24"/>
          <w:szCs w:val="24"/>
        </w:rPr>
        <w:t>roles of art and wild/natural/ou</w:t>
      </w:r>
      <w:r w:rsidR="00F55BF7" w:rsidRPr="00AA2949">
        <w:rPr>
          <w:rFonts w:ascii="Times New Roman" w:hAnsi="Times New Roman" w:cs="Times New Roman"/>
          <w:sz w:val="24"/>
          <w:szCs w:val="24"/>
        </w:rPr>
        <w:t>t</w:t>
      </w:r>
      <w:r w:rsidRPr="00AA2949">
        <w:rPr>
          <w:rFonts w:ascii="Times New Roman" w:hAnsi="Times New Roman" w:cs="Times New Roman"/>
          <w:sz w:val="24"/>
          <w:szCs w:val="24"/>
        </w:rPr>
        <w:t>door spaces in the wellbeing of young people</w:t>
      </w:r>
      <w:r w:rsidRPr="00AA2949">
        <w:rPr>
          <w:rFonts w:ascii="Times New Roman" w:hAnsi="Times New Roman" w:cs="Times New Roman"/>
          <w:sz w:val="24"/>
          <w:szCs w:val="24"/>
          <w:shd w:val="clear" w:color="auto" w:fill="FFFFFF"/>
        </w:rPr>
        <w:t>.</w:t>
      </w:r>
      <w:r w:rsidR="00F979B4" w:rsidRPr="00AA2949">
        <w:rPr>
          <w:rFonts w:ascii="Times New Roman" w:hAnsi="Times New Roman" w:cs="Times New Roman"/>
          <w:sz w:val="24"/>
          <w:szCs w:val="24"/>
          <w:shd w:val="clear" w:color="auto" w:fill="FFFFFF"/>
        </w:rPr>
        <w:t xml:space="preserve"> </w:t>
      </w:r>
      <w:r w:rsidR="00C13724" w:rsidRPr="00AA2949">
        <w:rPr>
          <w:rFonts w:ascii="Times New Roman" w:hAnsi="Times New Roman" w:cs="Times New Roman"/>
          <w:sz w:val="24"/>
          <w:szCs w:val="24"/>
          <w:shd w:val="clear" w:color="auto" w:fill="FFFFFF"/>
        </w:rPr>
        <w:t xml:space="preserve">In so doing </w:t>
      </w:r>
      <w:r w:rsidR="00F979B4" w:rsidRPr="00AA2949">
        <w:rPr>
          <w:rFonts w:ascii="Times New Roman" w:hAnsi="Times New Roman" w:cs="Times New Roman"/>
          <w:sz w:val="24"/>
          <w:szCs w:val="24"/>
          <w:shd w:val="clear" w:color="auto" w:fill="FFFFFF"/>
        </w:rPr>
        <w:t>the chapter</w:t>
      </w:r>
      <w:r w:rsidR="00C13724" w:rsidRPr="00AA2949">
        <w:rPr>
          <w:rFonts w:ascii="Times New Roman" w:hAnsi="Times New Roman" w:cs="Times New Roman"/>
          <w:sz w:val="24"/>
          <w:szCs w:val="24"/>
          <w:shd w:val="clear" w:color="auto" w:fill="FFFFFF"/>
        </w:rPr>
        <w:t xml:space="preserve"> add</w:t>
      </w:r>
      <w:r w:rsidR="00F979B4" w:rsidRPr="00AA2949">
        <w:rPr>
          <w:rFonts w:ascii="Times New Roman" w:hAnsi="Times New Roman" w:cs="Times New Roman"/>
          <w:sz w:val="24"/>
          <w:szCs w:val="24"/>
          <w:shd w:val="clear" w:color="auto" w:fill="FFFFFF"/>
        </w:rPr>
        <w:t>s</w:t>
      </w:r>
      <w:r w:rsidR="00C13724" w:rsidRPr="00AA2949">
        <w:rPr>
          <w:rFonts w:ascii="Times New Roman" w:hAnsi="Times New Roman" w:cs="Times New Roman"/>
          <w:sz w:val="24"/>
          <w:szCs w:val="24"/>
          <w:shd w:val="clear" w:color="auto" w:fill="FFFFFF"/>
        </w:rPr>
        <w:t xml:space="preserve"> to conceptualisations of childhoodnature which seek to demonstrate that children and nature are inextricably linked through shared </w:t>
      </w:r>
      <w:r w:rsidR="00C746B9" w:rsidRPr="00AA2949">
        <w:rPr>
          <w:rFonts w:ascii="Times New Roman" w:hAnsi="Times New Roman" w:cs="Times New Roman"/>
          <w:sz w:val="24"/>
          <w:szCs w:val="24"/>
          <w:shd w:val="clear" w:color="auto" w:fill="FFFFFF"/>
        </w:rPr>
        <w:t>characteristics</w:t>
      </w:r>
      <w:r w:rsidR="00016C95" w:rsidRPr="00AA2949">
        <w:rPr>
          <w:rFonts w:ascii="Times New Roman" w:hAnsi="Times New Roman" w:cs="Times New Roman"/>
          <w:sz w:val="24"/>
          <w:szCs w:val="24"/>
        </w:rPr>
        <w:t xml:space="preserve"> such as freedom and a non</w:t>
      </w:r>
      <w:r w:rsidR="00F979B4" w:rsidRPr="00AA2949">
        <w:rPr>
          <w:rFonts w:ascii="Times New Roman" w:hAnsi="Times New Roman" w:cs="Times New Roman"/>
          <w:sz w:val="24"/>
          <w:szCs w:val="24"/>
        </w:rPr>
        <w:t>-</w:t>
      </w:r>
      <w:r w:rsidR="00016C95" w:rsidRPr="00AA2949">
        <w:rPr>
          <w:rFonts w:ascii="Times New Roman" w:hAnsi="Times New Roman" w:cs="Times New Roman"/>
          <w:sz w:val="24"/>
          <w:szCs w:val="24"/>
        </w:rPr>
        <w:t xml:space="preserve">linear view of time. </w:t>
      </w:r>
    </w:p>
    <w:p w:rsidR="00AB68A8" w:rsidRPr="00AA2949" w:rsidRDefault="00AB68A8" w:rsidP="00F979B4">
      <w:pPr>
        <w:spacing w:after="0" w:line="240" w:lineRule="auto"/>
        <w:rPr>
          <w:rFonts w:ascii="Times New Roman" w:hAnsi="Times New Roman" w:cs="Times New Roman"/>
          <w:i/>
          <w:sz w:val="24"/>
          <w:szCs w:val="24"/>
        </w:rPr>
      </w:pPr>
    </w:p>
    <w:p w:rsidR="00AB68A8" w:rsidRPr="00AA2949" w:rsidRDefault="00AB68A8" w:rsidP="00F979B4">
      <w:pPr>
        <w:spacing w:after="0" w:line="240" w:lineRule="auto"/>
        <w:rPr>
          <w:rFonts w:ascii="Times New Roman" w:hAnsi="Times New Roman" w:cs="Times New Roman"/>
          <w:sz w:val="24"/>
          <w:szCs w:val="24"/>
        </w:rPr>
      </w:pPr>
      <w:r w:rsidRPr="00AA2949">
        <w:rPr>
          <w:rFonts w:ascii="Times New Roman" w:hAnsi="Times New Roman" w:cs="Times New Roman"/>
          <w:i/>
          <w:sz w:val="24"/>
          <w:szCs w:val="24"/>
        </w:rPr>
        <w:t>Key</w:t>
      </w:r>
      <w:r w:rsidR="00F979B4" w:rsidRPr="00AA2949">
        <w:rPr>
          <w:rFonts w:ascii="Times New Roman" w:hAnsi="Times New Roman" w:cs="Times New Roman"/>
          <w:i/>
          <w:sz w:val="24"/>
          <w:szCs w:val="24"/>
        </w:rPr>
        <w:t>w</w:t>
      </w:r>
      <w:r w:rsidRPr="00AA2949">
        <w:rPr>
          <w:rFonts w:ascii="Times New Roman" w:hAnsi="Times New Roman" w:cs="Times New Roman"/>
          <w:i/>
          <w:sz w:val="24"/>
          <w:szCs w:val="24"/>
        </w:rPr>
        <w:t>ords:</w:t>
      </w:r>
      <w:r w:rsidRPr="00AA2949">
        <w:rPr>
          <w:rFonts w:ascii="Times New Roman" w:hAnsi="Times New Roman" w:cs="Times New Roman"/>
          <w:sz w:val="24"/>
          <w:szCs w:val="24"/>
        </w:rPr>
        <w:t xml:space="preserve"> </w:t>
      </w:r>
      <w:r w:rsidR="003C51A0">
        <w:rPr>
          <w:rFonts w:ascii="Times New Roman" w:hAnsi="Times New Roman" w:cs="Times New Roman"/>
          <w:sz w:val="24"/>
          <w:szCs w:val="24"/>
        </w:rPr>
        <w:t xml:space="preserve">access to nature, </w:t>
      </w:r>
      <w:r w:rsidR="00F979B4" w:rsidRPr="00AA2949">
        <w:rPr>
          <w:rFonts w:ascii="Times New Roman" w:hAnsi="Times New Roman" w:cs="Times New Roman"/>
          <w:sz w:val="24"/>
          <w:szCs w:val="24"/>
        </w:rPr>
        <w:t xml:space="preserve">arts, capabilities, </w:t>
      </w:r>
      <w:r w:rsidR="003C51A0">
        <w:rPr>
          <w:rFonts w:ascii="Times New Roman" w:hAnsi="Times New Roman" w:cs="Times New Roman"/>
          <w:sz w:val="24"/>
          <w:szCs w:val="24"/>
        </w:rPr>
        <w:t xml:space="preserve">children’s wellbeing, </w:t>
      </w:r>
      <w:r w:rsidR="00F979B4" w:rsidRPr="00AA2949">
        <w:rPr>
          <w:rFonts w:ascii="Times New Roman" w:hAnsi="Times New Roman" w:cs="Times New Roman"/>
          <w:sz w:val="24"/>
          <w:szCs w:val="24"/>
        </w:rPr>
        <w:t xml:space="preserve">eco-capabilities, Nussbaum, </w:t>
      </w:r>
      <w:r w:rsidR="003C51A0">
        <w:rPr>
          <w:rFonts w:ascii="Times New Roman" w:hAnsi="Times New Roman" w:cs="Times New Roman"/>
          <w:sz w:val="24"/>
          <w:szCs w:val="24"/>
        </w:rPr>
        <w:t xml:space="preserve">Sen, STEM, </w:t>
      </w:r>
      <w:r w:rsidRPr="00AA2949">
        <w:rPr>
          <w:rFonts w:ascii="Times New Roman" w:hAnsi="Times New Roman" w:cs="Times New Roman"/>
          <w:sz w:val="24"/>
          <w:szCs w:val="24"/>
        </w:rPr>
        <w:t>wellbeing</w:t>
      </w:r>
    </w:p>
    <w:p w:rsidR="00AB68A8" w:rsidRPr="00AA2949" w:rsidRDefault="00AB68A8" w:rsidP="00F979B4">
      <w:pPr>
        <w:spacing w:after="0" w:line="240" w:lineRule="auto"/>
        <w:jc w:val="both"/>
        <w:rPr>
          <w:rFonts w:ascii="Times New Roman" w:hAnsi="Times New Roman" w:cs="Times New Roman"/>
          <w:color w:val="000000"/>
          <w:sz w:val="24"/>
          <w:szCs w:val="24"/>
        </w:rPr>
      </w:pPr>
    </w:p>
    <w:p w:rsidR="00F979B4" w:rsidRPr="00AA2949" w:rsidRDefault="00F979B4" w:rsidP="00F979B4">
      <w:pPr>
        <w:spacing w:after="0" w:line="240" w:lineRule="auto"/>
        <w:jc w:val="both"/>
        <w:rPr>
          <w:rFonts w:ascii="Times New Roman" w:hAnsi="Times New Roman" w:cs="Times New Roman"/>
          <w:color w:val="000000"/>
          <w:sz w:val="24"/>
          <w:szCs w:val="24"/>
        </w:rPr>
      </w:pPr>
    </w:p>
    <w:p w:rsidR="00AB68A8" w:rsidRPr="00AA2949" w:rsidRDefault="00AB68A8" w:rsidP="00F979B4">
      <w:pPr>
        <w:autoSpaceDE w:val="0"/>
        <w:autoSpaceDN w:val="0"/>
        <w:adjustRightInd w:val="0"/>
        <w:spacing w:after="0" w:line="240" w:lineRule="auto"/>
        <w:jc w:val="center"/>
        <w:rPr>
          <w:rFonts w:ascii="Times New Roman" w:hAnsi="Times New Roman" w:cs="Times New Roman"/>
          <w:color w:val="000000"/>
          <w:sz w:val="24"/>
          <w:szCs w:val="24"/>
        </w:rPr>
      </w:pPr>
      <w:r w:rsidRPr="00AA2949">
        <w:rPr>
          <w:rFonts w:ascii="Times New Roman" w:hAnsi="Times New Roman" w:cs="Times New Roman"/>
          <w:color w:val="000000"/>
          <w:sz w:val="24"/>
          <w:szCs w:val="24"/>
        </w:rPr>
        <w:t>INTRODUCTION</w:t>
      </w:r>
    </w:p>
    <w:p w:rsidR="00AB68A8" w:rsidRPr="00AA2949" w:rsidRDefault="00AB68A8" w:rsidP="00F979B4">
      <w:pPr>
        <w:spacing w:after="0" w:line="240" w:lineRule="auto"/>
        <w:jc w:val="both"/>
        <w:rPr>
          <w:rFonts w:ascii="Times New Roman" w:hAnsi="Times New Roman" w:cs="Times New Roman"/>
          <w:sz w:val="24"/>
          <w:szCs w:val="24"/>
        </w:rPr>
      </w:pPr>
    </w:p>
    <w:p w:rsidR="00305B31" w:rsidRPr="00AA2949" w:rsidRDefault="00305B31" w:rsidP="00F979B4">
      <w:pPr>
        <w:spacing w:after="0" w:line="240" w:lineRule="auto"/>
        <w:jc w:val="both"/>
        <w:rPr>
          <w:rFonts w:ascii="Times New Roman" w:hAnsi="Times New Roman" w:cs="Times New Roman"/>
          <w:sz w:val="24"/>
          <w:szCs w:val="24"/>
          <w:shd w:val="clear" w:color="auto" w:fill="FFFFFF"/>
        </w:rPr>
      </w:pPr>
      <w:r w:rsidRPr="00AA2949">
        <w:rPr>
          <w:rFonts w:ascii="Times New Roman" w:hAnsi="Times New Roman" w:cs="Times New Roman"/>
          <w:sz w:val="24"/>
          <w:szCs w:val="24"/>
        </w:rPr>
        <w:t xml:space="preserve">The National Science Foundation conceived the term STEM with an emphasis on the links between economic prosperity and knowledge-intensive jobs </w:t>
      </w:r>
      <w:r w:rsidR="003D4A69" w:rsidRPr="00AA2949">
        <w:rPr>
          <w:rFonts w:ascii="Times New Roman" w:hAnsi="Times New Roman" w:cs="Times New Roman"/>
          <w:sz w:val="24"/>
          <w:szCs w:val="24"/>
        </w:rPr>
        <w:t xml:space="preserve">that are </w:t>
      </w:r>
      <w:r w:rsidRPr="00AA2949">
        <w:rPr>
          <w:rFonts w:ascii="Times New Roman" w:hAnsi="Times New Roman" w:cs="Times New Roman"/>
          <w:sz w:val="24"/>
          <w:szCs w:val="24"/>
        </w:rPr>
        <w:t xml:space="preserve">dependent on science and technology (National Academy of Sciences, 2007). As such, traditionally STEM subject initiatives have been developed with a utilitarian approach, aligning with and facilitating a </w:t>
      </w:r>
      <w:r w:rsidRPr="00AA2949">
        <w:rPr>
          <w:rFonts w:ascii="Times New Roman" w:hAnsi="Times New Roman" w:cs="Times New Roman"/>
          <w:sz w:val="24"/>
          <w:szCs w:val="24"/>
        </w:rPr>
        <w:lastRenderedPageBreak/>
        <w:t xml:space="preserve">largely economic conceptualisation of human and social development. It seems likely that the wellbeing crisis that we are experiencing in the </w:t>
      </w:r>
      <w:r w:rsidR="003D4A69" w:rsidRPr="00AA2949">
        <w:rPr>
          <w:rFonts w:ascii="Times New Roman" w:hAnsi="Times New Roman" w:cs="Times New Roman"/>
          <w:sz w:val="24"/>
          <w:szCs w:val="24"/>
        </w:rPr>
        <w:t>W</w:t>
      </w:r>
      <w:r w:rsidRPr="00AA2949">
        <w:rPr>
          <w:rFonts w:ascii="Times New Roman" w:hAnsi="Times New Roman" w:cs="Times New Roman"/>
          <w:sz w:val="24"/>
          <w:szCs w:val="24"/>
        </w:rPr>
        <w:t>est is linked to this (WHO, 2016). This is compounded by the ris</w:t>
      </w:r>
      <w:r w:rsidRPr="00AA2949">
        <w:rPr>
          <w:rFonts w:ascii="Times New Roman" w:hAnsi="Times New Roman" w:cs="Times New Roman"/>
          <w:sz w:val="24"/>
          <w:szCs w:val="24"/>
          <w:shd w:val="clear" w:color="auto" w:fill="FFFFFF"/>
        </w:rPr>
        <w:t>ing influence of technology which has facilitated what is sometimes called the indoorisation of children</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(e.g. Frumkin et al., 2017; Louv, 2008)</w:t>
      </w:r>
      <w:r w:rsidR="003D4A69" w:rsidRPr="00AA2949">
        <w:rPr>
          <w:rFonts w:ascii="Times New Roman" w:hAnsi="Times New Roman" w:cs="Times New Roman"/>
          <w:sz w:val="24"/>
          <w:szCs w:val="24"/>
          <w:shd w:val="clear" w:color="auto" w:fill="FFFFFF"/>
        </w:rPr>
        <w:t>,</w:t>
      </w:r>
      <w:r w:rsidRPr="00AA2949">
        <w:rPr>
          <w:rFonts w:ascii="Times New Roman" w:hAnsi="Times New Roman" w:cs="Times New Roman"/>
          <w:sz w:val="24"/>
          <w:szCs w:val="24"/>
          <w:shd w:val="clear" w:color="auto" w:fill="FFFFFF"/>
        </w:rPr>
        <w:t xml:space="preserve"> and the raised levels of parental concern about safety (e.g. Malone, 2007); and </w:t>
      </w:r>
      <w:r w:rsidR="00F55BF7" w:rsidRPr="00AA2949">
        <w:rPr>
          <w:rFonts w:ascii="Times New Roman" w:hAnsi="Times New Roman" w:cs="Times New Roman"/>
          <w:sz w:val="24"/>
          <w:szCs w:val="24"/>
          <w:shd w:val="clear" w:color="auto" w:fill="FFFFFF"/>
        </w:rPr>
        <w:t>from this follows an</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associated sense of disenfranchisement</w:t>
      </w:r>
      <w:r w:rsidR="00C746B9" w:rsidRPr="00AA2949">
        <w:rPr>
          <w:rFonts w:ascii="Times New Roman" w:hAnsi="Times New Roman" w:cs="Times New Roman"/>
          <w:sz w:val="24"/>
          <w:szCs w:val="24"/>
          <w:shd w:val="clear" w:color="auto" w:fill="FFFFFF"/>
        </w:rPr>
        <w:t xml:space="preserve"> for children</w:t>
      </w:r>
      <w:r w:rsidRPr="00AA2949">
        <w:rPr>
          <w:rFonts w:ascii="Times New Roman" w:hAnsi="Times New Roman" w:cs="Times New Roman"/>
          <w:sz w:val="24"/>
          <w:szCs w:val="24"/>
          <w:shd w:val="clear" w:color="auto" w:fill="FFFFFF"/>
        </w:rPr>
        <w:t>, with consequences for their wellbeing and happiness.</w:t>
      </w:r>
    </w:p>
    <w:p w:rsidR="00305B31" w:rsidRPr="00AA2949" w:rsidRDefault="00305B31" w:rsidP="00F979B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The study of nature has often been seen as </w:t>
      </w:r>
      <w:r w:rsidRPr="00AA2949">
        <w:rPr>
          <w:rFonts w:ascii="Times New Roman" w:hAnsi="Times New Roman" w:cs="Times New Roman"/>
          <w:sz w:val="24"/>
          <w:szCs w:val="24"/>
        </w:rPr>
        <w:t>a STEM practice</w:t>
      </w:r>
      <w:r w:rsidRPr="00AA2949">
        <w:rPr>
          <w:rFonts w:ascii="Times New Roman" w:hAnsi="Times New Roman" w:cs="Times New Roman"/>
          <w:color w:val="000000"/>
          <w:sz w:val="24"/>
          <w:szCs w:val="24"/>
        </w:rPr>
        <w:t xml:space="preserve">, for example through environmental science (e.g. </w:t>
      </w:r>
      <w:r w:rsidRPr="00AA2949">
        <w:rPr>
          <w:rFonts w:ascii="Times New Roman" w:hAnsi="Times New Roman" w:cs="Times New Roman"/>
          <w:sz w:val="24"/>
          <w:szCs w:val="24"/>
        </w:rPr>
        <w:t>Sümen &amp; Çalışıcı, 2016</w:t>
      </w:r>
      <w:r w:rsidRPr="00AA2949">
        <w:rPr>
          <w:rFonts w:ascii="Times New Roman" w:hAnsi="Times New Roman" w:cs="Times New Roman"/>
          <w:color w:val="000000"/>
          <w:sz w:val="24"/>
          <w:szCs w:val="24"/>
        </w:rPr>
        <w:t xml:space="preserve">) and </w:t>
      </w:r>
      <w:r w:rsidR="003D4A69" w:rsidRPr="00AA2949">
        <w:rPr>
          <w:rFonts w:ascii="Times New Roman" w:hAnsi="Times New Roman" w:cs="Times New Roman"/>
          <w:color w:val="000000"/>
          <w:sz w:val="24"/>
          <w:szCs w:val="24"/>
        </w:rPr>
        <w:t>d</w:t>
      </w:r>
      <w:r w:rsidRPr="00AA2949">
        <w:rPr>
          <w:rFonts w:ascii="Times New Roman" w:hAnsi="Times New Roman" w:cs="Times New Roman"/>
          <w:color w:val="000000"/>
          <w:sz w:val="24"/>
          <w:szCs w:val="24"/>
        </w:rPr>
        <w:t xml:space="preserve">esign and </w:t>
      </w:r>
      <w:r w:rsidR="003D4A69" w:rsidRPr="00AA2949">
        <w:rPr>
          <w:rFonts w:ascii="Times New Roman" w:hAnsi="Times New Roman" w:cs="Times New Roman"/>
          <w:color w:val="000000"/>
          <w:sz w:val="24"/>
          <w:szCs w:val="24"/>
        </w:rPr>
        <w:t>t</w:t>
      </w:r>
      <w:r w:rsidRPr="00AA2949">
        <w:rPr>
          <w:rFonts w:ascii="Times New Roman" w:hAnsi="Times New Roman" w:cs="Times New Roman"/>
          <w:color w:val="000000"/>
          <w:sz w:val="24"/>
          <w:szCs w:val="24"/>
        </w:rPr>
        <w:t>echnology (Pitt, 2009)</w:t>
      </w:r>
      <w:r w:rsidR="00F55BF7" w:rsidRPr="00AA2949">
        <w:rPr>
          <w:rFonts w:ascii="Times New Roman" w:hAnsi="Times New Roman" w:cs="Times New Roman"/>
          <w:color w:val="000000"/>
          <w:sz w:val="24"/>
          <w:szCs w:val="24"/>
        </w:rPr>
        <w:t>. I</w:t>
      </w:r>
      <w:r w:rsidRPr="00AA2949">
        <w:rPr>
          <w:rFonts w:ascii="Times New Roman" w:hAnsi="Times New Roman" w:cs="Times New Roman"/>
          <w:color w:val="000000"/>
          <w:sz w:val="24"/>
          <w:szCs w:val="24"/>
        </w:rPr>
        <w:t>ndeed the environment has been touted as a mechanism for maintaining the relevance of STEM (e.g. Bybee, 2010)</w:t>
      </w:r>
      <w:r w:rsidR="00F55BF7" w:rsidRPr="00AA2949">
        <w:rPr>
          <w:rFonts w:ascii="Times New Roman" w:hAnsi="Times New Roman" w:cs="Times New Roman"/>
          <w:color w:val="000000"/>
          <w:sz w:val="24"/>
          <w:szCs w:val="24"/>
        </w:rPr>
        <w:t>. H</w:t>
      </w:r>
      <w:r w:rsidRPr="00AA2949">
        <w:rPr>
          <w:rFonts w:ascii="Times New Roman" w:hAnsi="Times New Roman" w:cs="Times New Roman"/>
          <w:color w:val="000000"/>
          <w:sz w:val="24"/>
          <w:szCs w:val="24"/>
        </w:rPr>
        <w:t>owever, this limits its potential to understand how humans relate to it and its importance to human flourishing.</w:t>
      </w:r>
      <w:r w:rsidR="00F979B4" w:rsidRPr="00AA2949">
        <w:rPr>
          <w:rFonts w:ascii="Times New Roman" w:hAnsi="Times New Roman" w:cs="Times New Roman"/>
          <w:color w:val="000000"/>
          <w:sz w:val="24"/>
          <w:szCs w:val="24"/>
        </w:rPr>
        <w:t xml:space="preserve"> </w:t>
      </w:r>
      <w:r w:rsidRPr="00AA2949">
        <w:rPr>
          <w:rFonts w:ascii="Times New Roman" w:hAnsi="Times New Roman" w:cs="Times New Roman"/>
          <w:color w:val="000000"/>
          <w:sz w:val="24"/>
          <w:szCs w:val="24"/>
        </w:rPr>
        <w:t>In seeing the study of nature and the human</w:t>
      </w:r>
      <w:r w:rsidR="003D4A69"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nature relationship instead as </w:t>
      </w:r>
      <w:r w:rsidRPr="00AA2949">
        <w:rPr>
          <w:rFonts w:ascii="Times New Roman" w:hAnsi="Times New Roman" w:cs="Times New Roman"/>
          <w:sz w:val="24"/>
          <w:szCs w:val="24"/>
        </w:rPr>
        <w:t>a STEAM practice,</w:t>
      </w:r>
      <w:r w:rsidRPr="00AA2949">
        <w:rPr>
          <w:rFonts w:ascii="Times New Roman" w:hAnsi="Times New Roman" w:cs="Times New Roman"/>
          <w:color w:val="000000"/>
          <w:sz w:val="24"/>
          <w:szCs w:val="24"/>
        </w:rPr>
        <w:t xml:space="preserve"> we may be able to achieve a much broader and deeper understanding of the significance of the human</w:t>
      </w:r>
      <w:r w:rsidR="003D4A69"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nature relationship.</w:t>
      </w:r>
      <w:r w:rsidR="00F979B4" w:rsidRPr="00AA2949">
        <w:rPr>
          <w:rFonts w:ascii="Times New Roman" w:hAnsi="Times New Roman" w:cs="Times New Roman"/>
          <w:color w:val="000000"/>
          <w:sz w:val="24"/>
          <w:szCs w:val="24"/>
        </w:rPr>
        <w:t xml:space="preserve"> </w:t>
      </w:r>
      <w:r w:rsidRPr="00AA2949">
        <w:rPr>
          <w:rFonts w:ascii="Times New Roman" w:hAnsi="Times New Roman" w:cs="Times New Roman"/>
          <w:color w:val="000000"/>
          <w:sz w:val="24"/>
          <w:szCs w:val="24"/>
        </w:rPr>
        <w:t>The impacts of STEAM practices might be deepened through paying attention to epistemological framings of post</w:t>
      </w:r>
      <w:r w:rsidR="003D4A69"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humanism. Post</w:t>
      </w:r>
      <w:r w:rsidR="003D4A69"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humanism is </w:t>
      </w:r>
      <w:r w:rsidR="00920BD3" w:rsidRPr="00AA2949">
        <w:rPr>
          <w:rFonts w:ascii="Times New Roman" w:hAnsi="Times New Roman" w:cs="Times New Roman"/>
          <w:color w:val="000000"/>
          <w:sz w:val="24"/>
          <w:szCs w:val="24"/>
        </w:rPr>
        <w:t>increasingly being used as a</w:t>
      </w:r>
      <w:r w:rsidRPr="00AA2949">
        <w:rPr>
          <w:rFonts w:ascii="Times New Roman" w:hAnsi="Times New Roman" w:cs="Times New Roman"/>
          <w:color w:val="000000"/>
          <w:sz w:val="24"/>
          <w:szCs w:val="24"/>
        </w:rPr>
        <w:t xml:space="preserve"> mode for thinking about </w:t>
      </w:r>
      <w:r w:rsidR="003D4A69" w:rsidRPr="00AA2949">
        <w:rPr>
          <w:rFonts w:ascii="Times New Roman" w:hAnsi="Times New Roman" w:cs="Times New Roman"/>
          <w:color w:val="000000"/>
          <w:sz w:val="24"/>
          <w:szCs w:val="24"/>
        </w:rPr>
        <w:t xml:space="preserve">environmental and sustainability education </w:t>
      </w:r>
      <w:r w:rsidRPr="00AA2949">
        <w:rPr>
          <w:rFonts w:ascii="Times New Roman" w:hAnsi="Times New Roman" w:cs="Times New Roman"/>
          <w:color w:val="000000"/>
          <w:sz w:val="24"/>
          <w:szCs w:val="24"/>
        </w:rPr>
        <w:t xml:space="preserve">research (e.g. Clarke &amp; Mcphie, </w:t>
      </w:r>
      <w:r w:rsidRPr="00AA2949">
        <w:rPr>
          <w:rFonts w:ascii="Times New Roman" w:hAnsi="Times New Roman" w:cs="Times New Roman"/>
          <w:sz w:val="24"/>
          <w:szCs w:val="24"/>
        </w:rPr>
        <w:t>2016; Gannon, 2017; Lindgren &amp; Ohman, 2018; Rautio, 2013).</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 xml:space="preserve">It rejects an anthropocentric view of nature, advocating </w:t>
      </w:r>
      <w:r w:rsidR="00C746B9" w:rsidRPr="00AA2949">
        <w:rPr>
          <w:rFonts w:ascii="Times New Roman" w:hAnsi="Times New Roman" w:cs="Times New Roman"/>
          <w:sz w:val="24"/>
          <w:szCs w:val="24"/>
        </w:rPr>
        <w:t xml:space="preserve">an </w:t>
      </w:r>
      <w:r w:rsidRPr="00AA2949">
        <w:rPr>
          <w:rFonts w:ascii="Times New Roman" w:hAnsi="Times New Roman" w:cs="Times New Roman"/>
          <w:sz w:val="24"/>
          <w:szCs w:val="24"/>
        </w:rPr>
        <w:t>understanding that nature</w:t>
      </w:r>
      <w:r w:rsidR="00D05C11" w:rsidRPr="00AA2949">
        <w:rPr>
          <w:rFonts w:ascii="Times New Roman" w:hAnsi="Times New Roman" w:cs="Times New Roman"/>
          <w:sz w:val="24"/>
          <w:szCs w:val="24"/>
        </w:rPr>
        <w:t xml:space="preserve"> and humans are intimately entwined</w:t>
      </w:r>
      <w:r w:rsidRPr="00AA2949">
        <w:rPr>
          <w:rFonts w:ascii="Times New Roman" w:hAnsi="Times New Roman" w:cs="Times New Roman"/>
          <w:sz w:val="24"/>
          <w:szCs w:val="24"/>
        </w:rPr>
        <w:t xml:space="preserve"> (Malone, 2015). Whilst this view is not unconteste</w:t>
      </w:r>
      <w:r w:rsidR="00016C95" w:rsidRPr="00AA2949">
        <w:rPr>
          <w:rFonts w:ascii="Times New Roman" w:hAnsi="Times New Roman" w:cs="Times New Roman"/>
          <w:sz w:val="24"/>
          <w:szCs w:val="24"/>
        </w:rPr>
        <w:t>d (Lee et al</w:t>
      </w:r>
      <w:r w:rsidR="00F979B4" w:rsidRPr="00AA2949">
        <w:rPr>
          <w:rFonts w:ascii="Times New Roman" w:hAnsi="Times New Roman" w:cs="Times New Roman"/>
          <w:sz w:val="24"/>
          <w:szCs w:val="24"/>
        </w:rPr>
        <w:t>.</w:t>
      </w:r>
      <w:r w:rsidRPr="00AA2949">
        <w:rPr>
          <w:rFonts w:ascii="Times New Roman" w:hAnsi="Times New Roman" w:cs="Times New Roman"/>
          <w:sz w:val="24"/>
          <w:szCs w:val="24"/>
        </w:rPr>
        <w:t xml:space="preserve">, 2018), such a shift </w:t>
      </w:r>
      <w:r w:rsidRPr="00AA2949">
        <w:rPr>
          <w:rFonts w:ascii="Times New Roman" w:hAnsi="Times New Roman" w:cs="Times New Roman"/>
          <w:color w:val="000000"/>
          <w:sz w:val="24"/>
          <w:szCs w:val="24"/>
        </w:rPr>
        <w:t>could lead to educational practices that facilitate global efforts to overcome the crisis in wellbeing, particularly amongst children and young people</w:t>
      </w:r>
      <w:r w:rsidR="00AB73B1" w:rsidRPr="00AB73B1">
        <w:rPr>
          <w:rFonts w:ascii="Times New Roman" w:hAnsi="Times New Roman" w:cs="Times New Roman"/>
          <w:color w:val="000000"/>
          <w:sz w:val="24"/>
          <w:szCs w:val="24"/>
        </w:rPr>
        <w:t xml:space="preserve"> </w:t>
      </w:r>
      <w:r w:rsidR="00AB73B1">
        <w:rPr>
          <w:rFonts w:ascii="Times New Roman" w:hAnsi="Times New Roman" w:cs="Times New Roman"/>
          <w:color w:val="000000"/>
          <w:sz w:val="24"/>
          <w:szCs w:val="24"/>
        </w:rPr>
        <w:t>that teachers are increasingly under pressure to address</w:t>
      </w:r>
      <w:r w:rsidRPr="00AA2949">
        <w:rPr>
          <w:rFonts w:ascii="Times New Roman" w:hAnsi="Times New Roman" w:cs="Times New Roman"/>
          <w:color w:val="000000"/>
          <w:sz w:val="24"/>
          <w:szCs w:val="24"/>
        </w:rPr>
        <w:t>.</w:t>
      </w:r>
      <w:r w:rsidR="00F979B4" w:rsidRPr="00AA2949">
        <w:rPr>
          <w:rFonts w:ascii="Times New Roman" w:hAnsi="Times New Roman" w:cs="Times New Roman"/>
          <w:color w:val="000000"/>
          <w:sz w:val="24"/>
          <w:szCs w:val="24"/>
        </w:rPr>
        <w:t xml:space="preserve"> </w:t>
      </w:r>
      <w:r w:rsidRPr="00AA2949">
        <w:rPr>
          <w:rFonts w:ascii="Times New Roman" w:hAnsi="Times New Roman" w:cs="Times New Roman"/>
          <w:color w:val="000000"/>
          <w:sz w:val="24"/>
          <w:szCs w:val="24"/>
        </w:rPr>
        <w:t>By using arts-based research methods within STEAM practice and focusing on the interdisciplinarity of human</w:t>
      </w:r>
      <w:r w:rsidR="00F979B4"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nature relations, we </w:t>
      </w:r>
      <w:r w:rsidR="003D4A69" w:rsidRPr="00AA2949">
        <w:rPr>
          <w:rFonts w:ascii="Times New Roman" w:hAnsi="Times New Roman" w:cs="Times New Roman"/>
          <w:color w:val="000000"/>
          <w:sz w:val="24"/>
          <w:szCs w:val="24"/>
        </w:rPr>
        <w:t>may be</w:t>
      </w:r>
      <w:r w:rsidRPr="00AA2949">
        <w:rPr>
          <w:rFonts w:ascii="Times New Roman" w:hAnsi="Times New Roman" w:cs="Times New Roman"/>
          <w:color w:val="000000"/>
          <w:sz w:val="24"/>
          <w:szCs w:val="24"/>
        </w:rPr>
        <w:t xml:space="preserve"> able both to understand environmental and sustainability problems</w:t>
      </w:r>
      <w:r w:rsidRPr="00AA2949">
        <w:rPr>
          <w:rFonts w:ascii="Times New Roman" w:hAnsi="Times New Roman" w:cs="Times New Roman"/>
          <w:i/>
          <w:color w:val="000000"/>
          <w:sz w:val="24"/>
          <w:szCs w:val="24"/>
        </w:rPr>
        <w:t xml:space="preserve"> and</w:t>
      </w:r>
      <w:r w:rsidRPr="00AA2949">
        <w:rPr>
          <w:rFonts w:ascii="Times New Roman" w:hAnsi="Times New Roman" w:cs="Times New Roman"/>
          <w:color w:val="000000"/>
          <w:sz w:val="24"/>
          <w:szCs w:val="24"/>
        </w:rPr>
        <w:t xml:space="preserve"> </w:t>
      </w:r>
      <w:r w:rsidR="003D4A69" w:rsidRPr="00AA2949">
        <w:rPr>
          <w:rFonts w:ascii="Times New Roman" w:hAnsi="Times New Roman" w:cs="Times New Roman"/>
          <w:color w:val="000000"/>
          <w:sz w:val="24"/>
          <w:szCs w:val="24"/>
        </w:rPr>
        <w:t xml:space="preserve">to </w:t>
      </w:r>
      <w:r w:rsidRPr="00AA2949">
        <w:rPr>
          <w:rFonts w:ascii="Times New Roman" w:hAnsi="Times New Roman" w:cs="Times New Roman"/>
          <w:color w:val="000000"/>
          <w:sz w:val="24"/>
          <w:szCs w:val="24"/>
        </w:rPr>
        <w:t>address them.</w:t>
      </w:r>
      <w:r w:rsidR="00F979B4" w:rsidRPr="00AA2949">
        <w:rPr>
          <w:rFonts w:ascii="Times New Roman" w:hAnsi="Times New Roman" w:cs="Times New Roman"/>
          <w:color w:val="000000"/>
          <w:sz w:val="24"/>
          <w:szCs w:val="24"/>
        </w:rPr>
        <w:t xml:space="preserve"> </w:t>
      </w:r>
    </w:p>
    <w:p w:rsidR="00305B31" w:rsidRPr="00AA2949" w:rsidRDefault="00305B31" w:rsidP="00F979B4">
      <w:pPr>
        <w:autoSpaceDE w:val="0"/>
        <w:autoSpaceDN w:val="0"/>
        <w:adjustRightInd w:val="0"/>
        <w:spacing w:after="0" w:line="240" w:lineRule="auto"/>
        <w:jc w:val="both"/>
        <w:rPr>
          <w:rFonts w:ascii="Times New Roman" w:hAnsi="Times New Roman" w:cs="Times New Roman"/>
          <w:color w:val="000000"/>
          <w:sz w:val="24"/>
          <w:szCs w:val="24"/>
        </w:rPr>
      </w:pPr>
    </w:p>
    <w:p w:rsidR="00305B31" w:rsidRPr="00AA2949" w:rsidRDefault="00305B31" w:rsidP="00F979B4">
      <w:pPr>
        <w:autoSpaceDE w:val="0"/>
        <w:autoSpaceDN w:val="0"/>
        <w:adjustRightInd w:val="0"/>
        <w:spacing w:after="0" w:line="240" w:lineRule="auto"/>
        <w:jc w:val="both"/>
        <w:rPr>
          <w:rFonts w:ascii="Times New Roman" w:hAnsi="Times New Roman" w:cs="Times New Roman"/>
          <w:i/>
          <w:color w:val="000000"/>
          <w:sz w:val="24"/>
          <w:szCs w:val="24"/>
        </w:rPr>
      </w:pPr>
      <w:r w:rsidRPr="00AA2949">
        <w:rPr>
          <w:rFonts w:ascii="Times New Roman" w:hAnsi="Times New Roman" w:cs="Times New Roman"/>
          <w:i/>
          <w:color w:val="000000"/>
          <w:sz w:val="24"/>
          <w:szCs w:val="24"/>
        </w:rPr>
        <w:t xml:space="preserve">STEM and </w:t>
      </w:r>
      <w:r w:rsidR="00F979B4" w:rsidRPr="00AA2949">
        <w:rPr>
          <w:rFonts w:ascii="Times New Roman" w:hAnsi="Times New Roman" w:cs="Times New Roman"/>
          <w:i/>
          <w:color w:val="000000"/>
          <w:sz w:val="24"/>
          <w:szCs w:val="24"/>
        </w:rPr>
        <w:t>W</w:t>
      </w:r>
      <w:r w:rsidRPr="00AA2949">
        <w:rPr>
          <w:rFonts w:ascii="Times New Roman" w:hAnsi="Times New Roman" w:cs="Times New Roman"/>
          <w:i/>
          <w:color w:val="000000"/>
          <w:sz w:val="24"/>
          <w:szCs w:val="24"/>
        </w:rPr>
        <w:t>ellbeing</w:t>
      </w:r>
    </w:p>
    <w:p w:rsidR="00F979B4" w:rsidRPr="00AA2949" w:rsidRDefault="00F979B4" w:rsidP="00F979B4">
      <w:pPr>
        <w:autoSpaceDE w:val="0"/>
        <w:autoSpaceDN w:val="0"/>
        <w:adjustRightInd w:val="0"/>
        <w:spacing w:after="0" w:line="240" w:lineRule="auto"/>
        <w:jc w:val="both"/>
        <w:rPr>
          <w:rFonts w:ascii="Times New Roman" w:hAnsi="Times New Roman" w:cs="Times New Roman"/>
          <w:color w:val="000000"/>
          <w:sz w:val="24"/>
          <w:szCs w:val="24"/>
        </w:rPr>
      </w:pPr>
    </w:p>
    <w:p w:rsidR="00305B31" w:rsidRPr="00AA2949" w:rsidRDefault="00305B31" w:rsidP="00F979B4">
      <w:pPr>
        <w:autoSpaceDE w:val="0"/>
        <w:autoSpaceDN w:val="0"/>
        <w:adjustRightInd w:val="0"/>
        <w:spacing w:after="0" w:line="240" w:lineRule="auto"/>
        <w:jc w:val="both"/>
        <w:rPr>
          <w:rFonts w:ascii="Times New Roman" w:hAnsi="Times New Roman" w:cs="Times New Roman"/>
          <w:sz w:val="24"/>
          <w:szCs w:val="24"/>
        </w:rPr>
      </w:pPr>
      <w:r w:rsidRPr="00AA2949">
        <w:rPr>
          <w:rFonts w:ascii="Times New Roman" w:hAnsi="Times New Roman" w:cs="Times New Roman"/>
          <w:color w:val="000000"/>
          <w:sz w:val="24"/>
          <w:szCs w:val="24"/>
        </w:rPr>
        <w:t xml:space="preserve">STEM literature predominantly refers to wellbeing through a neoliberal lens, such that its value is measured in terms of economic and financial wellbeing; for example, a number of macroeconomic studies </w:t>
      </w:r>
      <w:r w:rsidRPr="00AA2949">
        <w:rPr>
          <w:rFonts w:ascii="Times New Roman" w:hAnsi="Times New Roman" w:cs="Times New Roman"/>
          <w:sz w:val="24"/>
          <w:szCs w:val="24"/>
        </w:rPr>
        <w:t>have argued the case for a clear link between student achievement on science and maths tests and per capita gross domestic product (GDP) growth, supporting the widely held belief that STEM education is central to the production of economic prosperity and wellbeing</w:t>
      </w:r>
      <w:r w:rsidRPr="00AA2949">
        <w:rPr>
          <w:rFonts w:ascii="Times New Roman" w:hAnsi="Times New Roman" w:cs="Times New Roman"/>
          <w:color w:val="000000"/>
          <w:sz w:val="24"/>
          <w:szCs w:val="24"/>
        </w:rPr>
        <w:t xml:space="preserve"> (e.g. Hanushek et al., 2008; Osborne, 2000; Roschelle et al., 2011). </w:t>
      </w:r>
      <w:r w:rsidRPr="00AA2949">
        <w:rPr>
          <w:rFonts w:ascii="Times New Roman" w:hAnsi="Times New Roman" w:cs="Times New Roman"/>
          <w:sz w:val="24"/>
          <w:szCs w:val="24"/>
        </w:rPr>
        <w:t>Marginson et al</w:t>
      </w:r>
      <w:r w:rsidR="00F979B4" w:rsidRPr="00AA2949">
        <w:rPr>
          <w:rFonts w:ascii="Times New Roman" w:hAnsi="Times New Roman" w:cs="Times New Roman"/>
          <w:sz w:val="24"/>
          <w:szCs w:val="24"/>
        </w:rPr>
        <w:t>.</w:t>
      </w:r>
      <w:r w:rsidRPr="00AA2949">
        <w:rPr>
          <w:rFonts w:ascii="Times New Roman" w:hAnsi="Times New Roman" w:cs="Times New Roman"/>
          <w:sz w:val="24"/>
          <w:szCs w:val="24"/>
        </w:rPr>
        <w:t xml:space="preserve"> (2013: 13) argue that “STEM is a central preoccupation of policy makers across the world”, for example in Europe (e.g. Rocard et al., 2007; House of Commons Committee of Public Accounts, 2018), Australia (e.g. Office of the Chief Scientist, </w:t>
      </w:r>
      <w:r w:rsidR="00796326" w:rsidRPr="00AA2949">
        <w:rPr>
          <w:rFonts w:ascii="Times New Roman" w:hAnsi="Times New Roman" w:cs="Times New Roman"/>
          <w:sz w:val="24"/>
          <w:szCs w:val="24"/>
        </w:rPr>
        <w:t>201</w:t>
      </w:r>
      <w:r w:rsidR="00796326">
        <w:rPr>
          <w:rFonts w:ascii="Times New Roman" w:hAnsi="Times New Roman" w:cs="Times New Roman"/>
          <w:sz w:val="24"/>
          <w:szCs w:val="24"/>
        </w:rPr>
        <w:t>3</w:t>
      </w:r>
      <w:r w:rsidRPr="00AA2949">
        <w:rPr>
          <w:rFonts w:ascii="Times New Roman" w:hAnsi="Times New Roman" w:cs="Times New Roman"/>
          <w:sz w:val="24"/>
          <w:szCs w:val="24"/>
        </w:rPr>
        <w:t xml:space="preserve">, </w:t>
      </w:r>
      <w:r w:rsidR="00796326" w:rsidRPr="00AA2949">
        <w:rPr>
          <w:rFonts w:ascii="Times New Roman" w:hAnsi="Times New Roman" w:cs="Times New Roman"/>
          <w:sz w:val="24"/>
          <w:szCs w:val="24"/>
        </w:rPr>
        <w:t>201</w:t>
      </w:r>
      <w:r w:rsidR="00796326">
        <w:rPr>
          <w:rFonts w:ascii="Times New Roman" w:hAnsi="Times New Roman" w:cs="Times New Roman"/>
          <w:sz w:val="24"/>
          <w:szCs w:val="24"/>
        </w:rPr>
        <w:t>4</w:t>
      </w:r>
      <w:r w:rsidRPr="00AA2949">
        <w:rPr>
          <w:rFonts w:ascii="Times New Roman" w:hAnsi="Times New Roman" w:cs="Times New Roman"/>
          <w:sz w:val="24"/>
          <w:szCs w:val="24"/>
        </w:rPr>
        <w:t>), and the USA (e.g. Committee on STEM Education, National Science and Technology Council, 2013). Consequently, underpinned by the belief that STEM skills are crucial for a country’s productivity, government investment has focused on promoting STEM subjects, particularly among minority gr</w:t>
      </w:r>
      <w:r w:rsidR="00920BD3" w:rsidRPr="00AA2949">
        <w:rPr>
          <w:rFonts w:ascii="Times New Roman" w:hAnsi="Times New Roman" w:cs="Times New Roman"/>
          <w:sz w:val="24"/>
          <w:szCs w:val="24"/>
        </w:rPr>
        <w:t>oups (e.g. Byars-Winston, 2014</w:t>
      </w:r>
      <w:r w:rsidRPr="00AA2949">
        <w:rPr>
          <w:rFonts w:ascii="Times New Roman" w:hAnsi="Times New Roman" w:cs="Times New Roman"/>
          <w:sz w:val="24"/>
          <w:szCs w:val="24"/>
        </w:rPr>
        <w:t xml:space="preserve">). This utilitarian approach represents an instrumentalist philosophy of education (Carr &amp; Kemmis, 1986; Simonneaux &amp; Simonneaux, 2012), aligning with and facilitating an economic conceptualisation of development and wellbeing. </w:t>
      </w:r>
    </w:p>
    <w:p w:rsidR="00305B31" w:rsidRPr="00AA2949" w:rsidRDefault="00305B31" w:rsidP="00F979B4">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AA2949">
        <w:rPr>
          <w:rFonts w:ascii="Times New Roman" w:hAnsi="Times New Roman" w:cs="Times New Roman"/>
          <w:sz w:val="24"/>
          <w:szCs w:val="24"/>
        </w:rPr>
        <w:t>However, wellbeing is a much more complex term than this economic, neoliberal framing suggests</w:t>
      </w:r>
      <w:r w:rsidR="003D4A69" w:rsidRPr="00AA2949">
        <w:rPr>
          <w:rFonts w:ascii="Times New Roman" w:hAnsi="Times New Roman" w:cs="Times New Roman"/>
          <w:sz w:val="24"/>
          <w:szCs w:val="24"/>
        </w:rPr>
        <w:t>.</w:t>
      </w:r>
      <w:r w:rsidR="009D0D10" w:rsidRPr="00AA2949">
        <w:rPr>
          <w:rFonts w:ascii="Times New Roman" w:hAnsi="Times New Roman" w:cs="Times New Roman"/>
          <w:sz w:val="24"/>
          <w:szCs w:val="24"/>
        </w:rPr>
        <w:t xml:space="preserve"> </w:t>
      </w:r>
      <w:r w:rsidR="003D4A69" w:rsidRPr="00AA2949">
        <w:rPr>
          <w:rFonts w:ascii="Times New Roman" w:hAnsi="Times New Roman" w:cs="Times New Roman"/>
          <w:sz w:val="24"/>
          <w:szCs w:val="24"/>
        </w:rPr>
        <w:t>T</w:t>
      </w:r>
      <w:r w:rsidR="00766234" w:rsidRPr="00AA2949">
        <w:rPr>
          <w:rFonts w:ascii="Times New Roman" w:hAnsi="Times New Roman" w:cs="Times New Roman"/>
          <w:sz w:val="24"/>
          <w:szCs w:val="24"/>
        </w:rPr>
        <w:t>his complexity</w:t>
      </w:r>
      <w:r w:rsidR="009D0D10" w:rsidRPr="00AA2949">
        <w:rPr>
          <w:rFonts w:ascii="Times New Roman" w:hAnsi="Times New Roman" w:cs="Times New Roman"/>
          <w:sz w:val="24"/>
          <w:szCs w:val="24"/>
        </w:rPr>
        <w:t xml:space="preserve"> </w:t>
      </w:r>
      <w:r w:rsidR="00766234" w:rsidRPr="00AA2949">
        <w:rPr>
          <w:rFonts w:ascii="Times New Roman" w:hAnsi="Times New Roman" w:cs="Times New Roman"/>
          <w:sz w:val="24"/>
          <w:szCs w:val="24"/>
        </w:rPr>
        <w:t xml:space="preserve">is </w:t>
      </w:r>
      <w:r w:rsidR="009D0D10" w:rsidRPr="00AA2949">
        <w:rPr>
          <w:rFonts w:ascii="Times New Roman" w:hAnsi="Times New Roman" w:cs="Times New Roman"/>
          <w:sz w:val="24"/>
          <w:szCs w:val="24"/>
        </w:rPr>
        <w:t xml:space="preserve">about </w:t>
      </w:r>
      <w:r w:rsidR="00766234" w:rsidRPr="00AA2949">
        <w:rPr>
          <w:rFonts w:ascii="Times New Roman" w:hAnsi="Times New Roman" w:cs="Times New Roman"/>
          <w:sz w:val="24"/>
          <w:szCs w:val="24"/>
        </w:rPr>
        <w:t xml:space="preserve">more than breadth </w:t>
      </w:r>
      <w:r w:rsidR="003D4A69" w:rsidRPr="00AA2949">
        <w:rPr>
          <w:rFonts w:ascii="Times New Roman" w:hAnsi="Times New Roman" w:cs="Times New Roman"/>
          <w:sz w:val="24"/>
          <w:szCs w:val="24"/>
        </w:rPr>
        <w:t>(</w:t>
      </w:r>
      <w:r w:rsidR="00766234" w:rsidRPr="00AA2949">
        <w:rPr>
          <w:rFonts w:ascii="Times New Roman" w:hAnsi="Times New Roman" w:cs="Times New Roman"/>
          <w:sz w:val="24"/>
          <w:szCs w:val="24"/>
        </w:rPr>
        <w:t>in terms of what dimensions of human life are included</w:t>
      </w:r>
      <w:r w:rsidR="003D4A69" w:rsidRPr="00AA2949">
        <w:rPr>
          <w:rFonts w:ascii="Times New Roman" w:hAnsi="Times New Roman" w:cs="Times New Roman"/>
          <w:sz w:val="24"/>
          <w:szCs w:val="24"/>
        </w:rPr>
        <w:t>);</w:t>
      </w:r>
      <w:r w:rsidR="00766234" w:rsidRPr="00AA2949">
        <w:rPr>
          <w:rFonts w:ascii="Times New Roman" w:hAnsi="Times New Roman" w:cs="Times New Roman"/>
          <w:sz w:val="24"/>
          <w:szCs w:val="24"/>
        </w:rPr>
        <w:t xml:space="preserve"> it is also about how those dimensions are entwined and </w:t>
      </w:r>
      <w:r w:rsidR="00D91CFE" w:rsidRPr="00AA2949">
        <w:rPr>
          <w:rFonts w:ascii="Times New Roman" w:hAnsi="Times New Roman" w:cs="Times New Roman"/>
          <w:i/>
          <w:sz w:val="24"/>
          <w:szCs w:val="24"/>
        </w:rPr>
        <w:t xml:space="preserve">entangled </w:t>
      </w:r>
      <w:r w:rsidR="00766234" w:rsidRPr="00AA2949">
        <w:rPr>
          <w:rFonts w:ascii="Times New Roman" w:hAnsi="Times New Roman" w:cs="Times New Roman"/>
          <w:sz w:val="24"/>
          <w:szCs w:val="24"/>
        </w:rPr>
        <w:t>and how they constellate across time too.</w:t>
      </w:r>
      <w:r w:rsidR="00F979B4" w:rsidRPr="00AA2949">
        <w:rPr>
          <w:rFonts w:ascii="Times New Roman" w:hAnsi="Times New Roman" w:cs="Times New Roman"/>
          <w:sz w:val="24"/>
          <w:szCs w:val="24"/>
        </w:rPr>
        <w:t xml:space="preserve"> </w:t>
      </w:r>
      <w:r w:rsidR="00766234" w:rsidRPr="00AA2949">
        <w:rPr>
          <w:rFonts w:ascii="Times New Roman" w:hAnsi="Times New Roman" w:cs="Times New Roman"/>
          <w:sz w:val="24"/>
          <w:szCs w:val="24"/>
        </w:rPr>
        <w:t>To be able to understand the breadth of wellbeing, we bring Amartya Sen’s</w:t>
      </w:r>
      <w:r w:rsidR="00322B57" w:rsidRPr="00AA2949">
        <w:rPr>
          <w:rFonts w:ascii="Times New Roman" w:hAnsi="Times New Roman" w:cs="Times New Roman"/>
          <w:sz w:val="24"/>
          <w:szCs w:val="24"/>
        </w:rPr>
        <w:t xml:space="preserve"> work on capabilities into play</w:t>
      </w:r>
      <w:r w:rsidR="003D4A69" w:rsidRPr="00AA2949">
        <w:rPr>
          <w:rFonts w:ascii="Times New Roman" w:hAnsi="Times New Roman" w:cs="Times New Roman"/>
          <w:sz w:val="24"/>
          <w:szCs w:val="24"/>
        </w:rPr>
        <w:t>,</w:t>
      </w:r>
      <w:r w:rsidR="00766234" w:rsidRPr="00AA2949">
        <w:rPr>
          <w:rFonts w:ascii="Times New Roman" w:hAnsi="Times New Roman" w:cs="Times New Roman"/>
          <w:sz w:val="24"/>
          <w:szCs w:val="24"/>
        </w:rPr>
        <w:t xml:space="preserve"> whilst to try and understand how these notions intra-act and </w:t>
      </w:r>
      <w:r w:rsidR="00D91CFE" w:rsidRPr="00AA2949">
        <w:rPr>
          <w:rFonts w:ascii="Times New Roman" w:hAnsi="Times New Roman" w:cs="Times New Roman"/>
          <w:i/>
          <w:sz w:val="24"/>
          <w:szCs w:val="24"/>
        </w:rPr>
        <w:t>entangle</w:t>
      </w:r>
      <w:r w:rsidR="00766234" w:rsidRPr="00AA2949">
        <w:rPr>
          <w:rFonts w:ascii="Times New Roman" w:hAnsi="Times New Roman" w:cs="Times New Roman"/>
          <w:sz w:val="24"/>
          <w:szCs w:val="24"/>
        </w:rPr>
        <w:t xml:space="preserve"> we use a post-humanist perspective, </w:t>
      </w:r>
      <w:r w:rsidR="00766234" w:rsidRPr="00AA2949">
        <w:rPr>
          <w:rFonts w:ascii="Times New Roman" w:hAnsi="Times New Roman" w:cs="Times New Roman"/>
          <w:sz w:val="24"/>
          <w:szCs w:val="24"/>
        </w:rPr>
        <w:lastRenderedPageBreak/>
        <w:t>drawing on the work of Karen Barad</w:t>
      </w:r>
      <w:r w:rsidR="00661A80" w:rsidRPr="00AA2949">
        <w:rPr>
          <w:rFonts w:ascii="Times New Roman" w:hAnsi="Times New Roman" w:cs="Times New Roman"/>
          <w:sz w:val="24"/>
          <w:szCs w:val="24"/>
        </w:rPr>
        <w:t xml:space="preserve"> (2017)</w:t>
      </w:r>
      <w:r w:rsidR="00766234" w:rsidRPr="00AA2949">
        <w:rPr>
          <w:rFonts w:ascii="Times New Roman" w:hAnsi="Times New Roman" w:cs="Times New Roman"/>
          <w:sz w:val="24"/>
          <w:szCs w:val="24"/>
        </w:rPr>
        <w:t xml:space="preserve"> amongst others.</w:t>
      </w:r>
      <w:r w:rsidR="00F979B4" w:rsidRPr="00AA2949">
        <w:rPr>
          <w:rFonts w:ascii="Times New Roman" w:hAnsi="Times New Roman" w:cs="Times New Roman"/>
          <w:sz w:val="24"/>
          <w:szCs w:val="24"/>
        </w:rPr>
        <w:t xml:space="preserve"> </w:t>
      </w:r>
      <w:r w:rsidR="00322B57" w:rsidRPr="00AA2949">
        <w:rPr>
          <w:rFonts w:ascii="Times New Roman" w:hAnsi="Times New Roman" w:cs="Times New Roman"/>
          <w:sz w:val="24"/>
          <w:szCs w:val="24"/>
        </w:rPr>
        <w:t>We then go on to suggest that a way to both grow and understand wellbeing is through working with artists and arts-based research methods; methods tha</w:t>
      </w:r>
      <w:r w:rsidR="004F78B7" w:rsidRPr="00AA2949">
        <w:rPr>
          <w:rFonts w:ascii="Times New Roman" w:hAnsi="Times New Roman" w:cs="Times New Roman"/>
          <w:sz w:val="24"/>
          <w:szCs w:val="24"/>
        </w:rPr>
        <w:t xml:space="preserve">t enable a fuller expression of the </w:t>
      </w:r>
      <w:r w:rsidR="00D91CFE" w:rsidRPr="00AA2949">
        <w:rPr>
          <w:rFonts w:ascii="Times New Roman" w:hAnsi="Times New Roman" w:cs="Times New Roman"/>
          <w:sz w:val="24"/>
          <w:szCs w:val="24"/>
        </w:rPr>
        <w:t>entanglement</w:t>
      </w:r>
      <w:r w:rsidR="004F78B7" w:rsidRPr="00AA2949">
        <w:rPr>
          <w:rFonts w:ascii="Times New Roman" w:hAnsi="Times New Roman" w:cs="Times New Roman"/>
          <w:sz w:val="24"/>
          <w:szCs w:val="24"/>
        </w:rPr>
        <w:t xml:space="preserve"> of different dimensions of wellbeing across </w:t>
      </w:r>
      <w:r w:rsidR="00D05C11" w:rsidRPr="00AA2949">
        <w:rPr>
          <w:rFonts w:ascii="Times New Roman" w:hAnsi="Times New Roman" w:cs="Times New Roman"/>
          <w:sz w:val="24"/>
          <w:szCs w:val="24"/>
        </w:rPr>
        <w:t xml:space="preserve">and through </w:t>
      </w:r>
      <w:r w:rsidR="004F78B7" w:rsidRPr="00AA2949">
        <w:rPr>
          <w:rFonts w:ascii="Times New Roman" w:hAnsi="Times New Roman" w:cs="Times New Roman"/>
          <w:sz w:val="24"/>
          <w:szCs w:val="24"/>
        </w:rPr>
        <w:t>an individual’s experience.</w:t>
      </w:r>
      <w:r w:rsidR="00F979B4" w:rsidRPr="00AA2949">
        <w:rPr>
          <w:rFonts w:ascii="Times New Roman" w:hAnsi="Times New Roman" w:cs="Times New Roman"/>
          <w:sz w:val="24"/>
          <w:szCs w:val="24"/>
        </w:rPr>
        <w:t xml:space="preserve"> </w:t>
      </w:r>
    </w:p>
    <w:p w:rsidR="002579FC" w:rsidRPr="00AA2949" w:rsidRDefault="002579FC" w:rsidP="00F979B4">
      <w:pPr>
        <w:spacing w:after="0" w:line="240" w:lineRule="auto"/>
        <w:jc w:val="both"/>
        <w:rPr>
          <w:rFonts w:ascii="Times New Roman" w:hAnsi="Times New Roman" w:cs="Times New Roman"/>
          <w:color w:val="000000"/>
          <w:sz w:val="24"/>
          <w:szCs w:val="24"/>
        </w:rPr>
      </w:pPr>
    </w:p>
    <w:p w:rsidR="009D0D10" w:rsidRPr="00AA2949" w:rsidRDefault="009D0D10" w:rsidP="00F979B4">
      <w:pPr>
        <w:spacing w:after="0" w:line="240" w:lineRule="auto"/>
        <w:jc w:val="center"/>
        <w:rPr>
          <w:rFonts w:ascii="Times New Roman" w:hAnsi="Times New Roman" w:cs="Times New Roman"/>
          <w:color w:val="000000"/>
          <w:sz w:val="24"/>
          <w:szCs w:val="24"/>
        </w:rPr>
      </w:pPr>
      <w:r w:rsidRPr="00AA2949">
        <w:rPr>
          <w:rFonts w:ascii="Times New Roman" w:hAnsi="Times New Roman" w:cs="Times New Roman"/>
          <w:color w:val="000000"/>
          <w:sz w:val="24"/>
          <w:szCs w:val="24"/>
        </w:rPr>
        <w:t>CAPABILITIES AS AN APPROACH TO HUMAN DEVELOPMENT AND WELLBEING</w:t>
      </w:r>
    </w:p>
    <w:p w:rsidR="00F979B4" w:rsidRPr="00AA2949" w:rsidRDefault="00F979B4" w:rsidP="00F979B4">
      <w:pPr>
        <w:autoSpaceDE w:val="0"/>
        <w:autoSpaceDN w:val="0"/>
        <w:adjustRightInd w:val="0"/>
        <w:spacing w:after="0" w:line="240" w:lineRule="auto"/>
        <w:jc w:val="both"/>
        <w:rPr>
          <w:rFonts w:ascii="Times New Roman" w:hAnsi="Times New Roman" w:cs="Times New Roman"/>
          <w:color w:val="000000"/>
          <w:sz w:val="24"/>
          <w:szCs w:val="24"/>
        </w:rPr>
      </w:pPr>
    </w:p>
    <w:p w:rsidR="009D0D10" w:rsidRPr="00AA2949" w:rsidRDefault="00322B57" w:rsidP="00F979B4">
      <w:pPr>
        <w:autoSpaceDE w:val="0"/>
        <w:autoSpaceDN w:val="0"/>
        <w:adjustRightInd w:val="0"/>
        <w:spacing w:after="0" w:line="240" w:lineRule="auto"/>
        <w:jc w:val="both"/>
        <w:rPr>
          <w:rFonts w:ascii="Times New Roman" w:hAnsi="Times New Roman" w:cs="Times New Roman"/>
          <w:sz w:val="24"/>
          <w:szCs w:val="24"/>
        </w:rPr>
      </w:pPr>
      <w:r w:rsidRPr="00AA2949">
        <w:rPr>
          <w:rFonts w:ascii="Times New Roman" w:hAnsi="Times New Roman" w:cs="Times New Roman"/>
          <w:color w:val="000000"/>
          <w:sz w:val="24"/>
          <w:szCs w:val="24"/>
        </w:rPr>
        <w:t>Amartya Sen describes</w:t>
      </w:r>
      <w:r w:rsidR="009D0D10" w:rsidRPr="00AA2949">
        <w:rPr>
          <w:rFonts w:ascii="Times New Roman" w:hAnsi="Times New Roman" w:cs="Times New Roman"/>
          <w:color w:val="000000"/>
          <w:sz w:val="24"/>
          <w:szCs w:val="24"/>
        </w:rPr>
        <w:t xml:space="preserve"> human capabilities</w:t>
      </w:r>
      <w:r w:rsidRPr="00AA2949">
        <w:rPr>
          <w:rFonts w:ascii="Times New Roman" w:hAnsi="Times New Roman" w:cs="Times New Roman"/>
          <w:color w:val="000000"/>
          <w:sz w:val="24"/>
          <w:szCs w:val="24"/>
        </w:rPr>
        <w:t xml:space="preserve"> as a </w:t>
      </w:r>
      <w:r w:rsidR="009D0D10" w:rsidRPr="00AA2949">
        <w:rPr>
          <w:rFonts w:ascii="Times New Roman" w:hAnsi="Times New Roman" w:cs="Times New Roman"/>
          <w:color w:val="000000"/>
          <w:sz w:val="24"/>
          <w:szCs w:val="24"/>
          <w:shd w:val="clear" w:color="auto" w:fill="FFFFFF"/>
        </w:rPr>
        <w:t>“a person’s ability to do valuable acts or reach valuable states of being” (1993: 30).</w:t>
      </w:r>
      <w:r w:rsidR="009D0D10" w:rsidRPr="00AA2949">
        <w:rPr>
          <w:rFonts w:ascii="Times New Roman" w:hAnsi="Times New Roman" w:cs="Times New Roman"/>
          <w:sz w:val="24"/>
          <w:szCs w:val="24"/>
        </w:rPr>
        <w:t xml:space="preserve"> Capabilities are a broad range of human </w:t>
      </w:r>
      <w:r w:rsidR="009D0D10" w:rsidRPr="00AA2949">
        <w:rPr>
          <w:rFonts w:ascii="Times New Roman" w:hAnsi="Times New Roman" w:cs="Times New Roman"/>
          <w:i/>
          <w:sz w:val="24"/>
          <w:szCs w:val="24"/>
        </w:rPr>
        <w:t>functionings</w:t>
      </w:r>
      <w:r w:rsidR="009D0D10" w:rsidRPr="00AA2949">
        <w:rPr>
          <w:rFonts w:ascii="Times New Roman" w:hAnsi="Times New Roman" w:cs="Times New Roman"/>
          <w:sz w:val="24"/>
          <w:szCs w:val="24"/>
        </w:rPr>
        <w:t xml:space="preserve"> that go beyond the notion of subjective and economic wellbeing.</w:t>
      </w:r>
      <w:r w:rsidR="00F979B4" w:rsidRPr="00AA2949">
        <w:rPr>
          <w:rFonts w:ascii="Times New Roman" w:hAnsi="Times New Roman" w:cs="Times New Roman"/>
          <w:sz w:val="24"/>
          <w:szCs w:val="24"/>
        </w:rPr>
        <w:t xml:space="preserve"> </w:t>
      </w:r>
      <w:r w:rsidR="009D0D10" w:rsidRPr="00AA2949">
        <w:rPr>
          <w:rFonts w:ascii="Times New Roman" w:hAnsi="Times New Roman" w:cs="Times New Roman"/>
          <w:sz w:val="24"/>
          <w:szCs w:val="24"/>
        </w:rPr>
        <w:t>Capabilities are future oriented, aiming to provide humans with real opportunities to achieve a state of physical, emotional, intellectual and existential wellbeing in life (Delors et al., 1996), whatever an</w:t>
      </w:r>
      <w:r w:rsidR="009D0D10" w:rsidRPr="00AA2949">
        <w:rPr>
          <w:rFonts w:ascii="Times New Roman" w:hAnsi="Times New Roman" w:cs="Times New Roman"/>
          <w:color w:val="000000"/>
          <w:sz w:val="24"/>
          <w:szCs w:val="24"/>
          <w:shd w:val="clear" w:color="auto" w:fill="FFFFFF"/>
        </w:rPr>
        <w:t xml:space="preserve"> individual considers valuable (Sen, 1980). </w:t>
      </w:r>
      <w:r w:rsidR="009D0D10" w:rsidRPr="00AA2949">
        <w:rPr>
          <w:rFonts w:ascii="Times New Roman" w:hAnsi="Times New Roman" w:cs="Times New Roman"/>
          <w:sz w:val="24"/>
          <w:szCs w:val="24"/>
        </w:rPr>
        <w:t xml:space="preserve">Sen’s work challenges dominant models that assert that a nation’s quality of life improves when GDP increases. Evidence shows that a simplistic measure based on GDP is problematic because significant inequalities persist within many nations despite economic growth. In other words, the benefits of economic growth are not enjoyed by all citizens – its distribution is disproportional, resulting in an unequal landscape of economic prosperity. Sen proposes that it is more useful to assess a nation’s development by looking at the </w:t>
      </w:r>
      <w:r w:rsidR="009D0D10" w:rsidRPr="00AA2949">
        <w:rPr>
          <w:rFonts w:ascii="Times New Roman" w:hAnsi="Times New Roman" w:cs="Times New Roman"/>
          <w:i/>
          <w:sz w:val="24"/>
          <w:szCs w:val="24"/>
        </w:rPr>
        <w:t>capabilities</w:t>
      </w:r>
      <w:r w:rsidR="009D0D10" w:rsidRPr="00AA2949">
        <w:rPr>
          <w:rFonts w:ascii="Times New Roman" w:hAnsi="Times New Roman" w:cs="Times New Roman"/>
          <w:sz w:val="24"/>
          <w:szCs w:val="24"/>
        </w:rPr>
        <w:t xml:space="preserve"> of its citizens. </w:t>
      </w:r>
      <w:r w:rsidR="009D0D10" w:rsidRPr="00AA2949">
        <w:rPr>
          <w:rFonts w:ascii="Times New Roman" w:hAnsi="Times New Roman" w:cs="Times New Roman"/>
          <w:color w:val="000000"/>
          <w:sz w:val="24"/>
          <w:szCs w:val="24"/>
          <w:shd w:val="clear" w:color="auto" w:fill="FFFFFF"/>
        </w:rPr>
        <w:t xml:space="preserve">The capabilities approach looks at each individual not in terms of actual contribution or achievement (for example to economic growth), but rather their potential </w:t>
      </w:r>
      <w:r w:rsidR="009D0D10" w:rsidRPr="00AA2949">
        <w:rPr>
          <w:rFonts w:ascii="Times New Roman" w:hAnsi="Times New Roman" w:cs="Times New Roman"/>
          <w:sz w:val="24"/>
          <w:szCs w:val="24"/>
        </w:rPr>
        <w:t>(Robeyns, 2006)</w:t>
      </w:r>
      <w:r w:rsidR="009D0D10" w:rsidRPr="00AA2949">
        <w:rPr>
          <w:rFonts w:ascii="Times New Roman" w:hAnsi="Times New Roman" w:cs="Times New Roman"/>
          <w:color w:val="000000"/>
          <w:sz w:val="24"/>
          <w:szCs w:val="24"/>
          <w:shd w:val="clear" w:color="auto" w:fill="FFFFFF"/>
        </w:rPr>
        <w:t>.</w:t>
      </w:r>
      <w:r w:rsidR="00F979B4" w:rsidRPr="00AA2949">
        <w:rPr>
          <w:rFonts w:ascii="Times New Roman" w:hAnsi="Times New Roman" w:cs="Times New Roman"/>
          <w:color w:val="000000"/>
          <w:sz w:val="24"/>
          <w:szCs w:val="24"/>
          <w:shd w:val="clear" w:color="auto" w:fill="FFFFFF"/>
        </w:rPr>
        <w:t xml:space="preserve"> </w:t>
      </w:r>
      <w:r w:rsidR="009D0D10" w:rsidRPr="00AA2949">
        <w:rPr>
          <w:rFonts w:ascii="Times New Roman" w:hAnsi="Times New Roman" w:cs="Times New Roman"/>
          <w:sz w:val="24"/>
          <w:szCs w:val="24"/>
        </w:rPr>
        <w:t>Sen’s theory is the starting point for the human development approach: the idea that the purpose of development is to improve human lives by expanding the range of things that a person can be and do, such as to be healthy and well nourished, to be knowledgeable, and to participate in community life.</w:t>
      </w:r>
      <w:r w:rsidR="00F979B4" w:rsidRPr="00AA2949">
        <w:rPr>
          <w:rFonts w:ascii="Times New Roman" w:hAnsi="Times New Roman" w:cs="Times New Roman"/>
          <w:sz w:val="24"/>
          <w:szCs w:val="24"/>
        </w:rPr>
        <w:t xml:space="preserve"> </w:t>
      </w:r>
      <w:r w:rsidR="009D0D10" w:rsidRPr="00AA2949">
        <w:rPr>
          <w:rFonts w:ascii="Times New Roman" w:hAnsi="Times New Roman" w:cs="Times New Roman"/>
          <w:sz w:val="24"/>
          <w:szCs w:val="24"/>
        </w:rPr>
        <w:t>Thus human development becomes the process of enlarging a person’s capabilities to function, the range of things that a person could do and be in her life, expressed as expanding choices (</w:t>
      </w:r>
      <w:proofErr w:type="spellStart"/>
      <w:r w:rsidR="009D0D10" w:rsidRPr="00AA2949">
        <w:rPr>
          <w:rFonts w:ascii="Times New Roman" w:hAnsi="Times New Roman" w:cs="Times New Roman"/>
          <w:sz w:val="24"/>
          <w:szCs w:val="24"/>
        </w:rPr>
        <w:t>Sen</w:t>
      </w:r>
      <w:proofErr w:type="spellEnd"/>
      <w:r w:rsidR="009D0D10" w:rsidRPr="00AA2949">
        <w:rPr>
          <w:rFonts w:ascii="Times New Roman" w:hAnsi="Times New Roman" w:cs="Times New Roman"/>
          <w:sz w:val="24"/>
          <w:szCs w:val="24"/>
        </w:rPr>
        <w:t>, 1989).</w:t>
      </w:r>
      <w:r w:rsidR="00F979B4" w:rsidRPr="00AA2949">
        <w:rPr>
          <w:rFonts w:ascii="Times New Roman" w:hAnsi="Times New Roman" w:cs="Times New Roman"/>
          <w:sz w:val="24"/>
          <w:szCs w:val="24"/>
        </w:rPr>
        <w:t xml:space="preserve"> </w:t>
      </w:r>
    </w:p>
    <w:p w:rsidR="009D0D10" w:rsidRPr="00AA2949" w:rsidRDefault="009D0D10" w:rsidP="00F979B4">
      <w:pPr>
        <w:spacing w:after="0" w:line="240" w:lineRule="auto"/>
        <w:ind w:firstLine="720"/>
        <w:jc w:val="both"/>
        <w:rPr>
          <w:rStyle w:val="normaltextrun"/>
          <w:rFonts w:ascii="Times New Roman" w:hAnsi="Times New Roman" w:cs="Times New Roman"/>
          <w:color w:val="000000"/>
          <w:sz w:val="24"/>
          <w:szCs w:val="24"/>
          <w:shd w:val="clear" w:color="auto" w:fill="FFFFFF"/>
        </w:rPr>
      </w:pPr>
      <w:r w:rsidRPr="00AA2949">
        <w:rPr>
          <w:rFonts w:ascii="Times New Roman" w:hAnsi="Times New Roman" w:cs="Times New Roman"/>
          <w:sz w:val="24"/>
          <w:szCs w:val="24"/>
        </w:rPr>
        <w:t xml:space="preserve">There is a longstanding debate in the capabilities literature about the necessity of enumerating a list of capabilities; questioning whether there is a universally applicable and identifiable list of capabilities that all individuals have the potential to access, in spite of circumstance. </w:t>
      </w:r>
      <w:r w:rsidRPr="00AA2949">
        <w:rPr>
          <w:rFonts w:ascii="Times New Roman" w:hAnsi="Times New Roman" w:cs="Times New Roman"/>
          <w:color w:val="000000"/>
          <w:sz w:val="24"/>
          <w:szCs w:val="24"/>
          <w:shd w:val="clear" w:color="auto" w:fill="FFFFFF"/>
        </w:rPr>
        <w:t xml:space="preserve">Sen argues for the importance of public participation and dialogue in arriving at valued capabilities for each situation and context (e.g. 1992, 1999, </w:t>
      </w:r>
      <w:proofErr w:type="gramStart"/>
      <w:r w:rsidRPr="00AA2949">
        <w:rPr>
          <w:rFonts w:ascii="Times New Roman" w:hAnsi="Times New Roman" w:cs="Times New Roman"/>
          <w:color w:val="000000"/>
          <w:sz w:val="24"/>
          <w:szCs w:val="24"/>
          <w:shd w:val="clear" w:color="auto" w:fill="FFFFFF"/>
        </w:rPr>
        <w:t>2002</w:t>
      </w:r>
      <w:proofErr w:type="gramEnd"/>
      <w:r w:rsidRPr="00AA2949">
        <w:rPr>
          <w:rFonts w:ascii="Times New Roman" w:hAnsi="Times New Roman" w:cs="Times New Roman"/>
          <w:color w:val="000000"/>
          <w:sz w:val="24"/>
          <w:szCs w:val="24"/>
          <w:shd w:val="clear" w:color="auto" w:fill="FFFFFF"/>
        </w:rPr>
        <w:t xml:space="preserve">); he leaves his framework deliberately vague, because of the importance to him that communities decide what capabilities count as valuable. </w:t>
      </w:r>
      <w:r w:rsidRPr="00AA2949">
        <w:rPr>
          <w:rFonts w:ascii="Times New Roman" w:hAnsi="Times New Roman" w:cs="Times New Roman"/>
          <w:sz w:val="24"/>
          <w:szCs w:val="24"/>
        </w:rPr>
        <w:t>Nussbaum</w:t>
      </w:r>
      <w:r w:rsidR="003D4A69" w:rsidRPr="00AA2949">
        <w:rPr>
          <w:rFonts w:ascii="Times New Roman" w:hAnsi="Times New Roman" w:cs="Times New Roman"/>
          <w:sz w:val="24"/>
          <w:szCs w:val="24"/>
        </w:rPr>
        <w:t xml:space="preserve"> (2000)</w:t>
      </w:r>
      <w:r w:rsidRPr="00AA2949">
        <w:rPr>
          <w:rFonts w:ascii="Times New Roman" w:hAnsi="Times New Roman" w:cs="Times New Roman"/>
          <w:sz w:val="24"/>
          <w:szCs w:val="24"/>
        </w:rPr>
        <w:t xml:space="preserve">, on the other hand, argues the case for a universal, cross-cultural list of central capabilities for human flourishing, even one that is provisional and open to debate. </w:t>
      </w:r>
      <w:r w:rsidRPr="00AA2949">
        <w:rPr>
          <w:rFonts w:ascii="Times New Roman" w:hAnsi="Times New Roman" w:cs="Times New Roman"/>
          <w:color w:val="000000"/>
          <w:sz w:val="24"/>
          <w:szCs w:val="24"/>
          <w:shd w:val="clear" w:color="auto" w:fill="FFFFFF"/>
        </w:rPr>
        <w:t>She identifies ten central human capabilities which would need to be present for a fully good human life:</w:t>
      </w:r>
      <w:r w:rsidR="00F979B4" w:rsidRPr="00AA2949">
        <w:rPr>
          <w:rFonts w:ascii="Times New Roman" w:hAnsi="Times New Roman" w:cs="Times New Roman"/>
          <w:color w:val="000000"/>
          <w:sz w:val="24"/>
          <w:szCs w:val="24"/>
          <w:shd w:val="clear" w:color="auto" w:fill="FFFFFF"/>
        </w:rPr>
        <w:t xml:space="preserve"> </w:t>
      </w:r>
      <w:r w:rsidRPr="00AA2949">
        <w:rPr>
          <w:rFonts w:ascii="Times New Roman" w:hAnsi="Times New Roman" w:cs="Times New Roman"/>
          <w:color w:val="000000"/>
          <w:sz w:val="24"/>
          <w:szCs w:val="24"/>
          <w:shd w:val="clear" w:color="auto" w:fill="FFFFFF"/>
        </w:rPr>
        <w:t>bodily health; bodily integrity; senses, imagination and thought; emotions; practical reason; affiliation; other species; play; and control over one’s environment (Nussbaum, 2000: 78</w:t>
      </w:r>
      <w:r w:rsidR="00F979B4" w:rsidRPr="00AA2949">
        <w:rPr>
          <w:rFonts w:ascii="Times New Roman" w:hAnsi="Times New Roman" w:cs="Times New Roman"/>
          <w:color w:val="000000"/>
          <w:sz w:val="24"/>
          <w:szCs w:val="24"/>
          <w:shd w:val="clear" w:color="auto" w:fill="FFFFFF"/>
        </w:rPr>
        <w:t>–</w:t>
      </w:r>
      <w:r w:rsidRPr="00AA2949">
        <w:rPr>
          <w:rFonts w:ascii="Times New Roman" w:hAnsi="Times New Roman" w:cs="Times New Roman"/>
          <w:color w:val="000000"/>
          <w:sz w:val="24"/>
          <w:szCs w:val="24"/>
          <w:shd w:val="clear" w:color="auto" w:fill="FFFFFF"/>
        </w:rPr>
        <w:t xml:space="preserve">80). Others, such as </w:t>
      </w:r>
      <w:r w:rsidRPr="00AA2949">
        <w:rPr>
          <w:rStyle w:val="spellingerror"/>
          <w:rFonts w:ascii="Times New Roman" w:hAnsi="Times New Roman" w:cs="Times New Roman"/>
          <w:color w:val="000000"/>
          <w:sz w:val="24"/>
          <w:szCs w:val="24"/>
        </w:rPr>
        <w:t>Biggeri</w:t>
      </w:r>
      <w:r w:rsidRPr="00AA2949">
        <w:rPr>
          <w:rStyle w:val="normaltextrun"/>
          <w:rFonts w:ascii="Times New Roman" w:hAnsi="Times New Roman" w:cs="Times New Roman"/>
          <w:color w:val="000000"/>
          <w:sz w:val="24"/>
          <w:szCs w:val="24"/>
        </w:rPr>
        <w:t xml:space="preserve"> (2007), develop this list further by creating a capabilities index specifically for children, pointing out that a person’s capabilities may be compromised by decisions made on behalf of that person, specifically young children (Underwood </w:t>
      </w:r>
      <w:r w:rsidRPr="00AA2949">
        <w:rPr>
          <w:rStyle w:val="normaltextrun"/>
          <w:rFonts w:ascii="Times New Roman" w:hAnsi="Times New Roman" w:cs="Times New Roman"/>
          <w:iCs/>
          <w:color w:val="000000"/>
          <w:sz w:val="24"/>
          <w:szCs w:val="24"/>
        </w:rPr>
        <w:t>et al.</w:t>
      </w:r>
      <w:r w:rsidRPr="00AA2949">
        <w:rPr>
          <w:rStyle w:val="normaltextrun"/>
          <w:rFonts w:ascii="Times New Roman" w:hAnsi="Times New Roman" w:cs="Times New Roman"/>
          <w:color w:val="000000"/>
          <w:sz w:val="24"/>
          <w:szCs w:val="24"/>
        </w:rPr>
        <w:t>, 2015).</w:t>
      </w:r>
      <w:r w:rsidRPr="00AA2949">
        <w:rPr>
          <w:rFonts w:ascii="Times New Roman" w:hAnsi="Times New Roman" w:cs="Times New Roman"/>
          <w:color w:val="000000"/>
          <w:sz w:val="24"/>
          <w:szCs w:val="24"/>
          <w:shd w:val="clear" w:color="auto" w:fill="FFFFFF"/>
        </w:rPr>
        <w:t xml:space="preserve"> Sen suggests that education ought to enhance freedom, agency and wellbeing by “making one’s life richer with the opportunity of reflective choice” for a life of “genuine choices with serious options” (1992: 41), and enhancing “the ability of people to help themselves and to influence the world” (Sen, 1999: 18). In this way, the process of identifying capabilities entails some form of participatory and inclusive dialogue, however conceptualised (Saito, 2003). </w:t>
      </w:r>
      <w:r w:rsidRPr="00AA2949">
        <w:rPr>
          <w:rStyle w:val="normaltextrun"/>
          <w:rFonts w:ascii="Times New Roman" w:hAnsi="Times New Roman" w:cs="Times New Roman"/>
          <w:color w:val="000000"/>
          <w:sz w:val="24"/>
          <w:szCs w:val="24"/>
        </w:rPr>
        <w:t xml:space="preserve">Overall, Sen’s capability approach is based on human agency, meaning that a person is responsible for their own life and their own goals that matter to them. This is significant within a context in which agency has widely been acknowledged as being important to wellbeing (e.g. </w:t>
      </w:r>
      <w:r w:rsidRPr="00AA2949">
        <w:rPr>
          <w:rFonts w:ascii="Times New Roman" w:hAnsi="Times New Roman" w:cs="Times New Roman"/>
          <w:sz w:val="24"/>
          <w:szCs w:val="24"/>
          <w:shd w:val="clear" w:color="auto" w:fill="FFFFFF"/>
        </w:rPr>
        <w:t xml:space="preserve">Hojman &amp; Miranda, 2018; </w:t>
      </w:r>
      <w:r w:rsidRPr="00AA2949">
        <w:rPr>
          <w:rFonts w:ascii="Times New Roman" w:hAnsi="Times New Roman" w:cs="Times New Roman"/>
          <w:sz w:val="24"/>
          <w:szCs w:val="24"/>
          <w:shd w:val="clear" w:color="auto" w:fill="FFFFFF"/>
        </w:rPr>
        <w:lastRenderedPageBreak/>
        <w:t>Welzel &amp; Inglehart, 2010</w:t>
      </w:r>
      <w:r w:rsidRPr="00AA2949">
        <w:rPr>
          <w:rStyle w:val="normaltextrun"/>
          <w:rFonts w:ascii="Times New Roman" w:hAnsi="Times New Roman" w:cs="Times New Roman"/>
          <w:color w:val="000000"/>
          <w:sz w:val="24"/>
          <w:szCs w:val="24"/>
        </w:rPr>
        <w:t xml:space="preserve">), particularly the wellbeing of children (Fattore, Mason &amp; Watson, 2007). </w:t>
      </w:r>
    </w:p>
    <w:p w:rsidR="00305B31" w:rsidRPr="00AA2949" w:rsidRDefault="009D0D10" w:rsidP="00F979B4">
      <w:pPr>
        <w:pStyle w:val="paragraph"/>
        <w:spacing w:before="0" w:beforeAutospacing="0" w:after="0" w:afterAutospacing="0"/>
        <w:ind w:firstLine="720"/>
        <w:jc w:val="both"/>
        <w:textAlignment w:val="baseline"/>
        <w:rPr>
          <w:rStyle w:val="normaltextrun"/>
          <w:rFonts w:eastAsiaTheme="minorEastAsia"/>
          <w:color w:val="000000"/>
        </w:rPr>
      </w:pPr>
      <w:r w:rsidRPr="00AA2949">
        <w:rPr>
          <w:rStyle w:val="normaltextrun"/>
          <w:rFonts w:eastAsiaTheme="minorEastAsia"/>
          <w:color w:val="000000"/>
        </w:rPr>
        <w:t xml:space="preserve">The belief that capabilities influence wellbeing has been tested </w:t>
      </w:r>
      <w:r w:rsidR="000E5AC5" w:rsidRPr="00AA2949">
        <w:rPr>
          <w:rStyle w:val="normaltextrun"/>
          <w:rFonts w:eastAsiaTheme="minorEastAsia"/>
          <w:color w:val="000000"/>
        </w:rPr>
        <w:t>in</w:t>
      </w:r>
      <w:r w:rsidRPr="00AA2949">
        <w:rPr>
          <w:rStyle w:val="normaltextrun"/>
          <w:rFonts w:eastAsiaTheme="minorEastAsia"/>
          <w:color w:val="000000"/>
        </w:rPr>
        <w:t xml:space="preserve"> a number of studies: for example, Van </w:t>
      </w:r>
      <w:r w:rsidRPr="00AA2949">
        <w:rPr>
          <w:rStyle w:val="spellingerror"/>
          <w:color w:val="000000"/>
        </w:rPr>
        <w:t>Ootegem</w:t>
      </w:r>
      <w:r w:rsidRPr="00AA2949">
        <w:rPr>
          <w:rStyle w:val="normaltextrun"/>
          <w:rFonts w:eastAsiaTheme="minorEastAsia"/>
          <w:color w:val="000000"/>
        </w:rPr>
        <w:t xml:space="preserve"> and </w:t>
      </w:r>
      <w:r w:rsidRPr="00AA2949">
        <w:rPr>
          <w:rStyle w:val="spellingerror"/>
          <w:color w:val="000000"/>
        </w:rPr>
        <w:t>Verhodstadt</w:t>
      </w:r>
      <w:r w:rsidRPr="00AA2949">
        <w:rPr>
          <w:rStyle w:val="normaltextrun"/>
          <w:rFonts w:eastAsiaTheme="minorEastAsia"/>
          <w:color w:val="000000"/>
        </w:rPr>
        <w:t xml:space="preserve"> (2012) found capabilities to be a successful alternative measure for wellbeing (using life satisfaction as an interpretation of wellbeing); M</w:t>
      </w:r>
      <w:r w:rsidRPr="00AA2949">
        <w:rPr>
          <w:rStyle w:val="spellingerror"/>
          <w:color w:val="000000"/>
        </w:rPr>
        <w:t>uffels</w:t>
      </w:r>
      <w:r w:rsidRPr="00AA2949">
        <w:rPr>
          <w:rStyle w:val="normaltextrun"/>
          <w:rFonts w:eastAsiaTheme="minorEastAsia"/>
          <w:color w:val="000000"/>
        </w:rPr>
        <w:t xml:space="preserve"> and Headey (2013) suggest that both subjective and objective wellbeing are the outcome of the interaction process between capabilities and choices; and Anand, Hunter and Smith (2005) found a significant relationship between subjective wellbeing and capabilities.</w:t>
      </w:r>
    </w:p>
    <w:p w:rsidR="004F78B7" w:rsidRPr="00AA2949" w:rsidRDefault="003D4A69" w:rsidP="00F979B4">
      <w:pPr>
        <w:pStyle w:val="paragraph"/>
        <w:spacing w:before="0" w:beforeAutospacing="0" w:after="0" w:afterAutospacing="0"/>
        <w:ind w:firstLine="709"/>
        <w:jc w:val="both"/>
        <w:textAlignment w:val="baseline"/>
        <w:rPr>
          <w:rStyle w:val="normaltextrun"/>
          <w:rFonts w:eastAsiaTheme="minorEastAsia"/>
        </w:rPr>
      </w:pPr>
      <w:r w:rsidRPr="00AA2949">
        <w:rPr>
          <w:rStyle w:val="normaltextrun"/>
          <w:rFonts w:eastAsiaTheme="minorEastAsia"/>
          <w:color w:val="000000"/>
        </w:rPr>
        <w:t>Our</w:t>
      </w:r>
      <w:r w:rsidR="004F78B7" w:rsidRPr="00AA2949">
        <w:rPr>
          <w:rStyle w:val="normaltextrun"/>
          <w:rFonts w:eastAsiaTheme="minorEastAsia"/>
          <w:color w:val="000000"/>
        </w:rPr>
        <w:t xml:space="preserve"> </w:t>
      </w:r>
      <w:r w:rsidRPr="00AA2949">
        <w:rPr>
          <w:rStyle w:val="normaltextrun"/>
          <w:rFonts w:eastAsiaTheme="minorEastAsia"/>
          <w:color w:val="000000"/>
        </w:rPr>
        <w:t>forth</w:t>
      </w:r>
      <w:r w:rsidR="004F78B7" w:rsidRPr="00AA2949">
        <w:rPr>
          <w:rStyle w:val="normaltextrun"/>
          <w:rFonts w:eastAsiaTheme="minorEastAsia"/>
          <w:color w:val="000000"/>
        </w:rPr>
        <w:t>coming publication will e</w:t>
      </w:r>
      <w:r w:rsidR="000E5AC5" w:rsidRPr="00AA2949">
        <w:rPr>
          <w:rStyle w:val="normaltextrun"/>
          <w:rFonts w:eastAsiaTheme="minorEastAsia"/>
          <w:color w:val="000000"/>
        </w:rPr>
        <w:t>xplore the way in which the aforementioned</w:t>
      </w:r>
      <w:r w:rsidR="004F78B7" w:rsidRPr="00AA2949">
        <w:rPr>
          <w:rStyle w:val="normaltextrun"/>
          <w:rFonts w:eastAsiaTheme="minorEastAsia"/>
          <w:color w:val="000000"/>
        </w:rPr>
        <w:t xml:space="preserve"> lists of capabilities map onto sustainability as it emerges from the United Nations</w:t>
      </w:r>
      <w:r w:rsidRPr="00AA2949">
        <w:rPr>
          <w:rStyle w:val="normaltextrun"/>
          <w:rFonts w:eastAsiaTheme="minorEastAsia"/>
          <w:color w:val="000000"/>
        </w:rPr>
        <w:t>’</w:t>
      </w:r>
      <w:r w:rsidR="004F78B7" w:rsidRPr="00AA2949">
        <w:rPr>
          <w:rStyle w:val="normaltextrun"/>
          <w:rFonts w:eastAsiaTheme="minorEastAsia"/>
          <w:color w:val="000000"/>
        </w:rPr>
        <w:t xml:space="preserve"> </w:t>
      </w:r>
      <w:r w:rsidRPr="00AA2949">
        <w:rPr>
          <w:rStyle w:val="normaltextrun"/>
          <w:rFonts w:eastAsiaTheme="minorEastAsia"/>
          <w:color w:val="000000"/>
        </w:rPr>
        <w:t>Sustainable Development Goals</w:t>
      </w:r>
      <w:r w:rsidR="004F78B7" w:rsidRPr="00AA2949">
        <w:rPr>
          <w:rStyle w:val="normaltextrun"/>
          <w:rFonts w:eastAsiaTheme="minorEastAsia"/>
          <w:color w:val="000000"/>
        </w:rPr>
        <w:t>.</w:t>
      </w:r>
      <w:r w:rsidR="00F979B4" w:rsidRPr="00AA2949">
        <w:rPr>
          <w:rStyle w:val="normaltextrun"/>
          <w:rFonts w:eastAsiaTheme="minorEastAsia"/>
          <w:color w:val="000000"/>
        </w:rPr>
        <w:t xml:space="preserve"> </w:t>
      </w:r>
      <w:r w:rsidR="004F78B7" w:rsidRPr="00AA2949">
        <w:rPr>
          <w:rStyle w:val="normaltextrun"/>
          <w:rFonts w:eastAsiaTheme="minorEastAsia"/>
          <w:color w:val="000000"/>
        </w:rPr>
        <w:t xml:space="preserve">We have been able to show that there is a strong synergy between what the </w:t>
      </w:r>
      <w:r w:rsidRPr="00AA2949">
        <w:rPr>
          <w:rStyle w:val="normaltextrun"/>
          <w:rFonts w:eastAsiaTheme="minorEastAsia"/>
          <w:color w:val="000000"/>
        </w:rPr>
        <w:t xml:space="preserve">Sustainable Development Goals </w:t>
      </w:r>
      <w:r w:rsidR="004F78B7" w:rsidRPr="00AA2949">
        <w:rPr>
          <w:rStyle w:val="normaltextrun"/>
          <w:rFonts w:eastAsiaTheme="minorEastAsia"/>
          <w:color w:val="000000"/>
        </w:rPr>
        <w:t>are trying to achieve and what the capability approach is trying to achieve.</w:t>
      </w:r>
      <w:r w:rsidR="00F979B4" w:rsidRPr="00AA2949">
        <w:rPr>
          <w:rStyle w:val="normaltextrun"/>
          <w:rFonts w:eastAsiaTheme="minorEastAsia"/>
          <w:color w:val="000000"/>
        </w:rPr>
        <w:t xml:space="preserve"> </w:t>
      </w:r>
      <w:r w:rsidR="004F78B7" w:rsidRPr="00AA2949">
        <w:rPr>
          <w:rStyle w:val="normaltextrun"/>
          <w:rFonts w:eastAsiaTheme="minorEastAsia"/>
          <w:color w:val="000000"/>
        </w:rPr>
        <w:t xml:space="preserve">It is also important to note here </w:t>
      </w:r>
      <w:r w:rsidRPr="00AA2949">
        <w:rPr>
          <w:rStyle w:val="normaltextrun"/>
          <w:rFonts w:eastAsiaTheme="minorEastAsia"/>
          <w:color w:val="000000"/>
        </w:rPr>
        <w:t xml:space="preserve">that </w:t>
      </w:r>
      <w:r w:rsidR="004F78B7" w:rsidRPr="00AA2949">
        <w:rPr>
          <w:rStyle w:val="normaltextrun"/>
          <w:rFonts w:eastAsiaTheme="minorEastAsia"/>
        </w:rPr>
        <w:t>Sen’s capability approach holds that the natural world is important to human wellbeing (Anand &amp; Sen, 1994); although this is significant, it does attribute instrumental value to nature, considering how it can be of benefit to people-centred development (Watene, 2016), rather than having its own intrinsic value (Sneddon</w:t>
      </w:r>
      <w:r w:rsidR="00F979B4" w:rsidRPr="00AA2949">
        <w:rPr>
          <w:rStyle w:val="normaltextrun"/>
          <w:rFonts w:eastAsiaTheme="minorEastAsia"/>
        </w:rPr>
        <w:t>, Howarth &amp; Norgaard</w:t>
      </w:r>
      <w:r w:rsidR="004F78B7" w:rsidRPr="00AA2949">
        <w:rPr>
          <w:rStyle w:val="normaltextrun"/>
          <w:rFonts w:eastAsiaTheme="minorEastAsia"/>
        </w:rPr>
        <w:t xml:space="preserve">, 2006). However, the literature on this is not consistent; for example, Nussbaum’s (2000) central capabilities include respect for other species and nature, whilst </w:t>
      </w:r>
      <w:r w:rsidR="004F78B7" w:rsidRPr="00AA2949">
        <w:t>Ballet, Koffi and Pelenc (2013) suggest that human wellbeing should be considered equal to the preservation of natural resources.</w:t>
      </w:r>
      <w:r w:rsidR="00F979B4" w:rsidRPr="00AA2949">
        <w:rPr>
          <w:rStyle w:val="normaltextrun"/>
          <w:rFonts w:eastAsiaTheme="minorEastAsia"/>
        </w:rPr>
        <w:t xml:space="preserve"> </w:t>
      </w:r>
    </w:p>
    <w:p w:rsidR="00583CC9" w:rsidRPr="00AA2949" w:rsidRDefault="004F78B7" w:rsidP="00F979B4">
      <w:pPr>
        <w:pStyle w:val="paragraph"/>
        <w:spacing w:before="0" w:beforeAutospacing="0" w:after="0" w:afterAutospacing="0"/>
        <w:ind w:firstLine="709"/>
        <w:jc w:val="both"/>
        <w:textAlignment w:val="baseline"/>
        <w:rPr>
          <w:rStyle w:val="normaltextrun"/>
          <w:rFonts w:eastAsiaTheme="minorEastAsia"/>
        </w:rPr>
      </w:pPr>
      <w:r w:rsidRPr="00AA2949">
        <w:rPr>
          <w:rStyle w:val="normaltextrun"/>
          <w:rFonts w:eastAsiaTheme="minorEastAsia"/>
        </w:rPr>
        <w:t xml:space="preserve">This </w:t>
      </w:r>
      <w:r w:rsidR="00470391" w:rsidRPr="00AA2949">
        <w:rPr>
          <w:rStyle w:val="normaltextrun"/>
          <w:rFonts w:eastAsiaTheme="minorEastAsia"/>
        </w:rPr>
        <w:t>latter position is an invitation for thinking with a post</w:t>
      </w:r>
      <w:r w:rsidR="003D4A69" w:rsidRPr="00AA2949">
        <w:rPr>
          <w:rStyle w:val="normaltextrun"/>
          <w:rFonts w:eastAsiaTheme="minorEastAsia"/>
        </w:rPr>
        <w:t>-</w:t>
      </w:r>
      <w:r w:rsidR="00470391" w:rsidRPr="00AA2949">
        <w:rPr>
          <w:rStyle w:val="normaltextrun"/>
          <w:rFonts w:eastAsiaTheme="minorEastAsia"/>
        </w:rPr>
        <w:t>human perspective about the role of wild, natural and outdoor places in the establishment and maintenance of positive subjective wellbeing.</w:t>
      </w:r>
      <w:r w:rsidR="00F979B4" w:rsidRPr="00AA2949">
        <w:rPr>
          <w:rStyle w:val="normaltextrun"/>
          <w:rFonts w:eastAsiaTheme="minorEastAsia"/>
        </w:rPr>
        <w:t xml:space="preserve"> </w:t>
      </w:r>
      <w:r w:rsidR="00470391" w:rsidRPr="00AA2949">
        <w:rPr>
          <w:rStyle w:val="normaltextrun"/>
          <w:rFonts w:eastAsiaTheme="minorEastAsia"/>
        </w:rPr>
        <w:t>If we consider people to be a part of nature</w:t>
      </w:r>
      <w:r w:rsidR="000E5AC5" w:rsidRPr="00AA2949">
        <w:rPr>
          <w:rStyle w:val="normaltextrun"/>
          <w:rFonts w:eastAsiaTheme="minorEastAsia"/>
        </w:rPr>
        <w:t xml:space="preserve"> (</w:t>
      </w:r>
      <w:r w:rsidR="00B40681" w:rsidRPr="00AA2949">
        <w:rPr>
          <w:rStyle w:val="normaltextrun"/>
          <w:rFonts w:eastAsiaTheme="minorEastAsia"/>
        </w:rPr>
        <w:t>Haraway,</w:t>
      </w:r>
      <w:r w:rsidR="002D7B82" w:rsidRPr="00AA2949">
        <w:rPr>
          <w:rStyle w:val="normaltextrun"/>
          <w:rFonts w:eastAsiaTheme="minorEastAsia"/>
        </w:rPr>
        <w:t xml:space="preserve"> 2015</w:t>
      </w:r>
      <w:r w:rsidR="00B40681" w:rsidRPr="00AA2949">
        <w:rPr>
          <w:rStyle w:val="normaltextrun"/>
          <w:rFonts w:eastAsiaTheme="minorEastAsia"/>
        </w:rPr>
        <w:t>; Taylor, 2013, 2017</w:t>
      </w:r>
      <w:r w:rsidR="000E5AC5" w:rsidRPr="00AA2949">
        <w:rPr>
          <w:rStyle w:val="normaltextrun"/>
          <w:rFonts w:eastAsiaTheme="minorEastAsia"/>
        </w:rPr>
        <w:t>)</w:t>
      </w:r>
      <w:r w:rsidR="00470391" w:rsidRPr="00AA2949">
        <w:rPr>
          <w:rStyle w:val="normaltextrun"/>
          <w:rFonts w:eastAsiaTheme="minorEastAsia"/>
        </w:rPr>
        <w:t xml:space="preserve"> (</w:t>
      </w:r>
      <w:r w:rsidR="00583CC9" w:rsidRPr="00AA2949">
        <w:rPr>
          <w:rStyle w:val="normaltextrun"/>
          <w:rFonts w:eastAsiaTheme="minorEastAsia"/>
        </w:rPr>
        <w:t>as well as being apart from it</w:t>
      </w:r>
      <w:r w:rsidR="002C5418" w:rsidRPr="00AA2949">
        <w:rPr>
          <w:rStyle w:val="normaltextrun"/>
          <w:rFonts w:eastAsiaTheme="minorEastAsia"/>
        </w:rPr>
        <w:t>,</w:t>
      </w:r>
      <w:r w:rsidR="00583CC9" w:rsidRPr="00AA2949">
        <w:rPr>
          <w:rStyle w:val="normaltextrun"/>
          <w:rFonts w:eastAsiaTheme="minorEastAsia"/>
        </w:rPr>
        <w:t xml:space="preserve"> as has been argued elsewhere</w:t>
      </w:r>
      <w:r w:rsidR="002C5418" w:rsidRPr="00AA2949">
        <w:rPr>
          <w:rStyle w:val="normaltextrun"/>
          <w:rFonts w:eastAsiaTheme="minorEastAsia"/>
        </w:rPr>
        <w:t>,</w:t>
      </w:r>
      <w:r w:rsidR="00583CC9" w:rsidRPr="00AA2949">
        <w:rPr>
          <w:rStyle w:val="normaltextrun"/>
          <w:rFonts w:eastAsiaTheme="minorEastAsia"/>
        </w:rPr>
        <w:t xml:space="preserve"> e.g. Bonnet</w:t>
      </w:r>
      <w:r w:rsidR="00B40681" w:rsidRPr="00AA2949">
        <w:rPr>
          <w:rStyle w:val="normaltextrun"/>
          <w:rFonts w:eastAsiaTheme="minorEastAsia"/>
        </w:rPr>
        <w:t>, 2012</w:t>
      </w:r>
      <w:r w:rsidR="000E5AC5" w:rsidRPr="00AA2949">
        <w:rPr>
          <w:rStyle w:val="normaltextrun"/>
          <w:rFonts w:eastAsiaTheme="minorEastAsia"/>
        </w:rPr>
        <w:t>;</w:t>
      </w:r>
      <w:r w:rsidR="00583CC9" w:rsidRPr="00AA2949">
        <w:rPr>
          <w:rStyle w:val="normaltextrun"/>
          <w:rFonts w:eastAsiaTheme="minorEastAsia"/>
        </w:rPr>
        <w:t xml:space="preserve"> Lee et al</w:t>
      </w:r>
      <w:r w:rsidR="002C5418" w:rsidRPr="00AA2949">
        <w:rPr>
          <w:rStyle w:val="normaltextrun"/>
          <w:rFonts w:eastAsiaTheme="minorEastAsia"/>
        </w:rPr>
        <w:t>.</w:t>
      </w:r>
      <w:r w:rsidR="00583CC9" w:rsidRPr="00AA2949">
        <w:rPr>
          <w:rStyle w:val="normaltextrun"/>
          <w:rFonts w:eastAsiaTheme="minorEastAsia"/>
        </w:rPr>
        <w:t>,</w:t>
      </w:r>
      <w:r w:rsidR="002D7B82" w:rsidRPr="00AA2949">
        <w:rPr>
          <w:rStyle w:val="normaltextrun"/>
          <w:rFonts w:eastAsiaTheme="minorEastAsia"/>
        </w:rPr>
        <w:t xml:space="preserve"> 2018</w:t>
      </w:r>
      <w:r w:rsidR="00D91CFE" w:rsidRPr="00AA2949">
        <w:rPr>
          <w:rStyle w:val="normaltextrun"/>
          <w:rFonts w:eastAsiaTheme="minorEastAsia"/>
        </w:rPr>
        <w:t>), entangled</w:t>
      </w:r>
      <w:r w:rsidR="00583CC9" w:rsidRPr="00AA2949">
        <w:rPr>
          <w:rStyle w:val="normaltextrun"/>
          <w:rFonts w:eastAsiaTheme="minorEastAsia"/>
        </w:rPr>
        <w:t xml:space="preserve"> and implicit in its fate, then we have to accept that a threat to nature (such as climate breakdown) is also a threat to humanity and that this is likely to have a very significant impact on our mental health and wellbeing.</w:t>
      </w:r>
      <w:r w:rsidR="00F979B4" w:rsidRPr="00AA2949">
        <w:rPr>
          <w:rStyle w:val="normaltextrun"/>
          <w:rFonts w:eastAsiaTheme="minorEastAsia"/>
        </w:rPr>
        <w:t xml:space="preserve"> </w:t>
      </w:r>
      <w:r w:rsidR="00583CC9" w:rsidRPr="00AA2949">
        <w:rPr>
          <w:rStyle w:val="normaltextrun"/>
          <w:rFonts w:eastAsiaTheme="minorEastAsia"/>
        </w:rPr>
        <w:t>From this point of inherence</w:t>
      </w:r>
      <w:r w:rsidR="001708B7" w:rsidRPr="00AA2949">
        <w:rPr>
          <w:rStyle w:val="normaltextrun"/>
          <w:rFonts w:eastAsiaTheme="minorEastAsia"/>
        </w:rPr>
        <w:t>,</w:t>
      </w:r>
      <w:r w:rsidR="00583CC9" w:rsidRPr="00AA2949">
        <w:rPr>
          <w:rStyle w:val="normaltextrun"/>
          <w:rFonts w:eastAsiaTheme="minorEastAsia"/>
        </w:rPr>
        <w:t xml:space="preserve"> it becomes necessary for us to think about our wellbeing as </w:t>
      </w:r>
      <w:r w:rsidR="00920BD3" w:rsidRPr="00AA2949">
        <w:rPr>
          <w:rStyle w:val="normaltextrun"/>
          <w:rFonts w:eastAsiaTheme="minorEastAsia"/>
        </w:rPr>
        <w:t xml:space="preserve">entwined </w:t>
      </w:r>
      <w:r w:rsidR="00583CC9" w:rsidRPr="00AA2949">
        <w:rPr>
          <w:rStyle w:val="normaltextrun"/>
          <w:rFonts w:eastAsiaTheme="minorEastAsia"/>
        </w:rPr>
        <w:t>with that of the rest of the biosphere</w:t>
      </w:r>
      <w:r w:rsidR="000910FF" w:rsidRPr="00AA2949">
        <w:rPr>
          <w:rStyle w:val="normaltextrun"/>
          <w:rFonts w:eastAsiaTheme="minorEastAsia"/>
        </w:rPr>
        <w:t xml:space="preserve">, </w:t>
      </w:r>
      <w:r w:rsidR="00920BD3" w:rsidRPr="00AA2949">
        <w:rPr>
          <w:rStyle w:val="normaltextrun"/>
          <w:rFonts w:eastAsiaTheme="minorEastAsia"/>
        </w:rPr>
        <w:t>and that our fate is implicit in the fate of the biosp</w:t>
      </w:r>
      <w:r w:rsidR="003D4A69" w:rsidRPr="00AA2949">
        <w:rPr>
          <w:rStyle w:val="normaltextrun"/>
          <w:rFonts w:eastAsiaTheme="minorEastAsia"/>
        </w:rPr>
        <w:t>h</w:t>
      </w:r>
      <w:r w:rsidR="00920BD3" w:rsidRPr="00AA2949">
        <w:rPr>
          <w:rStyle w:val="normaltextrun"/>
          <w:rFonts w:eastAsiaTheme="minorEastAsia"/>
        </w:rPr>
        <w:t>ere</w:t>
      </w:r>
      <w:r w:rsidR="000910FF" w:rsidRPr="00AA2949">
        <w:rPr>
          <w:rStyle w:val="normaltextrun"/>
          <w:rFonts w:eastAsiaTheme="minorEastAsia"/>
        </w:rPr>
        <w:t>.</w:t>
      </w:r>
      <w:r w:rsidR="00F979B4" w:rsidRPr="00AA2949">
        <w:rPr>
          <w:rStyle w:val="normaltextrun"/>
          <w:rFonts w:eastAsiaTheme="minorEastAsia"/>
        </w:rPr>
        <w:t xml:space="preserve"> </w:t>
      </w:r>
      <w:r w:rsidR="000910FF" w:rsidRPr="00AA2949">
        <w:rPr>
          <w:rStyle w:val="normaltextrun"/>
          <w:rFonts w:eastAsiaTheme="minorEastAsia"/>
        </w:rPr>
        <w:t xml:space="preserve">However, </w:t>
      </w:r>
      <w:r w:rsidR="00583CC9" w:rsidRPr="00AA2949">
        <w:rPr>
          <w:rStyle w:val="normaltextrun"/>
          <w:rFonts w:eastAsiaTheme="minorEastAsia"/>
        </w:rPr>
        <w:t>it also becomes c</w:t>
      </w:r>
      <w:r w:rsidR="000910FF" w:rsidRPr="00AA2949">
        <w:rPr>
          <w:rStyle w:val="normaltextrun"/>
          <w:rFonts w:eastAsiaTheme="minorEastAsia"/>
        </w:rPr>
        <w:t xml:space="preserve">lear that the </w:t>
      </w:r>
      <w:r w:rsidR="00583CC9" w:rsidRPr="00AA2949">
        <w:rPr>
          <w:rStyle w:val="normaltextrun"/>
          <w:rFonts w:eastAsiaTheme="minorEastAsia"/>
        </w:rPr>
        <w:t>process of indoorisation and disenfranchisemen</w:t>
      </w:r>
      <w:r w:rsidR="001708B7" w:rsidRPr="00AA2949">
        <w:rPr>
          <w:rStyle w:val="normaltextrun"/>
          <w:rFonts w:eastAsiaTheme="minorEastAsia"/>
        </w:rPr>
        <w:t>t of childhood</w:t>
      </w:r>
      <w:r w:rsidR="00583CC9" w:rsidRPr="00AA2949">
        <w:rPr>
          <w:rStyle w:val="normaltextrun"/>
          <w:rFonts w:eastAsiaTheme="minorEastAsia"/>
        </w:rPr>
        <w:t xml:space="preserve"> that </w:t>
      </w:r>
      <w:r w:rsidR="002E5A33" w:rsidRPr="00AA2949">
        <w:rPr>
          <w:rStyle w:val="normaltextrun"/>
          <w:rFonts w:eastAsiaTheme="minorEastAsia"/>
        </w:rPr>
        <w:t>has happened</w:t>
      </w:r>
      <w:r w:rsidR="00583CC9" w:rsidRPr="00AA2949">
        <w:rPr>
          <w:rStyle w:val="normaltextrun"/>
          <w:rFonts w:eastAsiaTheme="minorEastAsia"/>
        </w:rPr>
        <w:t xml:space="preserve"> over the past few decade</w:t>
      </w:r>
      <w:r w:rsidR="000910FF" w:rsidRPr="00AA2949">
        <w:rPr>
          <w:rStyle w:val="normaltextrun"/>
          <w:rFonts w:eastAsiaTheme="minorEastAsia"/>
        </w:rPr>
        <w:t>s has involved a disjuncture, resulting in a sense of separateness and a heightene</w:t>
      </w:r>
      <w:r w:rsidR="00B40681" w:rsidRPr="00AA2949">
        <w:rPr>
          <w:rStyle w:val="normaltextrun"/>
          <w:rFonts w:eastAsiaTheme="minorEastAsia"/>
        </w:rPr>
        <w:t>d awareness of what Bonnet (2012) and others refer to as the exceptionalism</w:t>
      </w:r>
      <w:r w:rsidR="000910FF" w:rsidRPr="00AA2949">
        <w:rPr>
          <w:rStyle w:val="normaltextrun"/>
          <w:rFonts w:eastAsiaTheme="minorEastAsia"/>
        </w:rPr>
        <w:t xml:space="preserve"> of humanity from nature.</w:t>
      </w:r>
      <w:r w:rsidR="00F979B4" w:rsidRPr="00AA2949">
        <w:rPr>
          <w:rStyle w:val="normaltextrun"/>
          <w:rFonts w:eastAsiaTheme="minorEastAsia"/>
        </w:rPr>
        <w:t xml:space="preserve"> </w:t>
      </w:r>
      <w:r w:rsidR="000910FF" w:rsidRPr="00AA2949">
        <w:rPr>
          <w:rStyle w:val="normaltextrun"/>
          <w:rFonts w:eastAsiaTheme="minorEastAsia"/>
        </w:rPr>
        <w:t xml:space="preserve">This sense of disjuncture </w:t>
      </w:r>
      <w:r w:rsidR="00E51D32" w:rsidRPr="00AA2949">
        <w:rPr>
          <w:rStyle w:val="normaltextrun"/>
          <w:rFonts w:eastAsiaTheme="minorEastAsia"/>
        </w:rPr>
        <w:t>might serve</w:t>
      </w:r>
      <w:r w:rsidR="000910FF" w:rsidRPr="00AA2949">
        <w:rPr>
          <w:rStyle w:val="normaltextrun"/>
          <w:rFonts w:eastAsiaTheme="minorEastAsia"/>
        </w:rPr>
        <w:t xml:space="preserve"> the purpose of an anthropocentric existence that treats the planet as a resource or a service (language like </w:t>
      </w:r>
      <w:r w:rsidR="003D4A69" w:rsidRPr="00AA2949">
        <w:rPr>
          <w:rStyle w:val="normaltextrun"/>
          <w:rFonts w:eastAsiaTheme="minorEastAsia"/>
        </w:rPr>
        <w:t>“</w:t>
      </w:r>
      <w:r w:rsidR="000910FF" w:rsidRPr="00AA2949">
        <w:rPr>
          <w:rStyle w:val="normaltextrun"/>
          <w:rFonts w:eastAsiaTheme="minorEastAsia"/>
        </w:rPr>
        <w:t>resource depletion</w:t>
      </w:r>
      <w:r w:rsidR="003D4A69" w:rsidRPr="00AA2949">
        <w:rPr>
          <w:rStyle w:val="normaltextrun"/>
          <w:rFonts w:eastAsiaTheme="minorEastAsia"/>
        </w:rPr>
        <w:t>”</w:t>
      </w:r>
      <w:r w:rsidR="000910FF" w:rsidRPr="00AA2949">
        <w:rPr>
          <w:rStyle w:val="normaltextrun"/>
          <w:rFonts w:eastAsiaTheme="minorEastAsia"/>
        </w:rPr>
        <w:t xml:space="preserve"> and </w:t>
      </w:r>
      <w:r w:rsidR="003D4A69" w:rsidRPr="00AA2949">
        <w:rPr>
          <w:rStyle w:val="normaltextrun"/>
          <w:rFonts w:eastAsiaTheme="minorEastAsia"/>
        </w:rPr>
        <w:t>“</w:t>
      </w:r>
      <w:r w:rsidR="000910FF" w:rsidRPr="00AA2949">
        <w:rPr>
          <w:rStyle w:val="normaltextrun"/>
          <w:rFonts w:eastAsiaTheme="minorEastAsia"/>
        </w:rPr>
        <w:t>ecosystem services</w:t>
      </w:r>
      <w:r w:rsidR="003D4A69" w:rsidRPr="00AA2949">
        <w:rPr>
          <w:rStyle w:val="normaltextrun"/>
          <w:rFonts w:eastAsiaTheme="minorEastAsia"/>
        </w:rPr>
        <w:t>”</w:t>
      </w:r>
      <w:r w:rsidR="000910FF" w:rsidRPr="00AA2949">
        <w:rPr>
          <w:rStyle w:val="normaltextrun"/>
          <w:rFonts w:eastAsiaTheme="minorEastAsia"/>
        </w:rPr>
        <w:t xml:space="preserve"> are indicators of this ki</w:t>
      </w:r>
      <w:r w:rsidR="00E51D32" w:rsidRPr="00AA2949">
        <w:rPr>
          <w:rStyle w:val="normaltextrun"/>
          <w:rFonts w:eastAsiaTheme="minorEastAsia"/>
        </w:rPr>
        <w:t>nd of thinking), and something we are in control of.</w:t>
      </w:r>
      <w:r w:rsidR="00F979B4" w:rsidRPr="00AA2949">
        <w:rPr>
          <w:rStyle w:val="normaltextrun"/>
          <w:rFonts w:eastAsiaTheme="minorEastAsia"/>
        </w:rPr>
        <w:t xml:space="preserve"> </w:t>
      </w:r>
      <w:r w:rsidR="00E51D32" w:rsidRPr="00AA2949">
        <w:rPr>
          <w:rStyle w:val="normaltextrun"/>
          <w:rFonts w:eastAsiaTheme="minorEastAsia"/>
        </w:rPr>
        <w:t>However, the sense of wellbeing and happiness that is derived from being a part of something greater than ourselves, of being an inherent but tiny part of a beautiful and awe</w:t>
      </w:r>
      <w:r w:rsidR="003D4A69" w:rsidRPr="00AA2949">
        <w:rPr>
          <w:rStyle w:val="normaltextrun"/>
          <w:rFonts w:eastAsiaTheme="minorEastAsia"/>
        </w:rPr>
        <w:t>-</w:t>
      </w:r>
      <w:r w:rsidR="00E51D32" w:rsidRPr="00AA2949">
        <w:rPr>
          <w:rStyle w:val="normaltextrun"/>
          <w:rFonts w:eastAsiaTheme="minorEastAsia"/>
        </w:rPr>
        <w:t>inspiring biodiversity</w:t>
      </w:r>
      <w:r w:rsidR="003D4A69" w:rsidRPr="00AA2949">
        <w:rPr>
          <w:rStyle w:val="normaltextrun"/>
          <w:rFonts w:eastAsiaTheme="minorEastAsia"/>
        </w:rPr>
        <w:t>,</w:t>
      </w:r>
      <w:r w:rsidR="00E51D32" w:rsidRPr="00AA2949">
        <w:rPr>
          <w:rStyle w:val="normaltextrun"/>
          <w:rFonts w:eastAsiaTheme="minorEastAsia"/>
        </w:rPr>
        <w:t xml:space="preserve"> is not at all served by this disjuncture.</w:t>
      </w:r>
    </w:p>
    <w:p w:rsidR="002E5A33" w:rsidRPr="00AA2949" w:rsidRDefault="00E51D32" w:rsidP="00F979B4">
      <w:pPr>
        <w:pStyle w:val="paragraph"/>
        <w:spacing w:before="0" w:beforeAutospacing="0" w:after="0" w:afterAutospacing="0"/>
        <w:ind w:firstLine="709"/>
        <w:jc w:val="both"/>
        <w:textAlignment w:val="baseline"/>
        <w:rPr>
          <w:rStyle w:val="normaltextrun"/>
          <w:rFonts w:eastAsiaTheme="minorEastAsia"/>
        </w:rPr>
      </w:pPr>
      <w:r w:rsidRPr="00AA2949">
        <w:rPr>
          <w:rStyle w:val="normaltextrun"/>
          <w:rFonts w:eastAsiaTheme="minorEastAsia"/>
        </w:rPr>
        <w:t>At this point</w:t>
      </w:r>
      <w:r w:rsidR="002E5A33" w:rsidRPr="00AA2949">
        <w:rPr>
          <w:rStyle w:val="normaltextrun"/>
          <w:rFonts w:eastAsiaTheme="minorEastAsia"/>
        </w:rPr>
        <w:t xml:space="preserve"> it is worth noting</w:t>
      </w:r>
      <w:r w:rsidR="00AB68A8" w:rsidRPr="00AA2949">
        <w:rPr>
          <w:rStyle w:val="normaltextrun"/>
          <w:rFonts w:eastAsiaTheme="minorEastAsia"/>
        </w:rPr>
        <w:t xml:space="preserve"> that we use the t</w:t>
      </w:r>
      <w:r w:rsidRPr="00AA2949">
        <w:rPr>
          <w:rStyle w:val="normaltextrun"/>
          <w:rFonts w:eastAsiaTheme="minorEastAsia"/>
        </w:rPr>
        <w:t xml:space="preserve">erm </w:t>
      </w:r>
      <w:r w:rsidR="00F979B4" w:rsidRPr="00AA2949">
        <w:rPr>
          <w:rStyle w:val="normaltextrun"/>
          <w:rFonts w:eastAsiaTheme="minorEastAsia"/>
        </w:rPr>
        <w:t>“</w:t>
      </w:r>
      <w:r w:rsidRPr="00AA2949">
        <w:rPr>
          <w:rStyle w:val="normaltextrun"/>
          <w:rFonts w:eastAsiaTheme="minorEastAsia"/>
        </w:rPr>
        <w:t>place</w:t>
      </w:r>
      <w:r w:rsidR="00F979B4" w:rsidRPr="00AA2949">
        <w:rPr>
          <w:rStyle w:val="normaltextrun"/>
          <w:rFonts w:eastAsiaTheme="minorEastAsia"/>
        </w:rPr>
        <w:t>”</w:t>
      </w:r>
      <w:r w:rsidRPr="00AA2949">
        <w:rPr>
          <w:rStyle w:val="normaltextrun"/>
          <w:rFonts w:eastAsiaTheme="minorEastAsia"/>
        </w:rPr>
        <w:t xml:space="preserve"> in a highly relational</w:t>
      </w:r>
      <w:r w:rsidR="00AB68A8" w:rsidRPr="00AA2949">
        <w:rPr>
          <w:rStyle w:val="normaltextrun"/>
          <w:rFonts w:eastAsiaTheme="minorEastAsia"/>
        </w:rPr>
        <w:t xml:space="preserve">, </w:t>
      </w:r>
      <w:r w:rsidR="00D91CFE" w:rsidRPr="00AA2949">
        <w:rPr>
          <w:rStyle w:val="normaltextrun"/>
          <w:rFonts w:eastAsiaTheme="minorEastAsia"/>
        </w:rPr>
        <w:t>entangled</w:t>
      </w:r>
      <w:r w:rsidR="00AB68A8" w:rsidRPr="00AA2949">
        <w:rPr>
          <w:rStyle w:val="normaltextrun"/>
          <w:rFonts w:eastAsiaTheme="minorEastAsia"/>
        </w:rPr>
        <w:t xml:space="preserve"> manner</w:t>
      </w:r>
      <w:r w:rsidR="00B40681" w:rsidRPr="00AA2949">
        <w:rPr>
          <w:rStyle w:val="normaltextrun"/>
          <w:rFonts w:eastAsiaTheme="minorEastAsia"/>
        </w:rPr>
        <w:t>, as we have written about elsewhere in relation t</w:t>
      </w:r>
      <w:r w:rsidR="002D7B82" w:rsidRPr="00AA2949">
        <w:rPr>
          <w:rStyle w:val="normaltextrun"/>
          <w:rFonts w:eastAsiaTheme="minorEastAsia"/>
        </w:rPr>
        <w:t>o this research (Lee et al</w:t>
      </w:r>
      <w:r w:rsidR="002C5418" w:rsidRPr="00AA2949">
        <w:rPr>
          <w:rStyle w:val="normaltextrun"/>
          <w:rFonts w:eastAsiaTheme="minorEastAsia"/>
        </w:rPr>
        <w:t>.</w:t>
      </w:r>
      <w:r w:rsidR="002D7B82" w:rsidRPr="00AA2949">
        <w:rPr>
          <w:rStyle w:val="normaltextrun"/>
          <w:rFonts w:eastAsiaTheme="minorEastAsia"/>
        </w:rPr>
        <w:t>, 2018</w:t>
      </w:r>
      <w:r w:rsidR="00B40681" w:rsidRPr="00AA2949">
        <w:rPr>
          <w:rStyle w:val="normaltextrun"/>
          <w:rFonts w:eastAsiaTheme="minorEastAsia"/>
        </w:rPr>
        <w:t>)</w:t>
      </w:r>
      <w:r w:rsidR="00AB68A8" w:rsidRPr="00AA2949">
        <w:rPr>
          <w:rStyle w:val="normaltextrun"/>
          <w:rFonts w:eastAsiaTheme="minorEastAsia"/>
        </w:rPr>
        <w:t>.</w:t>
      </w:r>
      <w:r w:rsidR="00F979B4" w:rsidRPr="00AA2949">
        <w:rPr>
          <w:rStyle w:val="normaltextrun"/>
          <w:rFonts w:eastAsiaTheme="minorEastAsia"/>
        </w:rPr>
        <w:t xml:space="preserve"> </w:t>
      </w:r>
      <w:r w:rsidR="00AB68A8" w:rsidRPr="00AA2949">
        <w:rPr>
          <w:rStyle w:val="normaltextrun"/>
          <w:rFonts w:eastAsiaTheme="minorEastAsia"/>
        </w:rPr>
        <w:t xml:space="preserve">So we are not </w:t>
      </w:r>
      <w:r w:rsidR="00B40681" w:rsidRPr="00AA2949">
        <w:rPr>
          <w:rStyle w:val="normaltextrun"/>
          <w:rFonts w:eastAsiaTheme="minorEastAsia"/>
        </w:rPr>
        <w:t>thinking simply</w:t>
      </w:r>
      <w:r w:rsidR="00AB68A8" w:rsidRPr="00AA2949">
        <w:rPr>
          <w:rStyle w:val="normaltextrun"/>
          <w:rFonts w:eastAsiaTheme="minorEastAsia"/>
        </w:rPr>
        <w:t xml:space="preserve"> about a geographical, physical location, but about a place that is loaded with meaning emerging from the way that a physical location has been experienced through encounters within it.</w:t>
      </w:r>
      <w:r w:rsidR="00F979B4" w:rsidRPr="00AA2949">
        <w:rPr>
          <w:rStyle w:val="normaltextrun"/>
          <w:rFonts w:eastAsiaTheme="minorEastAsia"/>
        </w:rPr>
        <w:t xml:space="preserve"> </w:t>
      </w:r>
      <w:r w:rsidR="00AB68A8" w:rsidRPr="00AA2949">
        <w:rPr>
          <w:rStyle w:val="normaltextrun"/>
          <w:rFonts w:eastAsiaTheme="minorEastAsia"/>
        </w:rPr>
        <w:t>These encounters bring with them memories of previous events and other creatures that have shared those encounters in that place, as well as the inherited memories and stories of the place that are commonly known.</w:t>
      </w:r>
      <w:r w:rsidR="00F979B4" w:rsidRPr="00AA2949">
        <w:rPr>
          <w:rStyle w:val="normaltextrun"/>
          <w:rFonts w:eastAsiaTheme="minorEastAsia"/>
        </w:rPr>
        <w:t xml:space="preserve"> </w:t>
      </w:r>
      <w:r w:rsidR="00AB68A8" w:rsidRPr="00AA2949">
        <w:rPr>
          <w:rStyle w:val="normaltextrun"/>
          <w:rFonts w:eastAsiaTheme="minorEastAsia"/>
        </w:rPr>
        <w:t>Our conceptualisation of place aligns with that of others such as</w:t>
      </w:r>
      <w:r w:rsidR="00B40681" w:rsidRPr="00AA2949">
        <w:rPr>
          <w:rStyle w:val="normaltextrun"/>
          <w:rFonts w:eastAsiaTheme="minorEastAsia"/>
        </w:rPr>
        <w:t xml:space="preserve"> Massey (1994), </w:t>
      </w:r>
      <w:r w:rsidR="002D7B82" w:rsidRPr="00AA2949">
        <w:rPr>
          <w:rStyle w:val="normaltextrun"/>
          <w:rFonts w:eastAsiaTheme="minorEastAsia"/>
        </w:rPr>
        <w:t xml:space="preserve">Basso (1996), </w:t>
      </w:r>
      <w:r w:rsidR="00B40681" w:rsidRPr="00AA2949">
        <w:rPr>
          <w:rStyle w:val="normaltextrun"/>
          <w:rFonts w:eastAsiaTheme="minorEastAsia"/>
        </w:rPr>
        <w:t>Fettes and Judson (2010)</w:t>
      </w:r>
      <w:r w:rsidR="003D4A69" w:rsidRPr="00AA2949">
        <w:rPr>
          <w:rStyle w:val="normaltextrun"/>
          <w:rFonts w:eastAsiaTheme="minorEastAsia"/>
        </w:rPr>
        <w:t>,</w:t>
      </w:r>
      <w:r w:rsidR="00B40681" w:rsidRPr="00AA2949">
        <w:rPr>
          <w:rStyle w:val="normaltextrun"/>
          <w:rFonts w:eastAsiaTheme="minorEastAsia"/>
        </w:rPr>
        <w:t xml:space="preserve"> and Clarke and Mcphie (2016).</w:t>
      </w:r>
      <w:r w:rsidR="00F979B4" w:rsidRPr="00AA2949">
        <w:rPr>
          <w:rStyle w:val="normaltextrun"/>
          <w:rFonts w:eastAsiaTheme="minorEastAsia"/>
        </w:rPr>
        <w:t xml:space="preserve"> </w:t>
      </w:r>
    </w:p>
    <w:p w:rsidR="003D4A69" w:rsidRPr="00AA2949" w:rsidRDefault="003D4A69" w:rsidP="003D4A69">
      <w:pPr>
        <w:autoSpaceDE w:val="0"/>
        <w:autoSpaceDN w:val="0"/>
        <w:adjustRightInd w:val="0"/>
        <w:spacing w:after="0" w:line="240" w:lineRule="auto"/>
        <w:jc w:val="both"/>
        <w:rPr>
          <w:rFonts w:ascii="Times New Roman" w:hAnsi="Times New Roman" w:cs="Times New Roman"/>
          <w:sz w:val="24"/>
          <w:szCs w:val="24"/>
        </w:rPr>
      </w:pPr>
    </w:p>
    <w:p w:rsidR="003D4A69" w:rsidRPr="00AA2949" w:rsidRDefault="00074FE3" w:rsidP="003D4A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LOOKING TO THE ARTS FOR DEVELOPING CAPABILITIES AND WELLBEING</w:t>
      </w:r>
    </w:p>
    <w:p w:rsidR="003D4A69" w:rsidRPr="00AA2949" w:rsidRDefault="003D4A69" w:rsidP="003D4A69">
      <w:pPr>
        <w:autoSpaceDE w:val="0"/>
        <w:autoSpaceDN w:val="0"/>
        <w:adjustRightInd w:val="0"/>
        <w:spacing w:after="0" w:line="240" w:lineRule="auto"/>
        <w:jc w:val="both"/>
        <w:rPr>
          <w:rFonts w:ascii="Times New Roman" w:hAnsi="Times New Roman" w:cs="Times New Roman"/>
          <w:sz w:val="24"/>
          <w:szCs w:val="24"/>
        </w:rPr>
      </w:pPr>
    </w:p>
    <w:p w:rsidR="00583CC9" w:rsidRPr="00AA2949" w:rsidRDefault="001708B7" w:rsidP="003D4A69">
      <w:pPr>
        <w:autoSpaceDE w:val="0"/>
        <w:autoSpaceDN w:val="0"/>
        <w:adjustRightInd w:val="0"/>
        <w:spacing w:after="0" w:line="240" w:lineRule="auto"/>
        <w:jc w:val="both"/>
        <w:rPr>
          <w:rFonts w:ascii="Times New Roman" w:hAnsi="Times New Roman" w:cs="Times New Roman"/>
          <w:sz w:val="24"/>
          <w:szCs w:val="24"/>
        </w:rPr>
      </w:pPr>
      <w:r w:rsidRPr="00AA2949">
        <w:rPr>
          <w:rFonts w:ascii="Times New Roman" w:hAnsi="Times New Roman" w:cs="Times New Roman"/>
          <w:sz w:val="24"/>
          <w:szCs w:val="24"/>
        </w:rPr>
        <w:lastRenderedPageBreak/>
        <w:t>Now to the other major thread of our research: the potential of the arts for wellbeing.</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There</w:t>
      </w:r>
      <w:r w:rsidR="00583CC9" w:rsidRPr="00AA2949">
        <w:rPr>
          <w:rFonts w:ascii="Times New Roman" w:hAnsi="Times New Roman" w:cs="Times New Roman"/>
          <w:sz w:val="24"/>
          <w:szCs w:val="24"/>
        </w:rPr>
        <w:t xml:space="preserve"> is evidence that arts education can improve both wellbeing and social inclusion</w:t>
      </w:r>
      <w:r w:rsidRPr="00AA2949">
        <w:rPr>
          <w:rFonts w:ascii="Times New Roman" w:hAnsi="Times New Roman" w:cs="Times New Roman"/>
          <w:sz w:val="24"/>
          <w:szCs w:val="24"/>
        </w:rPr>
        <w:t xml:space="preserve"> </w:t>
      </w:r>
      <w:r w:rsidR="004007D8" w:rsidRPr="00AA2949">
        <w:rPr>
          <w:rFonts w:ascii="Times New Roman" w:hAnsi="Times New Roman" w:cs="Times New Roman"/>
          <w:sz w:val="24"/>
          <w:szCs w:val="24"/>
        </w:rPr>
        <w:t>(</w:t>
      </w:r>
      <w:r w:rsidRPr="00AA2949">
        <w:rPr>
          <w:rFonts w:ascii="Times New Roman" w:hAnsi="Times New Roman" w:cs="Times New Roman"/>
          <w:sz w:val="24"/>
          <w:szCs w:val="24"/>
        </w:rPr>
        <w:t>e.g. Karkou &amp; Glasman, 2004; Kinder &amp; Harland, 2004; Walshe</w:t>
      </w:r>
      <w:r w:rsidR="004007D8" w:rsidRPr="00AA2949">
        <w:rPr>
          <w:rFonts w:ascii="Times New Roman" w:hAnsi="Times New Roman" w:cs="Times New Roman"/>
          <w:sz w:val="24"/>
          <w:szCs w:val="24"/>
        </w:rPr>
        <w:t>, Lee &amp; Smith</w:t>
      </w:r>
      <w:r w:rsidRPr="00AA2949">
        <w:rPr>
          <w:rFonts w:ascii="Times New Roman" w:hAnsi="Times New Roman" w:cs="Times New Roman"/>
          <w:sz w:val="24"/>
          <w:szCs w:val="24"/>
        </w:rPr>
        <w:t xml:space="preserve">, </w:t>
      </w:r>
      <w:r w:rsidR="00E04DE2" w:rsidRPr="00AA2949">
        <w:rPr>
          <w:rFonts w:ascii="Times New Roman" w:hAnsi="Times New Roman" w:cs="Times New Roman"/>
          <w:sz w:val="24"/>
          <w:szCs w:val="24"/>
        </w:rPr>
        <w:t>forthcoming</w:t>
      </w:r>
      <w:r w:rsidRPr="00AA2949">
        <w:rPr>
          <w:rFonts w:ascii="Times New Roman" w:hAnsi="Times New Roman" w:cs="Times New Roman"/>
          <w:sz w:val="24"/>
          <w:szCs w:val="24"/>
        </w:rPr>
        <w:t>)</w:t>
      </w:r>
      <w:r w:rsidR="00583CC9" w:rsidRPr="00AA2949">
        <w:rPr>
          <w:rFonts w:ascii="Times New Roman" w:hAnsi="Times New Roman" w:cs="Times New Roman"/>
          <w:sz w:val="24"/>
          <w:szCs w:val="24"/>
        </w:rPr>
        <w:t>, as well as developing children’s capabilities (Zitcer</w:t>
      </w:r>
      <w:r w:rsidR="004007D8" w:rsidRPr="00AA2949">
        <w:rPr>
          <w:rFonts w:ascii="Times New Roman" w:hAnsi="Times New Roman" w:cs="Times New Roman"/>
          <w:sz w:val="24"/>
          <w:szCs w:val="24"/>
        </w:rPr>
        <w:t xml:space="preserve">, </w:t>
      </w:r>
      <w:r w:rsidR="004007D8" w:rsidRPr="00AA2949">
        <w:rPr>
          <w:rFonts w:ascii="Times New Roman" w:hAnsi="Times New Roman" w:cs="Times New Roman"/>
          <w:color w:val="000000"/>
          <w:sz w:val="24"/>
          <w:szCs w:val="24"/>
        </w:rPr>
        <w:t>Hawkins &amp; Vakharia</w:t>
      </w:r>
      <w:r w:rsidR="00583CC9" w:rsidRPr="00AA2949">
        <w:rPr>
          <w:rFonts w:ascii="Times New Roman" w:hAnsi="Times New Roman" w:cs="Times New Roman"/>
          <w:sz w:val="24"/>
          <w:szCs w:val="24"/>
        </w:rPr>
        <w:t xml:space="preserve">, 2016). Arts-based approaches have been found to support the development of several of the qualities on Nussbaum’s </w:t>
      </w:r>
      <w:r w:rsidR="004007D8" w:rsidRPr="00AA2949">
        <w:rPr>
          <w:rFonts w:ascii="Times New Roman" w:hAnsi="Times New Roman" w:cs="Times New Roman"/>
          <w:sz w:val="24"/>
          <w:szCs w:val="24"/>
        </w:rPr>
        <w:t xml:space="preserve">(2000) </w:t>
      </w:r>
      <w:r w:rsidR="00583CC9" w:rsidRPr="00AA2949">
        <w:rPr>
          <w:rFonts w:ascii="Times New Roman" w:hAnsi="Times New Roman" w:cs="Times New Roman"/>
          <w:sz w:val="24"/>
          <w:szCs w:val="24"/>
        </w:rPr>
        <w:t xml:space="preserve">list of capabilities: for example, arts performance through kinaesthetic forms such as dance and theatre have </w:t>
      </w:r>
      <w:r w:rsidR="003D4A69" w:rsidRPr="00AA2949">
        <w:rPr>
          <w:rFonts w:ascii="Times New Roman" w:hAnsi="Times New Roman" w:cs="Times New Roman"/>
          <w:sz w:val="24"/>
          <w:szCs w:val="24"/>
        </w:rPr>
        <w:t xml:space="preserve">a </w:t>
      </w:r>
      <w:r w:rsidR="00583CC9" w:rsidRPr="00AA2949">
        <w:rPr>
          <w:rFonts w:ascii="Times New Roman" w:hAnsi="Times New Roman" w:cs="Times New Roman"/>
          <w:sz w:val="24"/>
          <w:szCs w:val="24"/>
        </w:rPr>
        <w:t>demonstrated impact on bodily health and bodily integrity (Stuckey &amp; Nobel, 2010); practice in the visual arts has been shown to increase one’s development of imagination and thought (Burchenal &amp; Grohe, 2007); and a considerable body of research addresses the role of arts participation in developing emotional skills (e.g. McRobie, 2014; Nussbaum, 1995).</w:t>
      </w:r>
      <w:r w:rsidR="00121D21" w:rsidRPr="00AA2949">
        <w:rPr>
          <w:rFonts w:ascii="Times New Roman" w:hAnsi="Times New Roman" w:cs="Times New Roman"/>
          <w:sz w:val="24"/>
          <w:szCs w:val="24"/>
        </w:rPr>
        <w:t xml:space="preserve"> </w:t>
      </w:r>
      <w:r w:rsidR="00583CC9" w:rsidRPr="00AA2949">
        <w:rPr>
          <w:rFonts w:ascii="Times New Roman" w:hAnsi="Times New Roman" w:cs="Times New Roman"/>
          <w:sz w:val="24"/>
          <w:szCs w:val="24"/>
        </w:rPr>
        <w:t>Despite this compelling evidence, individuals with low socioeconomic status continue to have less access to the arts than their more affluent counterparts (National Endowment for the Arts</w:t>
      </w:r>
      <w:r w:rsidR="004007D8" w:rsidRPr="00AA2949">
        <w:rPr>
          <w:rFonts w:ascii="Times New Roman" w:hAnsi="Times New Roman" w:cs="Times New Roman"/>
          <w:sz w:val="24"/>
          <w:szCs w:val="24"/>
        </w:rPr>
        <w:t>,</w:t>
      </w:r>
      <w:r w:rsidR="00583CC9" w:rsidRPr="00AA2949">
        <w:rPr>
          <w:rFonts w:ascii="Times New Roman" w:hAnsi="Times New Roman" w:cs="Times New Roman"/>
          <w:sz w:val="24"/>
          <w:szCs w:val="24"/>
        </w:rPr>
        <w:t xml:space="preserve"> 2015) and the arts are increasingly marginalised in school curricula (National Society for Education in Art &amp; Design, 2016</w:t>
      </w:r>
      <w:r w:rsidR="00920BD3" w:rsidRPr="00AA2949">
        <w:rPr>
          <w:rFonts w:ascii="Times New Roman" w:hAnsi="Times New Roman" w:cs="Times New Roman"/>
          <w:sz w:val="24"/>
          <w:szCs w:val="24"/>
        </w:rPr>
        <w:t xml:space="preserve">; </w:t>
      </w:r>
      <w:r w:rsidR="004007D8" w:rsidRPr="00AA2949">
        <w:rPr>
          <w:rFonts w:ascii="Times New Roman" w:hAnsi="Times New Roman" w:cs="Times New Roman"/>
          <w:sz w:val="24"/>
          <w:szCs w:val="24"/>
        </w:rPr>
        <w:t>s</w:t>
      </w:r>
      <w:r w:rsidR="00920BD3" w:rsidRPr="00AA2949">
        <w:rPr>
          <w:rFonts w:ascii="Times New Roman" w:hAnsi="Times New Roman" w:cs="Times New Roman"/>
          <w:sz w:val="24"/>
          <w:szCs w:val="24"/>
        </w:rPr>
        <w:t xml:space="preserve">ee also </w:t>
      </w:r>
      <w:r w:rsidR="004007D8" w:rsidRPr="00AA2949">
        <w:rPr>
          <w:rFonts w:ascii="Times New Roman" w:hAnsi="Times New Roman" w:cs="Times New Roman"/>
          <w:sz w:val="24"/>
          <w:szCs w:val="24"/>
        </w:rPr>
        <w:t xml:space="preserve">Cultural Learning Alliance, n.d. </w:t>
      </w:r>
      <w:r w:rsidR="00920BD3" w:rsidRPr="00AA2949">
        <w:rPr>
          <w:rFonts w:ascii="Times New Roman" w:hAnsi="Times New Roman" w:cs="Times New Roman"/>
          <w:sz w:val="24"/>
          <w:szCs w:val="24"/>
        </w:rPr>
        <w:t>for further evidence of the way that arts provision has been diminished in British curricula</w:t>
      </w:r>
      <w:r w:rsidR="00583CC9" w:rsidRPr="00AA2949">
        <w:rPr>
          <w:rFonts w:ascii="Times New Roman" w:hAnsi="Times New Roman" w:cs="Times New Roman"/>
          <w:sz w:val="24"/>
          <w:szCs w:val="24"/>
        </w:rPr>
        <w:t xml:space="preserve">). </w:t>
      </w:r>
    </w:p>
    <w:p w:rsidR="000E5AC5" w:rsidRPr="00AA2949" w:rsidRDefault="000E5AC5" w:rsidP="00F979B4">
      <w:pPr>
        <w:autoSpaceDE w:val="0"/>
        <w:autoSpaceDN w:val="0"/>
        <w:adjustRightInd w:val="0"/>
        <w:spacing w:after="0" w:line="240" w:lineRule="auto"/>
        <w:ind w:firstLine="709"/>
        <w:jc w:val="both"/>
        <w:rPr>
          <w:rFonts w:ascii="Times New Roman" w:hAnsi="Times New Roman" w:cs="Times New Roman"/>
          <w:sz w:val="24"/>
          <w:szCs w:val="24"/>
        </w:rPr>
      </w:pPr>
      <w:r w:rsidRPr="00AA2949">
        <w:rPr>
          <w:rFonts w:ascii="Times New Roman" w:hAnsi="Times New Roman" w:cs="Times New Roman"/>
          <w:sz w:val="24"/>
          <w:szCs w:val="24"/>
        </w:rPr>
        <w:t xml:space="preserve">What emerges from this discussion of </w:t>
      </w:r>
      <w:r w:rsidR="00AF346F" w:rsidRPr="00AA2949">
        <w:rPr>
          <w:rFonts w:ascii="Times New Roman" w:hAnsi="Times New Roman" w:cs="Times New Roman"/>
          <w:sz w:val="24"/>
          <w:szCs w:val="24"/>
        </w:rPr>
        <w:t xml:space="preserve">the role of arts and access to </w:t>
      </w:r>
      <w:r w:rsidRPr="00AA2949">
        <w:rPr>
          <w:rFonts w:ascii="Times New Roman" w:hAnsi="Times New Roman" w:cs="Times New Roman"/>
          <w:sz w:val="24"/>
          <w:szCs w:val="24"/>
        </w:rPr>
        <w:t>natural, wild, outdoor places is a narrative of a childhood experience that is increasingly impoverished and segregated, a</w:t>
      </w:r>
      <w:r w:rsidR="00AF346F" w:rsidRPr="00AA2949">
        <w:rPr>
          <w:rFonts w:ascii="Times New Roman" w:hAnsi="Times New Roman" w:cs="Times New Roman"/>
          <w:sz w:val="24"/>
          <w:szCs w:val="24"/>
        </w:rPr>
        <w:t xml:space="preserve"> child as a</w:t>
      </w:r>
      <w:r w:rsidRPr="00AA2949">
        <w:rPr>
          <w:rFonts w:ascii="Times New Roman" w:hAnsi="Times New Roman" w:cs="Times New Roman"/>
          <w:sz w:val="24"/>
          <w:szCs w:val="24"/>
        </w:rPr>
        <w:t xml:space="preserve"> thread pulled out of a greater </w:t>
      </w:r>
      <w:r w:rsidR="00D91CFE" w:rsidRPr="00AA2949">
        <w:rPr>
          <w:rFonts w:ascii="Times New Roman" w:hAnsi="Times New Roman" w:cs="Times New Roman"/>
          <w:sz w:val="24"/>
          <w:szCs w:val="24"/>
        </w:rPr>
        <w:t>entanglement</w:t>
      </w:r>
      <w:r w:rsidRPr="00AA2949">
        <w:rPr>
          <w:rFonts w:ascii="Times New Roman" w:hAnsi="Times New Roman" w:cs="Times New Roman"/>
          <w:sz w:val="24"/>
          <w:szCs w:val="24"/>
        </w:rPr>
        <w:t xml:space="preserve"> of nature and stretched into the singular, individualised linearity</w:t>
      </w:r>
      <w:r w:rsidR="00AF346F" w:rsidRPr="00AA2949">
        <w:rPr>
          <w:rFonts w:ascii="Times New Roman" w:hAnsi="Times New Roman" w:cs="Times New Roman"/>
          <w:sz w:val="24"/>
          <w:szCs w:val="24"/>
        </w:rPr>
        <w:t xml:space="preserve"> of a STEM</w:t>
      </w:r>
      <w:r w:rsidR="003D4A69" w:rsidRPr="00AA2949">
        <w:rPr>
          <w:rFonts w:ascii="Times New Roman" w:hAnsi="Times New Roman" w:cs="Times New Roman"/>
          <w:sz w:val="24"/>
          <w:szCs w:val="24"/>
        </w:rPr>
        <w:t>-</w:t>
      </w:r>
      <w:r w:rsidR="00AF346F" w:rsidRPr="00AA2949">
        <w:rPr>
          <w:rFonts w:ascii="Times New Roman" w:hAnsi="Times New Roman" w:cs="Times New Roman"/>
          <w:sz w:val="24"/>
          <w:szCs w:val="24"/>
        </w:rPr>
        <w:t>focused education</w:t>
      </w:r>
      <w:r w:rsidRPr="00AA2949">
        <w:rPr>
          <w:rFonts w:ascii="Times New Roman" w:hAnsi="Times New Roman" w:cs="Times New Roman"/>
          <w:sz w:val="24"/>
          <w:szCs w:val="24"/>
        </w:rPr>
        <w:t>.</w:t>
      </w:r>
      <w:r w:rsidR="00F979B4" w:rsidRPr="00AA2949">
        <w:rPr>
          <w:rFonts w:ascii="Times New Roman" w:hAnsi="Times New Roman" w:cs="Times New Roman"/>
          <w:sz w:val="24"/>
          <w:szCs w:val="24"/>
        </w:rPr>
        <w:t xml:space="preserve"> </w:t>
      </w:r>
      <w:r w:rsidR="00074FE3">
        <w:rPr>
          <w:rFonts w:ascii="Times New Roman" w:hAnsi="Times New Roman" w:cs="Times New Roman"/>
          <w:sz w:val="24"/>
        </w:rPr>
        <w:t xml:space="preserve">In other words, if we imagine the living and non-living elements on our planet each as a shifting and moving thread and nature as the entanglement that results from their interactions, and if we accept that each element is dependent on each other element for its wellbeing and continuance and that it exists in a constant state of responsiveness, then we can see that the thread that represents the child, when it is pulled out of this whole to be regularised and socialised into the routines of the adult human world, becomes impoverished and transformed.  What is more, what remains as nature is similarly weakened by the removal and transformation of this element of itself. </w:t>
      </w:r>
      <w:r w:rsidR="00AF346F" w:rsidRPr="00AA2949">
        <w:rPr>
          <w:rFonts w:ascii="Times New Roman" w:hAnsi="Times New Roman" w:cs="Times New Roman"/>
          <w:sz w:val="24"/>
          <w:szCs w:val="24"/>
        </w:rPr>
        <w:t xml:space="preserve">A better experience of childhood might support a child to become increasingly entwined into </w:t>
      </w:r>
      <w:r w:rsidRPr="00AA2949">
        <w:rPr>
          <w:rFonts w:ascii="Times New Roman" w:hAnsi="Times New Roman" w:cs="Times New Roman"/>
          <w:sz w:val="24"/>
          <w:szCs w:val="24"/>
        </w:rPr>
        <w:t>their dwelling place, using all forms of expression a</w:t>
      </w:r>
      <w:r w:rsidR="00AF346F" w:rsidRPr="00AA2949">
        <w:rPr>
          <w:rFonts w:ascii="Times New Roman" w:hAnsi="Times New Roman" w:cs="Times New Roman"/>
          <w:sz w:val="24"/>
          <w:szCs w:val="24"/>
        </w:rPr>
        <w:t>n</w:t>
      </w:r>
      <w:r w:rsidRPr="00AA2949">
        <w:rPr>
          <w:rFonts w:ascii="Times New Roman" w:hAnsi="Times New Roman" w:cs="Times New Roman"/>
          <w:sz w:val="24"/>
          <w:szCs w:val="24"/>
        </w:rPr>
        <w:t xml:space="preserve">d exploration at their disposal to create the entwinement and </w:t>
      </w:r>
      <w:r w:rsidR="00D91CFE" w:rsidRPr="00AA2949">
        <w:rPr>
          <w:rFonts w:ascii="Times New Roman" w:hAnsi="Times New Roman" w:cs="Times New Roman"/>
          <w:sz w:val="24"/>
          <w:szCs w:val="24"/>
        </w:rPr>
        <w:t>entanglement</w:t>
      </w:r>
      <w:r w:rsidRPr="00AA2949">
        <w:rPr>
          <w:rFonts w:ascii="Times New Roman" w:hAnsi="Times New Roman" w:cs="Times New Roman"/>
          <w:sz w:val="24"/>
          <w:szCs w:val="24"/>
        </w:rPr>
        <w:t xml:space="preserve"> of becoming; encourage</w:t>
      </w:r>
      <w:r w:rsidR="00E51D32" w:rsidRPr="00AA2949">
        <w:rPr>
          <w:rFonts w:ascii="Times New Roman" w:hAnsi="Times New Roman" w:cs="Times New Roman"/>
          <w:sz w:val="24"/>
          <w:szCs w:val="24"/>
        </w:rPr>
        <w:t>d</w:t>
      </w:r>
      <w:r w:rsidRPr="00AA2949">
        <w:rPr>
          <w:rFonts w:ascii="Times New Roman" w:hAnsi="Times New Roman" w:cs="Times New Roman"/>
          <w:sz w:val="24"/>
          <w:szCs w:val="24"/>
        </w:rPr>
        <w:t xml:space="preserve"> and guided through a much broader, richer set of STEAM-like practices to inhere in the world they share with other similar and different creatures. </w:t>
      </w:r>
      <w:r w:rsidR="00074FE3">
        <w:rPr>
          <w:rFonts w:ascii="Times New Roman" w:hAnsi="Times New Roman" w:cs="Times New Roman"/>
          <w:sz w:val="24"/>
        </w:rPr>
        <w:t>What we mean by STEAM-like practice (in contrast to a STEM-focused education) is that the learning that a child experiences might involve the child’s imagination and their artistic, adventuring characters in exploring questions about the world using the knowledge and approaches of the scientific method without determining what or how that exploration takes place.  Such practices nurture the child’s sense of awe and wonder whilst also enabling them to learn more about the world and about how we have come to know what we know already, including learning about the scientists and the artists who have contributed to this knowledge.   In this way, the child will be able to benefit from a knowledge-rich curriculum (in line with current policy in England) without allowing that knowledge to overpower their capacity for creativity and curiosity.</w:t>
      </w:r>
    </w:p>
    <w:p w:rsidR="00C65C9D" w:rsidRPr="00AA2949" w:rsidRDefault="00AF346F" w:rsidP="00F979B4">
      <w:pPr>
        <w:autoSpaceDE w:val="0"/>
        <w:autoSpaceDN w:val="0"/>
        <w:adjustRightInd w:val="0"/>
        <w:spacing w:after="0" w:line="240" w:lineRule="auto"/>
        <w:ind w:firstLine="709"/>
        <w:jc w:val="both"/>
        <w:rPr>
          <w:rFonts w:ascii="Times New Roman" w:hAnsi="Times New Roman" w:cs="Times New Roman"/>
          <w:sz w:val="24"/>
          <w:szCs w:val="24"/>
        </w:rPr>
      </w:pPr>
      <w:r w:rsidRPr="00AA2949">
        <w:rPr>
          <w:rFonts w:ascii="Times New Roman" w:hAnsi="Times New Roman" w:cs="Times New Roman"/>
          <w:sz w:val="24"/>
          <w:szCs w:val="24"/>
        </w:rPr>
        <w:t xml:space="preserve">The work of arts-based charity Cambridge </w:t>
      </w:r>
      <w:r w:rsidR="009D6780" w:rsidRPr="00AA2949">
        <w:rPr>
          <w:rFonts w:ascii="Times New Roman" w:hAnsi="Times New Roman" w:cs="Times New Roman"/>
          <w:sz w:val="24"/>
          <w:szCs w:val="24"/>
        </w:rPr>
        <w:t>Curiosity</w:t>
      </w:r>
      <w:r w:rsidRPr="00AA2949">
        <w:rPr>
          <w:rFonts w:ascii="Times New Roman" w:hAnsi="Times New Roman" w:cs="Times New Roman"/>
          <w:sz w:val="24"/>
          <w:szCs w:val="24"/>
        </w:rPr>
        <w:t xml:space="preserve"> and Imagination (CCI) aims to address this challenge.</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 xml:space="preserve">By creating </w:t>
      </w:r>
      <w:r w:rsidR="001856C7">
        <w:rPr>
          <w:rFonts w:ascii="Times New Roman" w:hAnsi="Times New Roman" w:cs="Times New Roman"/>
          <w:sz w:val="24"/>
          <w:szCs w:val="24"/>
        </w:rPr>
        <w:t>opportunities</w:t>
      </w:r>
      <w:r w:rsidR="001856C7" w:rsidRPr="00AA2949">
        <w:rPr>
          <w:rFonts w:ascii="Times New Roman" w:hAnsi="Times New Roman" w:cs="Times New Roman"/>
          <w:sz w:val="24"/>
          <w:szCs w:val="24"/>
        </w:rPr>
        <w:t xml:space="preserve"> </w:t>
      </w:r>
      <w:r w:rsidRPr="00AA2949">
        <w:rPr>
          <w:rFonts w:ascii="Times New Roman" w:hAnsi="Times New Roman" w:cs="Times New Roman"/>
          <w:sz w:val="24"/>
          <w:szCs w:val="24"/>
        </w:rPr>
        <w:t xml:space="preserve">for children’s creative adventures </w:t>
      </w:r>
      <w:proofErr w:type="spellStart"/>
      <w:r w:rsidR="001856C7">
        <w:rPr>
          <w:rFonts w:ascii="Times New Roman" w:hAnsi="Times New Roman" w:cs="Times New Roman"/>
          <w:sz w:val="24"/>
          <w:szCs w:val="24"/>
        </w:rPr>
        <w:t>in</w:t>
      </w:r>
      <w:r w:rsidRPr="00AA2949">
        <w:rPr>
          <w:rFonts w:ascii="Times New Roman" w:hAnsi="Times New Roman" w:cs="Times New Roman"/>
          <w:sz w:val="24"/>
          <w:szCs w:val="24"/>
        </w:rPr>
        <w:t>local</w:t>
      </w:r>
      <w:proofErr w:type="spellEnd"/>
      <w:r w:rsidRPr="00AA2949">
        <w:rPr>
          <w:rFonts w:ascii="Times New Roman" w:hAnsi="Times New Roman" w:cs="Times New Roman"/>
          <w:sz w:val="24"/>
          <w:szCs w:val="24"/>
        </w:rPr>
        <w:t>, familiar</w:t>
      </w:r>
      <w:r w:rsidR="001856C7">
        <w:rPr>
          <w:rFonts w:ascii="Times New Roman" w:hAnsi="Times New Roman" w:cs="Times New Roman"/>
          <w:sz w:val="24"/>
          <w:szCs w:val="24"/>
        </w:rPr>
        <w:t>, and (if possible)</w:t>
      </w:r>
      <w:r w:rsidRPr="00AA2949">
        <w:rPr>
          <w:rFonts w:ascii="Times New Roman" w:hAnsi="Times New Roman" w:cs="Times New Roman"/>
          <w:sz w:val="24"/>
          <w:szCs w:val="24"/>
        </w:rPr>
        <w:t xml:space="preserve"> wild outdoor places</w:t>
      </w:r>
      <w:r w:rsidR="003D4A69" w:rsidRPr="00AA2949">
        <w:rPr>
          <w:rFonts w:ascii="Times New Roman" w:hAnsi="Times New Roman" w:cs="Times New Roman"/>
          <w:sz w:val="24"/>
          <w:szCs w:val="24"/>
        </w:rPr>
        <w:t>,</w:t>
      </w:r>
      <w:r w:rsidRPr="00AA2949">
        <w:rPr>
          <w:rFonts w:ascii="Times New Roman" w:hAnsi="Times New Roman" w:cs="Times New Roman"/>
          <w:sz w:val="24"/>
          <w:szCs w:val="24"/>
        </w:rPr>
        <w:t xml:space="preserve"> CCI seeks to empower young people </w:t>
      </w:r>
      <w:r w:rsidR="001856C7">
        <w:rPr>
          <w:rFonts w:ascii="Times New Roman" w:hAnsi="Times New Roman" w:cs="Times New Roman"/>
          <w:sz w:val="24"/>
        </w:rPr>
        <w:t xml:space="preserve">(and encourage others in their wider community) </w:t>
      </w:r>
      <w:r w:rsidRPr="00AA2949">
        <w:rPr>
          <w:rFonts w:ascii="Times New Roman" w:hAnsi="Times New Roman" w:cs="Times New Roman"/>
          <w:sz w:val="24"/>
          <w:szCs w:val="24"/>
        </w:rPr>
        <w:t>with the agency to act in relation to the spaces that matter to them.</w:t>
      </w:r>
      <w:r w:rsidR="00F979B4" w:rsidRPr="00AA2949">
        <w:rPr>
          <w:rFonts w:ascii="Times New Roman" w:hAnsi="Times New Roman" w:cs="Times New Roman"/>
          <w:sz w:val="24"/>
          <w:szCs w:val="24"/>
        </w:rPr>
        <w:t xml:space="preserve"> </w:t>
      </w:r>
      <w:r w:rsidR="001856C7">
        <w:rPr>
          <w:rFonts w:ascii="Times New Roman" w:hAnsi="Times New Roman" w:cs="Times New Roman"/>
          <w:sz w:val="24"/>
          <w:szCs w:val="24"/>
        </w:rPr>
        <w:t>T</w:t>
      </w:r>
      <w:r w:rsidRPr="00AA2949">
        <w:rPr>
          <w:rFonts w:ascii="Times New Roman" w:hAnsi="Times New Roman" w:cs="Times New Roman"/>
          <w:sz w:val="24"/>
          <w:szCs w:val="24"/>
        </w:rPr>
        <w:t>his empowerment</w:t>
      </w:r>
      <w:r w:rsidR="001856C7">
        <w:rPr>
          <w:rFonts w:ascii="Times New Roman" w:hAnsi="Times New Roman" w:cs="Times New Roman"/>
          <w:sz w:val="24"/>
          <w:szCs w:val="24"/>
        </w:rPr>
        <w:t>,</w:t>
      </w:r>
      <w:r w:rsidRPr="00AA2949">
        <w:rPr>
          <w:rFonts w:ascii="Times New Roman" w:hAnsi="Times New Roman" w:cs="Times New Roman"/>
          <w:sz w:val="24"/>
          <w:szCs w:val="24"/>
        </w:rPr>
        <w:t xml:space="preserve"> through the</w:t>
      </w:r>
      <w:r w:rsidR="00C65C9D" w:rsidRPr="00AA2949">
        <w:rPr>
          <w:rFonts w:ascii="Times New Roman" w:hAnsi="Times New Roman" w:cs="Times New Roman"/>
          <w:sz w:val="24"/>
          <w:szCs w:val="24"/>
        </w:rPr>
        <w:t xml:space="preserve"> growing of capabilities</w:t>
      </w:r>
      <w:r w:rsidR="001856C7">
        <w:rPr>
          <w:rFonts w:ascii="Times New Roman" w:hAnsi="Times New Roman" w:cs="Times New Roman"/>
          <w:sz w:val="24"/>
          <w:szCs w:val="24"/>
        </w:rPr>
        <w:t>,</w:t>
      </w:r>
      <w:r w:rsidR="00C65C9D" w:rsidRPr="00AA2949">
        <w:rPr>
          <w:rFonts w:ascii="Times New Roman" w:hAnsi="Times New Roman" w:cs="Times New Roman"/>
          <w:sz w:val="24"/>
          <w:szCs w:val="24"/>
        </w:rPr>
        <w:t xml:space="preserve"> may potentiate improved wellbeing, particularly in contexts of economic and social deprivation.</w:t>
      </w:r>
      <w:r w:rsidR="00F979B4" w:rsidRPr="00AA2949">
        <w:rPr>
          <w:rFonts w:ascii="Times New Roman" w:hAnsi="Times New Roman" w:cs="Times New Roman"/>
          <w:sz w:val="24"/>
          <w:szCs w:val="24"/>
        </w:rPr>
        <w:t xml:space="preserve"> </w:t>
      </w:r>
      <w:r w:rsidR="00C65C9D" w:rsidRPr="00AA2949">
        <w:rPr>
          <w:rFonts w:ascii="Times New Roman" w:hAnsi="Times New Roman" w:cs="Times New Roman"/>
          <w:sz w:val="24"/>
          <w:szCs w:val="24"/>
        </w:rPr>
        <w:t>In the next section we will discuss some empirical work whi</w:t>
      </w:r>
      <w:r w:rsidR="00630924" w:rsidRPr="00AA2949">
        <w:rPr>
          <w:rFonts w:ascii="Times New Roman" w:hAnsi="Times New Roman" w:cs="Times New Roman"/>
          <w:sz w:val="24"/>
          <w:szCs w:val="24"/>
        </w:rPr>
        <w:t>ch demonstrates the</w:t>
      </w:r>
      <w:r w:rsidR="00C65C9D" w:rsidRPr="00AA2949">
        <w:rPr>
          <w:rFonts w:ascii="Times New Roman" w:hAnsi="Times New Roman" w:cs="Times New Roman"/>
          <w:sz w:val="24"/>
          <w:szCs w:val="24"/>
        </w:rPr>
        <w:t xml:space="preserve"> potential of CCI’s</w:t>
      </w:r>
      <w:r w:rsidR="009D6780" w:rsidRPr="00AA2949">
        <w:rPr>
          <w:rFonts w:ascii="Times New Roman" w:hAnsi="Times New Roman" w:cs="Times New Roman"/>
          <w:sz w:val="24"/>
          <w:szCs w:val="24"/>
        </w:rPr>
        <w:t xml:space="preserve"> practice</w:t>
      </w:r>
      <w:r w:rsidR="00C65C9D" w:rsidRPr="00AA2949">
        <w:rPr>
          <w:rFonts w:ascii="Times New Roman" w:hAnsi="Times New Roman" w:cs="Times New Roman"/>
          <w:sz w:val="24"/>
          <w:szCs w:val="24"/>
        </w:rPr>
        <w:t xml:space="preserve"> to achieve these ends</w:t>
      </w:r>
      <w:r w:rsidR="009D6780" w:rsidRPr="00AA2949">
        <w:rPr>
          <w:rFonts w:ascii="Times New Roman" w:hAnsi="Times New Roman" w:cs="Times New Roman"/>
          <w:sz w:val="24"/>
          <w:szCs w:val="24"/>
        </w:rPr>
        <w:t>,</w:t>
      </w:r>
      <w:r w:rsidR="00630924" w:rsidRPr="00AA2949">
        <w:rPr>
          <w:rFonts w:ascii="Times New Roman" w:hAnsi="Times New Roman" w:cs="Times New Roman"/>
          <w:sz w:val="24"/>
          <w:szCs w:val="24"/>
        </w:rPr>
        <w:t xml:space="preserve"> focus</w:t>
      </w:r>
      <w:r w:rsidR="009D6780" w:rsidRPr="00AA2949">
        <w:rPr>
          <w:rFonts w:ascii="Times New Roman" w:hAnsi="Times New Roman" w:cs="Times New Roman"/>
          <w:sz w:val="24"/>
          <w:szCs w:val="24"/>
        </w:rPr>
        <w:t>ing</w:t>
      </w:r>
      <w:r w:rsidR="00630924" w:rsidRPr="00AA2949">
        <w:rPr>
          <w:rFonts w:ascii="Times New Roman" w:hAnsi="Times New Roman" w:cs="Times New Roman"/>
          <w:sz w:val="24"/>
          <w:szCs w:val="24"/>
        </w:rPr>
        <w:t xml:space="preserve"> on extracts from our data that show how this kind of work can develop capabilities that align with the human capabilities approach</w:t>
      </w:r>
      <w:r w:rsidR="00C65C9D" w:rsidRPr="00AA2949">
        <w:rPr>
          <w:rFonts w:ascii="Times New Roman" w:hAnsi="Times New Roman" w:cs="Times New Roman"/>
          <w:sz w:val="24"/>
          <w:szCs w:val="24"/>
        </w:rPr>
        <w:t>.</w:t>
      </w:r>
      <w:r w:rsidR="00F979B4" w:rsidRPr="00AA2949">
        <w:rPr>
          <w:rFonts w:ascii="Times New Roman" w:hAnsi="Times New Roman" w:cs="Times New Roman"/>
          <w:sz w:val="24"/>
          <w:szCs w:val="24"/>
        </w:rPr>
        <w:t xml:space="preserve"> </w:t>
      </w:r>
    </w:p>
    <w:p w:rsidR="00F979B4" w:rsidRPr="00AA2949" w:rsidRDefault="00F979B4" w:rsidP="00F979B4">
      <w:pPr>
        <w:autoSpaceDE w:val="0"/>
        <w:autoSpaceDN w:val="0"/>
        <w:adjustRightInd w:val="0"/>
        <w:spacing w:after="0" w:line="240" w:lineRule="auto"/>
        <w:jc w:val="both"/>
        <w:rPr>
          <w:rFonts w:ascii="Times New Roman" w:hAnsi="Times New Roman" w:cs="Times New Roman"/>
          <w:sz w:val="24"/>
          <w:szCs w:val="24"/>
        </w:rPr>
      </w:pPr>
    </w:p>
    <w:p w:rsidR="00C65C9D" w:rsidRPr="00941115" w:rsidRDefault="001856C7" w:rsidP="003D4A69">
      <w:pPr>
        <w:pStyle w:val="Heading2"/>
        <w:spacing w:before="0" w:beforeAutospacing="0" w:after="0" w:afterAutospacing="0"/>
        <w:jc w:val="center"/>
        <w:rPr>
          <w:b w:val="0"/>
          <w:sz w:val="24"/>
          <w:szCs w:val="24"/>
        </w:rPr>
      </w:pPr>
      <w:r w:rsidRPr="00941115">
        <w:rPr>
          <w:b w:val="0"/>
          <w:sz w:val="24"/>
          <w:szCs w:val="24"/>
        </w:rPr>
        <w:t>EXPLORING CAPABILITIES IN THE LIGHT OF STEAM PRACTICE: A CASE STUDY OF CAMBRIDGE CURIOSITY AND IMAGINATION</w:t>
      </w:r>
    </w:p>
    <w:p w:rsidR="00F979B4" w:rsidRPr="00AA2949" w:rsidRDefault="00F979B4" w:rsidP="00F979B4">
      <w:pPr>
        <w:pStyle w:val="Newparagraph"/>
        <w:spacing w:line="240" w:lineRule="auto"/>
        <w:ind w:firstLine="0"/>
        <w:jc w:val="both"/>
      </w:pPr>
    </w:p>
    <w:p w:rsidR="00C65C9D" w:rsidRPr="00AA2949" w:rsidRDefault="00C65C9D" w:rsidP="00F979B4">
      <w:pPr>
        <w:pStyle w:val="Newparagraph"/>
        <w:spacing w:line="240" w:lineRule="auto"/>
        <w:ind w:firstLine="0"/>
        <w:jc w:val="both"/>
      </w:pPr>
      <w:r w:rsidRPr="00AA2949">
        <w:t xml:space="preserve">The empirical work for this chapter was undertaken as part of an ongoing exploratory ethnographic case study </w:t>
      </w:r>
      <w:r w:rsidR="003D4A69" w:rsidRPr="00AA2949">
        <w:t>of</w:t>
      </w:r>
      <w:r w:rsidRPr="00AA2949">
        <w:t xml:space="preserve"> CCI which aimed to produce thickly described data of an ethnographic nature within a constructivist, interpretivist framework (Whitehead, 2004).</w:t>
      </w:r>
      <w:r w:rsidR="001E1AE8" w:rsidRPr="001E1AE8">
        <w:t xml:space="preserve"> </w:t>
      </w:r>
      <w:r w:rsidR="001E1AE8">
        <w:t>The data we are going to discuss here focuses specifically on how the STEAM-like practices of CCI, when viewed through the lens of capabilities theory, provide suggestions for the way that capability theory (as a proxy for wellbeing) can more comprehensively include the concept of nature.</w:t>
      </w:r>
      <w:r w:rsidRPr="00AA2949">
        <w:t xml:space="preserve"> CCI brings together artists, educators, parents and researchers with a shared passion for how</w:t>
      </w:r>
      <w:r w:rsidR="004007D8" w:rsidRPr="00AA2949">
        <w:t xml:space="preserve"> </w:t>
      </w:r>
      <w:r w:rsidRPr="00AA2949">
        <w:t xml:space="preserve">the arts and nature can transform lives, and a belief in the power of democratic forms of community activism (sometimes termed </w:t>
      </w:r>
      <w:r w:rsidR="00F979B4" w:rsidRPr="00AA2949">
        <w:t>“</w:t>
      </w:r>
      <w:r w:rsidRPr="00AA2949">
        <w:t>artivism</w:t>
      </w:r>
      <w:r w:rsidR="00F979B4" w:rsidRPr="00AA2949">
        <w:t>”</w:t>
      </w:r>
      <w:r w:rsidRPr="00AA2949">
        <w:t>). Children are at the heart of CCI’s work</w:t>
      </w:r>
      <w:r w:rsidR="009D6780" w:rsidRPr="00AA2949">
        <w:t xml:space="preserve">. </w:t>
      </w:r>
      <w:r w:rsidR="003F74D6" w:rsidRPr="00AA2949">
        <w:t>It</w:t>
      </w:r>
      <w:r w:rsidR="009D6780" w:rsidRPr="00AA2949">
        <w:t xml:space="preserve"> practi</w:t>
      </w:r>
      <w:r w:rsidR="003D4A69" w:rsidRPr="00AA2949">
        <w:t>s</w:t>
      </w:r>
      <w:r w:rsidR="009D6780" w:rsidRPr="00AA2949">
        <w:t>e</w:t>
      </w:r>
      <w:r w:rsidR="003F74D6" w:rsidRPr="00AA2949">
        <w:t>s</w:t>
      </w:r>
      <w:r w:rsidR="009D6780" w:rsidRPr="00AA2949">
        <w:t xml:space="preserve"> a </w:t>
      </w:r>
      <w:r w:rsidRPr="00AA2949">
        <w:t xml:space="preserve">carefully considered and articulated approach </w:t>
      </w:r>
      <w:r w:rsidR="009D6780" w:rsidRPr="00AA2949">
        <w:t xml:space="preserve">that </w:t>
      </w:r>
      <w:r w:rsidRPr="00AA2949">
        <w:t>is committed to deep listening</w:t>
      </w:r>
      <w:r w:rsidR="009D6780" w:rsidRPr="00AA2949">
        <w:t xml:space="preserve">, </w:t>
      </w:r>
      <w:r w:rsidRPr="00AA2949">
        <w:t>thoughtful collaboration and artistic co-creation (Lee et al., 2018).</w:t>
      </w:r>
      <w:r w:rsidR="004007D8" w:rsidRPr="00AA2949">
        <w:t xml:space="preserve"> </w:t>
      </w:r>
      <w:r w:rsidRPr="00AA2949">
        <w:t xml:space="preserve">Common to all of </w:t>
      </w:r>
      <w:r w:rsidR="003F74D6" w:rsidRPr="00AA2949">
        <w:t>CCI</w:t>
      </w:r>
      <w:r w:rsidR="00AA2949">
        <w:t>’s</w:t>
      </w:r>
      <w:r w:rsidRPr="00AA2949">
        <w:t xml:space="preserve"> projects is a focus on developing a sense of agency and voice for all through engagement with the arts, often in nature (Denmead, 2011). Artists work as independent consultants with CCI so this work comprises only part of their professional activity. Using purposive sampling</w:t>
      </w:r>
      <w:r w:rsidR="00AA2949">
        <w:t>,</w:t>
      </w:r>
      <w:r w:rsidRPr="00AA2949">
        <w:t xml:space="preserve"> we invited seven CCI artists to be involved in the research; these comprised all the artists currently or recently working on CCI projects and included some founding artists.</w:t>
      </w:r>
      <w:r w:rsidR="00F979B4" w:rsidRPr="00AA2949">
        <w:t xml:space="preserve"> </w:t>
      </w:r>
      <w:r w:rsidRPr="00AA2949">
        <w:t>In addition, the CCI founding and assistant directors were involved in the research and also became part of the writing team for some of the publications emerging from the research.</w:t>
      </w:r>
      <w:r w:rsidR="00F979B4" w:rsidRPr="00AA2949">
        <w:t xml:space="preserve"> </w:t>
      </w:r>
      <w:r w:rsidRPr="00AA2949">
        <w:t xml:space="preserve">This latter point is identified here as it speaks to the themes of this </w:t>
      </w:r>
      <w:r w:rsidR="00630924" w:rsidRPr="00AA2949">
        <w:t xml:space="preserve">book </w:t>
      </w:r>
      <w:r w:rsidRPr="00AA2949">
        <w:t xml:space="preserve">section around how </w:t>
      </w:r>
      <w:r w:rsidR="00D91CFE" w:rsidRPr="00AA2949">
        <w:rPr>
          <w:i/>
        </w:rPr>
        <w:t>entanglements</w:t>
      </w:r>
      <w:r w:rsidRPr="00AA2949">
        <w:t xml:space="preserve"> of resea</w:t>
      </w:r>
      <w:r w:rsidR="00630924" w:rsidRPr="00AA2949">
        <w:t>rcher and researched arise</w:t>
      </w:r>
      <w:r w:rsidRPr="00AA2949">
        <w:t xml:space="preserve"> until the notion of objectivity </w:t>
      </w:r>
      <w:r w:rsidR="00630924" w:rsidRPr="00AA2949">
        <w:t xml:space="preserve">in research </w:t>
      </w:r>
      <w:r w:rsidRPr="00AA2949">
        <w:t xml:space="preserve">becomes superfluous and a deeper understanding of subjectivity and </w:t>
      </w:r>
      <w:r w:rsidR="00630924" w:rsidRPr="00AA2949">
        <w:t>intra-activity takes over and concretises a negotiated approach to understanding what is being investigated.</w:t>
      </w:r>
    </w:p>
    <w:p w:rsidR="00C65C9D" w:rsidRDefault="00630924" w:rsidP="00F979B4">
      <w:pPr>
        <w:pStyle w:val="Paragraph0"/>
        <w:spacing w:before="0" w:line="240" w:lineRule="auto"/>
        <w:ind w:firstLine="720"/>
        <w:jc w:val="both"/>
      </w:pPr>
      <w:r w:rsidRPr="00AA2949">
        <w:t>Our study</w:t>
      </w:r>
      <w:r w:rsidR="00C65C9D" w:rsidRPr="00AA2949">
        <w:t xml:space="preserve"> initially comprised a </w:t>
      </w:r>
      <w:r w:rsidR="00F979B4" w:rsidRPr="00AA2949">
        <w:t>“</w:t>
      </w:r>
      <w:r w:rsidR="00C65C9D" w:rsidRPr="00AA2949">
        <w:t>talk and draw</w:t>
      </w:r>
      <w:r w:rsidR="00F979B4" w:rsidRPr="00AA2949">
        <w:t>”</w:t>
      </w:r>
      <w:r w:rsidR="00C65C9D" w:rsidRPr="00AA2949">
        <w:t xml:space="preserve"> focus group interview with the CCI artists</w:t>
      </w:r>
      <w:r w:rsidR="00AA2949">
        <w:t>,</w:t>
      </w:r>
      <w:r w:rsidR="00C65C9D" w:rsidRPr="00AA2949">
        <w:t xml:space="preserve"> with conversation focusing on three elements: nature, children and place</w:t>
      </w:r>
      <w:r w:rsidR="00AA2949">
        <w:t>.</w:t>
      </w:r>
      <w:r w:rsidR="00C65C9D" w:rsidRPr="00AA2949">
        <w:t xml:space="preserve"> </w:t>
      </w:r>
      <w:r w:rsidR="00AA2949">
        <w:t>T</w:t>
      </w:r>
      <w:r w:rsidR="00C65C9D" w:rsidRPr="00AA2949">
        <w:t>his was followed by individual interviews with the same artists. The two directors of CCI completed a semi-structured questionnaire comprising open questions that was designed after the artist interviews to elaborate on the emerging data.</w:t>
      </w:r>
      <w:r w:rsidR="00F979B4" w:rsidRPr="00AA2949">
        <w:t xml:space="preserve"> </w:t>
      </w:r>
      <w:r w:rsidR="00C65C9D" w:rsidRPr="00AA2949">
        <w:t>The focus group and interviews were audio recorded and recordings subsequently transcribed</w:t>
      </w:r>
      <w:r w:rsidR="00AA2949">
        <w:t>.</w:t>
      </w:r>
      <w:r w:rsidR="00C65C9D" w:rsidRPr="00AA2949">
        <w:t xml:space="preserve"> </w:t>
      </w:r>
      <w:r w:rsidR="00AA2949">
        <w:t>The t</w:t>
      </w:r>
      <w:r w:rsidR="00C65C9D" w:rsidRPr="00AA2949">
        <w:t>ranscriptions were sent to the artists for verification, some of whom made minor amendments which were duly incorporated.</w:t>
      </w:r>
      <w:r w:rsidR="00F979B4" w:rsidRPr="00AA2949">
        <w:t xml:space="preserve"> </w:t>
      </w:r>
      <w:r w:rsidR="00C65C9D" w:rsidRPr="00AA2949">
        <w:t xml:space="preserve">The amended transcriptions were submitted to a process of </w:t>
      </w:r>
      <w:r w:rsidR="00C65C9D" w:rsidRPr="00AA2949">
        <w:rPr>
          <w:i/>
        </w:rPr>
        <w:t>a priori</w:t>
      </w:r>
      <w:r w:rsidR="00C65C9D" w:rsidRPr="00AA2949">
        <w:t xml:space="preserve"> coding using the capabilities list as a coding template</w:t>
      </w:r>
      <w:r w:rsidR="001A1A66">
        <w:t xml:space="preserve"> (Table 1)</w:t>
      </w:r>
      <w:r w:rsidR="00C65C9D" w:rsidRPr="00AA2949">
        <w:t>. Artist drawings were analysed alongside focus group and interview transcriptions using content analysis (Rose, 2005). To support the internal validity of the research and increase the reliability of our conclusions, data analysis was undertaken independently by two researchers and emerging findings discussed with a third colleague who was present during the interviews.</w:t>
      </w:r>
    </w:p>
    <w:p w:rsidR="001A1A66" w:rsidRDefault="001A1A66" w:rsidP="001A1A66">
      <w:pPr>
        <w:spacing w:after="160" w:line="259" w:lineRule="auto"/>
        <w:rPr>
          <w:rFonts w:ascii="Times New Roman" w:hAnsi="Times New Roman" w:cs="Times New Roman"/>
          <w:i/>
          <w:sz w:val="20"/>
          <w:szCs w:val="20"/>
        </w:rPr>
        <w:sectPr w:rsidR="001A1A66" w:rsidSect="00D91CFE">
          <w:footerReference w:type="default" r:id="rId6"/>
          <w:pgSz w:w="11906" w:h="16838"/>
          <w:pgMar w:top="1440" w:right="1440" w:bottom="1440" w:left="1440" w:header="708" w:footer="708" w:gutter="0"/>
          <w:cols w:space="708"/>
          <w:docGrid w:linePitch="360"/>
        </w:sectPr>
      </w:pPr>
    </w:p>
    <w:p w:rsidR="001A1A66" w:rsidRPr="00434AA4" w:rsidRDefault="001A1A66" w:rsidP="001A1A66">
      <w:pPr>
        <w:spacing w:after="160" w:line="259" w:lineRule="auto"/>
        <w:rPr>
          <w:rFonts w:ascii="Times New Roman" w:hAnsi="Times New Roman" w:cs="Times New Roman"/>
          <w:i/>
          <w:sz w:val="20"/>
          <w:szCs w:val="20"/>
        </w:rPr>
      </w:pPr>
      <w:r w:rsidRPr="00434AA4">
        <w:rPr>
          <w:rFonts w:ascii="Times New Roman" w:hAnsi="Times New Roman" w:cs="Times New Roman"/>
          <w:i/>
          <w:sz w:val="20"/>
          <w:szCs w:val="20"/>
        </w:rPr>
        <w:lastRenderedPageBreak/>
        <w:t xml:space="preserve">Table 1 </w:t>
      </w:r>
      <w:r w:rsidR="00DA54AD">
        <w:rPr>
          <w:rFonts w:ascii="Times New Roman" w:hAnsi="Times New Roman" w:cs="Times New Roman"/>
          <w:i/>
          <w:sz w:val="20"/>
          <w:szCs w:val="20"/>
        </w:rPr>
        <w:t>List</w:t>
      </w:r>
      <w:r>
        <w:rPr>
          <w:rFonts w:ascii="Times New Roman" w:hAnsi="Times New Roman" w:cs="Times New Roman"/>
          <w:i/>
          <w:sz w:val="20"/>
          <w:szCs w:val="20"/>
        </w:rPr>
        <w:t xml:space="preserve"> of capabilities</w:t>
      </w:r>
      <w:r w:rsidR="00DA54AD">
        <w:rPr>
          <w:rFonts w:ascii="Times New Roman" w:hAnsi="Times New Roman" w:cs="Times New Roman"/>
          <w:i/>
          <w:sz w:val="20"/>
          <w:szCs w:val="20"/>
        </w:rPr>
        <w:t xml:space="preserve"> used for a priori coding; these </w:t>
      </w:r>
      <w:r w:rsidRPr="00434AA4">
        <w:rPr>
          <w:rFonts w:ascii="Times New Roman" w:hAnsi="Times New Roman" w:cs="Times New Roman"/>
          <w:i/>
          <w:sz w:val="20"/>
          <w:szCs w:val="20"/>
        </w:rPr>
        <w:t>emerg</w:t>
      </w:r>
      <w:r w:rsidR="00DA54AD">
        <w:rPr>
          <w:rFonts w:ascii="Times New Roman" w:hAnsi="Times New Roman" w:cs="Times New Roman"/>
          <w:i/>
          <w:sz w:val="20"/>
          <w:szCs w:val="20"/>
        </w:rPr>
        <w:t>e</w:t>
      </w:r>
      <w:r w:rsidRPr="00434AA4">
        <w:rPr>
          <w:rFonts w:ascii="Times New Roman" w:hAnsi="Times New Roman" w:cs="Times New Roman"/>
          <w:i/>
          <w:sz w:val="20"/>
          <w:szCs w:val="20"/>
        </w:rPr>
        <w:t xml:space="preserve"> from a combination of Nussbaum (2000), </w:t>
      </w:r>
      <w:proofErr w:type="spellStart"/>
      <w:r w:rsidRPr="00434AA4">
        <w:rPr>
          <w:rFonts w:ascii="Times New Roman" w:hAnsi="Times New Roman" w:cs="Times New Roman"/>
          <w:i/>
          <w:sz w:val="20"/>
          <w:szCs w:val="20"/>
        </w:rPr>
        <w:t>Biggeri</w:t>
      </w:r>
      <w:proofErr w:type="spellEnd"/>
      <w:r w:rsidRPr="00434AA4">
        <w:rPr>
          <w:rFonts w:ascii="Times New Roman" w:hAnsi="Times New Roman" w:cs="Times New Roman"/>
          <w:i/>
          <w:sz w:val="20"/>
          <w:szCs w:val="20"/>
        </w:rPr>
        <w:t xml:space="preserve"> (200</w:t>
      </w:r>
      <w:r w:rsidR="00504C10">
        <w:rPr>
          <w:rFonts w:ascii="Times New Roman" w:hAnsi="Times New Roman" w:cs="Times New Roman"/>
          <w:i/>
          <w:sz w:val="20"/>
          <w:szCs w:val="20"/>
        </w:rPr>
        <w:t>7</w:t>
      </w:r>
      <w:r w:rsidRPr="00434AA4">
        <w:rPr>
          <w:rFonts w:ascii="Times New Roman" w:hAnsi="Times New Roman" w:cs="Times New Roman"/>
          <w:i/>
          <w:sz w:val="20"/>
          <w:szCs w:val="20"/>
        </w:rPr>
        <w:t xml:space="preserve">), Di </w:t>
      </w:r>
      <w:proofErr w:type="spellStart"/>
      <w:r w:rsidRPr="00434AA4">
        <w:rPr>
          <w:rFonts w:ascii="Times New Roman" w:hAnsi="Times New Roman" w:cs="Times New Roman"/>
          <w:i/>
          <w:sz w:val="20"/>
          <w:szCs w:val="20"/>
        </w:rPr>
        <w:t>Tommaso</w:t>
      </w:r>
      <w:proofErr w:type="spellEnd"/>
      <w:r w:rsidRPr="00434AA4">
        <w:rPr>
          <w:rFonts w:ascii="Times New Roman" w:hAnsi="Times New Roman" w:cs="Times New Roman"/>
          <w:i/>
          <w:sz w:val="20"/>
          <w:szCs w:val="20"/>
        </w:rPr>
        <w:t xml:space="preserve"> (2006), </w:t>
      </w:r>
      <w:proofErr w:type="spellStart"/>
      <w:r w:rsidRPr="00434AA4">
        <w:rPr>
          <w:rFonts w:ascii="Times New Roman" w:hAnsi="Times New Roman" w:cs="Times New Roman"/>
          <w:bCs/>
          <w:i/>
          <w:color w:val="000000"/>
          <w:sz w:val="20"/>
          <w:szCs w:val="20"/>
        </w:rPr>
        <w:t>Addabbo</w:t>
      </w:r>
      <w:proofErr w:type="spellEnd"/>
      <w:r w:rsidRPr="00434AA4">
        <w:rPr>
          <w:rFonts w:ascii="Times New Roman" w:hAnsi="Times New Roman" w:cs="Times New Roman"/>
          <w:bCs/>
          <w:i/>
          <w:color w:val="000000"/>
          <w:sz w:val="20"/>
          <w:szCs w:val="20"/>
        </w:rPr>
        <w:t xml:space="preserve">, </w:t>
      </w:r>
      <w:proofErr w:type="spellStart"/>
      <w:r w:rsidRPr="00434AA4">
        <w:rPr>
          <w:rFonts w:ascii="Times New Roman" w:hAnsi="Times New Roman" w:cs="Times New Roman"/>
          <w:bCs/>
          <w:i/>
          <w:color w:val="000000"/>
          <w:sz w:val="20"/>
          <w:szCs w:val="20"/>
        </w:rPr>
        <w:t>Tommaso</w:t>
      </w:r>
      <w:proofErr w:type="spellEnd"/>
      <w:r w:rsidRPr="00434AA4">
        <w:rPr>
          <w:rFonts w:ascii="Times New Roman" w:hAnsi="Times New Roman" w:cs="Times New Roman"/>
          <w:bCs/>
          <w:i/>
          <w:color w:val="000000"/>
          <w:sz w:val="20"/>
          <w:szCs w:val="20"/>
        </w:rPr>
        <w:t xml:space="preserve"> and </w:t>
      </w:r>
      <w:proofErr w:type="spellStart"/>
      <w:r w:rsidRPr="00434AA4">
        <w:rPr>
          <w:rFonts w:ascii="Times New Roman" w:hAnsi="Times New Roman" w:cs="Times New Roman"/>
          <w:bCs/>
          <w:i/>
          <w:color w:val="000000"/>
          <w:sz w:val="20"/>
          <w:szCs w:val="20"/>
        </w:rPr>
        <w:t>Facchinetti</w:t>
      </w:r>
      <w:proofErr w:type="spellEnd"/>
      <w:r w:rsidRPr="00434AA4">
        <w:rPr>
          <w:rFonts w:ascii="Times New Roman" w:hAnsi="Times New Roman" w:cs="Times New Roman"/>
          <w:bCs/>
          <w:i/>
          <w:color w:val="000000"/>
          <w:sz w:val="20"/>
          <w:szCs w:val="20"/>
        </w:rPr>
        <w:t xml:space="preserve"> (2004)</w:t>
      </w:r>
      <w:r>
        <w:rPr>
          <w:rFonts w:ascii="Times New Roman" w:hAnsi="Times New Roman" w:cs="Times New Roman"/>
          <w:bCs/>
          <w:i/>
          <w:color w:val="000000"/>
          <w:sz w:val="20"/>
          <w:szCs w:val="20"/>
        </w:rPr>
        <w:t xml:space="preserve"> capabilities and </w:t>
      </w:r>
      <w:proofErr w:type="spellStart"/>
      <w:r>
        <w:rPr>
          <w:rFonts w:ascii="Times New Roman" w:hAnsi="Times New Roman" w:cs="Times New Roman"/>
          <w:bCs/>
          <w:i/>
          <w:color w:val="000000"/>
          <w:sz w:val="20"/>
          <w:szCs w:val="20"/>
        </w:rPr>
        <w:t>Sen’s</w:t>
      </w:r>
      <w:proofErr w:type="spellEnd"/>
      <w:r>
        <w:rPr>
          <w:rFonts w:ascii="Times New Roman" w:hAnsi="Times New Roman" w:cs="Times New Roman"/>
          <w:bCs/>
          <w:i/>
          <w:color w:val="000000"/>
          <w:sz w:val="20"/>
          <w:szCs w:val="20"/>
        </w:rPr>
        <w:t xml:space="preserve"> basic human freedoms (1993)</w:t>
      </w:r>
      <w:r w:rsidR="00DA54AD">
        <w:rPr>
          <w:rFonts w:ascii="Times New Roman" w:hAnsi="Times New Roman" w:cs="Times New Roman"/>
          <w:bCs/>
          <w:i/>
          <w:color w:val="000000"/>
          <w:sz w:val="20"/>
          <w:szCs w:val="20"/>
        </w:rPr>
        <w:t>.</w:t>
      </w:r>
      <w:r>
        <w:rPr>
          <w:rFonts w:ascii="Times New Roman" w:hAnsi="Times New Roman" w:cs="Times New Roman"/>
          <w:bCs/>
          <w:i/>
          <w:color w:val="000000"/>
          <w:sz w:val="20"/>
          <w:szCs w:val="20"/>
        </w:rPr>
        <w:t xml:space="preserve"> </w:t>
      </w:r>
      <w:proofErr w:type="gramStart"/>
      <w:r w:rsidR="00DA54AD">
        <w:rPr>
          <w:rFonts w:ascii="Times New Roman" w:hAnsi="Times New Roman" w:cs="Times New Roman"/>
          <w:bCs/>
          <w:i/>
          <w:color w:val="000000"/>
          <w:sz w:val="20"/>
          <w:szCs w:val="20"/>
        </w:rPr>
        <w:t>E</w:t>
      </w:r>
      <w:r>
        <w:rPr>
          <w:rFonts w:ascii="Times New Roman" w:hAnsi="Times New Roman" w:cs="Times New Roman"/>
          <w:bCs/>
          <w:i/>
          <w:color w:val="000000"/>
          <w:sz w:val="20"/>
          <w:szCs w:val="20"/>
        </w:rPr>
        <w:t>xamples of text assigned to each</w:t>
      </w:r>
      <w:r w:rsidR="00DA54AD">
        <w:rPr>
          <w:rFonts w:ascii="Times New Roman" w:hAnsi="Times New Roman" w:cs="Times New Roman"/>
          <w:bCs/>
          <w:i/>
          <w:color w:val="000000"/>
          <w:sz w:val="20"/>
          <w:szCs w:val="20"/>
        </w:rPr>
        <w:t xml:space="preserve"> code is</w:t>
      </w:r>
      <w:proofErr w:type="gramEnd"/>
      <w:r w:rsidR="00DA54AD">
        <w:rPr>
          <w:rFonts w:ascii="Times New Roman" w:hAnsi="Times New Roman" w:cs="Times New Roman"/>
          <w:bCs/>
          <w:i/>
          <w:color w:val="000000"/>
          <w:sz w:val="20"/>
          <w:szCs w:val="20"/>
        </w:rPr>
        <w:t xml:space="preserve"> presented for illustration</w:t>
      </w:r>
      <w:r>
        <w:rPr>
          <w:rFonts w:ascii="Times New Roman" w:hAnsi="Times New Roman" w:cs="Times New Roman"/>
          <w:bCs/>
          <w:i/>
          <w:color w:val="000000"/>
          <w:sz w:val="20"/>
          <w:szCs w:val="20"/>
        </w:rPr>
        <w:t>.</w:t>
      </w:r>
    </w:p>
    <w:tbl>
      <w:tblPr>
        <w:tblStyle w:val="TableGrid"/>
        <w:tblW w:w="14034" w:type="dxa"/>
        <w:tblInd w:w="108" w:type="dxa"/>
        <w:tblLook w:val="04A0"/>
      </w:tblPr>
      <w:tblGrid>
        <w:gridCol w:w="1708"/>
        <w:gridCol w:w="4553"/>
        <w:gridCol w:w="7773"/>
      </w:tblGrid>
      <w:tr w:rsidR="001A1A66" w:rsidRPr="00190385" w:rsidTr="000A1292">
        <w:tc>
          <w:tcPr>
            <w:tcW w:w="1708" w:type="dxa"/>
          </w:tcPr>
          <w:p w:rsidR="001A1A66" w:rsidRPr="00190385" w:rsidRDefault="001A1A66" w:rsidP="000A1292">
            <w:pPr>
              <w:spacing w:after="40" w:line="240" w:lineRule="auto"/>
              <w:rPr>
                <w:b/>
              </w:rPr>
            </w:pPr>
            <w:r>
              <w:rPr>
                <w:sz w:val="24"/>
                <w:szCs w:val="24"/>
              </w:rPr>
              <w:br w:type="page"/>
            </w:r>
            <w:r>
              <w:rPr>
                <w:b/>
              </w:rPr>
              <w:t>C</w:t>
            </w:r>
            <w:r w:rsidRPr="00190385">
              <w:rPr>
                <w:b/>
              </w:rPr>
              <w:t>apability</w:t>
            </w:r>
          </w:p>
        </w:tc>
        <w:tc>
          <w:tcPr>
            <w:tcW w:w="4553" w:type="dxa"/>
          </w:tcPr>
          <w:p w:rsidR="001A1A66" w:rsidRPr="00190385" w:rsidRDefault="001A1A66" w:rsidP="000A1292">
            <w:pPr>
              <w:spacing w:after="40" w:line="240" w:lineRule="auto"/>
              <w:rPr>
                <w:b/>
              </w:rPr>
            </w:pPr>
            <w:r w:rsidRPr="00190385">
              <w:rPr>
                <w:b/>
              </w:rPr>
              <w:t>Description</w:t>
            </w:r>
          </w:p>
        </w:tc>
        <w:tc>
          <w:tcPr>
            <w:tcW w:w="7773" w:type="dxa"/>
          </w:tcPr>
          <w:p w:rsidR="001A1A66" w:rsidRPr="00190385" w:rsidRDefault="001A1A66" w:rsidP="000A1292">
            <w:pPr>
              <w:spacing w:after="40" w:line="240" w:lineRule="auto"/>
              <w:rPr>
                <w:b/>
              </w:rPr>
            </w:pPr>
            <w:r w:rsidRPr="00190385">
              <w:rPr>
                <w:b/>
              </w:rPr>
              <w:t>Example Quotations from Artist</w:t>
            </w:r>
          </w:p>
        </w:tc>
      </w:tr>
      <w:tr w:rsidR="001A1A66" w:rsidRPr="00871DB4" w:rsidTr="000A1292">
        <w:tc>
          <w:tcPr>
            <w:tcW w:w="1708" w:type="dxa"/>
          </w:tcPr>
          <w:p w:rsidR="001A1A66" w:rsidRPr="00B5350D" w:rsidRDefault="001A1A66" w:rsidP="000A1292">
            <w:pPr>
              <w:spacing w:after="40" w:line="240" w:lineRule="auto"/>
            </w:pPr>
            <w:r w:rsidRPr="00B5350D">
              <w:t>Senses, Imagination and Thought</w:t>
            </w:r>
          </w:p>
        </w:tc>
        <w:tc>
          <w:tcPr>
            <w:tcW w:w="4553" w:type="dxa"/>
          </w:tcPr>
          <w:p w:rsidR="001A1A66" w:rsidRPr="00B5350D" w:rsidRDefault="001A1A66" w:rsidP="000A1292">
            <w:pPr>
              <w:spacing w:after="40" w:line="240" w:lineRule="auto"/>
            </w:pPr>
            <w:r>
              <w:t>T</w:t>
            </w:r>
            <w:r w:rsidRPr="004D6999">
              <w:t>o be able to use senses, imagination and thought</w:t>
            </w:r>
            <w:r>
              <w:t>,</w:t>
            </w:r>
            <w:r w:rsidRPr="004D6999">
              <w:t xml:space="preserve"> informed by education and involving freedom of expression.</w:t>
            </w:r>
          </w:p>
        </w:tc>
        <w:tc>
          <w:tcPr>
            <w:tcW w:w="7773" w:type="dxa"/>
          </w:tcPr>
          <w:p w:rsidR="001A1A66" w:rsidRDefault="001A1A66" w:rsidP="000A1292">
            <w:pPr>
              <w:spacing w:after="40" w:line="240" w:lineRule="auto"/>
              <w:rPr>
                <w:i/>
              </w:rPr>
            </w:pPr>
            <w:r>
              <w:t>“</w:t>
            </w:r>
            <w:r w:rsidRPr="00871DB4">
              <w:t>I really enjoy that kind of floating off into the imaginative space of unnatural nature</w:t>
            </w:r>
            <w:r>
              <w:t xml:space="preserve">” </w:t>
            </w:r>
            <w:r>
              <w:rPr>
                <w:i/>
              </w:rPr>
              <w:t>(focus group)</w:t>
            </w:r>
          </w:p>
          <w:p w:rsidR="001A1A66" w:rsidRPr="00871DB4" w:rsidRDefault="001A1A66" w:rsidP="000A1292">
            <w:pPr>
              <w:spacing w:after="40" w:line="240" w:lineRule="auto"/>
              <w:rPr>
                <w:i/>
              </w:rPr>
            </w:pPr>
            <w:r>
              <w:t>“</w:t>
            </w:r>
            <w:r w:rsidRPr="00C74965">
              <w:t xml:space="preserve">burnt out bit of metal that a young child picked up, and it was in the same quality as picking up a leaf, and she said 'Look, a burnt witches house” </w:t>
            </w:r>
            <w:r>
              <w:rPr>
                <w:i/>
              </w:rPr>
              <w:t>(focus group)</w:t>
            </w:r>
          </w:p>
        </w:tc>
      </w:tr>
      <w:tr w:rsidR="001A1A66" w:rsidRPr="00871DB4" w:rsidTr="000A1292">
        <w:tc>
          <w:tcPr>
            <w:tcW w:w="1708" w:type="dxa"/>
          </w:tcPr>
          <w:p w:rsidR="001A1A66" w:rsidRPr="00B5350D" w:rsidRDefault="001A1A66" w:rsidP="000A1292">
            <w:pPr>
              <w:spacing w:after="40" w:line="240" w:lineRule="auto"/>
            </w:pPr>
            <w:r w:rsidRPr="00B5350D">
              <w:t xml:space="preserve">Autonomy </w:t>
            </w:r>
          </w:p>
        </w:tc>
        <w:tc>
          <w:tcPr>
            <w:tcW w:w="4553" w:type="dxa"/>
          </w:tcPr>
          <w:p w:rsidR="001A1A66" w:rsidRPr="00B5350D" w:rsidRDefault="001A1A66" w:rsidP="000A1292">
            <w:pPr>
              <w:spacing w:after="40" w:line="240" w:lineRule="auto"/>
            </w:pPr>
            <w:r>
              <w:t>To have ownership or control over aspects of one’s life.</w:t>
            </w:r>
          </w:p>
        </w:tc>
        <w:tc>
          <w:tcPr>
            <w:tcW w:w="7773" w:type="dxa"/>
          </w:tcPr>
          <w:p w:rsidR="001A1A66" w:rsidRPr="00871DB4" w:rsidRDefault="001A1A66" w:rsidP="000A1292">
            <w:pPr>
              <w:spacing w:after="40" w:line="240" w:lineRule="auto"/>
              <w:rPr>
                <w:i/>
              </w:rPr>
            </w:pPr>
            <w:r>
              <w:t>“</w:t>
            </w:r>
            <w:r w:rsidRPr="00871DB4">
              <w:t xml:space="preserve">But what is nice, and this is where this thing was interesting for me, is that the </w:t>
            </w:r>
            <w:r>
              <w:t xml:space="preserve">… </w:t>
            </w:r>
            <w:r w:rsidRPr="00871DB4">
              <w:t>children have the power - and this is an important word for me</w:t>
            </w:r>
            <w:r>
              <w:t xml:space="preserve">” </w:t>
            </w:r>
            <w:r>
              <w:rPr>
                <w:i/>
              </w:rPr>
              <w:t>(focus group)</w:t>
            </w:r>
          </w:p>
        </w:tc>
      </w:tr>
      <w:tr w:rsidR="001A1A66" w:rsidRPr="00B5350D" w:rsidTr="000A1292">
        <w:tc>
          <w:tcPr>
            <w:tcW w:w="1708" w:type="dxa"/>
          </w:tcPr>
          <w:p w:rsidR="001A1A66" w:rsidRPr="00B5350D" w:rsidRDefault="001A1A66" w:rsidP="000A1292">
            <w:pPr>
              <w:spacing w:after="40" w:line="240" w:lineRule="auto"/>
            </w:pPr>
            <w:r w:rsidRPr="00B5350D">
              <w:t>Affiliation</w:t>
            </w:r>
          </w:p>
        </w:tc>
        <w:tc>
          <w:tcPr>
            <w:tcW w:w="4553" w:type="dxa"/>
          </w:tcPr>
          <w:p w:rsidR="001A1A66" w:rsidRPr="00B5350D" w:rsidRDefault="001A1A66" w:rsidP="000A1292">
            <w:pPr>
              <w:spacing w:after="40" w:line="240" w:lineRule="auto"/>
            </w:pPr>
            <w:r>
              <w:t>T</w:t>
            </w:r>
            <w:r w:rsidRPr="004D6999">
              <w:t xml:space="preserve">o be </w:t>
            </w:r>
            <w:r w:rsidRPr="004D6999">
              <w:rPr>
                <w:rFonts w:cs="Arial"/>
                <w:shd w:val="clear" w:color="auto" w:fill="FFFFFF"/>
              </w:rPr>
              <w:t>able to live with and toward others, to recognise and show concern for other humans, to engage in social relations, to be treated with respect and dignity.</w:t>
            </w:r>
          </w:p>
        </w:tc>
        <w:tc>
          <w:tcPr>
            <w:tcW w:w="7773" w:type="dxa"/>
          </w:tcPr>
          <w:p w:rsidR="001A1A66" w:rsidRPr="00871DB4" w:rsidRDefault="001A1A66" w:rsidP="000A1292">
            <w:pPr>
              <w:spacing w:after="40" w:line="240" w:lineRule="auto"/>
            </w:pPr>
            <w:r>
              <w:t>“</w:t>
            </w:r>
            <w:r w:rsidRPr="00871DB4">
              <w:t>I think their sense of their own value is felt often very quickly through the project, and the longer we can work with them the more that is sustained</w:t>
            </w:r>
            <w:r>
              <w:t xml:space="preserve">” </w:t>
            </w:r>
            <w:r w:rsidRPr="00871DB4">
              <w:rPr>
                <w:i/>
              </w:rPr>
              <w:t>(Deb)</w:t>
            </w:r>
          </w:p>
          <w:p w:rsidR="001A1A66" w:rsidRPr="00B5350D" w:rsidRDefault="001A1A66" w:rsidP="000A1292">
            <w:pPr>
              <w:spacing w:after="40" w:line="240" w:lineRule="auto"/>
              <w:rPr>
                <w:i/>
              </w:rPr>
            </w:pPr>
            <w:r>
              <w:t>“</w:t>
            </w:r>
            <w:r w:rsidRPr="00871DB4">
              <w:t xml:space="preserve">I think it's important to feel that you are part of a community and like the reality of school life is existing in a wider context and for you to start to see a little bit beyond that” </w:t>
            </w:r>
            <w:r>
              <w:rPr>
                <w:i/>
              </w:rPr>
              <w:t>(Elena)</w:t>
            </w:r>
          </w:p>
        </w:tc>
      </w:tr>
      <w:tr w:rsidR="001A1A66" w:rsidRPr="00B5350D" w:rsidTr="000A1292">
        <w:tc>
          <w:tcPr>
            <w:tcW w:w="1708" w:type="dxa"/>
          </w:tcPr>
          <w:p w:rsidR="001A1A66" w:rsidRPr="00B5350D" w:rsidRDefault="001A1A66" w:rsidP="000A1292">
            <w:pPr>
              <w:spacing w:after="40" w:line="240" w:lineRule="auto"/>
            </w:pPr>
            <w:r w:rsidRPr="00B5350D">
              <w:t>Emotions</w:t>
            </w:r>
          </w:p>
        </w:tc>
        <w:tc>
          <w:tcPr>
            <w:tcW w:w="4553" w:type="dxa"/>
          </w:tcPr>
          <w:p w:rsidR="001A1A66" w:rsidRPr="00B5350D" w:rsidRDefault="001A1A66" w:rsidP="000A1292">
            <w:pPr>
              <w:spacing w:after="40" w:line="240" w:lineRule="auto"/>
            </w:pPr>
            <w:r>
              <w:t>T</w:t>
            </w:r>
            <w:r w:rsidRPr="004D6999">
              <w:t xml:space="preserve">o </w:t>
            </w:r>
            <w:r w:rsidRPr="004D6999">
              <w:rPr>
                <w:rFonts w:cs="Arial"/>
                <w:shd w:val="clear" w:color="auto" w:fill="FFFFFF"/>
              </w:rPr>
              <w:t>love and care for those who love and care for us, to grieve at their absence. To not have emotional development harmed by fear and/or anxiety.</w:t>
            </w:r>
          </w:p>
        </w:tc>
        <w:tc>
          <w:tcPr>
            <w:tcW w:w="7773" w:type="dxa"/>
          </w:tcPr>
          <w:p w:rsidR="001A1A66" w:rsidRPr="00B5350D" w:rsidRDefault="001A1A66" w:rsidP="000A1292">
            <w:pPr>
              <w:spacing w:after="40" w:line="240" w:lineRule="auto"/>
              <w:rPr>
                <w:i/>
              </w:rPr>
            </w:pPr>
            <w:r w:rsidRPr="00B5350D">
              <w:t>“with the playground we want to change it from a place where we set fire to things to a place which we love, and you're going to change the perception o</w:t>
            </w:r>
            <w:r>
              <w:t xml:space="preserve">f the place” </w:t>
            </w:r>
            <w:r w:rsidRPr="00B5350D">
              <w:t xml:space="preserve"> </w:t>
            </w:r>
            <w:r w:rsidRPr="00B5350D">
              <w:rPr>
                <w:i/>
              </w:rPr>
              <w:t>(Debbie)</w:t>
            </w:r>
          </w:p>
        </w:tc>
      </w:tr>
      <w:tr w:rsidR="001A1A66" w:rsidRPr="008F3D73" w:rsidTr="000A1292">
        <w:tc>
          <w:tcPr>
            <w:tcW w:w="1708" w:type="dxa"/>
          </w:tcPr>
          <w:p w:rsidR="001A1A66" w:rsidRPr="00B5350D" w:rsidRDefault="001A1A66" w:rsidP="000A1292">
            <w:pPr>
              <w:spacing w:after="40" w:line="240" w:lineRule="auto"/>
            </w:pPr>
            <w:r w:rsidRPr="00B5350D">
              <w:t>Mental Wellbeing</w:t>
            </w:r>
          </w:p>
        </w:tc>
        <w:tc>
          <w:tcPr>
            <w:tcW w:w="4553" w:type="dxa"/>
          </w:tcPr>
          <w:p w:rsidR="001A1A66" w:rsidRPr="00B5350D" w:rsidRDefault="001A1A66" w:rsidP="000A1292">
            <w:pPr>
              <w:spacing w:after="40" w:line="240" w:lineRule="auto"/>
            </w:pPr>
            <w:r>
              <w:t>T</w:t>
            </w:r>
            <w:r w:rsidRPr="004D6999">
              <w:t>o be mentally healthy.</w:t>
            </w:r>
          </w:p>
        </w:tc>
        <w:tc>
          <w:tcPr>
            <w:tcW w:w="7773" w:type="dxa"/>
          </w:tcPr>
          <w:p w:rsidR="001A1A66" w:rsidRPr="008F3D73" w:rsidRDefault="001A1A66" w:rsidP="000A1292">
            <w:pPr>
              <w:spacing w:after="40" w:line="240" w:lineRule="auto"/>
            </w:pPr>
            <w:r w:rsidRPr="008F3D73">
              <w:t xml:space="preserve"> “</w:t>
            </w:r>
            <w:r>
              <w:t>A</w:t>
            </w:r>
            <w:r w:rsidRPr="008F3D73">
              <w:t xml:space="preserve"> lot of the workshops I've done when I've asked for feedback, a lot of the children have w</w:t>
            </w:r>
            <w:r>
              <w:t>ritten or said the word 'safe'”</w:t>
            </w:r>
            <w:r w:rsidRPr="008F3D73">
              <w:t xml:space="preserve"> </w:t>
            </w:r>
            <w:r w:rsidRPr="008F3D73">
              <w:rPr>
                <w:i/>
              </w:rPr>
              <w:t>(Susanne)</w:t>
            </w:r>
          </w:p>
          <w:p w:rsidR="001A1A66" w:rsidRPr="008F3D73" w:rsidRDefault="001A1A66" w:rsidP="000A1292">
            <w:pPr>
              <w:spacing w:after="40" w:line="240" w:lineRule="auto"/>
            </w:pPr>
            <w:r w:rsidRPr="008F3D73">
              <w:t>“I find that actually little by little those children are able to gain confidence because you've given them the cha</w:t>
            </w:r>
            <w:r>
              <w:t>nce to be and to have a place”</w:t>
            </w:r>
            <w:r w:rsidRPr="008F3D73">
              <w:rPr>
                <w:i/>
              </w:rPr>
              <w:t>(Caroline)</w:t>
            </w:r>
          </w:p>
        </w:tc>
      </w:tr>
      <w:tr w:rsidR="001A1A66" w:rsidRPr="008F3D73" w:rsidTr="000A1292">
        <w:tc>
          <w:tcPr>
            <w:tcW w:w="1708" w:type="dxa"/>
          </w:tcPr>
          <w:p w:rsidR="001A1A66" w:rsidRPr="00B5350D" w:rsidRDefault="001A1A66" w:rsidP="000A1292">
            <w:pPr>
              <w:spacing w:after="40" w:line="240" w:lineRule="auto"/>
            </w:pPr>
            <w:r w:rsidRPr="00B5350D">
              <w:t>Religion and Identity</w:t>
            </w:r>
          </w:p>
        </w:tc>
        <w:tc>
          <w:tcPr>
            <w:tcW w:w="4553" w:type="dxa"/>
          </w:tcPr>
          <w:p w:rsidR="001A1A66" w:rsidRPr="00B5350D" w:rsidRDefault="001A1A66" w:rsidP="000A1292">
            <w:pPr>
              <w:spacing w:after="40" w:line="240" w:lineRule="auto"/>
            </w:pPr>
            <w:r>
              <w:t>T</w:t>
            </w:r>
            <w:r w:rsidRPr="004D6999">
              <w:t>o be able to live by a religion or not by a religion and to be able to live according to one’s own identity.</w:t>
            </w:r>
          </w:p>
        </w:tc>
        <w:tc>
          <w:tcPr>
            <w:tcW w:w="7773" w:type="dxa"/>
          </w:tcPr>
          <w:p w:rsidR="001A1A66" w:rsidRPr="008F3D73" w:rsidRDefault="001A1A66" w:rsidP="000A1292">
            <w:pPr>
              <w:spacing w:after="40" w:line="240" w:lineRule="auto"/>
            </w:pPr>
            <w:r w:rsidRPr="008F3D73">
              <w:t>“I think more and more for me I am really concerned that they re</w:t>
            </w:r>
            <w:r>
              <w:t>-</w:t>
            </w:r>
            <w:r w:rsidRPr="008F3D73">
              <w:t>imagine themselves, they have a se</w:t>
            </w:r>
            <w:r>
              <w:t xml:space="preserve">nse of who they could also be” </w:t>
            </w:r>
            <w:r w:rsidRPr="008F3D73">
              <w:rPr>
                <w:i/>
              </w:rPr>
              <w:t>(Deb)</w:t>
            </w:r>
          </w:p>
        </w:tc>
      </w:tr>
      <w:tr w:rsidR="001A1A66" w:rsidRPr="00871DB4" w:rsidTr="000A1292">
        <w:tc>
          <w:tcPr>
            <w:tcW w:w="1708" w:type="dxa"/>
          </w:tcPr>
          <w:p w:rsidR="001A1A66" w:rsidRPr="00B5350D" w:rsidRDefault="001A1A66" w:rsidP="000A1292">
            <w:pPr>
              <w:spacing w:after="40" w:line="240" w:lineRule="auto"/>
            </w:pPr>
            <w:r w:rsidRPr="00B5350D">
              <w:t>Play</w:t>
            </w:r>
          </w:p>
        </w:tc>
        <w:tc>
          <w:tcPr>
            <w:tcW w:w="4553" w:type="dxa"/>
          </w:tcPr>
          <w:p w:rsidR="001A1A66" w:rsidRPr="00B5350D" w:rsidRDefault="001A1A66" w:rsidP="000A1292">
            <w:pPr>
              <w:spacing w:after="40" w:line="240" w:lineRule="auto"/>
            </w:pPr>
            <w:r>
              <w:t>T</w:t>
            </w:r>
            <w:r w:rsidRPr="004D6999">
              <w:t>o be able to play, laugh and participate in recreational activities.</w:t>
            </w:r>
          </w:p>
        </w:tc>
        <w:tc>
          <w:tcPr>
            <w:tcW w:w="7773" w:type="dxa"/>
          </w:tcPr>
          <w:p w:rsidR="001A1A66" w:rsidRPr="00871DB4" w:rsidRDefault="001A1A66" w:rsidP="000A1292">
            <w:pPr>
              <w:spacing w:after="40" w:line="240" w:lineRule="auto"/>
              <w:rPr>
                <w:i/>
              </w:rPr>
            </w:pPr>
            <w:r>
              <w:t>“</w:t>
            </w:r>
            <w:r w:rsidRPr="00871DB4">
              <w:t>I invited them to hide under the cover, to wrap themselves around the cover and it really worked, they lo</w:t>
            </w:r>
            <w:r>
              <w:t xml:space="preserve">ve it, they love that” </w:t>
            </w:r>
            <w:r>
              <w:rPr>
                <w:i/>
              </w:rPr>
              <w:t>(Caroline)</w:t>
            </w:r>
          </w:p>
        </w:tc>
      </w:tr>
      <w:tr w:rsidR="001A1A66" w:rsidRPr="00B5350D" w:rsidTr="000A1292">
        <w:tc>
          <w:tcPr>
            <w:tcW w:w="1708" w:type="dxa"/>
          </w:tcPr>
          <w:p w:rsidR="001A1A66" w:rsidRPr="00B5350D" w:rsidRDefault="001A1A66" w:rsidP="000A1292">
            <w:pPr>
              <w:spacing w:after="40" w:line="240" w:lineRule="auto"/>
            </w:pPr>
            <w:r w:rsidRPr="00B5350D">
              <w:t>Bodily Integrity</w:t>
            </w:r>
            <w:r>
              <w:t xml:space="preserve"> and Safety</w:t>
            </w:r>
          </w:p>
        </w:tc>
        <w:tc>
          <w:tcPr>
            <w:tcW w:w="4553" w:type="dxa"/>
          </w:tcPr>
          <w:p w:rsidR="001A1A66" w:rsidRPr="00B5350D" w:rsidRDefault="001A1A66" w:rsidP="000A1292">
            <w:pPr>
              <w:spacing w:after="40" w:line="240" w:lineRule="auto"/>
            </w:pPr>
            <w:r>
              <w:t xml:space="preserve">To have </w:t>
            </w:r>
            <w:r w:rsidRPr="004D6999">
              <w:t>protection from violence of any sort.</w:t>
            </w:r>
          </w:p>
        </w:tc>
        <w:tc>
          <w:tcPr>
            <w:tcW w:w="7773" w:type="dxa"/>
          </w:tcPr>
          <w:p w:rsidR="001A1A66" w:rsidRPr="00B5350D" w:rsidRDefault="001A1A66" w:rsidP="000A1292">
            <w:pPr>
              <w:spacing w:after="40" w:line="240" w:lineRule="auto"/>
            </w:pPr>
            <w:r>
              <w:t>None identified</w:t>
            </w:r>
          </w:p>
        </w:tc>
      </w:tr>
      <w:tr w:rsidR="001A1A66" w:rsidRPr="00B5350D" w:rsidTr="000A1292">
        <w:tc>
          <w:tcPr>
            <w:tcW w:w="1708" w:type="dxa"/>
          </w:tcPr>
          <w:p w:rsidR="001A1A66" w:rsidRPr="00B5350D" w:rsidRDefault="001A1A66" w:rsidP="000A1292">
            <w:pPr>
              <w:spacing w:after="40" w:line="240" w:lineRule="auto"/>
            </w:pPr>
            <w:r w:rsidRPr="00B5350D">
              <w:t>Bodily Health</w:t>
            </w:r>
          </w:p>
        </w:tc>
        <w:tc>
          <w:tcPr>
            <w:tcW w:w="4553" w:type="dxa"/>
          </w:tcPr>
          <w:p w:rsidR="001A1A66" w:rsidRPr="00B5350D" w:rsidRDefault="001A1A66" w:rsidP="000A1292">
            <w:pPr>
              <w:spacing w:after="40" w:line="240" w:lineRule="auto"/>
            </w:pPr>
            <w:r>
              <w:t>T</w:t>
            </w:r>
            <w:r w:rsidRPr="004D6999">
              <w:t>o have good health, enough food and sufficient shelter.</w:t>
            </w:r>
          </w:p>
        </w:tc>
        <w:tc>
          <w:tcPr>
            <w:tcW w:w="7773" w:type="dxa"/>
          </w:tcPr>
          <w:p w:rsidR="001A1A66" w:rsidRPr="00B5350D" w:rsidRDefault="001A1A66" w:rsidP="000A1292">
            <w:pPr>
              <w:spacing w:after="40" w:line="240" w:lineRule="auto"/>
            </w:pPr>
            <w:r>
              <w:t>“</w:t>
            </w:r>
            <w:r w:rsidRPr="00871DB4">
              <w:t xml:space="preserve">the area in which the school is </w:t>
            </w:r>
            <w:proofErr w:type="spellStart"/>
            <w:r w:rsidRPr="00871DB4">
              <w:t>is</w:t>
            </w:r>
            <w:proofErr w:type="spellEnd"/>
            <w:r w:rsidRPr="00871DB4">
              <w:t xml:space="preserve"> described as being the worst place to live in Britain, and it's well-known as having had more heroin use per head than anywhere else</w:t>
            </w:r>
            <w:r>
              <w:t xml:space="preserve">” </w:t>
            </w:r>
            <w:r>
              <w:rPr>
                <w:i/>
              </w:rPr>
              <w:t>(Caroline)</w:t>
            </w:r>
          </w:p>
        </w:tc>
      </w:tr>
      <w:tr w:rsidR="001A1A66" w:rsidRPr="00871DB4" w:rsidTr="000A1292">
        <w:tc>
          <w:tcPr>
            <w:tcW w:w="1708" w:type="dxa"/>
          </w:tcPr>
          <w:p w:rsidR="001A1A66" w:rsidRPr="00B5350D" w:rsidRDefault="001A1A66" w:rsidP="000A1292">
            <w:pPr>
              <w:spacing w:after="40" w:line="240" w:lineRule="auto"/>
            </w:pPr>
            <w:r w:rsidRPr="00B5350D">
              <w:t>Life</w:t>
            </w:r>
          </w:p>
        </w:tc>
        <w:tc>
          <w:tcPr>
            <w:tcW w:w="4553" w:type="dxa"/>
          </w:tcPr>
          <w:p w:rsidR="001A1A66" w:rsidRPr="00B5350D" w:rsidRDefault="001A1A66" w:rsidP="000A1292">
            <w:pPr>
              <w:spacing w:after="40" w:line="240" w:lineRule="auto"/>
            </w:pPr>
            <w:r>
              <w:rPr>
                <w:rFonts w:cs="Arial"/>
                <w:shd w:val="clear" w:color="auto" w:fill="FFFFFF"/>
              </w:rPr>
              <w:t>To be</w:t>
            </w:r>
            <w:r w:rsidRPr="004D6999">
              <w:rPr>
                <w:rFonts w:cs="Arial"/>
                <w:shd w:val="clear" w:color="auto" w:fill="FFFFFF"/>
              </w:rPr>
              <w:t xml:space="preserve"> able to live to the end of a human </w:t>
            </w:r>
            <w:r w:rsidRPr="00194E8F">
              <w:rPr>
                <w:rFonts w:cs="Arial"/>
                <w:shd w:val="clear" w:color="auto" w:fill="FFFFFF"/>
              </w:rPr>
              <w:t>life of normal length</w:t>
            </w:r>
            <w:r w:rsidRPr="004D6999">
              <w:rPr>
                <w:rFonts w:cs="Arial"/>
                <w:shd w:val="clear" w:color="auto" w:fill="FFFFFF"/>
              </w:rPr>
              <w:t xml:space="preserve"> and not having a life so reduced that it is not worth living.</w:t>
            </w:r>
          </w:p>
        </w:tc>
        <w:tc>
          <w:tcPr>
            <w:tcW w:w="7773" w:type="dxa"/>
          </w:tcPr>
          <w:p w:rsidR="001A1A66" w:rsidRPr="00871DB4" w:rsidRDefault="001A1A66" w:rsidP="000A1292">
            <w:pPr>
              <w:spacing w:after="40" w:line="240" w:lineRule="auto"/>
              <w:rPr>
                <w:i/>
              </w:rPr>
            </w:pPr>
            <w:r>
              <w:t>“</w:t>
            </w:r>
            <w:r w:rsidRPr="00871DB4">
              <w:t xml:space="preserve">the area in which the school is </w:t>
            </w:r>
            <w:proofErr w:type="spellStart"/>
            <w:r w:rsidRPr="00871DB4">
              <w:t>is</w:t>
            </w:r>
            <w:proofErr w:type="spellEnd"/>
            <w:r w:rsidRPr="00871DB4">
              <w:t xml:space="preserve"> described as being the worst place to live in Britain, and it's well-known as having had more heroin use per head than anywhere else</w:t>
            </w:r>
            <w:r>
              <w:t xml:space="preserve">” </w:t>
            </w:r>
            <w:r>
              <w:rPr>
                <w:i/>
              </w:rPr>
              <w:t>(Caroline)</w:t>
            </w:r>
          </w:p>
        </w:tc>
      </w:tr>
      <w:tr w:rsidR="001A1A66" w:rsidRPr="008F3D73" w:rsidTr="000A1292">
        <w:tc>
          <w:tcPr>
            <w:tcW w:w="1708" w:type="dxa"/>
          </w:tcPr>
          <w:p w:rsidR="001A1A66" w:rsidRPr="00B5350D" w:rsidRDefault="001A1A66" w:rsidP="000A1292">
            <w:pPr>
              <w:spacing w:after="40" w:line="240" w:lineRule="auto"/>
            </w:pPr>
            <w:r w:rsidRPr="00B5350D">
              <w:t>Other Species</w:t>
            </w:r>
          </w:p>
        </w:tc>
        <w:tc>
          <w:tcPr>
            <w:tcW w:w="4553" w:type="dxa"/>
          </w:tcPr>
          <w:p w:rsidR="001A1A66" w:rsidRPr="00B5350D" w:rsidRDefault="001A1A66" w:rsidP="000A1292">
            <w:pPr>
              <w:spacing w:after="40" w:line="240" w:lineRule="auto"/>
            </w:pPr>
            <w:r>
              <w:t>T</w:t>
            </w:r>
            <w:r w:rsidRPr="004D6999">
              <w:t xml:space="preserve">o be </w:t>
            </w:r>
            <w:r w:rsidRPr="004D6999">
              <w:rPr>
                <w:rFonts w:cs="Arial"/>
                <w:shd w:val="clear" w:color="auto" w:fill="FFFFFF"/>
              </w:rPr>
              <w:t>able to live with concern for and in relation to animals, plants, and the world of nature.</w:t>
            </w:r>
          </w:p>
        </w:tc>
        <w:tc>
          <w:tcPr>
            <w:tcW w:w="7773" w:type="dxa"/>
          </w:tcPr>
          <w:p w:rsidR="001A1A66" w:rsidRPr="008F3D73" w:rsidRDefault="001A1A66" w:rsidP="000A1292">
            <w:pPr>
              <w:spacing w:after="40" w:line="240" w:lineRule="auto"/>
            </w:pPr>
            <w:r w:rsidRPr="008F3D73">
              <w:t>“I wanted that language of perspective and seeing through an</w:t>
            </w:r>
            <w:r>
              <w:t xml:space="preserve"> animal's eyes” </w:t>
            </w:r>
            <w:r w:rsidRPr="008F3D73">
              <w:rPr>
                <w:i/>
              </w:rPr>
              <w:t>(Deb)</w:t>
            </w:r>
          </w:p>
        </w:tc>
      </w:tr>
    </w:tbl>
    <w:p w:rsidR="001A1A66" w:rsidRDefault="001A1A66">
      <w:pPr>
        <w:spacing w:after="160" w:line="259" w:lineRule="auto"/>
        <w:rPr>
          <w:rFonts w:ascii="Times New Roman" w:hAnsi="Times New Roman" w:cs="Times New Roman"/>
          <w:sz w:val="24"/>
          <w:szCs w:val="24"/>
        </w:rPr>
      </w:pPr>
    </w:p>
    <w:p w:rsidR="001A1A66" w:rsidRDefault="001A1A66">
      <w:pPr>
        <w:spacing w:after="160" w:line="259" w:lineRule="auto"/>
        <w:rPr>
          <w:rFonts w:ascii="Times New Roman" w:hAnsi="Times New Roman" w:cs="Times New Roman"/>
          <w:sz w:val="24"/>
          <w:szCs w:val="24"/>
        </w:rPr>
        <w:sectPr w:rsidR="001A1A66" w:rsidSect="001A1A66">
          <w:pgSz w:w="16838" w:h="11906" w:orient="landscape"/>
          <w:pgMar w:top="1440" w:right="1440" w:bottom="1440" w:left="1440" w:header="708" w:footer="708" w:gutter="0"/>
          <w:cols w:space="708"/>
          <w:docGrid w:linePitch="360"/>
        </w:sectPr>
      </w:pPr>
    </w:p>
    <w:p w:rsidR="00C65C9D" w:rsidRPr="00AA2949" w:rsidRDefault="00C65C9D" w:rsidP="00F979B4">
      <w:pPr>
        <w:autoSpaceDE w:val="0"/>
        <w:autoSpaceDN w:val="0"/>
        <w:adjustRightInd w:val="0"/>
        <w:spacing w:after="0" w:line="240" w:lineRule="auto"/>
        <w:ind w:firstLine="709"/>
        <w:jc w:val="both"/>
        <w:rPr>
          <w:rFonts w:ascii="Times New Roman" w:hAnsi="Times New Roman" w:cs="Times New Roman"/>
          <w:sz w:val="24"/>
          <w:szCs w:val="24"/>
        </w:rPr>
      </w:pPr>
      <w:r w:rsidRPr="00AA2949">
        <w:rPr>
          <w:rFonts w:ascii="Times New Roman" w:hAnsi="Times New Roman" w:cs="Times New Roman"/>
          <w:sz w:val="24"/>
          <w:szCs w:val="24"/>
        </w:rPr>
        <w:lastRenderedPageBreak/>
        <w:t xml:space="preserve">Results of the analysis suggest that artists articulate the capability </w:t>
      </w:r>
      <w:r w:rsidR="00AA2949">
        <w:rPr>
          <w:rFonts w:ascii="Times New Roman" w:hAnsi="Times New Roman" w:cs="Times New Roman"/>
          <w:sz w:val="24"/>
          <w:szCs w:val="24"/>
        </w:rPr>
        <w:t>“</w:t>
      </w:r>
      <w:r w:rsidR="00AA2949" w:rsidRPr="00AA2949">
        <w:rPr>
          <w:rFonts w:ascii="Times New Roman" w:hAnsi="Times New Roman" w:cs="Times New Roman"/>
          <w:sz w:val="24"/>
          <w:szCs w:val="24"/>
        </w:rPr>
        <w:t>senses, imagination and thought</w:t>
      </w:r>
      <w:r w:rsidR="00AA2949">
        <w:rPr>
          <w:rFonts w:ascii="Times New Roman" w:hAnsi="Times New Roman" w:cs="Times New Roman"/>
          <w:sz w:val="24"/>
          <w:szCs w:val="24"/>
        </w:rPr>
        <w:t>”</w:t>
      </w:r>
      <w:r w:rsidR="00AA2949" w:rsidRPr="00AA2949">
        <w:rPr>
          <w:rFonts w:ascii="Times New Roman" w:hAnsi="Times New Roman" w:cs="Times New Roman"/>
          <w:sz w:val="24"/>
          <w:szCs w:val="24"/>
        </w:rPr>
        <w:t xml:space="preserve"> </w:t>
      </w:r>
      <w:r w:rsidRPr="00AA2949">
        <w:rPr>
          <w:rFonts w:ascii="Times New Roman" w:hAnsi="Times New Roman" w:cs="Times New Roman"/>
          <w:sz w:val="24"/>
          <w:szCs w:val="24"/>
        </w:rPr>
        <w:t>most frequently both within individual and focus group interviews. In particular, many of the artists reflected on using practice that sparks children’s imagination</w:t>
      </w:r>
      <w:r w:rsidR="00AA2949">
        <w:rPr>
          <w:rFonts w:ascii="Times New Roman" w:hAnsi="Times New Roman" w:cs="Times New Roman"/>
          <w:sz w:val="24"/>
          <w:szCs w:val="24"/>
        </w:rPr>
        <w:t>.</w:t>
      </w:r>
      <w:r w:rsidRPr="00AA2949">
        <w:rPr>
          <w:rFonts w:ascii="Times New Roman" w:hAnsi="Times New Roman" w:cs="Times New Roman"/>
          <w:sz w:val="24"/>
          <w:szCs w:val="24"/>
        </w:rPr>
        <w:t xml:space="preserve"> </w:t>
      </w:r>
      <w:r w:rsidR="00AA2949">
        <w:rPr>
          <w:rFonts w:ascii="Times New Roman" w:hAnsi="Times New Roman" w:cs="Times New Roman"/>
          <w:sz w:val="24"/>
          <w:szCs w:val="24"/>
        </w:rPr>
        <w:t>F</w:t>
      </w:r>
      <w:r w:rsidRPr="00AA2949">
        <w:rPr>
          <w:rFonts w:ascii="Times New Roman" w:hAnsi="Times New Roman" w:cs="Times New Roman"/>
          <w:sz w:val="24"/>
          <w:szCs w:val="24"/>
        </w:rPr>
        <w:t>or example in the focus group Debbie stated</w:t>
      </w:r>
      <w:r w:rsidR="004007D8" w:rsidRPr="00AA2949">
        <w:rPr>
          <w:rFonts w:ascii="Times New Roman" w:hAnsi="Times New Roman" w:cs="Times New Roman"/>
          <w:sz w:val="24"/>
          <w:szCs w:val="24"/>
        </w:rPr>
        <w:t>:</w:t>
      </w:r>
      <w:r w:rsidRPr="00AA2949">
        <w:rPr>
          <w:rFonts w:ascii="Times New Roman" w:hAnsi="Times New Roman" w:cs="Times New Roman"/>
          <w:sz w:val="24"/>
          <w:szCs w:val="24"/>
        </w:rPr>
        <w:t xml:space="preserve"> “I would go in and make</w:t>
      </w:r>
      <w:r w:rsidR="00AA2949">
        <w:rPr>
          <w:rFonts w:ascii="Times New Roman" w:hAnsi="Times New Roman" w:cs="Times New Roman"/>
          <w:sz w:val="24"/>
          <w:szCs w:val="24"/>
        </w:rPr>
        <w:t>,</w:t>
      </w:r>
      <w:r w:rsidRPr="00AA2949">
        <w:rPr>
          <w:rFonts w:ascii="Times New Roman" w:hAnsi="Times New Roman" w:cs="Times New Roman"/>
          <w:sz w:val="24"/>
          <w:szCs w:val="24"/>
        </w:rPr>
        <w:t xml:space="preserve"> like</w:t>
      </w:r>
      <w:r w:rsidR="00AA2949">
        <w:rPr>
          <w:rFonts w:ascii="Times New Roman" w:hAnsi="Times New Roman" w:cs="Times New Roman"/>
          <w:sz w:val="24"/>
          <w:szCs w:val="24"/>
        </w:rPr>
        <w:t>,</w:t>
      </w:r>
      <w:r w:rsidRPr="00AA2949">
        <w:rPr>
          <w:rFonts w:ascii="Times New Roman" w:hAnsi="Times New Roman" w:cs="Times New Roman"/>
          <w:sz w:val="24"/>
          <w:szCs w:val="24"/>
        </w:rPr>
        <w:t xml:space="preserve"> a dome or something like that out of willow</w:t>
      </w:r>
      <w:r w:rsidR="00AA2949">
        <w:rPr>
          <w:rFonts w:ascii="Times New Roman" w:hAnsi="Times New Roman" w:cs="Times New Roman"/>
          <w:sz w:val="24"/>
          <w:szCs w:val="24"/>
        </w:rPr>
        <w:t>,</w:t>
      </w:r>
      <w:r w:rsidRPr="00AA2949">
        <w:rPr>
          <w:rFonts w:ascii="Times New Roman" w:hAnsi="Times New Roman" w:cs="Times New Roman"/>
          <w:sz w:val="24"/>
          <w:szCs w:val="24"/>
        </w:rPr>
        <w:t xml:space="preserve"> and then because it</w:t>
      </w:r>
      <w:r w:rsidR="00F979B4" w:rsidRPr="00AA2949">
        <w:rPr>
          <w:rFonts w:ascii="Times New Roman" w:hAnsi="Times New Roman" w:cs="Times New Roman"/>
          <w:sz w:val="24"/>
          <w:szCs w:val="24"/>
        </w:rPr>
        <w:t>’</w:t>
      </w:r>
      <w:r w:rsidRPr="00AA2949">
        <w:rPr>
          <w:rFonts w:ascii="Times New Roman" w:hAnsi="Times New Roman" w:cs="Times New Roman"/>
          <w:sz w:val="24"/>
          <w:szCs w:val="24"/>
        </w:rPr>
        <w:t>s not a defined thing, the kids can imagine what it is</w:t>
      </w:r>
      <w:r w:rsidR="00AA2949">
        <w:rPr>
          <w:rFonts w:ascii="Times New Roman" w:hAnsi="Times New Roman" w:cs="Times New Roman"/>
          <w:sz w:val="24"/>
          <w:szCs w:val="24"/>
        </w:rPr>
        <w:t>.</w:t>
      </w:r>
      <w:r w:rsidRPr="00AA2949">
        <w:rPr>
          <w:rFonts w:ascii="Times New Roman" w:hAnsi="Times New Roman" w:cs="Times New Roman"/>
          <w:sz w:val="24"/>
          <w:szCs w:val="24"/>
        </w:rPr>
        <w:t xml:space="preserve">” Imagination </w:t>
      </w:r>
      <w:r w:rsidR="00AA2949">
        <w:rPr>
          <w:rFonts w:ascii="Times New Roman" w:hAnsi="Times New Roman" w:cs="Times New Roman"/>
          <w:sz w:val="24"/>
          <w:szCs w:val="24"/>
        </w:rPr>
        <w:t>i</w:t>
      </w:r>
      <w:r w:rsidRPr="00AA2949">
        <w:rPr>
          <w:rFonts w:ascii="Times New Roman" w:hAnsi="Times New Roman" w:cs="Times New Roman"/>
          <w:sz w:val="24"/>
          <w:szCs w:val="24"/>
        </w:rPr>
        <w:t>s a key point</w:t>
      </w:r>
      <w:r w:rsidR="00AA2949">
        <w:rPr>
          <w:rFonts w:ascii="Times New Roman" w:hAnsi="Times New Roman" w:cs="Times New Roman"/>
          <w:sz w:val="24"/>
          <w:szCs w:val="24"/>
        </w:rPr>
        <w:t>:</w:t>
      </w:r>
      <w:r w:rsidRPr="00AA2949">
        <w:rPr>
          <w:rFonts w:ascii="Times New Roman" w:hAnsi="Times New Roman" w:cs="Times New Roman"/>
          <w:sz w:val="24"/>
          <w:szCs w:val="24"/>
        </w:rPr>
        <w:t xml:space="preserve"> Secker et al.</w:t>
      </w:r>
      <w:r w:rsidRPr="00AA2949">
        <w:rPr>
          <w:rFonts w:ascii="Times New Roman" w:hAnsi="Times New Roman" w:cs="Times New Roman"/>
          <w:i/>
          <w:sz w:val="24"/>
          <w:szCs w:val="24"/>
        </w:rPr>
        <w:t xml:space="preserve"> </w:t>
      </w:r>
      <w:r w:rsidRPr="00AA2949">
        <w:rPr>
          <w:rFonts w:ascii="Times New Roman" w:hAnsi="Times New Roman" w:cs="Times New Roman"/>
          <w:sz w:val="24"/>
          <w:szCs w:val="24"/>
        </w:rPr>
        <w:t>(2017) state that play, imagination and learning improve mental wellbeing. In the focus group, Debbie articulated a belief that they (as artists) were key to helping children imagine: “you are creating a container for their imaginations”.</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When talking about the senses, Caroline commented:</w:t>
      </w:r>
    </w:p>
    <w:p w:rsidR="00F979B4" w:rsidRPr="00AA2949" w:rsidRDefault="00F979B4" w:rsidP="00F979B4">
      <w:pPr>
        <w:autoSpaceDE w:val="0"/>
        <w:autoSpaceDN w:val="0"/>
        <w:adjustRightInd w:val="0"/>
        <w:spacing w:after="0" w:line="240" w:lineRule="auto"/>
        <w:ind w:firstLine="709"/>
        <w:jc w:val="both"/>
        <w:rPr>
          <w:rFonts w:ascii="Times New Roman" w:hAnsi="Times New Roman" w:cs="Times New Roman"/>
          <w:sz w:val="24"/>
          <w:szCs w:val="24"/>
        </w:rPr>
      </w:pPr>
    </w:p>
    <w:p w:rsidR="00C65C9D" w:rsidRPr="00AA2949" w:rsidRDefault="00C65C9D" w:rsidP="00F979B4">
      <w:pPr>
        <w:pStyle w:val="Quotations"/>
        <w:spacing w:before="0" w:after="0"/>
        <w:ind w:left="709" w:right="95"/>
      </w:pPr>
      <w:r w:rsidRPr="00AA2949">
        <w:t>For instance</w:t>
      </w:r>
      <w:r w:rsidR="00AA2949">
        <w:t>,</w:t>
      </w:r>
      <w:r w:rsidRPr="00AA2949">
        <w:t xml:space="preserve"> I did a little lesson on the colour yellow … so I brought in a huge</w:t>
      </w:r>
      <w:r w:rsidR="00AA2949">
        <w:t>,</w:t>
      </w:r>
      <w:r w:rsidRPr="00AA2949">
        <w:t xml:space="preserve"> soft, yellow blanket, and I wanted the children to feel the colour.</w:t>
      </w:r>
      <w:r w:rsidR="00F979B4" w:rsidRPr="00AA2949">
        <w:t xml:space="preserve"> </w:t>
      </w:r>
      <w:r w:rsidRPr="00AA2949">
        <w:t>So I invited them to hide under the cover, to wrap themselves around the cover and it really worked</w:t>
      </w:r>
      <w:r w:rsidR="00AA2949">
        <w:t>.</w:t>
      </w:r>
      <w:r w:rsidRPr="00AA2949">
        <w:t xml:space="preserve"> </w:t>
      </w:r>
      <w:r w:rsidR="00AA2949">
        <w:t>T</w:t>
      </w:r>
      <w:r w:rsidRPr="00AA2949">
        <w:t>hey love it</w:t>
      </w:r>
      <w:r w:rsidR="00AA2949">
        <w:t>;</w:t>
      </w:r>
      <w:r w:rsidRPr="00AA2949">
        <w:t xml:space="preserve"> they love that.</w:t>
      </w:r>
    </w:p>
    <w:p w:rsidR="00F979B4" w:rsidRPr="00AA2949" w:rsidRDefault="00F979B4" w:rsidP="00F979B4">
      <w:pPr>
        <w:spacing w:after="0" w:line="240" w:lineRule="auto"/>
        <w:jc w:val="both"/>
        <w:rPr>
          <w:rFonts w:ascii="Times New Roman" w:hAnsi="Times New Roman" w:cs="Times New Roman"/>
          <w:sz w:val="24"/>
          <w:szCs w:val="24"/>
        </w:rPr>
      </w:pPr>
    </w:p>
    <w:p w:rsidR="00C65C9D" w:rsidRPr="00AA2949" w:rsidRDefault="00C65C9D" w:rsidP="00F979B4">
      <w:pPr>
        <w:spacing w:after="0" w:line="240" w:lineRule="auto"/>
        <w:jc w:val="both"/>
        <w:rPr>
          <w:rFonts w:ascii="Times New Roman" w:hAnsi="Times New Roman" w:cs="Times New Roman"/>
          <w:sz w:val="24"/>
          <w:szCs w:val="24"/>
        </w:rPr>
      </w:pPr>
      <w:r w:rsidRPr="00AA2949">
        <w:rPr>
          <w:rFonts w:ascii="Times New Roman" w:hAnsi="Times New Roman" w:cs="Times New Roman"/>
          <w:sz w:val="24"/>
          <w:szCs w:val="24"/>
        </w:rPr>
        <w:t>This highlights the importance of experiential learning and using the senses in order to learn and develop (Nussbaum, 2000). This experiential aspect of wellbeing is common within the literature (e.g. Kolb, 1984; Dewey,</w:t>
      </w:r>
      <w:r w:rsidRPr="00AA2949">
        <w:rPr>
          <w:rFonts w:ascii="Times New Roman" w:hAnsi="Times New Roman" w:cs="Times New Roman"/>
          <w:color w:val="000000" w:themeColor="text1"/>
          <w:sz w:val="24"/>
          <w:szCs w:val="24"/>
        </w:rPr>
        <w:t xml:space="preserve"> </w:t>
      </w:r>
      <w:r w:rsidRPr="00AA2949">
        <w:rPr>
          <w:rFonts w:ascii="Times New Roman" w:hAnsi="Times New Roman" w:cs="Times New Roman"/>
          <w:sz w:val="24"/>
          <w:szCs w:val="24"/>
        </w:rPr>
        <w:t xml:space="preserve">1959) and was reiterated by </w:t>
      </w:r>
      <w:r w:rsidR="003F74D6" w:rsidRPr="00AA2949">
        <w:rPr>
          <w:rFonts w:ascii="Times New Roman" w:hAnsi="Times New Roman" w:cs="Times New Roman"/>
          <w:sz w:val="24"/>
          <w:szCs w:val="24"/>
        </w:rPr>
        <w:t xml:space="preserve">the </w:t>
      </w:r>
      <w:r w:rsidRPr="00AA2949">
        <w:rPr>
          <w:rFonts w:ascii="Times New Roman" w:hAnsi="Times New Roman" w:cs="Times New Roman"/>
          <w:sz w:val="24"/>
          <w:szCs w:val="24"/>
        </w:rPr>
        <w:t xml:space="preserve">other artists. </w:t>
      </w:r>
    </w:p>
    <w:p w:rsidR="00C65C9D" w:rsidRPr="00AA2949" w:rsidRDefault="00C65C9D" w:rsidP="00F979B4">
      <w:pPr>
        <w:spacing w:after="0" w:line="240" w:lineRule="auto"/>
        <w:ind w:firstLine="720"/>
        <w:jc w:val="both"/>
        <w:rPr>
          <w:rFonts w:ascii="Times New Roman" w:hAnsi="Times New Roman" w:cs="Times New Roman"/>
          <w:sz w:val="24"/>
          <w:szCs w:val="24"/>
        </w:rPr>
      </w:pPr>
      <w:r w:rsidRPr="00AA2949">
        <w:rPr>
          <w:rFonts w:ascii="Times New Roman" w:hAnsi="Times New Roman" w:cs="Times New Roman"/>
          <w:sz w:val="24"/>
          <w:szCs w:val="24"/>
        </w:rPr>
        <w:t xml:space="preserve">In addition to developing senses, imagination and thought, the artists </w:t>
      </w:r>
      <w:r w:rsidR="003F74D6" w:rsidRPr="00AA2949">
        <w:rPr>
          <w:rFonts w:ascii="Times New Roman" w:hAnsi="Times New Roman" w:cs="Times New Roman"/>
          <w:sz w:val="24"/>
          <w:szCs w:val="24"/>
        </w:rPr>
        <w:t xml:space="preserve">discussed how they </w:t>
      </w:r>
      <w:r w:rsidRPr="00AA2949">
        <w:rPr>
          <w:rFonts w:ascii="Times New Roman" w:hAnsi="Times New Roman" w:cs="Times New Roman"/>
          <w:sz w:val="24"/>
          <w:szCs w:val="24"/>
        </w:rPr>
        <w:t>developed the children’s ability to work with and</w:t>
      </w:r>
      <w:r w:rsidR="00630924" w:rsidRPr="00AA2949">
        <w:rPr>
          <w:rFonts w:ascii="Times New Roman" w:hAnsi="Times New Roman" w:cs="Times New Roman"/>
          <w:sz w:val="24"/>
          <w:szCs w:val="24"/>
        </w:rPr>
        <w:t xml:space="preserve"> have concern for other humans</w:t>
      </w:r>
      <w:r w:rsidRPr="00AA2949">
        <w:rPr>
          <w:rFonts w:ascii="Times New Roman" w:hAnsi="Times New Roman" w:cs="Times New Roman"/>
          <w:sz w:val="24"/>
          <w:szCs w:val="24"/>
        </w:rPr>
        <w:t>. Susanne describe</w:t>
      </w:r>
      <w:r w:rsidR="00AA2949">
        <w:rPr>
          <w:rFonts w:ascii="Times New Roman" w:hAnsi="Times New Roman" w:cs="Times New Roman"/>
          <w:sz w:val="24"/>
          <w:szCs w:val="24"/>
        </w:rPr>
        <w:t>d</w:t>
      </w:r>
      <w:r w:rsidRPr="00AA2949">
        <w:rPr>
          <w:rFonts w:ascii="Times New Roman" w:hAnsi="Times New Roman" w:cs="Times New Roman"/>
          <w:sz w:val="24"/>
          <w:szCs w:val="24"/>
        </w:rPr>
        <w:t xml:space="preserve"> how children working with her “gain often different insights into each other, because sometimes [they] work with other children that they didn</w:t>
      </w:r>
      <w:r w:rsidR="00F979B4" w:rsidRPr="00AA2949">
        <w:rPr>
          <w:rFonts w:ascii="Times New Roman" w:hAnsi="Times New Roman" w:cs="Times New Roman"/>
          <w:sz w:val="24"/>
          <w:szCs w:val="24"/>
        </w:rPr>
        <w:t>’</w:t>
      </w:r>
      <w:r w:rsidRPr="00AA2949">
        <w:rPr>
          <w:rFonts w:ascii="Times New Roman" w:hAnsi="Times New Roman" w:cs="Times New Roman"/>
          <w:sz w:val="24"/>
          <w:szCs w:val="24"/>
        </w:rPr>
        <w:t>t work with before”. Additionally, they described that children have shown concern and empathy for other students, reflecting studies which show that art supports the development of emotional skills (e.g. McRobie, 2014)</w:t>
      </w:r>
      <w:r w:rsidR="00AA2949">
        <w:rPr>
          <w:rFonts w:ascii="Times New Roman" w:hAnsi="Times New Roman" w:cs="Times New Roman"/>
          <w:sz w:val="24"/>
          <w:szCs w:val="24"/>
        </w:rPr>
        <w:t>.</w:t>
      </w:r>
      <w:r w:rsidRPr="00AA2949">
        <w:rPr>
          <w:rFonts w:ascii="Times New Roman" w:hAnsi="Times New Roman" w:cs="Times New Roman"/>
          <w:sz w:val="24"/>
          <w:szCs w:val="24"/>
        </w:rPr>
        <w:t xml:space="preserve"> Susanne illustrated</w:t>
      </w:r>
      <w:r w:rsidR="00AA2949">
        <w:rPr>
          <w:rFonts w:ascii="Times New Roman" w:hAnsi="Times New Roman" w:cs="Times New Roman"/>
          <w:sz w:val="24"/>
          <w:szCs w:val="24"/>
        </w:rPr>
        <w:t xml:space="preserve"> this</w:t>
      </w:r>
      <w:r w:rsidRPr="00AA2949">
        <w:rPr>
          <w:rFonts w:ascii="Times New Roman" w:hAnsi="Times New Roman" w:cs="Times New Roman"/>
          <w:sz w:val="24"/>
          <w:szCs w:val="24"/>
        </w:rPr>
        <w:t>:</w:t>
      </w:r>
    </w:p>
    <w:p w:rsidR="00F979B4" w:rsidRPr="00AA2949" w:rsidRDefault="00F979B4" w:rsidP="00F979B4">
      <w:pPr>
        <w:spacing w:after="0" w:line="240" w:lineRule="auto"/>
        <w:ind w:firstLine="720"/>
        <w:jc w:val="both"/>
        <w:rPr>
          <w:rFonts w:ascii="Times New Roman" w:hAnsi="Times New Roman" w:cs="Times New Roman"/>
          <w:sz w:val="24"/>
          <w:szCs w:val="24"/>
        </w:rPr>
      </w:pPr>
    </w:p>
    <w:p w:rsidR="00C65C9D" w:rsidRPr="00AA2949" w:rsidRDefault="00C65C9D" w:rsidP="00F979B4">
      <w:pPr>
        <w:pStyle w:val="Quotations"/>
        <w:spacing w:before="0" w:after="0"/>
        <w:ind w:left="709" w:right="95"/>
      </w:pPr>
      <w:r w:rsidRPr="00AA2949">
        <w:t>Then one boy cried</w:t>
      </w:r>
      <w:r w:rsidR="00AA2949">
        <w:t>,</w:t>
      </w:r>
      <w:r w:rsidRPr="00AA2949">
        <w:t xml:space="preserve"> I remember, and he had been a bit outside all the groups</w:t>
      </w:r>
      <w:r w:rsidR="003F74D6" w:rsidRPr="00AA2949">
        <w:t>. Y</w:t>
      </w:r>
      <w:r w:rsidRPr="00AA2949">
        <w:t xml:space="preserve">ou could see there was a main group that hung out together, then this boy, like the </w:t>
      </w:r>
      <w:r w:rsidR="00F979B4" w:rsidRPr="00AA2949">
        <w:t>“</w:t>
      </w:r>
      <w:r w:rsidRPr="00AA2949">
        <w:t>king</w:t>
      </w:r>
      <w:r w:rsidR="00F979B4" w:rsidRPr="00AA2949">
        <w:t>”</w:t>
      </w:r>
      <w:r w:rsidRPr="00AA2949">
        <w:t xml:space="preserve"> of this group, went and actually encouraged him and helped him.</w:t>
      </w:r>
    </w:p>
    <w:p w:rsidR="00F979B4" w:rsidRPr="00AA2949" w:rsidRDefault="00F979B4" w:rsidP="00F979B4">
      <w:pPr>
        <w:spacing w:after="0" w:line="240" w:lineRule="auto"/>
        <w:jc w:val="both"/>
        <w:rPr>
          <w:rFonts w:ascii="Times New Roman" w:hAnsi="Times New Roman" w:cs="Times New Roman"/>
          <w:sz w:val="24"/>
          <w:szCs w:val="24"/>
        </w:rPr>
      </w:pPr>
    </w:p>
    <w:p w:rsidR="00C65C9D" w:rsidRPr="00AA2949" w:rsidRDefault="00C65C9D" w:rsidP="00F979B4">
      <w:pPr>
        <w:spacing w:after="0" w:line="240" w:lineRule="auto"/>
        <w:jc w:val="both"/>
        <w:rPr>
          <w:rFonts w:ascii="Times New Roman" w:hAnsi="Times New Roman" w:cs="Times New Roman"/>
          <w:sz w:val="24"/>
          <w:szCs w:val="24"/>
        </w:rPr>
      </w:pPr>
      <w:r w:rsidRPr="00AA2949">
        <w:rPr>
          <w:rFonts w:ascii="Times New Roman" w:hAnsi="Times New Roman" w:cs="Times New Roman"/>
          <w:sz w:val="24"/>
          <w:szCs w:val="24"/>
        </w:rPr>
        <w:t xml:space="preserve">Affiliation through collaborative approaches to practice is another key point of the artists’ work; this </w:t>
      </w:r>
      <w:r w:rsidR="005503B0">
        <w:rPr>
          <w:rFonts w:ascii="Times New Roman" w:hAnsi="Times New Roman" w:cs="Times New Roman"/>
          <w:sz w:val="24"/>
          <w:szCs w:val="24"/>
        </w:rPr>
        <w:t>wa</w:t>
      </w:r>
      <w:r w:rsidRPr="00AA2949">
        <w:rPr>
          <w:rFonts w:ascii="Times New Roman" w:hAnsi="Times New Roman" w:cs="Times New Roman"/>
          <w:sz w:val="24"/>
          <w:szCs w:val="24"/>
        </w:rPr>
        <w:t>s demonstrated by Sally who explain</w:t>
      </w:r>
      <w:r w:rsidR="005503B0">
        <w:rPr>
          <w:rFonts w:ascii="Times New Roman" w:hAnsi="Times New Roman" w:cs="Times New Roman"/>
          <w:sz w:val="24"/>
          <w:szCs w:val="24"/>
        </w:rPr>
        <w:t>ed</w:t>
      </w:r>
      <w:r w:rsidRPr="00AA2949">
        <w:rPr>
          <w:rFonts w:ascii="Times New Roman" w:hAnsi="Times New Roman" w:cs="Times New Roman"/>
          <w:sz w:val="24"/>
          <w:szCs w:val="24"/>
        </w:rPr>
        <w:t xml:space="preserve"> how she prioritises “collaboration and partnership … I aim and intend always to work alongside children, alongside the teachers, alongside any of the participants that I happen to be working with”.</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Through their discussion a strong sense of artists valuing the children</w:t>
      </w:r>
      <w:r w:rsidR="005503B0">
        <w:rPr>
          <w:rFonts w:ascii="Times New Roman" w:hAnsi="Times New Roman" w:cs="Times New Roman"/>
          <w:sz w:val="24"/>
          <w:szCs w:val="24"/>
        </w:rPr>
        <w:t xml:space="preserve"> </w:t>
      </w:r>
      <w:r w:rsidR="005503B0" w:rsidRPr="00AA2949">
        <w:rPr>
          <w:rFonts w:ascii="Times New Roman" w:hAnsi="Times New Roman" w:cs="Times New Roman"/>
          <w:sz w:val="24"/>
          <w:szCs w:val="24"/>
        </w:rPr>
        <w:t>emerge</w:t>
      </w:r>
      <w:r w:rsidR="005503B0">
        <w:rPr>
          <w:rFonts w:ascii="Times New Roman" w:hAnsi="Times New Roman" w:cs="Times New Roman"/>
          <w:sz w:val="24"/>
          <w:szCs w:val="24"/>
        </w:rPr>
        <w:t>d</w:t>
      </w:r>
      <w:r w:rsidR="003F74D6" w:rsidRPr="00AA2949">
        <w:rPr>
          <w:rFonts w:ascii="Times New Roman" w:hAnsi="Times New Roman" w:cs="Times New Roman"/>
          <w:sz w:val="24"/>
          <w:szCs w:val="24"/>
        </w:rPr>
        <w:t>;</w:t>
      </w:r>
      <w:r w:rsidRPr="00AA2949">
        <w:rPr>
          <w:rFonts w:ascii="Times New Roman" w:hAnsi="Times New Roman" w:cs="Times New Roman"/>
          <w:sz w:val="24"/>
          <w:szCs w:val="24"/>
        </w:rPr>
        <w:t xml:space="preserve"> for example, Susanne suggest</w:t>
      </w:r>
      <w:r w:rsidR="005503B0">
        <w:rPr>
          <w:rFonts w:ascii="Times New Roman" w:hAnsi="Times New Roman" w:cs="Times New Roman"/>
          <w:sz w:val="24"/>
          <w:szCs w:val="24"/>
        </w:rPr>
        <w:t>ed</w:t>
      </w:r>
      <w:r w:rsidRPr="00AA2949">
        <w:rPr>
          <w:rFonts w:ascii="Times New Roman" w:hAnsi="Times New Roman" w:cs="Times New Roman"/>
          <w:sz w:val="24"/>
          <w:szCs w:val="24"/>
        </w:rPr>
        <w:t xml:space="preserve"> that “I think they feel they are heard and that we really value what they say and that we are taking seriously the things they have to say from their imagination”. Deb agree</w:t>
      </w:r>
      <w:r w:rsidR="005503B0">
        <w:rPr>
          <w:rFonts w:ascii="Times New Roman" w:hAnsi="Times New Roman" w:cs="Times New Roman"/>
          <w:sz w:val="24"/>
          <w:szCs w:val="24"/>
        </w:rPr>
        <w:t>d,</w:t>
      </w:r>
      <w:r w:rsidRPr="00AA2949">
        <w:rPr>
          <w:rFonts w:ascii="Times New Roman" w:hAnsi="Times New Roman" w:cs="Times New Roman"/>
          <w:sz w:val="24"/>
          <w:szCs w:val="24"/>
        </w:rPr>
        <w:t xml:space="preserve"> with the statement</w:t>
      </w:r>
      <w:r w:rsidR="005503B0">
        <w:rPr>
          <w:rFonts w:ascii="Times New Roman" w:hAnsi="Times New Roman" w:cs="Times New Roman"/>
          <w:sz w:val="24"/>
          <w:szCs w:val="24"/>
        </w:rPr>
        <w:t>:</w:t>
      </w:r>
      <w:r w:rsidRPr="00AA2949">
        <w:rPr>
          <w:rFonts w:ascii="Times New Roman" w:hAnsi="Times New Roman" w:cs="Times New Roman"/>
          <w:sz w:val="24"/>
          <w:szCs w:val="24"/>
        </w:rPr>
        <w:t xml:space="preserve"> “I think their sense of their own value is felt often very quickly through the project, and the longer we can work with them the more that is sustained</w:t>
      </w:r>
      <w:r w:rsidR="005503B0">
        <w:rPr>
          <w:rFonts w:ascii="Times New Roman" w:hAnsi="Times New Roman" w:cs="Times New Roman"/>
          <w:sz w:val="24"/>
          <w:szCs w:val="24"/>
        </w:rPr>
        <w:t>.</w:t>
      </w:r>
      <w:r w:rsidRPr="00AA2949">
        <w:rPr>
          <w:rFonts w:ascii="Times New Roman" w:hAnsi="Times New Roman" w:cs="Times New Roman"/>
          <w:sz w:val="24"/>
          <w:szCs w:val="24"/>
        </w:rPr>
        <w:t>” This is particularly the case for children who do not usually find school easy: “I will often have really valued something from a child and then discovered that that child is the child that is always in trouble or whose handwriting is terrible or</w:t>
      </w:r>
      <w:r w:rsidR="005503B0">
        <w:rPr>
          <w:rFonts w:ascii="Times New Roman" w:hAnsi="Times New Roman" w:cs="Times New Roman"/>
          <w:sz w:val="24"/>
          <w:szCs w:val="24"/>
        </w:rPr>
        <w:t xml:space="preserve"> </w:t>
      </w:r>
      <w:r w:rsidRPr="00AA2949">
        <w:rPr>
          <w:rFonts w:ascii="Times New Roman" w:hAnsi="Times New Roman" w:cs="Times New Roman"/>
          <w:sz w:val="24"/>
          <w:szCs w:val="24"/>
        </w:rPr>
        <w:t>…</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But you know, that kind of contrast</w:t>
      </w:r>
      <w:r w:rsidR="005503B0">
        <w:rPr>
          <w:rFonts w:ascii="Times New Roman" w:hAnsi="Times New Roman" w:cs="Times New Roman"/>
          <w:sz w:val="24"/>
          <w:szCs w:val="24"/>
        </w:rPr>
        <w:t>.</w:t>
      </w:r>
      <w:r w:rsidRPr="00AA2949">
        <w:rPr>
          <w:rFonts w:ascii="Times New Roman" w:hAnsi="Times New Roman" w:cs="Times New Roman"/>
          <w:sz w:val="24"/>
          <w:szCs w:val="24"/>
        </w:rPr>
        <w:t xml:space="preserve">” These artists’ practices of working together and valuing children are part of developing the </w:t>
      </w:r>
      <w:r w:rsidR="005503B0" w:rsidRPr="005503B0">
        <w:rPr>
          <w:rFonts w:ascii="Times New Roman" w:hAnsi="Times New Roman" w:cs="Times New Roman"/>
          <w:sz w:val="24"/>
          <w:szCs w:val="24"/>
        </w:rPr>
        <w:t>a</w:t>
      </w:r>
      <w:r w:rsidR="00D91CFE" w:rsidRPr="005503B0">
        <w:rPr>
          <w:rFonts w:ascii="Times New Roman" w:hAnsi="Times New Roman" w:cs="Times New Roman"/>
          <w:sz w:val="24"/>
          <w:szCs w:val="24"/>
        </w:rPr>
        <w:t>ffiliation</w:t>
      </w:r>
      <w:r w:rsidRPr="005503B0">
        <w:rPr>
          <w:rFonts w:ascii="Times New Roman" w:hAnsi="Times New Roman" w:cs="Times New Roman"/>
          <w:sz w:val="24"/>
          <w:szCs w:val="24"/>
        </w:rPr>
        <w:t xml:space="preserve"> </w:t>
      </w:r>
      <w:r w:rsidRPr="00AA2949">
        <w:rPr>
          <w:rFonts w:ascii="Times New Roman" w:hAnsi="Times New Roman" w:cs="Times New Roman"/>
          <w:sz w:val="24"/>
          <w:szCs w:val="24"/>
        </w:rPr>
        <w:t xml:space="preserve">capability; they contribute </w:t>
      </w:r>
      <w:r w:rsidR="005503B0">
        <w:rPr>
          <w:rFonts w:ascii="Times New Roman" w:hAnsi="Times New Roman" w:cs="Times New Roman"/>
          <w:sz w:val="24"/>
          <w:szCs w:val="24"/>
        </w:rPr>
        <w:t xml:space="preserve">to </w:t>
      </w:r>
      <w:r w:rsidRPr="00AA2949">
        <w:rPr>
          <w:rFonts w:ascii="Times New Roman" w:hAnsi="Times New Roman" w:cs="Times New Roman"/>
          <w:sz w:val="24"/>
          <w:szCs w:val="24"/>
        </w:rPr>
        <w:t>sh</w:t>
      </w:r>
      <w:r w:rsidRPr="00AA2949">
        <w:rPr>
          <w:rFonts w:ascii="Times New Roman" w:hAnsi="Times New Roman" w:cs="Times New Roman"/>
          <w:sz w:val="24"/>
          <w:szCs w:val="24"/>
          <w:shd w:val="clear" w:color="auto" w:fill="FFFFFF"/>
        </w:rPr>
        <w:t>owing concern for other humans, engaging in social relations, and being treated with respect and dignity</w:t>
      </w:r>
      <w:r w:rsidRPr="00AA2949">
        <w:rPr>
          <w:rFonts w:ascii="Times New Roman" w:hAnsi="Times New Roman" w:cs="Times New Roman"/>
          <w:sz w:val="24"/>
          <w:szCs w:val="24"/>
        </w:rPr>
        <w:t>.</w:t>
      </w:r>
    </w:p>
    <w:p w:rsidR="00C65C9D" w:rsidRPr="00AA2949" w:rsidRDefault="00C65C9D" w:rsidP="00F979B4">
      <w:pPr>
        <w:spacing w:after="0" w:line="240" w:lineRule="auto"/>
        <w:ind w:firstLine="567"/>
        <w:jc w:val="both"/>
        <w:rPr>
          <w:rFonts w:ascii="Times New Roman" w:hAnsi="Times New Roman" w:cs="Times New Roman"/>
          <w:sz w:val="24"/>
          <w:szCs w:val="24"/>
        </w:rPr>
      </w:pPr>
      <w:r w:rsidRPr="00AA2949">
        <w:rPr>
          <w:rFonts w:ascii="Times New Roman" w:hAnsi="Times New Roman" w:cs="Times New Roman"/>
          <w:sz w:val="24"/>
          <w:szCs w:val="24"/>
        </w:rPr>
        <w:t xml:space="preserve">Also of particular note through the artist discussions </w:t>
      </w:r>
      <w:r w:rsidR="005503B0">
        <w:rPr>
          <w:rFonts w:ascii="Times New Roman" w:hAnsi="Times New Roman" w:cs="Times New Roman"/>
          <w:sz w:val="24"/>
          <w:szCs w:val="24"/>
        </w:rPr>
        <w:t>was</w:t>
      </w:r>
      <w:r w:rsidRPr="00AA2949">
        <w:rPr>
          <w:rFonts w:ascii="Times New Roman" w:hAnsi="Times New Roman" w:cs="Times New Roman"/>
          <w:sz w:val="24"/>
          <w:szCs w:val="24"/>
        </w:rPr>
        <w:t xml:space="preserve"> the capability of </w:t>
      </w:r>
      <w:r w:rsidR="005503B0">
        <w:rPr>
          <w:rFonts w:ascii="Times New Roman" w:hAnsi="Times New Roman" w:cs="Times New Roman"/>
          <w:sz w:val="24"/>
          <w:szCs w:val="24"/>
        </w:rPr>
        <w:t>a</w:t>
      </w:r>
      <w:r w:rsidRPr="005503B0">
        <w:rPr>
          <w:rFonts w:ascii="Times New Roman" w:hAnsi="Times New Roman" w:cs="Times New Roman"/>
          <w:sz w:val="24"/>
          <w:szCs w:val="24"/>
        </w:rPr>
        <w:t>utonomy;</w:t>
      </w:r>
      <w:r w:rsidRPr="00AA2949">
        <w:rPr>
          <w:rFonts w:ascii="Times New Roman" w:hAnsi="Times New Roman" w:cs="Times New Roman"/>
          <w:sz w:val="24"/>
          <w:szCs w:val="24"/>
        </w:rPr>
        <w:t xml:space="preserve"> for example, Debbie emphasised the importance of this in the focus group:</w:t>
      </w:r>
    </w:p>
    <w:p w:rsidR="00F979B4" w:rsidRPr="00AA2949" w:rsidRDefault="00F979B4" w:rsidP="00F979B4">
      <w:pPr>
        <w:spacing w:after="0" w:line="240" w:lineRule="auto"/>
        <w:ind w:firstLine="567"/>
        <w:jc w:val="both"/>
        <w:rPr>
          <w:rFonts w:ascii="Times New Roman" w:hAnsi="Times New Roman" w:cs="Times New Roman"/>
          <w:sz w:val="24"/>
          <w:szCs w:val="24"/>
        </w:rPr>
      </w:pPr>
    </w:p>
    <w:p w:rsidR="00C65C9D" w:rsidRPr="00AA2949" w:rsidRDefault="00C65C9D" w:rsidP="00F979B4">
      <w:pPr>
        <w:pStyle w:val="Quotations"/>
        <w:spacing w:before="0" w:after="0"/>
        <w:ind w:left="709" w:right="95"/>
      </w:pPr>
      <w:r w:rsidRPr="00AA2949">
        <w:t>I was talking about the [town] project as well, one of the really crucial things about that was to give the teenagers a bit of ownership of the place that they were seeing</w:t>
      </w:r>
      <w:r w:rsidR="00F979B4" w:rsidRPr="00AA2949">
        <w:t xml:space="preserve"> </w:t>
      </w:r>
      <w:r w:rsidRPr="00AA2949">
        <w:t xml:space="preserve">… </w:t>
      </w:r>
      <w:r w:rsidRPr="00AA2949">
        <w:lastRenderedPageBreak/>
        <w:t>once they</w:t>
      </w:r>
      <w:r w:rsidR="00F979B4" w:rsidRPr="00AA2949">
        <w:t>’</w:t>
      </w:r>
      <w:r w:rsidRPr="00AA2949">
        <w:t>ve got their own involvement in making the space that they want to use, stuff like that, then it becomes more valuable to them</w:t>
      </w:r>
      <w:r w:rsidR="00F979B4" w:rsidRPr="00AA2949">
        <w:t xml:space="preserve"> </w:t>
      </w:r>
      <w:r w:rsidRPr="00AA2949">
        <w:t>…</w:t>
      </w:r>
      <w:r w:rsidR="00F979B4" w:rsidRPr="00AA2949">
        <w:t xml:space="preserve"> </w:t>
      </w:r>
      <w:r w:rsidRPr="00AA2949">
        <w:t>so something that kind of wasn</w:t>
      </w:r>
      <w:r w:rsidR="00F979B4" w:rsidRPr="00AA2949">
        <w:t>’</w:t>
      </w:r>
      <w:r w:rsidRPr="00AA2949">
        <w:t>t theirs became theirs in a real way.</w:t>
      </w:r>
    </w:p>
    <w:p w:rsidR="00F979B4" w:rsidRPr="00AA2949" w:rsidRDefault="00F979B4" w:rsidP="00F979B4">
      <w:pPr>
        <w:spacing w:after="0" w:line="240" w:lineRule="auto"/>
        <w:jc w:val="both"/>
        <w:rPr>
          <w:rFonts w:ascii="Times New Roman" w:hAnsi="Times New Roman" w:cs="Times New Roman"/>
          <w:sz w:val="24"/>
          <w:szCs w:val="24"/>
        </w:rPr>
      </w:pPr>
    </w:p>
    <w:p w:rsidR="00C65C9D" w:rsidRPr="00AA2949" w:rsidRDefault="00C65C9D" w:rsidP="00F979B4">
      <w:pPr>
        <w:spacing w:after="0" w:line="240" w:lineRule="auto"/>
        <w:jc w:val="both"/>
        <w:rPr>
          <w:rFonts w:ascii="Times New Roman" w:hAnsi="Times New Roman" w:cs="Times New Roman"/>
          <w:sz w:val="24"/>
          <w:szCs w:val="24"/>
        </w:rPr>
      </w:pPr>
      <w:r w:rsidRPr="00AA2949">
        <w:rPr>
          <w:rFonts w:ascii="Times New Roman" w:hAnsi="Times New Roman" w:cs="Times New Roman"/>
          <w:sz w:val="24"/>
          <w:szCs w:val="24"/>
        </w:rPr>
        <w:t>Sally develop</w:t>
      </w:r>
      <w:r w:rsidR="005503B0">
        <w:rPr>
          <w:rFonts w:ascii="Times New Roman" w:hAnsi="Times New Roman" w:cs="Times New Roman"/>
          <w:sz w:val="24"/>
          <w:szCs w:val="24"/>
        </w:rPr>
        <w:t>ed</w:t>
      </w:r>
      <w:r w:rsidRPr="00AA2949">
        <w:rPr>
          <w:rFonts w:ascii="Times New Roman" w:hAnsi="Times New Roman" w:cs="Times New Roman"/>
          <w:sz w:val="24"/>
          <w:szCs w:val="24"/>
        </w:rPr>
        <w:t xml:space="preserve"> this, suggesting that ownership empowers the children: “that acknowledgement and valuing of what they</w:t>
      </w:r>
      <w:r w:rsidR="00F979B4" w:rsidRPr="00AA2949">
        <w:rPr>
          <w:rFonts w:ascii="Times New Roman" w:hAnsi="Times New Roman" w:cs="Times New Roman"/>
          <w:sz w:val="24"/>
          <w:szCs w:val="24"/>
        </w:rPr>
        <w:t>’</w:t>
      </w:r>
      <w:r w:rsidRPr="00AA2949">
        <w:rPr>
          <w:rFonts w:ascii="Times New Roman" w:hAnsi="Times New Roman" w:cs="Times New Roman"/>
          <w:sz w:val="24"/>
          <w:szCs w:val="24"/>
        </w:rPr>
        <w:t>ve then named something … that</w:t>
      </w:r>
      <w:r w:rsidR="005503B0">
        <w:rPr>
          <w:rFonts w:ascii="Times New Roman" w:hAnsi="Times New Roman" w:cs="Times New Roman"/>
          <w:sz w:val="24"/>
          <w:szCs w:val="24"/>
        </w:rPr>
        <w:t>’</w:t>
      </w:r>
      <w:r w:rsidRPr="00AA2949">
        <w:rPr>
          <w:rFonts w:ascii="Times New Roman" w:hAnsi="Times New Roman" w:cs="Times New Roman"/>
          <w:sz w:val="24"/>
          <w:szCs w:val="24"/>
        </w:rPr>
        <w:t>s really empowering isn</w:t>
      </w:r>
      <w:r w:rsidR="00F979B4" w:rsidRPr="00AA2949">
        <w:rPr>
          <w:rFonts w:ascii="Times New Roman" w:hAnsi="Times New Roman" w:cs="Times New Roman"/>
          <w:sz w:val="24"/>
          <w:szCs w:val="24"/>
        </w:rPr>
        <w:t>’</w:t>
      </w:r>
      <w:r w:rsidRPr="00AA2949">
        <w:rPr>
          <w:rFonts w:ascii="Times New Roman" w:hAnsi="Times New Roman" w:cs="Times New Roman"/>
          <w:sz w:val="24"/>
          <w:szCs w:val="24"/>
        </w:rPr>
        <w:t>t it?</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That the children then have a sense of ownership, of claiming the space</w:t>
      </w:r>
      <w:r w:rsidR="005503B0">
        <w:rPr>
          <w:rFonts w:ascii="Times New Roman" w:hAnsi="Times New Roman" w:cs="Times New Roman"/>
          <w:sz w:val="24"/>
          <w:szCs w:val="24"/>
        </w:rPr>
        <w:t>.</w:t>
      </w:r>
      <w:r w:rsidRPr="00AA2949">
        <w:rPr>
          <w:rFonts w:ascii="Times New Roman" w:hAnsi="Times New Roman" w:cs="Times New Roman"/>
          <w:sz w:val="24"/>
          <w:szCs w:val="24"/>
        </w:rPr>
        <w:t xml:space="preserve">” </w:t>
      </w:r>
      <w:r w:rsidRPr="00AA2949">
        <w:rPr>
          <w:rStyle w:val="normaltextrun"/>
          <w:rFonts w:ascii="Times New Roman" w:hAnsi="Times New Roman" w:cs="Times New Roman"/>
          <w:color w:val="000000"/>
          <w:sz w:val="24"/>
          <w:szCs w:val="24"/>
        </w:rPr>
        <w:t xml:space="preserve">Fattore, Mason and Watson (2007) argue that </w:t>
      </w:r>
      <w:r w:rsidRPr="00AA2949">
        <w:rPr>
          <w:rFonts w:ascii="Times New Roman" w:hAnsi="Times New Roman" w:cs="Times New Roman"/>
          <w:sz w:val="24"/>
          <w:szCs w:val="24"/>
        </w:rPr>
        <w:t xml:space="preserve">having a sense of autonomy is important for children’s wellbeing; we suggest that the empowerment of children through CCI’s truly child-led, artistic practice in nature may be of further benefit as it develops intrinsic motivation (Douglas &amp; Jaquith, 2009) which, in turn, contributes to growth of further capabilities. </w:t>
      </w:r>
    </w:p>
    <w:p w:rsidR="00C65C9D" w:rsidRPr="00AA2949" w:rsidRDefault="00C65C9D" w:rsidP="00F979B4">
      <w:pPr>
        <w:spacing w:after="0" w:line="240" w:lineRule="auto"/>
        <w:ind w:firstLine="720"/>
        <w:jc w:val="both"/>
        <w:rPr>
          <w:rFonts w:ascii="Times New Roman" w:hAnsi="Times New Roman" w:cs="Times New Roman"/>
          <w:sz w:val="24"/>
          <w:szCs w:val="24"/>
          <w:shd w:val="clear" w:color="auto" w:fill="FFFFFF"/>
        </w:rPr>
      </w:pPr>
      <w:r w:rsidRPr="00AA2949">
        <w:rPr>
          <w:rFonts w:ascii="Times New Roman" w:hAnsi="Times New Roman" w:cs="Times New Roman"/>
          <w:sz w:val="24"/>
          <w:szCs w:val="24"/>
          <w:shd w:val="clear" w:color="auto" w:fill="FFFFFF"/>
        </w:rPr>
        <w:t>While this is just a brief analysis, we have illustrated how using Nussbaum’s adapted list suggests that</w:t>
      </w:r>
      <w:r w:rsidRPr="00AA2949">
        <w:rPr>
          <w:rFonts w:ascii="Times New Roman" w:eastAsia="Times New Roman" w:hAnsi="Times New Roman" w:cs="Times New Roman"/>
          <w:sz w:val="24"/>
          <w:szCs w:val="24"/>
        </w:rPr>
        <w:t xml:space="preserve"> </w:t>
      </w:r>
      <w:r w:rsidR="003D4A69" w:rsidRPr="00AA2949">
        <w:rPr>
          <w:rFonts w:ascii="Times New Roman" w:hAnsi="Times New Roman" w:cs="Times New Roman"/>
          <w:color w:val="000000"/>
          <w:sz w:val="24"/>
          <w:szCs w:val="24"/>
        </w:rPr>
        <w:t xml:space="preserve">environmental and sustainability education </w:t>
      </w:r>
      <w:r w:rsidRPr="00AA2949">
        <w:rPr>
          <w:rFonts w:ascii="Times New Roman" w:eastAsia="Times New Roman" w:hAnsi="Times New Roman" w:cs="Times New Roman"/>
          <w:sz w:val="24"/>
          <w:szCs w:val="24"/>
        </w:rPr>
        <w:t>practices that incorporate art pedagogies</w:t>
      </w:r>
      <w:r w:rsidRPr="00AA2949">
        <w:rPr>
          <w:rFonts w:ascii="Times New Roman" w:hAnsi="Times New Roman" w:cs="Times New Roman"/>
          <w:sz w:val="24"/>
          <w:szCs w:val="24"/>
          <w:shd w:val="clear" w:color="auto" w:fill="FFFFFF"/>
        </w:rPr>
        <w:t xml:space="preserve"> may be </w:t>
      </w:r>
      <w:r w:rsidRPr="00AA2949">
        <w:rPr>
          <w:rFonts w:ascii="Times New Roman" w:eastAsia="Times New Roman" w:hAnsi="Times New Roman" w:cs="Times New Roman"/>
          <w:sz w:val="24"/>
          <w:szCs w:val="24"/>
        </w:rPr>
        <w:t>a useful way to conceptualise a more holistic approach to wellbeing. We now move on to the</w:t>
      </w:r>
      <w:r w:rsidRPr="00AA2949">
        <w:rPr>
          <w:rFonts w:ascii="Times New Roman" w:hAnsi="Times New Roman" w:cs="Times New Roman"/>
          <w:sz w:val="24"/>
          <w:szCs w:val="24"/>
        </w:rPr>
        <w:t xml:space="preserve"> final part of the chapter which considers how engaging children in defining a list of their own capabilities and developing these through participatory arts practice in nature might support a</w:t>
      </w:r>
      <w:r w:rsidRPr="00AA2949">
        <w:rPr>
          <w:rFonts w:ascii="Times New Roman" w:hAnsi="Times New Roman" w:cs="Times New Roman"/>
          <w:sz w:val="24"/>
          <w:szCs w:val="24"/>
          <w:shd w:val="clear" w:color="auto" w:fill="FFFFFF"/>
        </w:rPr>
        <w:t xml:space="preserve"> more holistic, embodied and relationa</w:t>
      </w:r>
      <w:r w:rsidR="00630924" w:rsidRPr="00AA2949">
        <w:rPr>
          <w:rFonts w:ascii="Times New Roman" w:hAnsi="Times New Roman" w:cs="Times New Roman"/>
          <w:sz w:val="24"/>
          <w:szCs w:val="24"/>
          <w:shd w:val="clear" w:color="auto" w:fill="FFFFFF"/>
        </w:rPr>
        <w:t>l growing of wellbeing</w:t>
      </w:r>
      <w:r w:rsidR="00FD3436" w:rsidRPr="00AA2949">
        <w:rPr>
          <w:rFonts w:ascii="Times New Roman" w:hAnsi="Times New Roman" w:cs="Times New Roman"/>
          <w:sz w:val="24"/>
          <w:szCs w:val="24"/>
          <w:shd w:val="clear" w:color="auto" w:fill="FFFFFF"/>
        </w:rPr>
        <w:t>.</w:t>
      </w:r>
      <w:r w:rsidR="00F979B4" w:rsidRPr="00AA2949">
        <w:rPr>
          <w:rFonts w:ascii="Times New Roman" w:hAnsi="Times New Roman" w:cs="Times New Roman"/>
          <w:sz w:val="24"/>
          <w:szCs w:val="24"/>
          <w:shd w:val="clear" w:color="auto" w:fill="FFFFFF"/>
        </w:rPr>
        <w:t xml:space="preserve"> </w:t>
      </w:r>
      <w:r w:rsidR="005503B0">
        <w:rPr>
          <w:rFonts w:ascii="Times New Roman" w:hAnsi="Times New Roman" w:cs="Times New Roman"/>
          <w:sz w:val="24"/>
          <w:szCs w:val="24"/>
          <w:shd w:val="clear" w:color="auto" w:fill="FFFFFF"/>
        </w:rPr>
        <w:t>This g</w:t>
      </w:r>
      <w:r w:rsidR="00FD3436" w:rsidRPr="00AA2949">
        <w:rPr>
          <w:rFonts w:ascii="Times New Roman" w:hAnsi="Times New Roman" w:cs="Times New Roman"/>
          <w:sz w:val="24"/>
          <w:szCs w:val="24"/>
          <w:shd w:val="clear" w:color="auto" w:fill="FFFFFF"/>
        </w:rPr>
        <w:t xml:space="preserve">rowth </w:t>
      </w:r>
      <w:r w:rsidR="005503B0">
        <w:rPr>
          <w:rFonts w:ascii="Times New Roman" w:hAnsi="Times New Roman" w:cs="Times New Roman"/>
          <w:sz w:val="24"/>
          <w:szCs w:val="24"/>
          <w:shd w:val="clear" w:color="auto" w:fill="FFFFFF"/>
        </w:rPr>
        <w:t>can be</w:t>
      </w:r>
      <w:r w:rsidR="00630924" w:rsidRPr="00AA2949">
        <w:rPr>
          <w:rFonts w:ascii="Times New Roman" w:hAnsi="Times New Roman" w:cs="Times New Roman"/>
          <w:sz w:val="24"/>
          <w:szCs w:val="24"/>
          <w:shd w:val="clear" w:color="auto" w:fill="FFFFFF"/>
        </w:rPr>
        <w:t xml:space="preserve"> sustained across a li</w:t>
      </w:r>
      <w:r w:rsidR="002E5A33" w:rsidRPr="00AA2949">
        <w:rPr>
          <w:rFonts w:ascii="Times New Roman" w:hAnsi="Times New Roman" w:cs="Times New Roman"/>
          <w:sz w:val="24"/>
          <w:szCs w:val="24"/>
          <w:shd w:val="clear" w:color="auto" w:fill="FFFFFF"/>
        </w:rPr>
        <w:t>fetime through setting up</w:t>
      </w:r>
      <w:r w:rsidR="00FD3436" w:rsidRPr="00AA2949">
        <w:rPr>
          <w:rFonts w:ascii="Times New Roman" w:hAnsi="Times New Roman" w:cs="Times New Roman"/>
          <w:sz w:val="24"/>
          <w:szCs w:val="24"/>
          <w:shd w:val="clear" w:color="auto" w:fill="FFFFFF"/>
        </w:rPr>
        <w:t xml:space="preserve"> </w:t>
      </w:r>
      <w:r w:rsidR="002E5A33" w:rsidRPr="00AA2949">
        <w:rPr>
          <w:rFonts w:ascii="Times New Roman" w:hAnsi="Times New Roman" w:cs="Times New Roman"/>
          <w:sz w:val="24"/>
          <w:szCs w:val="24"/>
          <w:shd w:val="clear" w:color="auto" w:fill="FFFFFF"/>
        </w:rPr>
        <w:t>affecting</w:t>
      </w:r>
      <w:r w:rsidR="00630924" w:rsidRPr="00AA2949">
        <w:rPr>
          <w:rFonts w:ascii="Times New Roman" w:hAnsi="Times New Roman" w:cs="Times New Roman"/>
          <w:sz w:val="24"/>
          <w:szCs w:val="24"/>
          <w:shd w:val="clear" w:color="auto" w:fill="FFFFFF"/>
        </w:rPr>
        <w:t xml:space="preserve"> experiences that can </w:t>
      </w:r>
      <w:r w:rsidR="00F979B4" w:rsidRPr="00AA2949">
        <w:rPr>
          <w:rFonts w:ascii="Times New Roman" w:hAnsi="Times New Roman" w:cs="Times New Roman"/>
          <w:sz w:val="24"/>
          <w:szCs w:val="24"/>
          <w:shd w:val="clear" w:color="auto" w:fill="FFFFFF"/>
        </w:rPr>
        <w:t>“</w:t>
      </w:r>
      <w:r w:rsidR="00630924" w:rsidRPr="00AA2949">
        <w:rPr>
          <w:rFonts w:ascii="Times New Roman" w:hAnsi="Times New Roman" w:cs="Times New Roman"/>
          <w:sz w:val="24"/>
          <w:szCs w:val="24"/>
          <w:shd w:val="clear" w:color="auto" w:fill="FFFFFF"/>
        </w:rPr>
        <w:t>flash up</w:t>
      </w:r>
      <w:r w:rsidR="00F979B4" w:rsidRPr="00AA2949">
        <w:rPr>
          <w:rFonts w:ascii="Times New Roman" w:hAnsi="Times New Roman" w:cs="Times New Roman"/>
          <w:sz w:val="24"/>
          <w:szCs w:val="24"/>
          <w:shd w:val="clear" w:color="auto" w:fill="FFFFFF"/>
        </w:rPr>
        <w:t>”</w:t>
      </w:r>
      <w:r w:rsidR="00FD3436" w:rsidRPr="00AA2949">
        <w:rPr>
          <w:rFonts w:ascii="Times New Roman" w:hAnsi="Times New Roman" w:cs="Times New Roman"/>
          <w:sz w:val="24"/>
          <w:szCs w:val="24"/>
          <w:shd w:val="clear" w:color="auto" w:fill="FFFFFF"/>
        </w:rPr>
        <w:t xml:space="preserve">, to borrow a term from Barad (2018), </w:t>
      </w:r>
      <w:r w:rsidR="00630924" w:rsidRPr="00AA2949">
        <w:rPr>
          <w:rFonts w:ascii="Times New Roman" w:hAnsi="Times New Roman" w:cs="Times New Roman"/>
          <w:sz w:val="24"/>
          <w:szCs w:val="24"/>
          <w:shd w:val="clear" w:color="auto" w:fill="FFFFFF"/>
        </w:rPr>
        <w:t xml:space="preserve">when life trajectories present challenges to wellbeing in the future and can form part of a person’s resilience in the face of these. </w:t>
      </w:r>
    </w:p>
    <w:p w:rsidR="002174B3" w:rsidRPr="00AA2949" w:rsidRDefault="002174B3" w:rsidP="00F979B4">
      <w:pPr>
        <w:spacing w:after="0" w:line="240" w:lineRule="auto"/>
        <w:jc w:val="both"/>
        <w:rPr>
          <w:rFonts w:ascii="Times New Roman" w:hAnsi="Times New Roman" w:cs="Times New Roman"/>
          <w:sz w:val="24"/>
          <w:szCs w:val="24"/>
        </w:rPr>
      </w:pPr>
    </w:p>
    <w:p w:rsidR="002E5A33" w:rsidRPr="00AA2949" w:rsidRDefault="002E5A33" w:rsidP="00F979B4">
      <w:pPr>
        <w:autoSpaceDE w:val="0"/>
        <w:autoSpaceDN w:val="0"/>
        <w:adjustRightInd w:val="0"/>
        <w:spacing w:after="0" w:line="240" w:lineRule="auto"/>
        <w:jc w:val="center"/>
        <w:rPr>
          <w:rFonts w:ascii="Times New Roman" w:hAnsi="Times New Roman" w:cs="Times New Roman"/>
          <w:sz w:val="24"/>
          <w:szCs w:val="24"/>
        </w:rPr>
      </w:pPr>
      <w:r w:rsidRPr="00AA2949">
        <w:rPr>
          <w:rFonts w:ascii="Times New Roman" w:hAnsi="Times New Roman" w:cs="Times New Roman"/>
          <w:sz w:val="24"/>
          <w:szCs w:val="24"/>
        </w:rPr>
        <w:t>THE POTENTIAL OF ECO-CAPABILITIES FOR SUPPORTING CHILDREN’S WELLBEING</w:t>
      </w:r>
    </w:p>
    <w:p w:rsidR="00F979B4" w:rsidRPr="00AA2949" w:rsidRDefault="00F979B4" w:rsidP="00F979B4">
      <w:pPr>
        <w:shd w:val="clear" w:color="auto" w:fill="FFFFFF"/>
        <w:spacing w:after="0" w:line="240" w:lineRule="auto"/>
        <w:jc w:val="both"/>
        <w:textAlignment w:val="baseline"/>
        <w:rPr>
          <w:rFonts w:ascii="Times New Roman" w:hAnsi="Times New Roman" w:cs="Times New Roman"/>
          <w:sz w:val="24"/>
          <w:szCs w:val="24"/>
        </w:rPr>
      </w:pPr>
    </w:p>
    <w:p w:rsidR="002E5A33" w:rsidRPr="00AA2949" w:rsidRDefault="002E5A33" w:rsidP="00F979B4">
      <w:pPr>
        <w:shd w:val="clear" w:color="auto" w:fill="FFFFFF"/>
        <w:spacing w:after="0" w:line="240" w:lineRule="auto"/>
        <w:jc w:val="both"/>
        <w:textAlignment w:val="baseline"/>
        <w:rPr>
          <w:rFonts w:ascii="Times New Roman" w:hAnsi="Times New Roman" w:cs="Times New Roman"/>
          <w:sz w:val="24"/>
          <w:szCs w:val="24"/>
        </w:rPr>
      </w:pPr>
      <w:r w:rsidRPr="00AA2949">
        <w:rPr>
          <w:rFonts w:ascii="Times New Roman" w:hAnsi="Times New Roman" w:cs="Times New Roman"/>
          <w:sz w:val="24"/>
          <w:szCs w:val="24"/>
        </w:rPr>
        <w:t xml:space="preserve">Along with Barratt Hacking, Barratt and Scott (2007), we see children as significant stakeholders in their local environment with an equitable right to participate in its current and future development. Barratt and Barratt Hacking (2003) have found that children experience high levels of frustration about the state of the local environment. They find it hard to engage with their environment and this lack of agency means that they are subsequently powerless to effect any changes in it (see also Spencer &amp; Woolley, 2000; Barratt Hacking </w:t>
      </w:r>
      <w:r w:rsidRPr="00AA2949">
        <w:rPr>
          <w:rFonts w:ascii="Times New Roman" w:hAnsi="Times New Roman" w:cs="Times New Roman"/>
          <w:iCs/>
          <w:sz w:val="24"/>
          <w:szCs w:val="24"/>
        </w:rPr>
        <w:t>et al</w:t>
      </w:r>
      <w:r w:rsidRPr="00AA2949">
        <w:rPr>
          <w:rFonts w:ascii="Times New Roman" w:hAnsi="Times New Roman" w:cs="Times New Roman"/>
          <w:sz w:val="24"/>
          <w:szCs w:val="24"/>
        </w:rPr>
        <w:t>., 2006; Barratt &amp; Barratt Hacking, 200</w:t>
      </w:r>
      <w:r w:rsidR="001E1AE8">
        <w:rPr>
          <w:rFonts w:ascii="Times New Roman" w:hAnsi="Times New Roman" w:cs="Times New Roman"/>
          <w:sz w:val="24"/>
          <w:szCs w:val="24"/>
        </w:rPr>
        <w:t>3</w:t>
      </w:r>
      <w:r w:rsidRPr="00AA2949">
        <w:rPr>
          <w:rFonts w:ascii="Times New Roman" w:hAnsi="Times New Roman" w:cs="Times New Roman"/>
          <w:sz w:val="24"/>
          <w:szCs w:val="24"/>
        </w:rPr>
        <w:t>; Irvine et al., 2016).</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 xml:space="preserve">Seeing this as crucial to the current and future wellbeing of people and planet, and inspired by GeoCapabilities, a multimillion pound project funded by </w:t>
      </w:r>
      <w:r w:rsidR="005503B0">
        <w:rPr>
          <w:rFonts w:ascii="Times New Roman" w:hAnsi="Times New Roman" w:cs="Times New Roman"/>
          <w:sz w:val="24"/>
          <w:szCs w:val="24"/>
        </w:rPr>
        <w:t xml:space="preserve">the </w:t>
      </w:r>
      <w:r w:rsidRPr="00AA2949">
        <w:rPr>
          <w:rFonts w:ascii="Times New Roman" w:hAnsi="Times New Roman" w:cs="Times New Roman"/>
          <w:sz w:val="24"/>
          <w:szCs w:val="24"/>
        </w:rPr>
        <w:t xml:space="preserve">National Science Foundation and </w:t>
      </w:r>
      <w:r w:rsidR="005503B0">
        <w:rPr>
          <w:rFonts w:ascii="Times New Roman" w:hAnsi="Times New Roman" w:cs="Times New Roman"/>
          <w:sz w:val="24"/>
          <w:szCs w:val="24"/>
        </w:rPr>
        <w:t xml:space="preserve">the </w:t>
      </w:r>
      <w:r w:rsidRPr="00AA2949">
        <w:rPr>
          <w:rFonts w:ascii="Times New Roman" w:hAnsi="Times New Roman" w:cs="Times New Roman"/>
          <w:sz w:val="24"/>
          <w:szCs w:val="24"/>
        </w:rPr>
        <w:t>European Union</w:t>
      </w:r>
      <w:r w:rsidR="005503B0">
        <w:rPr>
          <w:rFonts w:ascii="Times New Roman" w:hAnsi="Times New Roman" w:cs="Times New Roman"/>
          <w:sz w:val="24"/>
          <w:szCs w:val="24"/>
        </w:rPr>
        <w:t>’s</w:t>
      </w:r>
      <w:r w:rsidRPr="00AA2949">
        <w:rPr>
          <w:rFonts w:ascii="Times New Roman" w:hAnsi="Times New Roman" w:cs="Times New Roman"/>
          <w:sz w:val="24"/>
          <w:szCs w:val="24"/>
        </w:rPr>
        <w:t xml:space="preserve"> Comenius Programme (e.g. Uhlenwinkel et al., 2017; Walkington et al., 2018), we use the term </w:t>
      </w:r>
      <w:r w:rsidRPr="00AA2949">
        <w:rPr>
          <w:rFonts w:ascii="Times New Roman" w:hAnsi="Times New Roman" w:cs="Times New Roman"/>
          <w:i/>
          <w:sz w:val="24"/>
          <w:szCs w:val="24"/>
        </w:rPr>
        <w:t>eco-capabilities</w:t>
      </w:r>
      <w:r w:rsidRPr="00AA2949">
        <w:rPr>
          <w:rFonts w:ascii="Times New Roman" w:hAnsi="Times New Roman" w:cs="Times New Roman"/>
          <w:sz w:val="24"/>
          <w:szCs w:val="24"/>
        </w:rPr>
        <w:t xml:space="preserve"> to describe how children define what is important to them, particularly in terms of environmental sustainability, social justice and future economic wellbeing (i.e. the three pillars of sustainability). With a focus on the wellbeing of children living in areas of high deprivation, we suggest there is </w:t>
      </w:r>
      <w:r w:rsidR="005503B0">
        <w:rPr>
          <w:rFonts w:ascii="Times New Roman" w:hAnsi="Times New Roman" w:cs="Times New Roman"/>
          <w:sz w:val="24"/>
          <w:szCs w:val="24"/>
        </w:rPr>
        <w:t>a</w:t>
      </w:r>
      <w:r w:rsidRPr="00AA2949">
        <w:rPr>
          <w:rFonts w:ascii="Times New Roman" w:hAnsi="Times New Roman" w:cs="Times New Roman"/>
          <w:sz w:val="24"/>
          <w:szCs w:val="24"/>
        </w:rPr>
        <w:t xml:space="preserve"> potential to contribute to contemporary academic and societal conversations about children’s disconnect from nature, their wellbeing (or lack thereof) and the role of the arts at the intersection between the two. A future project aims to do just this; t</w:t>
      </w:r>
      <w:r w:rsidRPr="00AA2949">
        <w:rPr>
          <w:rFonts w:ascii="Times New Roman" w:hAnsi="Times New Roman" w:cs="Times New Roman"/>
          <w:color w:val="000000"/>
          <w:sz w:val="24"/>
          <w:szCs w:val="24"/>
          <w:shd w:val="clear" w:color="auto" w:fill="FFFFFF"/>
        </w:rPr>
        <w:t xml:space="preserve">aking a participatory approach, we will work with primary-aged children through workshops in schools to explore wellbeing and nature, introducing the concept of </w:t>
      </w:r>
      <w:r w:rsidRPr="00AA2949">
        <w:rPr>
          <w:rFonts w:ascii="Times New Roman" w:hAnsi="Times New Roman" w:cs="Times New Roman"/>
          <w:i/>
          <w:color w:val="000000"/>
          <w:sz w:val="24"/>
          <w:szCs w:val="24"/>
          <w:shd w:val="clear" w:color="auto" w:fill="FFFFFF"/>
        </w:rPr>
        <w:t>eco-</w:t>
      </w:r>
      <w:r w:rsidRPr="00AA2949">
        <w:rPr>
          <w:rFonts w:ascii="Times New Roman" w:hAnsi="Times New Roman" w:cs="Times New Roman"/>
          <w:color w:val="000000"/>
          <w:sz w:val="24"/>
          <w:szCs w:val="24"/>
          <w:shd w:val="clear" w:color="auto" w:fill="FFFFFF"/>
        </w:rPr>
        <w:t>capabilities. We will use this as a platform from which to elicit from children a list of eco-capabilities that would make them happy or give them greater wellbeing, and ask children to assess themselves against their list: to what extent do they feel they will be able to achieve these? We then aim to explore how the children’s perceptions of these eco-capabilities change through working with the CCI artists in nature, based on co-planned interventions or adventures in their local area</w:t>
      </w:r>
      <w:r w:rsidR="00487022" w:rsidRPr="00AA2949">
        <w:rPr>
          <w:rFonts w:ascii="Times New Roman" w:hAnsi="Times New Roman" w:cs="Times New Roman"/>
          <w:sz w:val="24"/>
          <w:szCs w:val="24"/>
        </w:rPr>
        <w:t>. T</w:t>
      </w:r>
      <w:r w:rsidRPr="00AA2949">
        <w:rPr>
          <w:rFonts w:ascii="Times New Roman" w:hAnsi="Times New Roman" w:cs="Times New Roman"/>
          <w:sz w:val="24"/>
          <w:szCs w:val="24"/>
        </w:rPr>
        <w:t xml:space="preserve">his is in line with the view that attachment to </w:t>
      </w:r>
      <w:r w:rsidRPr="00AA2949">
        <w:rPr>
          <w:rFonts w:ascii="Times New Roman" w:hAnsi="Times New Roman" w:cs="Times New Roman"/>
          <w:sz w:val="24"/>
          <w:szCs w:val="24"/>
        </w:rPr>
        <w:lastRenderedPageBreak/>
        <w:t>place is linked to a child’s identity and wellbeing (</w:t>
      </w:r>
      <w:r w:rsidRPr="00AA2949">
        <w:rPr>
          <w:rFonts w:ascii="Times New Roman" w:eastAsia="Times New Roman" w:hAnsi="Times New Roman" w:cs="Times New Roman"/>
          <w:sz w:val="24"/>
          <w:szCs w:val="24"/>
        </w:rPr>
        <w:t xml:space="preserve">Twigger-Ross &amp; Uzzell, 1996; </w:t>
      </w:r>
      <w:r w:rsidRPr="00AA2949">
        <w:rPr>
          <w:rFonts w:ascii="Times New Roman" w:hAnsi="Times New Roman" w:cs="Times New Roman"/>
          <w:sz w:val="24"/>
          <w:szCs w:val="24"/>
        </w:rPr>
        <w:t>Green &amp; White, 2007).</w:t>
      </w:r>
      <w:r w:rsidR="00A94824">
        <w:rPr>
          <w:rFonts w:ascii="Times New Roman" w:hAnsi="Times New Roman" w:cs="Times New Roman"/>
          <w:sz w:val="24"/>
          <w:szCs w:val="24"/>
        </w:rPr>
        <w:t xml:space="preserve">  An essential aspect of this project is the collaboration with the teachers of the classes that we engage in the research; drawing on their expert knowledge will enable us to greatly enhance the data that we collect.  We also aim for this work to provide these teachers with a means of developing their own creative practice and ideas for enlivening the curriculum through the STEAM-like practices that CCI artists use. To extend these opportunities to </w:t>
      </w:r>
      <w:proofErr w:type="gramStart"/>
      <w:r w:rsidR="00A94824">
        <w:rPr>
          <w:rFonts w:ascii="Times New Roman" w:hAnsi="Times New Roman" w:cs="Times New Roman"/>
          <w:sz w:val="24"/>
          <w:szCs w:val="24"/>
        </w:rPr>
        <w:t>teachers</w:t>
      </w:r>
      <w:proofErr w:type="gramEnd"/>
      <w:r w:rsidR="00A94824">
        <w:rPr>
          <w:rFonts w:ascii="Times New Roman" w:hAnsi="Times New Roman" w:cs="Times New Roman"/>
          <w:sz w:val="24"/>
          <w:szCs w:val="24"/>
        </w:rPr>
        <w:t xml:space="preserve"> external to the project, we will also be developing resources and convening teach-meets to share this practice.</w:t>
      </w:r>
    </w:p>
    <w:p w:rsidR="002E5A33" w:rsidRPr="00AA2949" w:rsidRDefault="00896711" w:rsidP="00F979B4">
      <w:pPr>
        <w:shd w:val="clear" w:color="auto" w:fill="FFFFFF"/>
        <w:spacing w:after="0" w:line="240" w:lineRule="auto"/>
        <w:ind w:firstLine="709"/>
        <w:jc w:val="both"/>
        <w:textAlignment w:val="baseline"/>
        <w:rPr>
          <w:rFonts w:ascii="Times New Roman" w:hAnsi="Times New Roman" w:cs="Times New Roman"/>
          <w:sz w:val="24"/>
          <w:szCs w:val="24"/>
        </w:rPr>
      </w:pPr>
      <w:r w:rsidRPr="00AA2949">
        <w:rPr>
          <w:rFonts w:ascii="Times New Roman" w:hAnsi="Times New Roman" w:cs="Times New Roman"/>
          <w:sz w:val="24"/>
          <w:szCs w:val="24"/>
        </w:rPr>
        <w:t>This project has been developed in consultation with CCI over the past two years and during this time there has been much cross-fertilisation of ideas between practitioners in CCI and the researchers.</w:t>
      </w:r>
      <w:r w:rsidR="00F979B4" w:rsidRPr="00AA2949">
        <w:rPr>
          <w:rFonts w:ascii="Times New Roman" w:hAnsi="Times New Roman" w:cs="Times New Roman"/>
          <w:sz w:val="24"/>
          <w:szCs w:val="24"/>
        </w:rPr>
        <w:t xml:space="preserve"> </w:t>
      </w:r>
      <w:r w:rsidRPr="00AA2949">
        <w:rPr>
          <w:rFonts w:ascii="Times New Roman" w:hAnsi="Times New Roman" w:cs="Times New Roman"/>
          <w:sz w:val="24"/>
          <w:szCs w:val="24"/>
        </w:rPr>
        <w:t>This is evident in the increasingly explicit focus on wellbeing in CCI’s work alongside the deepenin</w:t>
      </w:r>
      <w:r w:rsidR="00F523BC" w:rsidRPr="00AA2949">
        <w:rPr>
          <w:rFonts w:ascii="Times New Roman" w:hAnsi="Times New Roman" w:cs="Times New Roman"/>
          <w:sz w:val="24"/>
          <w:szCs w:val="24"/>
        </w:rPr>
        <w:t>g intensification of interests of the researchers</w:t>
      </w:r>
      <w:r w:rsidRPr="00AA2949">
        <w:rPr>
          <w:rFonts w:ascii="Times New Roman" w:hAnsi="Times New Roman" w:cs="Times New Roman"/>
          <w:sz w:val="24"/>
          <w:szCs w:val="24"/>
        </w:rPr>
        <w:t xml:space="preserve"> i</w:t>
      </w:r>
      <w:r w:rsidR="00F523BC" w:rsidRPr="00AA2949">
        <w:rPr>
          <w:rFonts w:ascii="Times New Roman" w:hAnsi="Times New Roman" w:cs="Times New Roman"/>
          <w:sz w:val="24"/>
          <w:szCs w:val="24"/>
        </w:rPr>
        <w:t>n arts</w:t>
      </w:r>
      <w:r w:rsidR="00DA72D5" w:rsidRPr="00AA2949">
        <w:rPr>
          <w:rFonts w:ascii="Times New Roman" w:hAnsi="Times New Roman" w:cs="Times New Roman"/>
          <w:sz w:val="24"/>
          <w:szCs w:val="24"/>
        </w:rPr>
        <w:t>-based</w:t>
      </w:r>
      <w:r w:rsidR="00F523BC" w:rsidRPr="00AA2949">
        <w:rPr>
          <w:rFonts w:ascii="Times New Roman" w:hAnsi="Times New Roman" w:cs="Times New Roman"/>
          <w:sz w:val="24"/>
          <w:szCs w:val="24"/>
        </w:rPr>
        <w:t xml:space="preserve"> </w:t>
      </w:r>
      <w:r w:rsidR="00DA72D5" w:rsidRPr="00AA2949">
        <w:rPr>
          <w:rFonts w:ascii="Times New Roman" w:hAnsi="Times New Roman" w:cs="Times New Roman"/>
          <w:sz w:val="24"/>
          <w:szCs w:val="24"/>
        </w:rPr>
        <w:t xml:space="preserve">practices </w:t>
      </w:r>
      <w:r w:rsidR="00F523BC" w:rsidRPr="00AA2949">
        <w:rPr>
          <w:rFonts w:ascii="Times New Roman" w:hAnsi="Times New Roman" w:cs="Times New Roman"/>
          <w:sz w:val="24"/>
          <w:szCs w:val="24"/>
        </w:rPr>
        <w:t>and research.</w:t>
      </w:r>
      <w:r w:rsidRPr="00AA2949">
        <w:rPr>
          <w:rFonts w:ascii="Times New Roman" w:hAnsi="Times New Roman" w:cs="Times New Roman"/>
          <w:sz w:val="24"/>
          <w:szCs w:val="24"/>
        </w:rPr>
        <w:t xml:space="preserve"> Thus </w:t>
      </w:r>
      <w:r w:rsidR="00FD3436" w:rsidRPr="00AA2949">
        <w:rPr>
          <w:rFonts w:ascii="Times New Roman" w:hAnsi="Times New Roman" w:cs="Times New Roman"/>
          <w:sz w:val="24"/>
          <w:szCs w:val="24"/>
        </w:rPr>
        <w:t xml:space="preserve">a knot </w:t>
      </w:r>
      <w:r w:rsidRPr="00AA2949">
        <w:rPr>
          <w:rFonts w:ascii="Times New Roman" w:hAnsi="Times New Roman" w:cs="Times New Roman"/>
          <w:sz w:val="24"/>
          <w:szCs w:val="24"/>
        </w:rPr>
        <w:t>of researcher and rese</w:t>
      </w:r>
      <w:r w:rsidR="00F523BC" w:rsidRPr="00AA2949">
        <w:rPr>
          <w:rFonts w:ascii="Times New Roman" w:hAnsi="Times New Roman" w:cs="Times New Roman"/>
          <w:sz w:val="24"/>
          <w:szCs w:val="24"/>
        </w:rPr>
        <w:t>arched has emerged which has enhanced and heightened our shared knowledge of the potential benefits for wellbeing that this sort of work has</w:t>
      </w:r>
      <w:r w:rsidR="005503B0">
        <w:rPr>
          <w:rFonts w:ascii="Times New Roman" w:hAnsi="Times New Roman" w:cs="Times New Roman"/>
          <w:sz w:val="24"/>
          <w:szCs w:val="24"/>
        </w:rPr>
        <w:t>,</w:t>
      </w:r>
      <w:r w:rsidR="00F523BC" w:rsidRPr="00AA2949">
        <w:rPr>
          <w:rFonts w:ascii="Times New Roman" w:hAnsi="Times New Roman" w:cs="Times New Roman"/>
          <w:sz w:val="24"/>
          <w:szCs w:val="24"/>
        </w:rPr>
        <w:t xml:space="preserve"> but the intimacy between</w:t>
      </w:r>
      <w:r w:rsidR="002B4282" w:rsidRPr="00AA2949">
        <w:rPr>
          <w:rFonts w:ascii="Times New Roman" w:hAnsi="Times New Roman" w:cs="Times New Roman"/>
          <w:sz w:val="24"/>
          <w:szCs w:val="24"/>
        </w:rPr>
        <w:t xml:space="preserve"> us</w:t>
      </w:r>
      <w:r w:rsidR="00F523BC" w:rsidRPr="00AA2949">
        <w:rPr>
          <w:rFonts w:ascii="Times New Roman" w:hAnsi="Times New Roman" w:cs="Times New Roman"/>
          <w:sz w:val="24"/>
          <w:szCs w:val="24"/>
        </w:rPr>
        <w:t xml:space="preserve"> also has implications for our capacity to make the familiar strange, thus threatening our ability to notice and thoroughly appreciate the influences of the work that we are about to undertake.</w:t>
      </w:r>
      <w:r w:rsidR="00F979B4" w:rsidRPr="00AA2949">
        <w:rPr>
          <w:rFonts w:ascii="Times New Roman" w:hAnsi="Times New Roman" w:cs="Times New Roman"/>
          <w:sz w:val="24"/>
          <w:szCs w:val="24"/>
        </w:rPr>
        <w:t xml:space="preserve"> </w:t>
      </w:r>
      <w:r w:rsidR="00F523BC" w:rsidRPr="00AA2949">
        <w:rPr>
          <w:rFonts w:ascii="Times New Roman" w:hAnsi="Times New Roman" w:cs="Times New Roman"/>
          <w:sz w:val="24"/>
          <w:szCs w:val="24"/>
        </w:rPr>
        <w:t xml:space="preserve">However, being aware of this increasing </w:t>
      </w:r>
      <w:r w:rsidR="00D91CFE" w:rsidRPr="00AA2949">
        <w:rPr>
          <w:rFonts w:ascii="Times New Roman" w:hAnsi="Times New Roman" w:cs="Times New Roman"/>
          <w:sz w:val="24"/>
          <w:szCs w:val="24"/>
        </w:rPr>
        <w:t>entanglement</w:t>
      </w:r>
      <w:r w:rsidR="00F523BC" w:rsidRPr="00AA2949">
        <w:rPr>
          <w:rFonts w:ascii="Times New Roman" w:hAnsi="Times New Roman" w:cs="Times New Roman"/>
          <w:sz w:val="24"/>
          <w:szCs w:val="24"/>
        </w:rPr>
        <w:t xml:space="preserve"> is important because it may enable us to consciously exclude ourselves fro</w:t>
      </w:r>
      <w:r w:rsidR="008A0B4F" w:rsidRPr="00AA2949">
        <w:rPr>
          <w:rFonts w:ascii="Times New Roman" w:hAnsi="Times New Roman" w:cs="Times New Roman"/>
          <w:sz w:val="24"/>
          <w:szCs w:val="24"/>
        </w:rPr>
        <w:t>m it in an attempt to understand</w:t>
      </w:r>
      <w:r w:rsidR="00F523BC" w:rsidRPr="00AA2949">
        <w:rPr>
          <w:rFonts w:ascii="Times New Roman" w:hAnsi="Times New Roman" w:cs="Times New Roman"/>
          <w:sz w:val="24"/>
          <w:szCs w:val="24"/>
        </w:rPr>
        <w:t xml:space="preserve"> the implications of the work from a more removed perspective.</w:t>
      </w:r>
      <w:r w:rsidR="00F979B4" w:rsidRPr="00AA2949">
        <w:rPr>
          <w:rFonts w:ascii="Times New Roman" w:hAnsi="Times New Roman" w:cs="Times New Roman"/>
          <w:sz w:val="24"/>
          <w:szCs w:val="24"/>
        </w:rPr>
        <w:t xml:space="preserve"> </w:t>
      </w:r>
      <w:r w:rsidR="00F523BC" w:rsidRPr="00AA2949">
        <w:rPr>
          <w:rFonts w:ascii="Times New Roman" w:hAnsi="Times New Roman" w:cs="Times New Roman"/>
          <w:sz w:val="24"/>
          <w:szCs w:val="24"/>
        </w:rPr>
        <w:t xml:space="preserve">In essence, </w:t>
      </w:r>
      <w:r w:rsidR="005503B0">
        <w:rPr>
          <w:rFonts w:ascii="Times New Roman" w:hAnsi="Times New Roman" w:cs="Times New Roman"/>
          <w:sz w:val="24"/>
          <w:szCs w:val="24"/>
        </w:rPr>
        <w:t>we might</w:t>
      </w:r>
      <w:r w:rsidR="00F523BC" w:rsidRPr="00AA2949">
        <w:rPr>
          <w:rFonts w:ascii="Times New Roman" w:hAnsi="Times New Roman" w:cs="Times New Roman"/>
          <w:sz w:val="24"/>
          <w:szCs w:val="24"/>
        </w:rPr>
        <w:t xml:space="preserve"> pull the thread of our involvement in the knot of practice</w:t>
      </w:r>
      <w:r w:rsidR="00C14115" w:rsidRPr="00AA2949">
        <w:rPr>
          <w:rFonts w:ascii="Times New Roman" w:hAnsi="Times New Roman" w:cs="Times New Roman"/>
          <w:sz w:val="24"/>
          <w:szCs w:val="24"/>
        </w:rPr>
        <w:t xml:space="preserve"> between children, artists, </w:t>
      </w:r>
      <w:r w:rsidR="00A94824">
        <w:rPr>
          <w:rFonts w:ascii="Times New Roman" w:hAnsi="Times New Roman" w:cs="Times New Roman"/>
          <w:sz w:val="24"/>
          <w:szCs w:val="24"/>
        </w:rPr>
        <w:t xml:space="preserve">teachers, </w:t>
      </w:r>
      <w:r w:rsidR="00C14115" w:rsidRPr="00AA2949">
        <w:rPr>
          <w:rFonts w:ascii="Times New Roman" w:hAnsi="Times New Roman" w:cs="Times New Roman"/>
          <w:sz w:val="24"/>
          <w:szCs w:val="24"/>
        </w:rPr>
        <w:t>place and researchers</w:t>
      </w:r>
      <w:r w:rsidR="00F523BC" w:rsidRPr="00AA2949">
        <w:rPr>
          <w:rFonts w:ascii="Times New Roman" w:hAnsi="Times New Roman" w:cs="Times New Roman"/>
          <w:sz w:val="24"/>
          <w:szCs w:val="24"/>
        </w:rPr>
        <w:t xml:space="preserve"> away temporarily to see what unravels and is revealed when we do so.</w:t>
      </w:r>
      <w:r w:rsidR="00F979B4" w:rsidRPr="00AA2949">
        <w:rPr>
          <w:rFonts w:ascii="Times New Roman" w:hAnsi="Times New Roman" w:cs="Times New Roman"/>
          <w:sz w:val="24"/>
          <w:szCs w:val="24"/>
        </w:rPr>
        <w:t xml:space="preserve"> </w:t>
      </w:r>
    </w:p>
    <w:p w:rsidR="00F523BC" w:rsidRPr="00AA2949" w:rsidRDefault="00F523BC" w:rsidP="00F979B4">
      <w:pPr>
        <w:shd w:val="clear" w:color="auto" w:fill="FFFFFF"/>
        <w:spacing w:after="0" w:line="240" w:lineRule="auto"/>
        <w:jc w:val="both"/>
        <w:textAlignment w:val="baseline"/>
        <w:rPr>
          <w:rFonts w:ascii="Times New Roman" w:hAnsi="Times New Roman" w:cs="Times New Roman"/>
          <w:sz w:val="24"/>
          <w:szCs w:val="24"/>
        </w:rPr>
      </w:pPr>
    </w:p>
    <w:p w:rsidR="002E5A33" w:rsidRPr="00AA2949" w:rsidRDefault="002E5A33" w:rsidP="00F979B4">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AA2949">
        <w:rPr>
          <w:rFonts w:ascii="Times New Roman" w:hAnsi="Times New Roman" w:cs="Times New Roman"/>
          <w:sz w:val="24"/>
          <w:szCs w:val="24"/>
          <w:shd w:val="clear" w:color="auto" w:fill="FFFFFF"/>
        </w:rPr>
        <w:t>CONCLUSIONS</w:t>
      </w:r>
    </w:p>
    <w:p w:rsidR="00F979B4" w:rsidRPr="00AA2949" w:rsidRDefault="00F979B4" w:rsidP="00F979B4">
      <w:pPr>
        <w:spacing w:after="0" w:line="240" w:lineRule="auto"/>
        <w:jc w:val="both"/>
        <w:rPr>
          <w:rFonts w:ascii="Times New Roman" w:hAnsi="Times New Roman" w:cs="Times New Roman"/>
          <w:sz w:val="24"/>
          <w:szCs w:val="24"/>
          <w:shd w:val="clear" w:color="auto" w:fill="FFFFFF"/>
        </w:rPr>
      </w:pPr>
    </w:p>
    <w:p w:rsidR="002E5A33" w:rsidRPr="00AA2949" w:rsidRDefault="002E5A33" w:rsidP="00F979B4">
      <w:pPr>
        <w:spacing w:after="0" w:line="240" w:lineRule="auto"/>
        <w:jc w:val="both"/>
        <w:rPr>
          <w:rFonts w:ascii="Times New Roman" w:hAnsi="Times New Roman" w:cs="Times New Roman"/>
          <w:sz w:val="24"/>
          <w:szCs w:val="24"/>
          <w:shd w:val="clear" w:color="auto" w:fill="FFFFFF"/>
        </w:rPr>
      </w:pPr>
      <w:r w:rsidRPr="00AA2949">
        <w:rPr>
          <w:rFonts w:ascii="Times New Roman" w:hAnsi="Times New Roman" w:cs="Times New Roman"/>
          <w:sz w:val="24"/>
          <w:szCs w:val="24"/>
          <w:shd w:val="clear" w:color="auto" w:fill="FFFFFF"/>
        </w:rPr>
        <w:t xml:space="preserve">Within this chapter, we have conceptualised wellbeing through the capability approach and used this as a mechanism for exploring how the interdisciplinary practice of using art in nature might support positive wellbeing. Using this approach, we have been able to reflect on the ways in which artistic practice in nature, particularly that of CCI, might be one mechanism to address the crisis in wellbeing that has been identified by policy makers and practitioners across a range of sectors </w:t>
      </w:r>
      <w:r w:rsidRPr="00AA2949">
        <w:rPr>
          <w:rFonts w:ascii="Times New Roman" w:hAnsi="Times New Roman" w:cs="Times New Roman"/>
          <w:sz w:val="24"/>
          <w:szCs w:val="24"/>
        </w:rPr>
        <w:t>(e.g. Public Health England, 2018)</w:t>
      </w:r>
      <w:r w:rsidRPr="00AA2949">
        <w:rPr>
          <w:rFonts w:ascii="Times New Roman" w:hAnsi="Times New Roman" w:cs="Times New Roman"/>
          <w:sz w:val="24"/>
          <w:szCs w:val="24"/>
          <w:shd w:val="clear" w:color="auto" w:fill="FFFFFF"/>
        </w:rPr>
        <w:t>.</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Whilst a focus solely on STEM, as conceptualised through a neoliberal lens of economic and financial wellbeing, may in fact contribute to the problem of decreased wellbeing and mental health, the insertion of art for STEAM practice presents potential solutions from which both school-based and broader practitioners can learn and develop.</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As such, we suggest that arts</w:t>
      </w:r>
      <w:r w:rsidR="00DA72D5" w:rsidRPr="00AA2949">
        <w:rPr>
          <w:rFonts w:ascii="Times New Roman" w:hAnsi="Times New Roman" w:cs="Times New Roman"/>
          <w:sz w:val="24"/>
          <w:szCs w:val="24"/>
          <w:shd w:val="clear" w:color="auto" w:fill="FFFFFF"/>
        </w:rPr>
        <w:t xml:space="preserve">-based practices </w:t>
      </w:r>
      <w:r w:rsidRPr="00AA2949">
        <w:rPr>
          <w:rFonts w:ascii="Times New Roman" w:hAnsi="Times New Roman" w:cs="Times New Roman"/>
          <w:sz w:val="24"/>
          <w:szCs w:val="24"/>
          <w:shd w:val="clear" w:color="auto" w:fill="FFFFFF"/>
        </w:rPr>
        <w:t>might be powerful mediators in addressing the neoliberal drivers of STEM, facilitating deeper epistemological</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 xml:space="preserve">and theoretical understanding of what </w:t>
      </w:r>
      <w:r w:rsidR="009A1150" w:rsidRPr="00AA2949">
        <w:rPr>
          <w:rFonts w:ascii="Times New Roman" w:hAnsi="Times New Roman" w:cs="Times New Roman"/>
          <w:sz w:val="24"/>
          <w:szCs w:val="24"/>
          <w:shd w:val="clear" w:color="auto" w:fill="FFFFFF"/>
        </w:rPr>
        <w:t>being a part of nature</w:t>
      </w:r>
      <w:r w:rsidRPr="00AA2949">
        <w:rPr>
          <w:rFonts w:ascii="Times New Roman" w:hAnsi="Times New Roman" w:cs="Times New Roman"/>
          <w:sz w:val="24"/>
          <w:szCs w:val="24"/>
          <w:shd w:val="clear" w:color="auto" w:fill="FFFFFF"/>
        </w:rPr>
        <w:t xml:space="preserve"> means for human</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wellbeing. In particular, it is possible that a post</w:t>
      </w:r>
      <w:r w:rsidR="005503B0">
        <w:rPr>
          <w:rFonts w:ascii="Times New Roman" w:hAnsi="Times New Roman" w:cs="Times New Roman"/>
          <w:sz w:val="24"/>
          <w:szCs w:val="24"/>
          <w:shd w:val="clear" w:color="auto" w:fill="FFFFFF"/>
        </w:rPr>
        <w:t>-</w:t>
      </w:r>
      <w:r w:rsidRPr="00AA2949">
        <w:rPr>
          <w:rFonts w:ascii="Times New Roman" w:hAnsi="Times New Roman" w:cs="Times New Roman"/>
          <w:sz w:val="24"/>
          <w:szCs w:val="24"/>
          <w:shd w:val="clear" w:color="auto" w:fill="FFFFFF"/>
        </w:rPr>
        <w:t xml:space="preserve">human onto-epistemic framework might deepen the way we conceptualise the holism of wellbeing, helping us to view it as a trans-corporeal entanglement of human and environment (Alaimo, </w:t>
      </w:r>
      <w:r w:rsidR="00260E96" w:rsidRPr="00AA2949">
        <w:rPr>
          <w:rFonts w:ascii="Times New Roman" w:hAnsi="Times New Roman" w:cs="Times New Roman"/>
          <w:sz w:val="24"/>
          <w:szCs w:val="24"/>
          <w:shd w:val="clear" w:color="auto" w:fill="FFFFFF"/>
        </w:rPr>
        <w:t>2016</w:t>
      </w:r>
      <w:r w:rsidRPr="00AA2949">
        <w:rPr>
          <w:rFonts w:ascii="Times New Roman" w:hAnsi="Times New Roman" w:cs="Times New Roman"/>
          <w:sz w:val="24"/>
          <w:szCs w:val="24"/>
          <w:shd w:val="clear" w:color="auto" w:fill="FFFFFF"/>
        </w:rPr>
        <w:t>).</w:t>
      </w:r>
      <w:r w:rsidR="00F979B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 xml:space="preserve">This may help us, in turn, to overcome some of the problems with a reductionist view of wellbeing that tries to attribute different elements of wellbeing to different elements of lifestyle (e.g. </w:t>
      </w:r>
      <w:r w:rsidRPr="00AA2949">
        <w:rPr>
          <w:rFonts w:ascii="Times New Roman" w:hAnsi="Times New Roman" w:cs="Times New Roman"/>
          <w:sz w:val="24"/>
          <w:szCs w:val="24"/>
        </w:rPr>
        <w:t xml:space="preserve">McGillivray, 2007; </w:t>
      </w:r>
      <w:r w:rsidRPr="00AA2949">
        <w:rPr>
          <w:rFonts w:ascii="Times New Roman" w:hAnsi="Times New Roman" w:cs="Times New Roman"/>
          <w:sz w:val="24"/>
          <w:szCs w:val="24"/>
          <w:shd w:val="clear" w:color="auto" w:fill="FFFFFF"/>
        </w:rPr>
        <w:t xml:space="preserve">Scott, 2012). As part of our plans to investigate eco-capabilities further we will, therefore, seek ways to </w:t>
      </w:r>
      <w:r w:rsidR="00A94824">
        <w:rPr>
          <w:rFonts w:ascii="Times New Roman" w:hAnsi="Times New Roman" w:cs="Times New Roman"/>
          <w:sz w:val="24"/>
          <w:szCs w:val="24"/>
          <w:shd w:val="clear" w:color="auto" w:fill="FFFFFF"/>
        </w:rPr>
        <w:t>explore</w:t>
      </w:r>
      <w:r w:rsidR="00A94824"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shd w:val="clear" w:color="auto" w:fill="FFFFFF"/>
        </w:rPr>
        <w:t xml:space="preserve">how the eco-capabilities that the children identify are </w:t>
      </w:r>
      <w:r w:rsidR="006E014E" w:rsidRPr="00AA2949">
        <w:rPr>
          <w:rFonts w:ascii="Times New Roman" w:hAnsi="Times New Roman" w:cs="Times New Roman"/>
          <w:i/>
          <w:sz w:val="24"/>
          <w:szCs w:val="24"/>
          <w:shd w:val="clear" w:color="auto" w:fill="FFFFFF"/>
        </w:rPr>
        <w:t>e</w:t>
      </w:r>
      <w:r w:rsidR="00D91CFE" w:rsidRPr="00AA2949">
        <w:rPr>
          <w:rFonts w:ascii="Times New Roman" w:hAnsi="Times New Roman" w:cs="Times New Roman"/>
          <w:i/>
          <w:sz w:val="24"/>
          <w:szCs w:val="24"/>
          <w:shd w:val="clear" w:color="auto" w:fill="FFFFFF"/>
        </w:rPr>
        <w:t xml:space="preserve">ntangled </w:t>
      </w:r>
      <w:r w:rsidRPr="00AA2949">
        <w:rPr>
          <w:rFonts w:ascii="Times New Roman" w:hAnsi="Times New Roman" w:cs="Times New Roman"/>
          <w:sz w:val="24"/>
          <w:szCs w:val="24"/>
          <w:shd w:val="clear" w:color="auto" w:fill="FFFFFF"/>
        </w:rPr>
        <w:t>with each other and with elements of the environments in which they move</w:t>
      </w:r>
      <w:r w:rsidR="00A94824">
        <w:rPr>
          <w:rFonts w:ascii="Times New Roman" w:hAnsi="Times New Roman" w:cs="Times New Roman"/>
          <w:sz w:val="24"/>
          <w:szCs w:val="24"/>
          <w:shd w:val="clear" w:color="auto" w:fill="FFFFFF"/>
        </w:rPr>
        <w:t xml:space="preserve"> and act</w:t>
      </w:r>
      <w:r w:rsidRPr="00AA2949">
        <w:rPr>
          <w:rFonts w:ascii="Times New Roman" w:hAnsi="Times New Roman" w:cs="Times New Roman"/>
          <w:sz w:val="24"/>
          <w:szCs w:val="24"/>
          <w:shd w:val="clear" w:color="auto" w:fill="FFFFFF"/>
        </w:rPr>
        <w:t>. Further, we will consider the mechanisms through which STEAM practice which engages children with their local places (Massey, 1994), as exemplified by CCI, can develop these eco-capabilities in the children</w:t>
      </w:r>
      <w:r w:rsidR="00A94824">
        <w:rPr>
          <w:rFonts w:ascii="Times New Roman" w:hAnsi="Times New Roman" w:cs="Times New Roman"/>
          <w:sz w:val="24"/>
          <w:szCs w:val="24"/>
          <w:shd w:val="clear" w:color="auto" w:fill="FFFFFF"/>
        </w:rPr>
        <w:t>, and what this might mean for teachers seeking to support children to find ways to develop holistic positive mental health and wellbeing throughout their lives</w:t>
      </w:r>
      <w:r w:rsidRPr="00AA2949">
        <w:rPr>
          <w:rFonts w:ascii="Times New Roman" w:hAnsi="Times New Roman" w:cs="Times New Roman"/>
          <w:sz w:val="24"/>
          <w:szCs w:val="24"/>
          <w:shd w:val="clear" w:color="auto" w:fill="FFFFFF"/>
        </w:rPr>
        <w:t>.</w:t>
      </w:r>
    </w:p>
    <w:p w:rsidR="004F7068" w:rsidRPr="00AA2949" w:rsidRDefault="004F7068" w:rsidP="00F979B4">
      <w:pPr>
        <w:spacing w:after="0" w:line="240" w:lineRule="auto"/>
        <w:jc w:val="both"/>
        <w:rPr>
          <w:rFonts w:ascii="Times New Roman" w:hAnsi="Times New Roman" w:cs="Times New Roman"/>
          <w:sz w:val="24"/>
          <w:szCs w:val="24"/>
          <w:shd w:val="clear" w:color="auto" w:fill="FFFFFF"/>
        </w:rPr>
      </w:pPr>
    </w:p>
    <w:p w:rsidR="00A542BF" w:rsidRPr="00AA2949" w:rsidRDefault="00A542BF" w:rsidP="00F979B4">
      <w:pPr>
        <w:spacing w:after="0" w:line="240" w:lineRule="auto"/>
        <w:ind w:left="709" w:hanging="709"/>
        <w:jc w:val="center"/>
        <w:rPr>
          <w:rFonts w:ascii="Times New Roman" w:hAnsi="Times New Roman" w:cs="Times New Roman"/>
          <w:color w:val="000000"/>
          <w:sz w:val="24"/>
          <w:szCs w:val="24"/>
        </w:rPr>
      </w:pPr>
      <w:r w:rsidRPr="00AA2949">
        <w:rPr>
          <w:rFonts w:ascii="Times New Roman" w:hAnsi="Times New Roman" w:cs="Times New Roman"/>
          <w:color w:val="000000"/>
          <w:sz w:val="24"/>
          <w:szCs w:val="24"/>
        </w:rPr>
        <w:t>REFERENCES</w:t>
      </w:r>
    </w:p>
    <w:p w:rsidR="00F979B4" w:rsidRPr="00AA2949" w:rsidRDefault="00F979B4" w:rsidP="00F979B4">
      <w:pPr>
        <w:spacing w:after="0" w:line="240" w:lineRule="auto"/>
        <w:ind w:left="709" w:hanging="709"/>
        <w:jc w:val="both"/>
        <w:rPr>
          <w:rFonts w:ascii="Times New Roman" w:hAnsi="Times New Roman" w:cs="Times New Roman"/>
          <w:color w:val="000000"/>
          <w:sz w:val="24"/>
          <w:szCs w:val="24"/>
        </w:rPr>
      </w:pPr>
    </w:p>
    <w:p w:rsidR="00504C10" w:rsidRPr="00FC7859" w:rsidRDefault="00504C10" w:rsidP="00504C10">
      <w:pPr>
        <w:spacing w:after="0" w:line="240" w:lineRule="auto"/>
        <w:ind w:left="709" w:hanging="709"/>
        <w:rPr>
          <w:rFonts w:ascii="Times New Roman" w:hAnsi="Times New Roman" w:cs="Times New Roman"/>
          <w:sz w:val="24"/>
          <w:szCs w:val="24"/>
        </w:rPr>
      </w:pPr>
      <w:proofErr w:type="spellStart"/>
      <w:proofErr w:type="gramStart"/>
      <w:r w:rsidRPr="00FC7859">
        <w:rPr>
          <w:rFonts w:ascii="Times New Roman" w:hAnsi="Times New Roman" w:cs="Times New Roman"/>
          <w:color w:val="000000"/>
          <w:sz w:val="24"/>
          <w:szCs w:val="24"/>
        </w:rPr>
        <w:t>Addabbo</w:t>
      </w:r>
      <w:proofErr w:type="spellEnd"/>
      <w:r w:rsidRPr="00FC7859">
        <w:rPr>
          <w:rFonts w:ascii="Times New Roman" w:hAnsi="Times New Roman" w:cs="Times New Roman"/>
          <w:color w:val="000000"/>
          <w:sz w:val="24"/>
          <w:szCs w:val="24"/>
        </w:rPr>
        <w:t xml:space="preserve">, T., Di </w:t>
      </w:r>
      <w:proofErr w:type="spellStart"/>
      <w:r w:rsidRPr="00FC7859">
        <w:rPr>
          <w:rFonts w:ascii="Times New Roman" w:hAnsi="Times New Roman" w:cs="Times New Roman"/>
          <w:color w:val="000000"/>
          <w:sz w:val="24"/>
          <w:szCs w:val="24"/>
        </w:rPr>
        <w:t>Tommaso</w:t>
      </w:r>
      <w:proofErr w:type="spellEnd"/>
      <w:r w:rsidRPr="00FC7859">
        <w:rPr>
          <w:rFonts w:ascii="Times New Roman" w:hAnsi="Times New Roman" w:cs="Times New Roman"/>
          <w:color w:val="000000"/>
          <w:sz w:val="24"/>
          <w:szCs w:val="24"/>
        </w:rPr>
        <w:t xml:space="preserve">, M. L., </w:t>
      </w:r>
      <w:proofErr w:type="spellStart"/>
      <w:r w:rsidRPr="00FC7859">
        <w:rPr>
          <w:rFonts w:ascii="Times New Roman" w:hAnsi="Times New Roman" w:cs="Times New Roman"/>
          <w:color w:val="000000"/>
          <w:sz w:val="24"/>
          <w:szCs w:val="24"/>
        </w:rPr>
        <w:t>Facchinetti</w:t>
      </w:r>
      <w:proofErr w:type="spellEnd"/>
      <w:r w:rsidRPr="00FC7859">
        <w:rPr>
          <w:rFonts w:ascii="Times New Roman" w:hAnsi="Times New Roman" w:cs="Times New Roman"/>
          <w:color w:val="000000"/>
          <w:sz w:val="24"/>
          <w:szCs w:val="24"/>
        </w:rPr>
        <w:t>, G., (2004).</w:t>
      </w:r>
      <w:proofErr w:type="gramEnd"/>
      <w:r w:rsidRPr="00FC7859">
        <w:rPr>
          <w:rFonts w:ascii="Times New Roman" w:hAnsi="Times New Roman" w:cs="Times New Roman"/>
          <w:color w:val="000000"/>
          <w:sz w:val="24"/>
          <w:szCs w:val="24"/>
        </w:rPr>
        <w:t xml:space="preserve"> </w:t>
      </w:r>
      <w:r w:rsidRPr="00FC7859">
        <w:rPr>
          <w:rFonts w:ascii="Times New Roman" w:hAnsi="Times New Roman" w:cs="Times New Roman"/>
          <w:i/>
          <w:iCs/>
          <w:sz w:val="24"/>
          <w:szCs w:val="24"/>
        </w:rPr>
        <w:t xml:space="preserve">To what extent fuzzy set theory and structural equation modelling can measure </w:t>
      </w:r>
      <w:proofErr w:type="spellStart"/>
      <w:r w:rsidRPr="00FC7859">
        <w:rPr>
          <w:rFonts w:ascii="Times New Roman" w:hAnsi="Times New Roman" w:cs="Times New Roman"/>
          <w:i/>
          <w:iCs/>
          <w:sz w:val="24"/>
          <w:szCs w:val="24"/>
        </w:rPr>
        <w:t>functionings</w:t>
      </w:r>
      <w:proofErr w:type="spellEnd"/>
      <w:r w:rsidRPr="00FC7859">
        <w:rPr>
          <w:rFonts w:ascii="Times New Roman" w:hAnsi="Times New Roman" w:cs="Times New Roman"/>
          <w:i/>
          <w:iCs/>
          <w:sz w:val="24"/>
          <w:szCs w:val="24"/>
        </w:rPr>
        <w:t xml:space="preserve">? </w:t>
      </w:r>
      <w:proofErr w:type="gramStart"/>
      <w:r w:rsidRPr="00FC7859">
        <w:rPr>
          <w:rFonts w:ascii="Times New Roman" w:hAnsi="Times New Roman" w:cs="Times New Roman"/>
          <w:i/>
          <w:iCs/>
          <w:sz w:val="24"/>
          <w:szCs w:val="24"/>
        </w:rPr>
        <w:t>An application to child well being.</w:t>
      </w:r>
      <w:proofErr w:type="gramEnd"/>
      <w:r w:rsidRPr="00FC7859">
        <w:rPr>
          <w:rFonts w:ascii="Times New Roman" w:hAnsi="Times New Roman" w:cs="Times New Roman"/>
          <w:i/>
          <w:iCs/>
          <w:sz w:val="24"/>
          <w:szCs w:val="24"/>
        </w:rPr>
        <w:t xml:space="preserve"> </w:t>
      </w:r>
      <w:r>
        <w:rPr>
          <w:rFonts w:ascii="Times New Roman" w:hAnsi="Times New Roman" w:cs="Times New Roman"/>
          <w:iCs/>
          <w:sz w:val="24"/>
          <w:szCs w:val="24"/>
        </w:rPr>
        <w:t>Available at</w:t>
      </w:r>
      <w:r w:rsidRPr="00FC7859">
        <w:rPr>
          <w:rFonts w:ascii="Times New Roman" w:hAnsi="Times New Roman" w:cs="Times New Roman"/>
          <w:iCs/>
          <w:sz w:val="24"/>
          <w:szCs w:val="24"/>
        </w:rPr>
        <w:t xml:space="preserve">: </w:t>
      </w:r>
      <w:hyperlink r:id="rId7" w:history="1">
        <w:r w:rsidRPr="00FC7859">
          <w:rPr>
            <w:rStyle w:val="Hyperlink"/>
            <w:rFonts w:ascii="Times New Roman" w:hAnsi="Times New Roman" w:cs="Times New Roman"/>
            <w:sz w:val="24"/>
            <w:szCs w:val="24"/>
          </w:rPr>
          <w:t>https://www.researchgate.net/profile/Gisella_Facchinetti2/publication/23749875_To_what_extent_fuzzy_set_theory_and_structural_equation_modelling_can_measure_functionings_An_application_to_child_well_being/links/00b4951af559b37eae000000/To-what-extent-fuzzy-set-theory-and-structural-equation-modelling-can-measure-functionings-An-application-to-child-well-being.pdf?origin=publication_detail</w:t>
        </w:r>
      </w:hyperlink>
      <w:r>
        <w:t xml:space="preserve">. </w:t>
      </w:r>
      <w:r w:rsidRPr="00504C10">
        <w:rPr>
          <w:rFonts w:ascii="Times New Roman" w:hAnsi="Times New Roman" w:cs="Times New Roman"/>
        </w:rPr>
        <w:t>[Accessed 18 Aug. 2019]</w:t>
      </w:r>
    </w:p>
    <w:p w:rsidR="004F7068" w:rsidRPr="00AA2949" w:rsidRDefault="004F7068" w:rsidP="00F979B4">
      <w:pPr>
        <w:pStyle w:val="References"/>
        <w:spacing w:before="0" w:line="240" w:lineRule="auto"/>
        <w:ind w:left="709" w:hanging="709"/>
        <w:contextualSpacing w:val="0"/>
      </w:pPr>
      <w:proofErr w:type="spellStart"/>
      <w:proofErr w:type="gramStart"/>
      <w:r w:rsidRPr="00AA2949">
        <w:t>Alaimo</w:t>
      </w:r>
      <w:proofErr w:type="spellEnd"/>
      <w:r w:rsidRPr="00AA2949">
        <w:t>, S. (2016).</w:t>
      </w:r>
      <w:proofErr w:type="gramEnd"/>
      <w:r w:rsidRPr="00AA2949">
        <w:t xml:space="preserve"> </w:t>
      </w:r>
      <w:r w:rsidRPr="00AA2949">
        <w:rPr>
          <w:i/>
        </w:rPr>
        <w:t xml:space="preserve">Protest and </w:t>
      </w:r>
      <w:r w:rsidR="004007D8" w:rsidRPr="00AA2949">
        <w:rPr>
          <w:i/>
        </w:rPr>
        <w:t>p</w:t>
      </w:r>
      <w:r w:rsidRPr="00AA2949">
        <w:rPr>
          <w:i/>
        </w:rPr>
        <w:t xml:space="preserve">leasure: New </w:t>
      </w:r>
      <w:r w:rsidR="004007D8" w:rsidRPr="00AA2949">
        <w:rPr>
          <w:i/>
        </w:rPr>
        <w:t>materialism, environmental activism, and feminist exposure</w:t>
      </w:r>
      <w:r w:rsidR="004007D8" w:rsidRPr="00AA2949">
        <w:t>.</w:t>
      </w:r>
      <w:r w:rsidRPr="00AA2949">
        <w:t xml:space="preserve"> Minneapolis</w:t>
      </w:r>
      <w:r w:rsidR="004007D8" w:rsidRPr="00AA2949">
        <w:t>, MN</w:t>
      </w:r>
      <w:r w:rsidRPr="00AA2949">
        <w:t>: University of Minnesota Press.</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Anand, P., Hunter, G.</w:t>
      </w:r>
      <w:r w:rsidR="004007D8" w:rsidRPr="00AA2949">
        <w:rPr>
          <w:rFonts w:ascii="Times New Roman" w:hAnsi="Times New Roman" w:cs="Times New Roman"/>
          <w:color w:val="000000"/>
          <w:sz w:val="24"/>
          <w:szCs w:val="24"/>
        </w:rPr>
        <w:t xml:space="preserve"> and</w:t>
      </w:r>
      <w:r w:rsidRPr="00AA2949">
        <w:rPr>
          <w:rFonts w:ascii="Times New Roman" w:hAnsi="Times New Roman" w:cs="Times New Roman"/>
          <w:color w:val="000000"/>
          <w:sz w:val="24"/>
          <w:szCs w:val="24"/>
        </w:rPr>
        <w:t xml:space="preserve"> Smith, R. (2005). Capabilities and </w:t>
      </w:r>
      <w:r w:rsidR="004007D8" w:rsidRPr="00AA2949">
        <w:rPr>
          <w:rFonts w:ascii="Times New Roman" w:hAnsi="Times New Roman" w:cs="Times New Roman"/>
          <w:color w:val="000000"/>
          <w:sz w:val="24"/>
          <w:szCs w:val="24"/>
        </w:rPr>
        <w:t>w</w:t>
      </w:r>
      <w:r w:rsidRPr="00AA2949">
        <w:rPr>
          <w:rFonts w:ascii="Times New Roman" w:hAnsi="Times New Roman" w:cs="Times New Roman"/>
          <w:color w:val="000000"/>
          <w:sz w:val="24"/>
          <w:szCs w:val="24"/>
        </w:rPr>
        <w:t xml:space="preserve">ell-being: Evidence </w:t>
      </w:r>
      <w:r w:rsidR="004007D8" w:rsidRPr="00AA2949">
        <w:rPr>
          <w:rFonts w:ascii="Times New Roman" w:hAnsi="Times New Roman" w:cs="Times New Roman"/>
          <w:color w:val="000000"/>
          <w:sz w:val="24"/>
          <w:szCs w:val="24"/>
        </w:rPr>
        <w:t>b</w:t>
      </w:r>
      <w:r w:rsidRPr="00AA2949">
        <w:rPr>
          <w:rFonts w:ascii="Times New Roman" w:hAnsi="Times New Roman" w:cs="Times New Roman"/>
          <w:color w:val="000000"/>
          <w:sz w:val="24"/>
          <w:szCs w:val="24"/>
        </w:rPr>
        <w:t xml:space="preserve">ased on the Sen-Nussbaum </w:t>
      </w:r>
      <w:r w:rsidR="004007D8" w:rsidRPr="00AA2949">
        <w:rPr>
          <w:rFonts w:ascii="Times New Roman" w:hAnsi="Times New Roman" w:cs="Times New Roman"/>
          <w:color w:val="000000"/>
          <w:sz w:val="24"/>
          <w:szCs w:val="24"/>
        </w:rPr>
        <w:t xml:space="preserve">approach to welfare. </w:t>
      </w:r>
      <w:r w:rsidRPr="00AA2949">
        <w:rPr>
          <w:rFonts w:ascii="Times New Roman" w:hAnsi="Times New Roman" w:cs="Times New Roman"/>
          <w:i/>
          <w:color w:val="000000"/>
          <w:sz w:val="24"/>
          <w:szCs w:val="24"/>
        </w:rPr>
        <w:t>Social Indicators Research</w:t>
      </w:r>
      <w:r w:rsidRPr="00AA2949">
        <w:rPr>
          <w:rFonts w:ascii="Times New Roman" w:hAnsi="Times New Roman" w:cs="Times New Roman"/>
          <w:color w:val="000000"/>
          <w:sz w:val="24"/>
          <w:szCs w:val="24"/>
        </w:rPr>
        <w:t xml:space="preserve">, 74(1), </w:t>
      </w:r>
      <w:r w:rsidR="004007D8"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9</w:t>
      </w:r>
      <w:r w:rsidR="004007D8"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55.</w:t>
      </w:r>
    </w:p>
    <w:p w:rsidR="004F7068" w:rsidRPr="00AA2949" w:rsidRDefault="004F7068" w:rsidP="00F979B4">
      <w:pPr>
        <w:spacing w:after="0" w:line="240" w:lineRule="auto"/>
        <w:ind w:left="709" w:hanging="709"/>
        <w:rPr>
          <w:rFonts w:ascii="Times New Roman" w:hAnsi="Times New Roman" w:cs="Times New Roman"/>
          <w:sz w:val="24"/>
          <w:szCs w:val="24"/>
        </w:rPr>
      </w:pPr>
      <w:r w:rsidRPr="00AA2949">
        <w:rPr>
          <w:rFonts w:ascii="Times New Roman" w:hAnsi="Times New Roman" w:cs="Times New Roman"/>
          <w:color w:val="000000"/>
          <w:sz w:val="24"/>
          <w:szCs w:val="24"/>
        </w:rPr>
        <w:t>Anand, S.</w:t>
      </w:r>
      <w:r w:rsidR="004007D8" w:rsidRPr="00AA2949">
        <w:rPr>
          <w:rFonts w:ascii="Times New Roman" w:hAnsi="Times New Roman" w:cs="Times New Roman"/>
          <w:color w:val="000000"/>
          <w:sz w:val="24"/>
          <w:szCs w:val="24"/>
        </w:rPr>
        <w:t xml:space="preserve"> and</w:t>
      </w:r>
      <w:r w:rsidRPr="00AA2949">
        <w:rPr>
          <w:rFonts w:ascii="Times New Roman" w:hAnsi="Times New Roman" w:cs="Times New Roman"/>
          <w:color w:val="000000"/>
          <w:sz w:val="24"/>
          <w:szCs w:val="24"/>
        </w:rPr>
        <w:t xml:space="preserve"> Sen, A. (1994).</w:t>
      </w:r>
      <w:r w:rsidRPr="00AA2949">
        <w:rPr>
          <w:rFonts w:ascii="Times New Roman" w:hAnsi="Times New Roman" w:cs="Times New Roman"/>
          <w:color w:val="505050"/>
          <w:sz w:val="24"/>
          <w:szCs w:val="24"/>
          <w:shd w:val="clear" w:color="auto" w:fill="FFFFFF"/>
        </w:rPr>
        <w:t xml:space="preserve"> </w:t>
      </w:r>
      <w:r w:rsidRPr="00AA2949">
        <w:rPr>
          <w:rFonts w:ascii="Times New Roman" w:hAnsi="Times New Roman" w:cs="Times New Roman"/>
          <w:i/>
          <w:sz w:val="24"/>
          <w:szCs w:val="24"/>
          <w:shd w:val="clear" w:color="auto" w:fill="FFFFFF"/>
        </w:rPr>
        <w:t xml:space="preserve">Sustainable </w:t>
      </w:r>
      <w:r w:rsidR="004007D8" w:rsidRPr="00AA2949">
        <w:rPr>
          <w:rFonts w:ascii="Times New Roman" w:hAnsi="Times New Roman" w:cs="Times New Roman"/>
          <w:i/>
          <w:sz w:val="24"/>
          <w:szCs w:val="24"/>
          <w:shd w:val="clear" w:color="auto" w:fill="FFFFFF"/>
        </w:rPr>
        <w:t>human development</w:t>
      </w:r>
      <w:r w:rsidRPr="00AA2949">
        <w:rPr>
          <w:rFonts w:ascii="Times New Roman" w:hAnsi="Times New Roman" w:cs="Times New Roman"/>
          <w:i/>
          <w:sz w:val="24"/>
          <w:szCs w:val="24"/>
          <w:shd w:val="clear" w:color="auto" w:fill="FFFFFF"/>
        </w:rPr>
        <w:t xml:space="preserve">: Concepts and </w:t>
      </w:r>
      <w:r w:rsidR="004007D8" w:rsidRPr="00AA2949">
        <w:rPr>
          <w:rFonts w:ascii="Times New Roman" w:hAnsi="Times New Roman" w:cs="Times New Roman"/>
          <w:i/>
          <w:sz w:val="24"/>
          <w:szCs w:val="24"/>
          <w:shd w:val="clear" w:color="auto" w:fill="FFFFFF"/>
        </w:rPr>
        <w:t>p</w:t>
      </w:r>
      <w:r w:rsidRPr="00AA2949">
        <w:rPr>
          <w:rFonts w:ascii="Times New Roman" w:hAnsi="Times New Roman" w:cs="Times New Roman"/>
          <w:i/>
          <w:sz w:val="24"/>
          <w:szCs w:val="24"/>
          <w:shd w:val="clear" w:color="auto" w:fill="FFFFFF"/>
        </w:rPr>
        <w:t>riorities</w:t>
      </w:r>
      <w:r w:rsidRPr="00AA2949">
        <w:rPr>
          <w:rFonts w:ascii="Times New Roman" w:hAnsi="Times New Roman" w:cs="Times New Roman"/>
          <w:sz w:val="24"/>
          <w:szCs w:val="24"/>
          <w:shd w:val="clear" w:color="auto" w:fill="FFFFFF"/>
        </w:rPr>
        <w:t xml:space="preserve">. UNDP Human Development Report Office 1994 Occasional Papers. </w:t>
      </w:r>
      <w:r w:rsidR="0000404E" w:rsidRPr="00AA2949">
        <w:rPr>
          <w:rFonts w:ascii="Times New Roman" w:hAnsi="Times New Roman" w:cs="Times New Roman"/>
          <w:sz w:val="24"/>
          <w:szCs w:val="24"/>
          <w:shd w:val="clear" w:color="auto" w:fill="FFFFFF"/>
        </w:rPr>
        <w:t>New York: United Nations Development Programme. Available at:</w:t>
      </w:r>
      <w:r w:rsidRPr="00AA2949">
        <w:rPr>
          <w:rFonts w:ascii="Times New Roman" w:hAnsi="Times New Roman" w:cs="Times New Roman"/>
          <w:sz w:val="24"/>
          <w:szCs w:val="24"/>
          <w:shd w:val="clear" w:color="auto" w:fill="FFFFFF"/>
        </w:rPr>
        <w:t xml:space="preserve"> </w:t>
      </w:r>
      <w:r w:rsidRPr="00AA2949">
        <w:rPr>
          <w:rFonts w:ascii="Times New Roman" w:hAnsi="Times New Roman" w:cs="Times New Roman"/>
          <w:sz w:val="24"/>
          <w:szCs w:val="24"/>
        </w:rPr>
        <w:t>https://ssrn.com/abstract=2294664</w:t>
      </w:r>
      <w:r w:rsidR="0000404E" w:rsidRPr="00AA2949">
        <w:rPr>
          <w:rFonts w:ascii="Times New Roman" w:hAnsi="Times New Roman" w:cs="Times New Roman"/>
          <w:sz w:val="24"/>
          <w:szCs w:val="24"/>
        </w:rPr>
        <w:t xml:space="preserve"> [Accessed 18 Aug. 2019]</w:t>
      </w:r>
      <w:r w:rsidRPr="00AA2949">
        <w:rPr>
          <w:rFonts w:ascii="Times New Roman" w:hAnsi="Times New Roman" w:cs="Times New Roman"/>
          <w:sz w:val="24"/>
          <w:szCs w:val="24"/>
        </w:rPr>
        <w:t>.</w:t>
      </w:r>
    </w:p>
    <w:p w:rsidR="004F7068" w:rsidRPr="00AA2949" w:rsidRDefault="004F7068" w:rsidP="00F979B4">
      <w:pPr>
        <w:spacing w:after="0" w:line="240" w:lineRule="auto"/>
        <w:ind w:left="709" w:hanging="709"/>
        <w:rPr>
          <w:rFonts w:ascii="Times New Roman" w:hAnsi="Times New Roman" w:cs="Times New Roman"/>
          <w:sz w:val="24"/>
          <w:szCs w:val="24"/>
        </w:rPr>
      </w:pPr>
      <w:r w:rsidRPr="00AA2949">
        <w:rPr>
          <w:rFonts w:ascii="Times New Roman" w:hAnsi="Times New Roman" w:cs="Times New Roman"/>
          <w:sz w:val="24"/>
          <w:szCs w:val="24"/>
        </w:rPr>
        <w:t>Ballet, J., Koffi, J-M.</w:t>
      </w:r>
      <w:r w:rsidR="0000404E" w:rsidRPr="00AA2949">
        <w:rPr>
          <w:rFonts w:ascii="Times New Roman" w:hAnsi="Times New Roman" w:cs="Times New Roman"/>
          <w:sz w:val="24"/>
          <w:szCs w:val="24"/>
        </w:rPr>
        <w:t xml:space="preserve"> and</w:t>
      </w:r>
      <w:r w:rsidRPr="00AA2949">
        <w:rPr>
          <w:rFonts w:ascii="Times New Roman" w:hAnsi="Times New Roman" w:cs="Times New Roman"/>
          <w:sz w:val="24"/>
          <w:szCs w:val="24"/>
        </w:rPr>
        <w:t xml:space="preserve"> Pelenc, J. (2013). Environment, </w:t>
      </w:r>
      <w:r w:rsidR="0000404E" w:rsidRPr="00AA2949">
        <w:rPr>
          <w:rFonts w:ascii="Times New Roman" w:hAnsi="Times New Roman" w:cs="Times New Roman"/>
          <w:sz w:val="24"/>
          <w:szCs w:val="24"/>
        </w:rPr>
        <w:t xml:space="preserve">justice and the capability approach. </w:t>
      </w:r>
      <w:r w:rsidRPr="00AA2949">
        <w:rPr>
          <w:rFonts w:ascii="Times New Roman" w:hAnsi="Times New Roman" w:cs="Times New Roman"/>
          <w:i/>
          <w:sz w:val="24"/>
          <w:szCs w:val="24"/>
        </w:rPr>
        <w:t>Ecological Economics</w:t>
      </w:r>
      <w:r w:rsidRPr="00AA2949">
        <w:rPr>
          <w:rFonts w:ascii="Times New Roman" w:hAnsi="Times New Roman" w:cs="Times New Roman"/>
          <w:sz w:val="24"/>
          <w:szCs w:val="24"/>
        </w:rPr>
        <w:t xml:space="preserve">, 85, </w:t>
      </w:r>
      <w:r w:rsidR="0000404E" w:rsidRPr="00AA2949">
        <w:rPr>
          <w:rFonts w:ascii="Times New Roman" w:hAnsi="Times New Roman" w:cs="Times New Roman"/>
          <w:sz w:val="24"/>
          <w:szCs w:val="24"/>
        </w:rPr>
        <w:t xml:space="preserve">pp. </w:t>
      </w:r>
      <w:r w:rsidRPr="00AA2949">
        <w:rPr>
          <w:rFonts w:ascii="Times New Roman" w:hAnsi="Times New Roman" w:cs="Times New Roman"/>
          <w:sz w:val="24"/>
          <w:szCs w:val="24"/>
        </w:rPr>
        <w:t>28</w:t>
      </w:r>
      <w:r w:rsidR="0000404E" w:rsidRPr="00AA2949">
        <w:rPr>
          <w:rFonts w:ascii="Times New Roman" w:hAnsi="Times New Roman" w:cs="Times New Roman"/>
          <w:sz w:val="24"/>
          <w:szCs w:val="24"/>
        </w:rPr>
        <w:t>–</w:t>
      </w:r>
      <w:r w:rsidRPr="00AA2949">
        <w:rPr>
          <w:rFonts w:ascii="Times New Roman" w:hAnsi="Times New Roman" w:cs="Times New Roman"/>
          <w:sz w:val="24"/>
          <w:szCs w:val="24"/>
        </w:rPr>
        <w:t>34.</w:t>
      </w:r>
    </w:p>
    <w:p w:rsidR="00C740AE" w:rsidRPr="00AA2949" w:rsidRDefault="00C740AE" w:rsidP="00F979B4">
      <w:pPr>
        <w:spacing w:after="0" w:line="240" w:lineRule="auto"/>
        <w:ind w:left="709" w:hanging="709"/>
        <w:rPr>
          <w:rFonts w:ascii="Times New Roman" w:hAnsi="Times New Roman" w:cs="Times New Roman"/>
          <w:sz w:val="24"/>
          <w:szCs w:val="24"/>
        </w:rPr>
      </w:pPr>
      <w:r w:rsidRPr="00AA2949">
        <w:rPr>
          <w:rFonts w:ascii="Times New Roman" w:hAnsi="Times New Roman" w:cs="Times New Roman"/>
          <w:sz w:val="24"/>
          <w:szCs w:val="24"/>
        </w:rPr>
        <w:t>Barad, K. (2017)</w:t>
      </w:r>
      <w:r w:rsidR="0000404E" w:rsidRPr="00AA2949">
        <w:rPr>
          <w:rFonts w:ascii="Times New Roman" w:hAnsi="Times New Roman" w:cs="Times New Roman"/>
          <w:sz w:val="24"/>
          <w:szCs w:val="24"/>
        </w:rPr>
        <w:t>.</w:t>
      </w:r>
      <w:r w:rsidRPr="00AA2949">
        <w:rPr>
          <w:rFonts w:ascii="Times New Roman" w:hAnsi="Times New Roman" w:cs="Times New Roman"/>
          <w:sz w:val="24"/>
          <w:szCs w:val="24"/>
        </w:rPr>
        <w:t xml:space="preserve"> What </w:t>
      </w:r>
      <w:r w:rsidR="0000404E" w:rsidRPr="00AA2949">
        <w:rPr>
          <w:rFonts w:ascii="Times New Roman" w:hAnsi="Times New Roman" w:cs="Times New Roman"/>
          <w:sz w:val="24"/>
          <w:szCs w:val="24"/>
        </w:rPr>
        <w:t>flashes u</w:t>
      </w:r>
      <w:r w:rsidRPr="00AA2949">
        <w:rPr>
          <w:rFonts w:ascii="Times New Roman" w:hAnsi="Times New Roman" w:cs="Times New Roman"/>
          <w:sz w:val="24"/>
          <w:szCs w:val="24"/>
        </w:rPr>
        <w:t>p: Theological-</w:t>
      </w:r>
      <w:r w:rsidR="0000404E" w:rsidRPr="00AA2949">
        <w:rPr>
          <w:rFonts w:ascii="Times New Roman" w:hAnsi="Times New Roman" w:cs="Times New Roman"/>
          <w:sz w:val="24"/>
          <w:szCs w:val="24"/>
        </w:rPr>
        <w:t>political-scientific fragments</w:t>
      </w:r>
      <w:r w:rsidRPr="00AA2949">
        <w:rPr>
          <w:rFonts w:ascii="Times New Roman" w:hAnsi="Times New Roman" w:cs="Times New Roman"/>
          <w:sz w:val="24"/>
          <w:szCs w:val="24"/>
        </w:rPr>
        <w:t>. In</w:t>
      </w:r>
      <w:r w:rsidR="0000404E" w:rsidRPr="00AA2949">
        <w:rPr>
          <w:rFonts w:ascii="Times New Roman" w:hAnsi="Times New Roman" w:cs="Times New Roman"/>
          <w:sz w:val="24"/>
          <w:szCs w:val="24"/>
        </w:rPr>
        <w:t>:</w:t>
      </w:r>
      <w:r w:rsidR="001967E4" w:rsidRPr="00AA2949">
        <w:rPr>
          <w:rFonts w:ascii="Times New Roman" w:hAnsi="Times New Roman" w:cs="Times New Roman"/>
          <w:sz w:val="24"/>
          <w:szCs w:val="24"/>
        </w:rPr>
        <w:t xml:space="preserve"> </w:t>
      </w:r>
      <w:r w:rsidRPr="00AA2949">
        <w:rPr>
          <w:rFonts w:ascii="Times New Roman" w:hAnsi="Times New Roman" w:cs="Times New Roman"/>
          <w:sz w:val="24"/>
          <w:szCs w:val="24"/>
        </w:rPr>
        <w:t>C</w:t>
      </w:r>
      <w:r w:rsidR="0000404E" w:rsidRPr="00AA2949">
        <w:rPr>
          <w:rFonts w:ascii="Times New Roman" w:hAnsi="Times New Roman" w:cs="Times New Roman"/>
          <w:sz w:val="24"/>
          <w:szCs w:val="24"/>
        </w:rPr>
        <w:t>.</w:t>
      </w:r>
      <w:r w:rsidRPr="00AA2949">
        <w:rPr>
          <w:rFonts w:ascii="Times New Roman" w:hAnsi="Times New Roman" w:cs="Times New Roman"/>
          <w:sz w:val="24"/>
          <w:szCs w:val="24"/>
        </w:rPr>
        <w:t xml:space="preserve"> Keller</w:t>
      </w:r>
      <w:r w:rsidR="0000404E" w:rsidRPr="00AA2949">
        <w:rPr>
          <w:rFonts w:ascii="Times New Roman" w:hAnsi="Times New Roman" w:cs="Times New Roman"/>
          <w:sz w:val="24"/>
          <w:szCs w:val="24"/>
        </w:rPr>
        <w:t xml:space="preserve"> and</w:t>
      </w:r>
      <w:r w:rsidRPr="00AA2949">
        <w:rPr>
          <w:rFonts w:ascii="Times New Roman" w:hAnsi="Times New Roman" w:cs="Times New Roman"/>
          <w:sz w:val="24"/>
          <w:szCs w:val="24"/>
        </w:rPr>
        <w:t xml:space="preserve"> M</w:t>
      </w:r>
      <w:r w:rsidR="0000404E" w:rsidRPr="00AA2949">
        <w:rPr>
          <w:rFonts w:ascii="Times New Roman" w:hAnsi="Times New Roman" w:cs="Times New Roman"/>
          <w:sz w:val="24"/>
          <w:szCs w:val="24"/>
        </w:rPr>
        <w:t>.</w:t>
      </w:r>
      <w:r w:rsidRPr="00AA2949">
        <w:rPr>
          <w:rFonts w:ascii="Times New Roman" w:hAnsi="Times New Roman" w:cs="Times New Roman"/>
          <w:sz w:val="24"/>
          <w:szCs w:val="24"/>
        </w:rPr>
        <w:t>-J</w:t>
      </w:r>
      <w:r w:rsidR="0000404E" w:rsidRPr="00AA2949">
        <w:rPr>
          <w:rFonts w:ascii="Times New Roman" w:hAnsi="Times New Roman" w:cs="Times New Roman"/>
          <w:sz w:val="24"/>
          <w:szCs w:val="24"/>
        </w:rPr>
        <w:t>.</w:t>
      </w:r>
      <w:r w:rsidRPr="00AA2949">
        <w:rPr>
          <w:rFonts w:ascii="Times New Roman" w:hAnsi="Times New Roman" w:cs="Times New Roman"/>
          <w:sz w:val="24"/>
          <w:szCs w:val="24"/>
        </w:rPr>
        <w:t xml:space="preserve"> Rubenstein</w:t>
      </w:r>
      <w:r w:rsidR="0000404E" w:rsidRPr="00AA2949">
        <w:rPr>
          <w:rFonts w:ascii="Times New Roman" w:hAnsi="Times New Roman" w:cs="Times New Roman"/>
          <w:sz w:val="24"/>
          <w:szCs w:val="24"/>
        </w:rPr>
        <w:t>,</w:t>
      </w:r>
      <w:r w:rsidRPr="00AA2949">
        <w:rPr>
          <w:rFonts w:ascii="Times New Roman" w:hAnsi="Times New Roman" w:cs="Times New Roman"/>
          <w:sz w:val="24"/>
          <w:szCs w:val="24"/>
        </w:rPr>
        <w:t xml:space="preserve"> </w:t>
      </w:r>
      <w:r w:rsidR="0000404E" w:rsidRPr="00AA2949">
        <w:rPr>
          <w:rFonts w:ascii="Times New Roman" w:hAnsi="Times New Roman" w:cs="Times New Roman"/>
          <w:sz w:val="24"/>
          <w:szCs w:val="24"/>
        </w:rPr>
        <w:t>e</w:t>
      </w:r>
      <w:r w:rsidRPr="00AA2949">
        <w:rPr>
          <w:rFonts w:ascii="Times New Roman" w:hAnsi="Times New Roman" w:cs="Times New Roman"/>
          <w:sz w:val="24"/>
          <w:szCs w:val="24"/>
        </w:rPr>
        <w:t>ds</w:t>
      </w:r>
      <w:r w:rsidR="0000404E" w:rsidRPr="00AA2949">
        <w:rPr>
          <w:rFonts w:ascii="Times New Roman" w:hAnsi="Times New Roman" w:cs="Times New Roman"/>
          <w:sz w:val="24"/>
          <w:szCs w:val="24"/>
        </w:rPr>
        <w:t>,</w:t>
      </w:r>
      <w:r w:rsidRPr="00AA2949">
        <w:rPr>
          <w:rFonts w:ascii="Times New Roman" w:hAnsi="Times New Roman" w:cs="Times New Roman"/>
          <w:sz w:val="24"/>
          <w:szCs w:val="24"/>
        </w:rPr>
        <w:t xml:space="preserve"> </w:t>
      </w:r>
      <w:r w:rsidRPr="00AA2949">
        <w:rPr>
          <w:rFonts w:ascii="Times New Roman" w:hAnsi="Times New Roman" w:cs="Times New Roman"/>
          <w:i/>
          <w:iCs/>
          <w:sz w:val="24"/>
          <w:szCs w:val="24"/>
        </w:rPr>
        <w:t xml:space="preserve">Entangled </w:t>
      </w:r>
      <w:r w:rsidR="0000404E" w:rsidRPr="00AA2949">
        <w:rPr>
          <w:rFonts w:ascii="Times New Roman" w:hAnsi="Times New Roman" w:cs="Times New Roman"/>
          <w:i/>
          <w:iCs/>
          <w:sz w:val="24"/>
          <w:szCs w:val="24"/>
        </w:rPr>
        <w:t>w</w:t>
      </w:r>
      <w:r w:rsidRPr="00AA2949">
        <w:rPr>
          <w:rFonts w:ascii="Times New Roman" w:hAnsi="Times New Roman" w:cs="Times New Roman"/>
          <w:i/>
          <w:iCs/>
          <w:sz w:val="24"/>
          <w:szCs w:val="24"/>
        </w:rPr>
        <w:t xml:space="preserve">orlds: Religion, </w:t>
      </w:r>
      <w:r w:rsidR="0000404E" w:rsidRPr="00AA2949">
        <w:rPr>
          <w:rFonts w:ascii="Times New Roman" w:hAnsi="Times New Roman" w:cs="Times New Roman"/>
          <w:i/>
          <w:iCs/>
          <w:sz w:val="24"/>
          <w:szCs w:val="24"/>
        </w:rPr>
        <w:t>science, and new materialisms</w:t>
      </w:r>
      <w:r w:rsidR="0000404E" w:rsidRPr="00AA2949">
        <w:rPr>
          <w:rFonts w:ascii="Times New Roman" w:hAnsi="Times New Roman" w:cs="Times New Roman"/>
          <w:sz w:val="24"/>
          <w:szCs w:val="24"/>
        </w:rPr>
        <w:t xml:space="preserve">. New York: </w:t>
      </w:r>
      <w:r w:rsidRPr="00AA2949">
        <w:rPr>
          <w:rFonts w:ascii="Times New Roman" w:hAnsi="Times New Roman" w:cs="Times New Roman"/>
          <w:sz w:val="24"/>
          <w:szCs w:val="24"/>
        </w:rPr>
        <w:t>Fordham University</w:t>
      </w:r>
      <w:r w:rsidR="0000404E" w:rsidRPr="00AA2949">
        <w:rPr>
          <w:rFonts w:ascii="Times New Roman" w:hAnsi="Times New Roman" w:cs="Times New Roman"/>
          <w:sz w:val="24"/>
          <w:szCs w:val="24"/>
        </w:rPr>
        <w:t xml:space="preserve"> Press, pp. 21–88</w:t>
      </w:r>
      <w:r w:rsidRPr="00AA2949">
        <w:rPr>
          <w:rFonts w:ascii="Times New Roman" w:hAnsi="Times New Roman" w:cs="Times New Roman"/>
          <w:sz w:val="24"/>
          <w:szCs w:val="24"/>
        </w:rPr>
        <w:t xml:space="preserve">. </w:t>
      </w:r>
    </w:p>
    <w:p w:rsidR="00157981" w:rsidRPr="00AA2949" w:rsidRDefault="00157981" w:rsidP="00F979B4">
      <w:pPr>
        <w:pStyle w:val="References"/>
        <w:spacing w:before="0" w:line="240" w:lineRule="auto"/>
        <w:ind w:left="709" w:hanging="709"/>
        <w:contextualSpacing w:val="0"/>
      </w:pPr>
      <w:r w:rsidRPr="00AA2949">
        <w:t xml:space="preserve">Barratt Hacking, </w:t>
      </w:r>
      <w:r w:rsidR="00BD7B44" w:rsidRPr="00AA2949">
        <w:t xml:space="preserve">E., </w:t>
      </w:r>
      <w:r w:rsidRPr="00AA2949">
        <w:t>Barratt</w:t>
      </w:r>
      <w:r w:rsidR="00BD7B44" w:rsidRPr="00AA2949">
        <w:t>, R.</w:t>
      </w:r>
      <w:r w:rsidR="0000404E" w:rsidRPr="00AA2949">
        <w:t xml:space="preserve"> and</w:t>
      </w:r>
      <w:r w:rsidRPr="00AA2949">
        <w:t xml:space="preserve"> Scott</w:t>
      </w:r>
      <w:r w:rsidR="00BD7B44" w:rsidRPr="00AA2949">
        <w:t>, W.</w:t>
      </w:r>
      <w:r w:rsidRPr="00AA2949">
        <w:t xml:space="preserve"> (2007)</w:t>
      </w:r>
      <w:r w:rsidR="00BD7B44" w:rsidRPr="00AA2949">
        <w:t>.</w:t>
      </w:r>
      <w:r w:rsidRPr="00AA2949">
        <w:t xml:space="preserve"> </w:t>
      </w:r>
      <w:r w:rsidR="00BD7B44" w:rsidRPr="00AA2949">
        <w:rPr>
          <w:rFonts w:eastAsiaTheme="minorHAnsi"/>
        </w:rPr>
        <w:t xml:space="preserve">Engaging children: </w:t>
      </w:r>
      <w:r w:rsidR="0000404E" w:rsidRPr="00AA2949">
        <w:rPr>
          <w:rFonts w:eastAsiaTheme="minorHAnsi"/>
        </w:rPr>
        <w:t>R</w:t>
      </w:r>
      <w:r w:rsidR="00BD7B44" w:rsidRPr="00AA2949">
        <w:rPr>
          <w:rFonts w:eastAsiaTheme="minorHAnsi"/>
        </w:rPr>
        <w:t xml:space="preserve">esearch issues around participation and environmental learning. </w:t>
      </w:r>
      <w:r w:rsidR="00BD7B44" w:rsidRPr="00AA2949">
        <w:rPr>
          <w:rFonts w:eastAsiaTheme="minorHAnsi"/>
          <w:i/>
        </w:rPr>
        <w:t>Environmental Education Research</w:t>
      </w:r>
      <w:r w:rsidR="00BD7B44" w:rsidRPr="00AA2949">
        <w:rPr>
          <w:rFonts w:eastAsiaTheme="minorHAnsi"/>
        </w:rPr>
        <w:t xml:space="preserve">, 13(4), </w:t>
      </w:r>
      <w:r w:rsidR="0000404E" w:rsidRPr="00AA2949">
        <w:rPr>
          <w:rFonts w:eastAsiaTheme="minorHAnsi"/>
        </w:rPr>
        <w:t xml:space="preserve">pp. </w:t>
      </w:r>
      <w:r w:rsidR="00BD7B44" w:rsidRPr="00AA2949">
        <w:rPr>
          <w:rFonts w:eastAsiaTheme="minorHAnsi"/>
        </w:rPr>
        <w:t>529</w:t>
      </w:r>
      <w:r w:rsidR="0000404E" w:rsidRPr="00AA2949">
        <w:rPr>
          <w:rFonts w:eastAsiaTheme="minorHAnsi"/>
        </w:rPr>
        <w:t>–</w:t>
      </w:r>
      <w:r w:rsidR="00BD7B44" w:rsidRPr="00AA2949">
        <w:rPr>
          <w:rFonts w:eastAsiaTheme="minorHAnsi"/>
        </w:rPr>
        <w:t>544.</w:t>
      </w:r>
    </w:p>
    <w:p w:rsidR="00BD7B44" w:rsidRPr="00AA2949" w:rsidRDefault="00BD7B44" w:rsidP="00F979B4">
      <w:pPr>
        <w:pStyle w:val="References"/>
        <w:spacing w:before="0" w:line="240" w:lineRule="auto"/>
        <w:ind w:left="709" w:hanging="709"/>
        <w:contextualSpacing w:val="0"/>
        <w:rPr>
          <w:highlight w:val="red"/>
        </w:rPr>
      </w:pPr>
      <w:r w:rsidRPr="00AA2949">
        <w:rPr>
          <w:rFonts w:eastAsiaTheme="minorHAnsi"/>
        </w:rPr>
        <w:t>Barratt, R.</w:t>
      </w:r>
      <w:r w:rsidR="0000404E" w:rsidRPr="00AA2949">
        <w:rPr>
          <w:rFonts w:eastAsiaTheme="minorHAnsi"/>
        </w:rPr>
        <w:t xml:space="preserve"> and</w:t>
      </w:r>
      <w:r w:rsidRPr="00AA2949">
        <w:rPr>
          <w:rFonts w:eastAsiaTheme="minorHAnsi"/>
        </w:rPr>
        <w:t xml:space="preserve"> Barratt Hacking, E. (2003). Rethinking the geography national curriculum: </w:t>
      </w:r>
      <w:r w:rsidR="0000404E" w:rsidRPr="00AA2949">
        <w:rPr>
          <w:rFonts w:eastAsiaTheme="minorHAnsi"/>
        </w:rPr>
        <w:t>A</w:t>
      </w:r>
      <w:r w:rsidRPr="00AA2949">
        <w:rPr>
          <w:rFonts w:eastAsiaTheme="minorHAnsi"/>
        </w:rPr>
        <w:t xml:space="preserve"> case for community relevance. </w:t>
      </w:r>
      <w:r w:rsidRPr="00AA2949">
        <w:rPr>
          <w:rFonts w:eastAsiaTheme="minorHAnsi"/>
          <w:i/>
        </w:rPr>
        <w:t>Teaching Geography</w:t>
      </w:r>
      <w:r w:rsidRPr="00AA2949">
        <w:rPr>
          <w:rFonts w:eastAsiaTheme="minorHAnsi"/>
        </w:rPr>
        <w:t>, 18(2),</w:t>
      </w:r>
      <w:r w:rsidR="0000404E" w:rsidRPr="00AA2949">
        <w:rPr>
          <w:rFonts w:eastAsiaTheme="minorHAnsi"/>
        </w:rPr>
        <w:t xml:space="preserve"> pp.</w:t>
      </w:r>
      <w:r w:rsidRPr="00AA2949">
        <w:rPr>
          <w:rFonts w:eastAsiaTheme="minorHAnsi"/>
        </w:rPr>
        <w:t xml:space="preserve"> 29–33.</w:t>
      </w:r>
      <w:r w:rsidRPr="00AA2949" w:rsidDel="00BD7B44">
        <w:rPr>
          <w:highlight w:val="red"/>
        </w:rPr>
        <w:t xml:space="preserve"> </w:t>
      </w:r>
    </w:p>
    <w:p w:rsidR="00BD7B44" w:rsidRPr="00AA2949" w:rsidRDefault="00BD7B44" w:rsidP="00F979B4">
      <w:pPr>
        <w:pStyle w:val="References"/>
        <w:spacing w:before="0" w:line="240" w:lineRule="auto"/>
        <w:ind w:left="709" w:hanging="709"/>
        <w:contextualSpacing w:val="0"/>
        <w:rPr>
          <w:highlight w:val="red"/>
        </w:rPr>
      </w:pPr>
      <w:r w:rsidRPr="00AA2949">
        <w:rPr>
          <w:rFonts w:eastAsiaTheme="minorHAnsi"/>
        </w:rPr>
        <w:t>Barratt Hacking, E., Scott, W.A.H.S., Barratt, R., Talbot, W., Nichols, D.</w:t>
      </w:r>
      <w:r w:rsidR="0000404E" w:rsidRPr="00AA2949">
        <w:rPr>
          <w:rFonts w:eastAsiaTheme="minorHAnsi"/>
        </w:rPr>
        <w:t xml:space="preserve"> and</w:t>
      </w:r>
      <w:r w:rsidRPr="00AA2949">
        <w:rPr>
          <w:rFonts w:eastAsiaTheme="minorHAnsi"/>
        </w:rPr>
        <w:t xml:space="preserve"> Davies. K. (2006). Education for sustainability: </w:t>
      </w:r>
      <w:r w:rsidR="0000404E" w:rsidRPr="00AA2949">
        <w:rPr>
          <w:rFonts w:eastAsiaTheme="minorHAnsi"/>
        </w:rPr>
        <w:t>S</w:t>
      </w:r>
      <w:r w:rsidRPr="00AA2949">
        <w:rPr>
          <w:rFonts w:eastAsiaTheme="minorHAnsi"/>
        </w:rPr>
        <w:t>chools and their communities</w:t>
      </w:r>
      <w:r w:rsidR="0000404E" w:rsidRPr="00AA2949">
        <w:rPr>
          <w:rFonts w:eastAsiaTheme="minorHAnsi"/>
        </w:rPr>
        <w:t>.</w:t>
      </w:r>
      <w:r w:rsidRPr="00AA2949">
        <w:rPr>
          <w:rFonts w:eastAsiaTheme="minorHAnsi"/>
        </w:rPr>
        <w:t xml:space="preserve"> </w:t>
      </w:r>
      <w:r w:rsidR="0000404E" w:rsidRPr="00AA2949">
        <w:rPr>
          <w:rFonts w:eastAsiaTheme="minorHAnsi"/>
        </w:rPr>
        <w:t>I</w:t>
      </w:r>
      <w:r w:rsidRPr="00AA2949">
        <w:rPr>
          <w:rFonts w:eastAsiaTheme="minorHAnsi"/>
        </w:rPr>
        <w:t xml:space="preserve">n: J. Chi-Kin Lee </w:t>
      </w:r>
      <w:r w:rsidR="0000404E" w:rsidRPr="00AA2949">
        <w:rPr>
          <w:rFonts w:eastAsiaTheme="minorHAnsi"/>
        </w:rPr>
        <w:t>and</w:t>
      </w:r>
      <w:r w:rsidRPr="00AA2949">
        <w:rPr>
          <w:rFonts w:eastAsiaTheme="minorHAnsi"/>
        </w:rPr>
        <w:t xml:space="preserve"> M. Williams</w:t>
      </w:r>
      <w:r w:rsidR="0000404E" w:rsidRPr="00AA2949">
        <w:rPr>
          <w:rFonts w:eastAsiaTheme="minorHAnsi"/>
        </w:rPr>
        <w:t>,</w:t>
      </w:r>
      <w:r w:rsidRPr="00AA2949">
        <w:rPr>
          <w:rFonts w:eastAsiaTheme="minorHAnsi"/>
        </w:rPr>
        <w:t xml:space="preserve"> </w:t>
      </w:r>
      <w:r w:rsidR="0000404E" w:rsidRPr="00AA2949">
        <w:rPr>
          <w:rFonts w:eastAsiaTheme="minorHAnsi"/>
        </w:rPr>
        <w:t>e</w:t>
      </w:r>
      <w:r w:rsidRPr="00AA2949">
        <w:rPr>
          <w:rFonts w:eastAsiaTheme="minorHAnsi"/>
        </w:rPr>
        <w:t xml:space="preserve">ds, </w:t>
      </w:r>
      <w:r w:rsidRPr="00AA2949">
        <w:rPr>
          <w:rFonts w:eastAsiaTheme="minorHAnsi"/>
          <w:i/>
        </w:rPr>
        <w:t xml:space="preserve">Environmental and geographical education for sustainability: </w:t>
      </w:r>
      <w:r w:rsidR="0000404E" w:rsidRPr="00AA2949">
        <w:rPr>
          <w:rFonts w:eastAsiaTheme="minorHAnsi"/>
          <w:i/>
        </w:rPr>
        <w:t>C</w:t>
      </w:r>
      <w:r w:rsidRPr="00AA2949">
        <w:rPr>
          <w:rFonts w:eastAsiaTheme="minorHAnsi"/>
          <w:i/>
        </w:rPr>
        <w:t>ultural contexts</w:t>
      </w:r>
      <w:r w:rsidR="0000404E" w:rsidRPr="00AA2949">
        <w:rPr>
          <w:rFonts w:eastAsiaTheme="minorHAnsi"/>
          <w:i/>
        </w:rPr>
        <w:t>.</w:t>
      </w:r>
      <w:r w:rsidRPr="00AA2949">
        <w:rPr>
          <w:rFonts w:eastAsiaTheme="minorHAnsi"/>
        </w:rPr>
        <w:t xml:space="preserve"> New York</w:t>
      </w:r>
      <w:r w:rsidR="0000404E" w:rsidRPr="00AA2949">
        <w:rPr>
          <w:rFonts w:eastAsiaTheme="minorHAnsi"/>
        </w:rPr>
        <w:t>:</w:t>
      </w:r>
      <w:r w:rsidRPr="00AA2949">
        <w:rPr>
          <w:rFonts w:eastAsiaTheme="minorHAnsi"/>
        </w:rPr>
        <w:t xml:space="preserve"> Nova Science Publishers, </w:t>
      </w:r>
      <w:r w:rsidR="0000404E" w:rsidRPr="00AA2949">
        <w:rPr>
          <w:rFonts w:eastAsiaTheme="minorHAnsi"/>
        </w:rPr>
        <w:t xml:space="preserve">pp. </w:t>
      </w:r>
      <w:r w:rsidRPr="00AA2949">
        <w:rPr>
          <w:rFonts w:eastAsiaTheme="minorHAnsi"/>
        </w:rPr>
        <w:t>123–138.</w:t>
      </w:r>
      <w:r w:rsidRPr="00AA2949" w:rsidDel="00BD7B44">
        <w:rPr>
          <w:highlight w:val="red"/>
        </w:rPr>
        <w:t xml:space="preserve"> </w:t>
      </w:r>
    </w:p>
    <w:p w:rsidR="002D7B82" w:rsidRPr="00AA2949" w:rsidRDefault="002D7B82" w:rsidP="00F979B4">
      <w:pPr>
        <w:spacing w:after="0" w:line="240" w:lineRule="auto"/>
        <w:ind w:left="709" w:hanging="709"/>
        <w:rPr>
          <w:rFonts w:ascii="Times New Roman" w:hAnsi="Times New Roman" w:cs="Times New Roman"/>
          <w:sz w:val="24"/>
          <w:szCs w:val="24"/>
        </w:rPr>
      </w:pPr>
      <w:r w:rsidRPr="00AA2949">
        <w:rPr>
          <w:rFonts w:ascii="Times New Roman" w:hAnsi="Times New Roman" w:cs="Times New Roman"/>
          <w:sz w:val="24"/>
          <w:szCs w:val="24"/>
        </w:rPr>
        <w:t xml:space="preserve">Basso, K. (1996). </w:t>
      </w:r>
      <w:r w:rsidRPr="00AA2949">
        <w:rPr>
          <w:rFonts w:ascii="Times New Roman" w:hAnsi="Times New Roman" w:cs="Times New Roman"/>
          <w:i/>
          <w:iCs/>
          <w:sz w:val="24"/>
          <w:szCs w:val="24"/>
        </w:rPr>
        <w:t>Wisdom sits in places: Landscape and language among the Western Apache</w:t>
      </w:r>
      <w:r w:rsidRPr="00AA2949">
        <w:rPr>
          <w:rFonts w:ascii="Times New Roman" w:hAnsi="Times New Roman" w:cs="Times New Roman"/>
          <w:sz w:val="24"/>
          <w:szCs w:val="24"/>
        </w:rPr>
        <w:t>. Albuquerque, NM: University of New Mexico Press.</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Biggeri, M. (2007). Children’s </w:t>
      </w:r>
      <w:r w:rsidR="0000404E" w:rsidRPr="00AA2949">
        <w:rPr>
          <w:rFonts w:ascii="Times New Roman" w:hAnsi="Times New Roman" w:cs="Times New Roman"/>
          <w:color w:val="000000"/>
          <w:sz w:val="24"/>
          <w:szCs w:val="24"/>
        </w:rPr>
        <w:t>valued capabilities</w:t>
      </w:r>
      <w:r w:rsidRPr="00AA2949">
        <w:rPr>
          <w:rFonts w:ascii="Times New Roman" w:hAnsi="Times New Roman" w:cs="Times New Roman"/>
          <w:color w:val="000000"/>
          <w:sz w:val="24"/>
          <w:szCs w:val="24"/>
        </w:rPr>
        <w:t>. In</w:t>
      </w:r>
      <w:r w:rsidR="0000404E"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 M. Walker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E. Unterhalter</w:t>
      </w:r>
      <w:r w:rsidR="0000404E"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 </w:t>
      </w:r>
      <w:r w:rsidR="0000404E" w:rsidRPr="00AA2949">
        <w:rPr>
          <w:rFonts w:ascii="Times New Roman" w:hAnsi="Times New Roman" w:cs="Times New Roman"/>
          <w:color w:val="000000"/>
          <w:sz w:val="24"/>
          <w:szCs w:val="24"/>
        </w:rPr>
        <w:t>e</w:t>
      </w:r>
      <w:r w:rsidRPr="00AA2949">
        <w:rPr>
          <w:rFonts w:ascii="Times New Roman" w:hAnsi="Times New Roman" w:cs="Times New Roman"/>
          <w:color w:val="000000"/>
          <w:sz w:val="24"/>
          <w:szCs w:val="24"/>
        </w:rPr>
        <w:t>ds</w:t>
      </w:r>
      <w:r w:rsidR="0000404E"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 </w:t>
      </w:r>
      <w:r w:rsidRPr="00AA2949">
        <w:rPr>
          <w:rFonts w:ascii="Times New Roman" w:hAnsi="Times New Roman" w:cs="Times New Roman"/>
          <w:i/>
          <w:color w:val="000000"/>
          <w:sz w:val="24"/>
          <w:szCs w:val="24"/>
        </w:rPr>
        <w:t xml:space="preserve">Amartya Sen’s </w:t>
      </w:r>
      <w:r w:rsidR="0000404E" w:rsidRPr="00AA2949">
        <w:rPr>
          <w:rFonts w:ascii="Times New Roman" w:hAnsi="Times New Roman" w:cs="Times New Roman"/>
          <w:i/>
          <w:color w:val="000000"/>
          <w:sz w:val="24"/>
          <w:szCs w:val="24"/>
        </w:rPr>
        <w:t>capability approach and social justice in education</w:t>
      </w:r>
      <w:r w:rsidRPr="00AA2949">
        <w:rPr>
          <w:rFonts w:ascii="Times New Roman" w:hAnsi="Times New Roman" w:cs="Times New Roman"/>
          <w:color w:val="000000"/>
          <w:sz w:val="24"/>
          <w:szCs w:val="24"/>
        </w:rPr>
        <w:t>. New York: Palgrave Macmillan</w:t>
      </w:r>
      <w:r w:rsidR="0000404E" w:rsidRPr="00AA2949">
        <w:rPr>
          <w:rFonts w:ascii="Times New Roman" w:hAnsi="Times New Roman" w:cs="Times New Roman"/>
          <w:color w:val="000000"/>
          <w:sz w:val="24"/>
          <w:szCs w:val="24"/>
        </w:rPr>
        <w:t>, pp. 197–214</w:t>
      </w:r>
      <w:r w:rsidRPr="00AA2949">
        <w:rPr>
          <w:rFonts w:ascii="Times New Roman" w:hAnsi="Times New Roman" w:cs="Times New Roman"/>
          <w:color w:val="000000"/>
          <w:sz w:val="24"/>
          <w:szCs w:val="24"/>
        </w:rPr>
        <w:t>.</w:t>
      </w:r>
    </w:p>
    <w:p w:rsidR="00B40681" w:rsidRPr="00AA2949" w:rsidRDefault="00B40681" w:rsidP="00F979B4">
      <w:pPr>
        <w:spacing w:after="0" w:line="240" w:lineRule="auto"/>
        <w:ind w:left="709" w:hanging="709"/>
        <w:textAlignment w:val="baseline"/>
        <w:rPr>
          <w:rFonts w:ascii="Times New Roman" w:hAnsi="Times New Roman" w:cs="Times New Roman"/>
          <w:sz w:val="24"/>
          <w:szCs w:val="24"/>
        </w:rPr>
      </w:pPr>
      <w:r w:rsidRPr="00AA2949">
        <w:rPr>
          <w:rFonts w:ascii="Times New Roman" w:hAnsi="Times New Roman" w:cs="Times New Roman"/>
          <w:sz w:val="24"/>
          <w:szCs w:val="24"/>
        </w:rPr>
        <w:t xml:space="preserve">Bonnett, M. (2012). Environmental concern, moral education and our place in nature. </w:t>
      </w:r>
      <w:r w:rsidRPr="00AA2949">
        <w:rPr>
          <w:rFonts w:ascii="Times New Roman" w:hAnsi="Times New Roman" w:cs="Times New Roman"/>
          <w:i/>
          <w:iCs/>
          <w:sz w:val="24"/>
          <w:szCs w:val="24"/>
        </w:rPr>
        <w:t>Journal of Moral Education</w:t>
      </w:r>
      <w:r w:rsidRPr="00AA2949">
        <w:rPr>
          <w:rFonts w:ascii="Times New Roman" w:hAnsi="Times New Roman" w:cs="Times New Roman"/>
          <w:iCs/>
          <w:sz w:val="24"/>
          <w:szCs w:val="24"/>
        </w:rPr>
        <w:t>, 41</w:t>
      </w:r>
      <w:r w:rsidRPr="00AA2949">
        <w:rPr>
          <w:rFonts w:ascii="Times New Roman" w:hAnsi="Times New Roman" w:cs="Times New Roman"/>
          <w:sz w:val="24"/>
          <w:szCs w:val="24"/>
        </w:rPr>
        <w:t xml:space="preserve">(3), </w:t>
      </w:r>
      <w:r w:rsidR="0000404E" w:rsidRPr="00AA2949">
        <w:rPr>
          <w:rFonts w:ascii="Times New Roman" w:hAnsi="Times New Roman" w:cs="Times New Roman"/>
          <w:sz w:val="24"/>
          <w:szCs w:val="24"/>
        </w:rPr>
        <w:t xml:space="preserve">pp. </w:t>
      </w:r>
      <w:r w:rsidRPr="00AA2949">
        <w:rPr>
          <w:rFonts w:ascii="Times New Roman" w:hAnsi="Times New Roman" w:cs="Times New Roman"/>
          <w:sz w:val="24"/>
          <w:szCs w:val="24"/>
        </w:rPr>
        <w:t>285–300.</w:t>
      </w:r>
    </w:p>
    <w:p w:rsidR="00F979B4" w:rsidRPr="00AA2949" w:rsidRDefault="00157981" w:rsidP="00F979B4">
      <w:pPr>
        <w:pStyle w:val="References"/>
        <w:spacing w:before="0" w:line="240" w:lineRule="auto"/>
        <w:ind w:left="709" w:hanging="709"/>
      </w:pPr>
      <w:r w:rsidRPr="00AA2949">
        <w:t>Burchenal</w:t>
      </w:r>
      <w:r w:rsidR="00BD7B44" w:rsidRPr="00AA2949">
        <w:t>, M.</w:t>
      </w:r>
      <w:r w:rsidRPr="00AA2949">
        <w:t xml:space="preserve"> </w:t>
      </w:r>
      <w:r w:rsidR="0000404E" w:rsidRPr="00AA2949">
        <w:t>and</w:t>
      </w:r>
      <w:r w:rsidRPr="00AA2949">
        <w:t xml:space="preserve"> Grohe,</w:t>
      </w:r>
      <w:r w:rsidR="00BD7B44" w:rsidRPr="00AA2949">
        <w:t xml:space="preserve"> M.</w:t>
      </w:r>
      <w:r w:rsidRPr="00AA2949">
        <w:t xml:space="preserve"> </w:t>
      </w:r>
      <w:r w:rsidR="00BD7B44" w:rsidRPr="00AA2949">
        <w:t>(</w:t>
      </w:r>
      <w:r w:rsidRPr="00AA2949">
        <w:t>2007</w:t>
      </w:r>
      <w:r w:rsidR="00BD7B44" w:rsidRPr="00AA2949">
        <w:t xml:space="preserve">). Thinking </w:t>
      </w:r>
      <w:r w:rsidR="0000404E" w:rsidRPr="00AA2949">
        <w:t>through art</w:t>
      </w:r>
      <w:r w:rsidR="00BD7B44" w:rsidRPr="00AA2949">
        <w:t xml:space="preserve">: Transforming </w:t>
      </w:r>
      <w:r w:rsidR="0000404E" w:rsidRPr="00AA2949">
        <w:t xml:space="preserve">museum curriculum. </w:t>
      </w:r>
      <w:r w:rsidR="00BD7B44" w:rsidRPr="00AA2949">
        <w:rPr>
          <w:rFonts w:eastAsiaTheme="minorEastAsia"/>
          <w:i/>
        </w:rPr>
        <w:t>Journal of Museum Education</w:t>
      </w:r>
      <w:r w:rsidR="00BD7B44" w:rsidRPr="00AA2949">
        <w:t>,</w:t>
      </w:r>
      <w:r w:rsidR="0000404E" w:rsidRPr="00AA2949">
        <w:rPr>
          <w:rFonts w:eastAsiaTheme="minorEastAsia"/>
        </w:rPr>
        <w:t xml:space="preserve"> </w:t>
      </w:r>
      <w:r w:rsidR="00BD7B44" w:rsidRPr="00AA2949">
        <w:t xml:space="preserve">32(2), </w:t>
      </w:r>
      <w:r w:rsidR="0000404E" w:rsidRPr="00AA2949">
        <w:t xml:space="preserve">pp. </w:t>
      </w:r>
      <w:r w:rsidR="00BD7B44" w:rsidRPr="00AA2949">
        <w:t>111</w:t>
      </w:r>
      <w:r w:rsidR="0000404E" w:rsidRPr="00AA2949">
        <w:t>–</w:t>
      </w:r>
      <w:r w:rsidR="00BD7B44" w:rsidRPr="00AA2949">
        <w:t>122.</w:t>
      </w:r>
    </w:p>
    <w:p w:rsidR="004F7068" w:rsidRPr="00AA2949" w:rsidRDefault="004F7068" w:rsidP="00F979B4">
      <w:pPr>
        <w:pStyle w:val="References"/>
        <w:spacing w:before="0" w:line="240" w:lineRule="auto"/>
        <w:ind w:left="709" w:hanging="709"/>
        <w:rPr>
          <w:shd w:val="clear" w:color="auto" w:fill="FFFFFF"/>
        </w:rPr>
      </w:pPr>
      <w:r w:rsidRPr="00AA2949">
        <w:t xml:space="preserve">Byars-Winston, A. (2014). Toward a </w:t>
      </w:r>
      <w:r w:rsidR="0000404E" w:rsidRPr="00AA2949">
        <w:t xml:space="preserve">framework for multicultural </w:t>
      </w:r>
      <w:r w:rsidRPr="00AA2949">
        <w:t>STEM-</w:t>
      </w:r>
      <w:r w:rsidR="0000404E" w:rsidRPr="00AA2949">
        <w:t xml:space="preserve">focused career interventions. </w:t>
      </w:r>
      <w:r w:rsidRPr="00AA2949">
        <w:rPr>
          <w:i/>
          <w:shd w:val="clear" w:color="auto" w:fill="FFFFFF"/>
        </w:rPr>
        <w:t>Career Development Quarterly</w:t>
      </w:r>
      <w:r w:rsidRPr="00AA2949">
        <w:rPr>
          <w:shd w:val="clear" w:color="auto" w:fill="FFFFFF"/>
        </w:rPr>
        <w:t xml:space="preserve">, 62(4), </w:t>
      </w:r>
      <w:r w:rsidR="0000404E" w:rsidRPr="00AA2949">
        <w:rPr>
          <w:shd w:val="clear" w:color="auto" w:fill="FFFFFF"/>
        </w:rPr>
        <w:t xml:space="preserve">pp. </w:t>
      </w:r>
      <w:r w:rsidRPr="00AA2949">
        <w:rPr>
          <w:shd w:val="clear" w:color="auto" w:fill="FFFFFF"/>
        </w:rPr>
        <w:t>340–357.</w:t>
      </w:r>
    </w:p>
    <w:p w:rsidR="004F7068" w:rsidRPr="00AA2949" w:rsidRDefault="004F7068" w:rsidP="00F979B4">
      <w:pPr>
        <w:pStyle w:val="References"/>
        <w:spacing w:before="0" w:line="240" w:lineRule="auto"/>
        <w:ind w:left="709" w:hanging="709"/>
        <w:contextualSpacing w:val="0"/>
        <w:rPr>
          <w:shd w:val="clear" w:color="auto" w:fill="F3F3F3"/>
        </w:rPr>
      </w:pPr>
      <w:r w:rsidRPr="00AA2949">
        <w:t xml:space="preserve">Bybee, R.W. (2010). Advancing STEM </w:t>
      </w:r>
      <w:r w:rsidR="0000404E" w:rsidRPr="00AA2949">
        <w:t>e</w:t>
      </w:r>
      <w:r w:rsidRPr="00AA2949">
        <w:t xml:space="preserve">ducation: A 2020 </w:t>
      </w:r>
      <w:r w:rsidR="0000404E" w:rsidRPr="00AA2949">
        <w:t>v</w:t>
      </w:r>
      <w:r w:rsidRPr="00AA2949">
        <w:t xml:space="preserve">ision. </w:t>
      </w:r>
      <w:r w:rsidR="0000404E" w:rsidRPr="00AA2949">
        <w:rPr>
          <w:i/>
        </w:rPr>
        <w:t>Technology &amp; Engineering Teacher</w:t>
      </w:r>
      <w:r w:rsidR="0000404E" w:rsidRPr="00AA2949">
        <w:t>, 70(1), pp. 30–35.</w:t>
      </w:r>
    </w:p>
    <w:p w:rsidR="00B21575" w:rsidRPr="00AA2949" w:rsidRDefault="00B21575" w:rsidP="00F979B4">
      <w:pPr>
        <w:pStyle w:val="References"/>
        <w:spacing w:before="0" w:line="240" w:lineRule="auto"/>
        <w:ind w:left="709" w:hanging="709"/>
        <w:contextualSpacing w:val="0"/>
      </w:pPr>
      <w:r w:rsidRPr="00AA2949">
        <w:t>Carr</w:t>
      </w:r>
      <w:r w:rsidR="00BD7B44" w:rsidRPr="00AA2949">
        <w:t>, W.</w:t>
      </w:r>
      <w:r w:rsidRPr="00AA2949">
        <w:t xml:space="preserve"> </w:t>
      </w:r>
      <w:r w:rsidR="0000404E" w:rsidRPr="00AA2949">
        <w:t>and</w:t>
      </w:r>
      <w:r w:rsidRPr="00AA2949">
        <w:t xml:space="preserve"> Kemmis,</w:t>
      </w:r>
      <w:r w:rsidR="00BD7B44" w:rsidRPr="00AA2949">
        <w:t xml:space="preserve"> S.</w:t>
      </w:r>
      <w:r w:rsidRPr="00AA2949">
        <w:t xml:space="preserve"> </w:t>
      </w:r>
      <w:r w:rsidR="00BD7B44" w:rsidRPr="00AA2949">
        <w:t>(</w:t>
      </w:r>
      <w:r w:rsidRPr="00AA2949">
        <w:t>1986</w:t>
      </w:r>
      <w:r w:rsidR="00BD7B44" w:rsidRPr="00AA2949">
        <w:t xml:space="preserve">). </w:t>
      </w:r>
      <w:r w:rsidR="00BD7B44" w:rsidRPr="00AA2949">
        <w:rPr>
          <w:i/>
        </w:rPr>
        <w:t xml:space="preserve">Becoming </w:t>
      </w:r>
      <w:r w:rsidR="0000404E" w:rsidRPr="00AA2949">
        <w:rPr>
          <w:i/>
        </w:rPr>
        <w:t>c</w:t>
      </w:r>
      <w:r w:rsidR="00BD7B44" w:rsidRPr="00AA2949">
        <w:rPr>
          <w:i/>
        </w:rPr>
        <w:t xml:space="preserve">ritical: Education, </w:t>
      </w:r>
      <w:r w:rsidR="0000404E" w:rsidRPr="00AA2949">
        <w:rPr>
          <w:i/>
        </w:rPr>
        <w:t>knowledge and action research</w:t>
      </w:r>
      <w:r w:rsidR="00BD7B44" w:rsidRPr="00AA2949">
        <w:rPr>
          <w:i/>
        </w:rPr>
        <w:t xml:space="preserve">. </w:t>
      </w:r>
      <w:r w:rsidR="00BD7B44" w:rsidRPr="00AA2949">
        <w:t>Philadelphia</w:t>
      </w:r>
      <w:r w:rsidR="0000404E" w:rsidRPr="00AA2949">
        <w:t>, PA</w:t>
      </w:r>
      <w:r w:rsidR="00BD7B44" w:rsidRPr="00AA2949">
        <w:t>: Falmer Press.</w:t>
      </w:r>
      <w:r w:rsidRPr="00AA2949">
        <w:t xml:space="preserve"> </w:t>
      </w:r>
    </w:p>
    <w:p w:rsidR="004F7068" w:rsidRPr="00AA2949" w:rsidRDefault="004F7068" w:rsidP="00F979B4">
      <w:pPr>
        <w:pStyle w:val="References"/>
        <w:spacing w:before="0" w:line="240" w:lineRule="auto"/>
        <w:ind w:left="709" w:hanging="709"/>
        <w:contextualSpacing w:val="0"/>
      </w:pPr>
      <w:r w:rsidRPr="00AA2949">
        <w:lastRenderedPageBreak/>
        <w:t xml:space="preserve">Clarke, D.A.G. </w:t>
      </w:r>
      <w:r w:rsidR="0000404E" w:rsidRPr="00AA2949">
        <w:t>and</w:t>
      </w:r>
      <w:r w:rsidRPr="00AA2949">
        <w:t xml:space="preserve"> Mcphie, J. (2016). From places to paths: Learning for sustainability, teacher education and a philosophy of becoming. </w:t>
      </w:r>
      <w:r w:rsidRPr="00AA2949">
        <w:rPr>
          <w:i/>
        </w:rPr>
        <w:t>Environmental Education Research</w:t>
      </w:r>
      <w:r w:rsidRPr="00AA2949">
        <w:t xml:space="preserve">, 22(7), </w:t>
      </w:r>
      <w:r w:rsidR="0000404E" w:rsidRPr="00AA2949">
        <w:t xml:space="preserve">pp. </w:t>
      </w:r>
      <w:r w:rsidRPr="00AA2949">
        <w:t xml:space="preserve">1002–1024. </w:t>
      </w:r>
    </w:p>
    <w:p w:rsidR="002174B3" w:rsidRPr="00AA2949" w:rsidRDefault="00B21575" w:rsidP="00F979B4">
      <w:pPr>
        <w:pStyle w:val="References"/>
        <w:spacing w:before="0" w:line="240" w:lineRule="auto"/>
        <w:ind w:left="709" w:hanging="709"/>
      </w:pPr>
      <w:r w:rsidRPr="00AA2949">
        <w:t xml:space="preserve">Committee on STEM Education, National Science and Technology Council </w:t>
      </w:r>
      <w:r w:rsidR="002174B3" w:rsidRPr="00AA2949">
        <w:t>(</w:t>
      </w:r>
      <w:r w:rsidRPr="00AA2949">
        <w:t>2013)</w:t>
      </w:r>
      <w:r w:rsidR="002174B3" w:rsidRPr="00AA2949">
        <w:t xml:space="preserve">. </w:t>
      </w:r>
      <w:r w:rsidR="002174B3" w:rsidRPr="00AA2949">
        <w:rPr>
          <w:i/>
        </w:rPr>
        <w:t xml:space="preserve">Federal </w:t>
      </w:r>
      <w:r w:rsidR="0000404E" w:rsidRPr="00AA2949">
        <w:rPr>
          <w:i/>
        </w:rPr>
        <w:t xml:space="preserve">science, technology, engineering, and mathematics </w:t>
      </w:r>
      <w:r w:rsidR="002174B3" w:rsidRPr="00AA2949">
        <w:rPr>
          <w:i/>
        </w:rPr>
        <w:t xml:space="preserve">(STEM) </w:t>
      </w:r>
      <w:r w:rsidR="0000404E" w:rsidRPr="00AA2949">
        <w:rPr>
          <w:i/>
        </w:rPr>
        <w:t>e</w:t>
      </w:r>
      <w:r w:rsidR="002174B3" w:rsidRPr="00AA2949">
        <w:rPr>
          <w:i/>
        </w:rPr>
        <w:t>ducation</w:t>
      </w:r>
      <w:r w:rsidR="0000404E" w:rsidRPr="00AA2949">
        <w:rPr>
          <w:i/>
        </w:rPr>
        <w:t>:</w:t>
      </w:r>
      <w:r w:rsidR="002174B3" w:rsidRPr="00AA2949">
        <w:rPr>
          <w:i/>
        </w:rPr>
        <w:t xml:space="preserve"> 5-</w:t>
      </w:r>
      <w:r w:rsidR="0000404E" w:rsidRPr="00AA2949">
        <w:rPr>
          <w:i/>
        </w:rPr>
        <w:t>year strategic plan.</w:t>
      </w:r>
      <w:r w:rsidR="002174B3" w:rsidRPr="00AA2949">
        <w:rPr>
          <w:i/>
        </w:rPr>
        <w:t xml:space="preserve"> Committee on STEM Education National Science and Technology Council</w:t>
      </w:r>
      <w:r w:rsidR="002174B3" w:rsidRPr="00AA2949">
        <w:t xml:space="preserve">. </w:t>
      </w:r>
      <w:r w:rsidR="002B7168" w:rsidRPr="00AA2949">
        <w:t>Washington, DC: National Science and Technology Council. Available at:</w:t>
      </w:r>
      <w:r w:rsidR="002174B3" w:rsidRPr="00AA2949">
        <w:t xml:space="preserve"> https://ntrl.ntis.gov/NTRL/dashboard/searchResults/titleDetail/PB2013108885.xhtml</w:t>
      </w:r>
      <w:r w:rsidR="002B7168" w:rsidRPr="00AA2949">
        <w:t xml:space="preserve"> [Accessed 18 Aug. 2019].</w:t>
      </w:r>
    </w:p>
    <w:p w:rsidR="004007D8" w:rsidRPr="00AA2949" w:rsidRDefault="004007D8" w:rsidP="00F979B4">
      <w:pPr>
        <w:pStyle w:val="References"/>
        <w:spacing w:before="0" w:line="240" w:lineRule="auto"/>
        <w:ind w:left="709" w:hanging="709"/>
        <w:contextualSpacing w:val="0"/>
      </w:pPr>
      <w:r w:rsidRPr="00AA2949">
        <w:t xml:space="preserve">Cultural Learning Alliance (n.d.). </w:t>
      </w:r>
      <w:r w:rsidRPr="00AA2949">
        <w:rPr>
          <w:i/>
        </w:rPr>
        <w:t>Evidence</w:t>
      </w:r>
      <w:r w:rsidRPr="00AA2949">
        <w:t xml:space="preserve">. Available at: </w:t>
      </w:r>
      <w:hyperlink r:id="rId8" w:history="1">
        <w:r w:rsidRPr="00AA2949">
          <w:rPr>
            <w:rStyle w:val="Hyperlink"/>
            <w:color w:val="000000" w:themeColor="text1"/>
            <w:u w:val="none"/>
          </w:rPr>
          <w:t>https://culturallearningalliance.org.uk/evidence/</w:t>
        </w:r>
      </w:hyperlink>
      <w:r w:rsidRPr="00AA2949">
        <w:rPr>
          <w:color w:val="000000" w:themeColor="text1"/>
        </w:rPr>
        <w:t xml:space="preserve"> [Accessed </w:t>
      </w:r>
      <w:r w:rsidRPr="00AA2949">
        <w:t>18 Aug. 2019].</w:t>
      </w:r>
    </w:p>
    <w:p w:rsidR="004F7068" w:rsidRPr="00AA2949" w:rsidRDefault="004F7068" w:rsidP="00F979B4">
      <w:pPr>
        <w:pStyle w:val="References"/>
        <w:spacing w:before="0" w:line="240" w:lineRule="auto"/>
        <w:ind w:left="709" w:hanging="709"/>
        <w:contextualSpacing w:val="0"/>
      </w:pPr>
      <w:r w:rsidRPr="00AA2949">
        <w:t>Delors, J., Al Mufti, I., Amagi, I., Carneiro, R., Chung, F., Geremek, B., Gorham, W., Kornhauser, A., Manley, M., Padrón Quero, M., Savane, M</w:t>
      </w:r>
      <w:r w:rsidR="002B7168" w:rsidRPr="00AA2949">
        <w:t>.</w:t>
      </w:r>
      <w:r w:rsidRPr="00AA2949">
        <w:t>-A., Singh, K., Stavenhagen, R.</w:t>
      </w:r>
      <w:r w:rsidR="002B7168" w:rsidRPr="00AA2949">
        <w:t>,</w:t>
      </w:r>
      <w:r w:rsidRPr="00AA2949">
        <w:t xml:space="preserve"> Won Suhr</w:t>
      </w:r>
      <w:r w:rsidR="002B7168" w:rsidRPr="00AA2949">
        <w:t>, M.</w:t>
      </w:r>
      <w:r w:rsidRPr="00AA2949">
        <w:t xml:space="preserve"> </w:t>
      </w:r>
      <w:r w:rsidR="0000404E" w:rsidRPr="00AA2949">
        <w:t>and</w:t>
      </w:r>
      <w:r w:rsidRPr="00AA2949">
        <w:t xml:space="preserve"> Nanzhao, Z. (1996). </w:t>
      </w:r>
      <w:r w:rsidRPr="00AA2949">
        <w:rPr>
          <w:i/>
        </w:rPr>
        <w:t xml:space="preserve">Learning: The </w:t>
      </w:r>
      <w:r w:rsidR="002B7168" w:rsidRPr="00AA2949">
        <w:rPr>
          <w:i/>
        </w:rPr>
        <w:t xml:space="preserve">treasure within. </w:t>
      </w:r>
      <w:r w:rsidRPr="00AA2949">
        <w:rPr>
          <w:i/>
        </w:rPr>
        <w:t>Report to UNESCO of the International Commission on Education for the Twenty-</w:t>
      </w:r>
      <w:r w:rsidR="002B7168" w:rsidRPr="00AA2949">
        <w:rPr>
          <w:i/>
        </w:rPr>
        <w:t>First Century</w:t>
      </w:r>
      <w:r w:rsidRPr="00AA2949">
        <w:t>. Paris</w:t>
      </w:r>
      <w:r w:rsidR="002B7168" w:rsidRPr="00AA2949">
        <w:t>:</w:t>
      </w:r>
      <w:r w:rsidRPr="00AA2949">
        <w:t xml:space="preserve"> UNESCO.</w:t>
      </w:r>
    </w:p>
    <w:p w:rsidR="003A0F00" w:rsidRPr="00AA2949" w:rsidRDefault="003A0F00" w:rsidP="00F979B4">
      <w:pPr>
        <w:pStyle w:val="References"/>
        <w:spacing w:before="0" w:line="240" w:lineRule="auto"/>
        <w:ind w:left="709" w:hanging="709"/>
        <w:rPr>
          <w:shd w:val="clear" w:color="auto" w:fill="FFFFFF"/>
        </w:rPr>
      </w:pPr>
      <w:r w:rsidRPr="00AA2949">
        <w:rPr>
          <w:shd w:val="clear" w:color="auto" w:fill="FFFFFF"/>
        </w:rPr>
        <w:t xml:space="preserve">Denmead, T. (2011). Being and becoming: Elements of pedagogies described by three East Anglian creative practitioners. </w:t>
      </w:r>
      <w:r w:rsidRPr="00AA2949">
        <w:rPr>
          <w:i/>
          <w:shd w:val="clear" w:color="auto" w:fill="FFFFFF"/>
        </w:rPr>
        <w:t>International Journal of Thinking Skills and Creativity</w:t>
      </w:r>
      <w:r w:rsidRPr="00AA2949">
        <w:rPr>
          <w:shd w:val="clear" w:color="auto" w:fill="FFFFFF"/>
        </w:rPr>
        <w:t xml:space="preserve">, 6(1), </w:t>
      </w:r>
      <w:r w:rsidR="002B7168" w:rsidRPr="00AA2949">
        <w:rPr>
          <w:shd w:val="clear" w:color="auto" w:fill="FFFFFF"/>
        </w:rPr>
        <w:t xml:space="preserve">pp. </w:t>
      </w:r>
      <w:r w:rsidRPr="00AA2949">
        <w:rPr>
          <w:shd w:val="clear" w:color="auto" w:fill="FFFFFF"/>
        </w:rPr>
        <w:t>57</w:t>
      </w:r>
      <w:r w:rsidR="002B7168" w:rsidRPr="00AA2949">
        <w:rPr>
          <w:shd w:val="clear" w:color="auto" w:fill="FFFFFF"/>
        </w:rPr>
        <w:t>–</w:t>
      </w:r>
      <w:r w:rsidRPr="00AA2949">
        <w:rPr>
          <w:shd w:val="clear" w:color="auto" w:fill="FFFFFF"/>
        </w:rPr>
        <w:t>66.</w:t>
      </w:r>
    </w:p>
    <w:p w:rsidR="004F7068" w:rsidRPr="00AA2949" w:rsidRDefault="004F7068" w:rsidP="00F979B4">
      <w:pPr>
        <w:pStyle w:val="References"/>
        <w:spacing w:before="0" w:line="240" w:lineRule="auto"/>
        <w:ind w:left="709" w:hanging="709"/>
      </w:pPr>
      <w:r w:rsidRPr="00AA2949">
        <w:rPr>
          <w:rStyle w:val="normaltextrun"/>
        </w:rPr>
        <w:t xml:space="preserve">Dewey, J. (1959). </w:t>
      </w:r>
      <w:r w:rsidRPr="00AA2949">
        <w:rPr>
          <w:rStyle w:val="normaltextrun"/>
          <w:i/>
        </w:rPr>
        <w:t xml:space="preserve">Experience and </w:t>
      </w:r>
      <w:r w:rsidR="002B7168" w:rsidRPr="00AA2949">
        <w:rPr>
          <w:rStyle w:val="normaltextrun"/>
          <w:i/>
        </w:rPr>
        <w:t>e</w:t>
      </w:r>
      <w:r w:rsidRPr="00AA2949">
        <w:rPr>
          <w:rStyle w:val="normaltextrun"/>
          <w:i/>
        </w:rPr>
        <w:t>ducation</w:t>
      </w:r>
      <w:r w:rsidRPr="00AA2949">
        <w:rPr>
          <w:rStyle w:val="normaltextrun"/>
        </w:rPr>
        <w:t>. New York: Macmillan.</w:t>
      </w:r>
    </w:p>
    <w:p w:rsidR="00504C10" w:rsidRDefault="00504C10" w:rsidP="00F979B4">
      <w:pPr>
        <w:pStyle w:val="References"/>
        <w:spacing w:before="0" w:line="240" w:lineRule="auto"/>
        <w:ind w:left="709" w:hanging="709"/>
      </w:pPr>
      <w:r w:rsidRPr="00FC7859">
        <w:rPr>
          <w:color w:val="000000"/>
        </w:rPr>
        <w:t xml:space="preserve">Di </w:t>
      </w:r>
      <w:proofErr w:type="spellStart"/>
      <w:r w:rsidRPr="00FC7859">
        <w:rPr>
          <w:color w:val="000000"/>
        </w:rPr>
        <w:t>Tommaso</w:t>
      </w:r>
      <w:proofErr w:type="spellEnd"/>
      <w:r w:rsidRPr="00FC7859">
        <w:rPr>
          <w:color w:val="000000"/>
        </w:rPr>
        <w:t xml:space="preserve">, M.L. (2006). </w:t>
      </w:r>
      <w:proofErr w:type="gramStart"/>
      <w:r w:rsidRPr="00FC7859">
        <w:rPr>
          <w:i/>
          <w:color w:val="000000"/>
        </w:rPr>
        <w:t>Measuring the wellbeing of children using a capability approach: An Application to Indian Data.</w:t>
      </w:r>
      <w:proofErr w:type="gramEnd"/>
      <w:r w:rsidRPr="00FC7859">
        <w:rPr>
          <w:color w:val="000000"/>
        </w:rPr>
        <w:t xml:space="preserve"> </w:t>
      </w:r>
      <w:r w:rsidRPr="00FC7859">
        <w:rPr>
          <w:shd w:val="clear" w:color="auto" w:fill="FFFFFF"/>
        </w:rPr>
        <w:t> </w:t>
      </w:r>
      <w:hyperlink r:id="rId9" w:history="1">
        <w:proofErr w:type="gramStart"/>
        <w:r w:rsidRPr="00FC7859">
          <w:rPr>
            <w:rStyle w:val="Hyperlink"/>
            <w:rFonts w:eastAsiaTheme="minorEastAsia"/>
          </w:rPr>
          <w:t>CHILD Working Papers</w:t>
        </w:r>
      </w:hyperlink>
      <w:r w:rsidRPr="00FC7859">
        <w:rPr>
          <w:shd w:val="clear" w:color="auto" w:fill="FFFFFF"/>
        </w:rPr>
        <w:t> wp05_06, CHILD - Centre for Household, Income, Labour and Demographic economics - ITALY.</w:t>
      </w:r>
      <w:proofErr w:type="gramEnd"/>
      <w:r w:rsidRPr="00FC7859">
        <w:rPr>
          <w:shd w:val="clear" w:color="auto" w:fill="FFFFFF"/>
        </w:rPr>
        <w:t xml:space="preserve"> </w:t>
      </w:r>
      <w:r>
        <w:rPr>
          <w:shd w:val="clear" w:color="auto" w:fill="FFFFFF"/>
        </w:rPr>
        <w:t>Available at:</w:t>
      </w:r>
      <w:r w:rsidRPr="00FC7859">
        <w:rPr>
          <w:shd w:val="clear" w:color="auto" w:fill="FFFFFF"/>
        </w:rPr>
        <w:t xml:space="preserve"> </w:t>
      </w:r>
      <w:hyperlink r:id="rId10" w:history="1">
        <w:r w:rsidRPr="00FC7859">
          <w:rPr>
            <w:rStyle w:val="Hyperlink"/>
            <w:rFonts w:eastAsiaTheme="minorEastAsia"/>
          </w:rPr>
          <w:t>https://ideas.repec.org/p/wpc/wplist/wp05_06.html</w:t>
        </w:r>
      </w:hyperlink>
      <w:r>
        <w:t xml:space="preserve"> [Accessed 18 Aug. 2019]</w:t>
      </w:r>
      <w:r w:rsidRPr="00FC7859">
        <w:t>.</w:t>
      </w:r>
    </w:p>
    <w:p w:rsidR="003A0F00" w:rsidRPr="00AA2949" w:rsidRDefault="00157981" w:rsidP="00F979B4">
      <w:pPr>
        <w:pStyle w:val="References"/>
        <w:spacing w:before="0" w:line="240" w:lineRule="auto"/>
        <w:ind w:left="709" w:hanging="709"/>
      </w:pPr>
      <w:proofErr w:type="gramStart"/>
      <w:r w:rsidRPr="00AA2949">
        <w:t>Douglas</w:t>
      </w:r>
      <w:r w:rsidR="003A0F00" w:rsidRPr="00AA2949">
        <w:t>, K.M.</w:t>
      </w:r>
      <w:r w:rsidRPr="00AA2949">
        <w:t xml:space="preserve"> </w:t>
      </w:r>
      <w:r w:rsidR="0000404E" w:rsidRPr="00AA2949">
        <w:t>and</w:t>
      </w:r>
      <w:r w:rsidRPr="00AA2949">
        <w:t xml:space="preserve"> </w:t>
      </w:r>
      <w:proofErr w:type="spellStart"/>
      <w:r w:rsidRPr="00AA2949">
        <w:t>Jaquith</w:t>
      </w:r>
      <w:proofErr w:type="spellEnd"/>
      <w:r w:rsidRPr="00AA2949">
        <w:t>,</w:t>
      </w:r>
      <w:r w:rsidR="003A0F00" w:rsidRPr="00AA2949">
        <w:t xml:space="preserve"> D.B.</w:t>
      </w:r>
      <w:r w:rsidRPr="00AA2949">
        <w:t xml:space="preserve"> </w:t>
      </w:r>
      <w:r w:rsidR="003A0F00" w:rsidRPr="00AA2949">
        <w:t>(</w:t>
      </w:r>
      <w:r w:rsidRPr="00AA2949">
        <w:t>2009</w:t>
      </w:r>
      <w:r w:rsidR="003A0F00" w:rsidRPr="00AA2949">
        <w:t>).</w:t>
      </w:r>
      <w:proofErr w:type="gramEnd"/>
      <w:r w:rsidR="003A0F00" w:rsidRPr="00AA2949">
        <w:t xml:space="preserve"> </w:t>
      </w:r>
      <w:r w:rsidR="003A0F00" w:rsidRPr="00AA2949">
        <w:rPr>
          <w:rStyle w:val="a-size-large"/>
          <w:i/>
        </w:rPr>
        <w:t xml:space="preserve">Engaging </w:t>
      </w:r>
      <w:r w:rsidR="002B7168" w:rsidRPr="00AA2949">
        <w:rPr>
          <w:rStyle w:val="a-size-large"/>
          <w:i/>
        </w:rPr>
        <w:t>learners through artmaking</w:t>
      </w:r>
      <w:r w:rsidR="003A0F00" w:rsidRPr="00AA2949">
        <w:rPr>
          <w:rStyle w:val="a-size-large"/>
          <w:i/>
        </w:rPr>
        <w:t xml:space="preserve">: Choice-based </w:t>
      </w:r>
      <w:r w:rsidR="002B7168" w:rsidRPr="00AA2949">
        <w:rPr>
          <w:rStyle w:val="a-size-large"/>
          <w:i/>
        </w:rPr>
        <w:t>art education in the classroom</w:t>
      </w:r>
      <w:r w:rsidR="003A0F00" w:rsidRPr="00AA2949">
        <w:rPr>
          <w:rStyle w:val="a-size-large"/>
          <w:i/>
        </w:rPr>
        <w:t>.</w:t>
      </w:r>
      <w:r w:rsidR="003A0F00" w:rsidRPr="00AA2949">
        <w:rPr>
          <w:rStyle w:val="a-size-large"/>
        </w:rPr>
        <w:t xml:space="preserve"> New York: Teachers College Press.</w:t>
      </w:r>
    </w:p>
    <w:p w:rsidR="004F7068" w:rsidRPr="00AA2949" w:rsidRDefault="004F7068" w:rsidP="00F979B4">
      <w:pPr>
        <w:spacing w:after="0" w:line="240" w:lineRule="auto"/>
        <w:ind w:left="709" w:hanging="709"/>
        <w:textAlignment w:val="baseline"/>
        <w:rPr>
          <w:rStyle w:val="normaltextrun"/>
          <w:rFonts w:ascii="Times New Roman" w:hAnsi="Times New Roman" w:cs="Times New Roman"/>
          <w:sz w:val="24"/>
          <w:szCs w:val="24"/>
        </w:rPr>
      </w:pPr>
      <w:r w:rsidRPr="00AA2949">
        <w:rPr>
          <w:rStyle w:val="normaltextrun"/>
          <w:rFonts w:ascii="Times New Roman" w:hAnsi="Times New Roman" w:cs="Times New Roman"/>
          <w:sz w:val="24"/>
          <w:szCs w:val="24"/>
        </w:rPr>
        <w:t xml:space="preserve">Fattore, T., Mason, J. </w:t>
      </w:r>
      <w:r w:rsidR="0000404E" w:rsidRPr="00AA2949">
        <w:rPr>
          <w:rStyle w:val="normaltextrun"/>
          <w:rFonts w:ascii="Times New Roman" w:hAnsi="Times New Roman" w:cs="Times New Roman"/>
          <w:sz w:val="24"/>
          <w:szCs w:val="24"/>
        </w:rPr>
        <w:t>and</w:t>
      </w:r>
      <w:r w:rsidRPr="00AA2949">
        <w:rPr>
          <w:rStyle w:val="normaltextrun"/>
          <w:rFonts w:ascii="Times New Roman" w:hAnsi="Times New Roman" w:cs="Times New Roman"/>
          <w:sz w:val="24"/>
          <w:szCs w:val="24"/>
        </w:rPr>
        <w:t xml:space="preserve"> Watson, E. (2007). Children’s conceptualisation(s) of their well-being. </w:t>
      </w:r>
      <w:r w:rsidRPr="00AA2949">
        <w:rPr>
          <w:rStyle w:val="normaltextrun"/>
          <w:rFonts w:ascii="Times New Roman" w:hAnsi="Times New Roman" w:cs="Times New Roman"/>
          <w:i/>
          <w:sz w:val="24"/>
          <w:szCs w:val="24"/>
        </w:rPr>
        <w:t>Social Indicators Research</w:t>
      </w:r>
      <w:r w:rsidRPr="00AA2949">
        <w:rPr>
          <w:rStyle w:val="normaltextrun"/>
          <w:rFonts w:ascii="Times New Roman" w:hAnsi="Times New Roman" w:cs="Times New Roman"/>
          <w:sz w:val="24"/>
          <w:szCs w:val="24"/>
        </w:rPr>
        <w:t xml:space="preserve">, 80(1), </w:t>
      </w:r>
      <w:r w:rsidR="002B7168" w:rsidRPr="00AA2949">
        <w:rPr>
          <w:rStyle w:val="normaltextrun"/>
          <w:rFonts w:ascii="Times New Roman" w:hAnsi="Times New Roman" w:cs="Times New Roman"/>
          <w:sz w:val="24"/>
          <w:szCs w:val="24"/>
        </w:rPr>
        <w:t xml:space="preserve">pp. </w:t>
      </w:r>
      <w:r w:rsidRPr="00AA2949">
        <w:rPr>
          <w:rStyle w:val="normaltextrun"/>
          <w:rFonts w:ascii="Times New Roman" w:hAnsi="Times New Roman" w:cs="Times New Roman"/>
          <w:sz w:val="24"/>
          <w:szCs w:val="24"/>
        </w:rPr>
        <w:t>5</w:t>
      </w:r>
      <w:r w:rsidR="002B7168" w:rsidRPr="00AA2949">
        <w:rPr>
          <w:rStyle w:val="normaltextrun"/>
          <w:rFonts w:ascii="Times New Roman" w:hAnsi="Times New Roman" w:cs="Times New Roman"/>
          <w:sz w:val="24"/>
          <w:szCs w:val="24"/>
        </w:rPr>
        <w:t>–</w:t>
      </w:r>
      <w:r w:rsidRPr="00AA2949">
        <w:rPr>
          <w:rStyle w:val="normaltextrun"/>
          <w:rFonts w:ascii="Times New Roman" w:hAnsi="Times New Roman" w:cs="Times New Roman"/>
          <w:sz w:val="24"/>
          <w:szCs w:val="24"/>
        </w:rPr>
        <w:t>29.</w:t>
      </w:r>
    </w:p>
    <w:p w:rsidR="00B21575" w:rsidRPr="00AA2949" w:rsidRDefault="003A0F00" w:rsidP="00F979B4">
      <w:pPr>
        <w:pStyle w:val="References"/>
        <w:spacing w:before="0" w:line="240" w:lineRule="auto"/>
        <w:ind w:left="709" w:hanging="709"/>
        <w:rPr>
          <w:shd w:val="clear" w:color="auto" w:fill="FFFFFF"/>
        </w:rPr>
      </w:pPr>
      <w:r w:rsidRPr="00AA2949">
        <w:t>Frumkin, H., Bratman,</w:t>
      </w:r>
      <w:r w:rsidR="002B7168" w:rsidRPr="00AA2949">
        <w:t xml:space="preserve"> </w:t>
      </w:r>
      <w:r w:rsidRPr="00AA2949">
        <w:t>G.N., Breslow, S.J., Cochran, B., Kahn Jr, P.H., Lawler, J.J.</w:t>
      </w:r>
      <w:r w:rsidR="002B7168" w:rsidRPr="00AA2949">
        <w:t>,</w:t>
      </w:r>
      <w:r w:rsidRPr="00AA2949">
        <w:t xml:space="preserve"> Levin, P.S., Tandon, P.S., Varanasi, U., Wolf, K.L. </w:t>
      </w:r>
      <w:r w:rsidR="0000404E" w:rsidRPr="00AA2949">
        <w:t>and</w:t>
      </w:r>
      <w:r w:rsidRPr="00AA2949">
        <w:t xml:space="preserve"> Wood, S.A. (2017). Nature </w:t>
      </w:r>
      <w:r w:rsidR="002B7168" w:rsidRPr="00AA2949">
        <w:t>contact and human health</w:t>
      </w:r>
      <w:r w:rsidRPr="00AA2949">
        <w:t xml:space="preserve">: A </w:t>
      </w:r>
      <w:r w:rsidR="002B7168" w:rsidRPr="00AA2949">
        <w:t>research agenda</w:t>
      </w:r>
      <w:r w:rsidRPr="00AA2949">
        <w:t xml:space="preserve">. </w:t>
      </w:r>
      <w:r w:rsidRPr="00AA2949">
        <w:rPr>
          <w:i/>
        </w:rPr>
        <w:t>Environmental Health Perspectives</w:t>
      </w:r>
      <w:r w:rsidRPr="00AA2949">
        <w:t>, 125(7)</w:t>
      </w:r>
      <w:r w:rsidR="002B7168" w:rsidRPr="00AA2949">
        <w:t>.</w:t>
      </w:r>
      <w:r w:rsidRPr="00AA2949">
        <w:t xml:space="preserve"> </w:t>
      </w:r>
      <w:r w:rsidR="002B7168" w:rsidRPr="00AA2949">
        <w:rPr>
          <w:color w:val="000000"/>
          <w:shd w:val="clear" w:color="auto" w:fill="FFFFFF"/>
        </w:rPr>
        <w:t>doi:10.1289/EHP1663.</w:t>
      </w:r>
    </w:p>
    <w:p w:rsidR="00B40681" w:rsidRPr="00AA2949" w:rsidRDefault="00B40681" w:rsidP="00F979B4">
      <w:pPr>
        <w:spacing w:after="0" w:line="240" w:lineRule="auto"/>
        <w:ind w:left="709" w:hanging="709"/>
        <w:textAlignment w:val="baseline"/>
        <w:rPr>
          <w:rFonts w:ascii="Times New Roman" w:hAnsi="Times New Roman" w:cs="Times New Roman"/>
          <w:sz w:val="24"/>
          <w:szCs w:val="24"/>
        </w:rPr>
      </w:pPr>
      <w:r w:rsidRPr="00AA2949">
        <w:rPr>
          <w:rFonts w:ascii="Times New Roman" w:hAnsi="Times New Roman" w:cs="Times New Roman"/>
          <w:sz w:val="24"/>
          <w:szCs w:val="24"/>
        </w:rPr>
        <w:t xml:space="preserve">Fettes, M. </w:t>
      </w:r>
      <w:r w:rsidR="0000404E" w:rsidRPr="00AA2949">
        <w:rPr>
          <w:rFonts w:ascii="Times New Roman" w:hAnsi="Times New Roman" w:cs="Times New Roman"/>
          <w:sz w:val="24"/>
          <w:szCs w:val="24"/>
        </w:rPr>
        <w:t>and</w:t>
      </w:r>
      <w:r w:rsidRPr="00AA2949">
        <w:rPr>
          <w:rFonts w:ascii="Times New Roman" w:hAnsi="Times New Roman" w:cs="Times New Roman"/>
          <w:sz w:val="24"/>
          <w:szCs w:val="24"/>
        </w:rPr>
        <w:t xml:space="preserve"> Judson, G. (2010). Imagination and the cognitive tools of place-making. </w:t>
      </w:r>
      <w:r w:rsidRPr="00AA2949">
        <w:rPr>
          <w:rFonts w:ascii="Times New Roman" w:hAnsi="Times New Roman" w:cs="Times New Roman"/>
          <w:i/>
          <w:iCs/>
          <w:sz w:val="24"/>
          <w:szCs w:val="24"/>
        </w:rPr>
        <w:t>Journal of Environmental Education</w:t>
      </w:r>
      <w:r w:rsidRPr="00AA2949">
        <w:rPr>
          <w:rFonts w:ascii="Times New Roman" w:hAnsi="Times New Roman" w:cs="Times New Roman"/>
          <w:iCs/>
          <w:sz w:val="24"/>
          <w:szCs w:val="24"/>
        </w:rPr>
        <w:t>, 42</w:t>
      </w:r>
      <w:r w:rsidRPr="00AA2949">
        <w:rPr>
          <w:rFonts w:ascii="Times New Roman" w:hAnsi="Times New Roman" w:cs="Times New Roman"/>
          <w:sz w:val="24"/>
          <w:szCs w:val="24"/>
        </w:rPr>
        <w:t xml:space="preserve">(2), </w:t>
      </w:r>
      <w:r w:rsidR="002B7168" w:rsidRPr="00AA2949">
        <w:rPr>
          <w:rFonts w:ascii="Times New Roman" w:hAnsi="Times New Roman" w:cs="Times New Roman"/>
          <w:sz w:val="24"/>
          <w:szCs w:val="24"/>
        </w:rPr>
        <w:t xml:space="preserve">pp. </w:t>
      </w:r>
      <w:r w:rsidRPr="00AA2949">
        <w:rPr>
          <w:rFonts w:ascii="Times New Roman" w:hAnsi="Times New Roman" w:cs="Times New Roman"/>
          <w:sz w:val="24"/>
          <w:szCs w:val="24"/>
        </w:rPr>
        <w:t>123–135.</w:t>
      </w:r>
    </w:p>
    <w:p w:rsidR="004F7068" w:rsidRPr="00AA2949" w:rsidRDefault="004F7068" w:rsidP="00F979B4">
      <w:pPr>
        <w:pStyle w:val="References"/>
        <w:spacing w:before="0" w:line="240" w:lineRule="auto"/>
        <w:ind w:left="709" w:hanging="709"/>
        <w:contextualSpacing w:val="0"/>
      </w:pPr>
      <w:r w:rsidRPr="00AA2949">
        <w:t xml:space="preserve">Gannon, S. (2017). Saving squawk? Animal and human entanglement at the edge of the lagoon. </w:t>
      </w:r>
      <w:r w:rsidRPr="00AA2949">
        <w:rPr>
          <w:i/>
        </w:rPr>
        <w:t>Environmental Education Research</w:t>
      </w:r>
      <w:r w:rsidRPr="00AA2949">
        <w:t xml:space="preserve">, 23(1), </w:t>
      </w:r>
      <w:r w:rsidR="002B7168" w:rsidRPr="00AA2949">
        <w:t xml:space="preserve">pp. </w:t>
      </w:r>
      <w:r w:rsidRPr="00AA2949">
        <w:t xml:space="preserve">91–110. </w:t>
      </w:r>
    </w:p>
    <w:p w:rsidR="00157981" w:rsidRPr="00AA2949" w:rsidRDefault="00157981" w:rsidP="00F979B4">
      <w:pPr>
        <w:pStyle w:val="References"/>
        <w:spacing w:before="0" w:line="240" w:lineRule="auto"/>
        <w:ind w:left="709" w:hanging="709"/>
      </w:pPr>
      <w:r w:rsidRPr="00AA2949">
        <w:t>Green</w:t>
      </w:r>
      <w:r w:rsidR="003B2522" w:rsidRPr="00AA2949">
        <w:t>, A.E.</w:t>
      </w:r>
      <w:r w:rsidRPr="00AA2949">
        <w:t xml:space="preserve"> </w:t>
      </w:r>
      <w:r w:rsidR="0000404E" w:rsidRPr="00AA2949">
        <w:t>and</w:t>
      </w:r>
      <w:r w:rsidRPr="00AA2949">
        <w:t xml:space="preserve"> White,</w:t>
      </w:r>
      <w:r w:rsidR="003B2522" w:rsidRPr="00AA2949">
        <w:t xml:space="preserve"> R.J.</w:t>
      </w:r>
      <w:r w:rsidRPr="00AA2949">
        <w:t xml:space="preserve"> </w:t>
      </w:r>
      <w:r w:rsidR="003B2522" w:rsidRPr="00AA2949">
        <w:t>(</w:t>
      </w:r>
      <w:r w:rsidRPr="00AA2949">
        <w:t>2007).</w:t>
      </w:r>
      <w:r w:rsidR="003B2522" w:rsidRPr="00AA2949">
        <w:t xml:space="preserve"> </w:t>
      </w:r>
      <w:r w:rsidR="003B2522" w:rsidRPr="00AA2949">
        <w:rPr>
          <w:i/>
        </w:rPr>
        <w:t>Attachment to place</w:t>
      </w:r>
      <w:r w:rsidR="002B7168" w:rsidRPr="00AA2949">
        <w:rPr>
          <w:i/>
        </w:rPr>
        <w:t>:</w:t>
      </w:r>
      <w:r w:rsidR="003B2522" w:rsidRPr="00AA2949">
        <w:rPr>
          <w:i/>
        </w:rPr>
        <w:t xml:space="preserve"> Social networks, mobility and prospects of young people.</w:t>
      </w:r>
      <w:r w:rsidR="003B2522" w:rsidRPr="00AA2949">
        <w:t xml:space="preserve"> Warwick</w:t>
      </w:r>
      <w:r w:rsidR="002B7168" w:rsidRPr="00AA2949">
        <w:t>, UK</w:t>
      </w:r>
      <w:r w:rsidR="003B2522" w:rsidRPr="00AA2949">
        <w:t>: Joseph Rowntree Foundation.</w:t>
      </w:r>
      <w:r w:rsidR="00F979B4" w:rsidRPr="00AA2949">
        <w:t xml:space="preserve"> </w:t>
      </w:r>
    </w:p>
    <w:p w:rsidR="004F7068" w:rsidRPr="00AA2949" w:rsidRDefault="004F7068" w:rsidP="00F979B4">
      <w:pPr>
        <w:pStyle w:val="References"/>
        <w:spacing w:before="0" w:line="240" w:lineRule="auto"/>
        <w:ind w:left="709" w:hanging="709"/>
        <w:contextualSpacing w:val="0"/>
      </w:pPr>
      <w:r w:rsidRPr="00AA2949">
        <w:t xml:space="preserve">Hanushek, E.A., Jamison, D.T., Jamison, E.A. </w:t>
      </w:r>
      <w:r w:rsidR="0000404E" w:rsidRPr="00AA2949">
        <w:t>and</w:t>
      </w:r>
      <w:r w:rsidRPr="00AA2949">
        <w:t xml:space="preserve"> Woessmann, L. (2008). Education and economic growth: It’s not just going to school, but learning something while there that matters. </w:t>
      </w:r>
      <w:r w:rsidRPr="00AA2949">
        <w:rPr>
          <w:i/>
        </w:rPr>
        <w:t>EdNext</w:t>
      </w:r>
      <w:r w:rsidRPr="00AA2949">
        <w:t xml:space="preserve">, 8, </w:t>
      </w:r>
      <w:r w:rsidR="002B7168" w:rsidRPr="00AA2949">
        <w:t xml:space="preserve">pp. </w:t>
      </w:r>
      <w:r w:rsidRPr="00AA2949">
        <w:t xml:space="preserve">62–70. </w:t>
      </w:r>
    </w:p>
    <w:p w:rsidR="002D7B82" w:rsidRPr="00AA2949" w:rsidRDefault="002D7B82" w:rsidP="00F979B4">
      <w:pPr>
        <w:spacing w:after="0" w:line="240" w:lineRule="auto"/>
        <w:ind w:left="709" w:hanging="709"/>
        <w:textAlignment w:val="baseline"/>
        <w:rPr>
          <w:rFonts w:ascii="Times New Roman" w:hAnsi="Times New Roman" w:cs="Times New Roman"/>
          <w:sz w:val="24"/>
          <w:szCs w:val="24"/>
        </w:rPr>
      </w:pPr>
      <w:r w:rsidRPr="00AA2949">
        <w:rPr>
          <w:rFonts w:ascii="Times New Roman" w:hAnsi="Times New Roman" w:cs="Times New Roman"/>
          <w:sz w:val="24"/>
          <w:szCs w:val="24"/>
        </w:rPr>
        <w:t xml:space="preserve">Haraway, D. (2015). Anthropocene, capitalocene, plantationocene, chthulucene: Making kin. </w:t>
      </w:r>
      <w:r w:rsidRPr="00AA2949">
        <w:rPr>
          <w:rFonts w:ascii="Times New Roman" w:hAnsi="Times New Roman" w:cs="Times New Roman"/>
          <w:i/>
          <w:iCs/>
          <w:sz w:val="24"/>
          <w:szCs w:val="24"/>
        </w:rPr>
        <w:t>Environmental Humanities</w:t>
      </w:r>
      <w:r w:rsidRPr="00AA2949">
        <w:rPr>
          <w:rFonts w:ascii="Times New Roman" w:hAnsi="Times New Roman" w:cs="Times New Roman"/>
          <w:iCs/>
          <w:sz w:val="24"/>
          <w:szCs w:val="24"/>
        </w:rPr>
        <w:t>, 6</w:t>
      </w:r>
      <w:r w:rsidRPr="00AA2949">
        <w:rPr>
          <w:rFonts w:ascii="Times New Roman" w:hAnsi="Times New Roman" w:cs="Times New Roman"/>
          <w:sz w:val="24"/>
          <w:szCs w:val="24"/>
        </w:rPr>
        <w:t xml:space="preserve">, </w:t>
      </w:r>
      <w:r w:rsidR="002B7168" w:rsidRPr="00AA2949">
        <w:rPr>
          <w:rFonts w:ascii="Times New Roman" w:hAnsi="Times New Roman" w:cs="Times New Roman"/>
          <w:sz w:val="24"/>
          <w:szCs w:val="24"/>
        </w:rPr>
        <w:t xml:space="preserve">pp. </w:t>
      </w:r>
      <w:r w:rsidRPr="00AA2949">
        <w:rPr>
          <w:rFonts w:ascii="Times New Roman" w:hAnsi="Times New Roman" w:cs="Times New Roman"/>
          <w:sz w:val="24"/>
          <w:szCs w:val="24"/>
        </w:rPr>
        <w:t>159–165.</w:t>
      </w:r>
    </w:p>
    <w:p w:rsidR="004F7068" w:rsidRPr="00AA2949" w:rsidRDefault="004F7068" w:rsidP="00F979B4">
      <w:pPr>
        <w:spacing w:after="0" w:line="240" w:lineRule="auto"/>
        <w:ind w:left="709" w:hanging="709"/>
        <w:textAlignment w:val="baseline"/>
        <w:rPr>
          <w:rFonts w:ascii="Times New Roman" w:hAnsi="Times New Roman" w:cs="Times New Roman"/>
          <w:color w:val="000000" w:themeColor="text1"/>
          <w:sz w:val="24"/>
          <w:szCs w:val="24"/>
          <w:shd w:val="clear" w:color="auto" w:fill="FFFFFF"/>
        </w:rPr>
      </w:pPr>
      <w:r w:rsidRPr="00AA2949">
        <w:rPr>
          <w:rFonts w:ascii="Times New Roman" w:hAnsi="Times New Roman" w:cs="Times New Roman"/>
          <w:color w:val="000000" w:themeColor="text1"/>
          <w:sz w:val="24"/>
          <w:szCs w:val="24"/>
          <w:shd w:val="clear" w:color="auto" w:fill="FFFFFF"/>
        </w:rPr>
        <w:t xml:space="preserve">Hojman., D.A. </w:t>
      </w:r>
      <w:r w:rsidR="0000404E" w:rsidRPr="00AA2949">
        <w:rPr>
          <w:rFonts w:ascii="Times New Roman" w:hAnsi="Times New Roman" w:cs="Times New Roman"/>
          <w:color w:val="000000" w:themeColor="text1"/>
          <w:sz w:val="24"/>
          <w:szCs w:val="24"/>
          <w:shd w:val="clear" w:color="auto" w:fill="FFFFFF"/>
        </w:rPr>
        <w:t>and</w:t>
      </w:r>
      <w:r w:rsidRPr="00AA2949">
        <w:rPr>
          <w:rFonts w:ascii="Times New Roman" w:hAnsi="Times New Roman" w:cs="Times New Roman"/>
          <w:color w:val="000000" w:themeColor="text1"/>
          <w:sz w:val="24"/>
          <w:szCs w:val="24"/>
          <w:shd w:val="clear" w:color="auto" w:fill="FFFFFF"/>
        </w:rPr>
        <w:t xml:space="preserve"> Miranda, A. (2018). Agency, </w:t>
      </w:r>
      <w:r w:rsidR="002B7168" w:rsidRPr="00AA2949">
        <w:rPr>
          <w:rFonts w:ascii="Times New Roman" w:hAnsi="Times New Roman" w:cs="Times New Roman"/>
          <w:color w:val="000000" w:themeColor="text1"/>
          <w:sz w:val="24"/>
          <w:szCs w:val="24"/>
          <w:shd w:val="clear" w:color="auto" w:fill="FFFFFF"/>
        </w:rPr>
        <w:t xml:space="preserve">human dignity and subjective well-being. </w:t>
      </w:r>
      <w:r w:rsidRPr="00AA2949">
        <w:rPr>
          <w:rFonts w:ascii="Times New Roman" w:hAnsi="Times New Roman" w:cs="Times New Roman"/>
          <w:i/>
          <w:color w:val="000000" w:themeColor="text1"/>
          <w:sz w:val="24"/>
          <w:szCs w:val="24"/>
          <w:shd w:val="clear" w:color="auto" w:fill="FFFFFF"/>
        </w:rPr>
        <w:t>World Development</w:t>
      </w:r>
      <w:r w:rsidRPr="00AA2949">
        <w:rPr>
          <w:rFonts w:ascii="Times New Roman" w:hAnsi="Times New Roman" w:cs="Times New Roman"/>
          <w:color w:val="000000" w:themeColor="text1"/>
          <w:sz w:val="24"/>
          <w:szCs w:val="24"/>
          <w:shd w:val="clear" w:color="auto" w:fill="FFFFFF"/>
        </w:rPr>
        <w:t xml:space="preserve">, 101, </w:t>
      </w:r>
      <w:r w:rsidR="002B7168" w:rsidRPr="00AA2949">
        <w:rPr>
          <w:rFonts w:ascii="Times New Roman" w:hAnsi="Times New Roman" w:cs="Times New Roman"/>
          <w:color w:val="000000" w:themeColor="text1"/>
          <w:sz w:val="24"/>
          <w:szCs w:val="24"/>
          <w:shd w:val="clear" w:color="auto" w:fill="FFFFFF"/>
        </w:rPr>
        <w:t xml:space="preserve">pp. </w:t>
      </w:r>
      <w:r w:rsidRPr="00AA2949">
        <w:rPr>
          <w:rFonts w:ascii="Times New Roman" w:hAnsi="Times New Roman" w:cs="Times New Roman"/>
          <w:color w:val="000000" w:themeColor="text1"/>
          <w:sz w:val="24"/>
          <w:szCs w:val="24"/>
          <w:shd w:val="clear" w:color="auto" w:fill="FFFFFF"/>
        </w:rPr>
        <w:t>1</w:t>
      </w:r>
      <w:r w:rsidR="002B7168" w:rsidRPr="00AA2949">
        <w:rPr>
          <w:rFonts w:ascii="Times New Roman" w:hAnsi="Times New Roman" w:cs="Times New Roman"/>
          <w:color w:val="000000" w:themeColor="text1"/>
          <w:sz w:val="24"/>
          <w:szCs w:val="24"/>
          <w:shd w:val="clear" w:color="auto" w:fill="FFFFFF"/>
        </w:rPr>
        <w:t>–</w:t>
      </w:r>
      <w:r w:rsidRPr="00AA2949">
        <w:rPr>
          <w:rFonts w:ascii="Times New Roman" w:hAnsi="Times New Roman" w:cs="Times New Roman"/>
          <w:color w:val="000000" w:themeColor="text1"/>
          <w:sz w:val="24"/>
          <w:szCs w:val="24"/>
          <w:shd w:val="clear" w:color="auto" w:fill="FFFFFF"/>
        </w:rPr>
        <w:t>15.</w:t>
      </w:r>
    </w:p>
    <w:p w:rsidR="004F7068" w:rsidRPr="00AA2949" w:rsidRDefault="004F7068" w:rsidP="00F979B4">
      <w:pPr>
        <w:pStyle w:val="References"/>
        <w:spacing w:before="0" w:line="240" w:lineRule="auto"/>
        <w:ind w:left="709" w:hanging="709"/>
        <w:contextualSpacing w:val="0"/>
      </w:pPr>
      <w:r w:rsidRPr="00AA2949">
        <w:t>House of Commons Committee of Public Accounts (2018)</w:t>
      </w:r>
      <w:r w:rsidR="002B7168" w:rsidRPr="00AA2949">
        <w:t>.</w:t>
      </w:r>
      <w:r w:rsidRPr="00AA2949">
        <w:t xml:space="preserve"> </w:t>
      </w:r>
      <w:r w:rsidRPr="00AA2949">
        <w:rPr>
          <w:i/>
        </w:rPr>
        <w:t>Delivering STEM skills for the economy</w:t>
      </w:r>
      <w:r w:rsidR="002B7168" w:rsidRPr="00AA2949">
        <w:rPr>
          <w:i/>
        </w:rPr>
        <w:t>:</w:t>
      </w:r>
      <w:r w:rsidRPr="00AA2949">
        <w:rPr>
          <w:i/>
        </w:rPr>
        <w:t xml:space="preserve"> Forty-seventh report of session 2017</w:t>
      </w:r>
      <w:r w:rsidR="002B7168" w:rsidRPr="00AA2949">
        <w:rPr>
          <w:i/>
        </w:rPr>
        <w:t>–</w:t>
      </w:r>
      <w:r w:rsidRPr="00AA2949">
        <w:rPr>
          <w:i/>
        </w:rPr>
        <w:t>2019</w:t>
      </w:r>
      <w:r w:rsidRPr="00AA2949">
        <w:t xml:space="preserve">. </w:t>
      </w:r>
      <w:r w:rsidR="002B7168" w:rsidRPr="00AA2949">
        <w:t>London: House of Commons. Available at</w:t>
      </w:r>
      <w:r w:rsidRPr="00AA2949">
        <w:t xml:space="preserve">: </w:t>
      </w:r>
      <w:r w:rsidRPr="00AA2949">
        <w:rPr>
          <w:rFonts w:eastAsiaTheme="minorEastAsia"/>
        </w:rPr>
        <w:t>https://publications.parliament.uk/pa/cm201719/cmselect/cmpubacc/691/691.pdf</w:t>
      </w:r>
      <w:r w:rsidR="002B7168" w:rsidRPr="00AA2949">
        <w:rPr>
          <w:rFonts w:eastAsiaTheme="minorEastAsia"/>
        </w:rPr>
        <w:t xml:space="preserve"> [Accessed 18 Aug. 2019].</w:t>
      </w:r>
    </w:p>
    <w:p w:rsidR="00157981" w:rsidRPr="00AA2949" w:rsidRDefault="00157981" w:rsidP="00F979B4">
      <w:pPr>
        <w:pStyle w:val="References"/>
        <w:spacing w:before="0" w:line="240" w:lineRule="auto"/>
        <w:ind w:left="709" w:hanging="709"/>
        <w:rPr>
          <w:rFonts w:eastAsiaTheme="minorHAnsi"/>
        </w:rPr>
      </w:pPr>
      <w:r w:rsidRPr="00AA2949">
        <w:lastRenderedPageBreak/>
        <w:t>Irvine</w:t>
      </w:r>
      <w:r w:rsidR="003B2522" w:rsidRPr="00AA2949">
        <w:t xml:space="preserve">, R.D.G, Lee, E., Strubel, R. </w:t>
      </w:r>
      <w:r w:rsidR="0000404E" w:rsidRPr="00AA2949">
        <w:t>and</w:t>
      </w:r>
      <w:r w:rsidR="003B2522" w:rsidRPr="00AA2949">
        <w:t xml:space="preserve"> Bodenhorn, B.</w:t>
      </w:r>
      <w:r w:rsidRPr="00AA2949">
        <w:t xml:space="preserve"> </w:t>
      </w:r>
      <w:r w:rsidR="003B2522" w:rsidRPr="00AA2949">
        <w:t>(</w:t>
      </w:r>
      <w:r w:rsidRPr="00AA2949">
        <w:t>2016</w:t>
      </w:r>
      <w:r w:rsidR="003B2522" w:rsidRPr="00AA2949">
        <w:t xml:space="preserve">). </w:t>
      </w:r>
      <w:r w:rsidR="003B2522" w:rsidRPr="00AA2949">
        <w:rPr>
          <w:rFonts w:eastAsiaTheme="minorHAnsi"/>
        </w:rPr>
        <w:t xml:space="preserve">Exclusion and reappropriation: Experiences of contemporary enclosure among children in three East Anglian schools. </w:t>
      </w:r>
      <w:r w:rsidR="003B2522" w:rsidRPr="00AA2949">
        <w:rPr>
          <w:rFonts w:eastAsiaTheme="minorHAnsi"/>
          <w:i/>
        </w:rPr>
        <w:t>Environment and Planning D: Society and Space</w:t>
      </w:r>
      <w:r w:rsidR="003B2522" w:rsidRPr="00AA2949">
        <w:rPr>
          <w:rFonts w:eastAsiaTheme="minorHAnsi"/>
        </w:rPr>
        <w:t xml:space="preserve">, 34(5), </w:t>
      </w:r>
      <w:r w:rsidR="002B7168" w:rsidRPr="00AA2949">
        <w:rPr>
          <w:rFonts w:eastAsiaTheme="minorHAnsi"/>
        </w:rPr>
        <w:t xml:space="preserve">pp. </w:t>
      </w:r>
      <w:r w:rsidR="003B2522" w:rsidRPr="00AA2949">
        <w:rPr>
          <w:rFonts w:eastAsiaTheme="minorHAnsi"/>
        </w:rPr>
        <w:t>935–953.</w:t>
      </w:r>
    </w:p>
    <w:p w:rsidR="00157981" w:rsidRPr="00AA2949" w:rsidRDefault="00157981" w:rsidP="00F979B4">
      <w:pPr>
        <w:pStyle w:val="References"/>
        <w:spacing w:before="0" w:line="240" w:lineRule="auto"/>
        <w:ind w:left="709" w:hanging="709"/>
      </w:pPr>
      <w:r w:rsidRPr="00AA2949">
        <w:t>Karkou</w:t>
      </w:r>
      <w:r w:rsidR="000F4763" w:rsidRPr="00AA2949">
        <w:t>, V.</w:t>
      </w:r>
      <w:r w:rsidRPr="00AA2949">
        <w:t xml:space="preserve"> </w:t>
      </w:r>
      <w:r w:rsidR="0000404E" w:rsidRPr="00AA2949">
        <w:t>and</w:t>
      </w:r>
      <w:r w:rsidRPr="00AA2949">
        <w:t xml:space="preserve"> Glasman,</w:t>
      </w:r>
      <w:r w:rsidR="000F4763" w:rsidRPr="00AA2949">
        <w:t xml:space="preserve"> J.</w:t>
      </w:r>
      <w:r w:rsidRPr="00AA2949">
        <w:t xml:space="preserve"> </w:t>
      </w:r>
      <w:r w:rsidR="000F4763" w:rsidRPr="00AA2949">
        <w:t>(</w:t>
      </w:r>
      <w:r w:rsidRPr="00AA2949">
        <w:t>2004</w:t>
      </w:r>
      <w:r w:rsidR="000F4763" w:rsidRPr="00AA2949">
        <w:t xml:space="preserve">) </w:t>
      </w:r>
      <w:r w:rsidR="000F4763" w:rsidRPr="00AA2949">
        <w:rPr>
          <w:rFonts w:eastAsiaTheme="minorHAnsi"/>
        </w:rPr>
        <w:t xml:space="preserve">Arts, education and society: </w:t>
      </w:r>
      <w:r w:rsidR="002B7168" w:rsidRPr="00AA2949">
        <w:rPr>
          <w:rFonts w:eastAsiaTheme="minorHAnsi"/>
        </w:rPr>
        <w:t>T</w:t>
      </w:r>
      <w:r w:rsidR="000F4763" w:rsidRPr="00AA2949">
        <w:rPr>
          <w:rFonts w:eastAsiaTheme="minorHAnsi"/>
        </w:rPr>
        <w:t xml:space="preserve">he role of the arts in promoting the emotional wellbeing and social inclusion of young people. </w:t>
      </w:r>
      <w:r w:rsidR="000F4763" w:rsidRPr="00AA2949">
        <w:rPr>
          <w:rFonts w:eastAsiaTheme="minorHAnsi"/>
          <w:i/>
        </w:rPr>
        <w:t>Support for Learning</w:t>
      </w:r>
      <w:r w:rsidR="000F4763" w:rsidRPr="00AA2949">
        <w:rPr>
          <w:rFonts w:eastAsiaTheme="minorHAnsi"/>
        </w:rPr>
        <w:t xml:space="preserve">, 19(2), </w:t>
      </w:r>
      <w:r w:rsidR="002B7168" w:rsidRPr="00AA2949">
        <w:rPr>
          <w:rFonts w:eastAsiaTheme="minorHAnsi"/>
        </w:rPr>
        <w:t xml:space="preserve">pp. </w:t>
      </w:r>
      <w:r w:rsidR="000F4763" w:rsidRPr="00AA2949">
        <w:rPr>
          <w:rFonts w:eastAsiaTheme="minorHAnsi"/>
        </w:rPr>
        <w:t>57</w:t>
      </w:r>
      <w:r w:rsidR="002B7168" w:rsidRPr="00AA2949">
        <w:rPr>
          <w:rFonts w:eastAsiaTheme="minorHAnsi"/>
        </w:rPr>
        <w:t>–</w:t>
      </w:r>
      <w:r w:rsidR="000F4763" w:rsidRPr="00AA2949">
        <w:rPr>
          <w:rFonts w:eastAsiaTheme="minorHAnsi"/>
        </w:rPr>
        <w:t>65.</w:t>
      </w:r>
    </w:p>
    <w:p w:rsidR="004F7068" w:rsidRPr="00AA2949" w:rsidRDefault="004F7068" w:rsidP="00F979B4">
      <w:pPr>
        <w:pStyle w:val="References"/>
        <w:spacing w:before="0" w:line="240" w:lineRule="auto"/>
        <w:ind w:left="709" w:hanging="709"/>
        <w:contextualSpacing w:val="0"/>
        <w:rPr>
          <w:rFonts w:eastAsia="+mn-ea"/>
        </w:rPr>
      </w:pPr>
      <w:r w:rsidRPr="00AA2949">
        <w:rPr>
          <w:rFonts w:eastAsia="+mn-ea"/>
        </w:rPr>
        <w:t xml:space="preserve">Kinder, K. </w:t>
      </w:r>
      <w:r w:rsidR="0000404E" w:rsidRPr="00AA2949">
        <w:rPr>
          <w:rFonts w:eastAsia="+mn-ea"/>
        </w:rPr>
        <w:t>and</w:t>
      </w:r>
      <w:r w:rsidRPr="00AA2949">
        <w:rPr>
          <w:rFonts w:eastAsia="+mn-ea"/>
        </w:rPr>
        <w:t xml:space="preserve"> Harland, J. (2004). The </w:t>
      </w:r>
      <w:r w:rsidR="002B7168" w:rsidRPr="00AA2949">
        <w:rPr>
          <w:rFonts w:eastAsia="+mn-ea"/>
        </w:rPr>
        <w:t>arts and social inclusion</w:t>
      </w:r>
      <w:r w:rsidRPr="00AA2949">
        <w:rPr>
          <w:rFonts w:eastAsia="+mn-ea"/>
        </w:rPr>
        <w:t xml:space="preserve">: What’s the </w:t>
      </w:r>
      <w:r w:rsidR="002B7168" w:rsidRPr="00AA2949">
        <w:rPr>
          <w:rFonts w:eastAsia="+mn-ea"/>
        </w:rPr>
        <w:t>e</w:t>
      </w:r>
      <w:r w:rsidRPr="00AA2949">
        <w:rPr>
          <w:rFonts w:eastAsia="+mn-ea"/>
        </w:rPr>
        <w:t xml:space="preserve">vidence? </w:t>
      </w:r>
      <w:r w:rsidRPr="00AA2949">
        <w:rPr>
          <w:rFonts w:eastAsia="+mn-ea"/>
          <w:i/>
        </w:rPr>
        <w:t>Support for Learning</w:t>
      </w:r>
      <w:r w:rsidRPr="00AA2949">
        <w:rPr>
          <w:rFonts w:eastAsia="+mn-ea"/>
        </w:rPr>
        <w:t xml:space="preserve">, 19(2), </w:t>
      </w:r>
      <w:r w:rsidR="002B7168" w:rsidRPr="00AA2949">
        <w:rPr>
          <w:rFonts w:eastAsia="+mn-ea"/>
        </w:rPr>
        <w:t xml:space="preserve">pp. </w:t>
      </w:r>
      <w:r w:rsidRPr="00AA2949">
        <w:rPr>
          <w:rFonts w:eastAsia="+mn-ea"/>
        </w:rPr>
        <w:t>52</w:t>
      </w:r>
      <w:r w:rsidR="002B7168" w:rsidRPr="00AA2949">
        <w:rPr>
          <w:rFonts w:eastAsia="+mn-ea"/>
        </w:rPr>
        <w:t>–</w:t>
      </w:r>
      <w:r w:rsidRPr="00AA2949">
        <w:rPr>
          <w:rFonts w:eastAsia="+mn-ea"/>
        </w:rPr>
        <w:t>56.</w:t>
      </w:r>
    </w:p>
    <w:p w:rsidR="000F4763" w:rsidRPr="00AA2949" w:rsidRDefault="000F4763" w:rsidP="00F979B4">
      <w:pPr>
        <w:pStyle w:val="References"/>
        <w:spacing w:before="0" w:line="240" w:lineRule="auto"/>
        <w:ind w:left="709" w:hanging="709"/>
        <w:rPr>
          <w:shd w:val="clear" w:color="auto" w:fill="FFFFFF"/>
        </w:rPr>
      </w:pPr>
      <w:r w:rsidRPr="00AA2949">
        <w:rPr>
          <w:shd w:val="clear" w:color="auto" w:fill="FFFFFF"/>
        </w:rPr>
        <w:t>Kolb, D.A. (1984).</w:t>
      </w:r>
      <w:r w:rsidR="00F979B4" w:rsidRPr="00AA2949">
        <w:rPr>
          <w:shd w:val="clear" w:color="auto" w:fill="FFFFFF"/>
        </w:rPr>
        <w:t xml:space="preserve"> </w:t>
      </w:r>
      <w:r w:rsidRPr="00AA2949">
        <w:rPr>
          <w:rStyle w:val="Emphasis"/>
          <w:iCs w:val="0"/>
          <w:shd w:val="clear" w:color="auto" w:fill="FFFFFF"/>
        </w:rPr>
        <w:t>Experiential learning: Experience as the source of learning and development</w:t>
      </w:r>
      <w:r w:rsidR="002B7168" w:rsidRPr="00AA2949">
        <w:rPr>
          <w:rStyle w:val="Emphasis"/>
          <w:i w:val="0"/>
          <w:iCs w:val="0"/>
          <w:shd w:val="clear" w:color="auto" w:fill="FFFFFF"/>
        </w:rPr>
        <w:t>,</w:t>
      </w:r>
      <w:r w:rsidR="00F979B4" w:rsidRPr="00AA2949">
        <w:rPr>
          <w:i/>
          <w:shd w:val="clear" w:color="auto" w:fill="FFFFFF"/>
        </w:rPr>
        <w:t xml:space="preserve"> </w:t>
      </w:r>
      <w:r w:rsidRPr="00AA2949">
        <w:rPr>
          <w:shd w:val="clear" w:color="auto" w:fill="FFFFFF"/>
        </w:rPr>
        <w:t>Vol. 1. Englewood Cliffs, NJ: Prentice-Hall</w:t>
      </w:r>
      <w:r w:rsidR="002B7168" w:rsidRPr="00AA2949">
        <w:rPr>
          <w:shd w:val="clear" w:color="auto" w:fill="FFFFFF"/>
        </w:rPr>
        <w:t>.</w:t>
      </w:r>
    </w:p>
    <w:p w:rsidR="004F7068" w:rsidRPr="00AA2949" w:rsidRDefault="004F7068" w:rsidP="00F979B4">
      <w:pPr>
        <w:spacing w:after="0" w:line="240" w:lineRule="auto"/>
        <w:ind w:left="709" w:hanging="709"/>
        <w:rPr>
          <w:rFonts w:ascii="Times New Roman" w:hAnsi="Times New Roman" w:cs="Times New Roman"/>
          <w:sz w:val="24"/>
          <w:szCs w:val="24"/>
        </w:rPr>
      </w:pPr>
      <w:r w:rsidRPr="00AA2949">
        <w:rPr>
          <w:rFonts w:ascii="Times New Roman" w:hAnsi="Times New Roman" w:cs="Times New Roman"/>
          <w:sz w:val="24"/>
          <w:szCs w:val="24"/>
        </w:rPr>
        <w:t>Lee, E</w:t>
      </w:r>
      <w:r w:rsidR="002B7168" w:rsidRPr="00AA2949">
        <w:rPr>
          <w:rFonts w:ascii="Times New Roman" w:hAnsi="Times New Roman" w:cs="Times New Roman"/>
          <w:sz w:val="24"/>
          <w:szCs w:val="24"/>
        </w:rPr>
        <w:t>.</w:t>
      </w:r>
      <w:r w:rsidRPr="00AA2949">
        <w:rPr>
          <w:rFonts w:ascii="Times New Roman" w:hAnsi="Times New Roman" w:cs="Times New Roman"/>
          <w:sz w:val="24"/>
          <w:szCs w:val="24"/>
        </w:rPr>
        <w:t xml:space="preserve">, Walshe, N., Sapsed R. </w:t>
      </w:r>
      <w:r w:rsidR="0000404E" w:rsidRPr="00AA2949">
        <w:rPr>
          <w:rFonts w:ascii="Times New Roman" w:hAnsi="Times New Roman" w:cs="Times New Roman"/>
          <w:sz w:val="24"/>
          <w:szCs w:val="24"/>
        </w:rPr>
        <w:t>and</w:t>
      </w:r>
      <w:r w:rsidRPr="00AA2949">
        <w:rPr>
          <w:rFonts w:ascii="Times New Roman" w:hAnsi="Times New Roman" w:cs="Times New Roman"/>
          <w:sz w:val="24"/>
          <w:szCs w:val="24"/>
        </w:rPr>
        <w:t xml:space="preserve"> Holland, J. (2018). Artists as emplaced pedagogues: </w:t>
      </w:r>
      <w:r w:rsidR="002B7168" w:rsidRPr="00AA2949">
        <w:rPr>
          <w:rFonts w:ascii="Times New Roman" w:hAnsi="Times New Roman" w:cs="Times New Roman"/>
          <w:sz w:val="24"/>
          <w:szCs w:val="24"/>
        </w:rPr>
        <w:t>H</w:t>
      </w:r>
      <w:r w:rsidRPr="00AA2949">
        <w:rPr>
          <w:rFonts w:ascii="Times New Roman" w:hAnsi="Times New Roman" w:cs="Times New Roman"/>
          <w:sz w:val="24"/>
          <w:szCs w:val="24"/>
        </w:rPr>
        <w:t>ow does thinking about children</w:t>
      </w:r>
      <w:r w:rsidR="00F979B4" w:rsidRPr="00AA2949">
        <w:rPr>
          <w:rFonts w:ascii="Times New Roman" w:hAnsi="Times New Roman" w:cs="Times New Roman"/>
          <w:sz w:val="24"/>
          <w:szCs w:val="24"/>
        </w:rPr>
        <w:t>’</w:t>
      </w:r>
      <w:r w:rsidRPr="00AA2949">
        <w:rPr>
          <w:rFonts w:ascii="Times New Roman" w:hAnsi="Times New Roman" w:cs="Times New Roman"/>
          <w:sz w:val="24"/>
          <w:szCs w:val="24"/>
        </w:rPr>
        <w:t>s nature relations influence pedagogy? In</w:t>
      </w:r>
      <w:r w:rsidR="002B7168" w:rsidRPr="00AA2949">
        <w:rPr>
          <w:rFonts w:ascii="Times New Roman" w:hAnsi="Times New Roman" w:cs="Times New Roman"/>
          <w:sz w:val="24"/>
          <w:szCs w:val="24"/>
        </w:rPr>
        <w:t>:</w:t>
      </w:r>
      <w:r w:rsidRPr="00AA2949">
        <w:rPr>
          <w:rFonts w:ascii="Times New Roman" w:hAnsi="Times New Roman" w:cs="Times New Roman"/>
          <w:sz w:val="24"/>
          <w:szCs w:val="24"/>
        </w:rPr>
        <w:t xml:space="preserve"> </w:t>
      </w:r>
      <w:r w:rsidRPr="00AA2949">
        <w:rPr>
          <w:rFonts w:ascii="Times New Roman" w:hAnsi="Times New Roman" w:cs="Times New Roman"/>
          <w:bCs/>
          <w:sz w:val="24"/>
          <w:szCs w:val="24"/>
        </w:rPr>
        <w:t>A. Cutter-Mackenzie, K. Malone and E. Barratt Hacking</w:t>
      </w:r>
      <w:r w:rsidR="002B7168" w:rsidRPr="00AA2949">
        <w:rPr>
          <w:rFonts w:ascii="Times New Roman" w:hAnsi="Times New Roman" w:cs="Times New Roman"/>
          <w:bCs/>
          <w:sz w:val="24"/>
          <w:szCs w:val="24"/>
        </w:rPr>
        <w:t>,</w:t>
      </w:r>
      <w:r w:rsidRPr="00AA2949">
        <w:rPr>
          <w:rFonts w:ascii="Times New Roman" w:hAnsi="Times New Roman" w:cs="Times New Roman"/>
          <w:i/>
          <w:iCs/>
          <w:sz w:val="24"/>
          <w:szCs w:val="24"/>
        </w:rPr>
        <w:t xml:space="preserve"> </w:t>
      </w:r>
      <w:r w:rsidR="002B7168" w:rsidRPr="00AA2949">
        <w:rPr>
          <w:rFonts w:ascii="Times New Roman" w:hAnsi="Times New Roman" w:cs="Times New Roman"/>
          <w:iCs/>
          <w:sz w:val="24"/>
          <w:szCs w:val="24"/>
        </w:rPr>
        <w:t>e</w:t>
      </w:r>
      <w:r w:rsidRPr="00AA2949">
        <w:rPr>
          <w:rFonts w:ascii="Times New Roman" w:hAnsi="Times New Roman" w:cs="Times New Roman"/>
          <w:iCs/>
          <w:sz w:val="24"/>
          <w:szCs w:val="24"/>
        </w:rPr>
        <w:t>ds</w:t>
      </w:r>
      <w:r w:rsidR="002B7168" w:rsidRPr="00AA2949">
        <w:rPr>
          <w:rFonts w:ascii="Times New Roman" w:hAnsi="Times New Roman" w:cs="Times New Roman"/>
          <w:iCs/>
          <w:sz w:val="24"/>
          <w:szCs w:val="24"/>
        </w:rPr>
        <w:t>,</w:t>
      </w:r>
      <w:r w:rsidRPr="00AA2949">
        <w:rPr>
          <w:rFonts w:ascii="Times New Roman" w:hAnsi="Times New Roman" w:cs="Times New Roman"/>
          <w:iCs/>
          <w:sz w:val="24"/>
          <w:szCs w:val="24"/>
        </w:rPr>
        <w:t xml:space="preserve"> </w:t>
      </w:r>
      <w:r w:rsidRPr="00AA2949">
        <w:rPr>
          <w:rFonts w:ascii="Times New Roman" w:hAnsi="Times New Roman" w:cs="Times New Roman"/>
          <w:i/>
          <w:iCs/>
          <w:sz w:val="24"/>
          <w:szCs w:val="24"/>
        </w:rPr>
        <w:t xml:space="preserve">Research </w:t>
      </w:r>
      <w:r w:rsidR="00F07F3B" w:rsidRPr="00AA2949">
        <w:rPr>
          <w:rFonts w:ascii="Times New Roman" w:hAnsi="Times New Roman" w:cs="Times New Roman"/>
          <w:i/>
          <w:iCs/>
          <w:sz w:val="24"/>
          <w:szCs w:val="24"/>
        </w:rPr>
        <w:t>handbook on childhoodnature</w:t>
      </w:r>
      <w:r w:rsidRPr="00AA2949">
        <w:rPr>
          <w:rFonts w:ascii="Times New Roman" w:hAnsi="Times New Roman" w:cs="Times New Roman"/>
          <w:i/>
          <w:iCs/>
          <w:sz w:val="24"/>
          <w:szCs w:val="24"/>
        </w:rPr>
        <w:t xml:space="preserve">: Assemblages of </w:t>
      </w:r>
      <w:r w:rsidR="00F07F3B" w:rsidRPr="00AA2949">
        <w:rPr>
          <w:rFonts w:ascii="Times New Roman" w:hAnsi="Times New Roman" w:cs="Times New Roman"/>
          <w:i/>
          <w:iCs/>
          <w:sz w:val="24"/>
          <w:szCs w:val="24"/>
        </w:rPr>
        <w:t>childhood and nature research</w:t>
      </w:r>
      <w:r w:rsidRPr="00AA2949">
        <w:rPr>
          <w:rFonts w:ascii="Times New Roman" w:hAnsi="Times New Roman" w:cs="Times New Roman"/>
          <w:iCs/>
          <w:sz w:val="24"/>
          <w:szCs w:val="24"/>
        </w:rPr>
        <w:t>.</w:t>
      </w:r>
      <w:r w:rsidR="00F07F3B" w:rsidRPr="00AA2949">
        <w:rPr>
          <w:rFonts w:ascii="Times New Roman" w:hAnsi="Times New Roman" w:cs="Times New Roman"/>
          <w:iCs/>
          <w:sz w:val="24"/>
          <w:szCs w:val="24"/>
        </w:rPr>
        <w:t xml:space="preserve"> Cham, Switzerland: Springer, pp. 1–24.</w:t>
      </w:r>
      <w:r w:rsidRPr="00AA2949">
        <w:rPr>
          <w:rFonts w:ascii="Times New Roman" w:hAnsi="Times New Roman" w:cs="Times New Roman"/>
          <w:color w:val="000000"/>
          <w:sz w:val="24"/>
          <w:szCs w:val="24"/>
        </w:rPr>
        <w:t xml:space="preserve"> doi:10.1007/978-3-319-51949-4_78-1. </w:t>
      </w:r>
    </w:p>
    <w:p w:rsidR="004F7068" w:rsidRPr="00AA2949" w:rsidRDefault="004F7068" w:rsidP="00F979B4">
      <w:pPr>
        <w:spacing w:after="0" w:line="240" w:lineRule="auto"/>
        <w:ind w:left="709" w:hanging="709"/>
        <w:textAlignment w:val="baseline"/>
        <w:rPr>
          <w:rStyle w:val="normaltextrun"/>
          <w:rFonts w:ascii="Times New Roman" w:hAnsi="Times New Roman" w:cs="Times New Roman"/>
          <w:sz w:val="24"/>
          <w:szCs w:val="24"/>
        </w:rPr>
      </w:pPr>
      <w:r w:rsidRPr="00AA2949">
        <w:rPr>
          <w:rFonts w:ascii="Times New Roman" w:hAnsi="Times New Roman" w:cs="Times New Roman"/>
          <w:sz w:val="24"/>
          <w:szCs w:val="24"/>
        </w:rPr>
        <w:t xml:space="preserve">Lindgren, N. </w:t>
      </w:r>
      <w:r w:rsidR="0000404E" w:rsidRPr="00AA2949">
        <w:rPr>
          <w:rFonts w:ascii="Times New Roman" w:hAnsi="Times New Roman" w:cs="Times New Roman"/>
          <w:sz w:val="24"/>
          <w:szCs w:val="24"/>
        </w:rPr>
        <w:t>and</w:t>
      </w:r>
      <w:r w:rsidRPr="00AA2949">
        <w:rPr>
          <w:rFonts w:ascii="Times New Roman" w:hAnsi="Times New Roman" w:cs="Times New Roman"/>
          <w:sz w:val="24"/>
          <w:szCs w:val="24"/>
        </w:rPr>
        <w:t xml:space="preserve"> Öhman, J. (2018). A </w:t>
      </w:r>
      <w:r w:rsidR="00F07F3B" w:rsidRPr="00AA2949">
        <w:rPr>
          <w:rFonts w:ascii="Times New Roman" w:hAnsi="Times New Roman" w:cs="Times New Roman"/>
          <w:sz w:val="24"/>
          <w:szCs w:val="24"/>
        </w:rPr>
        <w:t>posthuman approach to human-animal relationships</w:t>
      </w:r>
      <w:r w:rsidRPr="00AA2949">
        <w:rPr>
          <w:rFonts w:ascii="Times New Roman" w:hAnsi="Times New Roman" w:cs="Times New Roman"/>
          <w:sz w:val="24"/>
          <w:szCs w:val="24"/>
        </w:rPr>
        <w:t xml:space="preserve">: Advocating </w:t>
      </w:r>
      <w:r w:rsidR="00F07F3B" w:rsidRPr="00AA2949">
        <w:rPr>
          <w:rFonts w:ascii="Times New Roman" w:hAnsi="Times New Roman" w:cs="Times New Roman"/>
          <w:sz w:val="24"/>
          <w:szCs w:val="24"/>
        </w:rPr>
        <w:t>critical pluralism.</w:t>
      </w:r>
      <w:r w:rsidRPr="00AA2949">
        <w:rPr>
          <w:rFonts w:ascii="Times New Roman" w:hAnsi="Times New Roman" w:cs="Times New Roman"/>
          <w:sz w:val="24"/>
          <w:szCs w:val="24"/>
        </w:rPr>
        <w:t xml:space="preserve"> </w:t>
      </w:r>
      <w:r w:rsidRPr="00AA2949">
        <w:rPr>
          <w:rFonts w:ascii="Times New Roman" w:hAnsi="Times New Roman" w:cs="Times New Roman"/>
          <w:i/>
          <w:sz w:val="24"/>
          <w:szCs w:val="24"/>
        </w:rPr>
        <w:t>Environmental Education Research</w:t>
      </w:r>
      <w:r w:rsidR="00F07F3B" w:rsidRPr="00AA2949">
        <w:rPr>
          <w:rFonts w:ascii="Times New Roman" w:hAnsi="Times New Roman" w:cs="Times New Roman"/>
          <w:sz w:val="24"/>
          <w:szCs w:val="24"/>
        </w:rPr>
        <w:t xml:space="preserve"> [Preprint].</w:t>
      </w:r>
      <w:r w:rsidRPr="00AA2949">
        <w:rPr>
          <w:rFonts w:ascii="Times New Roman" w:hAnsi="Times New Roman" w:cs="Times New Roman"/>
          <w:sz w:val="24"/>
          <w:szCs w:val="24"/>
        </w:rPr>
        <w:t xml:space="preserve"> </w:t>
      </w:r>
      <w:r w:rsidR="00F07F3B" w:rsidRPr="00AA2949">
        <w:rPr>
          <w:rFonts w:ascii="Times New Roman" w:hAnsi="Times New Roman" w:cs="Times New Roman"/>
          <w:sz w:val="24"/>
          <w:szCs w:val="24"/>
        </w:rPr>
        <w:t>doi:</w:t>
      </w:r>
      <w:r w:rsidRPr="00AA2949">
        <w:rPr>
          <w:rFonts w:ascii="Times New Roman" w:hAnsi="Times New Roman" w:cs="Times New Roman"/>
          <w:sz w:val="24"/>
          <w:szCs w:val="24"/>
        </w:rPr>
        <w:t>10.1080/13504622.2018.1450848</w:t>
      </w:r>
      <w:r w:rsidR="00F07F3B" w:rsidRPr="00AA2949">
        <w:rPr>
          <w:rFonts w:ascii="Times New Roman" w:hAnsi="Times New Roman" w:cs="Times New Roman"/>
          <w:sz w:val="24"/>
          <w:szCs w:val="24"/>
        </w:rPr>
        <w:t>.</w:t>
      </w:r>
    </w:p>
    <w:p w:rsidR="004F7068" w:rsidRPr="00AA2949" w:rsidRDefault="004F7068" w:rsidP="00F979B4">
      <w:pPr>
        <w:pStyle w:val="References"/>
        <w:spacing w:before="0" w:line="240" w:lineRule="auto"/>
        <w:ind w:left="709" w:hanging="709"/>
        <w:contextualSpacing w:val="0"/>
      </w:pPr>
      <w:r w:rsidRPr="00AA2949">
        <w:t xml:space="preserve">Louv, R. (2008). </w:t>
      </w:r>
      <w:r w:rsidRPr="00AA2949">
        <w:rPr>
          <w:i/>
        </w:rPr>
        <w:t xml:space="preserve">Last </w:t>
      </w:r>
      <w:r w:rsidR="00F07F3B" w:rsidRPr="00AA2949">
        <w:rPr>
          <w:i/>
        </w:rPr>
        <w:t>child in the woods</w:t>
      </w:r>
      <w:r w:rsidRPr="00AA2949">
        <w:rPr>
          <w:i/>
        </w:rPr>
        <w:t xml:space="preserve">: Saving our </w:t>
      </w:r>
      <w:r w:rsidR="00F07F3B" w:rsidRPr="00AA2949">
        <w:rPr>
          <w:i/>
        </w:rPr>
        <w:t>children from nature-deficit disorder.</w:t>
      </w:r>
      <w:r w:rsidR="00F07F3B" w:rsidRPr="00AA2949">
        <w:t xml:space="preserve"> Chapel Hill, NC: Algonquin</w:t>
      </w:r>
      <w:r w:rsidRPr="00AA2949">
        <w:t xml:space="preserve"> Books.</w:t>
      </w:r>
    </w:p>
    <w:p w:rsidR="006E014E" w:rsidRPr="00AA2949" w:rsidRDefault="006E014E" w:rsidP="00F979B4">
      <w:pPr>
        <w:pStyle w:val="References"/>
        <w:spacing w:before="0" w:line="240" w:lineRule="auto"/>
        <w:ind w:left="709" w:hanging="709"/>
      </w:pPr>
      <w:r w:rsidRPr="00AA2949">
        <w:t>Malone, K.</w:t>
      </w:r>
      <w:r w:rsidR="002174B3" w:rsidRPr="00AA2949">
        <w:t xml:space="preserve"> (2007).</w:t>
      </w:r>
      <w:r w:rsidRPr="00AA2949">
        <w:t xml:space="preserve"> The </w:t>
      </w:r>
      <w:r w:rsidR="00F07F3B" w:rsidRPr="00AA2949">
        <w:t>bubble‐wrap generation</w:t>
      </w:r>
      <w:r w:rsidRPr="00AA2949">
        <w:t xml:space="preserve">: Children </w:t>
      </w:r>
      <w:r w:rsidR="00F07F3B" w:rsidRPr="00AA2949">
        <w:t xml:space="preserve">growing up in walled gardens. </w:t>
      </w:r>
      <w:r w:rsidRPr="00AA2949">
        <w:rPr>
          <w:i/>
          <w:iCs/>
        </w:rPr>
        <w:t>Environmental Education Research</w:t>
      </w:r>
      <w:r w:rsidR="002174B3" w:rsidRPr="00AA2949">
        <w:rPr>
          <w:iCs/>
        </w:rPr>
        <w:t>,</w:t>
      </w:r>
      <w:r w:rsidRPr="00AA2949">
        <w:t xml:space="preserve"> 13</w:t>
      </w:r>
      <w:r w:rsidR="002174B3" w:rsidRPr="00AA2949">
        <w:t>(</w:t>
      </w:r>
      <w:r w:rsidRPr="00AA2949">
        <w:t>4)</w:t>
      </w:r>
      <w:r w:rsidR="002174B3" w:rsidRPr="00AA2949">
        <w:t>,</w:t>
      </w:r>
      <w:r w:rsidRPr="00AA2949">
        <w:t xml:space="preserve"> </w:t>
      </w:r>
      <w:r w:rsidR="00F07F3B" w:rsidRPr="00AA2949">
        <w:t xml:space="preserve">pp. </w:t>
      </w:r>
      <w:r w:rsidRPr="00AA2949">
        <w:t>513–27. https://doi.org/10.1080/13504620701581612.</w:t>
      </w:r>
    </w:p>
    <w:p w:rsidR="004F7068" w:rsidRPr="00AA2949" w:rsidRDefault="004F7068" w:rsidP="00F979B4">
      <w:pPr>
        <w:pStyle w:val="References"/>
        <w:spacing w:before="0" w:line="240" w:lineRule="auto"/>
        <w:ind w:left="709" w:hanging="709"/>
        <w:contextualSpacing w:val="0"/>
      </w:pPr>
      <w:r w:rsidRPr="00AA2949">
        <w:t xml:space="preserve">Malone, K. (2015). Theorizing </w:t>
      </w:r>
      <w:r w:rsidR="00F07F3B" w:rsidRPr="00AA2949">
        <w:t xml:space="preserve">a child–dog encounter in the slums of </w:t>
      </w:r>
      <w:r w:rsidRPr="00AA2949">
        <w:t xml:space="preserve">La Paz </w:t>
      </w:r>
      <w:r w:rsidR="00F07F3B" w:rsidRPr="00AA2949">
        <w:t>using post-humanistic approaches in order to disrupt universalisms in current “child in nature” debates</w:t>
      </w:r>
      <w:r w:rsidRPr="00AA2949">
        <w:t>.</w:t>
      </w:r>
      <w:r w:rsidRPr="00AA2949">
        <w:rPr>
          <w:i/>
        </w:rPr>
        <w:t xml:space="preserve"> Children’s Geographies</w:t>
      </w:r>
      <w:r w:rsidRPr="00AA2949">
        <w:t xml:space="preserve">, 14(4), </w:t>
      </w:r>
      <w:r w:rsidR="00F07F3B" w:rsidRPr="00AA2949">
        <w:t xml:space="preserve">pp. </w:t>
      </w:r>
      <w:r w:rsidRPr="00AA2949">
        <w:t>390–407.</w:t>
      </w:r>
      <w:r w:rsidR="00F979B4" w:rsidRPr="00AA2949">
        <w:t xml:space="preserve"> </w:t>
      </w:r>
      <w:r w:rsidRPr="00AA2949">
        <w:rPr>
          <w:rFonts w:eastAsiaTheme="minorEastAsia"/>
        </w:rPr>
        <w:t>https://doi.org/10.1080/14733285.2015.1077369</w:t>
      </w:r>
      <w:r w:rsidRPr="00AA2949">
        <w:t>.</w:t>
      </w:r>
    </w:p>
    <w:p w:rsidR="00A56955" w:rsidRPr="00AA2949" w:rsidRDefault="00A56955" w:rsidP="00F979B4">
      <w:pPr>
        <w:pStyle w:val="References"/>
        <w:spacing w:before="0" w:line="240" w:lineRule="auto"/>
        <w:ind w:left="709" w:hanging="709"/>
      </w:pPr>
      <w:r w:rsidRPr="00AA2949">
        <w:t xml:space="preserve">Marginson, S., Tytler, R., Freeman, B. </w:t>
      </w:r>
      <w:r w:rsidR="0000404E" w:rsidRPr="00AA2949">
        <w:t>and</w:t>
      </w:r>
      <w:r w:rsidRPr="00AA2949">
        <w:t xml:space="preserve"> Roberts, K. (2013). </w:t>
      </w:r>
      <w:r w:rsidRPr="00AA2949">
        <w:rPr>
          <w:i/>
        </w:rPr>
        <w:t xml:space="preserve">STEM: </w:t>
      </w:r>
      <w:r w:rsidR="00F07F3B" w:rsidRPr="00AA2949">
        <w:rPr>
          <w:i/>
        </w:rPr>
        <w:t>C</w:t>
      </w:r>
      <w:r w:rsidRPr="00AA2949">
        <w:rPr>
          <w:i/>
        </w:rPr>
        <w:t xml:space="preserve">ountry comparisons: </w:t>
      </w:r>
      <w:r w:rsidR="00F07F3B" w:rsidRPr="00AA2949">
        <w:rPr>
          <w:i/>
        </w:rPr>
        <w:t>I</w:t>
      </w:r>
      <w:r w:rsidRPr="00AA2949">
        <w:rPr>
          <w:i/>
        </w:rPr>
        <w:t>nternational comparisons of science, technology, engineering and mathematics (STEM) education.</w:t>
      </w:r>
      <w:r w:rsidRPr="00AA2949">
        <w:t xml:space="preserve"> </w:t>
      </w:r>
      <w:r w:rsidRPr="00AA2949">
        <w:rPr>
          <w:i/>
        </w:rPr>
        <w:t>Final report.</w:t>
      </w:r>
      <w:r w:rsidRPr="00AA2949">
        <w:t xml:space="preserve"> </w:t>
      </w:r>
      <w:r w:rsidR="00F07F3B" w:rsidRPr="00AA2949">
        <w:t xml:space="preserve">Melbourne, Vic.: </w:t>
      </w:r>
      <w:r w:rsidRPr="00AA2949">
        <w:t>Australian Council of Learned Academies</w:t>
      </w:r>
      <w:r w:rsidR="00F07F3B" w:rsidRPr="00AA2949">
        <w:t>.</w:t>
      </w:r>
      <w:r w:rsidRPr="00AA2949">
        <w:t xml:space="preserve"> </w:t>
      </w:r>
      <w:r w:rsidR="00F07F3B" w:rsidRPr="00AA2949">
        <w:t>Available at:</w:t>
      </w:r>
      <w:r w:rsidRPr="00AA2949">
        <w:t xml:space="preserve"> https://dro.deakin.edu.au/eserv/DU:30059041/tytler-stemcountry-2013.pdf</w:t>
      </w:r>
      <w:r w:rsidR="00F07F3B" w:rsidRPr="00AA2949">
        <w:t xml:space="preserve"> [Accessed 18 Aug. 2019]</w:t>
      </w:r>
      <w:r w:rsidRPr="00AA2949">
        <w:t>.</w:t>
      </w:r>
    </w:p>
    <w:p w:rsidR="004F7068" w:rsidRPr="00AA2949" w:rsidRDefault="004F7068" w:rsidP="00F979B4">
      <w:pPr>
        <w:spacing w:after="0" w:line="240" w:lineRule="auto"/>
        <w:ind w:left="709" w:hanging="709"/>
        <w:textAlignment w:val="baseline"/>
        <w:rPr>
          <w:rFonts w:ascii="Times New Roman" w:hAnsi="Times New Roman" w:cs="Times New Roman"/>
          <w:sz w:val="24"/>
          <w:szCs w:val="24"/>
        </w:rPr>
      </w:pPr>
      <w:r w:rsidRPr="00AA2949">
        <w:rPr>
          <w:rStyle w:val="normaltextrun"/>
          <w:rFonts w:ascii="Times New Roman" w:hAnsi="Times New Roman" w:cs="Times New Roman"/>
          <w:sz w:val="24"/>
          <w:szCs w:val="24"/>
        </w:rPr>
        <w:t xml:space="preserve">Massey, D. (1994). </w:t>
      </w:r>
      <w:r w:rsidRPr="00AA2949">
        <w:rPr>
          <w:rStyle w:val="normaltextrun"/>
          <w:rFonts w:ascii="Times New Roman" w:hAnsi="Times New Roman" w:cs="Times New Roman"/>
          <w:i/>
          <w:sz w:val="24"/>
          <w:szCs w:val="24"/>
        </w:rPr>
        <w:t xml:space="preserve">Space, </w:t>
      </w:r>
      <w:r w:rsidR="00F07F3B" w:rsidRPr="00AA2949">
        <w:rPr>
          <w:rStyle w:val="normaltextrun"/>
          <w:rFonts w:ascii="Times New Roman" w:hAnsi="Times New Roman" w:cs="Times New Roman"/>
          <w:i/>
          <w:sz w:val="24"/>
          <w:szCs w:val="24"/>
        </w:rPr>
        <w:t xml:space="preserve">place and gender. </w:t>
      </w:r>
      <w:r w:rsidRPr="00AA2949">
        <w:rPr>
          <w:rStyle w:val="normaltextrun"/>
          <w:rFonts w:ascii="Times New Roman" w:hAnsi="Times New Roman" w:cs="Times New Roman"/>
          <w:sz w:val="24"/>
          <w:szCs w:val="24"/>
        </w:rPr>
        <w:t>Oxford: Blackwell Publishers.</w:t>
      </w:r>
    </w:p>
    <w:p w:rsidR="004F7068" w:rsidRPr="00AA2949" w:rsidRDefault="004F7068" w:rsidP="00F979B4">
      <w:pPr>
        <w:pStyle w:val="References"/>
        <w:spacing w:before="0" w:line="240" w:lineRule="auto"/>
        <w:ind w:left="709" w:hanging="709"/>
      </w:pPr>
      <w:r w:rsidRPr="00AA2949">
        <w:t xml:space="preserve">McGillivray, M. (2007). Human </w:t>
      </w:r>
      <w:r w:rsidR="00F07F3B" w:rsidRPr="00AA2949">
        <w:t>w</w:t>
      </w:r>
      <w:r w:rsidRPr="00AA2949">
        <w:t xml:space="preserve">ell-being: Issues, </w:t>
      </w:r>
      <w:r w:rsidR="00F07F3B" w:rsidRPr="00AA2949">
        <w:t>concepts and measures</w:t>
      </w:r>
      <w:r w:rsidRPr="00AA2949">
        <w:t>. In</w:t>
      </w:r>
      <w:r w:rsidR="00F07F3B" w:rsidRPr="00AA2949">
        <w:t>:</w:t>
      </w:r>
      <w:r w:rsidRPr="00AA2949">
        <w:t xml:space="preserve"> M. McGillivray</w:t>
      </w:r>
      <w:r w:rsidR="00F07F3B" w:rsidRPr="00AA2949">
        <w:t>,</w:t>
      </w:r>
      <w:r w:rsidRPr="00AA2949">
        <w:t xml:space="preserve"> </w:t>
      </w:r>
      <w:r w:rsidR="00F07F3B" w:rsidRPr="00AA2949">
        <w:t>e</w:t>
      </w:r>
      <w:r w:rsidRPr="00AA2949">
        <w:t>d</w:t>
      </w:r>
      <w:r w:rsidR="00F07F3B" w:rsidRPr="00AA2949">
        <w:t>,</w:t>
      </w:r>
      <w:r w:rsidRPr="00AA2949">
        <w:t xml:space="preserve"> </w:t>
      </w:r>
      <w:r w:rsidRPr="00AA2949">
        <w:rPr>
          <w:i/>
        </w:rPr>
        <w:t xml:space="preserve">Human </w:t>
      </w:r>
      <w:r w:rsidR="00F07F3B" w:rsidRPr="00AA2949">
        <w:rPr>
          <w:i/>
        </w:rPr>
        <w:t xml:space="preserve">well-being: </w:t>
      </w:r>
      <w:r w:rsidRPr="00AA2949">
        <w:rPr>
          <w:i/>
        </w:rPr>
        <w:t xml:space="preserve">Concept and </w:t>
      </w:r>
      <w:r w:rsidR="00F07F3B" w:rsidRPr="00AA2949">
        <w:rPr>
          <w:i/>
        </w:rPr>
        <w:t>m</w:t>
      </w:r>
      <w:r w:rsidRPr="00AA2949">
        <w:rPr>
          <w:i/>
        </w:rPr>
        <w:t>easurement</w:t>
      </w:r>
      <w:r w:rsidRPr="00AA2949">
        <w:t>. Helsinki: UNU Wider</w:t>
      </w:r>
      <w:r w:rsidR="00F07F3B" w:rsidRPr="00AA2949">
        <w:t>, pp. 1–22.</w:t>
      </w:r>
    </w:p>
    <w:p w:rsidR="004F7068" w:rsidRPr="00AA2949" w:rsidRDefault="004F7068" w:rsidP="00F979B4">
      <w:pPr>
        <w:spacing w:after="0" w:line="240" w:lineRule="auto"/>
        <w:ind w:left="709" w:hanging="709"/>
        <w:textAlignment w:val="baseline"/>
        <w:rPr>
          <w:rFonts w:ascii="Times New Roman" w:hAnsi="Times New Roman" w:cs="Times New Roman"/>
          <w:sz w:val="24"/>
          <w:szCs w:val="24"/>
        </w:rPr>
      </w:pPr>
      <w:r w:rsidRPr="00AA2949">
        <w:rPr>
          <w:rFonts w:ascii="Times New Roman" w:hAnsi="Times New Roman" w:cs="Times New Roman"/>
          <w:color w:val="000000"/>
          <w:sz w:val="24"/>
          <w:szCs w:val="24"/>
        </w:rPr>
        <w:t xml:space="preserve">McRobie, H. (2014). Martha Nussbaum, </w:t>
      </w:r>
      <w:r w:rsidR="00F07F3B" w:rsidRPr="00AA2949">
        <w:rPr>
          <w:rFonts w:ascii="Times New Roman" w:hAnsi="Times New Roman" w:cs="Times New Roman"/>
          <w:color w:val="000000"/>
          <w:sz w:val="24"/>
          <w:szCs w:val="24"/>
        </w:rPr>
        <w:t>empathy and the moral imagination</w:t>
      </w:r>
      <w:r w:rsidRPr="00AA2949">
        <w:rPr>
          <w:rFonts w:ascii="Times New Roman" w:hAnsi="Times New Roman" w:cs="Times New Roman"/>
          <w:color w:val="000000"/>
          <w:sz w:val="24"/>
          <w:szCs w:val="24"/>
        </w:rPr>
        <w:t>.</w:t>
      </w:r>
      <w:r w:rsidR="00F07F3B" w:rsidRPr="00AA2949">
        <w:rPr>
          <w:rFonts w:ascii="Times New Roman" w:hAnsi="Times New Roman" w:cs="Times New Roman"/>
          <w:color w:val="000000"/>
          <w:sz w:val="24"/>
          <w:szCs w:val="24"/>
        </w:rPr>
        <w:t xml:space="preserve"> </w:t>
      </w:r>
      <w:r w:rsidR="00F07F3B" w:rsidRPr="00AA2949">
        <w:rPr>
          <w:rFonts w:ascii="Times New Roman" w:hAnsi="Times New Roman" w:cs="Times New Roman"/>
          <w:i/>
          <w:color w:val="000000"/>
          <w:sz w:val="24"/>
          <w:szCs w:val="24"/>
        </w:rPr>
        <w:t>Open Democracy</w:t>
      </w:r>
      <w:r w:rsidR="00F07F3B" w:rsidRPr="00AA2949">
        <w:rPr>
          <w:rFonts w:ascii="Times New Roman" w:hAnsi="Times New Roman" w:cs="Times New Roman"/>
          <w:color w:val="000000"/>
          <w:sz w:val="24"/>
          <w:szCs w:val="24"/>
        </w:rPr>
        <w:t>, 7 March.</w:t>
      </w:r>
      <w:r w:rsidRPr="00AA2949">
        <w:rPr>
          <w:rFonts w:ascii="Times New Roman" w:hAnsi="Times New Roman" w:cs="Times New Roman"/>
          <w:i/>
          <w:color w:val="000000"/>
          <w:sz w:val="24"/>
          <w:szCs w:val="24"/>
        </w:rPr>
        <w:t xml:space="preserve"> </w:t>
      </w:r>
      <w:r w:rsidR="00F07F3B" w:rsidRPr="00AA2949">
        <w:rPr>
          <w:rFonts w:ascii="Times New Roman" w:hAnsi="Times New Roman" w:cs="Times New Roman"/>
          <w:color w:val="000000"/>
          <w:sz w:val="24"/>
          <w:szCs w:val="24"/>
        </w:rPr>
        <w:t>Available at</w:t>
      </w:r>
      <w:r w:rsidRPr="00AA2949">
        <w:rPr>
          <w:rFonts w:ascii="Times New Roman" w:hAnsi="Times New Roman" w:cs="Times New Roman"/>
          <w:color w:val="000000"/>
          <w:sz w:val="24"/>
          <w:szCs w:val="24"/>
        </w:rPr>
        <w:t xml:space="preserve">: </w:t>
      </w:r>
      <w:r w:rsidRPr="00AA2949">
        <w:rPr>
          <w:rFonts w:ascii="Times New Roman" w:eastAsiaTheme="majorEastAsia" w:hAnsi="Times New Roman" w:cs="Times New Roman"/>
          <w:sz w:val="24"/>
          <w:szCs w:val="24"/>
          <w:shd w:val="clear" w:color="auto" w:fill="FFFFFF"/>
        </w:rPr>
        <w:t>https://www.opendemocracy.net/5050/heather-mcrobie/martha-nussbaum-empathy-and-moral-imagination</w:t>
      </w:r>
      <w:r w:rsidR="00F07F3B" w:rsidRPr="00AA2949">
        <w:rPr>
          <w:rFonts w:ascii="Times New Roman" w:eastAsiaTheme="majorEastAsia" w:hAnsi="Times New Roman" w:cs="Times New Roman"/>
          <w:sz w:val="24"/>
          <w:szCs w:val="24"/>
          <w:shd w:val="clear" w:color="auto" w:fill="FFFFFF"/>
        </w:rPr>
        <w:t xml:space="preserve"> [Accessed 18 Aug. 2019].</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Muffels, R.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Headey, B. (2013). Capabilities and </w:t>
      </w:r>
      <w:r w:rsidR="00F07F3B" w:rsidRPr="00AA2949">
        <w:rPr>
          <w:rFonts w:ascii="Times New Roman" w:hAnsi="Times New Roman" w:cs="Times New Roman"/>
          <w:color w:val="000000"/>
          <w:sz w:val="24"/>
          <w:szCs w:val="24"/>
        </w:rPr>
        <w:t>c</w:t>
      </w:r>
      <w:r w:rsidRPr="00AA2949">
        <w:rPr>
          <w:rFonts w:ascii="Times New Roman" w:hAnsi="Times New Roman" w:cs="Times New Roman"/>
          <w:color w:val="000000"/>
          <w:sz w:val="24"/>
          <w:szCs w:val="24"/>
        </w:rPr>
        <w:t xml:space="preserve">hoices: Do </w:t>
      </w:r>
      <w:r w:rsidR="00F07F3B" w:rsidRPr="00AA2949">
        <w:rPr>
          <w:rFonts w:ascii="Times New Roman" w:hAnsi="Times New Roman" w:cs="Times New Roman"/>
          <w:color w:val="000000"/>
          <w:sz w:val="24"/>
          <w:szCs w:val="24"/>
        </w:rPr>
        <w:t>they make sense for understanding objective and subjective well-being</w:t>
      </w:r>
      <w:r w:rsidRPr="00AA2949">
        <w:rPr>
          <w:rFonts w:ascii="Times New Roman" w:hAnsi="Times New Roman" w:cs="Times New Roman"/>
          <w:color w:val="000000"/>
          <w:sz w:val="24"/>
          <w:szCs w:val="24"/>
        </w:rPr>
        <w:t xml:space="preserve">? An </w:t>
      </w:r>
      <w:r w:rsidR="00F07F3B" w:rsidRPr="00AA2949">
        <w:rPr>
          <w:rFonts w:ascii="Times New Roman" w:hAnsi="Times New Roman" w:cs="Times New Roman"/>
          <w:color w:val="000000"/>
          <w:sz w:val="24"/>
          <w:szCs w:val="24"/>
        </w:rPr>
        <w:t xml:space="preserve">empirical test </w:t>
      </w:r>
      <w:r w:rsidRPr="00AA2949">
        <w:rPr>
          <w:rFonts w:ascii="Times New Roman" w:hAnsi="Times New Roman" w:cs="Times New Roman"/>
          <w:color w:val="000000"/>
          <w:sz w:val="24"/>
          <w:szCs w:val="24"/>
        </w:rPr>
        <w:t xml:space="preserve">of Sen’s </w:t>
      </w:r>
      <w:r w:rsidR="00F07F3B" w:rsidRPr="00AA2949">
        <w:rPr>
          <w:rFonts w:ascii="Times New Roman" w:hAnsi="Times New Roman" w:cs="Times New Roman"/>
          <w:color w:val="000000"/>
          <w:sz w:val="24"/>
          <w:szCs w:val="24"/>
        </w:rPr>
        <w:t xml:space="preserve">capability framework </w:t>
      </w:r>
      <w:r w:rsidRPr="00AA2949">
        <w:rPr>
          <w:rFonts w:ascii="Times New Roman" w:hAnsi="Times New Roman" w:cs="Times New Roman"/>
          <w:color w:val="000000"/>
          <w:sz w:val="24"/>
          <w:szCs w:val="24"/>
        </w:rPr>
        <w:t xml:space="preserve">on German and British </w:t>
      </w:r>
      <w:r w:rsidR="00F07F3B" w:rsidRPr="00AA2949">
        <w:rPr>
          <w:rFonts w:ascii="Times New Roman" w:hAnsi="Times New Roman" w:cs="Times New Roman"/>
          <w:color w:val="000000"/>
          <w:sz w:val="24"/>
          <w:szCs w:val="24"/>
        </w:rPr>
        <w:t>panel data</w:t>
      </w:r>
      <w:r w:rsidRPr="00AA2949">
        <w:rPr>
          <w:rFonts w:ascii="Times New Roman" w:hAnsi="Times New Roman" w:cs="Times New Roman"/>
          <w:color w:val="000000"/>
          <w:sz w:val="24"/>
          <w:szCs w:val="24"/>
        </w:rPr>
        <w:t xml:space="preserve">. </w:t>
      </w:r>
      <w:r w:rsidRPr="00AA2949">
        <w:rPr>
          <w:rFonts w:ascii="Times New Roman" w:hAnsi="Times New Roman" w:cs="Times New Roman"/>
          <w:i/>
          <w:color w:val="000000"/>
          <w:sz w:val="24"/>
          <w:szCs w:val="24"/>
        </w:rPr>
        <w:t>Social Indicators Research</w:t>
      </w:r>
      <w:r w:rsidRPr="00AA2949">
        <w:rPr>
          <w:rFonts w:ascii="Times New Roman" w:hAnsi="Times New Roman" w:cs="Times New Roman"/>
          <w:color w:val="000000"/>
          <w:sz w:val="24"/>
          <w:szCs w:val="24"/>
        </w:rPr>
        <w:t xml:space="preserve">, 110(3), </w:t>
      </w:r>
      <w:r w:rsidR="00F07F3B"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1159</w:t>
      </w:r>
      <w:r w:rsidR="00F07F3B"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1185. </w:t>
      </w:r>
    </w:p>
    <w:p w:rsidR="002174B3" w:rsidRPr="00AA2949" w:rsidRDefault="00B21575" w:rsidP="00F979B4">
      <w:pPr>
        <w:pStyle w:val="References"/>
        <w:spacing w:before="0" w:line="240" w:lineRule="auto"/>
        <w:ind w:left="709" w:hanging="709"/>
        <w:rPr>
          <w:shd w:val="clear" w:color="auto" w:fill="FFFFFF"/>
        </w:rPr>
      </w:pPr>
      <w:r w:rsidRPr="00AA2949">
        <w:t xml:space="preserve">National Academy of Sciences </w:t>
      </w:r>
      <w:r w:rsidR="002174B3" w:rsidRPr="00AA2949">
        <w:t>(</w:t>
      </w:r>
      <w:r w:rsidRPr="00AA2949">
        <w:t>2007</w:t>
      </w:r>
      <w:r w:rsidR="00FD3436" w:rsidRPr="00AA2949">
        <w:t>)</w:t>
      </w:r>
      <w:r w:rsidR="00F07F3B" w:rsidRPr="00AA2949">
        <w:t>.</w:t>
      </w:r>
      <w:r w:rsidR="002174B3" w:rsidRPr="00AA2949">
        <w:t xml:space="preserve"> </w:t>
      </w:r>
      <w:r w:rsidR="002174B3" w:rsidRPr="00AA2949">
        <w:rPr>
          <w:i/>
        </w:rPr>
        <w:t xml:space="preserve">Taking </w:t>
      </w:r>
      <w:r w:rsidR="00F07F3B" w:rsidRPr="00AA2949">
        <w:rPr>
          <w:i/>
        </w:rPr>
        <w:t>science to school</w:t>
      </w:r>
      <w:r w:rsidR="002174B3" w:rsidRPr="00AA2949">
        <w:rPr>
          <w:i/>
        </w:rPr>
        <w:t xml:space="preserve">: </w:t>
      </w:r>
      <w:r w:rsidR="002174B3" w:rsidRPr="00AA2949">
        <w:rPr>
          <w:rStyle w:val="catalog-subtitle"/>
          <w:i/>
          <w:shd w:val="clear" w:color="auto" w:fill="FFFFFF"/>
        </w:rPr>
        <w:t xml:space="preserve">Learning and </w:t>
      </w:r>
      <w:r w:rsidR="00F07F3B" w:rsidRPr="00AA2949">
        <w:rPr>
          <w:rStyle w:val="catalog-subtitle"/>
          <w:i/>
          <w:shd w:val="clear" w:color="auto" w:fill="FFFFFF"/>
        </w:rPr>
        <w:t xml:space="preserve">teaching science </w:t>
      </w:r>
      <w:r w:rsidR="002174B3" w:rsidRPr="00AA2949">
        <w:rPr>
          <w:rStyle w:val="catalog-subtitle"/>
          <w:i/>
          <w:shd w:val="clear" w:color="auto" w:fill="FFFFFF"/>
        </w:rPr>
        <w:t>in Grades K</w:t>
      </w:r>
      <w:r w:rsidR="00F07F3B" w:rsidRPr="00AA2949">
        <w:rPr>
          <w:rStyle w:val="catalog-subtitle"/>
          <w:i/>
          <w:shd w:val="clear" w:color="auto" w:fill="FFFFFF"/>
        </w:rPr>
        <w:t>–</w:t>
      </w:r>
      <w:r w:rsidR="002174B3" w:rsidRPr="00AA2949">
        <w:rPr>
          <w:rStyle w:val="catalog-subtitle"/>
          <w:i/>
          <w:shd w:val="clear" w:color="auto" w:fill="FFFFFF"/>
        </w:rPr>
        <w:t>8</w:t>
      </w:r>
      <w:r w:rsidR="002174B3" w:rsidRPr="00AA2949">
        <w:rPr>
          <w:i/>
          <w:shd w:val="clear" w:color="auto" w:fill="FFFFFF"/>
        </w:rPr>
        <w:t>.</w:t>
      </w:r>
      <w:r w:rsidR="002174B3" w:rsidRPr="00AA2949">
        <w:rPr>
          <w:shd w:val="clear" w:color="auto" w:fill="FFFFFF"/>
        </w:rPr>
        <w:t xml:space="preserve"> </w:t>
      </w:r>
      <w:r w:rsidR="00F07F3B" w:rsidRPr="00AA2949">
        <w:rPr>
          <w:shd w:val="clear" w:color="auto" w:fill="FFFFFF"/>
        </w:rPr>
        <w:t>Washington, DC: National Academies Press. Available at:</w:t>
      </w:r>
      <w:r w:rsidR="002174B3" w:rsidRPr="00AA2949">
        <w:t xml:space="preserve"> https://www.nap.edu/read/11625/chapter/1</w:t>
      </w:r>
      <w:r w:rsidR="00F07F3B" w:rsidRPr="00AA2949">
        <w:t xml:space="preserve"> [Accessed 18 Aug. 2019].</w:t>
      </w:r>
    </w:p>
    <w:p w:rsidR="004F7068" w:rsidRPr="00AA2949" w:rsidRDefault="004F7068" w:rsidP="00F979B4">
      <w:pPr>
        <w:pStyle w:val="References"/>
        <w:spacing w:before="0" w:line="240" w:lineRule="auto"/>
        <w:ind w:left="709" w:hanging="709"/>
        <w:contextualSpacing w:val="0"/>
      </w:pPr>
      <w:r w:rsidRPr="00AA2949">
        <w:t xml:space="preserve">National Endowment for the Arts (2015). </w:t>
      </w:r>
      <w:r w:rsidR="00F07F3B" w:rsidRPr="00AA2949">
        <w:rPr>
          <w:i/>
        </w:rPr>
        <w:t>2015 a</w:t>
      </w:r>
      <w:r w:rsidRPr="00AA2949">
        <w:rPr>
          <w:i/>
        </w:rPr>
        <w:t xml:space="preserve">nnual </w:t>
      </w:r>
      <w:r w:rsidR="00F07F3B" w:rsidRPr="00AA2949">
        <w:rPr>
          <w:i/>
        </w:rPr>
        <w:t>r</w:t>
      </w:r>
      <w:r w:rsidRPr="00AA2949">
        <w:rPr>
          <w:i/>
        </w:rPr>
        <w:t>eport</w:t>
      </w:r>
      <w:r w:rsidRPr="00AA2949">
        <w:t xml:space="preserve">. </w:t>
      </w:r>
      <w:r w:rsidR="00F07F3B" w:rsidRPr="00AA2949">
        <w:rPr>
          <w:shd w:val="clear" w:color="auto" w:fill="FFFFFF"/>
        </w:rPr>
        <w:t xml:space="preserve">Washington, DC: </w:t>
      </w:r>
      <w:r w:rsidR="00F07F3B" w:rsidRPr="00AA2949">
        <w:t>National Endowment for the Arts</w:t>
      </w:r>
      <w:r w:rsidR="00F07F3B" w:rsidRPr="00AA2949">
        <w:rPr>
          <w:shd w:val="clear" w:color="auto" w:fill="FFFFFF"/>
        </w:rPr>
        <w:t>. Available at:</w:t>
      </w:r>
      <w:r w:rsidR="00F07F3B" w:rsidRPr="00AA2949">
        <w:t xml:space="preserve"> </w:t>
      </w:r>
      <w:r w:rsidRPr="00AA2949">
        <w:rPr>
          <w:rFonts w:eastAsiaTheme="minorEastAsia"/>
        </w:rPr>
        <w:lastRenderedPageBreak/>
        <w:t>https://www.arts.gov/sites/default/files/2015%20Annual%20Report.pdf</w:t>
      </w:r>
      <w:r w:rsidR="00F07F3B" w:rsidRPr="00AA2949">
        <w:rPr>
          <w:rFonts w:eastAsiaTheme="minorEastAsia"/>
        </w:rPr>
        <w:t xml:space="preserve"> </w:t>
      </w:r>
      <w:r w:rsidR="00F07F3B" w:rsidRPr="00AA2949">
        <w:t>[Accessed 18 Aug. 2019].</w:t>
      </w:r>
    </w:p>
    <w:p w:rsidR="00796326" w:rsidRDefault="00796326" w:rsidP="00796326">
      <w:pPr>
        <w:pStyle w:val="References"/>
        <w:spacing w:before="0" w:line="240" w:lineRule="auto"/>
        <w:ind w:left="709" w:hanging="709"/>
        <w:contextualSpacing w:val="0"/>
        <w:rPr>
          <w:color w:val="000000"/>
        </w:rPr>
      </w:pPr>
      <w:proofErr w:type="gramStart"/>
      <w:r w:rsidRPr="0061174D">
        <w:t>National Society for Education in Art &amp; Design</w:t>
      </w:r>
      <w:r>
        <w:t xml:space="preserve"> (</w:t>
      </w:r>
      <w:proofErr w:type="spellStart"/>
      <w:r>
        <w:t>nsead</w:t>
      </w:r>
      <w:proofErr w:type="spellEnd"/>
      <w:r>
        <w:t>).</w:t>
      </w:r>
      <w:proofErr w:type="gramEnd"/>
      <w:r w:rsidRPr="0061174D">
        <w:t xml:space="preserve"> </w:t>
      </w:r>
      <w:r>
        <w:t>(</w:t>
      </w:r>
      <w:r w:rsidRPr="0061174D">
        <w:t>2016</w:t>
      </w:r>
      <w:r>
        <w:t xml:space="preserve">). </w:t>
      </w:r>
      <w:proofErr w:type="gramStart"/>
      <w:r w:rsidRPr="005669A6">
        <w:rPr>
          <w:i/>
        </w:rPr>
        <w:t>The</w:t>
      </w:r>
      <w:proofErr w:type="gramEnd"/>
      <w:r w:rsidRPr="005669A6">
        <w:rPr>
          <w:i/>
        </w:rPr>
        <w:t xml:space="preserve"> National Society for Education in Art and Design Survey Report 2015-16</w:t>
      </w:r>
      <w:r>
        <w:t xml:space="preserve">. </w:t>
      </w:r>
      <w:r w:rsidR="00504C10">
        <w:t>Available at</w:t>
      </w:r>
      <w:r>
        <w:t xml:space="preserve">: </w:t>
      </w:r>
      <w:hyperlink r:id="rId11" w:history="1">
        <w:r>
          <w:rPr>
            <w:rStyle w:val="Hyperlink"/>
          </w:rPr>
          <w:t>http://www.nsead.org/downloads/survey.pdf</w:t>
        </w:r>
      </w:hyperlink>
      <w:r w:rsidR="00504C10">
        <w:t xml:space="preserve">. </w:t>
      </w:r>
      <w:r w:rsidR="00504C10" w:rsidRPr="00AA2949">
        <w:t>[Accessed 18 Aug. 2019]</w:t>
      </w:r>
      <w:r>
        <w:t xml:space="preserve"> </w:t>
      </w:r>
    </w:p>
    <w:p w:rsidR="004F7068" w:rsidRPr="00AA2949" w:rsidRDefault="004F7068" w:rsidP="00F979B4">
      <w:pPr>
        <w:pStyle w:val="References"/>
        <w:spacing w:before="0" w:line="240" w:lineRule="auto"/>
        <w:ind w:left="709" w:hanging="709"/>
        <w:contextualSpacing w:val="0"/>
        <w:rPr>
          <w:rFonts w:eastAsia="+mn-ea"/>
        </w:rPr>
      </w:pPr>
      <w:proofErr w:type="gramStart"/>
      <w:r w:rsidRPr="00AA2949">
        <w:rPr>
          <w:rFonts w:eastAsia="+mn-ea"/>
        </w:rPr>
        <w:t>Nussbaum, M. (1995)</w:t>
      </w:r>
      <w:r w:rsidRPr="00AA2949">
        <w:rPr>
          <w:shd w:val="clear" w:color="auto" w:fill="FFFFFF"/>
        </w:rPr>
        <w:t>.</w:t>
      </w:r>
      <w:proofErr w:type="gramEnd"/>
      <w:r w:rsidR="00F979B4" w:rsidRPr="00AA2949">
        <w:rPr>
          <w:shd w:val="clear" w:color="auto" w:fill="FFFFFF"/>
        </w:rPr>
        <w:t xml:space="preserve"> </w:t>
      </w:r>
      <w:r w:rsidRPr="00AA2949">
        <w:rPr>
          <w:i/>
          <w:shd w:val="clear" w:color="auto" w:fill="FFFFFF"/>
        </w:rPr>
        <w:t xml:space="preserve">Poetic justice: </w:t>
      </w:r>
      <w:r w:rsidR="00F07F3B" w:rsidRPr="00AA2949">
        <w:rPr>
          <w:i/>
          <w:shd w:val="clear" w:color="auto" w:fill="FFFFFF"/>
        </w:rPr>
        <w:t>T</w:t>
      </w:r>
      <w:r w:rsidRPr="00AA2949">
        <w:rPr>
          <w:i/>
          <w:shd w:val="clear" w:color="auto" w:fill="FFFFFF"/>
        </w:rPr>
        <w:t>he literary imagination and public life</w:t>
      </w:r>
      <w:r w:rsidRPr="00AA2949">
        <w:rPr>
          <w:shd w:val="clear" w:color="auto" w:fill="FFFFFF"/>
        </w:rPr>
        <w:t>. Boston, M</w:t>
      </w:r>
      <w:r w:rsidR="00F07F3B" w:rsidRPr="00AA2949">
        <w:rPr>
          <w:shd w:val="clear" w:color="auto" w:fill="FFFFFF"/>
        </w:rPr>
        <w:t>A</w:t>
      </w:r>
      <w:r w:rsidRPr="00AA2949">
        <w:rPr>
          <w:shd w:val="clear" w:color="auto" w:fill="FFFFFF"/>
        </w:rPr>
        <w:t>: Beacon Press.</w:t>
      </w:r>
    </w:p>
    <w:p w:rsidR="004F7068" w:rsidRPr="00AA2949" w:rsidRDefault="004F7068" w:rsidP="00F979B4">
      <w:pPr>
        <w:pStyle w:val="References"/>
        <w:spacing w:before="0" w:line="240" w:lineRule="auto"/>
        <w:ind w:left="709" w:hanging="709"/>
        <w:contextualSpacing w:val="0"/>
      </w:pPr>
      <w:r w:rsidRPr="00AA2949">
        <w:t xml:space="preserve">Nussbaum, M. (2000). </w:t>
      </w:r>
      <w:r w:rsidRPr="00AA2949">
        <w:rPr>
          <w:i/>
        </w:rPr>
        <w:t xml:space="preserve">Women and </w:t>
      </w:r>
      <w:r w:rsidR="00F07F3B" w:rsidRPr="00AA2949">
        <w:rPr>
          <w:i/>
        </w:rPr>
        <w:t>human development</w:t>
      </w:r>
      <w:r w:rsidRPr="00AA2949">
        <w:rPr>
          <w:i/>
        </w:rPr>
        <w:t xml:space="preserve">: The </w:t>
      </w:r>
      <w:r w:rsidR="00F07F3B" w:rsidRPr="00AA2949">
        <w:rPr>
          <w:i/>
        </w:rPr>
        <w:t xml:space="preserve">capabilities approach. </w:t>
      </w:r>
      <w:r w:rsidRPr="00AA2949">
        <w:t>Cambridge: Cambridge University Press.</w:t>
      </w:r>
    </w:p>
    <w:p w:rsidR="00796326" w:rsidRDefault="00796326" w:rsidP="00796326">
      <w:pPr>
        <w:pStyle w:val="References"/>
        <w:spacing w:before="0" w:line="240" w:lineRule="auto"/>
        <w:ind w:left="709" w:hanging="709"/>
        <w:contextualSpacing w:val="0"/>
      </w:pPr>
      <w:proofErr w:type="gramStart"/>
      <w:r w:rsidRPr="002174B3">
        <w:t>Office</w:t>
      </w:r>
      <w:r w:rsidRPr="00270D6B">
        <w:t xml:space="preserve"> of the Chief Scientist</w:t>
      </w:r>
      <w:r>
        <w:t>.</w:t>
      </w:r>
      <w:proofErr w:type="gramEnd"/>
      <w:r w:rsidRPr="00270D6B">
        <w:t xml:space="preserve"> </w:t>
      </w:r>
      <w:r>
        <w:t>(</w:t>
      </w:r>
      <w:r w:rsidRPr="00270D6B">
        <w:t>201</w:t>
      </w:r>
      <w:r>
        <w:t xml:space="preserve">3). </w:t>
      </w:r>
      <w:r w:rsidRPr="005669A6">
        <w:rPr>
          <w:i/>
        </w:rPr>
        <w:t>Science, Technology, Engineering and Mathematics in the National Interest: A Strategic Approach.</w:t>
      </w:r>
      <w:r>
        <w:t xml:space="preserve"> Australian Government, Canberra. </w:t>
      </w:r>
      <w:r w:rsidR="00504C10">
        <w:t>Available at</w:t>
      </w:r>
      <w:r>
        <w:t xml:space="preserve">: </w:t>
      </w:r>
      <w:hyperlink r:id="rId12" w:history="1">
        <w:r>
          <w:rPr>
            <w:rStyle w:val="Hyperlink"/>
          </w:rPr>
          <w:t>https://www.chiefscientist.gov.au/wp-content/uploads/STEMstrategy290713FINALweb.pdf</w:t>
        </w:r>
      </w:hyperlink>
      <w:r w:rsidR="00504C10">
        <w:t xml:space="preserve">. </w:t>
      </w:r>
      <w:r w:rsidR="00504C10" w:rsidRPr="00AA2949">
        <w:t>[Accessed 18 Aug. 2019]</w:t>
      </w:r>
    </w:p>
    <w:p w:rsidR="00796326" w:rsidRDefault="00796326" w:rsidP="00796326">
      <w:pPr>
        <w:pStyle w:val="References"/>
        <w:spacing w:before="0" w:line="240" w:lineRule="auto"/>
        <w:ind w:left="709" w:hanging="709"/>
        <w:contextualSpacing w:val="0"/>
      </w:pPr>
      <w:proofErr w:type="gramStart"/>
      <w:r>
        <w:t>Office of the Chief Scientist.</w:t>
      </w:r>
      <w:proofErr w:type="gramEnd"/>
      <w:r>
        <w:t xml:space="preserve"> (2014).</w:t>
      </w:r>
      <w:r w:rsidRPr="005669A6">
        <w:rPr>
          <w:i/>
        </w:rPr>
        <w:t xml:space="preserve"> Science, Technology, Engineering and Mathematics: Australia’s Future. Australian Government, Canberra.</w:t>
      </w:r>
      <w:r>
        <w:t xml:space="preserve"> </w:t>
      </w:r>
      <w:r w:rsidR="00504C10">
        <w:t>Available at</w:t>
      </w:r>
      <w:r>
        <w:t xml:space="preserve">: </w:t>
      </w:r>
      <w:hyperlink r:id="rId13" w:history="1">
        <w:r>
          <w:rPr>
            <w:rStyle w:val="Hyperlink"/>
          </w:rPr>
          <w:t>https://www.chiefscientist.gov.au/wp-content/uploads/STEM_AustraliasFuture_Sept2014_Web.pdf</w:t>
        </w:r>
      </w:hyperlink>
      <w:r w:rsidR="00504C10">
        <w:t xml:space="preserve">. </w:t>
      </w:r>
      <w:r w:rsidR="00504C10" w:rsidRPr="00AA2949">
        <w:t>[Accessed 18 Aug. 2019]</w:t>
      </w:r>
    </w:p>
    <w:p w:rsidR="004F7068" w:rsidRPr="00AA2949" w:rsidRDefault="004F7068" w:rsidP="00F979B4">
      <w:pPr>
        <w:spacing w:after="0" w:line="240" w:lineRule="auto"/>
        <w:ind w:left="709" w:hanging="709"/>
        <w:rPr>
          <w:rFonts w:ascii="Times New Roman" w:hAnsi="Times New Roman" w:cs="Times New Roman"/>
          <w:sz w:val="24"/>
          <w:szCs w:val="24"/>
        </w:rPr>
      </w:pPr>
      <w:r w:rsidRPr="00AA2949">
        <w:rPr>
          <w:rFonts w:ascii="Times New Roman" w:hAnsi="Times New Roman" w:cs="Times New Roman"/>
          <w:sz w:val="24"/>
          <w:szCs w:val="24"/>
        </w:rPr>
        <w:t xml:space="preserve">Osborne, J. (2000). Science for </w:t>
      </w:r>
      <w:r w:rsidR="00F07F3B" w:rsidRPr="00AA2949">
        <w:rPr>
          <w:rFonts w:ascii="Times New Roman" w:hAnsi="Times New Roman" w:cs="Times New Roman"/>
          <w:sz w:val="24"/>
          <w:szCs w:val="24"/>
        </w:rPr>
        <w:t>c</w:t>
      </w:r>
      <w:r w:rsidRPr="00AA2949">
        <w:rPr>
          <w:rFonts w:ascii="Times New Roman" w:hAnsi="Times New Roman" w:cs="Times New Roman"/>
          <w:sz w:val="24"/>
          <w:szCs w:val="24"/>
        </w:rPr>
        <w:t>itizenship. In</w:t>
      </w:r>
      <w:r w:rsidR="00F07F3B" w:rsidRPr="00AA2949">
        <w:rPr>
          <w:rFonts w:ascii="Times New Roman" w:hAnsi="Times New Roman" w:cs="Times New Roman"/>
          <w:sz w:val="24"/>
          <w:szCs w:val="24"/>
        </w:rPr>
        <w:t>:</w:t>
      </w:r>
      <w:r w:rsidRPr="00AA2949">
        <w:rPr>
          <w:rFonts w:ascii="Times New Roman" w:hAnsi="Times New Roman" w:cs="Times New Roman"/>
          <w:sz w:val="24"/>
          <w:szCs w:val="24"/>
        </w:rPr>
        <w:t xml:space="preserve"> J. Osborne </w:t>
      </w:r>
      <w:r w:rsidR="0000404E" w:rsidRPr="00AA2949">
        <w:rPr>
          <w:rFonts w:ascii="Times New Roman" w:hAnsi="Times New Roman" w:cs="Times New Roman"/>
          <w:sz w:val="24"/>
          <w:szCs w:val="24"/>
        </w:rPr>
        <w:t>and</w:t>
      </w:r>
      <w:r w:rsidRPr="00AA2949">
        <w:rPr>
          <w:rFonts w:ascii="Times New Roman" w:hAnsi="Times New Roman" w:cs="Times New Roman"/>
          <w:sz w:val="24"/>
          <w:szCs w:val="24"/>
        </w:rPr>
        <w:t xml:space="preserve"> M. Monk</w:t>
      </w:r>
      <w:r w:rsidR="00F07F3B" w:rsidRPr="00AA2949">
        <w:rPr>
          <w:rFonts w:ascii="Times New Roman" w:hAnsi="Times New Roman" w:cs="Times New Roman"/>
          <w:sz w:val="24"/>
          <w:szCs w:val="24"/>
        </w:rPr>
        <w:t>,</w:t>
      </w:r>
      <w:r w:rsidRPr="00AA2949">
        <w:rPr>
          <w:rFonts w:ascii="Times New Roman" w:hAnsi="Times New Roman" w:cs="Times New Roman"/>
          <w:sz w:val="24"/>
          <w:szCs w:val="24"/>
        </w:rPr>
        <w:t xml:space="preserve"> </w:t>
      </w:r>
      <w:r w:rsidR="00F07F3B" w:rsidRPr="00AA2949">
        <w:rPr>
          <w:rFonts w:ascii="Times New Roman" w:hAnsi="Times New Roman" w:cs="Times New Roman"/>
          <w:sz w:val="24"/>
          <w:szCs w:val="24"/>
        </w:rPr>
        <w:t>e</w:t>
      </w:r>
      <w:r w:rsidRPr="00AA2949">
        <w:rPr>
          <w:rFonts w:ascii="Times New Roman" w:hAnsi="Times New Roman" w:cs="Times New Roman"/>
          <w:sz w:val="24"/>
          <w:szCs w:val="24"/>
        </w:rPr>
        <w:t>ds</w:t>
      </w:r>
      <w:r w:rsidR="00F07F3B" w:rsidRPr="00AA2949">
        <w:rPr>
          <w:rFonts w:ascii="Times New Roman" w:hAnsi="Times New Roman" w:cs="Times New Roman"/>
          <w:sz w:val="24"/>
          <w:szCs w:val="24"/>
        </w:rPr>
        <w:t>,</w:t>
      </w:r>
      <w:r w:rsidRPr="00AA2949">
        <w:rPr>
          <w:rFonts w:ascii="Times New Roman" w:hAnsi="Times New Roman" w:cs="Times New Roman"/>
          <w:sz w:val="24"/>
          <w:szCs w:val="24"/>
        </w:rPr>
        <w:t xml:space="preserve"> </w:t>
      </w:r>
      <w:r w:rsidRPr="00AA2949">
        <w:rPr>
          <w:rFonts w:ascii="Times New Roman" w:hAnsi="Times New Roman" w:cs="Times New Roman"/>
          <w:i/>
          <w:sz w:val="24"/>
          <w:szCs w:val="24"/>
        </w:rPr>
        <w:t xml:space="preserve">Good </w:t>
      </w:r>
      <w:r w:rsidR="00F07F3B" w:rsidRPr="00AA2949">
        <w:rPr>
          <w:rFonts w:ascii="Times New Roman" w:hAnsi="Times New Roman" w:cs="Times New Roman"/>
          <w:i/>
          <w:sz w:val="24"/>
          <w:szCs w:val="24"/>
        </w:rPr>
        <w:t>practice in science teaching</w:t>
      </w:r>
      <w:r w:rsidRPr="00AA2949">
        <w:rPr>
          <w:rFonts w:ascii="Times New Roman" w:hAnsi="Times New Roman" w:cs="Times New Roman"/>
          <w:i/>
          <w:sz w:val="24"/>
          <w:szCs w:val="24"/>
        </w:rPr>
        <w:t xml:space="preserve">: What </w:t>
      </w:r>
      <w:r w:rsidR="00F07F3B" w:rsidRPr="00AA2949">
        <w:rPr>
          <w:rFonts w:ascii="Times New Roman" w:hAnsi="Times New Roman" w:cs="Times New Roman"/>
          <w:i/>
          <w:sz w:val="24"/>
          <w:szCs w:val="24"/>
        </w:rPr>
        <w:t>research has to say</w:t>
      </w:r>
      <w:r w:rsidRPr="00AA2949">
        <w:rPr>
          <w:rFonts w:ascii="Times New Roman" w:hAnsi="Times New Roman" w:cs="Times New Roman"/>
          <w:sz w:val="24"/>
          <w:szCs w:val="24"/>
        </w:rPr>
        <w:t>. Berkshire</w:t>
      </w:r>
      <w:r w:rsidR="00F07F3B" w:rsidRPr="00AA2949">
        <w:rPr>
          <w:rFonts w:ascii="Times New Roman" w:hAnsi="Times New Roman" w:cs="Times New Roman"/>
          <w:sz w:val="24"/>
          <w:szCs w:val="24"/>
        </w:rPr>
        <w:t>, UK</w:t>
      </w:r>
      <w:r w:rsidRPr="00AA2949">
        <w:rPr>
          <w:rFonts w:ascii="Times New Roman" w:hAnsi="Times New Roman" w:cs="Times New Roman"/>
          <w:sz w:val="24"/>
          <w:szCs w:val="24"/>
        </w:rPr>
        <w:t>: Open University Press</w:t>
      </w:r>
      <w:r w:rsidR="00F07F3B" w:rsidRPr="00AA2949">
        <w:rPr>
          <w:rFonts w:ascii="Times New Roman" w:hAnsi="Times New Roman" w:cs="Times New Roman"/>
          <w:sz w:val="24"/>
          <w:szCs w:val="24"/>
        </w:rPr>
        <w:t>, pp. 46–67</w:t>
      </w:r>
      <w:r w:rsidRPr="00AA2949">
        <w:rPr>
          <w:rFonts w:ascii="Times New Roman" w:hAnsi="Times New Roman" w:cs="Times New Roman"/>
          <w:sz w:val="24"/>
          <w:szCs w:val="24"/>
        </w:rPr>
        <w:t>.</w:t>
      </w:r>
    </w:p>
    <w:p w:rsidR="004F7068" w:rsidRPr="00AA2949" w:rsidRDefault="004F7068" w:rsidP="00F979B4">
      <w:pPr>
        <w:pStyle w:val="References"/>
        <w:spacing w:before="0" w:line="240" w:lineRule="auto"/>
        <w:ind w:left="709" w:hanging="709"/>
        <w:contextualSpacing w:val="0"/>
      </w:pPr>
      <w:r w:rsidRPr="00AA2949">
        <w:t xml:space="preserve">Pitt, J. (2009). Blurring the </w:t>
      </w:r>
      <w:r w:rsidR="00F07F3B" w:rsidRPr="00AA2949">
        <w:t>b</w:t>
      </w:r>
      <w:r w:rsidRPr="00AA2949">
        <w:t xml:space="preserve">oundaries – STEM </w:t>
      </w:r>
      <w:r w:rsidR="00F07F3B" w:rsidRPr="00AA2949">
        <w:t>education and education for sustainable development</w:t>
      </w:r>
      <w:r w:rsidRPr="00AA2949">
        <w:t xml:space="preserve">. </w:t>
      </w:r>
      <w:r w:rsidRPr="00AA2949">
        <w:rPr>
          <w:i/>
        </w:rPr>
        <w:t>Design and Technology Education: An International Journal</w:t>
      </w:r>
      <w:r w:rsidRPr="00AA2949">
        <w:t xml:space="preserve">, 14(1), </w:t>
      </w:r>
      <w:r w:rsidR="00F07F3B" w:rsidRPr="00AA2949">
        <w:t xml:space="preserve">pp. </w:t>
      </w:r>
      <w:r w:rsidRPr="00AA2949">
        <w:t>37</w:t>
      </w:r>
      <w:r w:rsidR="00F07F3B" w:rsidRPr="00AA2949">
        <w:t>–</w:t>
      </w:r>
      <w:r w:rsidRPr="00AA2949">
        <w:t>48.</w:t>
      </w:r>
    </w:p>
    <w:p w:rsidR="004F7068" w:rsidRPr="00AA2949" w:rsidRDefault="004F7068" w:rsidP="00F979B4">
      <w:pPr>
        <w:pStyle w:val="References"/>
        <w:spacing w:before="0" w:line="240" w:lineRule="auto"/>
        <w:ind w:left="709" w:hanging="709"/>
        <w:contextualSpacing w:val="0"/>
      </w:pPr>
      <w:r w:rsidRPr="00AA2949">
        <w:t xml:space="preserve">Public Health England (2018). </w:t>
      </w:r>
      <w:r w:rsidRPr="00AA2949">
        <w:rPr>
          <w:i/>
        </w:rPr>
        <w:t xml:space="preserve">Wellbeing and </w:t>
      </w:r>
      <w:r w:rsidR="00F07F3B" w:rsidRPr="00AA2949">
        <w:rPr>
          <w:i/>
        </w:rPr>
        <w:t>mental health:</w:t>
      </w:r>
      <w:r w:rsidRPr="00AA2949">
        <w:rPr>
          <w:i/>
        </w:rPr>
        <w:t xml:space="preserve"> Applying all our </w:t>
      </w:r>
      <w:r w:rsidR="00F07F3B" w:rsidRPr="00AA2949">
        <w:rPr>
          <w:i/>
        </w:rPr>
        <w:t>h</w:t>
      </w:r>
      <w:r w:rsidRPr="00AA2949">
        <w:rPr>
          <w:i/>
        </w:rPr>
        <w:t>ealth.</w:t>
      </w:r>
      <w:r w:rsidRPr="00AA2949">
        <w:t xml:space="preserve"> </w:t>
      </w:r>
      <w:r w:rsidR="00F07F3B" w:rsidRPr="00AA2949">
        <w:t xml:space="preserve">London: Public Health England. </w:t>
      </w:r>
      <w:r w:rsidR="00F07F3B" w:rsidRPr="00AA2949">
        <w:rPr>
          <w:shd w:val="clear" w:color="auto" w:fill="FFFFFF"/>
        </w:rPr>
        <w:t>Available at:</w:t>
      </w:r>
      <w:r w:rsidR="00F07F3B" w:rsidRPr="00AA2949">
        <w:t xml:space="preserve"> </w:t>
      </w:r>
      <w:r w:rsidRPr="00AA2949">
        <w:rPr>
          <w:rFonts w:eastAsiaTheme="minorEastAsia"/>
        </w:rPr>
        <w:t>https://www.gov.uk/government/publications/wellbeing-in-mental-health-applying-all-our-health/wellbeing-in-mental-health-applying-all-our-health</w:t>
      </w:r>
      <w:r w:rsidR="00F07F3B" w:rsidRPr="00AA2949">
        <w:rPr>
          <w:rFonts w:eastAsiaTheme="minorEastAsia"/>
        </w:rPr>
        <w:t xml:space="preserve"> </w:t>
      </w:r>
      <w:r w:rsidR="00F07F3B" w:rsidRPr="00AA2949">
        <w:t>[Accessed 18 Aug. 2019].</w:t>
      </w:r>
    </w:p>
    <w:p w:rsidR="004F7068" w:rsidRPr="00AA2949" w:rsidRDefault="004F7068" w:rsidP="00F979B4">
      <w:pPr>
        <w:pStyle w:val="References"/>
        <w:spacing w:before="0" w:line="240" w:lineRule="auto"/>
        <w:ind w:left="709" w:hanging="709"/>
        <w:contextualSpacing w:val="0"/>
      </w:pPr>
      <w:r w:rsidRPr="00AA2949">
        <w:t xml:space="preserve">Rautio, P. (2013). Children </w:t>
      </w:r>
      <w:r w:rsidR="00F07F3B" w:rsidRPr="00AA2949">
        <w:t>who carry stones in their pockets</w:t>
      </w:r>
      <w:r w:rsidRPr="00AA2949">
        <w:t xml:space="preserve">: On </w:t>
      </w:r>
      <w:r w:rsidR="00F07F3B" w:rsidRPr="00AA2949">
        <w:t>autotelic material practices in everyday life</w:t>
      </w:r>
      <w:r w:rsidRPr="00AA2949">
        <w:t xml:space="preserve">. </w:t>
      </w:r>
      <w:r w:rsidRPr="00AA2949">
        <w:rPr>
          <w:i/>
        </w:rPr>
        <w:t>Children’s Geographies</w:t>
      </w:r>
      <w:r w:rsidRPr="00AA2949">
        <w:t xml:space="preserve">, 11(4), </w:t>
      </w:r>
      <w:r w:rsidR="00F07F3B" w:rsidRPr="00AA2949">
        <w:t xml:space="preserve">pp. </w:t>
      </w:r>
      <w:r w:rsidRPr="00AA2949">
        <w:t xml:space="preserve">394–408. </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Robeyns, I. (2006). The </w:t>
      </w:r>
      <w:r w:rsidR="00F07F3B" w:rsidRPr="00AA2949">
        <w:rPr>
          <w:rFonts w:ascii="Times New Roman" w:hAnsi="Times New Roman" w:cs="Times New Roman"/>
          <w:color w:val="000000"/>
          <w:sz w:val="24"/>
          <w:szCs w:val="24"/>
        </w:rPr>
        <w:t>capability approach in practice</w:t>
      </w:r>
      <w:r w:rsidRPr="00AA2949">
        <w:rPr>
          <w:rFonts w:ascii="Times New Roman" w:hAnsi="Times New Roman" w:cs="Times New Roman"/>
          <w:color w:val="000000"/>
          <w:sz w:val="24"/>
          <w:szCs w:val="24"/>
        </w:rPr>
        <w:t xml:space="preserve">. </w:t>
      </w:r>
      <w:r w:rsidRPr="00AA2949">
        <w:rPr>
          <w:rFonts w:ascii="Times New Roman" w:hAnsi="Times New Roman" w:cs="Times New Roman"/>
          <w:i/>
          <w:color w:val="000000"/>
          <w:sz w:val="24"/>
          <w:szCs w:val="24"/>
        </w:rPr>
        <w:t>Journal of Political Philosophy</w:t>
      </w:r>
      <w:r w:rsidRPr="00AA2949">
        <w:rPr>
          <w:rFonts w:ascii="Times New Roman" w:hAnsi="Times New Roman" w:cs="Times New Roman"/>
          <w:color w:val="000000"/>
          <w:sz w:val="24"/>
          <w:szCs w:val="24"/>
        </w:rPr>
        <w:t>,</w:t>
      </w:r>
      <w:r w:rsidRPr="00AA2949">
        <w:rPr>
          <w:rFonts w:ascii="Times New Roman" w:hAnsi="Times New Roman" w:cs="Times New Roman"/>
          <w:i/>
          <w:color w:val="000000"/>
          <w:sz w:val="24"/>
          <w:szCs w:val="24"/>
        </w:rPr>
        <w:t xml:space="preserve"> </w:t>
      </w:r>
      <w:r w:rsidRPr="00AA2949">
        <w:rPr>
          <w:rFonts w:ascii="Times New Roman" w:hAnsi="Times New Roman" w:cs="Times New Roman"/>
          <w:color w:val="000000"/>
          <w:sz w:val="24"/>
          <w:szCs w:val="24"/>
        </w:rPr>
        <w:t>14(3),</w:t>
      </w:r>
      <w:r w:rsidR="00F07F3B" w:rsidRPr="00AA2949">
        <w:rPr>
          <w:rFonts w:ascii="Times New Roman" w:hAnsi="Times New Roman" w:cs="Times New Roman"/>
          <w:color w:val="000000"/>
          <w:sz w:val="24"/>
          <w:szCs w:val="24"/>
        </w:rPr>
        <w:t xml:space="preserve"> pp.</w:t>
      </w:r>
      <w:r w:rsidRPr="00AA2949">
        <w:rPr>
          <w:rFonts w:ascii="Times New Roman" w:hAnsi="Times New Roman" w:cs="Times New Roman"/>
          <w:color w:val="000000"/>
          <w:sz w:val="24"/>
          <w:szCs w:val="24"/>
        </w:rPr>
        <w:t xml:space="preserve"> 351</w:t>
      </w:r>
      <w:r w:rsidR="00F07F3B"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376.</w:t>
      </w:r>
    </w:p>
    <w:p w:rsidR="00A56955" w:rsidRPr="00AA2949" w:rsidRDefault="00A56955" w:rsidP="00F979B4">
      <w:pPr>
        <w:pStyle w:val="References"/>
        <w:spacing w:before="0" w:line="240" w:lineRule="auto"/>
        <w:ind w:left="709" w:hanging="709"/>
        <w:rPr>
          <w:color w:val="000000" w:themeColor="text1"/>
          <w:shd w:val="clear" w:color="auto" w:fill="FFFFFF"/>
        </w:rPr>
      </w:pPr>
      <w:r w:rsidRPr="00AA2949">
        <w:rPr>
          <w:shd w:val="clear" w:color="auto" w:fill="FFFFFF"/>
        </w:rPr>
        <w:t>Rocard, M.</w:t>
      </w:r>
      <w:r w:rsidR="00F979B4" w:rsidRPr="00AA2949">
        <w:rPr>
          <w:shd w:val="clear" w:color="auto" w:fill="FFFFFF"/>
        </w:rPr>
        <w:t>, Csermeley, P., Jorde, D., Lenzen, D., Walberg-Henriksson, H. and Hemmo, V.</w:t>
      </w:r>
      <w:r w:rsidRPr="00AA2949">
        <w:rPr>
          <w:shd w:val="clear" w:color="auto" w:fill="FFFFFF"/>
        </w:rPr>
        <w:t xml:space="preserve"> (2007). </w:t>
      </w:r>
      <w:r w:rsidRPr="00AA2949">
        <w:rPr>
          <w:i/>
          <w:shd w:val="clear" w:color="auto" w:fill="FFFFFF"/>
        </w:rPr>
        <w:t xml:space="preserve">Science </w:t>
      </w:r>
      <w:r w:rsidR="00F979B4" w:rsidRPr="00AA2949">
        <w:rPr>
          <w:i/>
          <w:shd w:val="clear" w:color="auto" w:fill="FFFFFF"/>
        </w:rPr>
        <w:t>e</w:t>
      </w:r>
      <w:r w:rsidRPr="00AA2949">
        <w:rPr>
          <w:i/>
          <w:shd w:val="clear" w:color="auto" w:fill="FFFFFF"/>
        </w:rPr>
        <w:t xml:space="preserve">ducation NOW: A renewed </w:t>
      </w:r>
      <w:r w:rsidR="00F979B4" w:rsidRPr="00AA2949">
        <w:rPr>
          <w:i/>
          <w:shd w:val="clear" w:color="auto" w:fill="FFFFFF"/>
        </w:rPr>
        <w:t xml:space="preserve">pedagogy for the future </w:t>
      </w:r>
      <w:r w:rsidRPr="00AA2949">
        <w:rPr>
          <w:i/>
          <w:shd w:val="clear" w:color="auto" w:fill="FFFFFF"/>
        </w:rPr>
        <w:t>of Europe</w:t>
      </w:r>
      <w:r w:rsidR="00F979B4" w:rsidRPr="00AA2949">
        <w:rPr>
          <w:i/>
          <w:shd w:val="clear" w:color="auto" w:fill="FFFFFF"/>
        </w:rPr>
        <w:t>.</w:t>
      </w:r>
      <w:r w:rsidRPr="00AA2949">
        <w:rPr>
          <w:i/>
          <w:shd w:val="clear" w:color="auto" w:fill="FFFFFF"/>
        </w:rPr>
        <w:t xml:space="preserve"> </w:t>
      </w:r>
      <w:r w:rsidRPr="00AA2949">
        <w:rPr>
          <w:shd w:val="clear" w:color="auto" w:fill="FFFFFF"/>
        </w:rPr>
        <w:t xml:space="preserve">Brussels: European Commission. </w:t>
      </w:r>
      <w:r w:rsidR="00F979B4" w:rsidRPr="00AA2949">
        <w:rPr>
          <w:shd w:val="clear" w:color="auto" w:fill="FFFFFF"/>
        </w:rPr>
        <w:t>Available at</w:t>
      </w:r>
      <w:r w:rsidRPr="00AA2949">
        <w:rPr>
          <w:shd w:val="clear" w:color="auto" w:fill="FFFFFF"/>
        </w:rPr>
        <w:t xml:space="preserve">: </w:t>
      </w:r>
      <w:hyperlink r:id="rId14" w:history="1">
        <w:r w:rsidR="00F979B4" w:rsidRPr="00AA2949">
          <w:rPr>
            <w:rStyle w:val="Hyperlink"/>
            <w:color w:val="000000" w:themeColor="text1"/>
            <w:u w:val="none"/>
          </w:rPr>
          <w:t>https://ec.europa.eu/research/science-society/document_library/pdf_06/report-rocard-on-science-education_en.pdf</w:t>
        </w:r>
      </w:hyperlink>
      <w:r w:rsidR="00F979B4" w:rsidRPr="00AA2949">
        <w:rPr>
          <w:color w:val="000000" w:themeColor="text1"/>
        </w:rPr>
        <w:t xml:space="preserve"> [Accessed 18 Aug. 2019].</w:t>
      </w:r>
    </w:p>
    <w:p w:rsidR="004F7068" w:rsidRPr="00AA2949" w:rsidRDefault="004F7068" w:rsidP="00F979B4">
      <w:pPr>
        <w:pStyle w:val="References"/>
        <w:spacing w:before="0" w:line="240" w:lineRule="auto"/>
        <w:ind w:left="709" w:hanging="709"/>
        <w:contextualSpacing w:val="0"/>
        <w:rPr>
          <w:color w:val="000000"/>
        </w:rPr>
      </w:pPr>
      <w:r w:rsidRPr="00AA2949">
        <w:t>Roschelle</w:t>
      </w:r>
      <w:r w:rsidR="00F07F3B" w:rsidRPr="00AA2949">
        <w:t>,</w:t>
      </w:r>
      <w:r w:rsidRPr="00AA2949">
        <w:t xml:space="preserve"> J</w:t>
      </w:r>
      <w:r w:rsidR="00F07F3B" w:rsidRPr="00AA2949">
        <w:t>.</w:t>
      </w:r>
      <w:r w:rsidRPr="00AA2949">
        <w:t>, Bakia</w:t>
      </w:r>
      <w:r w:rsidR="00F07F3B" w:rsidRPr="00AA2949">
        <w:t>,</w:t>
      </w:r>
      <w:r w:rsidRPr="00AA2949">
        <w:t xml:space="preserve"> M</w:t>
      </w:r>
      <w:r w:rsidR="00F07F3B" w:rsidRPr="00AA2949">
        <w:t>.</w:t>
      </w:r>
      <w:r w:rsidRPr="00AA2949">
        <w:t>, Toyama</w:t>
      </w:r>
      <w:r w:rsidR="00F07F3B" w:rsidRPr="00AA2949">
        <w:t>,</w:t>
      </w:r>
      <w:r w:rsidRPr="00AA2949">
        <w:t xml:space="preserve"> Y</w:t>
      </w:r>
      <w:r w:rsidR="00F07F3B" w:rsidRPr="00AA2949">
        <w:t>.</w:t>
      </w:r>
      <w:r w:rsidRPr="00AA2949">
        <w:t xml:space="preserve"> </w:t>
      </w:r>
      <w:r w:rsidR="0000404E" w:rsidRPr="00AA2949">
        <w:t>and</w:t>
      </w:r>
      <w:r w:rsidRPr="00AA2949">
        <w:t xml:space="preserve"> Patton, C. (2011). Eight issues for learning scientists about education and the economy. </w:t>
      </w:r>
      <w:r w:rsidRPr="00AA2949">
        <w:rPr>
          <w:i/>
        </w:rPr>
        <w:t>Journal of Learning Sciences</w:t>
      </w:r>
      <w:r w:rsidRPr="00AA2949">
        <w:t xml:space="preserve">, 20, </w:t>
      </w:r>
      <w:r w:rsidR="00F07F3B" w:rsidRPr="00AA2949">
        <w:t xml:space="preserve">pp. </w:t>
      </w:r>
      <w:r w:rsidRPr="00AA2949">
        <w:t>3–49.</w:t>
      </w:r>
    </w:p>
    <w:p w:rsidR="004F7068" w:rsidRPr="00AA2949" w:rsidRDefault="004F7068" w:rsidP="00F979B4">
      <w:pPr>
        <w:pStyle w:val="References"/>
        <w:spacing w:before="0" w:line="240" w:lineRule="auto"/>
        <w:ind w:left="709" w:hanging="709"/>
        <w:contextualSpacing w:val="0"/>
      </w:pPr>
      <w:r w:rsidRPr="00AA2949">
        <w:t>Rose, G.</w:t>
      </w:r>
      <w:r w:rsidRPr="00AA2949" w:rsidDel="005177D2">
        <w:t xml:space="preserve"> </w:t>
      </w:r>
      <w:r w:rsidRPr="00AA2949">
        <w:t xml:space="preserve">(2005). </w:t>
      </w:r>
      <w:r w:rsidRPr="00AA2949">
        <w:rPr>
          <w:i/>
        </w:rPr>
        <w:t xml:space="preserve">Visual </w:t>
      </w:r>
      <w:r w:rsidR="00F07F3B" w:rsidRPr="00AA2949">
        <w:rPr>
          <w:i/>
        </w:rPr>
        <w:t>m</w:t>
      </w:r>
      <w:r w:rsidRPr="00AA2949">
        <w:rPr>
          <w:i/>
        </w:rPr>
        <w:t>ethodologies.</w:t>
      </w:r>
      <w:r w:rsidRPr="00AA2949">
        <w:t xml:space="preserve"> London: Sage.</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Saito, M. (2003). Amartya Sen’s </w:t>
      </w:r>
      <w:r w:rsidR="00F07F3B" w:rsidRPr="00AA2949">
        <w:rPr>
          <w:rFonts w:ascii="Times New Roman" w:hAnsi="Times New Roman" w:cs="Times New Roman"/>
          <w:color w:val="000000"/>
          <w:sz w:val="24"/>
          <w:szCs w:val="24"/>
        </w:rPr>
        <w:t>capability approach to education</w:t>
      </w:r>
      <w:r w:rsidRPr="00AA2949">
        <w:rPr>
          <w:rFonts w:ascii="Times New Roman" w:hAnsi="Times New Roman" w:cs="Times New Roman"/>
          <w:color w:val="000000"/>
          <w:sz w:val="24"/>
          <w:szCs w:val="24"/>
        </w:rPr>
        <w:t xml:space="preserve">: A </w:t>
      </w:r>
      <w:r w:rsidR="00F07F3B" w:rsidRPr="00AA2949">
        <w:rPr>
          <w:rFonts w:ascii="Times New Roman" w:hAnsi="Times New Roman" w:cs="Times New Roman"/>
          <w:color w:val="000000"/>
          <w:sz w:val="24"/>
          <w:szCs w:val="24"/>
        </w:rPr>
        <w:t xml:space="preserve">critical exploration. </w:t>
      </w:r>
      <w:r w:rsidRPr="00AA2949">
        <w:rPr>
          <w:rFonts w:ascii="Times New Roman" w:hAnsi="Times New Roman" w:cs="Times New Roman"/>
          <w:i/>
          <w:color w:val="000000"/>
          <w:sz w:val="24"/>
          <w:szCs w:val="24"/>
        </w:rPr>
        <w:t>Journal of Philosophy of Education</w:t>
      </w:r>
      <w:r w:rsidRPr="00AA2949">
        <w:rPr>
          <w:rFonts w:ascii="Times New Roman" w:hAnsi="Times New Roman" w:cs="Times New Roman"/>
          <w:color w:val="000000"/>
          <w:sz w:val="24"/>
          <w:szCs w:val="24"/>
        </w:rPr>
        <w:t xml:space="preserve">, 37(1), </w:t>
      </w:r>
      <w:r w:rsidR="00F07F3B"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17</w:t>
      </w:r>
      <w:r w:rsidR="00F07F3B"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33.</w:t>
      </w:r>
    </w:p>
    <w:p w:rsidR="004F7068" w:rsidRPr="00AA2949" w:rsidRDefault="004F7068" w:rsidP="00F979B4">
      <w:pPr>
        <w:pStyle w:val="References"/>
        <w:spacing w:before="0" w:line="240" w:lineRule="auto"/>
        <w:ind w:left="709" w:hanging="709"/>
      </w:pPr>
      <w:r w:rsidRPr="00AA2949">
        <w:t xml:space="preserve">Scott, K. (2012). </w:t>
      </w:r>
      <w:r w:rsidRPr="00AA2949">
        <w:rPr>
          <w:i/>
          <w:shd w:val="clear" w:color="auto" w:fill="FFFFFF"/>
        </w:rPr>
        <w:t xml:space="preserve">Measuring </w:t>
      </w:r>
      <w:r w:rsidR="00F07F3B" w:rsidRPr="00AA2949">
        <w:rPr>
          <w:i/>
          <w:shd w:val="clear" w:color="auto" w:fill="FFFFFF"/>
        </w:rPr>
        <w:t>w</w:t>
      </w:r>
      <w:r w:rsidRPr="00AA2949">
        <w:rPr>
          <w:i/>
          <w:shd w:val="clear" w:color="auto" w:fill="FFFFFF"/>
        </w:rPr>
        <w:t xml:space="preserve">ellbeing: Towards </w:t>
      </w:r>
      <w:r w:rsidR="00F07F3B" w:rsidRPr="00AA2949">
        <w:rPr>
          <w:i/>
          <w:shd w:val="clear" w:color="auto" w:fill="FFFFFF"/>
        </w:rPr>
        <w:t>s</w:t>
      </w:r>
      <w:r w:rsidRPr="00AA2949">
        <w:rPr>
          <w:i/>
          <w:shd w:val="clear" w:color="auto" w:fill="FFFFFF"/>
        </w:rPr>
        <w:t>ustainability?</w:t>
      </w:r>
      <w:r w:rsidRPr="00AA2949">
        <w:rPr>
          <w:shd w:val="clear" w:color="auto" w:fill="FFFFFF"/>
        </w:rPr>
        <w:t xml:space="preserve"> London: Routledge.</w:t>
      </w:r>
    </w:p>
    <w:p w:rsidR="004F7068" w:rsidRPr="00AA2949" w:rsidRDefault="004F7068" w:rsidP="00F979B4">
      <w:pPr>
        <w:spacing w:after="0" w:line="240" w:lineRule="auto"/>
        <w:ind w:left="709" w:hanging="709"/>
        <w:textAlignment w:val="baseline"/>
        <w:rPr>
          <w:rStyle w:val="doilink"/>
          <w:rFonts w:ascii="Times New Roman" w:hAnsi="Times New Roman" w:cs="Times New Roman"/>
          <w:sz w:val="24"/>
          <w:szCs w:val="24"/>
          <w:shd w:val="clear" w:color="auto" w:fill="FFFFFF"/>
        </w:rPr>
      </w:pPr>
      <w:r w:rsidRPr="00AA2949">
        <w:rPr>
          <w:rStyle w:val="authors"/>
          <w:rFonts w:ascii="Times New Roman" w:eastAsiaTheme="majorEastAsia" w:hAnsi="Times New Roman" w:cs="Times New Roman"/>
          <w:sz w:val="24"/>
          <w:szCs w:val="24"/>
          <w:shd w:val="clear" w:color="auto" w:fill="FFFFFF"/>
        </w:rPr>
        <w:t xml:space="preserve">Secker, J., Heydinrych, K., Kent, L. </w:t>
      </w:r>
      <w:r w:rsidR="0000404E" w:rsidRPr="00AA2949">
        <w:rPr>
          <w:rStyle w:val="authors"/>
          <w:rFonts w:ascii="Times New Roman" w:eastAsiaTheme="majorEastAsia" w:hAnsi="Times New Roman" w:cs="Times New Roman"/>
          <w:sz w:val="24"/>
          <w:szCs w:val="24"/>
          <w:shd w:val="clear" w:color="auto" w:fill="FFFFFF"/>
        </w:rPr>
        <w:t>and</w:t>
      </w:r>
      <w:r w:rsidRPr="00AA2949">
        <w:rPr>
          <w:rStyle w:val="authors"/>
          <w:rFonts w:ascii="Times New Roman" w:eastAsiaTheme="majorEastAsia" w:hAnsi="Times New Roman" w:cs="Times New Roman"/>
          <w:sz w:val="24"/>
          <w:szCs w:val="24"/>
          <w:shd w:val="clear" w:color="auto" w:fill="FFFFFF"/>
        </w:rPr>
        <w:t xml:space="preserve"> Keay, J.</w:t>
      </w:r>
      <w:r w:rsidRPr="00AA2949">
        <w:rPr>
          <w:rFonts w:ascii="Times New Roman" w:hAnsi="Times New Roman" w:cs="Times New Roman"/>
          <w:sz w:val="24"/>
          <w:szCs w:val="24"/>
          <w:shd w:val="clear" w:color="auto" w:fill="FFFFFF"/>
        </w:rPr>
        <w:t xml:space="preserve"> (</w:t>
      </w:r>
      <w:r w:rsidRPr="00AA2949">
        <w:rPr>
          <w:rStyle w:val="Date1"/>
          <w:rFonts w:ascii="Times New Roman" w:hAnsi="Times New Roman" w:cs="Times New Roman"/>
          <w:sz w:val="24"/>
          <w:szCs w:val="24"/>
          <w:shd w:val="clear" w:color="auto" w:fill="FFFFFF"/>
        </w:rPr>
        <w:t>2017).</w:t>
      </w:r>
      <w:r w:rsidR="004007D8" w:rsidRPr="00AA2949">
        <w:rPr>
          <w:rFonts w:ascii="Times New Roman" w:hAnsi="Times New Roman" w:cs="Times New Roman"/>
          <w:sz w:val="24"/>
          <w:szCs w:val="24"/>
          <w:shd w:val="clear" w:color="auto" w:fill="FFFFFF"/>
        </w:rPr>
        <w:t xml:space="preserve"> </w:t>
      </w:r>
      <w:r w:rsidRPr="00AA2949">
        <w:rPr>
          <w:rStyle w:val="arttitle"/>
          <w:rFonts w:ascii="Times New Roman" w:hAnsi="Times New Roman" w:cs="Times New Roman"/>
          <w:sz w:val="24"/>
          <w:szCs w:val="24"/>
          <w:shd w:val="clear" w:color="auto" w:fill="FFFFFF"/>
        </w:rPr>
        <w:t xml:space="preserve">Why art? Exploring the contribution to mental well-being of the creative aspects and processes of visual art-making in an arts and mental health course. </w:t>
      </w:r>
      <w:r w:rsidRPr="00AA2949">
        <w:rPr>
          <w:rStyle w:val="serialtitle"/>
          <w:rFonts w:ascii="Times New Roman" w:hAnsi="Times New Roman" w:cs="Times New Roman"/>
          <w:i/>
          <w:sz w:val="24"/>
          <w:szCs w:val="24"/>
          <w:shd w:val="clear" w:color="auto" w:fill="FFFFFF"/>
        </w:rPr>
        <w:t>Arts &amp; Health</w:t>
      </w:r>
      <w:r w:rsidRPr="00AA2949">
        <w:rPr>
          <w:rStyle w:val="serialtitle"/>
          <w:rFonts w:ascii="Times New Roman" w:hAnsi="Times New Roman" w:cs="Times New Roman"/>
          <w:sz w:val="24"/>
          <w:szCs w:val="24"/>
          <w:shd w:val="clear" w:color="auto" w:fill="FFFFFF"/>
        </w:rPr>
        <w:t>,</w:t>
      </w:r>
      <w:r w:rsidR="00F07F3B" w:rsidRPr="00AA2949">
        <w:rPr>
          <w:rFonts w:ascii="Times New Roman" w:hAnsi="Times New Roman" w:cs="Times New Roman"/>
          <w:sz w:val="24"/>
          <w:szCs w:val="24"/>
          <w:shd w:val="clear" w:color="auto" w:fill="FFFFFF"/>
        </w:rPr>
        <w:t xml:space="preserve"> </w:t>
      </w:r>
      <w:r w:rsidRPr="00AA2949">
        <w:rPr>
          <w:rStyle w:val="volumeissue"/>
          <w:rFonts w:ascii="Times New Roman" w:hAnsi="Times New Roman" w:cs="Times New Roman"/>
          <w:sz w:val="24"/>
          <w:szCs w:val="24"/>
          <w:shd w:val="clear" w:color="auto" w:fill="FFFFFF"/>
        </w:rPr>
        <w:t>10(1),</w:t>
      </w:r>
      <w:r w:rsidR="00F07F3B" w:rsidRPr="00AA2949">
        <w:rPr>
          <w:rFonts w:ascii="Times New Roman" w:hAnsi="Times New Roman" w:cs="Times New Roman"/>
          <w:sz w:val="24"/>
          <w:szCs w:val="24"/>
          <w:shd w:val="clear" w:color="auto" w:fill="FFFFFF"/>
        </w:rPr>
        <w:t xml:space="preserve"> pp. </w:t>
      </w:r>
      <w:r w:rsidRPr="00AA2949">
        <w:rPr>
          <w:rFonts w:ascii="Times New Roman" w:hAnsi="Times New Roman" w:cs="Times New Roman"/>
          <w:sz w:val="24"/>
          <w:szCs w:val="24"/>
          <w:shd w:val="clear" w:color="auto" w:fill="FFFFFF"/>
        </w:rPr>
        <w:t>7</w:t>
      </w:r>
      <w:r w:rsidRPr="00AA2949">
        <w:rPr>
          <w:rStyle w:val="pagerange"/>
          <w:rFonts w:ascii="Times New Roman" w:hAnsi="Times New Roman" w:cs="Times New Roman"/>
          <w:sz w:val="24"/>
          <w:szCs w:val="24"/>
          <w:shd w:val="clear" w:color="auto" w:fill="FFFFFF"/>
        </w:rPr>
        <w:t>2</w:t>
      </w:r>
      <w:r w:rsidR="00F07F3B" w:rsidRPr="00AA2949">
        <w:rPr>
          <w:rStyle w:val="pagerange"/>
          <w:rFonts w:ascii="Times New Roman" w:hAnsi="Times New Roman" w:cs="Times New Roman"/>
          <w:sz w:val="24"/>
          <w:szCs w:val="24"/>
          <w:shd w:val="clear" w:color="auto" w:fill="FFFFFF"/>
        </w:rPr>
        <w:t>–</w:t>
      </w:r>
      <w:r w:rsidRPr="00AA2949">
        <w:rPr>
          <w:rStyle w:val="pagerange"/>
          <w:rFonts w:ascii="Times New Roman" w:hAnsi="Times New Roman" w:cs="Times New Roman"/>
          <w:sz w:val="24"/>
          <w:szCs w:val="24"/>
          <w:shd w:val="clear" w:color="auto" w:fill="FFFFFF"/>
        </w:rPr>
        <w:t>84.</w:t>
      </w:r>
      <w:r w:rsidRPr="00AA2949">
        <w:rPr>
          <w:rFonts w:ascii="Times New Roman" w:hAnsi="Times New Roman" w:cs="Times New Roman"/>
          <w:sz w:val="24"/>
          <w:szCs w:val="24"/>
          <w:shd w:val="clear" w:color="auto" w:fill="FFFFFF"/>
        </w:rPr>
        <w:t xml:space="preserve"> </w:t>
      </w:r>
    </w:p>
    <w:p w:rsidR="004F7068" w:rsidRPr="00AA2949" w:rsidRDefault="004F7068" w:rsidP="00F979B4">
      <w:pPr>
        <w:pStyle w:val="References"/>
        <w:spacing w:before="0" w:line="240" w:lineRule="auto"/>
        <w:ind w:left="709" w:hanging="709"/>
      </w:pPr>
      <w:r w:rsidRPr="00AA2949">
        <w:rPr>
          <w:rStyle w:val="HTMLCite"/>
          <w:i w:val="0"/>
          <w:iCs w:val="0"/>
        </w:rPr>
        <w:t>Sen, A. (1980)</w:t>
      </w:r>
      <w:r w:rsidR="00F07F3B" w:rsidRPr="00AA2949">
        <w:rPr>
          <w:rStyle w:val="HTMLCite"/>
          <w:i w:val="0"/>
          <w:iCs w:val="0"/>
        </w:rPr>
        <w:t>.</w:t>
      </w:r>
      <w:r w:rsidRPr="00AA2949">
        <w:rPr>
          <w:rStyle w:val="HTMLCite"/>
          <w:i w:val="0"/>
          <w:iCs w:val="0"/>
        </w:rPr>
        <w:t xml:space="preserve"> Equality of what? In</w:t>
      </w:r>
      <w:r w:rsidR="00F07F3B" w:rsidRPr="00AA2949">
        <w:rPr>
          <w:rStyle w:val="HTMLCite"/>
          <w:i w:val="0"/>
          <w:iCs w:val="0"/>
        </w:rPr>
        <w:t>:</w:t>
      </w:r>
      <w:r w:rsidRPr="00AA2949">
        <w:rPr>
          <w:rStyle w:val="HTMLCite"/>
          <w:i w:val="0"/>
          <w:iCs w:val="0"/>
        </w:rPr>
        <w:t xml:space="preserve"> S.M. MacMurrin</w:t>
      </w:r>
      <w:r w:rsidR="00F07F3B" w:rsidRPr="00AA2949">
        <w:rPr>
          <w:rStyle w:val="HTMLCite"/>
          <w:i w:val="0"/>
          <w:iCs w:val="0"/>
        </w:rPr>
        <w:t>,</w:t>
      </w:r>
      <w:r w:rsidRPr="00AA2949">
        <w:rPr>
          <w:rStyle w:val="HTMLCite"/>
          <w:i w:val="0"/>
          <w:iCs w:val="0"/>
        </w:rPr>
        <w:t xml:space="preserve"> </w:t>
      </w:r>
      <w:r w:rsidR="00F07F3B" w:rsidRPr="00AA2949">
        <w:rPr>
          <w:rStyle w:val="HTMLCite"/>
          <w:i w:val="0"/>
          <w:iCs w:val="0"/>
        </w:rPr>
        <w:t>e</w:t>
      </w:r>
      <w:r w:rsidRPr="00AA2949">
        <w:rPr>
          <w:rStyle w:val="HTMLCite"/>
          <w:i w:val="0"/>
          <w:iCs w:val="0"/>
        </w:rPr>
        <w:t>d,</w:t>
      </w:r>
      <w:r w:rsidR="00F979B4" w:rsidRPr="00AA2949">
        <w:rPr>
          <w:rStyle w:val="HTMLCite"/>
          <w:i w:val="0"/>
          <w:iCs w:val="0"/>
        </w:rPr>
        <w:t xml:space="preserve"> </w:t>
      </w:r>
      <w:r w:rsidRPr="00AA2949">
        <w:rPr>
          <w:rStyle w:val="HTMLCite"/>
          <w:iCs w:val="0"/>
        </w:rPr>
        <w:t>The Tanner lectures on human values</w:t>
      </w:r>
      <w:r w:rsidR="00F07F3B" w:rsidRPr="00AA2949">
        <w:rPr>
          <w:rStyle w:val="HTMLCite"/>
          <w:i w:val="0"/>
          <w:iCs w:val="0"/>
        </w:rPr>
        <w:t>.</w:t>
      </w:r>
      <w:r w:rsidRPr="00AA2949">
        <w:rPr>
          <w:rStyle w:val="HTMLCite"/>
          <w:i w:val="0"/>
          <w:iCs w:val="0"/>
        </w:rPr>
        <w:t xml:space="preserve"> Salt Lake City, U</w:t>
      </w:r>
      <w:r w:rsidR="00A17FDC" w:rsidRPr="00AA2949">
        <w:rPr>
          <w:rStyle w:val="HTMLCite"/>
          <w:i w:val="0"/>
          <w:iCs w:val="0"/>
        </w:rPr>
        <w:t>T</w:t>
      </w:r>
      <w:r w:rsidRPr="00AA2949">
        <w:rPr>
          <w:rStyle w:val="HTMLCite"/>
          <w:i w:val="0"/>
          <w:iCs w:val="0"/>
        </w:rPr>
        <w:t>: University of Utah Press</w:t>
      </w:r>
      <w:r w:rsidR="00A17FDC" w:rsidRPr="00AA2949">
        <w:rPr>
          <w:rStyle w:val="HTMLCite"/>
          <w:i w:val="0"/>
          <w:iCs w:val="0"/>
        </w:rPr>
        <w:t>, pp. 195–220</w:t>
      </w:r>
      <w:r w:rsidRPr="00AA2949">
        <w:rPr>
          <w:rStyle w:val="HTMLCite"/>
          <w:i w:val="0"/>
          <w:iCs w:val="0"/>
        </w:rPr>
        <w:t>.</w:t>
      </w:r>
    </w:p>
    <w:p w:rsidR="00796326" w:rsidRPr="00CE206D" w:rsidRDefault="00796326" w:rsidP="00796326">
      <w:pPr>
        <w:pStyle w:val="References"/>
        <w:spacing w:before="0" w:line="240" w:lineRule="auto"/>
        <w:ind w:left="709" w:hanging="709"/>
        <w:contextualSpacing w:val="0"/>
        <w:rPr>
          <w:rStyle w:val="biblio-authors"/>
          <w:szCs w:val="22"/>
          <w:shd w:val="clear" w:color="auto" w:fill="FFFFFF"/>
        </w:rPr>
      </w:pPr>
      <w:proofErr w:type="spellStart"/>
      <w:r w:rsidRPr="00CE206D">
        <w:rPr>
          <w:rStyle w:val="biblio-authors"/>
          <w:szCs w:val="22"/>
          <w:shd w:val="clear" w:color="auto" w:fill="FFFFFF"/>
        </w:rPr>
        <w:lastRenderedPageBreak/>
        <w:t>Sen</w:t>
      </w:r>
      <w:proofErr w:type="spellEnd"/>
      <w:r w:rsidRPr="00CE206D">
        <w:rPr>
          <w:rStyle w:val="biblio-authors"/>
          <w:szCs w:val="22"/>
          <w:shd w:val="clear" w:color="auto" w:fill="FFFFFF"/>
        </w:rPr>
        <w:t xml:space="preserve"> A</w:t>
      </w:r>
      <w:r w:rsidRPr="00CE206D">
        <w:rPr>
          <w:shd w:val="clear" w:color="auto" w:fill="FFFFFF"/>
        </w:rPr>
        <w:t xml:space="preserve">. </w:t>
      </w:r>
      <w:r>
        <w:rPr>
          <w:shd w:val="clear" w:color="auto" w:fill="FFFFFF"/>
        </w:rPr>
        <w:t>(</w:t>
      </w:r>
      <w:r w:rsidRPr="00CE206D">
        <w:rPr>
          <w:shd w:val="clear" w:color="auto" w:fill="FFFFFF"/>
        </w:rPr>
        <w:t>1989</w:t>
      </w:r>
      <w:r>
        <w:rPr>
          <w:shd w:val="clear" w:color="auto" w:fill="FFFFFF"/>
        </w:rPr>
        <w:t>)</w:t>
      </w:r>
      <w:r w:rsidRPr="00CE206D">
        <w:rPr>
          <w:shd w:val="clear" w:color="auto" w:fill="FFFFFF"/>
        </w:rPr>
        <w:t>. </w:t>
      </w:r>
      <w:hyperlink r:id="rId15" w:history="1">
        <w:proofErr w:type="gramStart"/>
        <w:r w:rsidRPr="00CE206D">
          <w:rPr>
            <w:rStyle w:val="Hyperlink"/>
            <w:rFonts w:eastAsiaTheme="minorEastAsia"/>
            <w:color w:val="auto"/>
            <w:szCs w:val="22"/>
            <w:u w:val="none"/>
            <w:shd w:val="clear" w:color="auto" w:fill="FFFFFF"/>
          </w:rPr>
          <w:t>Women's Survival as a Development Problem</w:t>
        </w:r>
      </w:hyperlink>
      <w:r w:rsidRPr="00CE206D">
        <w:rPr>
          <w:shd w:val="clear" w:color="auto" w:fill="FFFFFF"/>
        </w:rPr>
        <w:t>.</w:t>
      </w:r>
      <w:proofErr w:type="gramEnd"/>
      <w:r w:rsidRPr="00CE206D">
        <w:rPr>
          <w:shd w:val="clear" w:color="auto" w:fill="FFFFFF"/>
        </w:rPr>
        <w:t xml:space="preserve"> </w:t>
      </w:r>
      <w:r w:rsidRPr="005669A6">
        <w:rPr>
          <w:i/>
          <w:shd w:val="clear" w:color="auto" w:fill="FFFFFF"/>
        </w:rPr>
        <w:t>Bulletin of the American Academy of Arts and Sciences</w:t>
      </w:r>
      <w:r>
        <w:rPr>
          <w:i/>
          <w:shd w:val="clear" w:color="auto" w:fill="FFFFFF"/>
        </w:rPr>
        <w:t>,</w:t>
      </w:r>
      <w:r>
        <w:rPr>
          <w:shd w:val="clear" w:color="auto" w:fill="FFFFFF"/>
        </w:rPr>
        <w:t xml:space="preserve"> 43(2), </w:t>
      </w:r>
      <w:r w:rsidR="00504C10">
        <w:rPr>
          <w:shd w:val="clear" w:color="auto" w:fill="FFFFFF"/>
        </w:rPr>
        <w:t xml:space="preserve">pp. </w:t>
      </w:r>
      <w:r>
        <w:rPr>
          <w:shd w:val="clear" w:color="auto" w:fill="FFFFFF"/>
        </w:rPr>
        <w:t>14-29.</w:t>
      </w:r>
    </w:p>
    <w:p w:rsidR="004F7068" w:rsidRPr="00AA2949" w:rsidRDefault="004F7068" w:rsidP="00F979B4">
      <w:pPr>
        <w:pStyle w:val="References"/>
        <w:spacing w:before="0" w:line="240" w:lineRule="auto"/>
        <w:ind w:left="709" w:hanging="709"/>
      </w:pPr>
      <w:proofErr w:type="spellStart"/>
      <w:r w:rsidRPr="00AA2949">
        <w:rPr>
          <w:rStyle w:val="HTMLCite"/>
          <w:i w:val="0"/>
          <w:iCs w:val="0"/>
        </w:rPr>
        <w:t>Sen</w:t>
      </w:r>
      <w:proofErr w:type="spellEnd"/>
      <w:r w:rsidRPr="00AA2949">
        <w:rPr>
          <w:rStyle w:val="HTMLCite"/>
          <w:i w:val="0"/>
          <w:iCs w:val="0"/>
        </w:rPr>
        <w:t>, A. (1992).</w:t>
      </w:r>
      <w:r w:rsidR="00F979B4" w:rsidRPr="00AA2949">
        <w:rPr>
          <w:rStyle w:val="HTMLCite"/>
          <w:i w:val="0"/>
          <w:iCs w:val="0"/>
        </w:rPr>
        <w:t xml:space="preserve"> </w:t>
      </w:r>
      <w:r w:rsidRPr="00AA2949">
        <w:rPr>
          <w:rStyle w:val="HTMLCite"/>
          <w:iCs w:val="0"/>
        </w:rPr>
        <w:t xml:space="preserve">Inequality </w:t>
      </w:r>
      <w:r w:rsidR="00A17FDC" w:rsidRPr="00AA2949">
        <w:rPr>
          <w:rStyle w:val="HTMLCite"/>
          <w:iCs w:val="0"/>
        </w:rPr>
        <w:t>r</w:t>
      </w:r>
      <w:r w:rsidRPr="00AA2949">
        <w:rPr>
          <w:rStyle w:val="HTMLCite"/>
          <w:iCs w:val="0"/>
        </w:rPr>
        <w:t>eexamined</w:t>
      </w:r>
      <w:r w:rsidRPr="00AA2949">
        <w:rPr>
          <w:rStyle w:val="HTMLCite"/>
          <w:i w:val="0"/>
          <w:iCs w:val="0"/>
        </w:rPr>
        <w:t>. Oxford: Oxford University Press.</w:t>
      </w:r>
    </w:p>
    <w:p w:rsidR="004F7068" w:rsidRPr="00AA2949" w:rsidRDefault="004F7068" w:rsidP="00F979B4">
      <w:pPr>
        <w:pStyle w:val="References"/>
        <w:spacing w:before="0" w:line="240" w:lineRule="auto"/>
        <w:ind w:left="709" w:hanging="709"/>
        <w:contextualSpacing w:val="0"/>
        <w:rPr>
          <w:shd w:val="clear" w:color="auto" w:fill="FFFFFF"/>
        </w:rPr>
      </w:pPr>
      <w:r w:rsidRPr="00AA2949">
        <w:rPr>
          <w:shd w:val="clear" w:color="auto" w:fill="FFFFFF"/>
        </w:rPr>
        <w:t xml:space="preserve">Sen, A. (1993). Capability and </w:t>
      </w:r>
      <w:r w:rsidR="00A17FDC" w:rsidRPr="00AA2949">
        <w:rPr>
          <w:shd w:val="clear" w:color="auto" w:fill="FFFFFF"/>
        </w:rPr>
        <w:t>well-being</w:t>
      </w:r>
      <w:r w:rsidRPr="00AA2949">
        <w:rPr>
          <w:shd w:val="clear" w:color="auto" w:fill="FFFFFF"/>
        </w:rPr>
        <w:t>. In</w:t>
      </w:r>
      <w:r w:rsidR="00A17FDC" w:rsidRPr="00AA2949">
        <w:rPr>
          <w:shd w:val="clear" w:color="auto" w:fill="FFFFFF"/>
        </w:rPr>
        <w:t>:</w:t>
      </w:r>
      <w:r w:rsidRPr="00AA2949">
        <w:rPr>
          <w:shd w:val="clear" w:color="auto" w:fill="FFFFFF"/>
        </w:rPr>
        <w:t xml:space="preserve"> M. Nussbaum</w:t>
      </w:r>
      <w:r w:rsidR="00A17FDC" w:rsidRPr="00AA2949">
        <w:rPr>
          <w:shd w:val="clear" w:color="auto" w:fill="FFFFFF"/>
        </w:rPr>
        <w:t xml:space="preserve"> and A. Sen,</w:t>
      </w:r>
      <w:r w:rsidRPr="00AA2949">
        <w:rPr>
          <w:shd w:val="clear" w:color="auto" w:fill="FFFFFF"/>
        </w:rPr>
        <w:t xml:space="preserve"> </w:t>
      </w:r>
      <w:r w:rsidR="00A17FDC" w:rsidRPr="00AA2949">
        <w:rPr>
          <w:shd w:val="clear" w:color="auto" w:fill="FFFFFF"/>
        </w:rPr>
        <w:t>e</w:t>
      </w:r>
      <w:r w:rsidRPr="00AA2949">
        <w:rPr>
          <w:shd w:val="clear" w:color="auto" w:fill="FFFFFF"/>
        </w:rPr>
        <w:t>d</w:t>
      </w:r>
      <w:r w:rsidR="00A17FDC" w:rsidRPr="00AA2949">
        <w:rPr>
          <w:shd w:val="clear" w:color="auto" w:fill="FFFFFF"/>
        </w:rPr>
        <w:t>s,</w:t>
      </w:r>
      <w:r w:rsidRPr="00AA2949">
        <w:rPr>
          <w:shd w:val="clear" w:color="auto" w:fill="FFFFFF"/>
        </w:rPr>
        <w:t xml:space="preserve"> </w:t>
      </w:r>
      <w:r w:rsidRPr="00AA2949">
        <w:rPr>
          <w:i/>
          <w:shd w:val="clear" w:color="auto" w:fill="FFFFFF"/>
        </w:rPr>
        <w:t xml:space="preserve">The </w:t>
      </w:r>
      <w:r w:rsidR="00A17FDC" w:rsidRPr="00AA2949">
        <w:rPr>
          <w:i/>
          <w:shd w:val="clear" w:color="auto" w:fill="FFFFFF"/>
        </w:rPr>
        <w:t>quality of life</w:t>
      </w:r>
      <w:r w:rsidRPr="00AA2949">
        <w:rPr>
          <w:i/>
          <w:shd w:val="clear" w:color="auto" w:fill="FFFFFF"/>
        </w:rPr>
        <w:t>.</w:t>
      </w:r>
      <w:r w:rsidRPr="00AA2949">
        <w:rPr>
          <w:shd w:val="clear" w:color="auto" w:fill="FFFFFF"/>
        </w:rPr>
        <w:t xml:space="preserve"> Oxford: Clarendon Press</w:t>
      </w:r>
      <w:r w:rsidR="00A17FDC" w:rsidRPr="00AA2949">
        <w:rPr>
          <w:shd w:val="clear" w:color="auto" w:fill="FFFFFF"/>
        </w:rPr>
        <w:t>, pp. 30–53</w:t>
      </w:r>
      <w:r w:rsidRPr="00AA2949">
        <w:rPr>
          <w:shd w:val="clear" w:color="auto" w:fill="FFFFFF"/>
        </w:rPr>
        <w:t>.</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Sen, A. (1999). </w:t>
      </w:r>
      <w:r w:rsidRPr="00AA2949">
        <w:rPr>
          <w:rFonts w:ascii="Times New Roman" w:hAnsi="Times New Roman" w:cs="Times New Roman"/>
          <w:i/>
          <w:color w:val="000000"/>
          <w:sz w:val="24"/>
          <w:szCs w:val="24"/>
        </w:rPr>
        <w:t xml:space="preserve">Development as </w:t>
      </w:r>
      <w:r w:rsidR="00A17FDC" w:rsidRPr="00AA2949">
        <w:rPr>
          <w:rFonts w:ascii="Times New Roman" w:hAnsi="Times New Roman" w:cs="Times New Roman"/>
          <w:i/>
          <w:color w:val="000000"/>
          <w:sz w:val="24"/>
          <w:szCs w:val="24"/>
        </w:rPr>
        <w:t>f</w:t>
      </w:r>
      <w:r w:rsidRPr="00AA2949">
        <w:rPr>
          <w:rFonts w:ascii="Times New Roman" w:hAnsi="Times New Roman" w:cs="Times New Roman"/>
          <w:i/>
          <w:color w:val="000000"/>
          <w:sz w:val="24"/>
          <w:szCs w:val="24"/>
        </w:rPr>
        <w:t xml:space="preserve">reedom. </w:t>
      </w:r>
      <w:r w:rsidRPr="00AA2949">
        <w:rPr>
          <w:rFonts w:ascii="Times New Roman" w:hAnsi="Times New Roman" w:cs="Times New Roman"/>
          <w:color w:val="000000"/>
          <w:sz w:val="24"/>
          <w:szCs w:val="24"/>
        </w:rPr>
        <w:t>Oxford: Oxford University Press.</w:t>
      </w:r>
    </w:p>
    <w:p w:rsidR="00796326" w:rsidRDefault="00796326" w:rsidP="00796326">
      <w:pPr>
        <w:pStyle w:val="References"/>
        <w:spacing w:before="0" w:line="240" w:lineRule="auto"/>
        <w:ind w:left="709" w:hanging="709"/>
        <w:contextualSpacing w:val="0"/>
        <w:rPr>
          <w:shd w:val="clear" w:color="auto" w:fill="FFFFFF"/>
        </w:rPr>
      </w:pPr>
      <w:proofErr w:type="spellStart"/>
      <w:r w:rsidRPr="00CE206D">
        <w:rPr>
          <w:rStyle w:val="biblio-authors"/>
          <w:szCs w:val="22"/>
          <w:shd w:val="clear" w:color="auto" w:fill="FFFFFF"/>
        </w:rPr>
        <w:t>Sen</w:t>
      </w:r>
      <w:proofErr w:type="spellEnd"/>
      <w:r w:rsidRPr="00CE206D">
        <w:rPr>
          <w:rStyle w:val="biblio-authors"/>
          <w:szCs w:val="22"/>
          <w:shd w:val="clear" w:color="auto" w:fill="FFFFFF"/>
        </w:rPr>
        <w:t xml:space="preserve"> A</w:t>
      </w:r>
      <w:r w:rsidRPr="00CE206D">
        <w:rPr>
          <w:shd w:val="clear" w:color="auto" w:fill="FFFFFF"/>
        </w:rPr>
        <w:t xml:space="preserve">. </w:t>
      </w:r>
      <w:r>
        <w:rPr>
          <w:shd w:val="clear" w:color="auto" w:fill="FFFFFF"/>
        </w:rPr>
        <w:t>(</w:t>
      </w:r>
      <w:r w:rsidRPr="00CE206D">
        <w:rPr>
          <w:shd w:val="clear" w:color="auto" w:fill="FFFFFF"/>
        </w:rPr>
        <w:t>2002</w:t>
      </w:r>
      <w:r>
        <w:rPr>
          <w:shd w:val="clear" w:color="auto" w:fill="FFFFFF"/>
        </w:rPr>
        <w:t>)</w:t>
      </w:r>
      <w:r w:rsidRPr="00CE206D">
        <w:rPr>
          <w:shd w:val="clear" w:color="auto" w:fill="FFFFFF"/>
        </w:rPr>
        <w:t>. </w:t>
      </w:r>
      <w:hyperlink r:id="rId16" w:history="1">
        <w:proofErr w:type="gramStart"/>
        <w:r w:rsidRPr="00CE206D">
          <w:rPr>
            <w:rStyle w:val="Hyperlink"/>
            <w:rFonts w:eastAsiaTheme="minorEastAsia"/>
            <w:color w:val="auto"/>
            <w:szCs w:val="22"/>
            <w:u w:val="none"/>
            <w:shd w:val="clear" w:color="auto" w:fill="FFFFFF"/>
          </w:rPr>
          <w:t>Globalization, Inequality and Global Protest</w:t>
        </w:r>
      </w:hyperlink>
      <w:r>
        <w:rPr>
          <w:shd w:val="clear" w:color="auto" w:fill="FFFFFF"/>
        </w:rPr>
        <w:t>.</w:t>
      </w:r>
      <w:proofErr w:type="gramEnd"/>
      <w:r w:rsidRPr="005669A6">
        <w:rPr>
          <w:i/>
          <w:shd w:val="clear" w:color="auto" w:fill="FFFFFF"/>
        </w:rPr>
        <w:t xml:space="preserve"> Development,</w:t>
      </w:r>
      <w:r w:rsidRPr="00CE206D">
        <w:rPr>
          <w:shd w:val="clear" w:color="auto" w:fill="FFFFFF"/>
        </w:rPr>
        <w:t xml:space="preserve"> 45</w:t>
      </w:r>
      <w:r>
        <w:rPr>
          <w:shd w:val="clear" w:color="auto" w:fill="FFFFFF"/>
        </w:rPr>
        <w:t>(2</w:t>
      </w:r>
      <w:r w:rsidRPr="00CE206D">
        <w:rPr>
          <w:shd w:val="clear" w:color="auto" w:fill="FFFFFF"/>
        </w:rPr>
        <w:t>)</w:t>
      </w:r>
      <w:r>
        <w:rPr>
          <w:shd w:val="clear" w:color="auto" w:fill="FFFFFF"/>
        </w:rPr>
        <w:t xml:space="preserve">, </w:t>
      </w:r>
      <w:r w:rsidR="00504C10">
        <w:rPr>
          <w:shd w:val="clear" w:color="auto" w:fill="FFFFFF"/>
        </w:rPr>
        <w:t xml:space="preserve">pp. </w:t>
      </w:r>
      <w:r>
        <w:rPr>
          <w:shd w:val="clear" w:color="auto" w:fill="FFFFFF"/>
        </w:rPr>
        <w:t>11-16</w:t>
      </w:r>
      <w:r w:rsidRPr="00CE206D">
        <w:rPr>
          <w:shd w:val="clear" w:color="auto" w:fill="FFFFFF"/>
        </w:rPr>
        <w:t>.</w:t>
      </w:r>
    </w:p>
    <w:p w:rsidR="00A56955" w:rsidRPr="00AA2949" w:rsidRDefault="00B21575" w:rsidP="00F979B4">
      <w:pPr>
        <w:pStyle w:val="References"/>
        <w:spacing w:before="0" w:line="240" w:lineRule="auto"/>
        <w:ind w:left="709" w:hanging="709"/>
      </w:pPr>
      <w:proofErr w:type="spellStart"/>
      <w:proofErr w:type="gramStart"/>
      <w:r w:rsidRPr="00AA2949">
        <w:t>Simonneaux</w:t>
      </w:r>
      <w:proofErr w:type="spellEnd"/>
      <w:r w:rsidR="00A56955" w:rsidRPr="00AA2949">
        <w:t>, J.</w:t>
      </w:r>
      <w:r w:rsidRPr="00AA2949">
        <w:t xml:space="preserve"> </w:t>
      </w:r>
      <w:r w:rsidR="0000404E" w:rsidRPr="00AA2949">
        <w:t>and</w:t>
      </w:r>
      <w:r w:rsidRPr="00AA2949">
        <w:t xml:space="preserve"> Simonneaux,</w:t>
      </w:r>
      <w:r w:rsidR="00A56955" w:rsidRPr="00AA2949">
        <w:t xml:space="preserve"> L.</w:t>
      </w:r>
      <w:r w:rsidRPr="00AA2949">
        <w:t xml:space="preserve"> </w:t>
      </w:r>
      <w:r w:rsidR="00A56955" w:rsidRPr="00AA2949">
        <w:t>(</w:t>
      </w:r>
      <w:r w:rsidRPr="00AA2949">
        <w:t>2012</w:t>
      </w:r>
      <w:r w:rsidR="00A56955" w:rsidRPr="00AA2949">
        <w:t>).</w:t>
      </w:r>
      <w:proofErr w:type="gramEnd"/>
      <w:r w:rsidR="00A56955" w:rsidRPr="00AA2949">
        <w:t xml:space="preserve"> Educational </w:t>
      </w:r>
      <w:r w:rsidR="00A17FDC" w:rsidRPr="00AA2949">
        <w:t xml:space="preserve">configurations for teaching environmental socioscientific issues within the perspective of sustainability. </w:t>
      </w:r>
      <w:r w:rsidR="00A56955" w:rsidRPr="00AA2949">
        <w:rPr>
          <w:rStyle w:val="journaltitle"/>
          <w:i/>
        </w:rPr>
        <w:t>Research in Science Education</w:t>
      </w:r>
      <w:r w:rsidR="00A56955" w:rsidRPr="00AA2949">
        <w:t>,</w:t>
      </w:r>
      <w:r w:rsidR="00A56955" w:rsidRPr="00AA2949">
        <w:rPr>
          <w:i/>
        </w:rPr>
        <w:t xml:space="preserve"> </w:t>
      </w:r>
      <w:r w:rsidR="00A56955" w:rsidRPr="00AA2949">
        <w:rPr>
          <w:rStyle w:val="articlecitationvolume"/>
        </w:rPr>
        <w:t>42(1)</w:t>
      </w:r>
      <w:r w:rsidR="00A56955" w:rsidRPr="00AA2949">
        <w:t>,</w:t>
      </w:r>
      <w:r w:rsidR="00A17FDC" w:rsidRPr="00AA2949">
        <w:t xml:space="preserve"> pp. </w:t>
      </w:r>
      <w:r w:rsidR="00A56955" w:rsidRPr="00AA2949">
        <w:rPr>
          <w:rStyle w:val="articlecitationpages"/>
        </w:rPr>
        <w:t>75–94.</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Sneddon, C., Howarth, R.B.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Norgaard, R.B. (2006). Sustainable development in a post-Brundtland world. </w:t>
      </w:r>
      <w:r w:rsidRPr="00AA2949">
        <w:rPr>
          <w:rFonts w:ascii="Times New Roman" w:hAnsi="Times New Roman" w:cs="Times New Roman"/>
          <w:i/>
          <w:color w:val="000000"/>
          <w:sz w:val="24"/>
          <w:szCs w:val="24"/>
        </w:rPr>
        <w:t>Ecological Economics</w:t>
      </w:r>
      <w:r w:rsidRPr="00AA2949">
        <w:rPr>
          <w:rFonts w:ascii="Times New Roman" w:hAnsi="Times New Roman" w:cs="Times New Roman"/>
          <w:color w:val="000000"/>
          <w:sz w:val="24"/>
          <w:szCs w:val="24"/>
        </w:rPr>
        <w:t>,</w:t>
      </w:r>
      <w:r w:rsidRPr="00AA2949">
        <w:rPr>
          <w:rFonts w:ascii="Times New Roman" w:hAnsi="Times New Roman" w:cs="Times New Roman"/>
          <w:i/>
          <w:color w:val="000000"/>
          <w:sz w:val="24"/>
          <w:szCs w:val="24"/>
        </w:rPr>
        <w:t xml:space="preserve"> </w:t>
      </w:r>
      <w:r w:rsidRPr="00AA2949">
        <w:rPr>
          <w:rFonts w:ascii="Times New Roman" w:hAnsi="Times New Roman" w:cs="Times New Roman"/>
          <w:color w:val="000000"/>
          <w:sz w:val="24"/>
          <w:szCs w:val="24"/>
        </w:rPr>
        <w:t xml:space="preserve">57, </w:t>
      </w:r>
      <w:r w:rsidR="00A17FDC"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253</w:t>
      </w:r>
      <w:r w:rsidR="00A17FDC"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268.</w:t>
      </w:r>
    </w:p>
    <w:p w:rsidR="00A75BF5" w:rsidRPr="00AA2949" w:rsidRDefault="00157981" w:rsidP="00F979B4">
      <w:pPr>
        <w:pStyle w:val="References"/>
        <w:spacing w:before="0" w:line="240" w:lineRule="auto"/>
        <w:ind w:left="709" w:hanging="709"/>
      </w:pPr>
      <w:r w:rsidRPr="00AA2949">
        <w:t>Spencer</w:t>
      </w:r>
      <w:r w:rsidR="00A75BF5" w:rsidRPr="00AA2949">
        <w:t>, C.</w:t>
      </w:r>
      <w:r w:rsidRPr="00AA2949">
        <w:t xml:space="preserve"> </w:t>
      </w:r>
      <w:r w:rsidR="0000404E" w:rsidRPr="00AA2949">
        <w:t>and</w:t>
      </w:r>
      <w:r w:rsidRPr="00AA2949">
        <w:t xml:space="preserve"> Woolley,</w:t>
      </w:r>
      <w:r w:rsidR="00A75BF5" w:rsidRPr="00AA2949">
        <w:t xml:space="preserve"> H.</w:t>
      </w:r>
      <w:r w:rsidRPr="00AA2949">
        <w:t xml:space="preserve"> </w:t>
      </w:r>
      <w:r w:rsidR="00A75BF5" w:rsidRPr="00AA2949">
        <w:t>(</w:t>
      </w:r>
      <w:r w:rsidRPr="00AA2949">
        <w:t>2000</w:t>
      </w:r>
      <w:r w:rsidR="00A75BF5" w:rsidRPr="00AA2949">
        <w:t xml:space="preserve">). Children and the city: </w:t>
      </w:r>
      <w:r w:rsidR="00A17FDC" w:rsidRPr="00AA2949">
        <w:t>A</w:t>
      </w:r>
      <w:r w:rsidR="00A75BF5" w:rsidRPr="00AA2949">
        <w:t xml:space="preserve"> summary of recent environmental psychology research. </w:t>
      </w:r>
      <w:r w:rsidR="00A75BF5" w:rsidRPr="00AA2949">
        <w:rPr>
          <w:i/>
        </w:rPr>
        <w:t xml:space="preserve">Child: </w:t>
      </w:r>
      <w:r w:rsidR="00A17FDC" w:rsidRPr="00AA2949">
        <w:rPr>
          <w:i/>
        </w:rPr>
        <w:t xml:space="preserve">Care, Health </w:t>
      </w:r>
      <w:r w:rsidR="00A75BF5" w:rsidRPr="00AA2949">
        <w:rPr>
          <w:i/>
        </w:rPr>
        <w:t xml:space="preserve">and </w:t>
      </w:r>
      <w:r w:rsidR="00A17FDC" w:rsidRPr="00AA2949">
        <w:rPr>
          <w:i/>
        </w:rPr>
        <w:t>D</w:t>
      </w:r>
      <w:r w:rsidR="00A75BF5" w:rsidRPr="00AA2949">
        <w:rPr>
          <w:i/>
        </w:rPr>
        <w:t>evelopment</w:t>
      </w:r>
      <w:r w:rsidR="00A75BF5" w:rsidRPr="00AA2949">
        <w:t xml:space="preserve">, 26(3), </w:t>
      </w:r>
      <w:r w:rsidR="00A17FDC" w:rsidRPr="00AA2949">
        <w:t xml:space="preserve">pp. </w:t>
      </w:r>
      <w:r w:rsidR="00A75BF5" w:rsidRPr="00AA2949">
        <w:t>181</w:t>
      </w:r>
      <w:r w:rsidR="00A17FDC" w:rsidRPr="00AA2949">
        <w:t>–</w:t>
      </w:r>
      <w:r w:rsidR="00A75BF5" w:rsidRPr="00AA2949">
        <w:t>198.</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Stuckey, H.L.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Nobel, J. </w:t>
      </w:r>
      <w:r w:rsidR="00A17FDC"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2010</w:t>
      </w:r>
      <w:r w:rsidR="00A17FDC"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 xml:space="preserve">. The </w:t>
      </w:r>
      <w:r w:rsidR="00A17FDC" w:rsidRPr="00AA2949">
        <w:rPr>
          <w:rFonts w:ascii="Times New Roman" w:hAnsi="Times New Roman" w:cs="Times New Roman"/>
          <w:color w:val="000000"/>
          <w:sz w:val="24"/>
          <w:szCs w:val="24"/>
        </w:rPr>
        <w:t>connection between art, healing and public health</w:t>
      </w:r>
      <w:r w:rsidRPr="00AA2949">
        <w:rPr>
          <w:rFonts w:ascii="Times New Roman" w:hAnsi="Times New Roman" w:cs="Times New Roman"/>
          <w:color w:val="000000"/>
          <w:sz w:val="24"/>
          <w:szCs w:val="24"/>
        </w:rPr>
        <w:t xml:space="preserve">: A </w:t>
      </w:r>
      <w:r w:rsidR="00A17FDC" w:rsidRPr="00AA2949">
        <w:rPr>
          <w:rFonts w:ascii="Times New Roman" w:hAnsi="Times New Roman" w:cs="Times New Roman"/>
          <w:color w:val="000000"/>
          <w:sz w:val="24"/>
          <w:szCs w:val="24"/>
        </w:rPr>
        <w:t>review of current literature</w:t>
      </w:r>
      <w:r w:rsidRPr="00AA2949">
        <w:rPr>
          <w:rFonts w:ascii="Times New Roman" w:hAnsi="Times New Roman" w:cs="Times New Roman"/>
          <w:color w:val="000000"/>
          <w:sz w:val="24"/>
          <w:szCs w:val="24"/>
        </w:rPr>
        <w:t xml:space="preserve">. </w:t>
      </w:r>
      <w:r w:rsidRPr="00AA2949">
        <w:rPr>
          <w:rFonts w:ascii="Times New Roman" w:hAnsi="Times New Roman" w:cs="Times New Roman"/>
          <w:i/>
          <w:color w:val="000000"/>
          <w:sz w:val="24"/>
          <w:szCs w:val="24"/>
        </w:rPr>
        <w:t>American Journal of Public Health</w:t>
      </w:r>
      <w:r w:rsidRPr="00AA2949">
        <w:rPr>
          <w:rFonts w:ascii="Times New Roman" w:hAnsi="Times New Roman" w:cs="Times New Roman"/>
          <w:color w:val="000000"/>
          <w:sz w:val="24"/>
          <w:szCs w:val="24"/>
        </w:rPr>
        <w:t>,</w:t>
      </w:r>
      <w:r w:rsidRPr="00AA2949">
        <w:rPr>
          <w:rFonts w:ascii="Times New Roman" w:hAnsi="Times New Roman" w:cs="Times New Roman"/>
          <w:i/>
          <w:color w:val="000000"/>
          <w:sz w:val="24"/>
          <w:szCs w:val="24"/>
        </w:rPr>
        <w:t xml:space="preserve"> </w:t>
      </w:r>
      <w:r w:rsidRPr="00AA2949">
        <w:rPr>
          <w:rFonts w:ascii="Times New Roman" w:hAnsi="Times New Roman" w:cs="Times New Roman"/>
          <w:color w:val="000000"/>
          <w:sz w:val="24"/>
          <w:szCs w:val="24"/>
        </w:rPr>
        <w:t xml:space="preserve">100(2), </w:t>
      </w:r>
      <w:r w:rsidR="00A17FDC"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254</w:t>
      </w:r>
      <w:r w:rsidR="00A17FDC"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263.</w:t>
      </w:r>
    </w:p>
    <w:p w:rsidR="004F7068" w:rsidRPr="00AA2949" w:rsidRDefault="004F7068" w:rsidP="00F979B4">
      <w:pPr>
        <w:pStyle w:val="References"/>
        <w:spacing w:before="0" w:line="240" w:lineRule="auto"/>
        <w:ind w:left="709" w:hanging="709"/>
        <w:contextualSpacing w:val="0"/>
      </w:pPr>
      <w:r w:rsidRPr="00AA2949">
        <w:t xml:space="preserve">Sümen, O.O. </w:t>
      </w:r>
      <w:r w:rsidR="0000404E" w:rsidRPr="00AA2949">
        <w:t>and</w:t>
      </w:r>
      <w:r w:rsidRPr="00AA2949">
        <w:t xml:space="preserve"> Çalışıcı, H. (2016). Pre-service </w:t>
      </w:r>
      <w:r w:rsidR="00A17FDC" w:rsidRPr="00AA2949">
        <w:t xml:space="preserve">teachers’ mind maps and opinions on </w:t>
      </w:r>
      <w:r w:rsidRPr="00AA2949">
        <w:t xml:space="preserve">STEM </w:t>
      </w:r>
      <w:r w:rsidR="00A17FDC" w:rsidRPr="00AA2949">
        <w:t xml:space="preserve">education implemented in an environmental literacy course. </w:t>
      </w:r>
      <w:r w:rsidRPr="00AA2949">
        <w:rPr>
          <w:i/>
        </w:rPr>
        <w:t>Educational Sciences: Theory &amp; Practice</w:t>
      </w:r>
      <w:r w:rsidRPr="00AA2949">
        <w:t xml:space="preserve">, 16, </w:t>
      </w:r>
      <w:r w:rsidR="00A17FDC" w:rsidRPr="00AA2949">
        <w:t xml:space="preserve">pp. </w:t>
      </w:r>
      <w:r w:rsidRPr="00AA2949">
        <w:t>459</w:t>
      </w:r>
      <w:r w:rsidR="00A17FDC" w:rsidRPr="00AA2949">
        <w:t>–</w:t>
      </w:r>
      <w:r w:rsidRPr="00AA2949">
        <w:t>476.</w:t>
      </w:r>
    </w:p>
    <w:p w:rsidR="001967E4" w:rsidRPr="00AA2949" w:rsidRDefault="001967E4"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Taylor, A. (2013). </w:t>
      </w:r>
      <w:r w:rsidRPr="00AA2949">
        <w:rPr>
          <w:rFonts w:ascii="Times New Roman" w:hAnsi="Times New Roman" w:cs="Times New Roman"/>
          <w:i/>
          <w:iCs/>
          <w:color w:val="000000"/>
          <w:sz w:val="24"/>
          <w:szCs w:val="24"/>
        </w:rPr>
        <w:t>Reconfiguring the natures of childhood</w:t>
      </w:r>
      <w:r w:rsidRPr="00AA2949">
        <w:rPr>
          <w:rFonts w:ascii="Times New Roman" w:hAnsi="Times New Roman" w:cs="Times New Roman"/>
          <w:color w:val="000000"/>
          <w:sz w:val="24"/>
          <w:szCs w:val="24"/>
        </w:rPr>
        <w:t xml:space="preserve">. London: Routledge. </w:t>
      </w:r>
    </w:p>
    <w:p w:rsidR="00157981" w:rsidRPr="00AA2949" w:rsidRDefault="001967E4"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Taylor, A. (2017). Beyond stewardship: Common world pedagogies for the Anthropocene. </w:t>
      </w:r>
      <w:r w:rsidRPr="00AA2949">
        <w:rPr>
          <w:rFonts w:ascii="Times New Roman" w:hAnsi="Times New Roman" w:cs="Times New Roman"/>
          <w:i/>
          <w:iCs/>
          <w:color w:val="000000"/>
          <w:sz w:val="24"/>
          <w:szCs w:val="24"/>
        </w:rPr>
        <w:t>Environmental Education Research</w:t>
      </w:r>
      <w:r w:rsidRPr="00AA2949">
        <w:rPr>
          <w:rFonts w:ascii="Times New Roman" w:hAnsi="Times New Roman" w:cs="Times New Roman"/>
          <w:iCs/>
          <w:color w:val="000000"/>
          <w:sz w:val="24"/>
          <w:szCs w:val="24"/>
        </w:rPr>
        <w:t>, 23</w:t>
      </w:r>
      <w:r w:rsidRPr="00AA2949">
        <w:rPr>
          <w:rFonts w:ascii="Times New Roman" w:hAnsi="Times New Roman" w:cs="Times New Roman"/>
          <w:color w:val="000000"/>
          <w:sz w:val="24"/>
          <w:szCs w:val="24"/>
        </w:rPr>
        <w:t xml:space="preserve">(10), </w:t>
      </w:r>
      <w:r w:rsidR="00A17FDC"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1448–1461.</w:t>
      </w:r>
      <w:r w:rsidR="00F979B4" w:rsidRPr="00AA2949">
        <w:rPr>
          <w:rFonts w:ascii="Times New Roman" w:hAnsi="Times New Roman" w:cs="Times New Roman"/>
          <w:color w:val="000000"/>
          <w:sz w:val="24"/>
          <w:szCs w:val="24"/>
        </w:rPr>
        <w:t xml:space="preserve"> </w:t>
      </w:r>
    </w:p>
    <w:p w:rsidR="00157981" w:rsidRPr="00AA2949" w:rsidRDefault="00157981" w:rsidP="00F979B4">
      <w:pPr>
        <w:spacing w:after="0" w:line="240" w:lineRule="auto"/>
        <w:ind w:left="709" w:hanging="709"/>
        <w:textAlignment w:val="baseline"/>
        <w:rPr>
          <w:rFonts w:ascii="Times New Roman" w:eastAsia="Times New Roman" w:hAnsi="Times New Roman" w:cs="Times New Roman"/>
          <w:sz w:val="24"/>
          <w:szCs w:val="24"/>
        </w:rPr>
      </w:pPr>
      <w:r w:rsidRPr="00AA2949">
        <w:rPr>
          <w:rFonts w:ascii="Times New Roman" w:eastAsia="Times New Roman" w:hAnsi="Times New Roman" w:cs="Times New Roman"/>
          <w:sz w:val="24"/>
          <w:szCs w:val="24"/>
        </w:rPr>
        <w:t>Twigger-Ross</w:t>
      </w:r>
      <w:r w:rsidR="00FD3CE4" w:rsidRPr="00AA2949">
        <w:rPr>
          <w:rFonts w:ascii="Times New Roman" w:eastAsia="Times New Roman" w:hAnsi="Times New Roman" w:cs="Times New Roman"/>
          <w:sz w:val="24"/>
          <w:szCs w:val="24"/>
        </w:rPr>
        <w:t>, C.L.</w:t>
      </w:r>
      <w:r w:rsidRPr="00AA2949">
        <w:rPr>
          <w:rFonts w:ascii="Times New Roman" w:eastAsia="Times New Roman" w:hAnsi="Times New Roman" w:cs="Times New Roman"/>
          <w:sz w:val="24"/>
          <w:szCs w:val="24"/>
        </w:rPr>
        <w:t xml:space="preserve"> </w:t>
      </w:r>
      <w:r w:rsidR="0000404E" w:rsidRPr="00AA2949">
        <w:rPr>
          <w:rFonts w:ascii="Times New Roman" w:eastAsia="Times New Roman" w:hAnsi="Times New Roman" w:cs="Times New Roman"/>
          <w:sz w:val="24"/>
          <w:szCs w:val="24"/>
        </w:rPr>
        <w:t>and</w:t>
      </w:r>
      <w:r w:rsidRPr="00AA2949">
        <w:rPr>
          <w:rFonts w:ascii="Times New Roman" w:eastAsia="Times New Roman" w:hAnsi="Times New Roman" w:cs="Times New Roman"/>
          <w:sz w:val="24"/>
          <w:szCs w:val="24"/>
        </w:rPr>
        <w:t xml:space="preserve"> Uzzell,</w:t>
      </w:r>
      <w:r w:rsidR="00FD3CE4" w:rsidRPr="00AA2949">
        <w:rPr>
          <w:rFonts w:ascii="Times New Roman" w:eastAsia="Times New Roman" w:hAnsi="Times New Roman" w:cs="Times New Roman"/>
          <w:sz w:val="24"/>
          <w:szCs w:val="24"/>
        </w:rPr>
        <w:t xml:space="preserve"> D.L.</w:t>
      </w:r>
      <w:r w:rsidRPr="00AA2949">
        <w:rPr>
          <w:rFonts w:ascii="Times New Roman" w:eastAsia="Times New Roman" w:hAnsi="Times New Roman" w:cs="Times New Roman"/>
          <w:sz w:val="24"/>
          <w:szCs w:val="24"/>
        </w:rPr>
        <w:t xml:space="preserve"> </w:t>
      </w:r>
      <w:r w:rsidR="00FD3CE4" w:rsidRPr="00AA2949">
        <w:rPr>
          <w:rFonts w:ascii="Times New Roman" w:eastAsia="Times New Roman" w:hAnsi="Times New Roman" w:cs="Times New Roman"/>
          <w:sz w:val="24"/>
          <w:szCs w:val="24"/>
        </w:rPr>
        <w:t>(</w:t>
      </w:r>
      <w:r w:rsidRPr="00AA2949">
        <w:rPr>
          <w:rFonts w:ascii="Times New Roman" w:eastAsia="Times New Roman" w:hAnsi="Times New Roman" w:cs="Times New Roman"/>
          <w:sz w:val="24"/>
          <w:szCs w:val="24"/>
        </w:rPr>
        <w:t>1996</w:t>
      </w:r>
      <w:r w:rsidR="00FD3CE4" w:rsidRPr="00AA2949">
        <w:rPr>
          <w:rFonts w:ascii="Times New Roman" w:eastAsia="Times New Roman" w:hAnsi="Times New Roman" w:cs="Times New Roman"/>
          <w:sz w:val="24"/>
          <w:szCs w:val="24"/>
        </w:rPr>
        <w:t xml:space="preserve">). Place and </w:t>
      </w:r>
      <w:r w:rsidR="00A17FDC" w:rsidRPr="00AA2949">
        <w:rPr>
          <w:rFonts w:ascii="Times New Roman" w:eastAsia="Times New Roman" w:hAnsi="Times New Roman" w:cs="Times New Roman"/>
          <w:sz w:val="24"/>
          <w:szCs w:val="24"/>
        </w:rPr>
        <w:t xml:space="preserve">identity processes. </w:t>
      </w:r>
      <w:r w:rsidR="00FD3CE4" w:rsidRPr="00AA2949">
        <w:rPr>
          <w:rFonts w:ascii="Times New Roman" w:eastAsia="Times New Roman" w:hAnsi="Times New Roman" w:cs="Times New Roman"/>
          <w:i/>
          <w:sz w:val="24"/>
          <w:szCs w:val="24"/>
        </w:rPr>
        <w:t>Journal of Environmental Psychology</w:t>
      </w:r>
      <w:r w:rsidR="00FD3CE4" w:rsidRPr="00AA2949">
        <w:rPr>
          <w:rFonts w:ascii="Times New Roman" w:eastAsia="Times New Roman" w:hAnsi="Times New Roman" w:cs="Times New Roman"/>
          <w:sz w:val="24"/>
          <w:szCs w:val="24"/>
        </w:rPr>
        <w:t xml:space="preserve">, 16(3), </w:t>
      </w:r>
      <w:r w:rsidR="00A17FDC" w:rsidRPr="00AA2949">
        <w:rPr>
          <w:rFonts w:ascii="Times New Roman" w:eastAsia="Times New Roman" w:hAnsi="Times New Roman" w:cs="Times New Roman"/>
          <w:sz w:val="24"/>
          <w:szCs w:val="24"/>
        </w:rPr>
        <w:t xml:space="preserve">pp. </w:t>
      </w:r>
      <w:r w:rsidR="00FD3CE4" w:rsidRPr="00AA2949">
        <w:rPr>
          <w:rFonts w:ascii="Times New Roman" w:eastAsia="Times New Roman" w:hAnsi="Times New Roman" w:cs="Times New Roman"/>
          <w:sz w:val="24"/>
          <w:szCs w:val="24"/>
        </w:rPr>
        <w:t>205</w:t>
      </w:r>
      <w:r w:rsidR="00A17FDC" w:rsidRPr="00AA2949">
        <w:rPr>
          <w:rFonts w:ascii="Times New Roman" w:eastAsia="Times New Roman" w:hAnsi="Times New Roman" w:cs="Times New Roman"/>
          <w:sz w:val="24"/>
          <w:szCs w:val="24"/>
        </w:rPr>
        <w:t>–</w:t>
      </w:r>
      <w:r w:rsidR="00FD3CE4" w:rsidRPr="00AA2949">
        <w:rPr>
          <w:rFonts w:ascii="Times New Roman" w:eastAsia="Times New Roman" w:hAnsi="Times New Roman" w:cs="Times New Roman"/>
          <w:sz w:val="24"/>
          <w:szCs w:val="24"/>
        </w:rPr>
        <w:t>229.</w:t>
      </w:r>
    </w:p>
    <w:p w:rsidR="00FD3CE4" w:rsidRPr="00AA2949" w:rsidRDefault="00157981" w:rsidP="00F979B4">
      <w:pPr>
        <w:pStyle w:val="References"/>
        <w:spacing w:before="0" w:line="240" w:lineRule="auto"/>
        <w:ind w:left="709" w:hanging="709"/>
      </w:pPr>
      <w:r w:rsidRPr="00AA2949">
        <w:t>Uhlenwinkel</w:t>
      </w:r>
      <w:r w:rsidR="00FD3CE4" w:rsidRPr="00AA2949">
        <w:t xml:space="preserve">, A., Béneker, T., Bladh, G., Tani, S. </w:t>
      </w:r>
      <w:r w:rsidR="0000404E" w:rsidRPr="00AA2949">
        <w:t>and</w:t>
      </w:r>
      <w:r w:rsidR="00FD3CE4" w:rsidRPr="00AA2949">
        <w:t xml:space="preserve"> Lambert, D.</w:t>
      </w:r>
      <w:r w:rsidRPr="00AA2949">
        <w:t xml:space="preserve"> </w:t>
      </w:r>
      <w:r w:rsidR="00FD3CE4" w:rsidRPr="00AA2949">
        <w:t>(</w:t>
      </w:r>
      <w:r w:rsidRPr="00AA2949">
        <w:t>2017</w:t>
      </w:r>
      <w:r w:rsidR="00FD3CE4" w:rsidRPr="00AA2949">
        <w:t xml:space="preserve">). </w:t>
      </w:r>
      <w:r w:rsidR="00FD3CE4" w:rsidRPr="00AA2949">
        <w:rPr>
          <w:rStyle w:val="nlmarticle-title"/>
        </w:rPr>
        <w:t>GeoCapabilities</w:t>
      </w:r>
      <w:r w:rsidR="00E04DE2" w:rsidRPr="00AA2949">
        <w:t xml:space="preserve"> </w:t>
      </w:r>
      <w:r w:rsidR="00FD3CE4" w:rsidRPr="00AA2949">
        <w:rPr>
          <w:rStyle w:val="nlmarticle-title"/>
        </w:rPr>
        <w:t xml:space="preserve">and curriculum leadership: </w:t>
      </w:r>
      <w:r w:rsidR="00E04DE2" w:rsidRPr="00AA2949">
        <w:rPr>
          <w:rStyle w:val="nlmarticle-title"/>
        </w:rPr>
        <w:t>B</w:t>
      </w:r>
      <w:r w:rsidR="00FD3CE4" w:rsidRPr="00AA2949">
        <w:rPr>
          <w:rStyle w:val="nlmarticle-title"/>
        </w:rPr>
        <w:t xml:space="preserve">alancing the priorities of aim-based and knowledge-led curriculum thinking in schools. </w:t>
      </w:r>
      <w:r w:rsidR="00FD3CE4" w:rsidRPr="00AA2949">
        <w:rPr>
          <w:rStyle w:val="nlmarticle-title"/>
          <w:i/>
        </w:rPr>
        <w:t>International Research in Geographical and Environmental Education</w:t>
      </w:r>
      <w:r w:rsidR="00FD3CE4" w:rsidRPr="00AA2949">
        <w:rPr>
          <w:rStyle w:val="nlmarticle-title"/>
        </w:rPr>
        <w:t xml:space="preserve">, 26(4), </w:t>
      </w:r>
      <w:r w:rsidR="00E04DE2" w:rsidRPr="00AA2949">
        <w:rPr>
          <w:rStyle w:val="nlmarticle-title"/>
        </w:rPr>
        <w:t xml:space="preserve">pp. </w:t>
      </w:r>
      <w:r w:rsidR="00FD3CE4" w:rsidRPr="00AA2949">
        <w:rPr>
          <w:rStyle w:val="nlmarticle-title"/>
        </w:rPr>
        <w:t>327</w:t>
      </w:r>
      <w:r w:rsidR="00E04DE2" w:rsidRPr="00AA2949">
        <w:rPr>
          <w:rStyle w:val="nlmarticle-title"/>
        </w:rPr>
        <w:t>–</w:t>
      </w:r>
      <w:r w:rsidR="00FD3CE4" w:rsidRPr="00AA2949">
        <w:rPr>
          <w:rStyle w:val="nlmarticle-title"/>
        </w:rPr>
        <w:t>341.</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Underwood, K., Chan, C., Koller, D.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Valeo, A. (2015). Understanding </w:t>
      </w:r>
      <w:r w:rsidR="00E04DE2" w:rsidRPr="00AA2949">
        <w:rPr>
          <w:rFonts w:ascii="Times New Roman" w:hAnsi="Times New Roman" w:cs="Times New Roman"/>
          <w:color w:val="000000"/>
          <w:sz w:val="24"/>
          <w:szCs w:val="24"/>
        </w:rPr>
        <w:t xml:space="preserve">young children’s capabilities: </w:t>
      </w:r>
      <w:r w:rsidRPr="00AA2949">
        <w:rPr>
          <w:rFonts w:ascii="Times New Roman" w:hAnsi="Times New Roman" w:cs="Times New Roman"/>
          <w:color w:val="000000"/>
          <w:sz w:val="24"/>
          <w:szCs w:val="24"/>
        </w:rPr>
        <w:t xml:space="preserve">Approaches to </w:t>
      </w:r>
      <w:r w:rsidR="00E04DE2" w:rsidRPr="00AA2949">
        <w:rPr>
          <w:rFonts w:ascii="Times New Roman" w:hAnsi="Times New Roman" w:cs="Times New Roman"/>
          <w:color w:val="000000"/>
          <w:sz w:val="24"/>
          <w:szCs w:val="24"/>
        </w:rPr>
        <w:t xml:space="preserve">interviews with young children experiencing disability. </w:t>
      </w:r>
      <w:r w:rsidRPr="00AA2949">
        <w:rPr>
          <w:rFonts w:ascii="Times New Roman" w:hAnsi="Times New Roman" w:cs="Times New Roman"/>
          <w:i/>
          <w:color w:val="000000"/>
          <w:sz w:val="24"/>
          <w:szCs w:val="24"/>
        </w:rPr>
        <w:t>Child Care in Practice</w:t>
      </w:r>
      <w:r w:rsidRPr="00AA2949">
        <w:rPr>
          <w:rFonts w:ascii="Times New Roman" w:hAnsi="Times New Roman" w:cs="Times New Roman"/>
          <w:color w:val="000000"/>
          <w:sz w:val="24"/>
          <w:szCs w:val="24"/>
        </w:rPr>
        <w:t xml:space="preserve">, 21(3), </w:t>
      </w:r>
      <w:r w:rsidR="00E04DE2"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220</w:t>
      </w:r>
      <w:r w:rsidR="00E04DE2"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237.</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Van Ootegem, L.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Verhofstadt, E. (2012). Using </w:t>
      </w:r>
      <w:r w:rsidR="00E04DE2" w:rsidRPr="00AA2949">
        <w:rPr>
          <w:rFonts w:ascii="Times New Roman" w:hAnsi="Times New Roman" w:cs="Times New Roman"/>
          <w:color w:val="000000"/>
          <w:sz w:val="24"/>
          <w:szCs w:val="24"/>
        </w:rPr>
        <w:t>capabilities as an alternative indicator for well-being.</w:t>
      </w:r>
      <w:r w:rsidRPr="00AA2949">
        <w:rPr>
          <w:rFonts w:ascii="Times New Roman" w:hAnsi="Times New Roman" w:cs="Times New Roman"/>
          <w:i/>
          <w:color w:val="000000"/>
          <w:sz w:val="24"/>
          <w:szCs w:val="24"/>
        </w:rPr>
        <w:t xml:space="preserve"> Social Indicators Research</w:t>
      </w:r>
      <w:r w:rsidRPr="00AA2949">
        <w:rPr>
          <w:rFonts w:ascii="Times New Roman" w:hAnsi="Times New Roman" w:cs="Times New Roman"/>
          <w:color w:val="000000"/>
          <w:sz w:val="24"/>
          <w:szCs w:val="24"/>
        </w:rPr>
        <w:t>,</w:t>
      </w:r>
      <w:r w:rsidRPr="00AA2949">
        <w:rPr>
          <w:rFonts w:ascii="Times New Roman" w:hAnsi="Times New Roman" w:cs="Times New Roman"/>
          <w:i/>
          <w:color w:val="000000"/>
          <w:sz w:val="24"/>
          <w:szCs w:val="24"/>
        </w:rPr>
        <w:t xml:space="preserve"> </w:t>
      </w:r>
      <w:r w:rsidRPr="00AA2949">
        <w:rPr>
          <w:rFonts w:ascii="Times New Roman" w:hAnsi="Times New Roman" w:cs="Times New Roman"/>
          <w:color w:val="000000"/>
          <w:sz w:val="24"/>
          <w:szCs w:val="24"/>
        </w:rPr>
        <w:t xml:space="preserve">106(1), </w:t>
      </w:r>
      <w:r w:rsidR="00E04DE2"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133</w:t>
      </w:r>
      <w:r w:rsidR="00E04DE2"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152.</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Walkington, H., Dyer, S., Solem, M., Haigh, M.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Waddington, S. (2018). A </w:t>
      </w:r>
      <w:r w:rsidR="00E04DE2" w:rsidRPr="00AA2949">
        <w:rPr>
          <w:rFonts w:ascii="Times New Roman" w:hAnsi="Times New Roman" w:cs="Times New Roman"/>
          <w:color w:val="000000"/>
          <w:sz w:val="24"/>
          <w:szCs w:val="24"/>
        </w:rPr>
        <w:t>capabilities approach to higher education</w:t>
      </w:r>
      <w:r w:rsidRPr="00AA2949">
        <w:rPr>
          <w:rFonts w:ascii="Times New Roman" w:hAnsi="Times New Roman" w:cs="Times New Roman"/>
          <w:color w:val="000000"/>
          <w:sz w:val="24"/>
          <w:szCs w:val="24"/>
        </w:rPr>
        <w:t xml:space="preserve">: Geocapabilities and </w:t>
      </w:r>
      <w:r w:rsidR="00E04DE2" w:rsidRPr="00AA2949">
        <w:rPr>
          <w:rFonts w:ascii="Times New Roman" w:hAnsi="Times New Roman" w:cs="Times New Roman"/>
          <w:color w:val="000000"/>
          <w:sz w:val="24"/>
          <w:szCs w:val="24"/>
        </w:rPr>
        <w:t>implications for geography curricular.</w:t>
      </w:r>
      <w:r w:rsidRPr="00AA2949">
        <w:rPr>
          <w:rFonts w:ascii="Times New Roman" w:hAnsi="Times New Roman" w:cs="Times New Roman"/>
          <w:color w:val="000000"/>
          <w:sz w:val="24"/>
          <w:szCs w:val="24"/>
        </w:rPr>
        <w:t xml:space="preserve"> </w:t>
      </w:r>
      <w:r w:rsidRPr="00AA2949">
        <w:rPr>
          <w:rFonts w:ascii="Times New Roman" w:hAnsi="Times New Roman" w:cs="Times New Roman"/>
          <w:i/>
          <w:color w:val="000000"/>
          <w:sz w:val="24"/>
          <w:szCs w:val="24"/>
        </w:rPr>
        <w:t>Journal of Geography in Higher Education</w:t>
      </w:r>
      <w:r w:rsidRPr="00AA2949">
        <w:rPr>
          <w:rFonts w:ascii="Times New Roman" w:hAnsi="Times New Roman" w:cs="Times New Roman"/>
          <w:color w:val="000000"/>
          <w:sz w:val="24"/>
          <w:szCs w:val="24"/>
        </w:rPr>
        <w:t>, 42(1),</w:t>
      </w:r>
      <w:r w:rsidR="00E04DE2" w:rsidRPr="00AA2949">
        <w:rPr>
          <w:rFonts w:ascii="Times New Roman" w:hAnsi="Times New Roman" w:cs="Times New Roman"/>
          <w:color w:val="000000"/>
          <w:sz w:val="24"/>
          <w:szCs w:val="24"/>
        </w:rPr>
        <w:t xml:space="preserve"> pp.</w:t>
      </w:r>
      <w:r w:rsidRPr="00AA2949">
        <w:rPr>
          <w:rFonts w:ascii="Times New Roman" w:hAnsi="Times New Roman" w:cs="Times New Roman"/>
          <w:color w:val="000000"/>
          <w:sz w:val="24"/>
          <w:szCs w:val="24"/>
        </w:rPr>
        <w:t xml:space="preserve"> 7</w:t>
      </w:r>
      <w:r w:rsidR="00E04DE2"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42.</w:t>
      </w:r>
    </w:p>
    <w:p w:rsidR="004F7068" w:rsidRPr="00AA2949" w:rsidRDefault="004F7068" w:rsidP="00F979B4">
      <w:pPr>
        <w:pStyle w:val="References"/>
        <w:spacing w:before="0" w:line="240" w:lineRule="auto"/>
        <w:ind w:left="709" w:hanging="709"/>
        <w:contextualSpacing w:val="0"/>
        <w:rPr>
          <w:i/>
        </w:rPr>
      </w:pPr>
      <w:r w:rsidRPr="00AA2949">
        <w:t xml:space="preserve">Walshe, N., Lee, E. </w:t>
      </w:r>
      <w:r w:rsidR="0000404E" w:rsidRPr="00AA2949">
        <w:t>and</w:t>
      </w:r>
      <w:r w:rsidRPr="00AA2949">
        <w:t xml:space="preserve"> Smith, M. (</w:t>
      </w:r>
      <w:r w:rsidR="00E04DE2" w:rsidRPr="00AA2949">
        <w:t>forthcoming</w:t>
      </w:r>
      <w:r w:rsidRPr="00AA2949">
        <w:t xml:space="preserve">). Supporting </w:t>
      </w:r>
      <w:r w:rsidR="00E04DE2" w:rsidRPr="00AA2949">
        <w:t xml:space="preserve">children’s wellbeing with art in nature: </w:t>
      </w:r>
      <w:r w:rsidRPr="00AA2949">
        <w:t xml:space="preserve">Artist </w:t>
      </w:r>
      <w:r w:rsidR="00E04DE2" w:rsidRPr="00AA2949">
        <w:t>pedagogue perceptions</w:t>
      </w:r>
      <w:r w:rsidRPr="00AA2949">
        <w:t xml:space="preserve">. </w:t>
      </w:r>
      <w:r w:rsidRPr="00AA2949">
        <w:rPr>
          <w:i/>
        </w:rPr>
        <w:t>Journal of Education for Sustainable Development</w:t>
      </w:r>
      <w:r w:rsidRPr="00AA2949">
        <w:t>, 13(1)</w:t>
      </w:r>
      <w:r w:rsidRPr="00AA2949">
        <w:rPr>
          <w:i/>
        </w:rPr>
        <w:t>.</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Watene, K. (2016). Valuing </w:t>
      </w:r>
      <w:r w:rsidR="00E04DE2" w:rsidRPr="00AA2949">
        <w:rPr>
          <w:rFonts w:ascii="Times New Roman" w:hAnsi="Times New Roman" w:cs="Times New Roman"/>
          <w:color w:val="000000"/>
          <w:sz w:val="24"/>
          <w:szCs w:val="24"/>
        </w:rPr>
        <w:t>n</w:t>
      </w:r>
      <w:r w:rsidRPr="00AA2949">
        <w:rPr>
          <w:rFonts w:ascii="Times New Roman" w:hAnsi="Times New Roman" w:cs="Times New Roman"/>
          <w:color w:val="000000"/>
          <w:sz w:val="24"/>
          <w:szCs w:val="24"/>
        </w:rPr>
        <w:t xml:space="preserve">ature: Māori </w:t>
      </w:r>
      <w:r w:rsidR="00E04DE2" w:rsidRPr="00AA2949">
        <w:rPr>
          <w:rFonts w:ascii="Times New Roman" w:hAnsi="Times New Roman" w:cs="Times New Roman"/>
          <w:color w:val="000000"/>
          <w:sz w:val="24"/>
          <w:szCs w:val="24"/>
        </w:rPr>
        <w:t>philosophy and the capability approach</w:t>
      </w:r>
      <w:r w:rsidRPr="00AA2949">
        <w:rPr>
          <w:rFonts w:ascii="Times New Roman" w:hAnsi="Times New Roman" w:cs="Times New Roman"/>
          <w:color w:val="000000"/>
          <w:sz w:val="24"/>
          <w:szCs w:val="24"/>
        </w:rPr>
        <w:t xml:space="preserve">. </w:t>
      </w:r>
      <w:r w:rsidRPr="00AA2949">
        <w:rPr>
          <w:rFonts w:ascii="Times New Roman" w:hAnsi="Times New Roman" w:cs="Times New Roman"/>
          <w:i/>
          <w:color w:val="000000"/>
          <w:sz w:val="24"/>
          <w:szCs w:val="24"/>
        </w:rPr>
        <w:t>Oxford Development Studies</w:t>
      </w:r>
      <w:r w:rsidRPr="00AA2949">
        <w:rPr>
          <w:rFonts w:ascii="Times New Roman" w:hAnsi="Times New Roman" w:cs="Times New Roman"/>
          <w:color w:val="000000"/>
          <w:sz w:val="24"/>
          <w:szCs w:val="24"/>
        </w:rPr>
        <w:t xml:space="preserve">, 44(3), </w:t>
      </w:r>
      <w:r w:rsidR="00E04DE2" w:rsidRPr="00AA2949">
        <w:rPr>
          <w:rFonts w:ascii="Times New Roman" w:hAnsi="Times New Roman" w:cs="Times New Roman"/>
          <w:color w:val="000000"/>
          <w:sz w:val="24"/>
          <w:szCs w:val="24"/>
        </w:rPr>
        <w:t xml:space="preserve">pp. </w:t>
      </w:r>
      <w:r w:rsidRPr="00AA2949">
        <w:rPr>
          <w:rFonts w:ascii="Times New Roman" w:hAnsi="Times New Roman" w:cs="Times New Roman"/>
          <w:color w:val="000000"/>
          <w:sz w:val="24"/>
          <w:szCs w:val="24"/>
        </w:rPr>
        <w:t>287</w:t>
      </w:r>
      <w:r w:rsidR="00E04DE2"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296.</w:t>
      </w:r>
    </w:p>
    <w:p w:rsidR="004F7068" w:rsidRPr="00AA2949" w:rsidRDefault="004F7068" w:rsidP="00F979B4">
      <w:pPr>
        <w:spacing w:after="0" w:line="240" w:lineRule="auto"/>
        <w:ind w:left="709" w:hanging="709"/>
        <w:textAlignment w:val="baseline"/>
        <w:rPr>
          <w:rFonts w:ascii="Times New Roman" w:hAnsi="Times New Roman" w:cs="Times New Roman"/>
          <w:sz w:val="24"/>
          <w:szCs w:val="24"/>
        </w:rPr>
      </w:pPr>
      <w:r w:rsidRPr="00AA2949">
        <w:rPr>
          <w:rFonts w:ascii="Times New Roman" w:hAnsi="Times New Roman" w:cs="Times New Roman"/>
          <w:sz w:val="24"/>
          <w:szCs w:val="24"/>
          <w:shd w:val="clear" w:color="auto" w:fill="FFFFFF"/>
        </w:rPr>
        <w:t xml:space="preserve">Welzel, C. </w:t>
      </w:r>
      <w:r w:rsidR="0000404E" w:rsidRPr="00AA2949">
        <w:rPr>
          <w:rFonts w:ascii="Times New Roman" w:hAnsi="Times New Roman" w:cs="Times New Roman"/>
          <w:sz w:val="24"/>
          <w:szCs w:val="24"/>
          <w:shd w:val="clear" w:color="auto" w:fill="FFFFFF"/>
        </w:rPr>
        <w:t>and</w:t>
      </w:r>
      <w:r w:rsidRPr="00AA2949">
        <w:rPr>
          <w:rFonts w:ascii="Times New Roman" w:hAnsi="Times New Roman" w:cs="Times New Roman"/>
          <w:sz w:val="24"/>
          <w:szCs w:val="24"/>
          <w:shd w:val="clear" w:color="auto" w:fill="FFFFFF"/>
        </w:rPr>
        <w:t xml:space="preserve"> Inglehart, R. (2010). Agency, values, and well-being: A human development model. </w:t>
      </w:r>
      <w:r w:rsidRPr="00AA2949">
        <w:rPr>
          <w:rFonts w:ascii="Times New Roman" w:hAnsi="Times New Roman" w:cs="Times New Roman"/>
          <w:i/>
          <w:sz w:val="24"/>
          <w:szCs w:val="24"/>
          <w:shd w:val="clear" w:color="auto" w:fill="FFFFFF"/>
        </w:rPr>
        <w:t>Social Indicators Research</w:t>
      </w:r>
      <w:r w:rsidRPr="00AA2949">
        <w:rPr>
          <w:rFonts w:ascii="Times New Roman" w:hAnsi="Times New Roman" w:cs="Times New Roman"/>
          <w:sz w:val="24"/>
          <w:szCs w:val="24"/>
          <w:shd w:val="clear" w:color="auto" w:fill="FFFFFF"/>
        </w:rPr>
        <w:t xml:space="preserve">, 97(1), </w:t>
      </w:r>
      <w:r w:rsidR="00E04DE2" w:rsidRPr="00AA2949">
        <w:rPr>
          <w:rFonts w:ascii="Times New Roman" w:hAnsi="Times New Roman" w:cs="Times New Roman"/>
          <w:sz w:val="24"/>
          <w:szCs w:val="24"/>
          <w:shd w:val="clear" w:color="auto" w:fill="FFFFFF"/>
        </w:rPr>
        <w:t xml:space="preserve">pp. </w:t>
      </w:r>
      <w:r w:rsidRPr="00AA2949">
        <w:rPr>
          <w:rFonts w:ascii="Times New Roman" w:hAnsi="Times New Roman" w:cs="Times New Roman"/>
          <w:sz w:val="24"/>
          <w:szCs w:val="24"/>
          <w:shd w:val="clear" w:color="auto" w:fill="FFFFFF"/>
        </w:rPr>
        <w:t>43</w:t>
      </w:r>
      <w:r w:rsidR="00E04DE2" w:rsidRPr="00AA2949">
        <w:rPr>
          <w:rFonts w:ascii="Times New Roman" w:hAnsi="Times New Roman" w:cs="Times New Roman"/>
          <w:sz w:val="24"/>
          <w:szCs w:val="24"/>
          <w:shd w:val="clear" w:color="auto" w:fill="FFFFFF"/>
        </w:rPr>
        <w:t>–</w:t>
      </w:r>
      <w:r w:rsidRPr="00AA2949">
        <w:rPr>
          <w:rFonts w:ascii="Times New Roman" w:hAnsi="Times New Roman" w:cs="Times New Roman"/>
          <w:sz w:val="24"/>
          <w:szCs w:val="24"/>
          <w:shd w:val="clear" w:color="auto" w:fill="FFFFFF"/>
        </w:rPr>
        <w:t>63.</w:t>
      </w:r>
    </w:p>
    <w:p w:rsidR="004F7068" w:rsidRPr="00AA2949" w:rsidRDefault="004F7068" w:rsidP="00F979B4">
      <w:pPr>
        <w:pStyle w:val="References"/>
        <w:spacing w:before="0" w:line="240" w:lineRule="auto"/>
        <w:ind w:left="709" w:hanging="709"/>
        <w:contextualSpacing w:val="0"/>
      </w:pPr>
      <w:r w:rsidRPr="00AA2949">
        <w:t xml:space="preserve">Whitehead, T.L. (2004). </w:t>
      </w:r>
      <w:r w:rsidRPr="00AA2949">
        <w:rPr>
          <w:i/>
        </w:rPr>
        <w:t xml:space="preserve">What is </w:t>
      </w:r>
      <w:r w:rsidR="00E04DE2" w:rsidRPr="00AA2949">
        <w:rPr>
          <w:i/>
        </w:rPr>
        <w:t>e</w:t>
      </w:r>
      <w:r w:rsidRPr="00AA2949">
        <w:rPr>
          <w:i/>
        </w:rPr>
        <w:t xml:space="preserve">thnography? Methodological, </w:t>
      </w:r>
      <w:r w:rsidR="00E04DE2" w:rsidRPr="00AA2949">
        <w:rPr>
          <w:i/>
        </w:rPr>
        <w:t>ontological and epistemological attributes</w:t>
      </w:r>
      <w:r w:rsidR="00E04DE2" w:rsidRPr="00AA2949">
        <w:t>.</w:t>
      </w:r>
      <w:r w:rsidRPr="00AA2949">
        <w:t xml:space="preserve"> </w:t>
      </w:r>
      <w:r w:rsidR="00E04DE2" w:rsidRPr="00AA2949">
        <w:t>CuSAG</w:t>
      </w:r>
      <w:r w:rsidRPr="00AA2949">
        <w:t xml:space="preserve"> Working Paper Series. </w:t>
      </w:r>
      <w:r w:rsidR="00E04DE2" w:rsidRPr="00AA2949">
        <w:t>College Park, MD: Department of Anthropology, University of Maryland.</w:t>
      </w:r>
    </w:p>
    <w:p w:rsidR="004F7068" w:rsidRPr="00AA2949" w:rsidRDefault="004F7068" w:rsidP="00F979B4">
      <w:pPr>
        <w:pStyle w:val="References"/>
        <w:spacing w:before="0" w:line="240" w:lineRule="auto"/>
        <w:ind w:left="709" w:hanging="709"/>
        <w:contextualSpacing w:val="0"/>
      </w:pPr>
      <w:r w:rsidRPr="00AA2949">
        <w:t xml:space="preserve">WHO (2016). </w:t>
      </w:r>
      <w:r w:rsidRPr="00AA2949">
        <w:rPr>
          <w:i/>
        </w:rPr>
        <w:t xml:space="preserve">World </w:t>
      </w:r>
      <w:r w:rsidR="00E04DE2" w:rsidRPr="00AA2949">
        <w:rPr>
          <w:i/>
        </w:rPr>
        <w:t xml:space="preserve">health statistics </w:t>
      </w:r>
      <w:r w:rsidRPr="00AA2949">
        <w:rPr>
          <w:i/>
        </w:rPr>
        <w:t>2016: Monitoring health for the SDGs</w:t>
      </w:r>
      <w:r w:rsidRPr="00AA2949">
        <w:t xml:space="preserve">. </w:t>
      </w:r>
      <w:r w:rsidR="00E04DE2" w:rsidRPr="00AA2949">
        <w:t xml:space="preserve">Geneva: </w:t>
      </w:r>
      <w:r w:rsidRPr="00AA2949">
        <w:t xml:space="preserve">World Health Organisation. </w:t>
      </w:r>
      <w:r w:rsidR="00E04DE2" w:rsidRPr="00AA2949">
        <w:t>Available at:</w:t>
      </w:r>
      <w:r w:rsidRPr="00AA2949">
        <w:t xml:space="preserve"> </w:t>
      </w:r>
      <w:r w:rsidRPr="00AA2949">
        <w:lastRenderedPageBreak/>
        <w:t>https://www.who.int/gho/publications/world_health_statistics/2016/en/</w:t>
      </w:r>
      <w:r w:rsidR="00E04DE2" w:rsidRPr="00AA2949">
        <w:t xml:space="preserve"> [Accessed 18 Aug. 2019].</w:t>
      </w:r>
    </w:p>
    <w:p w:rsidR="004F7068" w:rsidRPr="00AA2949" w:rsidRDefault="004F7068" w:rsidP="00F979B4">
      <w:pPr>
        <w:spacing w:after="0" w:line="240" w:lineRule="auto"/>
        <w:ind w:left="709" w:hanging="709"/>
        <w:textAlignment w:val="baseline"/>
        <w:rPr>
          <w:rFonts w:ascii="Times New Roman" w:hAnsi="Times New Roman" w:cs="Times New Roman"/>
          <w:color w:val="000000"/>
          <w:sz w:val="24"/>
          <w:szCs w:val="24"/>
        </w:rPr>
      </w:pPr>
      <w:r w:rsidRPr="00AA2949">
        <w:rPr>
          <w:rFonts w:ascii="Times New Roman" w:hAnsi="Times New Roman" w:cs="Times New Roman"/>
          <w:color w:val="000000"/>
          <w:sz w:val="24"/>
          <w:szCs w:val="24"/>
        </w:rPr>
        <w:t xml:space="preserve">Zitcer, A., Hawkins, J. </w:t>
      </w:r>
      <w:r w:rsidR="0000404E" w:rsidRPr="00AA2949">
        <w:rPr>
          <w:rFonts w:ascii="Times New Roman" w:hAnsi="Times New Roman" w:cs="Times New Roman"/>
          <w:color w:val="000000"/>
          <w:sz w:val="24"/>
          <w:szCs w:val="24"/>
        </w:rPr>
        <w:t>and</w:t>
      </w:r>
      <w:r w:rsidRPr="00AA2949">
        <w:rPr>
          <w:rFonts w:ascii="Times New Roman" w:hAnsi="Times New Roman" w:cs="Times New Roman"/>
          <w:color w:val="000000"/>
          <w:sz w:val="24"/>
          <w:szCs w:val="24"/>
        </w:rPr>
        <w:t xml:space="preserve"> Vakharia, N. (2016). A </w:t>
      </w:r>
      <w:r w:rsidR="00E04DE2" w:rsidRPr="00AA2949">
        <w:rPr>
          <w:rFonts w:ascii="Times New Roman" w:hAnsi="Times New Roman" w:cs="Times New Roman"/>
          <w:color w:val="000000"/>
          <w:sz w:val="24"/>
          <w:szCs w:val="24"/>
        </w:rPr>
        <w:t xml:space="preserve">capabilities approach to arts and culture? </w:t>
      </w:r>
      <w:r w:rsidRPr="00AA2949">
        <w:rPr>
          <w:rFonts w:ascii="Times New Roman" w:hAnsi="Times New Roman" w:cs="Times New Roman"/>
          <w:color w:val="000000"/>
          <w:sz w:val="24"/>
          <w:szCs w:val="24"/>
        </w:rPr>
        <w:t xml:space="preserve">Theorizing </w:t>
      </w:r>
      <w:r w:rsidR="00E04DE2" w:rsidRPr="00AA2949">
        <w:rPr>
          <w:rFonts w:ascii="Times New Roman" w:hAnsi="Times New Roman" w:cs="Times New Roman"/>
          <w:color w:val="000000"/>
          <w:sz w:val="24"/>
          <w:szCs w:val="24"/>
        </w:rPr>
        <w:t>community development in</w:t>
      </w:r>
      <w:r w:rsidRPr="00AA2949">
        <w:rPr>
          <w:rFonts w:ascii="Times New Roman" w:hAnsi="Times New Roman" w:cs="Times New Roman"/>
          <w:color w:val="000000"/>
          <w:sz w:val="24"/>
          <w:szCs w:val="24"/>
        </w:rPr>
        <w:t xml:space="preserve"> West Philadelphia. </w:t>
      </w:r>
      <w:r w:rsidRPr="00AA2949">
        <w:rPr>
          <w:rFonts w:ascii="Times New Roman" w:hAnsi="Times New Roman" w:cs="Times New Roman"/>
          <w:i/>
          <w:color w:val="000000"/>
          <w:sz w:val="24"/>
          <w:szCs w:val="24"/>
        </w:rPr>
        <w:t>Planning Theory and Practice</w:t>
      </w:r>
      <w:r w:rsidRPr="00AA2949">
        <w:rPr>
          <w:rFonts w:ascii="Times New Roman" w:hAnsi="Times New Roman" w:cs="Times New Roman"/>
          <w:color w:val="000000"/>
          <w:sz w:val="24"/>
          <w:szCs w:val="24"/>
        </w:rPr>
        <w:t xml:space="preserve">, 17(1), </w:t>
      </w:r>
      <w:r w:rsidR="00E04DE2" w:rsidRPr="00AA2949">
        <w:rPr>
          <w:rFonts w:ascii="Times New Roman" w:hAnsi="Times New Roman" w:cs="Times New Roman"/>
          <w:color w:val="000000"/>
          <w:sz w:val="24"/>
          <w:szCs w:val="24"/>
        </w:rPr>
        <w:t xml:space="preserve">p. </w:t>
      </w:r>
      <w:r w:rsidRPr="00AA2949">
        <w:rPr>
          <w:rFonts w:ascii="Times New Roman" w:hAnsi="Times New Roman" w:cs="Times New Roman"/>
          <w:color w:val="000000"/>
          <w:sz w:val="24"/>
          <w:szCs w:val="24"/>
        </w:rPr>
        <w:t>35</w:t>
      </w:r>
      <w:r w:rsidR="00E04DE2" w:rsidRPr="00AA2949">
        <w:rPr>
          <w:rFonts w:ascii="Times New Roman" w:hAnsi="Times New Roman" w:cs="Times New Roman"/>
          <w:color w:val="000000"/>
          <w:sz w:val="24"/>
          <w:szCs w:val="24"/>
        </w:rPr>
        <w:t>–</w:t>
      </w:r>
      <w:r w:rsidRPr="00AA2949">
        <w:rPr>
          <w:rFonts w:ascii="Times New Roman" w:hAnsi="Times New Roman" w:cs="Times New Roman"/>
          <w:color w:val="000000"/>
          <w:sz w:val="24"/>
          <w:szCs w:val="24"/>
        </w:rPr>
        <w:t>51.</w:t>
      </w:r>
    </w:p>
    <w:p w:rsidR="009D0D10" w:rsidRPr="00AA2949" w:rsidRDefault="009D0D10" w:rsidP="00F979B4">
      <w:pPr>
        <w:pStyle w:val="paragraph"/>
        <w:spacing w:before="0" w:beforeAutospacing="0" w:after="0" w:afterAutospacing="0"/>
        <w:ind w:left="709" w:hanging="709"/>
        <w:textAlignment w:val="baseline"/>
      </w:pPr>
    </w:p>
    <w:sectPr w:rsidR="009D0D10" w:rsidRPr="00AA2949" w:rsidSect="00D91CF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E65DF3" w15:done="0"/>
  <w15:commentEx w15:paraId="605FAC69" w15:done="0"/>
  <w15:commentEx w15:paraId="66145E2E" w15:done="0"/>
  <w15:commentEx w15:paraId="21DE5958" w15:done="0"/>
  <w15:commentEx w15:paraId="3A13F57C" w15:done="0"/>
  <w15:commentEx w15:paraId="0202B764" w15:done="0"/>
  <w15:commentEx w15:paraId="39552A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65DF3" w16cid:durableId="21090152"/>
  <w16cid:commentId w16cid:paraId="605FAC69" w16cid:durableId="21090160"/>
  <w16cid:commentId w16cid:paraId="66145E2E" w16cid:durableId="2109016C"/>
  <w16cid:commentId w16cid:paraId="21DE5958" w16cid:durableId="21090184"/>
  <w16cid:commentId w16cid:paraId="3A13F57C" w16cid:durableId="21090192"/>
  <w16cid:commentId w16cid:paraId="0202B764" w16cid:durableId="210901A3"/>
  <w16cid:commentId w16cid:paraId="39552A1E" w16cid:durableId="210901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73" w:rsidRDefault="00A11273" w:rsidP="00F979B4">
      <w:pPr>
        <w:spacing w:after="0" w:line="240" w:lineRule="auto"/>
      </w:pPr>
      <w:r>
        <w:separator/>
      </w:r>
    </w:p>
  </w:endnote>
  <w:endnote w:type="continuationSeparator" w:id="0">
    <w:p w:rsidR="00A11273" w:rsidRDefault="00A11273" w:rsidP="00F9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59219"/>
      <w:docPartObj>
        <w:docPartGallery w:val="Page Numbers (Bottom of Page)"/>
        <w:docPartUnique/>
      </w:docPartObj>
    </w:sdtPr>
    <w:sdtEndPr>
      <w:rPr>
        <w:rFonts w:ascii="Times New Roman" w:hAnsi="Times New Roman" w:cs="Times New Roman"/>
        <w:noProof/>
        <w:sz w:val="24"/>
        <w:szCs w:val="24"/>
      </w:rPr>
    </w:sdtEndPr>
    <w:sdtContent>
      <w:p w:rsidR="002B7168" w:rsidRPr="00F979B4" w:rsidRDefault="00D31788">
        <w:pPr>
          <w:pStyle w:val="Footer"/>
          <w:rPr>
            <w:rFonts w:ascii="Times New Roman" w:hAnsi="Times New Roman" w:cs="Times New Roman"/>
            <w:sz w:val="24"/>
            <w:szCs w:val="24"/>
          </w:rPr>
        </w:pPr>
        <w:r w:rsidRPr="00F979B4">
          <w:rPr>
            <w:rFonts w:ascii="Times New Roman" w:hAnsi="Times New Roman" w:cs="Times New Roman"/>
            <w:sz w:val="24"/>
            <w:szCs w:val="24"/>
          </w:rPr>
          <w:fldChar w:fldCharType="begin"/>
        </w:r>
        <w:r w:rsidR="002B7168" w:rsidRPr="00F979B4">
          <w:rPr>
            <w:rFonts w:ascii="Times New Roman" w:hAnsi="Times New Roman" w:cs="Times New Roman"/>
            <w:sz w:val="24"/>
            <w:szCs w:val="24"/>
          </w:rPr>
          <w:instrText xml:space="preserve"> PAGE   \* MERGEFORMAT </w:instrText>
        </w:r>
        <w:r w:rsidRPr="00F979B4">
          <w:rPr>
            <w:rFonts w:ascii="Times New Roman" w:hAnsi="Times New Roman" w:cs="Times New Roman"/>
            <w:sz w:val="24"/>
            <w:szCs w:val="24"/>
          </w:rPr>
          <w:fldChar w:fldCharType="separate"/>
        </w:r>
        <w:r w:rsidR="00E102A9">
          <w:rPr>
            <w:rFonts w:ascii="Times New Roman" w:hAnsi="Times New Roman" w:cs="Times New Roman"/>
            <w:noProof/>
            <w:sz w:val="24"/>
            <w:szCs w:val="24"/>
          </w:rPr>
          <w:t>1</w:t>
        </w:r>
        <w:r w:rsidRPr="00F979B4">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73" w:rsidRDefault="00A11273" w:rsidP="00F979B4">
      <w:pPr>
        <w:spacing w:after="0" w:line="240" w:lineRule="auto"/>
      </w:pPr>
      <w:r>
        <w:separator/>
      </w:r>
    </w:p>
  </w:footnote>
  <w:footnote w:type="continuationSeparator" w:id="0">
    <w:p w:rsidR="00A11273" w:rsidRDefault="00A11273" w:rsidP="00F979B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Burnard">
    <w15:presenceInfo w15:providerId="AD" w15:userId="S::pab61@cam.ac.uk::ae21c697-2427-41ab-b8b6-e84e9689d6a6"/>
  </w15:person>
  <w15:person w15:author="Kate Leeson">
    <w15:presenceInfo w15:providerId="Windows Live" w15:userId="22e0fa76da15fb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5B31"/>
    <w:rsid w:val="0000404E"/>
    <w:rsid w:val="00010DCB"/>
    <w:rsid w:val="00016C95"/>
    <w:rsid w:val="00074FE3"/>
    <w:rsid w:val="000910FF"/>
    <w:rsid w:val="000A1292"/>
    <w:rsid w:val="000E5AC5"/>
    <w:rsid w:val="000E7144"/>
    <w:rsid w:val="000F4763"/>
    <w:rsid w:val="00121D21"/>
    <w:rsid w:val="00157981"/>
    <w:rsid w:val="001641A7"/>
    <w:rsid w:val="001708B7"/>
    <w:rsid w:val="001856C7"/>
    <w:rsid w:val="001967E4"/>
    <w:rsid w:val="001A1A66"/>
    <w:rsid w:val="001A2C97"/>
    <w:rsid w:val="001E1AE8"/>
    <w:rsid w:val="001F4A83"/>
    <w:rsid w:val="002174B3"/>
    <w:rsid w:val="002579FC"/>
    <w:rsid w:val="00260E96"/>
    <w:rsid w:val="002B4282"/>
    <w:rsid w:val="002B7168"/>
    <w:rsid w:val="002B78AA"/>
    <w:rsid w:val="002C5418"/>
    <w:rsid w:val="002D7B82"/>
    <w:rsid w:val="002E5A33"/>
    <w:rsid w:val="00304D34"/>
    <w:rsid w:val="00305B31"/>
    <w:rsid w:val="00306653"/>
    <w:rsid w:val="00322B57"/>
    <w:rsid w:val="00340336"/>
    <w:rsid w:val="00367F45"/>
    <w:rsid w:val="003A0F00"/>
    <w:rsid w:val="003B0BD1"/>
    <w:rsid w:val="003B2522"/>
    <w:rsid w:val="003C51A0"/>
    <w:rsid w:val="003D4A69"/>
    <w:rsid w:val="003F74D6"/>
    <w:rsid w:val="004007D8"/>
    <w:rsid w:val="00456C25"/>
    <w:rsid w:val="00470391"/>
    <w:rsid w:val="00487022"/>
    <w:rsid w:val="004F7068"/>
    <w:rsid w:val="004F78B7"/>
    <w:rsid w:val="00504C10"/>
    <w:rsid w:val="005136DB"/>
    <w:rsid w:val="00536D1A"/>
    <w:rsid w:val="005503B0"/>
    <w:rsid w:val="00583CC9"/>
    <w:rsid w:val="005B6032"/>
    <w:rsid w:val="00630924"/>
    <w:rsid w:val="00661A80"/>
    <w:rsid w:val="006E014E"/>
    <w:rsid w:val="006E5CB9"/>
    <w:rsid w:val="007201F5"/>
    <w:rsid w:val="00766234"/>
    <w:rsid w:val="00796326"/>
    <w:rsid w:val="007B7A03"/>
    <w:rsid w:val="008052F7"/>
    <w:rsid w:val="00896711"/>
    <w:rsid w:val="008A0B4F"/>
    <w:rsid w:val="008A41FF"/>
    <w:rsid w:val="008D2751"/>
    <w:rsid w:val="00912484"/>
    <w:rsid w:val="00920BD3"/>
    <w:rsid w:val="00920C8F"/>
    <w:rsid w:val="00941115"/>
    <w:rsid w:val="0095062E"/>
    <w:rsid w:val="009A1150"/>
    <w:rsid w:val="009B6247"/>
    <w:rsid w:val="009D0D10"/>
    <w:rsid w:val="009D6780"/>
    <w:rsid w:val="00A00FDA"/>
    <w:rsid w:val="00A11273"/>
    <w:rsid w:val="00A17FDC"/>
    <w:rsid w:val="00A542BF"/>
    <w:rsid w:val="00A56955"/>
    <w:rsid w:val="00A75BF5"/>
    <w:rsid w:val="00A94824"/>
    <w:rsid w:val="00AA2949"/>
    <w:rsid w:val="00AB68A8"/>
    <w:rsid w:val="00AB73B1"/>
    <w:rsid w:val="00AE00E5"/>
    <w:rsid w:val="00AF346F"/>
    <w:rsid w:val="00B21575"/>
    <w:rsid w:val="00B34CD9"/>
    <w:rsid w:val="00B40681"/>
    <w:rsid w:val="00B64F05"/>
    <w:rsid w:val="00B67742"/>
    <w:rsid w:val="00BB0DC3"/>
    <w:rsid w:val="00BD7B44"/>
    <w:rsid w:val="00C13724"/>
    <w:rsid w:val="00C14115"/>
    <w:rsid w:val="00C44E98"/>
    <w:rsid w:val="00C65C9D"/>
    <w:rsid w:val="00C740AE"/>
    <w:rsid w:val="00C746B9"/>
    <w:rsid w:val="00D05C11"/>
    <w:rsid w:val="00D31788"/>
    <w:rsid w:val="00D363FF"/>
    <w:rsid w:val="00D6617D"/>
    <w:rsid w:val="00D91CFE"/>
    <w:rsid w:val="00DA54AD"/>
    <w:rsid w:val="00DA72D5"/>
    <w:rsid w:val="00E04DE2"/>
    <w:rsid w:val="00E102A9"/>
    <w:rsid w:val="00E51D32"/>
    <w:rsid w:val="00E94D9F"/>
    <w:rsid w:val="00F07F3B"/>
    <w:rsid w:val="00F358A5"/>
    <w:rsid w:val="00F523BC"/>
    <w:rsid w:val="00F55BF7"/>
    <w:rsid w:val="00F979B4"/>
    <w:rsid w:val="00FB01A9"/>
    <w:rsid w:val="00FD3436"/>
    <w:rsid w:val="00FD3C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31"/>
    <w:pPr>
      <w:spacing w:after="200" w:line="276" w:lineRule="auto"/>
    </w:pPr>
    <w:rPr>
      <w:rFonts w:eastAsiaTheme="minorEastAsia"/>
      <w:lang w:eastAsia="en-GB"/>
    </w:rPr>
  </w:style>
  <w:style w:type="paragraph" w:styleId="Heading1">
    <w:name w:val="heading 1"/>
    <w:basedOn w:val="Normal"/>
    <w:link w:val="Heading1Char"/>
    <w:uiPriority w:val="9"/>
    <w:qFormat/>
    <w:rsid w:val="00BD7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7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B31"/>
    <w:rPr>
      <w:sz w:val="16"/>
      <w:szCs w:val="16"/>
    </w:rPr>
  </w:style>
  <w:style w:type="paragraph" w:styleId="CommentText">
    <w:name w:val="annotation text"/>
    <w:basedOn w:val="Normal"/>
    <w:link w:val="CommentTextChar"/>
    <w:uiPriority w:val="99"/>
    <w:semiHidden/>
    <w:unhideWhenUsed/>
    <w:rsid w:val="00305B31"/>
    <w:pPr>
      <w:spacing w:line="240" w:lineRule="auto"/>
    </w:pPr>
    <w:rPr>
      <w:sz w:val="20"/>
      <w:szCs w:val="20"/>
    </w:rPr>
  </w:style>
  <w:style w:type="character" w:customStyle="1" w:styleId="CommentTextChar">
    <w:name w:val="Comment Text Char"/>
    <w:basedOn w:val="DefaultParagraphFont"/>
    <w:link w:val="CommentText"/>
    <w:uiPriority w:val="99"/>
    <w:semiHidden/>
    <w:rsid w:val="00305B31"/>
    <w:rPr>
      <w:rFonts w:eastAsiaTheme="minorEastAsia"/>
      <w:sz w:val="20"/>
      <w:szCs w:val="20"/>
      <w:lang w:eastAsia="en-GB"/>
    </w:rPr>
  </w:style>
  <w:style w:type="paragraph" w:styleId="BalloonText">
    <w:name w:val="Balloon Text"/>
    <w:basedOn w:val="Normal"/>
    <w:link w:val="BalloonTextChar"/>
    <w:uiPriority w:val="99"/>
    <w:semiHidden/>
    <w:unhideWhenUsed/>
    <w:rsid w:val="00305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31"/>
    <w:rPr>
      <w:rFonts w:ascii="Segoe UI" w:eastAsiaTheme="minorEastAsia" w:hAnsi="Segoe UI" w:cs="Segoe UI"/>
      <w:sz w:val="18"/>
      <w:szCs w:val="18"/>
      <w:lang w:eastAsia="en-GB"/>
    </w:rPr>
  </w:style>
  <w:style w:type="paragraph" w:customStyle="1" w:styleId="paragraph">
    <w:name w:val="paragraph"/>
    <w:basedOn w:val="Normal"/>
    <w:rsid w:val="009D0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0D10"/>
  </w:style>
  <w:style w:type="character" w:customStyle="1" w:styleId="spellingerror">
    <w:name w:val="spellingerror"/>
    <w:basedOn w:val="DefaultParagraphFont"/>
    <w:rsid w:val="009D0D10"/>
  </w:style>
  <w:style w:type="paragraph" w:customStyle="1" w:styleId="Paragraph0">
    <w:name w:val="Paragraph"/>
    <w:basedOn w:val="Normal"/>
    <w:next w:val="Normal"/>
    <w:qFormat/>
    <w:rsid w:val="00C65C9D"/>
    <w:pPr>
      <w:widowControl w:val="0"/>
      <w:spacing w:before="240" w:after="0" w:line="480" w:lineRule="auto"/>
    </w:pPr>
    <w:rPr>
      <w:rFonts w:ascii="Times New Roman" w:eastAsia="Times New Roman" w:hAnsi="Times New Roman" w:cs="Times New Roman"/>
      <w:sz w:val="24"/>
      <w:szCs w:val="24"/>
    </w:rPr>
  </w:style>
  <w:style w:type="paragraph" w:customStyle="1" w:styleId="Newparagraph">
    <w:name w:val="New paragraph"/>
    <w:basedOn w:val="Normal"/>
    <w:qFormat/>
    <w:rsid w:val="00C65C9D"/>
    <w:pPr>
      <w:spacing w:after="0" w:line="480" w:lineRule="auto"/>
      <w:ind w:firstLine="720"/>
    </w:pPr>
    <w:rPr>
      <w:rFonts w:ascii="Times New Roman" w:eastAsia="Times New Roman" w:hAnsi="Times New Roman" w:cs="Times New Roman"/>
      <w:sz w:val="24"/>
      <w:szCs w:val="24"/>
    </w:rPr>
  </w:style>
  <w:style w:type="paragraph" w:customStyle="1" w:styleId="Quotations">
    <w:name w:val="Quotations"/>
    <w:basedOn w:val="Normal"/>
    <w:qFormat/>
    <w:rsid w:val="00C65C9D"/>
    <w:pPr>
      <w:spacing w:before="360" w:after="360" w:line="240" w:lineRule="auto"/>
      <w:ind w:left="567" w:right="567"/>
      <w:jc w:val="both"/>
    </w:pPr>
    <w:rPr>
      <w:rFonts w:ascii="Times New Roman" w:hAnsi="Times New Roman" w:cs="Times New Roman"/>
      <w:sz w:val="24"/>
      <w:szCs w:val="24"/>
    </w:rPr>
  </w:style>
  <w:style w:type="character" w:styleId="Hyperlink">
    <w:name w:val="Hyperlink"/>
    <w:basedOn w:val="DefaultParagraphFont"/>
    <w:rsid w:val="004F7068"/>
    <w:rPr>
      <w:color w:val="0000FF"/>
      <w:u w:val="single"/>
    </w:rPr>
  </w:style>
  <w:style w:type="paragraph" w:customStyle="1" w:styleId="References">
    <w:name w:val="References"/>
    <w:basedOn w:val="Normal"/>
    <w:qFormat/>
    <w:rsid w:val="004F7068"/>
    <w:pPr>
      <w:spacing w:before="120" w:after="0" w:line="360" w:lineRule="auto"/>
      <w:ind w:left="720" w:hanging="720"/>
      <w:contextualSpacing/>
    </w:pPr>
    <w:rPr>
      <w:rFonts w:ascii="Times New Roman" w:eastAsia="Times New Roman" w:hAnsi="Times New Roman" w:cs="Times New Roman"/>
      <w:sz w:val="24"/>
      <w:szCs w:val="24"/>
    </w:rPr>
  </w:style>
  <w:style w:type="character" w:customStyle="1" w:styleId="hlfld-contribauthor">
    <w:name w:val="hlfld-contribauthor"/>
    <w:basedOn w:val="DefaultParagraphFont"/>
    <w:rsid w:val="004F7068"/>
  </w:style>
  <w:style w:type="character" w:customStyle="1" w:styleId="nlmgiven-names">
    <w:name w:val="nlm_given-names"/>
    <w:basedOn w:val="DefaultParagraphFont"/>
    <w:rsid w:val="004F7068"/>
  </w:style>
  <w:style w:type="character" w:customStyle="1" w:styleId="nlmyear">
    <w:name w:val="nlm_year"/>
    <w:basedOn w:val="DefaultParagraphFont"/>
    <w:rsid w:val="004F7068"/>
  </w:style>
  <w:style w:type="character" w:customStyle="1" w:styleId="authors">
    <w:name w:val="authors"/>
    <w:basedOn w:val="DefaultParagraphFont"/>
    <w:rsid w:val="004F7068"/>
  </w:style>
  <w:style w:type="character" w:customStyle="1" w:styleId="Date1">
    <w:name w:val="Date1"/>
    <w:basedOn w:val="DefaultParagraphFont"/>
    <w:rsid w:val="004F7068"/>
  </w:style>
  <w:style w:type="character" w:customStyle="1" w:styleId="arttitle">
    <w:name w:val="art_title"/>
    <w:basedOn w:val="DefaultParagraphFont"/>
    <w:rsid w:val="004F7068"/>
  </w:style>
  <w:style w:type="character" w:customStyle="1" w:styleId="serialtitle">
    <w:name w:val="serial_title"/>
    <w:basedOn w:val="DefaultParagraphFont"/>
    <w:rsid w:val="004F7068"/>
  </w:style>
  <w:style w:type="character" w:customStyle="1" w:styleId="volumeissue">
    <w:name w:val="volume_issue"/>
    <w:basedOn w:val="DefaultParagraphFont"/>
    <w:rsid w:val="004F7068"/>
  </w:style>
  <w:style w:type="character" w:customStyle="1" w:styleId="pagerange">
    <w:name w:val="page_range"/>
    <w:basedOn w:val="DefaultParagraphFont"/>
    <w:rsid w:val="004F7068"/>
  </w:style>
  <w:style w:type="character" w:customStyle="1" w:styleId="doilink">
    <w:name w:val="doi_link"/>
    <w:basedOn w:val="DefaultParagraphFont"/>
    <w:rsid w:val="004F7068"/>
  </w:style>
  <w:style w:type="character" w:customStyle="1" w:styleId="hlfld-title">
    <w:name w:val="hlfld-title"/>
    <w:basedOn w:val="DefaultParagraphFont"/>
    <w:rsid w:val="004F7068"/>
  </w:style>
  <w:style w:type="character" w:styleId="HTMLCite">
    <w:name w:val="HTML Cite"/>
    <w:basedOn w:val="DefaultParagraphFont"/>
    <w:uiPriority w:val="99"/>
    <w:semiHidden/>
    <w:unhideWhenUsed/>
    <w:rsid w:val="004F7068"/>
    <w:rPr>
      <w:i/>
      <w:iCs/>
    </w:rPr>
  </w:style>
  <w:style w:type="paragraph" w:styleId="CommentSubject">
    <w:name w:val="annotation subject"/>
    <w:basedOn w:val="CommentText"/>
    <w:next w:val="CommentText"/>
    <w:link w:val="CommentSubjectChar"/>
    <w:uiPriority w:val="99"/>
    <w:semiHidden/>
    <w:unhideWhenUsed/>
    <w:rsid w:val="00304D34"/>
    <w:rPr>
      <w:b/>
      <w:bCs/>
    </w:rPr>
  </w:style>
  <w:style w:type="character" w:customStyle="1" w:styleId="CommentSubjectChar">
    <w:name w:val="Comment Subject Char"/>
    <w:basedOn w:val="CommentTextChar"/>
    <w:link w:val="CommentSubject"/>
    <w:uiPriority w:val="99"/>
    <w:semiHidden/>
    <w:rsid w:val="00304D34"/>
    <w:rPr>
      <w:rFonts w:eastAsiaTheme="minorEastAsia"/>
      <w:b/>
      <w:bCs/>
      <w:sz w:val="20"/>
      <w:szCs w:val="20"/>
      <w:lang w:eastAsia="en-GB"/>
    </w:rPr>
  </w:style>
  <w:style w:type="character" w:customStyle="1" w:styleId="Heading1Char">
    <w:name w:val="Heading 1 Char"/>
    <w:basedOn w:val="DefaultParagraphFont"/>
    <w:link w:val="Heading1"/>
    <w:uiPriority w:val="9"/>
    <w:rsid w:val="00BD7B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D7B44"/>
    <w:rPr>
      <w:rFonts w:ascii="Times New Roman" w:eastAsia="Times New Roman" w:hAnsi="Times New Roman" w:cs="Times New Roman"/>
      <w:b/>
      <w:bCs/>
      <w:sz w:val="36"/>
      <w:szCs w:val="36"/>
      <w:lang w:eastAsia="en-GB"/>
    </w:rPr>
  </w:style>
  <w:style w:type="character" w:customStyle="1" w:styleId="titleheading">
    <w:name w:val="titleheading"/>
    <w:basedOn w:val="DefaultParagraphFont"/>
    <w:rsid w:val="00BD7B44"/>
  </w:style>
  <w:style w:type="character" w:customStyle="1" w:styleId="specialtitle">
    <w:name w:val="specialtitle"/>
    <w:basedOn w:val="DefaultParagraphFont"/>
    <w:rsid w:val="00BD7B44"/>
  </w:style>
  <w:style w:type="character" w:customStyle="1" w:styleId="a-size-large">
    <w:name w:val="a-size-large"/>
    <w:basedOn w:val="DefaultParagraphFont"/>
    <w:rsid w:val="003A0F00"/>
  </w:style>
  <w:style w:type="character" w:styleId="Emphasis">
    <w:name w:val="Emphasis"/>
    <w:basedOn w:val="DefaultParagraphFont"/>
    <w:uiPriority w:val="20"/>
    <w:qFormat/>
    <w:rsid w:val="000F4763"/>
    <w:rPr>
      <w:i/>
      <w:iCs/>
    </w:rPr>
  </w:style>
  <w:style w:type="paragraph" w:styleId="NormalWeb">
    <w:name w:val="Normal (Web)"/>
    <w:basedOn w:val="Normal"/>
    <w:uiPriority w:val="99"/>
    <w:semiHidden/>
    <w:unhideWhenUsed/>
    <w:rsid w:val="00A5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A56955"/>
  </w:style>
  <w:style w:type="paragraph" w:customStyle="1" w:styleId="icon--meta-keyline">
    <w:name w:val="icon--meta-keyline"/>
    <w:basedOn w:val="Normal"/>
    <w:rsid w:val="00A5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A56955"/>
  </w:style>
  <w:style w:type="character" w:customStyle="1" w:styleId="articlecitationvolume">
    <w:name w:val="articlecitation_volume"/>
    <w:basedOn w:val="DefaultParagraphFont"/>
    <w:rsid w:val="00A56955"/>
  </w:style>
  <w:style w:type="character" w:customStyle="1" w:styleId="articlecitationpages">
    <w:name w:val="articlecitation_pages"/>
    <w:basedOn w:val="DefaultParagraphFont"/>
    <w:rsid w:val="00A56955"/>
  </w:style>
  <w:style w:type="character" w:customStyle="1" w:styleId="nlmarticle-title">
    <w:name w:val="nlm_article-title"/>
    <w:basedOn w:val="DefaultParagraphFont"/>
    <w:rsid w:val="00FD3CE4"/>
  </w:style>
  <w:style w:type="character" w:customStyle="1" w:styleId="ref-lnk">
    <w:name w:val="ref-lnk"/>
    <w:basedOn w:val="DefaultParagraphFont"/>
    <w:rsid w:val="00FD3CE4"/>
  </w:style>
  <w:style w:type="character" w:customStyle="1" w:styleId="ref-overlay">
    <w:name w:val="ref-overlay"/>
    <w:basedOn w:val="DefaultParagraphFont"/>
    <w:rsid w:val="00FD3CE4"/>
  </w:style>
  <w:style w:type="character" w:customStyle="1" w:styleId="contribdegrees">
    <w:name w:val="contribdegrees"/>
    <w:basedOn w:val="DefaultParagraphFont"/>
    <w:rsid w:val="00FD3CE4"/>
  </w:style>
  <w:style w:type="character" w:customStyle="1" w:styleId="catalog-subtitle">
    <w:name w:val="catalog-subtitle"/>
    <w:basedOn w:val="DefaultParagraphFont"/>
    <w:rsid w:val="002174B3"/>
  </w:style>
  <w:style w:type="character" w:styleId="FollowedHyperlink">
    <w:name w:val="FollowedHyperlink"/>
    <w:basedOn w:val="DefaultParagraphFont"/>
    <w:uiPriority w:val="99"/>
    <w:semiHidden/>
    <w:unhideWhenUsed/>
    <w:rsid w:val="00920BD3"/>
    <w:rPr>
      <w:color w:val="954F72" w:themeColor="followedHyperlink"/>
      <w:u w:val="single"/>
    </w:rPr>
  </w:style>
  <w:style w:type="paragraph" w:styleId="Header">
    <w:name w:val="header"/>
    <w:basedOn w:val="Normal"/>
    <w:link w:val="HeaderChar"/>
    <w:uiPriority w:val="99"/>
    <w:unhideWhenUsed/>
    <w:rsid w:val="00F97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B4"/>
    <w:rPr>
      <w:rFonts w:eastAsiaTheme="minorEastAsia"/>
      <w:lang w:eastAsia="en-GB"/>
    </w:rPr>
  </w:style>
  <w:style w:type="paragraph" w:styleId="Footer">
    <w:name w:val="footer"/>
    <w:basedOn w:val="Normal"/>
    <w:link w:val="FooterChar"/>
    <w:uiPriority w:val="99"/>
    <w:unhideWhenUsed/>
    <w:rsid w:val="00F97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B4"/>
    <w:rPr>
      <w:rFonts w:eastAsiaTheme="minorEastAsia"/>
      <w:lang w:eastAsia="en-GB"/>
    </w:rPr>
  </w:style>
  <w:style w:type="character" w:customStyle="1" w:styleId="biblio-authors">
    <w:name w:val="biblio-authors"/>
    <w:basedOn w:val="DefaultParagraphFont"/>
    <w:rsid w:val="00796326"/>
  </w:style>
  <w:style w:type="table" w:styleId="TableGrid">
    <w:name w:val="Table Grid"/>
    <w:basedOn w:val="TableNormal"/>
    <w:uiPriority w:val="39"/>
    <w:rsid w:val="001A1A6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479358">
      <w:bodyDiv w:val="1"/>
      <w:marLeft w:val="0"/>
      <w:marRight w:val="0"/>
      <w:marTop w:val="0"/>
      <w:marBottom w:val="0"/>
      <w:divBdr>
        <w:top w:val="none" w:sz="0" w:space="0" w:color="auto"/>
        <w:left w:val="none" w:sz="0" w:space="0" w:color="auto"/>
        <w:bottom w:val="none" w:sz="0" w:space="0" w:color="auto"/>
        <w:right w:val="none" w:sz="0" w:space="0" w:color="auto"/>
      </w:divBdr>
    </w:div>
    <w:div w:id="205262352">
      <w:bodyDiv w:val="1"/>
      <w:marLeft w:val="0"/>
      <w:marRight w:val="0"/>
      <w:marTop w:val="0"/>
      <w:marBottom w:val="0"/>
      <w:divBdr>
        <w:top w:val="none" w:sz="0" w:space="0" w:color="auto"/>
        <w:left w:val="none" w:sz="0" w:space="0" w:color="auto"/>
        <w:bottom w:val="none" w:sz="0" w:space="0" w:color="auto"/>
        <w:right w:val="none" w:sz="0" w:space="0" w:color="auto"/>
      </w:divBdr>
    </w:div>
    <w:div w:id="297808579">
      <w:bodyDiv w:val="1"/>
      <w:marLeft w:val="0"/>
      <w:marRight w:val="0"/>
      <w:marTop w:val="0"/>
      <w:marBottom w:val="0"/>
      <w:divBdr>
        <w:top w:val="none" w:sz="0" w:space="0" w:color="auto"/>
        <w:left w:val="none" w:sz="0" w:space="0" w:color="auto"/>
        <w:bottom w:val="none" w:sz="0" w:space="0" w:color="auto"/>
        <w:right w:val="none" w:sz="0" w:space="0" w:color="auto"/>
      </w:divBdr>
    </w:div>
    <w:div w:id="303044322">
      <w:bodyDiv w:val="1"/>
      <w:marLeft w:val="0"/>
      <w:marRight w:val="0"/>
      <w:marTop w:val="0"/>
      <w:marBottom w:val="0"/>
      <w:divBdr>
        <w:top w:val="none" w:sz="0" w:space="0" w:color="auto"/>
        <w:left w:val="none" w:sz="0" w:space="0" w:color="auto"/>
        <w:bottom w:val="none" w:sz="0" w:space="0" w:color="auto"/>
        <w:right w:val="none" w:sz="0" w:space="0" w:color="auto"/>
      </w:divBdr>
    </w:div>
    <w:div w:id="671569462">
      <w:bodyDiv w:val="1"/>
      <w:marLeft w:val="0"/>
      <w:marRight w:val="0"/>
      <w:marTop w:val="0"/>
      <w:marBottom w:val="0"/>
      <w:divBdr>
        <w:top w:val="none" w:sz="0" w:space="0" w:color="auto"/>
        <w:left w:val="none" w:sz="0" w:space="0" w:color="auto"/>
        <w:bottom w:val="none" w:sz="0" w:space="0" w:color="auto"/>
        <w:right w:val="none" w:sz="0" w:space="0" w:color="auto"/>
      </w:divBdr>
    </w:div>
    <w:div w:id="717320109">
      <w:bodyDiv w:val="1"/>
      <w:marLeft w:val="0"/>
      <w:marRight w:val="0"/>
      <w:marTop w:val="0"/>
      <w:marBottom w:val="0"/>
      <w:divBdr>
        <w:top w:val="none" w:sz="0" w:space="0" w:color="auto"/>
        <w:left w:val="none" w:sz="0" w:space="0" w:color="auto"/>
        <w:bottom w:val="none" w:sz="0" w:space="0" w:color="auto"/>
        <w:right w:val="none" w:sz="0" w:space="0" w:color="auto"/>
      </w:divBdr>
    </w:div>
    <w:div w:id="749162522">
      <w:bodyDiv w:val="1"/>
      <w:marLeft w:val="0"/>
      <w:marRight w:val="0"/>
      <w:marTop w:val="0"/>
      <w:marBottom w:val="0"/>
      <w:divBdr>
        <w:top w:val="none" w:sz="0" w:space="0" w:color="auto"/>
        <w:left w:val="none" w:sz="0" w:space="0" w:color="auto"/>
        <w:bottom w:val="none" w:sz="0" w:space="0" w:color="auto"/>
        <w:right w:val="none" w:sz="0" w:space="0" w:color="auto"/>
      </w:divBdr>
    </w:div>
    <w:div w:id="899485706">
      <w:bodyDiv w:val="1"/>
      <w:marLeft w:val="0"/>
      <w:marRight w:val="0"/>
      <w:marTop w:val="0"/>
      <w:marBottom w:val="0"/>
      <w:divBdr>
        <w:top w:val="none" w:sz="0" w:space="0" w:color="auto"/>
        <w:left w:val="none" w:sz="0" w:space="0" w:color="auto"/>
        <w:bottom w:val="none" w:sz="0" w:space="0" w:color="auto"/>
        <w:right w:val="none" w:sz="0" w:space="0" w:color="auto"/>
      </w:divBdr>
    </w:div>
    <w:div w:id="1026519158">
      <w:bodyDiv w:val="1"/>
      <w:marLeft w:val="0"/>
      <w:marRight w:val="0"/>
      <w:marTop w:val="0"/>
      <w:marBottom w:val="0"/>
      <w:divBdr>
        <w:top w:val="none" w:sz="0" w:space="0" w:color="auto"/>
        <w:left w:val="none" w:sz="0" w:space="0" w:color="auto"/>
        <w:bottom w:val="none" w:sz="0" w:space="0" w:color="auto"/>
        <w:right w:val="none" w:sz="0" w:space="0" w:color="auto"/>
      </w:divBdr>
      <w:divsChild>
        <w:div w:id="1109202517">
          <w:marLeft w:val="0"/>
          <w:marRight w:val="0"/>
          <w:marTop w:val="0"/>
          <w:marBottom w:val="0"/>
          <w:divBdr>
            <w:top w:val="none" w:sz="0" w:space="0" w:color="auto"/>
            <w:left w:val="none" w:sz="0" w:space="0" w:color="auto"/>
            <w:bottom w:val="none" w:sz="0" w:space="0" w:color="auto"/>
            <w:right w:val="none" w:sz="0" w:space="0" w:color="auto"/>
          </w:divBdr>
          <w:divsChild>
            <w:div w:id="216019329">
              <w:marLeft w:val="0"/>
              <w:marRight w:val="0"/>
              <w:marTop w:val="0"/>
              <w:marBottom w:val="0"/>
              <w:divBdr>
                <w:top w:val="none" w:sz="0" w:space="0" w:color="auto"/>
                <w:left w:val="none" w:sz="0" w:space="0" w:color="auto"/>
                <w:bottom w:val="none" w:sz="0" w:space="0" w:color="auto"/>
                <w:right w:val="none" w:sz="0" w:space="0" w:color="auto"/>
              </w:divBdr>
              <w:divsChild>
                <w:div w:id="1785423579">
                  <w:marLeft w:val="0"/>
                  <w:marRight w:val="0"/>
                  <w:marTop w:val="0"/>
                  <w:marBottom w:val="0"/>
                  <w:divBdr>
                    <w:top w:val="none" w:sz="0" w:space="0" w:color="auto"/>
                    <w:left w:val="none" w:sz="0" w:space="0" w:color="auto"/>
                    <w:bottom w:val="none" w:sz="0" w:space="0" w:color="auto"/>
                    <w:right w:val="none" w:sz="0" w:space="0" w:color="auto"/>
                  </w:divBdr>
                  <w:divsChild>
                    <w:div w:id="1670674693">
                      <w:marLeft w:val="1"/>
                      <w:marRight w:val="1"/>
                      <w:marTop w:val="0"/>
                      <w:marBottom w:val="0"/>
                      <w:divBdr>
                        <w:top w:val="none" w:sz="0" w:space="0" w:color="auto"/>
                        <w:left w:val="none" w:sz="0" w:space="0" w:color="auto"/>
                        <w:bottom w:val="none" w:sz="0" w:space="0" w:color="auto"/>
                        <w:right w:val="none" w:sz="0" w:space="0" w:color="auto"/>
                      </w:divBdr>
                      <w:divsChild>
                        <w:div w:id="601377506">
                          <w:marLeft w:val="0"/>
                          <w:marRight w:val="0"/>
                          <w:marTop w:val="0"/>
                          <w:marBottom w:val="0"/>
                          <w:divBdr>
                            <w:top w:val="none" w:sz="0" w:space="0" w:color="auto"/>
                            <w:left w:val="none" w:sz="0" w:space="0" w:color="auto"/>
                            <w:bottom w:val="none" w:sz="0" w:space="0" w:color="auto"/>
                            <w:right w:val="none" w:sz="0" w:space="0" w:color="auto"/>
                          </w:divBdr>
                          <w:divsChild>
                            <w:div w:id="1360161550">
                              <w:marLeft w:val="0"/>
                              <w:marRight w:val="0"/>
                              <w:marTop w:val="0"/>
                              <w:marBottom w:val="0"/>
                              <w:divBdr>
                                <w:top w:val="none" w:sz="0" w:space="0" w:color="auto"/>
                                <w:left w:val="none" w:sz="0" w:space="0" w:color="auto"/>
                                <w:bottom w:val="none" w:sz="0" w:space="0" w:color="auto"/>
                                <w:right w:val="none" w:sz="0" w:space="0" w:color="auto"/>
                              </w:divBdr>
                              <w:divsChild>
                                <w:div w:id="992180655">
                                  <w:marLeft w:val="0"/>
                                  <w:marRight w:val="0"/>
                                  <w:marTop w:val="0"/>
                                  <w:marBottom w:val="0"/>
                                  <w:divBdr>
                                    <w:top w:val="none" w:sz="0" w:space="0" w:color="auto"/>
                                    <w:left w:val="none" w:sz="0" w:space="0" w:color="auto"/>
                                    <w:bottom w:val="none" w:sz="0" w:space="0" w:color="auto"/>
                                    <w:right w:val="none" w:sz="0" w:space="0" w:color="auto"/>
                                  </w:divBdr>
                                  <w:divsChild>
                                    <w:div w:id="2143309587">
                                      <w:marLeft w:val="0"/>
                                      <w:marRight w:val="0"/>
                                      <w:marTop w:val="0"/>
                                      <w:marBottom w:val="0"/>
                                      <w:divBdr>
                                        <w:top w:val="none" w:sz="0" w:space="0" w:color="auto"/>
                                        <w:left w:val="none" w:sz="0" w:space="0" w:color="auto"/>
                                        <w:bottom w:val="none" w:sz="0" w:space="0" w:color="auto"/>
                                        <w:right w:val="none" w:sz="0" w:space="0" w:color="auto"/>
                                      </w:divBdr>
                                      <w:divsChild>
                                        <w:div w:id="1085764613">
                                          <w:marLeft w:val="-1"/>
                                          <w:marRight w:val="-1"/>
                                          <w:marTop w:val="0"/>
                                          <w:marBottom w:val="330"/>
                                          <w:divBdr>
                                            <w:top w:val="none" w:sz="0" w:space="0" w:color="auto"/>
                                            <w:left w:val="none" w:sz="0" w:space="0" w:color="auto"/>
                                            <w:bottom w:val="none" w:sz="0" w:space="0" w:color="auto"/>
                                            <w:right w:val="none" w:sz="0" w:space="0" w:color="auto"/>
                                          </w:divBdr>
                                          <w:divsChild>
                                            <w:div w:id="780107453">
                                              <w:marLeft w:val="1"/>
                                              <w:marRight w:val="1"/>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47815">
      <w:bodyDiv w:val="1"/>
      <w:marLeft w:val="0"/>
      <w:marRight w:val="0"/>
      <w:marTop w:val="0"/>
      <w:marBottom w:val="0"/>
      <w:divBdr>
        <w:top w:val="none" w:sz="0" w:space="0" w:color="auto"/>
        <w:left w:val="none" w:sz="0" w:space="0" w:color="auto"/>
        <w:bottom w:val="none" w:sz="0" w:space="0" w:color="auto"/>
        <w:right w:val="none" w:sz="0" w:space="0" w:color="auto"/>
      </w:divBdr>
    </w:div>
    <w:div w:id="1464153904">
      <w:bodyDiv w:val="1"/>
      <w:marLeft w:val="0"/>
      <w:marRight w:val="0"/>
      <w:marTop w:val="0"/>
      <w:marBottom w:val="0"/>
      <w:divBdr>
        <w:top w:val="none" w:sz="0" w:space="0" w:color="auto"/>
        <w:left w:val="none" w:sz="0" w:space="0" w:color="auto"/>
        <w:bottom w:val="none" w:sz="0" w:space="0" w:color="auto"/>
        <w:right w:val="none" w:sz="0" w:space="0" w:color="auto"/>
      </w:divBdr>
      <w:divsChild>
        <w:div w:id="809981095">
          <w:marLeft w:val="0"/>
          <w:marRight w:val="0"/>
          <w:marTop w:val="0"/>
          <w:marBottom w:val="0"/>
          <w:divBdr>
            <w:top w:val="none" w:sz="0" w:space="0" w:color="auto"/>
            <w:left w:val="none" w:sz="0" w:space="0" w:color="auto"/>
            <w:bottom w:val="none" w:sz="0" w:space="0" w:color="auto"/>
            <w:right w:val="none" w:sz="0" w:space="0" w:color="auto"/>
          </w:divBdr>
          <w:divsChild>
            <w:div w:id="749499852">
              <w:marLeft w:val="0"/>
              <w:marRight w:val="0"/>
              <w:marTop w:val="0"/>
              <w:marBottom w:val="0"/>
              <w:divBdr>
                <w:top w:val="none" w:sz="0" w:space="0" w:color="auto"/>
                <w:left w:val="none" w:sz="0" w:space="0" w:color="auto"/>
                <w:bottom w:val="none" w:sz="0" w:space="0" w:color="auto"/>
                <w:right w:val="none" w:sz="0" w:space="0" w:color="auto"/>
              </w:divBdr>
              <w:divsChild>
                <w:div w:id="1666473238">
                  <w:marLeft w:val="0"/>
                  <w:marRight w:val="0"/>
                  <w:marTop w:val="0"/>
                  <w:marBottom w:val="0"/>
                  <w:divBdr>
                    <w:top w:val="none" w:sz="0" w:space="0" w:color="auto"/>
                    <w:left w:val="none" w:sz="0" w:space="0" w:color="auto"/>
                    <w:bottom w:val="none" w:sz="0" w:space="0" w:color="auto"/>
                    <w:right w:val="none" w:sz="0" w:space="0" w:color="auto"/>
                  </w:divBdr>
                  <w:divsChild>
                    <w:div w:id="333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6353">
          <w:marLeft w:val="0"/>
          <w:marRight w:val="0"/>
          <w:marTop w:val="0"/>
          <w:marBottom w:val="0"/>
          <w:divBdr>
            <w:top w:val="none" w:sz="0" w:space="0" w:color="auto"/>
            <w:left w:val="none" w:sz="0" w:space="0" w:color="auto"/>
            <w:bottom w:val="none" w:sz="0" w:space="0" w:color="auto"/>
            <w:right w:val="none" w:sz="0" w:space="0" w:color="auto"/>
          </w:divBdr>
          <w:divsChild>
            <w:div w:id="1784956856">
              <w:marLeft w:val="0"/>
              <w:marRight w:val="0"/>
              <w:marTop w:val="0"/>
              <w:marBottom w:val="0"/>
              <w:divBdr>
                <w:top w:val="none" w:sz="0" w:space="0" w:color="auto"/>
                <w:left w:val="none" w:sz="0" w:space="0" w:color="auto"/>
                <w:bottom w:val="none" w:sz="0" w:space="0" w:color="auto"/>
                <w:right w:val="none" w:sz="0" w:space="0" w:color="auto"/>
              </w:divBdr>
              <w:divsChild>
                <w:div w:id="1485050180">
                  <w:marLeft w:val="0"/>
                  <w:marRight w:val="0"/>
                  <w:marTop w:val="0"/>
                  <w:marBottom w:val="0"/>
                  <w:divBdr>
                    <w:top w:val="none" w:sz="0" w:space="0" w:color="auto"/>
                    <w:left w:val="none" w:sz="0" w:space="0" w:color="auto"/>
                    <w:bottom w:val="none" w:sz="0" w:space="0" w:color="auto"/>
                    <w:right w:val="none" w:sz="0" w:space="0" w:color="auto"/>
                  </w:divBdr>
                  <w:divsChild>
                    <w:div w:id="926576707">
                      <w:marLeft w:val="0"/>
                      <w:marRight w:val="0"/>
                      <w:marTop w:val="0"/>
                      <w:marBottom w:val="0"/>
                      <w:divBdr>
                        <w:top w:val="none" w:sz="0" w:space="0" w:color="auto"/>
                        <w:left w:val="none" w:sz="0" w:space="0" w:color="auto"/>
                        <w:bottom w:val="none" w:sz="0" w:space="0" w:color="auto"/>
                        <w:right w:val="none" w:sz="0" w:space="0" w:color="auto"/>
                      </w:divBdr>
                      <w:divsChild>
                        <w:div w:id="33580661">
                          <w:marLeft w:val="0"/>
                          <w:marRight w:val="0"/>
                          <w:marTop w:val="0"/>
                          <w:marBottom w:val="0"/>
                          <w:divBdr>
                            <w:top w:val="none" w:sz="0" w:space="0" w:color="auto"/>
                            <w:left w:val="none" w:sz="0" w:space="0" w:color="auto"/>
                            <w:bottom w:val="none" w:sz="0" w:space="0" w:color="auto"/>
                            <w:right w:val="none" w:sz="0" w:space="0" w:color="auto"/>
                          </w:divBdr>
                          <w:divsChild>
                            <w:div w:id="1526483243">
                              <w:marLeft w:val="0"/>
                              <w:marRight w:val="0"/>
                              <w:marTop w:val="0"/>
                              <w:marBottom w:val="0"/>
                              <w:divBdr>
                                <w:top w:val="none" w:sz="0" w:space="0" w:color="auto"/>
                                <w:left w:val="none" w:sz="0" w:space="0" w:color="auto"/>
                                <w:bottom w:val="none" w:sz="0" w:space="0" w:color="auto"/>
                                <w:right w:val="none" w:sz="0" w:space="0" w:color="auto"/>
                              </w:divBdr>
                              <w:divsChild>
                                <w:div w:id="358313310">
                                  <w:marLeft w:val="0"/>
                                  <w:marRight w:val="0"/>
                                  <w:marTop w:val="0"/>
                                  <w:marBottom w:val="0"/>
                                  <w:divBdr>
                                    <w:top w:val="none" w:sz="0" w:space="0" w:color="auto"/>
                                    <w:left w:val="none" w:sz="0" w:space="0" w:color="auto"/>
                                    <w:bottom w:val="none" w:sz="0" w:space="0" w:color="auto"/>
                                    <w:right w:val="none" w:sz="0" w:space="0" w:color="auto"/>
                                  </w:divBdr>
                                  <w:divsChild>
                                    <w:div w:id="863905665">
                                      <w:marLeft w:val="0"/>
                                      <w:marRight w:val="0"/>
                                      <w:marTop w:val="0"/>
                                      <w:marBottom w:val="0"/>
                                      <w:divBdr>
                                        <w:top w:val="none" w:sz="0" w:space="0" w:color="auto"/>
                                        <w:left w:val="none" w:sz="0" w:space="0" w:color="auto"/>
                                        <w:bottom w:val="none" w:sz="0" w:space="0" w:color="auto"/>
                                        <w:right w:val="none" w:sz="0" w:space="0" w:color="auto"/>
                                      </w:divBdr>
                                      <w:divsChild>
                                        <w:div w:id="7439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727834">
      <w:bodyDiv w:val="1"/>
      <w:marLeft w:val="0"/>
      <w:marRight w:val="0"/>
      <w:marTop w:val="0"/>
      <w:marBottom w:val="0"/>
      <w:divBdr>
        <w:top w:val="none" w:sz="0" w:space="0" w:color="auto"/>
        <w:left w:val="none" w:sz="0" w:space="0" w:color="auto"/>
        <w:bottom w:val="none" w:sz="0" w:space="0" w:color="auto"/>
        <w:right w:val="none" w:sz="0" w:space="0" w:color="auto"/>
      </w:divBdr>
      <w:divsChild>
        <w:div w:id="788626016">
          <w:marLeft w:val="480"/>
          <w:marRight w:val="0"/>
          <w:marTop w:val="0"/>
          <w:marBottom w:val="0"/>
          <w:divBdr>
            <w:top w:val="none" w:sz="0" w:space="0" w:color="auto"/>
            <w:left w:val="none" w:sz="0" w:space="0" w:color="auto"/>
            <w:bottom w:val="none" w:sz="0" w:space="0" w:color="auto"/>
            <w:right w:val="none" w:sz="0" w:space="0" w:color="auto"/>
          </w:divBdr>
          <w:divsChild>
            <w:div w:id="9643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4279">
      <w:bodyDiv w:val="1"/>
      <w:marLeft w:val="0"/>
      <w:marRight w:val="0"/>
      <w:marTop w:val="0"/>
      <w:marBottom w:val="0"/>
      <w:divBdr>
        <w:top w:val="none" w:sz="0" w:space="0" w:color="auto"/>
        <w:left w:val="none" w:sz="0" w:space="0" w:color="auto"/>
        <w:bottom w:val="none" w:sz="0" w:space="0" w:color="auto"/>
        <w:right w:val="none" w:sz="0" w:space="0" w:color="auto"/>
      </w:divBdr>
      <w:divsChild>
        <w:div w:id="815728940">
          <w:marLeft w:val="480"/>
          <w:marRight w:val="0"/>
          <w:marTop w:val="0"/>
          <w:marBottom w:val="0"/>
          <w:divBdr>
            <w:top w:val="none" w:sz="0" w:space="0" w:color="auto"/>
            <w:left w:val="none" w:sz="0" w:space="0" w:color="auto"/>
            <w:bottom w:val="none" w:sz="0" w:space="0" w:color="auto"/>
            <w:right w:val="none" w:sz="0" w:space="0" w:color="auto"/>
          </w:divBdr>
          <w:divsChild>
            <w:div w:id="15930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8078">
      <w:bodyDiv w:val="1"/>
      <w:marLeft w:val="0"/>
      <w:marRight w:val="0"/>
      <w:marTop w:val="0"/>
      <w:marBottom w:val="0"/>
      <w:divBdr>
        <w:top w:val="none" w:sz="0" w:space="0" w:color="auto"/>
        <w:left w:val="none" w:sz="0" w:space="0" w:color="auto"/>
        <w:bottom w:val="none" w:sz="0" w:space="0" w:color="auto"/>
        <w:right w:val="none" w:sz="0" w:space="0" w:color="auto"/>
      </w:divBdr>
      <w:divsChild>
        <w:div w:id="957955769">
          <w:marLeft w:val="480"/>
          <w:marRight w:val="0"/>
          <w:marTop w:val="0"/>
          <w:marBottom w:val="0"/>
          <w:divBdr>
            <w:top w:val="none" w:sz="0" w:space="0" w:color="auto"/>
            <w:left w:val="none" w:sz="0" w:space="0" w:color="auto"/>
            <w:bottom w:val="none" w:sz="0" w:space="0" w:color="auto"/>
            <w:right w:val="none" w:sz="0" w:space="0" w:color="auto"/>
          </w:divBdr>
          <w:divsChild>
            <w:div w:id="1518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4799">
      <w:bodyDiv w:val="1"/>
      <w:marLeft w:val="0"/>
      <w:marRight w:val="0"/>
      <w:marTop w:val="0"/>
      <w:marBottom w:val="0"/>
      <w:divBdr>
        <w:top w:val="none" w:sz="0" w:space="0" w:color="auto"/>
        <w:left w:val="none" w:sz="0" w:space="0" w:color="auto"/>
        <w:bottom w:val="none" w:sz="0" w:space="0" w:color="auto"/>
        <w:right w:val="none" w:sz="0" w:space="0" w:color="auto"/>
      </w:divBdr>
    </w:div>
    <w:div w:id="1788306761">
      <w:bodyDiv w:val="1"/>
      <w:marLeft w:val="0"/>
      <w:marRight w:val="0"/>
      <w:marTop w:val="0"/>
      <w:marBottom w:val="0"/>
      <w:divBdr>
        <w:top w:val="none" w:sz="0" w:space="0" w:color="auto"/>
        <w:left w:val="none" w:sz="0" w:space="0" w:color="auto"/>
        <w:bottom w:val="none" w:sz="0" w:space="0" w:color="auto"/>
        <w:right w:val="none" w:sz="0" w:space="0" w:color="auto"/>
      </w:divBdr>
      <w:divsChild>
        <w:div w:id="1462917946">
          <w:marLeft w:val="480"/>
          <w:marRight w:val="0"/>
          <w:marTop w:val="0"/>
          <w:marBottom w:val="0"/>
          <w:divBdr>
            <w:top w:val="none" w:sz="0" w:space="0" w:color="auto"/>
            <w:left w:val="none" w:sz="0" w:space="0" w:color="auto"/>
            <w:bottom w:val="none" w:sz="0" w:space="0" w:color="auto"/>
            <w:right w:val="none" w:sz="0" w:space="0" w:color="auto"/>
          </w:divBdr>
          <w:divsChild>
            <w:div w:id="1026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allearningalliance.org.uk/evidence/" TargetMode="External"/><Relationship Id="rId13" Type="http://schemas.openxmlformats.org/officeDocument/2006/relationships/hyperlink" Target="https://www.chiefscientist.gov.au/wp-content/uploads/STEM_AustraliasFuture_Sept2014_Web.pdf"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microsoft.com/office/2011/relationships/commentsExtended" Target="commentsExtended.xml"/><Relationship Id="rId7" Type="http://schemas.openxmlformats.org/officeDocument/2006/relationships/hyperlink" Target="https://www.researchgate.net/profile/Gisella_Facchinetti2/publication/23749875_To_what_extent_fuzzy_set_theory_and_structural_equation_modelling_can_measure_functionings_An_application_to_child_well_being/links/00b4951af559b37eae000000/To-what-extent-fuzzy-set-theory-and-structural-equation-modelling-can-measure-functionings-An-application-to-child-well-being.pdf?origin=publication_detail" TargetMode="External"/><Relationship Id="rId12" Type="http://schemas.openxmlformats.org/officeDocument/2006/relationships/hyperlink" Target="https://www.chiefscientist.gov.au/wp-content/uploads/STEMstrategy290713FINALweb.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cholar.harvard.edu/sen/publications/globalization-inequality-and-global-protest" TargetMode="Externa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sead.org/downloads/survey.pdf" TargetMode="External"/><Relationship Id="rId5" Type="http://schemas.openxmlformats.org/officeDocument/2006/relationships/endnotes" Target="endnotes.xml"/><Relationship Id="rId15" Type="http://schemas.openxmlformats.org/officeDocument/2006/relationships/hyperlink" Target="https://scholar.harvard.edu/sen/publications/womens-survival-development-problem" TargetMode="External"/><Relationship Id="rId10" Type="http://schemas.openxmlformats.org/officeDocument/2006/relationships/hyperlink" Target="https://ideas.repec.org/p/wpc/wplist/wp05_06.html" TargetMode="Externa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hyperlink" Target="https://ideas.repec.org/s/wpc/wplist.html" TargetMode="External"/><Relationship Id="rId14" Type="http://schemas.openxmlformats.org/officeDocument/2006/relationships/hyperlink" Target="https://ec.europa.eu/research/science-society/document_library/pdf_06/report-rocard-on-science-educ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8471</Words>
  <Characters>48290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Faculty Of Education Cambridge University</Company>
  <LinksUpToDate>false</LinksUpToDate>
  <CharactersWithSpaces>56648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Nicola Walshe</cp:lastModifiedBy>
  <cp:revision>3</cp:revision>
  <cp:lastPrinted>2019-08-15T08:13:00Z</cp:lastPrinted>
  <dcterms:created xsi:type="dcterms:W3CDTF">2019-08-29T06:59:00Z</dcterms:created>
  <dcterms:modified xsi:type="dcterms:W3CDTF">2019-08-29T07:03:00Z</dcterms:modified>
</cp:coreProperties>
</file>