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31A30" w:rsidRPr="007F40EB" w:rsidRDefault="00731A30" w:rsidP="00731A30">
      <w:pPr>
        <w:pStyle w:val="Heading"/>
        <w:spacing w:line="480" w:lineRule="auto"/>
        <w:jc w:val="center"/>
        <w:rPr>
          <w:rFonts w:ascii="Times New Roman" w:hAnsi="Times New Roman" w:cs="Times New Roman"/>
          <w:color w:val="auto"/>
          <w:sz w:val="24"/>
          <w:szCs w:val="24"/>
        </w:rPr>
      </w:pPr>
      <w:r w:rsidRPr="007F40EB">
        <w:rPr>
          <w:rFonts w:ascii="Times New Roman" w:hAnsi="Times New Roman" w:cs="Times New Roman"/>
          <w:color w:val="auto"/>
          <w:sz w:val="24"/>
          <w:szCs w:val="24"/>
        </w:rPr>
        <w:t>Sexual activity and cognitive decline in older age: a prospective cohort study</w:t>
      </w:r>
    </w:p>
    <w:p w:rsidR="00731A30" w:rsidRPr="007F40EB" w:rsidRDefault="00731A30" w:rsidP="00731A30">
      <w:pPr>
        <w:pStyle w:val="Body"/>
        <w:spacing w:line="480" w:lineRule="auto"/>
        <w:rPr>
          <w:rFonts w:ascii="Times New Roman" w:hAnsi="Times New Roman" w:cs="Times New Roman"/>
          <w:b/>
          <w:bCs/>
          <w:color w:val="auto"/>
          <w:sz w:val="24"/>
          <w:szCs w:val="24"/>
          <w:vertAlign w:val="superscript"/>
        </w:rPr>
      </w:pPr>
      <w:r w:rsidRPr="007F40EB">
        <w:rPr>
          <w:rFonts w:ascii="Times New Roman" w:hAnsi="Times New Roman" w:cs="Times New Roman"/>
          <w:b/>
          <w:bCs/>
          <w:color w:val="auto"/>
          <w:sz w:val="24"/>
          <w:szCs w:val="24"/>
        </w:rPr>
        <w:t xml:space="preserve">Lee Smith PhD </w:t>
      </w:r>
      <w:r w:rsidRPr="007F40EB">
        <w:rPr>
          <w:rFonts w:ascii="Times New Roman" w:hAnsi="Times New Roman" w:cs="Times New Roman"/>
          <w:b/>
          <w:bCs/>
          <w:color w:val="auto"/>
          <w:sz w:val="24"/>
          <w:szCs w:val="24"/>
          <w:vertAlign w:val="superscript"/>
        </w:rPr>
        <w:t>1*</w:t>
      </w:r>
      <w:r w:rsidRPr="007F40EB">
        <w:rPr>
          <w:rFonts w:ascii="Times New Roman" w:hAnsi="Times New Roman" w:cs="Times New Roman"/>
          <w:b/>
          <w:bCs/>
          <w:color w:val="auto"/>
          <w:sz w:val="24"/>
          <w:szCs w:val="24"/>
        </w:rPr>
        <w:t xml:space="preserve">, Igor </w:t>
      </w:r>
      <w:proofErr w:type="spellStart"/>
      <w:r w:rsidRPr="007F40EB">
        <w:rPr>
          <w:rFonts w:ascii="Times New Roman" w:hAnsi="Times New Roman" w:cs="Times New Roman"/>
          <w:b/>
          <w:bCs/>
          <w:color w:val="auto"/>
          <w:sz w:val="24"/>
          <w:szCs w:val="24"/>
        </w:rPr>
        <w:t>Grabovac</w:t>
      </w:r>
      <w:proofErr w:type="spellEnd"/>
      <w:r w:rsidRPr="007F40EB">
        <w:rPr>
          <w:rFonts w:ascii="Times New Roman" w:hAnsi="Times New Roman" w:cs="Times New Roman"/>
          <w:b/>
          <w:bCs/>
          <w:color w:val="auto"/>
          <w:sz w:val="24"/>
          <w:szCs w:val="24"/>
        </w:rPr>
        <w:t xml:space="preserve"> MD </w:t>
      </w:r>
      <w:r w:rsidRPr="007F40EB">
        <w:rPr>
          <w:rFonts w:ascii="Times New Roman" w:hAnsi="Times New Roman" w:cs="Times New Roman"/>
          <w:b/>
          <w:bCs/>
          <w:color w:val="auto"/>
          <w:sz w:val="24"/>
          <w:szCs w:val="24"/>
          <w:vertAlign w:val="superscript"/>
        </w:rPr>
        <w:t>2</w:t>
      </w:r>
      <w:r w:rsidRPr="007F40EB">
        <w:rPr>
          <w:rFonts w:ascii="Times New Roman" w:hAnsi="Times New Roman" w:cs="Times New Roman"/>
          <w:b/>
          <w:bCs/>
          <w:color w:val="auto"/>
          <w:sz w:val="24"/>
          <w:szCs w:val="24"/>
        </w:rPr>
        <w:t xml:space="preserve">, Lin Yang PhD </w:t>
      </w:r>
      <w:r w:rsidRPr="007F40EB">
        <w:rPr>
          <w:rFonts w:ascii="Times New Roman" w:hAnsi="Times New Roman" w:cs="Times New Roman"/>
          <w:b/>
          <w:bCs/>
          <w:color w:val="auto"/>
          <w:sz w:val="24"/>
          <w:szCs w:val="24"/>
          <w:vertAlign w:val="superscript"/>
        </w:rPr>
        <w:t>3</w:t>
      </w:r>
      <w:r w:rsidRPr="007F40EB">
        <w:rPr>
          <w:rFonts w:ascii="Times New Roman" w:hAnsi="Times New Roman" w:cs="Times New Roman"/>
          <w:b/>
          <w:bCs/>
          <w:color w:val="auto"/>
          <w:sz w:val="24"/>
          <w:szCs w:val="24"/>
        </w:rPr>
        <w:t>, Guillermo F. López-Sánchez PhD</w:t>
      </w:r>
      <w:r w:rsidRPr="007F40EB">
        <w:rPr>
          <w:rFonts w:ascii="Times New Roman" w:hAnsi="Times New Roman" w:cs="Times New Roman"/>
          <w:b/>
          <w:bCs/>
          <w:color w:val="auto"/>
          <w:sz w:val="24"/>
          <w:szCs w:val="24"/>
          <w:vertAlign w:val="superscript"/>
        </w:rPr>
        <w:t>4</w:t>
      </w:r>
      <w:r w:rsidRPr="007F40EB">
        <w:rPr>
          <w:rFonts w:ascii="Times New Roman" w:hAnsi="Times New Roman" w:cs="Times New Roman"/>
          <w:b/>
          <w:bCs/>
          <w:color w:val="auto"/>
          <w:sz w:val="24"/>
          <w:szCs w:val="24"/>
        </w:rPr>
        <w:t>, Joe Firth PhD</w:t>
      </w:r>
      <w:r w:rsidRPr="007F40EB">
        <w:rPr>
          <w:rFonts w:ascii="Times New Roman" w:hAnsi="Times New Roman" w:cs="Times New Roman"/>
          <w:b/>
          <w:bCs/>
          <w:color w:val="auto"/>
          <w:sz w:val="24"/>
          <w:szCs w:val="24"/>
          <w:vertAlign w:val="superscript"/>
        </w:rPr>
        <w:t>5</w:t>
      </w:r>
      <w:r w:rsidRPr="007F40EB">
        <w:rPr>
          <w:rFonts w:ascii="Times New Roman" w:hAnsi="Times New Roman" w:cs="Times New Roman"/>
          <w:b/>
          <w:bCs/>
          <w:color w:val="auto"/>
          <w:sz w:val="24"/>
          <w:szCs w:val="24"/>
        </w:rPr>
        <w:t xml:space="preserve">, Damiano Pizzol MD </w:t>
      </w:r>
      <w:r w:rsidRPr="007F40EB">
        <w:rPr>
          <w:rFonts w:ascii="Times New Roman" w:hAnsi="Times New Roman" w:cs="Times New Roman"/>
          <w:b/>
          <w:bCs/>
          <w:color w:val="auto"/>
          <w:sz w:val="24"/>
          <w:szCs w:val="24"/>
          <w:vertAlign w:val="superscript"/>
        </w:rPr>
        <w:t>6</w:t>
      </w:r>
      <w:r w:rsidRPr="007F40EB">
        <w:rPr>
          <w:rFonts w:ascii="Times New Roman" w:hAnsi="Times New Roman" w:cs="Times New Roman"/>
          <w:b/>
          <w:bCs/>
          <w:color w:val="auto"/>
          <w:sz w:val="24"/>
          <w:szCs w:val="24"/>
        </w:rPr>
        <w:t>, Daragh McDermott PhD</w:t>
      </w:r>
      <w:r w:rsidRPr="007F40EB">
        <w:rPr>
          <w:rFonts w:ascii="Times New Roman" w:hAnsi="Times New Roman" w:cs="Times New Roman"/>
          <w:b/>
          <w:bCs/>
          <w:color w:val="auto"/>
          <w:sz w:val="24"/>
          <w:szCs w:val="24"/>
          <w:vertAlign w:val="superscript"/>
        </w:rPr>
        <w:t>7</w:t>
      </w:r>
      <w:r w:rsidRPr="007F40EB">
        <w:rPr>
          <w:rFonts w:ascii="Times New Roman" w:hAnsi="Times New Roman" w:cs="Times New Roman"/>
          <w:b/>
          <w:bCs/>
          <w:color w:val="auto"/>
          <w:sz w:val="24"/>
          <w:szCs w:val="24"/>
        </w:rPr>
        <w:t>, Nicola Veronese MD</w:t>
      </w:r>
      <w:r w:rsidRPr="007F40EB">
        <w:rPr>
          <w:rFonts w:ascii="Times New Roman" w:hAnsi="Times New Roman" w:cs="Times New Roman"/>
          <w:b/>
          <w:bCs/>
          <w:color w:val="auto"/>
          <w:sz w:val="24"/>
          <w:szCs w:val="24"/>
          <w:vertAlign w:val="superscript"/>
        </w:rPr>
        <w:t>8</w:t>
      </w:r>
      <w:r w:rsidRPr="007F40EB">
        <w:rPr>
          <w:rFonts w:ascii="Times New Roman" w:hAnsi="Times New Roman" w:cs="Times New Roman"/>
          <w:b/>
          <w:bCs/>
          <w:color w:val="auto"/>
          <w:sz w:val="24"/>
          <w:szCs w:val="24"/>
        </w:rPr>
        <w:t xml:space="preserve">, Sarah E Jackson PhD </w:t>
      </w:r>
      <w:r w:rsidRPr="007F40EB">
        <w:rPr>
          <w:rFonts w:ascii="Times New Roman" w:hAnsi="Times New Roman" w:cs="Times New Roman"/>
          <w:b/>
          <w:bCs/>
          <w:color w:val="auto"/>
          <w:sz w:val="24"/>
          <w:szCs w:val="24"/>
          <w:vertAlign w:val="superscript"/>
        </w:rPr>
        <w:t xml:space="preserve">9  </w:t>
      </w:r>
    </w:p>
    <w:p w:rsidR="00731A30" w:rsidRPr="007F40EB" w:rsidRDefault="00731A30" w:rsidP="00731A30">
      <w:pPr>
        <w:pStyle w:val="Body"/>
        <w:spacing w:after="0" w:line="480" w:lineRule="auto"/>
        <w:rPr>
          <w:rFonts w:ascii="Times New Roman" w:hAnsi="Times New Roman" w:cs="Times New Roman"/>
          <w:bCs/>
          <w:color w:val="auto"/>
          <w:sz w:val="24"/>
          <w:szCs w:val="24"/>
        </w:rPr>
      </w:pPr>
      <w:r w:rsidRPr="007F40EB">
        <w:rPr>
          <w:rFonts w:ascii="Times New Roman" w:hAnsi="Times New Roman" w:cs="Times New Roman"/>
          <w:bCs/>
          <w:color w:val="auto"/>
          <w:sz w:val="24"/>
          <w:szCs w:val="24"/>
          <w:vertAlign w:val="superscript"/>
        </w:rPr>
        <w:t>1</w:t>
      </w:r>
      <w:r w:rsidRPr="007F40EB">
        <w:rPr>
          <w:rFonts w:ascii="Times New Roman" w:hAnsi="Times New Roman" w:cs="Times New Roman"/>
          <w:bCs/>
          <w:color w:val="auto"/>
          <w:sz w:val="24"/>
          <w:szCs w:val="24"/>
        </w:rPr>
        <w:t xml:space="preserve"> The Cambridge Centre for Sport and Exercise Sciences, Anglia Ruskin University, Cambridge, UK</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bCs/>
          <w:color w:val="auto"/>
          <w:sz w:val="24"/>
          <w:szCs w:val="24"/>
          <w:vertAlign w:val="superscript"/>
        </w:rPr>
        <w:t>2</w:t>
      </w:r>
      <w:r w:rsidRPr="007F40EB">
        <w:rPr>
          <w:rFonts w:ascii="Times New Roman" w:hAnsi="Times New Roman" w:cs="Times New Roman"/>
          <w:bCs/>
          <w:color w:val="auto"/>
          <w:sz w:val="24"/>
          <w:szCs w:val="24"/>
        </w:rPr>
        <w:t xml:space="preserve"> </w:t>
      </w:r>
      <w:r w:rsidRPr="007F40EB">
        <w:rPr>
          <w:rFonts w:ascii="Times New Roman" w:hAnsi="Times New Roman" w:cs="Times New Roman"/>
          <w:color w:val="auto"/>
          <w:sz w:val="24"/>
          <w:szCs w:val="24"/>
        </w:rPr>
        <w:t>Department of Social and Preventive Medicine, Centre for Public Health, Medical University Vienna</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3</w:t>
      </w:r>
      <w:r w:rsidRPr="007F40EB">
        <w:rPr>
          <w:rFonts w:ascii="Times New Roman" w:hAnsi="Times New Roman" w:cs="Times New Roman"/>
          <w:color w:val="auto"/>
          <w:sz w:val="24"/>
          <w:szCs w:val="24"/>
        </w:rPr>
        <w:t xml:space="preserve"> </w:t>
      </w:r>
      <w:proofErr w:type="spellStart"/>
      <w:r w:rsidRPr="007F40EB">
        <w:rPr>
          <w:rFonts w:ascii="Times New Roman" w:hAnsi="Times New Roman" w:cs="Times New Roman"/>
          <w:color w:val="auto"/>
          <w:sz w:val="24"/>
          <w:szCs w:val="24"/>
        </w:rPr>
        <w:t>Deparmtent</w:t>
      </w:r>
      <w:proofErr w:type="spellEnd"/>
      <w:r w:rsidRPr="007F40EB">
        <w:rPr>
          <w:rFonts w:ascii="Times New Roman" w:hAnsi="Times New Roman" w:cs="Times New Roman"/>
          <w:color w:val="auto"/>
          <w:sz w:val="24"/>
          <w:szCs w:val="24"/>
        </w:rPr>
        <w:t xml:space="preserve"> of Epidemiology, Center for Public Health, Medical University of Vienna, Vienna, Austria</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4</w:t>
      </w:r>
      <w:r w:rsidRPr="007F40EB">
        <w:rPr>
          <w:rFonts w:ascii="Times New Roman" w:hAnsi="Times New Roman" w:cs="Times New Roman"/>
          <w:color w:val="auto"/>
          <w:sz w:val="24"/>
          <w:szCs w:val="24"/>
        </w:rPr>
        <w:t xml:space="preserve"> Faculty of Sport Sciences, University of Murcia, Spain. </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 xml:space="preserve">5 </w:t>
      </w:r>
      <w:r w:rsidRPr="007F40EB">
        <w:rPr>
          <w:rFonts w:ascii="Times New Roman" w:hAnsi="Times New Roman" w:cs="Times New Roman"/>
          <w:color w:val="auto"/>
          <w:sz w:val="24"/>
          <w:szCs w:val="24"/>
        </w:rPr>
        <w:t>NICM Health Research Institute, University of Western Sydney, Sydney, Australia</w:t>
      </w:r>
    </w:p>
    <w:p w:rsidR="00731A30" w:rsidRPr="007F40EB" w:rsidRDefault="00731A30" w:rsidP="00731A30">
      <w:pPr>
        <w:pStyle w:val="Body"/>
        <w:spacing w:after="0" w:line="480" w:lineRule="auto"/>
        <w:rPr>
          <w:rFonts w:ascii="Times New Roman" w:hAnsi="Times New Roman" w:cs="Times New Roman"/>
          <w:color w:val="auto"/>
          <w:sz w:val="24"/>
          <w:szCs w:val="24"/>
          <w:vertAlign w:val="superscript"/>
        </w:rPr>
      </w:pPr>
      <w:r w:rsidRPr="007F40EB">
        <w:rPr>
          <w:rFonts w:ascii="Times New Roman" w:hAnsi="Times New Roman" w:cs="Times New Roman"/>
          <w:color w:val="auto"/>
          <w:sz w:val="24"/>
          <w:szCs w:val="24"/>
          <w:vertAlign w:val="superscript"/>
        </w:rPr>
        <w:t xml:space="preserve">6 </w:t>
      </w:r>
      <w:r w:rsidRPr="007F40EB">
        <w:rPr>
          <w:rFonts w:ascii="Times New Roman" w:hAnsi="Times New Roman" w:cs="Times New Roman"/>
          <w:color w:val="auto"/>
          <w:sz w:val="24"/>
          <w:szCs w:val="24"/>
        </w:rPr>
        <w:t>Italian Agency for Development Cooperation, Jerusalem 9135400, Israel</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7</w:t>
      </w:r>
      <w:r w:rsidRPr="007F40EB">
        <w:rPr>
          <w:rFonts w:ascii="Times New Roman" w:hAnsi="Times New Roman" w:cs="Times New Roman"/>
          <w:color w:val="auto"/>
          <w:sz w:val="24"/>
          <w:szCs w:val="24"/>
        </w:rPr>
        <w:t xml:space="preserve"> Division of Psychology, School of Psychology and Sports Sciences, Anglia Ruskin University, Cambridge, UK.</w:t>
      </w:r>
    </w:p>
    <w:p w:rsidR="00731A30" w:rsidRPr="007F40EB" w:rsidRDefault="00731A30" w:rsidP="00731A30">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8</w:t>
      </w:r>
      <w:r w:rsidRPr="007F40EB">
        <w:rPr>
          <w:rFonts w:ascii="Times New Roman" w:hAnsi="Times New Roman" w:cs="Times New Roman"/>
          <w:color w:val="auto"/>
          <w:sz w:val="24"/>
          <w:szCs w:val="24"/>
        </w:rPr>
        <w:t xml:space="preserve"> National Research Council, Neuroscience Institute, Aging Branch, Padova, Italy</w:t>
      </w:r>
    </w:p>
    <w:p w:rsidR="00731A30" w:rsidRPr="007F40EB" w:rsidRDefault="00731A30" w:rsidP="00731A30">
      <w:pPr>
        <w:pStyle w:val="Body"/>
        <w:spacing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vertAlign w:val="superscript"/>
        </w:rPr>
        <w:t>9</w:t>
      </w:r>
      <w:r w:rsidRPr="007F40EB">
        <w:rPr>
          <w:rFonts w:ascii="Times New Roman" w:hAnsi="Times New Roman" w:cs="Times New Roman"/>
          <w:color w:val="auto"/>
          <w:sz w:val="24"/>
          <w:szCs w:val="24"/>
        </w:rPr>
        <w:t xml:space="preserve"> Department of </w:t>
      </w:r>
      <w:proofErr w:type="spellStart"/>
      <w:r w:rsidRPr="007F40EB">
        <w:rPr>
          <w:rFonts w:ascii="Times New Roman" w:hAnsi="Times New Roman" w:cs="Times New Roman"/>
          <w:color w:val="auto"/>
          <w:sz w:val="24"/>
          <w:szCs w:val="24"/>
        </w:rPr>
        <w:t>Behavioural</w:t>
      </w:r>
      <w:proofErr w:type="spellEnd"/>
      <w:r w:rsidRPr="007F40EB">
        <w:rPr>
          <w:rFonts w:ascii="Times New Roman" w:hAnsi="Times New Roman" w:cs="Times New Roman"/>
          <w:color w:val="auto"/>
          <w:sz w:val="24"/>
          <w:szCs w:val="24"/>
        </w:rPr>
        <w:t xml:space="preserve"> Science and Health, UCL, London, UK</w:t>
      </w:r>
    </w:p>
    <w:p w:rsidR="00731A30" w:rsidRPr="007F40EB" w:rsidRDefault="00731A30" w:rsidP="00731A30">
      <w:pPr>
        <w:pStyle w:val="Body"/>
        <w:spacing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 Corresponding author: Dr Lee Smith The Cambridge Centre for Sport and Exercise Sciences, Anglia Ruskin University, Cambridge, CB1 1PT </w:t>
      </w:r>
      <w:hyperlink r:id="rId7" w:history="1">
        <w:r w:rsidRPr="007F40EB">
          <w:rPr>
            <w:rStyle w:val="Hyperlink"/>
            <w:rFonts w:ascii="Times New Roman" w:hAnsi="Times New Roman" w:cs="Times New Roman"/>
            <w:color w:val="auto"/>
            <w:sz w:val="24"/>
            <w:szCs w:val="24"/>
          </w:rPr>
          <w:t>lee.smith@anglia.ac.uk</w:t>
        </w:r>
      </w:hyperlink>
    </w:p>
    <w:p w:rsidR="00E42544" w:rsidRPr="007F40EB" w:rsidRDefault="00E42544" w:rsidP="001E1D92">
      <w:pPr>
        <w:pStyle w:val="Body"/>
        <w:spacing w:after="0" w:line="480" w:lineRule="auto"/>
        <w:rPr>
          <w:rFonts w:ascii="Times New Roman" w:hAnsi="Times New Roman" w:cs="Times New Roman"/>
          <w:b/>
          <w:color w:val="auto"/>
          <w:sz w:val="24"/>
          <w:szCs w:val="24"/>
        </w:rPr>
      </w:pPr>
    </w:p>
    <w:p w:rsidR="00E42544" w:rsidRPr="007F40EB" w:rsidRDefault="00E42544" w:rsidP="001E1D92">
      <w:pPr>
        <w:pStyle w:val="Body"/>
        <w:spacing w:after="0" w:line="480" w:lineRule="auto"/>
        <w:rPr>
          <w:rFonts w:ascii="Times New Roman" w:hAnsi="Times New Roman" w:cs="Times New Roman"/>
          <w:b/>
          <w:color w:val="auto"/>
          <w:sz w:val="24"/>
          <w:szCs w:val="24"/>
        </w:rPr>
      </w:pPr>
    </w:p>
    <w:p w:rsidR="00E42544" w:rsidRPr="007F40EB" w:rsidRDefault="00E42544" w:rsidP="001E1D92">
      <w:pPr>
        <w:pStyle w:val="Body"/>
        <w:spacing w:after="0" w:line="480" w:lineRule="auto"/>
        <w:rPr>
          <w:rFonts w:ascii="Times New Roman" w:hAnsi="Times New Roman" w:cs="Times New Roman"/>
          <w:b/>
          <w:color w:val="auto"/>
          <w:sz w:val="24"/>
          <w:szCs w:val="24"/>
        </w:rPr>
      </w:pPr>
    </w:p>
    <w:p w:rsidR="00E42544" w:rsidRPr="007F40EB" w:rsidRDefault="00E42544" w:rsidP="001E1D92">
      <w:pPr>
        <w:pStyle w:val="Body"/>
        <w:spacing w:after="0" w:line="480" w:lineRule="auto"/>
        <w:rPr>
          <w:rFonts w:ascii="Times New Roman" w:hAnsi="Times New Roman" w:cs="Times New Roman"/>
          <w:b/>
          <w:color w:val="auto"/>
          <w:sz w:val="24"/>
          <w:szCs w:val="24"/>
        </w:rPr>
      </w:pPr>
    </w:p>
    <w:p w:rsidR="00E42544" w:rsidRPr="007F40EB" w:rsidRDefault="00E42544" w:rsidP="001E1D92">
      <w:pPr>
        <w:pStyle w:val="Body"/>
        <w:spacing w:after="0" w:line="480" w:lineRule="auto"/>
        <w:rPr>
          <w:rFonts w:ascii="Times New Roman" w:hAnsi="Times New Roman" w:cs="Times New Roman"/>
          <w:b/>
          <w:color w:val="auto"/>
          <w:sz w:val="24"/>
          <w:szCs w:val="24"/>
        </w:rPr>
      </w:pPr>
    </w:p>
    <w:p w:rsidR="0082500B" w:rsidRPr="007F40EB" w:rsidRDefault="00B73694" w:rsidP="001E1D92">
      <w:pPr>
        <w:pStyle w:val="Body"/>
        <w:spacing w:after="0" w:line="480" w:lineRule="auto"/>
        <w:rPr>
          <w:rFonts w:ascii="Times New Roman" w:hAnsi="Times New Roman" w:cs="Times New Roman"/>
          <w:b/>
          <w:bCs/>
          <w:color w:val="auto"/>
          <w:sz w:val="24"/>
          <w:szCs w:val="24"/>
        </w:rPr>
      </w:pPr>
      <w:r w:rsidRPr="007F40EB">
        <w:rPr>
          <w:rFonts w:ascii="Times New Roman" w:hAnsi="Times New Roman" w:cs="Times New Roman"/>
          <w:b/>
          <w:color w:val="auto"/>
          <w:sz w:val="24"/>
          <w:szCs w:val="24"/>
        </w:rPr>
        <w:lastRenderedPageBreak/>
        <w:t>A</w:t>
      </w:r>
      <w:r w:rsidR="001923E8" w:rsidRPr="007F40EB">
        <w:rPr>
          <w:rFonts w:ascii="Times New Roman" w:hAnsi="Times New Roman" w:cs="Times New Roman"/>
          <w:b/>
          <w:color w:val="auto"/>
          <w:sz w:val="24"/>
          <w:szCs w:val="24"/>
        </w:rPr>
        <w:t>bstract</w:t>
      </w:r>
    </w:p>
    <w:p w:rsidR="00390D67" w:rsidRPr="007F40EB" w:rsidRDefault="00E42544" w:rsidP="00390D67">
      <w:pPr>
        <w:pStyle w:val="Body"/>
        <w:spacing w:after="0" w:line="480" w:lineRule="auto"/>
        <w:rPr>
          <w:rFonts w:ascii="Times New Roman" w:hAnsi="Times New Roman" w:cs="Times New Roman"/>
          <w:b/>
          <w:bCs/>
          <w:color w:val="auto"/>
          <w:sz w:val="24"/>
          <w:szCs w:val="24"/>
        </w:rPr>
      </w:pPr>
      <w:r w:rsidRPr="007F40EB">
        <w:rPr>
          <w:rFonts w:ascii="Times New Roman" w:hAnsi="Times New Roman" w:cs="Times New Roman"/>
          <w:b/>
          <w:bCs/>
          <w:color w:val="auto"/>
          <w:sz w:val="24"/>
          <w:szCs w:val="24"/>
        </w:rPr>
        <w:t>Background</w:t>
      </w:r>
    </w:p>
    <w:p w:rsidR="00390D67" w:rsidRPr="007F40EB" w:rsidRDefault="00123EBD" w:rsidP="00390D67">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T</w:t>
      </w:r>
      <w:r w:rsidR="00390D67" w:rsidRPr="007F40EB">
        <w:rPr>
          <w:rFonts w:ascii="Times New Roman" w:hAnsi="Times New Roman" w:cs="Times New Roman"/>
          <w:color w:val="auto"/>
          <w:sz w:val="24"/>
          <w:szCs w:val="24"/>
        </w:rPr>
        <w:t>o explore the association between sexual activity and change in cognitive function over four years in a representative sample of older adults</w:t>
      </w:r>
      <w:r w:rsidRPr="007F40EB">
        <w:rPr>
          <w:rFonts w:ascii="Times New Roman" w:hAnsi="Times New Roman" w:cs="Times New Roman"/>
          <w:color w:val="auto"/>
          <w:sz w:val="24"/>
          <w:szCs w:val="24"/>
        </w:rPr>
        <w:t xml:space="preserve"> in England</w:t>
      </w:r>
      <w:r w:rsidR="00390D67" w:rsidRPr="007F40EB">
        <w:rPr>
          <w:rFonts w:ascii="Times New Roman" w:hAnsi="Times New Roman" w:cs="Times New Roman"/>
          <w:color w:val="auto"/>
          <w:sz w:val="24"/>
          <w:szCs w:val="24"/>
        </w:rPr>
        <w:t>.</w:t>
      </w:r>
    </w:p>
    <w:p w:rsidR="007961C6" w:rsidRPr="007F40EB" w:rsidRDefault="00E42544" w:rsidP="00390D67">
      <w:pPr>
        <w:pStyle w:val="Body"/>
        <w:spacing w:after="0" w:line="480" w:lineRule="auto"/>
        <w:rPr>
          <w:rFonts w:ascii="Times New Roman" w:hAnsi="Times New Roman" w:cs="Times New Roman"/>
          <w:b/>
          <w:color w:val="auto"/>
          <w:sz w:val="24"/>
          <w:szCs w:val="24"/>
        </w:rPr>
      </w:pPr>
      <w:r w:rsidRPr="007F40EB">
        <w:rPr>
          <w:rFonts w:ascii="Times New Roman" w:hAnsi="Times New Roman" w:cs="Times New Roman"/>
          <w:b/>
          <w:color w:val="auto"/>
          <w:sz w:val="24"/>
          <w:szCs w:val="24"/>
        </w:rPr>
        <w:t>Methods</w:t>
      </w:r>
    </w:p>
    <w:p w:rsidR="00390D67" w:rsidRPr="007F40EB" w:rsidRDefault="00390D67" w:rsidP="00390D67">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Data were from </w:t>
      </w:r>
      <w:r w:rsidR="002431F2" w:rsidRPr="007F40EB">
        <w:rPr>
          <w:rFonts w:ascii="Times New Roman" w:hAnsi="Times New Roman" w:cs="Times New Roman"/>
          <w:color w:val="auto"/>
          <w:sz w:val="24"/>
          <w:szCs w:val="24"/>
        </w:rPr>
        <w:t>1,963</w:t>
      </w:r>
      <w:r w:rsidRPr="007F40EB">
        <w:rPr>
          <w:rFonts w:ascii="Times New Roman" w:hAnsi="Times New Roman" w:cs="Times New Roman"/>
          <w:color w:val="auto"/>
          <w:sz w:val="24"/>
          <w:szCs w:val="24"/>
        </w:rPr>
        <w:t xml:space="preserve"> men and 2,5</w:t>
      </w:r>
      <w:r w:rsidR="002431F2" w:rsidRPr="007F40EB">
        <w:rPr>
          <w:rFonts w:ascii="Times New Roman" w:hAnsi="Times New Roman" w:cs="Times New Roman"/>
          <w:color w:val="auto"/>
          <w:sz w:val="24"/>
          <w:szCs w:val="24"/>
        </w:rPr>
        <w:t>13</w:t>
      </w:r>
      <w:r w:rsidRPr="007F40EB">
        <w:rPr>
          <w:rFonts w:ascii="Times New Roman" w:hAnsi="Times New Roman" w:cs="Times New Roman"/>
          <w:color w:val="auto"/>
          <w:sz w:val="24"/>
          <w:szCs w:val="24"/>
        </w:rPr>
        <w:t xml:space="preserve"> women participating in Wave 6 (2012/13) and Wave 8 (2016/17) of the English Longitudinal Study of Ageing. Participants reported whether or not they had engaged in any sexual activity in the last year. Cognit</w:t>
      </w:r>
      <w:r w:rsidR="00EA4987" w:rsidRPr="007F40EB">
        <w:rPr>
          <w:rFonts w:ascii="Times New Roman" w:hAnsi="Times New Roman" w:cs="Times New Roman"/>
          <w:color w:val="auto"/>
          <w:sz w:val="24"/>
          <w:szCs w:val="24"/>
        </w:rPr>
        <w:t>ive function was assessed with</w:t>
      </w:r>
      <w:r w:rsidRPr="007F40EB">
        <w:rPr>
          <w:rFonts w:ascii="Times New Roman" w:hAnsi="Times New Roman" w:cs="Times New Roman"/>
          <w:color w:val="auto"/>
          <w:sz w:val="24"/>
          <w:szCs w:val="24"/>
        </w:rPr>
        <w:t xml:space="preserve"> test</w:t>
      </w:r>
      <w:r w:rsidR="00EA4987" w:rsidRPr="007F40EB">
        <w:rPr>
          <w:rFonts w:ascii="Times New Roman" w:hAnsi="Times New Roman" w:cs="Times New Roman"/>
          <w:color w:val="auto"/>
          <w:sz w:val="24"/>
          <w:szCs w:val="24"/>
        </w:rPr>
        <w:t>s</w:t>
      </w:r>
      <w:r w:rsidRPr="007F40EB">
        <w:rPr>
          <w:rFonts w:ascii="Times New Roman" w:hAnsi="Times New Roman" w:cs="Times New Roman"/>
          <w:color w:val="auto"/>
          <w:sz w:val="24"/>
          <w:szCs w:val="24"/>
        </w:rPr>
        <w:t xml:space="preserve"> of immediate and delayed recall. Adjusted general linear models were used to test associations between sexual activity and</w:t>
      </w:r>
      <w:r w:rsidR="007F09B8" w:rsidRPr="007F40EB">
        <w:rPr>
          <w:rFonts w:ascii="Times New Roman" w:hAnsi="Times New Roman" w:cs="Times New Roman"/>
          <w:color w:val="auto"/>
          <w:sz w:val="24"/>
          <w:szCs w:val="24"/>
        </w:rPr>
        <w:t xml:space="preserve"> changes in cognitive function.</w:t>
      </w:r>
    </w:p>
    <w:p w:rsidR="00390D67" w:rsidRPr="007F40EB" w:rsidRDefault="00390D67" w:rsidP="00390D67">
      <w:pPr>
        <w:pStyle w:val="Body"/>
        <w:spacing w:after="0" w:line="480" w:lineRule="auto"/>
        <w:rPr>
          <w:rFonts w:ascii="Times New Roman" w:hAnsi="Times New Roman" w:cs="Times New Roman"/>
          <w:b/>
          <w:bCs/>
          <w:color w:val="auto"/>
          <w:sz w:val="24"/>
          <w:szCs w:val="24"/>
        </w:rPr>
      </w:pPr>
      <w:r w:rsidRPr="007F40EB">
        <w:rPr>
          <w:rFonts w:ascii="Times New Roman" w:hAnsi="Times New Roman" w:cs="Times New Roman"/>
          <w:b/>
          <w:bCs/>
          <w:color w:val="auto"/>
          <w:sz w:val="24"/>
          <w:szCs w:val="24"/>
        </w:rPr>
        <w:t>Results</w:t>
      </w:r>
    </w:p>
    <w:p w:rsidR="00390D67" w:rsidRPr="007F40EB" w:rsidRDefault="00863DA1" w:rsidP="00390D67">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Men who were sexually</w:t>
      </w:r>
      <w:r w:rsidR="00390D67" w:rsidRPr="007F40EB">
        <w:rPr>
          <w:rFonts w:ascii="Times New Roman" w:hAnsi="Times New Roman" w:cs="Times New Roman"/>
          <w:color w:val="auto"/>
          <w:sz w:val="24"/>
          <w:szCs w:val="24"/>
        </w:rPr>
        <w:t xml:space="preserve"> active </w:t>
      </w:r>
      <w:r w:rsidRPr="007F40EB">
        <w:rPr>
          <w:rFonts w:ascii="Times New Roman" w:hAnsi="Times New Roman" w:cs="Times New Roman"/>
          <w:color w:val="auto"/>
          <w:sz w:val="24"/>
          <w:szCs w:val="24"/>
        </w:rPr>
        <w:t>at baseline had</w:t>
      </w:r>
      <w:r w:rsidR="00390D67" w:rsidRPr="007F40EB">
        <w:rPr>
          <w:rFonts w:ascii="Times New Roman" w:hAnsi="Times New Roman" w:cs="Times New Roman"/>
          <w:color w:val="auto"/>
          <w:sz w:val="24"/>
          <w:szCs w:val="24"/>
        </w:rPr>
        <w:t xml:space="preserve"> better preservation in </w:t>
      </w:r>
      <w:r w:rsidR="002A3049" w:rsidRPr="007F40EB">
        <w:rPr>
          <w:rFonts w:ascii="Times New Roman" w:hAnsi="Times New Roman" w:cs="Times New Roman"/>
          <w:color w:val="auto"/>
          <w:sz w:val="24"/>
          <w:szCs w:val="24"/>
        </w:rPr>
        <w:t xml:space="preserve">immediate (0.18 points, 95% CI 0.07 to 0.29, </w:t>
      </w:r>
      <w:r w:rsidR="002A3049" w:rsidRPr="007F40EB">
        <w:rPr>
          <w:rStyle w:val="None"/>
          <w:rFonts w:ascii="Times New Roman" w:hAnsi="Times New Roman" w:cs="Times New Roman"/>
          <w:i/>
          <w:iCs/>
          <w:color w:val="auto"/>
          <w:sz w:val="24"/>
          <w:szCs w:val="24"/>
        </w:rPr>
        <w:t>p</w:t>
      </w:r>
      <w:r w:rsidR="002A3049" w:rsidRPr="007F40EB">
        <w:rPr>
          <w:rFonts w:ascii="Times New Roman" w:hAnsi="Times New Roman" w:cs="Times New Roman"/>
          <w:color w:val="auto"/>
          <w:sz w:val="24"/>
          <w:szCs w:val="24"/>
        </w:rPr>
        <w:t xml:space="preserve">=0.002) and delayed recall (0.19 points, 95% CI 0.08 to 0.29, </w:t>
      </w:r>
      <w:r w:rsidR="002A3049" w:rsidRPr="007F40EB">
        <w:rPr>
          <w:rStyle w:val="None"/>
          <w:rFonts w:ascii="Times New Roman" w:hAnsi="Times New Roman" w:cs="Times New Roman"/>
          <w:i/>
          <w:iCs/>
          <w:color w:val="auto"/>
          <w:sz w:val="24"/>
          <w:szCs w:val="24"/>
        </w:rPr>
        <w:t>p=</w:t>
      </w:r>
      <w:r w:rsidR="002A3049" w:rsidRPr="007F40EB">
        <w:rPr>
          <w:rFonts w:ascii="Times New Roman" w:hAnsi="Times New Roman" w:cs="Times New Roman"/>
          <w:color w:val="auto"/>
          <w:sz w:val="24"/>
          <w:szCs w:val="24"/>
        </w:rPr>
        <w:t xml:space="preserve">0.001) </w:t>
      </w:r>
      <w:r w:rsidRPr="007F40EB">
        <w:rPr>
          <w:rFonts w:ascii="Times New Roman" w:hAnsi="Times New Roman" w:cs="Times New Roman"/>
          <w:color w:val="auto"/>
          <w:sz w:val="24"/>
          <w:szCs w:val="24"/>
        </w:rPr>
        <w:t>over four-year</w:t>
      </w:r>
      <w:r w:rsidR="00390D67" w:rsidRPr="007F40EB">
        <w:rPr>
          <w:rFonts w:ascii="Times New Roman" w:hAnsi="Times New Roman" w:cs="Times New Roman"/>
          <w:color w:val="auto"/>
          <w:sz w:val="24"/>
          <w:szCs w:val="24"/>
        </w:rPr>
        <w:t xml:space="preserve"> follow-up. </w:t>
      </w:r>
      <w:r w:rsidR="00BE4AA7" w:rsidRPr="007F40EB">
        <w:rPr>
          <w:rFonts w:ascii="Times New Roman" w:hAnsi="Times New Roman" w:cs="Times New Roman"/>
          <w:color w:val="auto"/>
          <w:sz w:val="24"/>
          <w:szCs w:val="24"/>
        </w:rPr>
        <w:t>No significant associations were observed for women</w:t>
      </w:r>
      <w:r w:rsidR="00390D67" w:rsidRPr="007F40EB">
        <w:rPr>
          <w:rFonts w:ascii="Times New Roman" w:hAnsi="Times New Roman" w:cs="Times New Roman"/>
          <w:color w:val="auto"/>
          <w:sz w:val="24"/>
          <w:szCs w:val="24"/>
        </w:rPr>
        <w:t>.</w:t>
      </w:r>
    </w:p>
    <w:p w:rsidR="00C72D00" w:rsidRPr="007F40EB" w:rsidRDefault="00C72D00" w:rsidP="00C72D00">
      <w:pPr>
        <w:pStyle w:val="Body"/>
        <w:spacing w:after="0" w:line="480" w:lineRule="auto"/>
        <w:rPr>
          <w:rFonts w:ascii="Times New Roman" w:hAnsi="Times New Roman" w:cs="Times New Roman"/>
          <w:b/>
          <w:color w:val="auto"/>
          <w:sz w:val="24"/>
          <w:szCs w:val="24"/>
        </w:rPr>
      </w:pPr>
      <w:r w:rsidRPr="007F40EB">
        <w:rPr>
          <w:rFonts w:ascii="Times New Roman" w:hAnsi="Times New Roman" w:cs="Times New Roman"/>
          <w:b/>
          <w:color w:val="auto"/>
          <w:sz w:val="24"/>
          <w:szCs w:val="24"/>
        </w:rPr>
        <w:t>Discussion</w:t>
      </w:r>
    </w:p>
    <w:p w:rsidR="00C72D00" w:rsidRPr="007F40EB" w:rsidRDefault="00C72D00" w:rsidP="00C72D00">
      <w:pPr>
        <w:pStyle w:val="Body"/>
        <w:spacing w:after="0" w:line="480" w:lineRule="auto"/>
        <w:rPr>
          <w:rFonts w:ascii="Times New Roman" w:hAnsi="Times New Roman" w:cs="Times New Roman"/>
          <w:b/>
          <w:color w:val="auto"/>
          <w:sz w:val="24"/>
          <w:szCs w:val="24"/>
        </w:rPr>
      </w:pPr>
      <w:r w:rsidRPr="007F40EB">
        <w:rPr>
          <w:rFonts w:ascii="Times New Roman" w:hAnsi="Times New Roman" w:cs="Times New Roman"/>
          <w:color w:val="auto"/>
          <w:sz w:val="24"/>
          <w:szCs w:val="24"/>
        </w:rPr>
        <w:t>Strengths of this study include the large, representative sample, longitudinal design, and adjustment for a wide range of potential confounders. The observational nature of our study means we cannot deduce the exact direction of effect of our findings. In addition, cognitive ability test scores in older people may reflect not only a possible decline, but also their peak prior cognitive ability, but we did not have any information regarding the trajectories of their cognitive function during the lifespan.</w:t>
      </w:r>
    </w:p>
    <w:p w:rsidR="007961C6" w:rsidRPr="007F40EB" w:rsidRDefault="00C72D00" w:rsidP="00390D67">
      <w:pPr>
        <w:pStyle w:val="Body"/>
        <w:spacing w:after="0" w:line="480" w:lineRule="auto"/>
        <w:rPr>
          <w:rFonts w:ascii="Times New Roman" w:hAnsi="Times New Roman" w:cs="Times New Roman"/>
          <w:b/>
          <w:bCs/>
          <w:color w:val="auto"/>
          <w:sz w:val="24"/>
          <w:szCs w:val="24"/>
          <w:shd w:val="clear" w:color="auto" w:fill="FFFFFF"/>
        </w:rPr>
      </w:pPr>
      <w:r w:rsidRPr="007F40EB">
        <w:rPr>
          <w:rFonts w:ascii="Times New Roman" w:hAnsi="Times New Roman" w:cs="Times New Roman"/>
          <w:b/>
          <w:bCs/>
          <w:color w:val="auto"/>
          <w:sz w:val="24"/>
          <w:szCs w:val="24"/>
        </w:rPr>
        <w:t>Conclusion</w:t>
      </w:r>
    </w:p>
    <w:p w:rsidR="00390D67" w:rsidRPr="007F40EB" w:rsidRDefault="00E42544" w:rsidP="00390D67">
      <w:pPr>
        <w:pStyle w:val="Body"/>
        <w:spacing w:after="0" w:line="480" w:lineRule="auto"/>
        <w:rPr>
          <w:rFonts w:ascii="Times New Roman" w:hAnsi="Times New Roman" w:cs="Times New Roman"/>
          <w:color w:val="auto"/>
          <w:sz w:val="24"/>
          <w:szCs w:val="24"/>
          <w:shd w:val="clear" w:color="auto" w:fill="FFFFFF"/>
        </w:rPr>
      </w:pPr>
      <w:r w:rsidRPr="007F40EB">
        <w:rPr>
          <w:rFonts w:ascii="Times New Roman" w:hAnsi="Times New Roman" w:cs="Times New Roman"/>
          <w:color w:val="auto"/>
          <w:sz w:val="24"/>
          <w:szCs w:val="24"/>
          <w:shd w:val="clear" w:color="auto" w:fill="FFFFFF"/>
        </w:rPr>
        <w:t xml:space="preserve">Health practitioners should be encouraged to screen older men relating to their sexual activity to identify those who may be at risk of cognitive decline. </w:t>
      </w:r>
      <w:r w:rsidR="00390D67" w:rsidRPr="007F40EB">
        <w:rPr>
          <w:rFonts w:ascii="Times New Roman" w:hAnsi="Times New Roman" w:cs="Times New Roman"/>
          <w:color w:val="auto"/>
          <w:sz w:val="24"/>
          <w:szCs w:val="24"/>
          <w:shd w:val="clear" w:color="auto" w:fill="FFFFFF"/>
        </w:rPr>
        <w:t>Older men will be heartened to know that sexual activity may aid in the prevention of age-related decline in cognition.</w:t>
      </w:r>
    </w:p>
    <w:p w:rsidR="00E42544" w:rsidRPr="007F40EB" w:rsidRDefault="00E42544"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b/>
          <w:color w:val="auto"/>
          <w:sz w:val="24"/>
          <w:szCs w:val="24"/>
        </w:rPr>
        <w:lastRenderedPageBreak/>
        <w:t xml:space="preserve">Key words: </w:t>
      </w:r>
      <w:r w:rsidRPr="007F40EB">
        <w:rPr>
          <w:rFonts w:ascii="Times New Roman" w:hAnsi="Times New Roman" w:cs="Times New Roman"/>
          <w:color w:val="auto"/>
          <w:sz w:val="24"/>
          <w:szCs w:val="24"/>
        </w:rPr>
        <w:t>Sexual activity, cognitive function, older adults, ELSA</w:t>
      </w: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E42544" w:rsidRPr="007F40EB" w:rsidRDefault="00E42544" w:rsidP="001E1D92">
      <w:pPr>
        <w:pStyle w:val="Body"/>
        <w:spacing w:after="0" w:line="480" w:lineRule="auto"/>
        <w:rPr>
          <w:rFonts w:ascii="Times New Roman" w:hAnsi="Times New Roman" w:cs="Times New Roman"/>
          <w:color w:val="auto"/>
          <w:sz w:val="24"/>
          <w:szCs w:val="24"/>
        </w:rPr>
      </w:pPr>
    </w:p>
    <w:p w:rsidR="0082500B" w:rsidRPr="007F40EB" w:rsidRDefault="00E42544" w:rsidP="001E1D92">
      <w:pPr>
        <w:pStyle w:val="Heading"/>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lastRenderedPageBreak/>
        <w:t>Background</w:t>
      </w:r>
    </w:p>
    <w:p w:rsidR="0082500B" w:rsidRPr="007F40EB" w:rsidRDefault="006819F9"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Over the last century, life expectancy has risen considerably on a global scale</w:t>
      </w:r>
      <w:r w:rsidR="00C72D00" w:rsidRPr="007F40EB">
        <w:rPr>
          <w:rFonts w:ascii="Times New Roman" w:hAnsi="Times New Roman" w:cs="Times New Roman"/>
          <w:color w:val="auto"/>
          <w:sz w:val="24"/>
          <w:szCs w:val="24"/>
        </w:rPr>
        <w:t xml:space="preserve"> [1]</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However, with populations getting older, diseases of ageing have become increasingly prevalent. Dementia is one of the greatest health threats of old age, affecting an estimated 50 million people worldwide and forecast to increase to 132 million by 2050</w:t>
      </w:r>
      <w:r w:rsidR="00C72D00" w:rsidRPr="007F40EB">
        <w:rPr>
          <w:rFonts w:ascii="Times New Roman" w:hAnsi="Times New Roman" w:cs="Times New Roman"/>
          <w:color w:val="auto"/>
          <w:sz w:val="24"/>
          <w:szCs w:val="24"/>
        </w:rPr>
        <w:t xml:space="preserve"> [2]</w:t>
      </w:r>
      <w:r w:rsidR="00C333C0"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Almost half of adults over the age of 85 are afflicted with Alzheimer's disease</w:t>
      </w:r>
      <w:r w:rsidR="00C72D00" w:rsidRPr="007F40EB">
        <w:rPr>
          <w:rFonts w:ascii="Times New Roman" w:hAnsi="Times New Roman" w:cs="Times New Roman"/>
          <w:color w:val="auto"/>
          <w:sz w:val="24"/>
          <w:szCs w:val="24"/>
        </w:rPr>
        <w:t xml:space="preserve"> [3]</w:t>
      </w:r>
      <w:r w:rsidR="00842431" w:rsidRPr="007F40EB">
        <w:rPr>
          <w:rFonts w:ascii="Times New Roman" w:hAnsi="Times New Roman" w:cs="Times New Roman"/>
          <w:color w:val="auto"/>
          <w:sz w:val="24"/>
          <w:szCs w:val="24"/>
        </w:rPr>
        <w:t>,</w:t>
      </w:r>
      <w:r w:rsidR="00C333C0"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one of the main causes of disability and dependency in the expanding older adult population worldwide</w:t>
      </w:r>
      <w:r w:rsidR="00C72D00" w:rsidRPr="007F40EB">
        <w:rPr>
          <w:rFonts w:ascii="Times New Roman" w:hAnsi="Times New Roman" w:cs="Times New Roman"/>
          <w:color w:val="auto"/>
          <w:sz w:val="24"/>
          <w:szCs w:val="24"/>
        </w:rPr>
        <w:t xml:space="preserve"> [4]</w:t>
      </w:r>
      <w:r w:rsidR="00842431" w:rsidRPr="007F40EB">
        <w:rPr>
          <w:rFonts w:ascii="Times New Roman" w:hAnsi="Times New Roman" w:cs="Times New Roman"/>
          <w:color w:val="auto"/>
          <w:sz w:val="24"/>
          <w:szCs w:val="24"/>
        </w:rPr>
        <w:t>.</w:t>
      </w:r>
      <w:r w:rsidR="00C72D00" w:rsidRPr="007F40EB">
        <w:rPr>
          <w:rFonts w:ascii="Times New Roman" w:hAnsi="Times New Roman" w:cs="Times New Roman"/>
          <w:color w:val="auto"/>
          <w:sz w:val="24"/>
          <w:szCs w:val="24"/>
        </w:rPr>
        <w:t xml:space="preserve"> </w:t>
      </w:r>
    </w:p>
    <w:p w:rsidR="006A34E7" w:rsidRPr="007F40EB" w:rsidRDefault="006A34E7" w:rsidP="001E1D92">
      <w:pPr>
        <w:pStyle w:val="Body"/>
        <w:spacing w:after="0" w:line="480" w:lineRule="auto"/>
        <w:rPr>
          <w:rFonts w:ascii="Times New Roman" w:hAnsi="Times New Roman" w:cs="Times New Roman"/>
          <w:color w:val="auto"/>
          <w:sz w:val="24"/>
          <w:szCs w:val="24"/>
        </w:rPr>
      </w:pPr>
    </w:p>
    <w:p w:rsidR="0082500B" w:rsidRPr="007F40EB" w:rsidRDefault="006819F9" w:rsidP="001E1D92">
      <w:pPr>
        <w:pStyle w:val="Body"/>
        <w:spacing w:after="0" w:line="480" w:lineRule="auto"/>
        <w:rPr>
          <w:rFonts w:ascii="Times New Roman" w:hAnsi="Times New Roman" w:cs="Times New Roman"/>
          <w:color w:val="auto"/>
          <w:sz w:val="24"/>
          <w:szCs w:val="24"/>
          <w:vertAlign w:val="superscript"/>
        </w:rPr>
      </w:pPr>
      <w:r w:rsidRPr="007F40EB">
        <w:rPr>
          <w:rFonts w:ascii="Times New Roman" w:hAnsi="Times New Roman" w:cs="Times New Roman"/>
          <w:color w:val="auto"/>
          <w:sz w:val="24"/>
          <w:szCs w:val="24"/>
        </w:rPr>
        <w:t xml:space="preserve">There are currently </w:t>
      </w:r>
      <w:r w:rsidR="002F3745" w:rsidRPr="007F40EB">
        <w:rPr>
          <w:rFonts w:ascii="Times New Roman" w:hAnsi="Times New Roman" w:cs="Times New Roman"/>
          <w:color w:val="auto"/>
          <w:sz w:val="24"/>
          <w:szCs w:val="24"/>
        </w:rPr>
        <w:t xml:space="preserve">limited </w:t>
      </w:r>
      <w:r w:rsidRPr="007F40EB">
        <w:rPr>
          <w:rFonts w:ascii="Times New Roman" w:hAnsi="Times New Roman" w:cs="Times New Roman"/>
          <w:color w:val="auto"/>
          <w:sz w:val="24"/>
          <w:szCs w:val="24"/>
        </w:rPr>
        <w:t>treatments that effectively alter the clinical course of dementia</w:t>
      </w:r>
      <w:r w:rsidR="00C72D00" w:rsidRPr="007F40EB">
        <w:rPr>
          <w:rFonts w:ascii="Times New Roman" w:hAnsi="Times New Roman" w:cs="Times New Roman"/>
          <w:color w:val="auto"/>
          <w:sz w:val="24"/>
          <w:szCs w:val="24"/>
        </w:rPr>
        <w:t xml:space="preserve"> [5]</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Identifying modifiable risk factors in the precursory stages of dementia is thus a priority</w:t>
      </w:r>
      <w:r w:rsidR="00C72D00" w:rsidRPr="007F40EB">
        <w:rPr>
          <w:rFonts w:ascii="Times New Roman" w:hAnsi="Times New Roman" w:cs="Times New Roman"/>
          <w:color w:val="auto"/>
          <w:sz w:val="24"/>
          <w:szCs w:val="24"/>
        </w:rPr>
        <w:t xml:space="preserve"> [6]</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Cognitive decline is a key preclinical indicator of dementia</w:t>
      </w:r>
      <w:r w:rsidR="00C72D00" w:rsidRPr="007F40EB">
        <w:rPr>
          <w:rFonts w:ascii="Times New Roman" w:hAnsi="Times New Roman" w:cs="Times New Roman"/>
          <w:color w:val="auto"/>
          <w:sz w:val="24"/>
          <w:szCs w:val="24"/>
        </w:rPr>
        <w:t xml:space="preserve"> [7]</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Literature suggests that regular physical activity and management of cardiovascular risk factors (diabetes, obesity, smoking, and hypertension) reduce the risk of cognitive decline and subsequently the risk of dementia</w:t>
      </w:r>
      <w:r w:rsidR="00C72D00" w:rsidRPr="007F40EB">
        <w:rPr>
          <w:rFonts w:ascii="Times New Roman" w:hAnsi="Times New Roman" w:cs="Times New Roman"/>
          <w:color w:val="auto"/>
          <w:sz w:val="24"/>
          <w:szCs w:val="24"/>
        </w:rPr>
        <w:t xml:space="preserve"> [8-11]</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Moreover, there is sufficiently strong evidence to conclude that a healthy diet and lifelong learning/cognitive training may also reduce the risk of cognitive decline</w:t>
      </w:r>
      <w:r w:rsidR="00C72D00" w:rsidRPr="007F40EB">
        <w:rPr>
          <w:rFonts w:ascii="Times New Roman" w:hAnsi="Times New Roman" w:cs="Times New Roman"/>
          <w:color w:val="auto"/>
          <w:sz w:val="24"/>
          <w:szCs w:val="24"/>
        </w:rPr>
        <w:t xml:space="preserve"> [8]</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Identification of other modifiable correlates of cognitive decline is important in advancing knowledge and developing interventions</w:t>
      </w:r>
      <w:r w:rsidR="006D2567" w:rsidRPr="007F40EB">
        <w:rPr>
          <w:rFonts w:ascii="Times New Roman" w:hAnsi="Times New Roman" w:cs="Times New Roman"/>
          <w:color w:val="auto"/>
          <w:sz w:val="24"/>
          <w:szCs w:val="24"/>
        </w:rPr>
        <w:t xml:space="preserve"> and recommendations</w:t>
      </w:r>
      <w:r w:rsidRPr="007F40EB">
        <w:rPr>
          <w:rFonts w:ascii="Times New Roman" w:hAnsi="Times New Roman" w:cs="Times New Roman"/>
          <w:color w:val="auto"/>
          <w:sz w:val="24"/>
          <w:szCs w:val="24"/>
        </w:rPr>
        <w:t xml:space="preserve"> to aid in the prevention of dementia.</w:t>
      </w:r>
    </w:p>
    <w:p w:rsidR="006A34E7" w:rsidRPr="007F40EB" w:rsidRDefault="006A34E7" w:rsidP="001E1D92">
      <w:pPr>
        <w:pStyle w:val="Body"/>
        <w:spacing w:after="0" w:line="480" w:lineRule="auto"/>
        <w:rPr>
          <w:rFonts w:ascii="Times New Roman" w:hAnsi="Times New Roman" w:cs="Times New Roman"/>
          <w:color w:val="auto"/>
          <w:sz w:val="24"/>
          <w:szCs w:val="24"/>
        </w:rPr>
      </w:pPr>
    </w:p>
    <w:p w:rsidR="005E05BF" w:rsidRPr="007F40EB" w:rsidRDefault="006819F9" w:rsidP="001E1D92">
      <w:pPr>
        <w:pStyle w:val="Body"/>
        <w:spacing w:after="0" w:line="480" w:lineRule="auto"/>
        <w:rPr>
          <w:rStyle w:val="Hyperlink1"/>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Sexual activity is a modifiable </w:t>
      </w:r>
      <w:proofErr w:type="spellStart"/>
      <w:r w:rsidRPr="007F40EB">
        <w:rPr>
          <w:rFonts w:ascii="Times New Roman" w:hAnsi="Times New Roman" w:cs="Times New Roman"/>
          <w:color w:val="auto"/>
          <w:sz w:val="24"/>
          <w:szCs w:val="24"/>
        </w:rPr>
        <w:t>behaviour</w:t>
      </w:r>
      <w:proofErr w:type="spellEnd"/>
      <w:r w:rsidRPr="007F40EB">
        <w:rPr>
          <w:rFonts w:ascii="Times New Roman" w:hAnsi="Times New Roman" w:cs="Times New Roman"/>
          <w:color w:val="auto"/>
          <w:sz w:val="24"/>
          <w:szCs w:val="24"/>
        </w:rPr>
        <w:t xml:space="preserve"> that has been shown to yield health benefits in older age</w:t>
      </w:r>
      <w:r w:rsidR="00C72D00" w:rsidRPr="007F40EB">
        <w:rPr>
          <w:rFonts w:ascii="Times New Roman" w:hAnsi="Times New Roman" w:cs="Times New Roman"/>
          <w:color w:val="auto"/>
          <w:sz w:val="24"/>
          <w:szCs w:val="24"/>
        </w:rPr>
        <w:t xml:space="preserve"> [12-14]</w:t>
      </w:r>
      <w:r w:rsidR="00842431"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Importantly, sexual inactivity is a risk factor for cardiovascular disease, which is known to be associated with dementia</w:t>
      </w:r>
      <w:r w:rsidR="00C72D00" w:rsidRPr="007F40EB">
        <w:rPr>
          <w:rFonts w:ascii="Times New Roman" w:hAnsi="Times New Roman" w:cs="Times New Roman"/>
          <w:color w:val="auto"/>
          <w:sz w:val="24"/>
          <w:szCs w:val="24"/>
        </w:rPr>
        <w:t xml:space="preserve"> [15,16]</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In a study with a 20-year follow-up, low frequency of sexual intercourse (less than once a month) at b</w:t>
      </w:r>
      <w:r w:rsidR="00173E0D" w:rsidRPr="007F40EB">
        <w:rPr>
          <w:rFonts w:ascii="Times New Roman" w:hAnsi="Times New Roman" w:cs="Times New Roman"/>
          <w:color w:val="auto"/>
          <w:sz w:val="24"/>
          <w:szCs w:val="24"/>
        </w:rPr>
        <w:t>aseline was associated with 2.80</w:t>
      </w:r>
      <w:r w:rsidRPr="007F40EB">
        <w:rPr>
          <w:rFonts w:ascii="Times New Roman" w:hAnsi="Times New Roman" w:cs="Times New Roman"/>
          <w:color w:val="auto"/>
          <w:sz w:val="24"/>
          <w:szCs w:val="24"/>
        </w:rPr>
        <w:t xml:space="preserve"> times higher odds of fatal coronary heart disease events relative to high frequency of intercourse (at least twice a week) over 10 years and 1.69 times higher odds over 20 years, </w:t>
      </w:r>
      <w:r w:rsidRPr="007F40EB">
        <w:rPr>
          <w:rFonts w:ascii="Times New Roman" w:hAnsi="Times New Roman" w:cs="Times New Roman"/>
          <w:color w:val="auto"/>
          <w:sz w:val="24"/>
          <w:szCs w:val="24"/>
        </w:rPr>
        <w:lastRenderedPageBreak/>
        <w:t>even after adjustment for a wide range of potential confounders</w:t>
      </w:r>
      <w:r w:rsidR="00C72D00" w:rsidRPr="007F40EB">
        <w:rPr>
          <w:rFonts w:ascii="Times New Roman" w:hAnsi="Times New Roman" w:cs="Times New Roman"/>
          <w:color w:val="auto"/>
          <w:sz w:val="24"/>
          <w:szCs w:val="24"/>
        </w:rPr>
        <w:t xml:space="preserve"> [14]</w:t>
      </w:r>
      <w:r w:rsidR="00842431"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w:t>
      </w:r>
      <w:bookmarkStart w:id="0" w:name="_Hlk16668537"/>
      <w:r w:rsidR="006652ED" w:rsidRPr="007F40EB">
        <w:rPr>
          <w:rFonts w:ascii="Times New Roman" w:hAnsi="Times New Roman" w:cs="Times New Roman"/>
          <w:color w:val="auto"/>
          <w:sz w:val="24"/>
          <w:szCs w:val="24"/>
        </w:rPr>
        <w:t>Therefore,</w:t>
      </w:r>
      <w:r w:rsidRPr="007F40EB">
        <w:rPr>
          <w:rFonts w:ascii="Times New Roman" w:hAnsi="Times New Roman" w:cs="Times New Roman"/>
          <w:color w:val="auto"/>
          <w:sz w:val="24"/>
          <w:szCs w:val="24"/>
        </w:rPr>
        <w:t xml:space="preserve"> sexual activity may also offer</w:t>
      </w:r>
      <w:r w:rsidR="006652ED" w:rsidRPr="007F40EB">
        <w:rPr>
          <w:rFonts w:ascii="Times New Roman" w:hAnsi="Times New Roman" w:cs="Times New Roman"/>
          <w:color w:val="auto"/>
          <w:sz w:val="24"/>
          <w:szCs w:val="24"/>
        </w:rPr>
        <w:t xml:space="preserve"> some</w:t>
      </w:r>
      <w:r w:rsidRPr="007F40EB">
        <w:rPr>
          <w:rFonts w:ascii="Times New Roman" w:hAnsi="Times New Roman" w:cs="Times New Roman"/>
          <w:color w:val="auto"/>
          <w:sz w:val="24"/>
          <w:szCs w:val="24"/>
        </w:rPr>
        <w:t xml:space="preserve"> protection against cognitive decline</w:t>
      </w:r>
      <w:r w:rsidR="003A0185" w:rsidRPr="007F40EB">
        <w:rPr>
          <w:rFonts w:ascii="Times New Roman" w:hAnsi="Times New Roman" w:cs="Times New Roman"/>
          <w:color w:val="auto"/>
          <w:sz w:val="24"/>
          <w:szCs w:val="24"/>
        </w:rPr>
        <w:t>.</w:t>
      </w:r>
      <w:r w:rsidR="00842431" w:rsidRPr="007F40EB">
        <w:rPr>
          <w:rFonts w:ascii="Times New Roman" w:hAnsi="Times New Roman" w:cs="Times New Roman"/>
          <w:color w:val="auto"/>
          <w:sz w:val="24"/>
          <w:szCs w:val="24"/>
        </w:rPr>
        <w:t xml:space="preserve"> </w:t>
      </w:r>
      <w:bookmarkEnd w:id="0"/>
      <w:r w:rsidR="0060086C" w:rsidRPr="007F40EB">
        <w:rPr>
          <w:rStyle w:val="Hyperlink1"/>
          <w:rFonts w:ascii="Times New Roman" w:hAnsi="Times New Roman" w:cs="Times New Roman"/>
          <w:color w:val="auto"/>
          <w:sz w:val="24"/>
          <w:szCs w:val="24"/>
        </w:rPr>
        <w:t>Indeed, in a cross-sectional study of older English adults it was found that men, but not women, who were sexually a</w:t>
      </w:r>
      <w:r w:rsidR="00B65441" w:rsidRPr="007F40EB">
        <w:rPr>
          <w:rStyle w:val="Hyperlink1"/>
          <w:rFonts w:ascii="Times New Roman" w:hAnsi="Times New Roman" w:cs="Times New Roman"/>
          <w:color w:val="auto"/>
          <w:sz w:val="24"/>
          <w:szCs w:val="24"/>
        </w:rPr>
        <w:t>ctive had better cognitive test</w:t>
      </w:r>
      <w:r w:rsidR="0060086C" w:rsidRPr="007F40EB">
        <w:rPr>
          <w:rStyle w:val="Hyperlink1"/>
          <w:rFonts w:ascii="Times New Roman" w:hAnsi="Times New Roman" w:cs="Times New Roman"/>
          <w:color w:val="auto"/>
          <w:sz w:val="24"/>
          <w:szCs w:val="24"/>
        </w:rPr>
        <w:t xml:space="preserve"> scores</w:t>
      </w:r>
      <w:r w:rsidR="00C72D00" w:rsidRPr="007F40EB">
        <w:rPr>
          <w:rStyle w:val="Hyperlink1"/>
          <w:rFonts w:ascii="Times New Roman" w:hAnsi="Times New Roman" w:cs="Times New Roman"/>
          <w:color w:val="auto"/>
          <w:sz w:val="24"/>
          <w:szCs w:val="24"/>
        </w:rPr>
        <w:t xml:space="preserve"> [17].</w:t>
      </w:r>
      <w:r w:rsidR="00842431" w:rsidRPr="007F40EB">
        <w:rPr>
          <w:rStyle w:val="Hyperlink1"/>
          <w:rFonts w:ascii="Times New Roman" w:hAnsi="Times New Roman" w:cs="Times New Roman"/>
          <w:color w:val="auto"/>
          <w:sz w:val="24"/>
          <w:szCs w:val="24"/>
        </w:rPr>
        <w:t xml:space="preserve"> </w:t>
      </w:r>
      <w:r w:rsidR="0060086C" w:rsidRPr="007F40EB">
        <w:rPr>
          <w:rStyle w:val="Hyperlink1"/>
          <w:rFonts w:ascii="Times New Roman" w:hAnsi="Times New Roman" w:cs="Times New Roman"/>
          <w:color w:val="auto"/>
          <w:sz w:val="24"/>
          <w:szCs w:val="24"/>
        </w:rPr>
        <w:t>In a prospective study</w:t>
      </w:r>
      <w:r w:rsidR="003A0185" w:rsidRPr="007F40EB">
        <w:rPr>
          <w:rStyle w:val="Hyperlink1"/>
          <w:rFonts w:ascii="Times New Roman" w:hAnsi="Times New Roman" w:cs="Times New Roman"/>
          <w:color w:val="auto"/>
          <w:sz w:val="24"/>
          <w:szCs w:val="24"/>
        </w:rPr>
        <w:t xml:space="preserve"> using the same sample</w:t>
      </w:r>
      <w:r w:rsidR="00C339C3" w:rsidRPr="007F40EB">
        <w:rPr>
          <w:rStyle w:val="Hyperlink1"/>
          <w:rFonts w:ascii="Times New Roman" w:hAnsi="Times New Roman" w:cs="Times New Roman"/>
          <w:color w:val="auto"/>
          <w:sz w:val="24"/>
          <w:szCs w:val="24"/>
        </w:rPr>
        <w:t xml:space="preserve"> of</w:t>
      </w:r>
      <w:r w:rsidR="0060086C" w:rsidRPr="007F40EB">
        <w:rPr>
          <w:rStyle w:val="Hyperlink1"/>
          <w:rFonts w:ascii="Times New Roman" w:hAnsi="Times New Roman" w:cs="Times New Roman"/>
          <w:color w:val="auto"/>
          <w:sz w:val="24"/>
          <w:szCs w:val="24"/>
        </w:rPr>
        <w:t xml:space="preserve"> older English adults</w:t>
      </w:r>
      <w:r w:rsidR="003A0185" w:rsidRPr="007F40EB">
        <w:rPr>
          <w:rStyle w:val="Hyperlink1"/>
          <w:rFonts w:ascii="Times New Roman" w:hAnsi="Times New Roman" w:cs="Times New Roman"/>
          <w:color w:val="auto"/>
          <w:sz w:val="24"/>
          <w:szCs w:val="24"/>
        </w:rPr>
        <w:t xml:space="preserve"> it was</w:t>
      </w:r>
      <w:r w:rsidR="0060086C" w:rsidRPr="007F40EB">
        <w:rPr>
          <w:rStyle w:val="Hyperlink1"/>
          <w:rFonts w:ascii="Times New Roman" w:hAnsi="Times New Roman" w:cs="Times New Roman"/>
          <w:color w:val="auto"/>
          <w:sz w:val="24"/>
          <w:szCs w:val="24"/>
        </w:rPr>
        <w:t xml:space="preserve"> found that sexual activity was associated with better cognition. However, this study was limited by just a 2-year follow-up and a single measure of cognition</w:t>
      </w:r>
      <w:bookmarkStart w:id="1" w:name="_Hlk524447518"/>
      <w:r w:rsidR="005E05BF" w:rsidRPr="007F40EB">
        <w:rPr>
          <w:rStyle w:val="Hyperlink1"/>
          <w:rFonts w:ascii="Times New Roman" w:hAnsi="Times New Roman" w:cs="Times New Roman"/>
          <w:color w:val="auto"/>
          <w:sz w:val="24"/>
          <w:szCs w:val="24"/>
        </w:rPr>
        <w:t xml:space="preserve"> </w:t>
      </w:r>
      <w:r w:rsidR="00C72D00" w:rsidRPr="007F40EB">
        <w:rPr>
          <w:rStyle w:val="Hyperlink1"/>
          <w:rFonts w:ascii="Times New Roman" w:hAnsi="Times New Roman" w:cs="Times New Roman"/>
          <w:color w:val="auto"/>
          <w:sz w:val="24"/>
          <w:szCs w:val="24"/>
        </w:rPr>
        <w:t>[18]</w:t>
      </w:r>
      <w:r w:rsidR="005E05BF" w:rsidRPr="007F40EB">
        <w:rPr>
          <w:rStyle w:val="Hyperlink1"/>
          <w:rFonts w:ascii="Times New Roman" w:hAnsi="Times New Roman" w:cs="Times New Roman"/>
          <w:color w:val="auto"/>
          <w:sz w:val="24"/>
          <w:szCs w:val="24"/>
        </w:rPr>
        <w:t xml:space="preserve">. </w:t>
      </w:r>
    </w:p>
    <w:p w:rsidR="006A34E7" w:rsidRPr="007F40EB" w:rsidRDefault="00D03AEC" w:rsidP="001E1D92">
      <w:pPr>
        <w:pStyle w:val="Body"/>
        <w:spacing w:after="0" w:line="480" w:lineRule="auto"/>
        <w:rPr>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 xml:space="preserve"> </w:t>
      </w:r>
    </w:p>
    <w:p w:rsidR="0082500B" w:rsidRPr="007F40EB" w:rsidRDefault="006819F9" w:rsidP="001E1D92">
      <w:pPr>
        <w:pStyle w:val="Body"/>
        <w:spacing w:after="0" w:line="480" w:lineRule="auto"/>
        <w:rPr>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 xml:space="preserve">We therefore aimed to explore </w:t>
      </w:r>
      <w:r w:rsidR="0060086C" w:rsidRPr="007F40EB">
        <w:rPr>
          <w:rStyle w:val="Hyperlink1"/>
          <w:rFonts w:ascii="Times New Roman" w:hAnsi="Times New Roman" w:cs="Times New Roman"/>
          <w:color w:val="auto"/>
          <w:sz w:val="24"/>
          <w:szCs w:val="24"/>
        </w:rPr>
        <w:t>sex-specific</w:t>
      </w:r>
      <w:r w:rsidR="00D03AEC" w:rsidRPr="007F40EB">
        <w:rPr>
          <w:rStyle w:val="Hyperlink1"/>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association</w:t>
      </w:r>
      <w:r w:rsidR="0060086C" w:rsidRPr="007F40EB">
        <w:rPr>
          <w:rFonts w:ascii="Times New Roman" w:hAnsi="Times New Roman" w:cs="Times New Roman"/>
          <w:color w:val="auto"/>
          <w:sz w:val="24"/>
          <w:szCs w:val="24"/>
        </w:rPr>
        <w:t>s</w:t>
      </w:r>
      <w:r w:rsidRPr="007F40EB">
        <w:rPr>
          <w:rFonts w:ascii="Times New Roman" w:hAnsi="Times New Roman" w:cs="Times New Roman"/>
          <w:color w:val="auto"/>
          <w:sz w:val="24"/>
          <w:szCs w:val="24"/>
        </w:rPr>
        <w:t xml:space="preserve"> between sexual activity and change in cognitive function, </w:t>
      </w:r>
      <w:proofErr w:type="spellStart"/>
      <w:r w:rsidRPr="007F40EB">
        <w:rPr>
          <w:rFonts w:ascii="Times New Roman" w:hAnsi="Times New Roman" w:cs="Times New Roman"/>
          <w:color w:val="auto"/>
          <w:sz w:val="24"/>
          <w:szCs w:val="24"/>
        </w:rPr>
        <w:t>operationalised</w:t>
      </w:r>
      <w:proofErr w:type="spellEnd"/>
      <w:r w:rsidRPr="007F40EB">
        <w:rPr>
          <w:rFonts w:ascii="Times New Roman" w:hAnsi="Times New Roman" w:cs="Times New Roman"/>
          <w:color w:val="auto"/>
          <w:sz w:val="24"/>
          <w:szCs w:val="24"/>
        </w:rPr>
        <w:t xml:space="preserve"> as verbal memory, over four years in a large, population-based sample of older</w:t>
      </w:r>
      <w:r w:rsidR="003A0185"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adults</w:t>
      </w:r>
      <w:r w:rsidR="001C7DA1" w:rsidRPr="007F40EB">
        <w:rPr>
          <w:rFonts w:ascii="Times New Roman" w:hAnsi="Times New Roman" w:cs="Times New Roman"/>
          <w:color w:val="auto"/>
          <w:sz w:val="24"/>
          <w:szCs w:val="24"/>
        </w:rPr>
        <w:t xml:space="preserve"> in England</w:t>
      </w:r>
      <w:r w:rsidRPr="007F40EB">
        <w:rPr>
          <w:rFonts w:ascii="Times New Roman" w:hAnsi="Times New Roman" w:cs="Times New Roman"/>
          <w:color w:val="auto"/>
          <w:sz w:val="24"/>
          <w:szCs w:val="24"/>
        </w:rPr>
        <w:t>.</w:t>
      </w:r>
      <w:bookmarkEnd w:id="1"/>
    </w:p>
    <w:p w:rsidR="006A34E7" w:rsidRPr="007F40EB" w:rsidRDefault="006A34E7" w:rsidP="001E1D92">
      <w:pPr>
        <w:pStyle w:val="Heading"/>
        <w:spacing w:after="0" w:line="480" w:lineRule="auto"/>
        <w:rPr>
          <w:rFonts w:ascii="Times New Roman" w:hAnsi="Times New Roman" w:cs="Times New Roman"/>
          <w:color w:val="auto"/>
          <w:sz w:val="24"/>
          <w:szCs w:val="24"/>
        </w:rPr>
      </w:pPr>
    </w:p>
    <w:p w:rsidR="0082500B" w:rsidRPr="007F40EB" w:rsidRDefault="00E42544" w:rsidP="001E1D92">
      <w:pPr>
        <w:pStyle w:val="Heading"/>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Materials and </w:t>
      </w:r>
      <w:r w:rsidR="006819F9" w:rsidRPr="007F40EB">
        <w:rPr>
          <w:rFonts w:ascii="Times New Roman" w:hAnsi="Times New Roman" w:cs="Times New Roman"/>
          <w:color w:val="auto"/>
          <w:sz w:val="24"/>
          <w:szCs w:val="24"/>
        </w:rPr>
        <w:t>Method</w:t>
      </w:r>
      <w:r w:rsidR="002B22A8" w:rsidRPr="007F40EB">
        <w:rPr>
          <w:rFonts w:ascii="Times New Roman" w:hAnsi="Times New Roman" w:cs="Times New Roman"/>
          <w:color w:val="auto"/>
          <w:sz w:val="24"/>
          <w:szCs w:val="24"/>
        </w:rPr>
        <w:t>s</w:t>
      </w:r>
    </w:p>
    <w:p w:rsidR="0082500B" w:rsidRPr="007F40EB" w:rsidRDefault="006819F9" w:rsidP="001E1D92">
      <w:pPr>
        <w:pStyle w:val="Heading2"/>
        <w:spacing w:after="0" w:line="480" w:lineRule="auto"/>
        <w:rPr>
          <w:rFonts w:ascii="Times New Roman" w:hAnsi="Times New Roman" w:cs="Times New Roman"/>
          <w:color w:val="auto"/>
        </w:rPr>
      </w:pPr>
      <w:r w:rsidRPr="007F40EB">
        <w:rPr>
          <w:rFonts w:ascii="Times New Roman" w:hAnsi="Times New Roman" w:cs="Times New Roman"/>
          <w:color w:val="auto"/>
        </w:rPr>
        <w:t>Study population</w:t>
      </w:r>
    </w:p>
    <w:p w:rsidR="006A34E7" w:rsidRPr="007F40EB" w:rsidRDefault="006819F9"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Data were from the English Longitudinal Study of Ageing (ELSA), a population-representative longitudinal panel study of men and women aged 50 and older living in England</w:t>
      </w:r>
      <w:r w:rsidR="00C72D00" w:rsidRPr="007F40EB">
        <w:rPr>
          <w:rFonts w:ascii="Times New Roman" w:hAnsi="Times New Roman" w:cs="Times New Roman"/>
          <w:color w:val="auto"/>
          <w:sz w:val="24"/>
          <w:szCs w:val="24"/>
        </w:rPr>
        <w:t xml:space="preserve"> [19]</w:t>
      </w:r>
      <w:r w:rsidRPr="007F40EB">
        <w:rPr>
          <w:rFonts w:ascii="Times New Roman" w:hAnsi="Times New Roman" w:cs="Times New Roman"/>
          <w:color w:val="auto"/>
          <w:sz w:val="24"/>
          <w:szCs w:val="24"/>
        </w:rPr>
        <w:t xml:space="preserve">. Participants take part in biennial assessments, in which they complete a computer assisted personal interview and self-completion questionnaires. Baseline data for the present analyses are from Wave 6 of ELSA (2012/13; the only wave to date that has included assessment of sexual activity) and follow-up data are from Wave 8 (2016/17; the most recent wave </w:t>
      </w:r>
      <w:r w:rsidR="00130BBB" w:rsidRPr="007F40EB">
        <w:rPr>
          <w:rFonts w:ascii="Times New Roman" w:hAnsi="Times New Roman" w:cs="Times New Roman"/>
          <w:color w:val="auto"/>
          <w:sz w:val="24"/>
          <w:szCs w:val="24"/>
        </w:rPr>
        <w:t>of data</w:t>
      </w:r>
      <w:r w:rsidRPr="007F40EB">
        <w:rPr>
          <w:rFonts w:ascii="Times New Roman" w:hAnsi="Times New Roman" w:cs="Times New Roman"/>
          <w:color w:val="auto"/>
          <w:sz w:val="24"/>
          <w:szCs w:val="24"/>
        </w:rPr>
        <w:t xml:space="preserve"> available</w:t>
      </w:r>
      <w:r w:rsidR="00E563AD" w:rsidRPr="007F40EB">
        <w:rPr>
          <w:rFonts w:ascii="Times New Roman" w:hAnsi="Times New Roman" w:cs="Times New Roman"/>
          <w:color w:val="auto"/>
          <w:sz w:val="24"/>
          <w:szCs w:val="24"/>
        </w:rPr>
        <w:t xml:space="preserve"> at the time of analysis</w:t>
      </w:r>
      <w:r w:rsidRPr="007F40EB">
        <w:rPr>
          <w:rFonts w:ascii="Times New Roman" w:hAnsi="Times New Roman" w:cs="Times New Roman"/>
          <w:color w:val="auto"/>
          <w:sz w:val="24"/>
          <w:szCs w:val="24"/>
        </w:rPr>
        <w:t>). We restricted our sample to those with complete data on sexual activity and all covariates at baseline, and cognitive function at baseline and follow-up (</w:t>
      </w:r>
      <w:r w:rsidRPr="007F40EB">
        <w:rPr>
          <w:rFonts w:ascii="Times New Roman" w:hAnsi="Times New Roman" w:cs="Times New Roman"/>
          <w:i/>
          <w:iCs/>
          <w:color w:val="auto"/>
          <w:sz w:val="24"/>
          <w:szCs w:val="24"/>
        </w:rPr>
        <w:t>n</w:t>
      </w:r>
      <w:r w:rsidRPr="007F40EB">
        <w:rPr>
          <w:rFonts w:ascii="Times New Roman" w:hAnsi="Times New Roman" w:cs="Times New Roman"/>
          <w:color w:val="auto"/>
          <w:sz w:val="24"/>
          <w:szCs w:val="24"/>
        </w:rPr>
        <w:t>=4,</w:t>
      </w:r>
      <w:r w:rsidR="003959BA" w:rsidRPr="007F40EB">
        <w:rPr>
          <w:rFonts w:ascii="Times New Roman" w:hAnsi="Times New Roman" w:cs="Times New Roman"/>
          <w:color w:val="auto"/>
          <w:sz w:val="24"/>
          <w:szCs w:val="24"/>
        </w:rPr>
        <w:t>476</w:t>
      </w:r>
      <w:r w:rsidRPr="007F40EB">
        <w:rPr>
          <w:rFonts w:ascii="Times New Roman" w:hAnsi="Times New Roman" w:cs="Times New Roman"/>
          <w:color w:val="auto"/>
          <w:sz w:val="24"/>
          <w:szCs w:val="24"/>
        </w:rPr>
        <w:t xml:space="preserve">). All </w:t>
      </w:r>
      <w:r w:rsidR="006863F3" w:rsidRPr="007F40EB">
        <w:rPr>
          <w:rFonts w:ascii="Times New Roman" w:hAnsi="Times New Roman" w:cs="Times New Roman"/>
          <w:color w:val="auto"/>
          <w:sz w:val="24"/>
          <w:szCs w:val="24"/>
        </w:rPr>
        <w:t>participants gave written full informed</w:t>
      </w:r>
      <w:r w:rsidR="00422C9F"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consent to participate in the study, and ethical approval was obtained from the London Multi‐Centre Research Ethics Committee.</w:t>
      </w:r>
    </w:p>
    <w:p w:rsidR="0082500B" w:rsidRPr="007F40EB" w:rsidRDefault="006819F9" w:rsidP="001E1D92">
      <w:pPr>
        <w:pStyle w:val="Heading2"/>
        <w:spacing w:after="0" w:line="480" w:lineRule="auto"/>
        <w:rPr>
          <w:rFonts w:ascii="Times New Roman" w:hAnsi="Times New Roman" w:cs="Times New Roman"/>
          <w:color w:val="auto"/>
          <w:lang w:val="fr-FR"/>
        </w:rPr>
      </w:pPr>
      <w:proofErr w:type="spellStart"/>
      <w:r w:rsidRPr="007F40EB">
        <w:rPr>
          <w:rFonts w:ascii="Times New Roman" w:hAnsi="Times New Roman" w:cs="Times New Roman"/>
          <w:color w:val="auto"/>
          <w:lang w:val="fr-FR"/>
        </w:rPr>
        <w:lastRenderedPageBreak/>
        <w:t>Measures</w:t>
      </w:r>
      <w:proofErr w:type="spellEnd"/>
    </w:p>
    <w:p w:rsidR="0082500B" w:rsidRPr="007F40EB" w:rsidRDefault="006819F9" w:rsidP="001E1D92">
      <w:pPr>
        <w:pStyle w:val="Body"/>
        <w:spacing w:after="0" w:line="480" w:lineRule="auto"/>
        <w:rPr>
          <w:rFonts w:ascii="Times New Roman" w:hAnsi="Times New Roman" w:cs="Times New Roman"/>
          <w:color w:val="auto"/>
          <w:sz w:val="24"/>
          <w:szCs w:val="24"/>
          <w:u w:val="single"/>
        </w:rPr>
      </w:pPr>
      <w:r w:rsidRPr="007F40EB">
        <w:rPr>
          <w:rFonts w:ascii="Times New Roman" w:hAnsi="Times New Roman" w:cs="Times New Roman"/>
          <w:color w:val="auto"/>
          <w:sz w:val="24"/>
          <w:szCs w:val="24"/>
          <w:u w:val="single"/>
        </w:rPr>
        <w:t>Exposure: sexual activity</w:t>
      </w:r>
    </w:p>
    <w:p w:rsidR="0082500B" w:rsidRPr="007F40EB" w:rsidRDefault="006819F9"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shd w:val="clear" w:color="auto" w:fill="FFFFFF"/>
        </w:rPr>
        <w:t>Sexual activity was assessed with the question “</w:t>
      </w:r>
      <w:r w:rsidRPr="007F40EB">
        <w:rPr>
          <w:rFonts w:ascii="Times New Roman" w:hAnsi="Times New Roman" w:cs="Times New Roman"/>
          <w:i/>
          <w:iCs/>
          <w:color w:val="auto"/>
          <w:sz w:val="24"/>
          <w:szCs w:val="24"/>
        </w:rPr>
        <w:t>Have you had any sexual activity (sexual intercourse, masturbation, petting or fondling) in the past year?</w:t>
      </w:r>
      <w:r w:rsidRPr="007F40EB">
        <w:rPr>
          <w:rFonts w:ascii="Times New Roman" w:hAnsi="Times New Roman" w:cs="Times New Roman"/>
          <w:color w:val="auto"/>
          <w:sz w:val="24"/>
          <w:szCs w:val="24"/>
        </w:rPr>
        <w:t>” (yes/no). This item was administered as part of a self-completion questionnaire and returned in a sealed envelope. Participants were advised that all responses would be kept anonymous.</w:t>
      </w:r>
    </w:p>
    <w:p w:rsidR="006A34E7" w:rsidRPr="007F40EB" w:rsidRDefault="006A34E7" w:rsidP="001E1D92">
      <w:pPr>
        <w:pStyle w:val="Body"/>
        <w:spacing w:after="0" w:line="480" w:lineRule="auto"/>
        <w:rPr>
          <w:rFonts w:ascii="Times New Roman" w:hAnsi="Times New Roman" w:cs="Times New Roman"/>
          <w:color w:val="auto"/>
          <w:sz w:val="24"/>
          <w:szCs w:val="24"/>
        </w:rPr>
      </w:pPr>
    </w:p>
    <w:p w:rsidR="0082500B" w:rsidRPr="007F40EB" w:rsidRDefault="006819F9" w:rsidP="001E1D92">
      <w:pPr>
        <w:pStyle w:val="Body"/>
        <w:spacing w:after="0" w:line="480" w:lineRule="auto"/>
        <w:rPr>
          <w:rFonts w:ascii="Times New Roman" w:hAnsi="Times New Roman" w:cs="Times New Roman"/>
          <w:color w:val="auto"/>
          <w:sz w:val="24"/>
          <w:szCs w:val="24"/>
          <w:u w:val="single"/>
          <w:shd w:val="clear" w:color="auto" w:fill="FFFFFF"/>
        </w:rPr>
      </w:pPr>
      <w:r w:rsidRPr="007F40EB">
        <w:rPr>
          <w:rFonts w:ascii="Times New Roman" w:hAnsi="Times New Roman" w:cs="Times New Roman"/>
          <w:color w:val="auto"/>
          <w:sz w:val="24"/>
          <w:szCs w:val="24"/>
          <w:u w:val="single"/>
          <w:shd w:val="clear" w:color="auto" w:fill="FFFFFF"/>
        </w:rPr>
        <w:t>Outcome: change in cognitive function</w:t>
      </w:r>
    </w:p>
    <w:p w:rsidR="0082500B" w:rsidRPr="007F40EB" w:rsidRDefault="006819F9" w:rsidP="001E1D92">
      <w:pPr>
        <w:pStyle w:val="Body"/>
        <w:spacing w:after="0" w:line="480" w:lineRule="auto"/>
        <w:rPr>
          <w:rFonts w:ascii="Times New Roman" w:hAnsi="Times New Roman" w:cs="Times New Roman"/>
          <w:color w:val="auto"/>
          <w:sz w:val="24"/>
          <w:szCs w:val="24"/>
          <w:shd w:val="clear" w:color="auto" w:fill="FFFFFF"/>
        </w:rPr>
      </w:pPr>
      <w:r w:rsidRPr="007F40EB">
        <w:rPr>
          <w:rFonts w:ascii="Times New Roman" w:hAnsi="Times New Roman" w:cs="Times New Roman"/>
          <w:color w:val="auto"/>
          <w:sz w:val="24"/>
          <w:szCs w:val="24"/>
          <w:shd w:val="clear" w:color="auto" w:fill="FFFFFF"/>
        </w:rPr>
        <w:t xml:space="preserve">Cognitive function is evaluated in ELSA using a variety of tests, but these vary across data collection waves. For our research, we focused on memory as an indicator of cognitive function because this test was included in both the Wave 6 and Wave 8 assessments. Each participant was presented with a list of 10 nouns on a computer, one every two seconds. </w:t>
      </w:r>
      <w:bookmarkStart w:id="2" w:name="_Hlk16669955"/>
      <w:r w:rsidRPr="007F40EB">
        <w:rPr>
          <w:rFonts w:ascii="Times New Roman" w:hAnsi="Times New Roman" w:cs="Times New Roman"/>
          <w:color w:val="auto"/>
          <w:sz w:val="24"/>
          <w:szCs w:val="24"/>
          <w:shd w:val="clear" w:color="auto" w:fill="FFFFFF"/>
        </w:rPr>
        <w:t xml:space="preserve">Participants were asked to recall as many words as possible immediately and again after a short delay during which they carried out other cognitive tests. </w:t>
      </w:r>
      <w:bookmarkEnd w:id="2"/>
      <w:r w:rsidRPr="007F40EB">
        <w:rPr>
          <w:rFonts w:ascii="Times New Roman" w:hAnsi="Times New Roman" w:cs="Times New Roman"/>
          <w:color w:val="auto"/>
          <w:sz w:val="24"/>
          <w:szCs w:val="24"/>
          <w:shd w:val="clear" w:color="auto" w:fill="FFFFFF"/>
        </w:rPr>
        <w:t xml:space="preserve">To calculate the degree of cognitive change between Wave 6 and Wave 8, we carried out a linear regression analysis using the values of each test at Wave 6 as independent variables and scores of cognitive tests at Wave 8 as dependent variables, and used the </w:t>
      </w:r>
      <w:proofErr w:type="spellStart"/>
      <w:r w:rsidRPr="007F40EB">
        <w:rPr>
          <w:rFonts w:ascii="Times New Roman" w:hAnsi="Times New Roman" w:cs="Times New Roman"/>
          <w:color w:val="auto"/>
          <w:sz w:val="24"/>
          <w:szCs w:val="24"/>
          <w:shd w:val="clear" w:color="auto" w:fill="FFFFFF"/>
        </w:rPr>
        <w:t>standardised</w:t>
      </w:r>
      <w:proofErr w:type="spellEnd"/>
      <w:r w:rsidRPr="007F40EB">
        <w:rPr>
          <w:rFonts w:ascii="Times New Roman" w:hAnsi="Times New Roman" w:cs="Times New Roman"/>
          <w:color w:val="auto"/>
          <w:sz w:val="24"/>
          <w:szCs w:val="24"/>
          <w:shd w:val="clear" w:color="auto" w:fill="FFFFFF"/>
        </w:rPr>
        <w:t xml:space="preserve"> residual as a measure of cognitive change, as has been done in previous work in this area</w:t>
      </w:r>
      <w:r w:rsidR="00C72D00" w:rsidRPr="007F40EB">
        <w:rPr>
          <w:rFonts w:ascii="Times New Roman" w:hAnsi="Times New Roman" w:cs="Times New Roman"/>
          <w:color w:val="auto"/>
          <w:sz w:val="24"/>
          <w:szCs w:val="24"/>
          <w:shd w:val="clear" w:color="auto" w:fill="FFFFFF"/>
        </w:rPr>
        <w:t xml:space="preserve"> [20,21]. </w:t>
      </w:r>
    </w:p>
    <w:p w:rsidR="006A34E7" w:rsidRPr="007F40EB" w:rsidRDefault="006A34E7" w:rsidP="001E1D92">
      <w:pPr>
        <w:pStyle w:val="Body"/>
        <w:spacing w:after="0" w:line="480" w:lineRule="auto"/>
        <w:rPr>
          <w:rFonts w:ascii="Times New Roman" w:hAnsi="Times New Roman" w:cs="Times New Roman"/>
          <w:color w:val="auto"/>
          <w:sz w:val="24"/>
          <w:szCs w:val="24"/>
          <w:shd w:val="clear" w:color="auto" w:fill="FFFFFF"/>
        </w:rPr>
      </w:pPr>
    </w:p>
    <w:p w:rsidR="0082500B" w:rsidRPr="007F40EB" w:rsidRDefault="006819F9" w:rsidP="001E1D92">
      <w:pPr>
        <w:pStyle w:val="Body"/>
        <w:spacing w:after="0" w:line="480" w:lineRule="auto"/>
        <w:rPr>
          <w:rFonts w:ascii="Times New Roman" w:hAnsi="Times New Roman" w:cs="Times New Roman"/>
          <w:color w:val="auto"/>
          <w:sz w:val="24"/>
          <w:szCs w:val="24"/>
          <w:u w:val="single"/>
        </w:rPr>
      </w:pPr>
      <w:r w:rsidRPr="007F40EB">
        <w:rPr>
          <w:rFonts w:ascii="Times New Roman" w:hAnsi="Times New Roman" w:cs="Times New Roman"/>
          <w:color w:val="auto"/>
          <w:sz w:val="24"/>
          <w:szCs w:val="24"/>
          <w:u w:val="single"/>
        </w:rPr>
        <w:t>Potential confounders</w:t>
      </w:r>
    </w:p>
    <w:p w:rsidR="006A34E7" w:rsidRPr="007F40EB" w:rsidRDefault="006819F9" w:rsidP="001E1D92">
      <w:pPr>
        <w:pStyle w:val="Body"/>
        <w:spacing w:after="0" w:line="480" w:lineRule="auto"/>
        <w:rPr>
          <w:rFonts w:ascii="Times New Roman" w:hAnsi="Times New Roman" w:cs="Times New Roman"/>
          <w:color w:val="auto"/>
          <w:sz w:val="24"/>
          <w:szCs w:val="24"/>
          <w:shd w:val="clear" w:color="auto" w:fill="FFFFFF"/>
        </w:rPr>
      </w:pPr>
      <w:r w:rsidRPr="007F40EB">
        <w:rPr>
          <w:rFonts w:ascii="Times New Roman" w:hAnsi="Times New Roman" w:cs="Times New Roman"/>
          <w:color w:val="auto"/>
          <w:sz w:val="24"/>
          <w:szCs w:val="24"/>
          <w:shd w:val="clear" w:color="auto" w:fill="FFFFFF"/>
        </w:rPr>
        <w:t>Demographic information included age, sex, ethnicity (white vs. non-white)</w:t>
      </w:r>
      <w:r w:rsidR="00A863F3" w:rsidRPr="007F40EB">
        <w:rPr>
          <w:rFonts w:ascii="Times New Roman" w:hAnsi="Times New Roman" w:cs="Times New Roman"/>
          <w:color w:val="auto"/>
          <w:sz w:val="24"/>
          <w:szCs w:val="24"/>
          <w:shd w:val="clear" w:color="auto" w:fill="FFFFFF"/>
        </w:rPr>
        <w:t>,</w:t>
      </w:r>
      <w:r w:rsidRPr="007F40EB">
        <w:rPr>
          <w:rFonts w:ascii="Times New Roman" w:hAnsi="Times New Roman" w:cs="Times New Roman"/>
          <w:color w:val="auto"/>
          <w:sz w:val="24"/>
          <w:szCs w:val="24"/>
          <w:shd w:val="clear" w:color="auto" w:fill="FFFFFF"/>
        </w:rPr>
        <w:t xml:space="preserve"> partner status (married/cohabiting, separated/divorced, widowed, or single/never married)</w:t>
      </w:r>
      <w:r w:rsidR="00A863F3" w:rsidRPr="007F40EB">
        <w:rPr>
          <w:rFonts w:ascii="Times New Roman" w:hAnsi="Times New Roman" w:cs="Times New Roman"/>
          <w:color w:val="auto"/>
          <w:sz w:val="24"/>
          <w:szCs w:val="24"/>
          <w:shd w:val="clear" w:color="auto" w:fill="FFFFFF"/>
        </w:rPr>
        <w:t>, and highest level of education (no qualifications, intermediate, higher)</w:t>
      </w:r>
      <w:r w:rsidRPr="007F40EB">
        <w:rPr>
          <w:rFonts w:ascii="Times New Roman" w:hAnsi="Times New Roman" w:cs="Times New Roman"/>
          <w:color w:val="auto"/>
          <w:sz w:val="24"/>
          <w:szCs w:val="24"/>
          <w:shd w:val="clear" w:color="auto" w:fill="FFFFFF"/>
        </w:rPr>
        <w:t>. Socio-economic status was indexed using household non-pension wealth quintile (calculated across all ELSA Wave 6 participants), as this measure has been shown to be particularly sensitive in this age group</w:t>
      </w:r>
      <w:r w:rsidR="004C7E6D" w:rsidRPr="007F40EB">
        <w:rPr>
          <w:rFonts w:ascii="Times New Roman" w:hAnsi="Times New Roman" w:cs="Times New Roman"/>
          <w:color w:val="auto"/>
          <w:sz w:val="24"/>
          <w:szCs w:val="24"/>
          <w:shd w:val="clear" w:color="auto" w:fill="FFFFFF"/>
        </w:rPr>
        <w:t xml:space="preserve"> </w:t>
      </w:r>
      <w:r w:rsidR="004C7E6D" w:rsidRPr="007F40EB">
        <w:rPr>
          <w:rFonts w:ascii="Times New Roman" w:hAnsi="Times New Roman" w:cs="Times New Roman"/>
          <w:color w:val="auto"/>
          <w:sz w:val="24"/>
          <w:szCs w:val="24"/>
          <w:shd w:val="clear" w:color="auto" w:fill="FFFFFF"/>
        </w:rPr>
        <w:lastRenderedPageBreak/>
        <w:t>[22]</w:t>
      </w:r>
      <w:r w:rsidR="00F260C6" w:rsidRPr="007F40EB">
        <w:rPr>
          <w:rFonts w:ascii="Times New Roman" w:hAnsi="Times New Roman" w:cs="Times New Roman"/>
          <w:color w:val="auto"/>
          <w:sz w:val="24"/>
          <w:szCs w:val="24"/>
          <w:shd w:val="clear" w:color="auto" w:fill="FFFFFF"/>
        </w:rPr>
        <w:t>.</w:t>
      </w:r>
      <w:r w:rsidRPr="007F40EB">
        <w:rPr>
          <w:rFonts w:ascii="Times New Roman" w:hAnsi="Times New Roman" w:cs="Times New Roman"/>
          <w:color w:val="auto"/>
          <w:sz w:val="24"/>
          <w:szCs w:val="24"/>
          <w:shd w:val="clear" w:color="auto" w:fill="FFFFFF"/>
        </w:rPr>
        <w:t xml:space="preserve"> Health-related variables included self-reported </w:t>
      </w:r>
      <w:r w:rsidR="00A863F3" w:rsidRPr="007F40EB">
        <w:rPr>
          <w:rFonts w:ascii="Times New Roman" w:hAnsi="Times New Roman" w:cs="Times New Roman"/>
          <w:color w:val="auto"/>
          <w:sz w:val="24"/>
          <w:szCs w:val="24"/>
          <w:shd w:val="clear" w:color="auto" w:fill="FFFFFF"/>
        </w:rPr>
        <w:t>cardiovascular disease (hypertension, angina, myocardial infarction, stroke), diabetes, and limiting long-standing illness;</w:t>
      </w:r>
      <w:r w:rsidRPr="007F40EB">
        <w:rPr>
          <w:rFonts w:ascii="Times New Roman" w:hAnsi="Times New Roman" w:cs="Times New Roman"/>
          <w:color w:val="auto"/>
          <w:sz w:val="24"/>
          <w:szCs w:val="24"/>
          <w:shd w:val="clear" w:color="auto" w:fill="FFFFFF"/>
        </w:rPr>
        <w:t xml:space="preserve"> cigarette </w:t>
      </w:r>
      <w:r w:rsidR="00A863F3" w:rsidRPr="007F40EB">
        <w:rPr>
          <w:rFonts w:ascii="Times New Roman" w:hAnsi="Times New Roman" w:cs="Times New Roman"/>
          <w:color w:val="auto"/>
          <w:sz w:val="24"/>
          <w:szCs w:val="24"/>
          <w:shd w:val="clear" w:color="auto" w:fill="FFFFFF"/>
        </w:rPr>
        <w:t>smoking (smoker vs. non-smoker); alcohol consumption;</w:t>
      </w:r>
      <w:r w:rsidRPr="007F40EB">
        <w:rPr>
          <w:rFonts w:ascii="Times New Roman" w:hAnsi="Times New Roman" w:cs="Times New Roman"/>
          <w:color w:val="auto"/>
          <w:sz w:val="24"/>
          <w:szCs w:val="24"/>
          <w:shd w:val="clear" w:color="auto" w:fill="FFFFFF"/>
        </w:rPr>
        <w:t xml:space="preserve"> physical activity</w:t>
      </w:r>
      <w:r w:rsidR="00A863F3" w:rsidRPr="007F40EB">
        <w:rPr>
          <w:rFonts w:ascii="Times New Roman" w:hAnsi="Times New Roman" w:cs="Times New Roman"/>
          <w:color w:val="auto"/>
          <w:sz w:val="24"/>
          <w:szCs w:val="24"/>
          <w:shd w:val="clear" w:color="auto" w:fill="FFFFFF"/>
        </w:rPr>
        <w:t>;</w:t>
      </w:r>
      <w:r w:rsidRPr="007F40EB">
        <w:rPr>
          <w:rFonts w:ascii="Times New Roman" w:hAnsi="Times New Roman" w:cs="Times New Roman"/>
          <w:color w:val="auto"/>
          <w:sz w:val="24"/>
          <w:szCs w:val="24"/>
          <w:shd w:val="clear" w:color="auto" w:fill="FFFFFF"/>
        </w:rPr>
        <w:t xml:space="preserve"> depressive symptoms</w:t>
      </w:r>
      <w:r w:rsidR="00A863F3" w:rsidRPr="007F40EB">
        <w:rPr>
          <w:rFonts w:ascii="Times New Roman" w:hAnsi="Times New Roman" w:cs="Times New Roman"/>
          <w:color w:val="auto"/>
          <w:sz w:val="24"/>
          <w:szCs w:val="24"/>
          <w:shd w:val="clear" w:color="auto" w:fill="FFFFFF"/>
        </w:rPr>
        <w:t>; and impairments in activities of daily living (ADL) and instrumental activities of daily living (IADL)</w:t>
      </w:r>
      <w:r w:rsidRPr="007F40EB">
        <w:rPr>
          <w:rFonts w:ascii="Times New Roman" w:hAnsi="Times New Roman" w:cs="Times New Roman"/>
          <w:color w:val="auto"/>
          <w:sz w:val="24"/>
          <w:szCs w:val="24"/>
          <w:shd w:val="clear" w:color="auto" w:fill="FFFFFF"/>
        </w:rPr>
        <w:t xml:space="preserve">. </w:t>
      </w:r>
      <w:r w:rsidRPr="007F40EB">
        <w:rPr>
          <w:rFonts w:ascii="Times New Roman" w:hAnsi="Times New Roman" w:cs="Times New Roman"/>
          <w:color w:val="auto"/>
          <w:sz w:val="24"/>
          <w:szCs w:val="24"/>
        </w:rPr>
        <w:t>F</w:t>
      </w:r>
      <w:r w:rsidRPr="007F40EB">
        <w:rPr>
          <w:rFonts w:ascii="Times New Roman" w:hAnsi="Times New Roman" w:cs="Times New Roman"/>
          <w:color w:val="auto"/>
          <w:sz w:val="24"/>
          <w:szCs w:val="24"/>
          <w:shd w:val="clear" w:color="auto" w:fill="FFFFFF"/>
        </w:rPr>
        <w:t xml:space="preserve">requency of alcohol intake over the past 12 months was reported on an 8-point scale from “not at all in the last 12 months” to “almost every day” and </w:t>
      </w:r>
      <w:proofErr w:type="spellStart"/>
      <w:r w:rsidRPr="007F40EB">
        <w:rPr>
          <w:rFonts w:ascii="Times New Roman" w:hAnsi="Times New Roman" w:cs="Times New Roman"/>
          <w:color w:val="auto"/>
          <w:sz w:val="24"/>
          <w:szCs w:val="24"/>
          <w:shd w:val="clear" w:color="auto" w:fill="FFFFFF"/>
        </w:rPr>
        <w:t>categorised</w:t>
      </w:r>
      <w:proofErr w:type="spellEnd"/>
      <w:r w:rsidRPr="007F40EB">
        <w:rPr>
          <w:rFonts w:ascii="Times New Roman" w:hAnsi="Times New Roman" w:cs="Times New Roman"/>
          <w:color w:val="auto"/>
          <w:sz w:val="24"/>
          <w:szCs w:val="24"/>
          <w:shd w:val="clear" w:color="auto" w:fill="FFFFFF"/>
        </w:rPr>
        <w:t xml:space="preserve"> as never/rarely (never – once or twice a year), regularly (once every couple of months – twice a week), or frequently (3 days a week – almost every day)</w:t>
      </w:r>
      <w:r w:rsidR="004C7E6D" w:rsidRPr="007F40EB">
        <w:rPr>
          <w:rFonts w:ascii="Times New Roman" w:hAnsi="Times New Roman" w:cs="Times New Roman"/>
          <w:color w:val="auto"/>
          <w:sz w:val="24"/>
          <w:szCs w:val="24"/>
          <w:shd w:val="clear" w:color="auto" w:fill="FFFFFF"/>
        </w:rPr>
        <w:t xml:space="preserve"> [23]</w:t>
      </w:r>
      <w:r w:rsidR="00F260C6" w:rsidRPr="007F40EB">
        <w:rPr>
          <w:rFonts w:ascii="Times New Roman" w:hAnsi="Times New Roman" w:cs="Times New Roman"/>
          <w:color w:val="auto"/>
          <w:sz w:val="24"/>
          <w:szCs w:val="24"/>
          <w:shd w:val="clear" w:color="auto" w:fill="FFFFFF"/>
        </w:rPr>
        <w:t xml:space="preserve">. </w:t>
      </w:r>
      <w:r w:rsidRPr="007F40EB">
        <w:rPr>
          <w:rFonts w:ascii="Times New Roman" w:hAnsi="Times New Roman" w:cs="Times New Roman"/>
          <w:color w:val="auto"/>
          <w:sz w:val="24"/>
          <w:szCs w:val="24"/>
          <w:shd w:val="clear" w:color="auto" w:fill="FFFFFF"/>
        </w:rPr>
        <w:t>Physical activity was assessed with three items that asked participants how often they took part in vigorous, moderate and low-intensity activities (more than once a week, once a week, 1-3 times a month, hardly ever/never)</w:t>
      </w:r>
      <w:r w:rsidR="004C7E6D" w:rsidRPr="007F40EB">
        <w:rPr>
          <w:rFonts w:ascii="Times New Roman" w:hAnsi="Times New Roman" w:cs="Times New Roman"/>
          <w:color w:val="auto"/>
          <w:sz w:val="24"/>
          <w:szCs w:val="24"/>
          <w:shd w:val="clear" w:color="auto" w:fill="FFFFFF"/>
        </w:rPr>
        <w:t xml:space="preserve"> [20]</w:t>
      </w:r>
      <w:r w:rsidR="00F260C6" w:rsidRPr="007F40EB">
        <w:rPr>
          <w:rFonts w:ascii="Times New Roman" w:hAnsi="Times New Roman" w:cs="Times New Roman"/>
          <w:color w:val="auto"/>
          <w:sz w:val="24"/>
          <w:szCs w:val="24"/>
          <w:shd w:val="clear" w:color="auto" w:fill="FFFFFF"/>
        </w:rPr>
        <w:t>,</w:t>
      </w:r>
      <w:r w:rsidRPr="007F40EB">
        <w:rPr>
          <w:rFonts w:ascii="Times New Roman" w:hAnsi="Times New Roman" w:cs="Times New Roman"/>
          <w:color w:val="auto"/>
          <w:sz w:val="24"/>
          <w:szCs w:val="24"/>
          <w:shd w:val="clear" w:color="auto" w:fill="FFFFFF"/>
        </w:rPr>
        <w:t xml:space="preserve"> and further </w:t>
      </w:r>
      <w:proofErr w:type="spellStart"/>
      <w:r w:rsidRPr="007F40EB">
        <w:rPr>
          <w:rFonts w:ascii="Times New Roman" w:hAnsi="Times New Roman" w:cs="Times New Roman"/>
          <w:color w:val="auto"/>
          <w:sz w:val="24"/>
          <w:szCs w:val="24"/>
          <w:shd w:val="clear" w:color="auto" w:fill="FFFFFF"/>
        </w:rPr>
        <w:t>categorised</w:t>
      </w:r>
      <w:proofErr w:type="spellEnd"/>
      <w:r w:rsidRPr="007F40EB">
        <w:rPr>
          <w:rFonts w:ascii="Times New Roman" w:hAnsi="Times New Roman" w:cs="Times New Roman"/>
          <w:color w:val="auto"/>
          <w:sz w:val="24"/>
          <w:szCs w:val="24"/>
          <w:shd w:val="clear" w:color="auto" w:fill="FFFFFF"/>
        </w:rPr>
        <w:t xml:space="preserve"> into three groups, as previously described: inactive (no moderate/vigorous activity on a weekly basis); moderate activity at least once a week; and vigorous activity at least once a week</w:t>
      </w:r>
      <w:r w:rsidR="004C7E6D" w:rsidRPr="007F40EB">
        <w:rPr>
          <w:rFonts w:ascii="Times New Roman" w:hAnsi="Times New Roman" w:cs="Times New Roman"/>
          <w:color w:val="auto"/>
          <w:sz w:val="24"/>
          <w:szCs w:val="24"/>
          <w:shd w:val="clear" w:color="auto" w:fill="FFFFFF"/>
        </w:rPr>
        <w:t xml:space="preserve"> [24]</w:t>
      </w:r>
      <w:r w:rsidR="00F260C6" w:rsidRPr="007F40EB">
        <w:rPr>
          <w:rFonts w:ascii="Times New Roman" w:hAnsi="Times New Roman" w:cs="Times New Roman"/>
          <w:color w:val="auto"/>
          <w:sz w:val="24"/>
          <w:szCs w:val="24"/>
          <w:shd w:val="clear" w:color="auto" w:fill="FFFFFF"/>
        </w:rPr>
        <w:t xml:space="preserve">. </w:t>
      </w:r>
      <w:r w:rsidRPr="007F40EB">
        <w:rPr>
          <w:rFonts w:ascii="Times New Roman" w:hAnsi="Times New Roman" w:cs="Times New Roman"/>
          <w:color w:val="auto"/>
          <w:sz w:val="24"/>
          <w:szCs w:val="24"/>
          <w:shd w:val="clear" w:color="auto" w:fill="FFFFFF"/>
        </w:rPr>
        <w:t>Depressive symptoms were assessed using the 8-item Centre of Epidemiological Studies Depression (CES-D) scale, highly validated for use in older adults</w:t>
      </w:r>
      <w:r w:rsidR="004C7E6D" w:rsidRPr="007F40EB">
        <w:rPr>
          <w:rFonts w:ascii="Times New Roman" w:hAnsi="Times New Roman" w:cs="Times New Roman"/>
          <w:color w:val="auto"/>
          <w:sz w:val="24"/>
          <w:szCs w:val="24"/>
          <w:shd w:val="clear" w:color="auto" w:fill="FFFFFF"/>
        </w:rPr>
        <w:t xml:space="preserve"> [25]</w:t>
      </w:r>
      <w:r w:rsidR="00F260C6" w:rsidRPr="007F40EB">
        <w:rPr>
          <w:rFonts w:ascii="Times New Roman" w:hAnsi="Times New Roman" w:cs="Times New Roman"/>
          <w:color w:val="auto"/>
          <w:sz w:val="24"/>
          <w:szCs w:val="24"/>
          <w:shd w:val="clear" w:color="auto" w:fill="FFFFFF"/>
        </w:rPr>
        <w:t>.</w:t>
      </w:r>
      <w:r w:rsidRPr="007F40EB">
        <w:rPr>
          <w:rFonts w:ascii="Times New Roman" w:hAnsi="Times New Roman" w:cs="Times New Roman"/>
          <w:color w:val="auto"/>
          <w:sz w:val="24"/>
          <w:szCs w:val="24"/>
          <w:shd w:val="clear" w:color="auto" w:fill="FFFFFF"/>
        </w:rPr>
        <w:t xml:space="preserve"> </w:t>
      </w:r>
      <w:r w:rsidR="00A863F3" w:rsidRPr="007F40EB">
        <w:rPr>
          <w:rFonts w:ascii="Times New Roman" w:hAnsi="Times New Roman" w:cs="Times New Roman"/>
          <w:color w:val="auto"/>
          <w:sz w:val="24"/>
          <w:szCs w:val="24"/>
          <w:shd w:val="clear" w:color="auto" w:fill="FFFFFF"/>
        </w:rPr>
        <w:t>ADL impairment was assessed with six questions that asked participants whether a health or memory problem caused them difficulty with the following everyday activities: dressing, walking across a room, bathing or showering, eating, getting in or out of bed, and toileting (yes/no). IADL impairment was assessed by asking whether participants had any difficulty performing seven activities because of a health or memory problem: using a map to figure out how to get around in a strange place, preparing a hot meal, shopping for groceries, making telephone calls, taking medications, doing work around the house or garden, and financial management (yes/no). </w:t>
      </w:r>
      <w:r w:rsidR="00E53C17" w:rsidRPr="007F40EB">
        <w:rPr>
          <w:rFonts w:ascii="Times New Roman" w:hAnsi="Times New Roman" w:cs="Times New Roman"/>
          <w:color w:val="auto"/>
          <w:sz w:val="24"/>
          <w:szCs w:val="24"/>
          <w:shd w:val="clear" w:color="auto" w:fill="FFFFFF"/>
        </w:rPr>
        <w:t xml:space="preserve">These covariates were selected because they were </w:t>
      </w:r>
      <w:proofErr w:type="spellStart"/>
      <w:r w:rsidR="00E53C17" w:rsidRPr="007F40EB">
        <w:rPr>
          <w:rFonts w:ascii="Times New Roman" w:hAnsi="Times New Roman" w:cs="Times New Roman"/>
          <w:color w:val="auto"/>
          <w:sz w:val="24"/>
          <w:szCs w:val="24"/>
          <w:shd w:val="clear" w:color="auto" w:fill="FFFFFF"/>
        </w:rPr>
        <w:t>hypothesised</w:t>
      </w:r>
      <w:proofErr w:type="spellEnd"/>
      <w:r w:rsidR="00E53C17" w:rsidRPr="007F40EB">
        <w:rPr>
          <w:rFonts w:ascii="Times New Roman" w:hAnsi="Times New Roman" w:cs="Times New Roman"/>
          <w:color w:val="auto"/>
          <w:sz w:val="24"/>
          <w:szCs w:val="24"/>
          <w:shd w:val="clear" w:color="auto" w:fill="FFFFFF"/>
        </w:rPr>
        <w:t xml:space="preserve"> to be independently associated with both the exposure (sexual activity) and the outcome (change in cognitive function).</w:t>
      </w:r>
    </w:p>
    <w:p w:rsidR="00525A95" w:rsidRPr="007F40EB" w:rsidRDefault="00525A95" w:rsidP="001E1D92">
      <w:pPr>
        <w:pStyle w:val="Body"/>
        <w:spacing w:after="0" w:line="480" w:lineRule="auto"/>
        <w:rPr>
          <w:rFonts w:ascii="Times New Roman" w:hAnsi="Times New Roman" w:cs="Times New Roman"/>
          <w:color w:val="auto"/>
          <w:sz w:val="24"/>
          <w:szCs w:val="24"/>
          <w:shd w:val="clear" w:color="auto" w:fill="FFFFFF"/>
        </w:rPr>
      </w:pPr>
    </w:p>
    <w:p w:rsidR="0082500B" w:rsidRPr="007F40EB" w:rsidRDefault="006819F9" w:rsidP="001E1D92">
      <w:pPr>
        <w:pStyle w:val="Heading2"/>
        <w:spacing w:after="0" w:line="480" w:lineRule="auto"/>
        <w:rPr>
          <w:rFonts w:ascii="Times New Roman" w:hAnsi="Times New Roman" w:cs="Times New Roman"/>
          <w:color w:val="auto"/>
        </w:rPr>
      </w:pPr>
      <w:r w:rsidRPr="007F40EB">
        <w:rPr>
          <w:rFonts w:ascii="Times New Roman" w:hAnsi="Times New Roman" w:cs="Times New Roman"/>
          <w:color w:val="auto"/>
        </w:rPr>
        <w:lastRenderedPageBreak/>
        <w:t>Statistical analysis</w:t>
      </w:r>
    </w:p>
    <w:p w:rsidR="0082500B" w:rsidRPr="007F40EB" w:rsidRDefault="006819F9" w:rsidP="001E1D92">
      <w:pPr>
        <w:pStyle w:val="Body"/>
        <w:spacing w:after="0" w:line="480" w:lineRule="auto"/>
        <w:rPr>
          <w:rStyle w:val="Hyperlink1"/>
          <w:rFonts w:ascii="Times New Roman" w:hAnsi="Times New Roman" w:cs="Times New Roman"/>
          <w:color w:val="auto"/>
          <w:sz w:val="24"/>
          <w:szCs w:val="24"/>
        </w:rPr>
      </w:pPr>
      <w:r w:rsidRPr="007F40EB">
        <w:rPr>
          <w:rFonts w:ascii="Times New Roman" w:hAnsi="Times New Roman" w:cs="Times New Roman"/>
          <w:color w:val="auto"/>
          <w:sz w:val="24"/>
          <w:szCs w:val="24"/>
          <w:shd w:val="clear" w:color="auto" w:fill="FFFFFF"/>
        </w:rPr>
        <w:t>Analyses were performed using IBM SPSS Statistics 25. Data were weighted to correct for sampling probabilities and for differential non-response and to calibrate back to the 2011 National Census population distributions for age and sex. The weights accounted for the differential probability of being included in Wave 6 of ELSA and for non-response to the questionnaire assessing sexual activity. Details can be found at </w:t>
      </w:r>
      <w:hyperlink r:id="rId8" w:history="1">
        <w:r w:rsidRPr="007F40EB">
          <w:rPr>
            <w:rStyle w:val="Hyperlink0"/>
            <w:rFonts w:ascii="Times New Roman" w:hAnsi="Times New Roman" w:cs="Times New Roman"/>
            <w:color w:val="auto"/>
            <w:sz w:val="24"/>
            <w:szCs w:val="24"/>
          </w:rPr>
          <w:t>http://doc.ukdataservice.ac.uk/doc/</w:t>
        </w:r>
      </w:hyperlink>
      <w:r w:rsidRPr="007F40EB">
        <w:rPr>
          <w:rStyle w:val="None"/>
          <w:rFonts w:ascii="Times New Roman" w:hAnsi="Times New Roman" w:cs="Times New Roman"/>
          <w:color w:val="auto"/>
          <w:sz w:val="24"/>
          <w:szCs w:val="24"/>
          <w:shd w:val="clear" w:color="auto" w:fill="FFFFFF"/>
        </w:rPr>
        <w:t>5050</w:t>
      </w:r>
      <w:hyperlink r:id="rId9" w:history="1">
        <w:r w:rsidRPr="007F40EB">
          <w:rPr>
            <w:rStyle w:val="Hyperlink1"/>
            <w:rFonts w:ascii="Times New Roman" w:hAnsi="Times New Roman" w:cs="Times New Roman"/>
            <w:color w:val="auto"/>
            <w:sz w:val="24"/>
            <w:szCs w:val="24"/>
          </w:rPr>
          <w:t>/mrdoc/pdf/</w:t>
        </w:r>
      </w:hyperlink>
      <w:r w:rsidRPr="007F40EB">
        <w:rPr>
          <w:rStyle w:val="Hyperlink1"/>
          <w:rFonts w:ascii="Times New Roman" w:hAnsi="Times New Roman" w:cs="Times New Roman"/>
          <w:color w:val="auto"/>
          <w:sz w:val="24"/>
          <w:szCs w:val="24"/>
        </w:rPr>
        <w:t>5050</w:t>
      </w:r>
      <w:hyperlink r:id="rId10" w:history="1">
        <w:r w:rsidRPr="007F40EB">
          <w:rPr>
            <w:rStyle w:val="Hyperlink1"/>
            <w:rFonts w:ascii="Times New Roman" w:hAnsi="Times New Roman" w:cs="Times New Roman"/>
            <w:color w:val="auto"/>
            <w:sz w:val="24"/>
            <w:szCs w:val="24"/>
          </w:rPr>
          <w:t>_elsa_w6_technical_report_v1.pdf</w:t>
        </w:r>
      </w:hyperlink>
    </w:p>
    <w:p w:rsidR="0082500B" w:rsidRPr="007F40EB" w:rsidRDefault="006819F9"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Analyses were performed separately for men and women. Bivariate associations between sexual activity and covariates were explored using one-way independent </w:t>
      </w:r>
      <w:r w:rsidRPr="007F40EB">
        <w:rPr>
          <w:rStyle w:val="None"/>
          <w:rFonts w:ascii="Times New Roman" w:hAnsi="Times New Roman" w:cs="Times New Roman"/>
          <w:i/>
          <w:iCs/>
          <w:color w:val="auto"/>
          <w:sz w:val="24"/>
          <w:szCs w:val="24"/>
        </w:rPr>
        <w:t>t</w:t>
      </w:r>
      <w:r w:rsidRPr="007F40EB">
        <w:rPr>
          <w:rFonts w:ascii="Times New Roman" w:hAnsi="Times New Roman" w:cs="Times New Roman"/>
          <w:color w:val="auto"/>
          <w:sz w:val="24"/>
          <w:szCs w:val="24"/>
        </w:rPr>
        <w:t>-tests for continuous variables and chi-square tests for categorical variables. General linear models were used to test associations between sexual activity at baseline and change in (</w:t>
      </w:r>
      <w:proofErr w:type="spellStart"/>
      <w:r w:rsidRPr="007F40EB">
        <w:rPr>
          <w:rFonts w:ascii="Times New Roman" w:hAnsi="Times New Roman" w:cs="Times New Roman"/>
          <w:color w:val="auto"/>
          <w:sz w:val="24"/>
          <w:szCs w:val="24"/>
        </w:rPr>
        <w:t>i</w:t>
      </w:r>
      <w:proofErr w:type="spellEnd"/>
      <w:r w:rsidRPr="007F40EB">
        <w:rPr>
          <w:rFonts w:ascii="Times New Roman" w:hAnsi="Times New Roman" w:cs="Times New Roman"/>
          <w:color w:val="auto"/>
          <w:sz w:val="24"/>
          <w:szCs w:val="24"/>
        </w:rPr>
        <w:t xml:space="preserve">) immediate recall and (ii) delayed recall over four-year follow-up. For each outcome, we ran two models: the first was minimally adjusted for age and number of words recalled at baseline (age adjusted model), the second was adjusted for age, number of words recalled at baseline, partner status, ethnicity, </w:t>
      </w:r>
      <w:r w:rsidR="00A863F3" w:rsidRPr="007F40EB">
        <w:rPr>
          <w:rFonts w:ascii="Times New Roman" w:hAnsi="Times New Roman" w:cs="Times New Roman"/>
          <w:color w:val="auto"/>
          <w:sz w:val="24"/>
          <w:szCs w:val="24"/>
        </w:rPr>
        <w:t xml:space="preserve">education, </w:t>
      </w:r>
      <w:r w:rsidRPr="007F40EB">
        <w:rPr>
          <w:rFonts w:ascii="Times New Roman" w:hAnsi="Times New Roman" w:cs="Times New Roman"/>
          <w:color w:val="auto"/>
          <w:sz w:val="24"/>
          <w:szCs w:val="24"/>
        </w:rPr>
        <w:t xml:space="preserve">wealth, </w:t>
      </w:r>
      <w:r w:rsidR="009E34A9" w:rsidRPr="007F40EB">
        <w:rPr>
          <w:rFonts w:ascii="Times New Roman" w:hAnsi="Times New Roman" w:cs="Times New Roman"/>
          <w:color w:val="auto"/>
          <w:sz w:val="24"/>
          <w:szCs w:val="24"/>
        </w:rPr>
        <w:t xml:space="preserve">cardiovascular disease, diabetes, </w:t>
      </w:r>
      <w:r w:rsidRPr="007F40EB">
        <w:rPr>
          <w:rFonts w:ascii="Times New Roman" w:hAnsi="Times New Roman" w:cs="Times New Roman"/>
          <w:color w:val="auto"/>
          <w:sz w:val="24"/>
          <w:szCs w:val="24"/>
        </w:rPr>
        <w:t>limiting long-standing illness, smoking status, physical activity</w:t>
      </w:r>
      <w:r w:rsidR="009E34A9"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depressive symptoms</w:t>
      </w:r>
      <w:r w:rsidR="009E34A9" w:rsidRPr="007F40EB">
        <w:rPr>
          <w:rFonts w:ascii="Times New Roman" w:hAnsi="Times New Roman" w:cs="Times New Roman"/>
          <w:color w:val="auto"/>
          <w:sz w:val="24"/>
          <w:szCs w:val="24"/>
        </w:rPr>
        <w:t>, ADL impairment and IADL impairment</w:t>
      </w:r>
      <w:r w:rsidRPr="007F40EB">
        <w:rPr>
          <w:rFonts w:ascii="Times New Roman" w:hAnsi="Times New Roman" w:cs="Times New Roman"/>
          <w:color w:val="auto"/>
          <w:sz w:val="24"/>
          <w:szCs w:val="24"/>
        </w:rPr>
        <w:t xml:space="preserve"> (fully adjusted model). We report results as estimated marginal (EM) means with standard errors (SE), and adjusted betas with 95% confidence intervals (CIs). A </w:t>
      </w:r>
      <w:r w:rsidRPr="007F40EB">
        <w:rPr>
          <w:rStyle w:val="None"/>
          <w:rFonts w:ascii="Times New Roman" w:hAnsi="Times New Roman" w:cs="Times New Roman"/>
          <w:i/>
          <w:iCs/>
          <w:color w:val="auto"/>
          <w:sz w:val="24"/>
          <w:szCs w:val="24"/>
        </w:rPr>
        <w:t>p</w:t>
      </w:r>
      <w:r w:rsidRPr="007F40EB">
        <w:rPr>
          <w:rFonts w:ascii="Times New Roman" w:hAnsi="Times New Roman" w:cs="Times New Roman"/>
          <w:color w:val="auto"/>
          <w:sz w:val="24"/>
          <w:szCs w:val="24"/>
        </w:rPr>
        <w:t>-value &lt; 0.05 was used to indicate statistical significance.</w:t>
      </w:r>
    </w:p>
    <w:p w:rsidR="006A34E7" w:rsidRPr="007F40EB" w:rsidRDefault="006A34E7" w:rsidP="001E1D92">
      <w:pPr>
        <w:pStyle w:val="Heading"/>
        <w:spacing w:after="0" w:line="480" w:lineRule="auto"/>
        <w:rPr>
          <w:rFonts w:ascii="Times New Roman" w:hAnsi="Times New Roman" w:cs="Times New Roman"/>
          <w:color w:val="auto"/>
          <w:sz w:val="24"/>
          <w:szCs w:val="24"/>
        </w:rPr>
      </w:pPr>
    </w:p>
    <w:p w:rsidR="0082500B" w:rsidRPr="007F40EB" w:rsidRDefault="006819F9" w:rsidP="001E1D92">
      <w:pPr>
        <w:pStyle w:val="Heading"/>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Results</w:t>
      </w:r>
    </w:p>
    <w:p w:rsidR="0082500B" w:rsidRPr="007F40EB" w:rsidRDefault="006819F9" w:rsidP="001E1D92">
      <w:pPr>
        <w:pStyle w:val="Heading2"/>
        <w:spacing w:after="0" w:line="480" w:lineRule="auto"/>
        <w:rPr>
          <w:rStyle w:val="Hyperlink1"/>
          <w:rFonts w:ascii="Times New Roman" w:hAnsi="Times New Roman" w:cs="Times New Roman"/>
          <w:color w:val="auto"/>
        </w:rPr>
      </w:pPr>
      <w:r w:rsidRPr="007F40EB">
        <w:rPr>
          <w:rStyle w:val="Hyperlink1"/>
          <w:rFonts w:ascii="Times New Roman" w:hAnsi="Times New Roman" w:cs="Times New Roman"/>
          <w:color w:val="auto"/>
        </w:rPr>
        <w:t>Baseline characteristics</w:t>
      </w:r>
    </w:p>
    <w:p w:rsidR="0082500B" w:rsidRPr="007F40EB" w:rsidRDefault="006819F9" w:rsidP="001E1D92">
      <w:pPr>
        <w:pStyle w:val="Body"/>
        <w:spacing w:after="0" w:line="480" w:lineRule="auto"/>
        <w:rPr>
          <w:rStyle w:val="Hyperlink1"/>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Table 1 shows the baseline characteristics of the male and female samples in relation to whether or not they were sex</w:t>
      </w:r>
      <w:r w:rsidR="004E78EA" w:rsidRPr="007F40EB">
        <w:rPr>
          <w:rStyle w:val="Hyperlink1"/>
          <w:rFonts w:ascii="Times New Roman" w:hAnsi="Times New Roman" w:cs="Times New Roman"/>
          <w:color w:val="auto"/>
          <w:sz w:val="24"/>
          <w:szCs w:val="24"/>
        </w:rPr>
        <w:t>ually active. The majority (79.2</w:t>
      </w:r>
      <w:r w:rsidRPr="007F40EB">
        <w:rPr>
          <w:rStyle w:val="Hyperlink1"/>
          <w:rFonts w:ascii="Times New Roman" w:hAnsi="Times New Roman" w:cs="Times New Roman"/>
          <w:color w:val="auto"/>
          <w:sz w:val="24"/>
          <w:szCs w:val="24"/>
        </w:rPr>
        <w:t>%) of men and just over half (5</w:t>
      </w:r>
      <w:r w:rsidR="004E78EA" w:rsidRPr="007F40EB">
        <w:rPr>
          <w:rStyle w:val="Hyperlink1"/>
          <w:rFonts w:ascii="Times New Roman" w:hAnsi="Times New Roman" w:cs="Times New Roman"/>
          <w:color w:val="auto"/>
          <w:sz w:val="24"/>
          <w:szCs w:val="24"/>
        </w:rPr>
        <w:t>4</w:t>
      </w:r>
      <w:r w:rsidRPr="007F40EB">
        <w:rPr>
          <w:rStyle w:val="Hyperlink1"/>
          <w:rFonts w:ascii="Times New Roman" w:hAnsi="Times New Roman" w:cs="Times New Roman"/>
          <w:color w:val="auto"/>
          <w:sz w:val="24"/>
          <w:szCs w:val="24"/>
        </w:rPr>
        <w:t xml:space="preserve">.7%) of women reported any sexual activity in the last year at baseline. These participants </w:t>
      </w:r>
      <w:r w:rsidRPr="007F40EB">
        <w:rPr>
          <w:rStyle w:val="Hyperlink1"/>
          <w:rFonts w:ascii="Times New Roman" w:hAnsi="Times New Roman" w:cs="Times New Roman"/>
          <w:color w:val="auto"/>
          <w:sz w:val="24"/>
          <w:szCs w:val="24"/>
        </w:rPr>
        <w:lastRenderedPageBreak/>
        <w:t>were on average younger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 more wealthy (</w:t>
      </w:r>
      <w:r w:rsidR="00E0668F" w:rsidRPr="007F40EB">
        <w:rPr>
          <w:rStyle w:val="Hyperlink1"/>
          <w:rFonts w:ascii="Times New Roman" w:hAnsi="Times New Roman" w:cs="Times New Roman"/>
          <w:i/>
          <w:color w:val="auto"/>
          <w:sz w:val="24"/>
          <w:szCs w:val="24"/>
        </w:rPr>
        <w:t>p</w:t>
      </w:r>
      <w:r w:rsidR="00E0668F" w:rsidRPr="007F40EB">
        <w:rPr>
          <w:rStyle w:val="Hyperlink1"/>
          <w:rFonts w:ascii="Times New Roman" w:hAnsi="Times New Roman" w:cs="Times New Roman"/>
          <w:color w:val="auto"/>
          <w:sz w:val="24"/>
          <w:szCs w:val="24"/>
        </w:rPr>
        <w:t>=0.001 for men,</w:t>
      </w:r>
      <w:r w:rsidR="00E0668F" w:rsidRPr="007F40EB">
        <w:rPr>
          <w:rStyle w:val="Hyperlink1"/>
          <w:rFonts w:ascii="Times New Roman" w:hAnsi="Times New Roman" w:cs="Times New Roman"/>
          <w:i/>
          <w:color w:val="auto"/>
          <w:sz w:val="24"/>
          <w:szCs w:val="24"/>
        </w:rPr>
        <w:t xml:space="preserve">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w:t>
      </w:r>
      <w:r w:rsidR="00E0668F" w:rsidRPr="007F40EB">
        <w:rPr>
          <w:rStyle w:val="Hyperlink1"/>
          <w:rFonts w:ascii="Times New Roman" w:hAnsi="Times New Roman" w:cs="Times New Roman"/>
          <w:color w:val="auto"/>
          <w:sz w:val="24"/>
          <w:szCs w:val="24"/>
        </w:rPr>
        <w:t xml:space="preserve"> for women</w:t>
      </w:r>
      <w:r w:rsidRPr="007F40EB">
        <w:rPr>
          <w:rStyle w:val="Hyperlink1"/>
          <w:rFonts w:ascii="Times New Roman" w:hAnsi="Times New Roman" w:cs="Times New Roman"/>
          <w:color w:val="auto"/>
          <w:sz w:val="24"/>
          <w:szCs w:val="24"/>
        </w:rPr>
        <w:t>) and more likely to be married or cohabiting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 than those who were not sexually active. The</w:t>
      </w:r>
      <w:r w:rsidR="00E0668F" w:rsidRPr="007F40EB">
        <w:rPr>
          <w:rStyle w:val="Hyperlink1"/>
          <w:rFonts w:ascii="Times New Roman" w:hAnsi="Times New Roman" w:cs="Times New Roman"/>
          <w:color w:val="auto"/>
          <w:sz w:val="24"/>
          <w:szCs w:val="24"/>
        </w:rPr>
        <w:t>y were also less likely to report the presence of cardiovascular disease (</w:t>
      </w:r>
      <w:r w:rsidR="00E0668F" w:rsidRPr="007F40EB">
        <w:rPr>
          <w:rStyle w:val="Hyperlink1"/>
          <w:rFonts w:ascii="Times New Roman" w:hAnsi="Times New Roman" w:cs="Times New Roman"/>
          <w:i/>
          <w:color w:val="auto"/>
          <w:sz w:val="24"/>
          <w:szCs w:val="24"/>
        </w:rPr>
        <w:t>p</w:t>
      </w:r>
      <w:r w:rsidR="00E0668F" w:rsidRPr="007F40EB">
        <w:rPr>
          <w:rStyle w:val="Hyperlink1"/>
          <w:rFonts w:ascii="Times New Roman" w:hAnsi="Times New Roman" w:cs="Times New Roman"/>
          <w:color w:val="auto"/>
          <w:sz w:val="24"/>
          <w:szCs w:val="24"/>
        </w:rPr>
        <w:t>&lt;0.001), diabetes (</w:t>
      </w:r>
      <w:r w:rsidR="00E0668F" w:rsidRPr="007F40EB">
        <w:rPr>
          <w:rStyle w:val="Hyperlink1"/>
          <w:rFonts w:ascii="Times New Roman" w:hAnsi="Times New Roman" w:cs="Times New Roman"/>
          <w:i/>
          <w:color w:val="auto"/>
          <w:sz w:val="24"/>
          <w:szCs w:val="24"/>
        </w:rPr>
        <w:t>p</w:t>
      </w:r>
      <w:r w:rsidR="00E0668F" w:rsidRPr="007F40EB">
        <w:rPr>
          <w:rStyle w:val="Hyperlink1"/>
          <w:rFonts w:ascii="Times New Roman" w:hAnsi="Times New Roman" w:cs="Times New Roman"/>
          <w:color w:val="auto"/>
          <w:sz w:val="24"/>
          <w:szCs w:val="24"/>
        </w:rPr>
        <w:t xml:space="preserve">&lt;0.001) or </w:t>
      </w:r>
      <w:r w:rsidRPr="007F40EB">
        <w:rPr>
          <w:rStyle w:val="Hyperlink1"/>
          <w:rFonts w:ascii="Times New Roman" w:hAnsi="Times New Roman" w:cs="Times New Roman"/>
          <w:color w:val="auto"/>
          <w:sz w:val="24"/>
          <w:szCs w:val="24"/>
        </w:rPr>
        <w:t>a limiting long-standing illness (</w:t>
      </w:r>
      <w:r w:rsidRPr="007F40EB">
        <w:rPr>
          <w:rStyle w:val="None"/>
          <w:rFonts w:ascii="Times New Roman" w:hAnsi="Times New Roman" w:cs="Times New Roman"/>
          <w:i/>
          <w:iCs/>
          <w:color w:val="auto"/>
          <w:sz w:val="24"/>
          <w:szCs w:val="24"/>
          <w:shd w:val="clear" w:color="auto" w:fill="FFFFFF"/>
        </w:rPr>
        <w:t>p</w:t>
      </w:r>
      <w:r w:rsidR="00E0668F" w:rsidRPr="007F40EB">
        <w:rPr>
          <w:rStyle w:val="Hyperlink1"/>
          <w:rFonts w:ascii="Times New Roman" w:hAnsi="Times New Roman" w:cs="Times New Roman"/>
          <w:color w:val="auto"/>
          <w:sz w:val="24"/>
          <w:szCs w:val="24"/>
        </w:rPr>
        <w:t>&lt;0.001),</w:t>
      </w:r>
      <w:r w:rsidRPr="007F40EB">
        <w:rPr>
          <w:rStyle w:val="Hyperlink1"/>
          <w:rFonts w:ascii="Times New Roman" w:hAnsi="Times New Roman" w:cs="Times New Roman"/>
          <w:color w:val="auto"/>
          <w:sz w:val="24"/>
          <w:szCs w:val="24"/>
        </w:rPr>
        <w:t xml:space="preserve"> more likely to drink alcohol regularly or frequently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 and be physically active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 and reported fewer depressive symptoms (</w:t>
      </w:r>
      <w:r w:rsidR="008E635E" w:rsidRPr="007F40EB">
        <w:rPr>
          <w:rStyle w:val="Hyperlink1"/>
          <w:rFonts w:ascii="Times New Roman" w:hAnsi="Times New Roman" w:cs="Times New Roman"/>
          <w:i/>
          <w:color w:val="auto"/>
          <w:sz w:val="24"/>
          <w:szCs w:val="24"/>
        </w:rPr>
        <w:t>P</w:t>
      </w:r>
      <w:r w:rsidR="008E635E" w:rsidRPr="007F40EB">
        <w:rPr>
          <w:rStyle w:val="Hyperlink1"/>
          <w:rFonts w:ascii="Times New Roman" w:hAnsi="Times New Roman" w:cs="Times New Roman"/>
          <w:color w:val="auto"/>
          <w:sz w:val="24"/>
          <w:szCs w:val="24"/>
        </w:rPr>
        <w:t xml:space="preserve">=0.044 for men,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w:t>
      </w:r>
      <w:r w:rsidR="008E635E" w:rsidRPr="007F40EB">
        <w:rPr>
          <w:rStyle w:val="Hyperlink1"/>
          <w:rFonts w:ascii="Times New Roman" w:hAnsi="Times New Roman" w:cs="Times New Roman"/>
          <w:color w:val="auto"/>
          <w:sz w:val="24"/>
          <w:szCs w:val="24"/>
        </w:rPr>
        <w:t xml:space="preserve"> for women</w:t>
      </w:r>
      <w:r w:rsidRPr="007F40EB">
        <w:rPr>
          <w:rStyle w:val="Hyperlink1"/>
          <w:rFonts w:ascii="Times New Roman" w:hAnsi="Times New Roman" w:cs="Times New Roman"/>
          <w:color w:val="auto"/>
          <w:sz w:val="24"/>
          <w:szCs w:val="24"/>
        </w:rPr>
        <w:t>)</w:t>
      </w:r>
      <w:r w:rsidR="00E0668F" w:rsidRPr="007F40EB">
        <w:rPr>
          <w:rStyle w:val="Hyperlink1"/>
          <w:rFonts w:ascii="Times New Roman" w:hAnsi="Times New Roman" w:cs="Times New Roman"/>
          <w:color w:val="auto"/>
          <w:sz w:val="24"/>
          <w:szCs w:val="24"/>
        </w:rPr>
        <w:t xml:space="preserve"> </w:t>
      </w:r>
      <w:r w:rsidR="00E90982" w:rsidRPr="007F40EB">
        <w:rPr>
          <w:rStyle w:val="Hyperlink1"/>
          <w:rFonts w:ascii="Times New Roman" w:hAnsi="Times New Roman" w:cs="Times New Roman"/>
          <w:color w:val="auto"/>
          <w:sz w:val="24"/>
          <w:szCs w:val="24"/>
        </w:rPr>
        <w:t>and fewer impairments with</w:t>
      </w:r>
      <w:r w:rsidR="00E0668F" w:rsidRPr="007F40EB">
        <w:rPr>
          <w:rStyle w:val="Hyperlink1"/>
          <w:rFonts w:ascii="Times New Roman" w:hAnsi="Times New Roman" w:cs="Times New Roman"/>
          <w:color w:val="auto"/>
          <w:sz w:val="24"/>
          <w:szCs w:val="24"/>
        </w:rPr>
        <w:t xml:space="preserve"> ADL</w:t>
      </w:r>
      <w:r w:rsidR="00E90982" w:rsidRPr="007F40EB">
        <w:rPr>
          <w:rStyle w:val="Hyperlink1"/>
          <w:rFonts w:ascii="Times New Roman" w:hAnsi="Times New Roman" w:cs="Times New Roman"/>
          <w:color w:val="auto"/>
          <w:sz w:val="24"/>
          <w:szCs w:val="24"/>
        </w:rPr>
        <w:t>s</w:t>
      </w:r>
      <w:r w:rsidR="00E0668F" w:rsidRPr="007F40EB">
        <w:rPr>
          <w:rStyle w:val="Hyperlink1"/>
          <w:rFonts w:ascii="Times New Roman" w:hAnsi="Times New Roman" w:cs="Times New Roman"/>
          <w:color w:val="auto"/>
          <w:sz w:val="24"/>
          <w:szCs w:val="24"/>
        </w:rPr>
        <w:t xml:space="preserve"> </w:t>
      </w:r>
      <w:r w:rsidR="00E90982" w:rsidRPr="007F40EB">
        <w:rPr>
          <w:rStyle w:val="Hyperlink1"/>
          <w:rFonts w:ascii="Times New Roman" w:hAnsi="Times New Roman" w:cs="Times New Roman"/>
          <w:color w:val="auto"/>
          <w:sz w:val="24"/>
          <w:szCs w:val="24"/>
        </w:rPr>
        <w:t>and</w:t>
      </w:r>
      <w:r w:rsidR="00E0668F" w:rsidRPr="007F40EB">
        <w:rPr>
          <w:rStyle w:val="Hyperlink1"/>
          <w:rFonts w:ascii="Times New Roman" w:hAnsi="Times New Roman" w:cs="Times New Roman"/>
          <w:color w:val="auto"/>
          <w:sz w:val="24"/>
          <w:szCs w:val="24"/>
        </w:rPr>
        <w:t xml:space="preserve"> IADL</w:t>
      </w:r>
      <w:r w:rsidR="00E90982" w:rsidRPr="007F40EB">
        <w:rPr>
          <w:rStyle w:val="Hyperlink1"/>
          <w:rFonts w:ascii="Times New Roman" w:hAnsi="Times New Roman" w:cs="Times New Roman"/>
          <w:color w:val="auto"/>
          <w:sz w:val="24"/>
          <w:szCs w:val="24"/>
        </w:rPr>
        <w:t>s</w:t>
      </w:r>
      <w:r w:rsidR="00E0668F" w:rsidRPr="007F40EB">
        <w:rPr>
          <w:rStyle w:val="Hyperlink1"/>
          <w:rFonts w:ascii="Times New Roman" w:hAnsi="Times New Roman" w:cs="Times New Roman"/>
          <w:color w:val="auto"/>
          <w:sz w:val="24"/>
          <w:szCs w:val="24"/>
        </w:rPr>
        <w:t xml:space="preserve"> (</w:t>
      </w:r>
      <w:r w:rsidR="00E0668F" w:rsidRPr="007F40EB">
        <w:rPr>
          <w:rStyle w:val="Hyperlink1"/>
          <w:rFonts w:ascii="Times New Roman" w:hAnsi="Times New Roman" w:cs="Times New Roman"/>
          <w:i/>
          <w:color w:val="auto"/>
          <w:sz w:val="24"/>
          <w:szCs w:val="24"/>
        </w:rPr>
        <w:t>p</w:t>
      </w:r>
      <w:r w:rsidR="00E0668F" w:rsidRPr="007F40EB">
        <w:rPr>
          <w:rStyle w:val="Hyperlink1"/>
          <w:rFonts w:ascii="Times New Roman" w:hAnsi="Times New Roman" w:cs="Times New Roman"/>
          <w:color w:val="auto"/>
          <w:sz w:val="24"/>
          <w:szCs w:val="24"/>
        </w:rPr>
        <w:t>&lt;0.001)</w:t>
      </w:r>
      <w:r w:rsidRPr="007F40EB">
        <w:rPr>
          <w:rStyle w:val="Hyperlink1"/>
          <w:rFonts w:ascii="Times New Roman" w:hAnsi="Times New Roman" w:cs="Times New Roman"/>
          <w:color w:val="auto"/>
          <w:sz w:val="24"/>
          <w:szCs w:val="24"/>
        </w:rPr>
        <w:t>. In addition, participants who were sexually active had better baseline scores for immediate and delayed recall compared with those who were not sexually active (</w:t>
      </w:r>
      <w:r w:rsidRPr="007F40EB">
        <w:rPr>
          <w:rStyle w:val="None"/>
          <w:rFonts w:ascii="Times New Roman" w:hAnsi="Times New Roman" w:cs="Times New Roman"/>
          <w:i/>
          <w:iCs/>
          <w:color w:val="auto"/>
          <w:sz w:val="24"/>
          <w:szCs w:val="24"/>
          <w:shd w:val="clear" w:color="auto" w:fill="FFFFFF"/>
        </w:rPr>
        <w:t>p</w:t>
      </w:r>
      <w:r w:rsidRPr="007F40EB">
        <w:rPr>
          <w:rStyle w:val="Hyperlink1"/>
          <w:rFonts w:ascii="Times New Roman" w:hAnsi="Times New Roman" w:cs="Times New Roman"/>
          <w:color w:val="auto"/>
          <w:sz w:val="24"/>
          <w:szCs w:val="24"/>
        </w:rPr>
        <w:t>&lt;0.001).</w:t>
      </w:r>
    </w:p>
    <w:p w:rsidR="006A34E7" w:rsidRPr="007F40EB" w:rsidRDefault="006A34E7" w:rsidP="001E1D92">
      <w:pPr>
        <w:pStyle w:val="Body"/>
        <w:spacing w:after="0" w:line="480" w:lineRule="auto"/>
        <w:rPr>
          <w:rStyle w:val="Hyperlink1"/>
          <w:rFonts w:ascii="Times New Roman" w:hAnsi="Times New Roman" w:cs="Times New Roman"/>
          <w:color w:val="auto"/>
          <w:sz w:val="24"/>
          <w:szCs w:val="24"/>
        </w:rPr>
      </w:pPr>
    </w:p>
    <w:p w:rsidR="0082500B" w:rsidRPr="007F40EB" w:rsidRDefault="006819F9" w:rsidP="001E1D92">
      <w:pPr>
        <w:pStyle w:val="Heading2"/>
        <w:spacing w:after="0" w:line="480" w:lineRule="auto"/>
        <w:rPr>
          <w:rStyle w:val="Hyperlink1"/>
          <w:rFonts w:ascii="Times New Roman" w:hAnsi="Times New Roman" w:cs="Times New Roman"/>
          <w:color w:val="auto"/>
        </w:rPr>
      </w:pPr>
      <w:r w:rsidRPr="007F40EB">
        <w:rPr>
          <w:rStyle w:val="Hyperlink1"/>
          <w:rFonts w:ascii="Times New Roman" w:hAnsi="Times New Roman" w:cs="Times New Roman"/>
          <w:color w:val="auto"/>
        </w:rPr>
        <w:t>Follow-up data</w:t>
      </w:r>
    </w:p>
    <w:p w:rsidR="0082500B" w:rsidRPr="007F40EB" w:rsidRDefault="006819F9" w:rsidP="001E1D92">
      <w:pPr>
        <w:pStyle w:val="Body"/>
        <w:spacing w:after="0" w:line="480" w:lineRule="auto"/>
        <w:rPr>
          <w:rStyle w:val="Hyperlink1"/>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Table</w:t>
      </w:r>
      <w:r w:rsidR="00BB5919" w:rsidRPr="007F40EB">
        <w:rPr>
          <w:rStyle w:val="Hyperlink1"/>
          <w:rFonts w:ascii="Times New Roman" w:hAnsi="Times New Roman" w:cs="Times New Roman"/>
          <w:color w:val="auto"/>
          <w:sz w:val="24"/>
          <w:szCs w:val="24"/>
        </w:rPr>
        <w:t>s</w:t>
      </w:r>
      <w:r w:rsidRPr="007F40EB">
        <w:rPr>
          <w:rStyle w:val="Hyperlink1"/>
          <w:rFonts w:ascii="Times New Roman" w:hAnsi="Times New Roman" w:cs="Times New Roman"/>
          <w:color w:val="auto"/>
          <w:sz w:val="24"/>
          <w:szCs w:val="24"/>
        </w:rPr>
        <w:t xml:space="preserve"> 2</w:t>
      </w:r>
      <w:r w:rsidR="00BB5919" w:rsidRPr="007F40EB">
        <w:rPr>
          <w:rStyle w:val="Hyperlink1"/>
          <w:rFonts w:ascii="Times New Roman" w:hAnsi="Times New Roman" w:cs="Times New Roman"/>
          <w:color w:val="auto"/>
          <w:sz w:val="24"/>
          <w:szCs w:val="24"/>
        </w:rPr>
        <w:t xml:space="preserve"> and 3</w:t>
      </w:r>
      <w:r w:rsidRPr="007F40EB">
        <w:rPr>
          <w:rStyle w:val="Hyperlink1"/>
          <w:rFonts w:ascii="Times New Roman" w:hAnsi="Times New Roman" w:cs="Times New Roman"/>
          <w:color w:val="auto"/>
          <w:sz w:val="24"/>
          <w:szCs w:val="24"/>
        </w:rPr>
        <w:t xml:space="preserve"> report association</w:t>
      </w:r>
      <w:r w:rsidR="00064512" w:rsidRPr="007F40EB">
        <w:rPr>
          <w:rStyle w:val="Hyperlink1"/>
          <w:rFonts w:ascii="Times New Roman" w:hAnsi="Times New Roman" w:cs="Times New Roman"/>
          <w:color w:val="auto"/>
          <w:sz w:val="24"/>
          <w:szCs w:val="24"/>
        </w:rPr>
        <w:t>s</w:t>
      </w:r>
      <w:r w:rsidRPr="007F40EB">
        <w:rPr>
          <w:rStyle w:val="Hyperlink1"/>
          <w:rFonts w:ascii="Times New Roman" w:hAnsi="Times New Roman" w:cs="Times New Roman"/>
          <w:color w:val="auto"/>
          <w:sz w:val="24"/>
          <w:szCs w:val="24"/>
        </w:rPr>
        <w:t xml:space="preserve"> between baseline sexual activity and change in cognitive fun</w:t>
      </w:r>
      <w:r w:rsidR="00BB5919" w:rsidRPr="007F40EB">
        <w:rPr>
          <w:rStyle w:val="Hyperlink1"/>
          <w:rFonts w:ascii="Times New Roman" w:hAnsi="Times New Roman" w:cs="Times New Roman"/>
          <w:color w:val="auto"/>
          <w:sz w:val="24"/>
          <w:szCs w:val="24"/>
        </w:rPr>
        <w:t>ction over four-year follow-up in men and women, respectively.</w:t>
      </w:r>
    </w:p>
    <w:p w:rsidR="005416EB" w:rsidRPr="007F40EB" w:rsidRDefault="005416EB" w:rsidP="001E1D92">
      <w:pPr>
        <w:pStyle w:val="Body"/>
        <w:spacing w:after="0" w:line="480" w:lineRule="auto"/>
        <w:rPr>
          <w:rStyle w:val="Hyperlink1"/>
          <w:rFonts w:ascii="Times New Roman" w:hAnsi="Times New Roman" w:cs="Times New Roman"/>
          <w:color w:val="auto"/>
          <w:sz w:val="24"/>
          <w:szCs w:val="24"/>
        </w:rPr>
      </w:pPr>
    </w:p>
    <w:p w:rsidR="0082500B" w:rsidRPr="007F40EB" w:rsidRDefault="006819F9" w:rsidP="00CE54E2">
      <w:pPr>
        <w:pStyle w:val="Body"/>
        <w:spacing w:after="0" w:line="480" w:lineRule="auto"/>
        <w:rPr>
          <w:rStyle w:val="Hyperlink1"/>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 xml:space="preserve">After adjusting for age and baseline recall score, there were significant associations between sexual activity and </w:t>
      </w:r>
      <w:r w:rsidR="005416EB" w:rsidRPr="007F40EB">
        <w:rPr>
          <w:rStyle w:val="Hyperlink1"/>
          <w:rFonts w:ascii="Times New Roman" w:hAnsi="Times New Roman" w:cs="Times New Roman"/>
          <w:color w:val="auto"/>
          <w:sz w:val="24"/>
          <w:szCs w:val="24"/>
        </w:rPr>
        <w:t>change in immediate recall (0.23</w:t>
      </w:r>
      <w:r w:rsidRPr="007F40EB">
        <w:rPr>
          <w:rStyle w:val="Hyperlink1"/>
          <w:rFonts w:ascii="Times New Roman" w:hAnsi="Times New Roman" w:cs="Times New Roman"/>
          <w:color w:val="auto"/>
          <w:sz w:val="24"/>
          <w:szCs w:val="24"/>
        </w:rPr>
        <w:t xml:space="preserve"> points, 95% CI 0.1</w:t>
      </w:r>
      <w:r w:rsidR="005416EB" w:rsidRPr="007F40EB">
        <w:rPr>
          <w:rStyle w:val="Hyperlink1"/>
          <w:rFonts w:ascii="Times New Roman" w:hAnsi="Times New Roman" w:cs="Times New Roman"/>
          <w:color w:val="auto"/>
          <w:sz w:val="24"/>
          <w:szCs w:val="24"/>
        </w:rPr>
        <w:t>2 to 0.34</w:t>
      </w:r>
      <w:r w:rsidRPr="007F40EB">
        <w:rPr>
          <w:rStyle w:val="Hyperlink1"/>
          <w:rFonts w:ascii="Times New Roman" w:hAnsi="Times New Roman" w:cs="Times New Roman"/>
          <w:color w:val="auto"/>
          <w:sz w:val="24"/>
          <w:szCs w:val="24"/>
        </w:rPr>
        <w:t>) and delayed recall (0.</w:t>
      </w:r>
      <w:r w:rsidR="005416EB" w:rsidRPr="007F40EB">
        <w:rPr>
          <w:rStyle w:val="Hyperlink1"/>
          <w:rFonts w:ascii="Times New Roman" w:hAnsi="Times New Roman" w:cs="Times New Roman"/>
          <w:color w:val="auto"/>
          <w:sz w:val="24"/>
          <w:szCs w:val="24"/>
        </w:rPr>
        <w:t>25</w:t>
      </w:r>
      <w:r w:rsidRPr="007F40EB">
        <w:rPr>
          <w:rStyle w:val="Hyperlink1"/>
          <w:rFonts w:ascii="Times New Roman" w:hAnsi="Times New Roman" w:cs="Times New Roman"/>
          <w:color w:val="auto"/>
          <w:sz w:val="24"/>
          <w:szCs w:val="24"/>
        </w:rPr>
        <w:t xml:space="preserve"> points, 95% CI 0.</w:t>
      </w:r>
      <w:r w:rsidR="005416EB" w:rsidRPr="007F40EB">
        <w:rPr>
          <w:rStyle w:val="Hyperlink1"/>
          <w:rFonts w:ascii="Times New Roman" w:hAnsi="Times New Roman" w:cs="Times New Roman"/>
          <w:color w:val="auto"/>
          <w:sz w:val="24"/>
          <w:szCs w:val="24"/>
        </w:rPr>
        <w:t>15</w:t>
      </w:r>
      <w:r w:rsidRPr="007F40EB">
        <w:rPr>
          <w:rStyle w:val="Hyperlink1"/>
          <w:rFonts w:ascii="Times New Roman" w:hAnsi="Times New Roman" w:cs="Times New Roman"/>
          <w:color w:val="auto"/>
          <w:sz w:val="24"/>
          <w:szCs w:val="24"/>
        </w:rPr>
        <w:t xml:space="preserve"> to 0.</w:t>
      </w:r>
      <w:r w:rsidR="005416EB" w:rsidRPr="007F40EB">
        <w:rPr>
          <w:rStyle w:val="Hyperlink1"/>
          <w:rFonts w:ascii="Times New Roman" w:hAnsi="Times New Roman" w:cs="Times New Roman"/>
          <w:color w:val="auto"/>
          <w:sz w:val="24"/>
          <w:szCs w:val="24"/>
        </w:rPr>
        <w:t>36</w:t>
      </w:r>
      <w:r w:rsidRPr="007F40EB">
        <w:rPr>
          <w:rStyle w:val="Hyperlink1"/>
          <w:rFonts w:ascii="Times New Roman" w:hAnsi="Times New Roman" w:cs="Times New Roman"/>
          <w:color w:val="auto"/>
          <w:sz w:val="24"/>
          <w:szCs w:val="24"/>
        </w:rPr>
        <w:t>) in men. There was little change in recall ability among men who reported any sexual activity in the last year (immediate recall EM mean = 0.0</w:t>
      </w:r>
      <w:r w:rsidR="005416EB" w:rsidRPr="007F40EB">
        <w:rPr>
          <w:rStyle w:val="Hyperlink1"/>
          <w:rFonts w:ascii="Times New Roman" w:hAnsi="Times New Roman" w:cs="Times New Roman"/>
          <w:color w:val="auto"/>
          <w:sz w:val="24"/>
          <w:szCs w:val="24"/>
        </w:rPr>
        <w:t>01</w:t>
      </w:r>
      <w:r w:rsidRPr="007F40EB">
        <w:rPr>
          <w:rStyle w:val="Hyperlink1"/>
          <w:rFonts w:ascii="Times New Roman" w:hAnsi="Times New Roman" w:cs="Times New Roman"/>
          <w:color w:val="auto"/>
          <w:sz w:val="24"/>
          <w:szCs w:val="24"/>
        </w:rPr>
        <w:t>, SE = 0.02; delayed recall EM mean = 0.0</w:t>
      </w:r>
      <w:r w:rsidR="005416EB" w:rsidRPr="007F40EB">
        <w:rPr>
          <w:rStyle w:val="Hyperlink1"/>
          <w:rFonts w:ascii="Times New Roman" w:hAnsi="Times New Roman" w:cs="Times New Roman"/>
          <w:color w:val="auto"/>
          <w:sz w:val="24"/>
          <w:szCs w:val="24"/>
        </w:rPr>
        <w:t>2</w:t>
      </w:r>
      <w:r w:rsidRPr="007F40EB">
        <w:rPr>
          <w:rStyle w:val="Hyperlink1"/>
          <w:rFonts w:ascii="Times New Roman" w:hAnsi="Times New Roman" w:cs="Times New Roman"/>
          <w:color w:val="auto"/>
          <w:sz w:val="24"/>
          <w:szCs w:val="24"/>
        </w:rPr>
        <w:t>, SE = 0.02) versus a decline among men who were not sexually active (immediate recall EM mean = -0.2</w:t>
      </w:r>
      <w:r w:rsidR="005416EB" w:rsidRPr="007F40EB">
        <w:rPr>
          <w:rStyle w:val="Hyperlink1"/>
          <w:rFonts w:ascii="Times New Roman" w:hAnsi="Times New Roman" w:cs="Times New Roman"/>
          <w:color w:val="auto"/>
          <w:sz w:val="24"/>
          <w:szCs w:val="24"/>
        </w:rPr>
        <w:t>3</w:t>
      </w:r>
      <w:r w:rsidRPr="007F40EB">
        <w:rPr>
          <w:rStyle w:val="Hyperlink1"/>
          <w:rFonts w:ascii="Times New Roman" w:hAnsi="Times New Roman" w:cs="Times New Roman"/>
          <w:color w:val="auto"/>
          <w:sz w:val="24"/>
          <w:szCs w:val="24"/>
        </w:rPr>
        <w:t>, SE = 0.05; delayed recall EM mean = -0.2</w:t>
      </w:r>
      <w:r w:rsidR="005416EB" w:rsidRPr="007F40EB">
        <w:rPr>
          <w:rStyle w:val="Hyperlink1"/>
          <w:rFonts w:ascii="Times New Roman" w:hAnsi="Times New Roman" w:cs="Times New Roman"/>
          <w:color w:val="auto"/>
          <w:sz w:val="24"/>
          <w:szCs w:val="24"/>
        </w:rPr>
        <w:t>3</w:t>
      </w:r>
      <w:r w:rsidRPr="007F40EB">
        <w:rPr>
          <w:rStyle w:val="Hyperlink1"/>
          <w:rFonts w:ascii="Times New Roman" w:hAnsi="Times New Roman" w:cs="Times New Roman"/>
          <w:color w:val="auto"/>
          <w:sz w:val="24"/>
          <w:szCs w:val="24"/>
        </w:rPr>
        <w:t xml:space="preserve">, SE = 0.05). </w:t>
      </w:r>
      <w:r w:rsidR="005416EB" w:rsidRPr="007F40EB">
        <w:rPr>
          <w:rFonts w:ascii="Times New Roman" w:hAnsi="Times New Roman" w:cs="Times New Roman"/>
          <w:color w:val="auto"/>
          <w:sz w:val="24"/>
          <w:szCs w:val="24"/>
        </w:rPr>
        <w:t xml:space="preserve">However, in women, there was no significant relationship between sexual activity and change in either immediate (0.04 points, 95% CI -0.04 to 0.12, </w:t>
      </w:r>
      <w:r w:rsidR="005416EB" w:rsidRPr="007F40EB">
        <w:rPr>
          <w:rStyle w:val="None"/>
          <w:rFonts w:ascii="Times New Roman" w:hAnsi="Times New Roman" w:cs="Times New Roman"/>
          <w:i/>
          <w:iCs/>
          <w:color w:val="auto"/>
          <w:sz w:val="24"/>
          <w:szCs w:val="24"/>
        </w:rPr>
        <w:t>p</w:t>
      </w:r>
      <w:r w:rsidR="005416EB" w:rsidRPr="007F40EB">
        <w:rPr>
          <w:rFonts w:ascii="Times New Roman" w:hAnsi="Times New Roman" w:cs="Times New Roman"/>
          <w:color w:val="auto"/>
          <w:sz w:val="24"/>
          <w:szCs w:val="24"/>
        </w:rPr>
        <w:t xml:space="preserve">=0.394) or delayed recall (0.06 points, 95% CI -0.03 to 0.14, </w:t>
      </w:r>
      <w:r w:rsidR="005416EB" w:rsidRPr="007F40EB">
        <w:rPr>
          <w:rStyle w:val="None"/>
          <w:rFonts w:ascii="Times New Roman" w:hAnsi="Times New Roman" w:cs="Times New Roman"/>
          <w:i/>
          <w:iCs/>
          <w:color w:val="auto"/>
          <w:sz w:val="24"/>
          <w:szCs w:val="24"/>
        </w:rPr>
        <w:t>p</w:t>
      </w:r>
      <w:r w:rsidR="005416EB" w:rsidRPr="007F40EB">
        <w:rPr>
          <w:rFonts w:ascii="Times New Roman" w:hAnsi="Times New Roman" w:cs="Times New Roman"/>
          <w:color w:val="auto"/>
          <w:sz w:val="24"/>
          <w:szCs w:val="24"/>
        </w:rPr>
        <w:t>=0.176).</w:t>
      </w:r>
    </w:p>
    <w:p w:rsidR="005416EB" w:rsidRPr="007F40EB" w:rsidRDefault="005416EB" w:rsidP="00CE54E2">
      <w:pPr>
        <w:pStyle w:val="Body"/>
        <w:spacing w:after="0" w:line="480" w:lineRule="auto"/>
        <w:rPr>
          <w:rStyle w:val="Hyperlink1"/>
          <w:rFonts w:ascii="Times New Roman" w:hAnsi="Times New Roman" w:cs="Times New Roman"/>
          <w:color w:val="auto"/>
          <w:sz w:val="24"/>
          <w:szCs w:val="24"/>
        </w:rPr>
      </w:pPr>
    </w:p>
    <w:p w:rsidR="0082500B" w:rsidRPr="007F40EB" w:rsidRDefault="006819F9" w:rsidP="00CE54E2">
      <w:pPr>
        <w:pStyle w:val="Body"/>
        <w:spacing w:after="0" w:line="480" w:lineRule="auto"/>
        <w:rPr>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lastRenderedPageBreak/>
        <w:t xml:space="preserve">After additional adjustment for </w:t>
      </w:r>
      <w:r w:rsidRPr="007F40EB">
        <w:rPr>
          <w:rFonts w:ascii="Times New Roman" w:hAnsi="Times New Roman" w:cs="Times New Roman"/>
          <w:color w:val="auto"/>
          <w:sz w:val="24"/>
          <w:szCs w:val="24"/>
        </w:rPr>
        <w:t xml:space="preserve">partner status, ethnicity, </w:t>
      </w:r>
      <w:r w:rsidR="005416EB" w:rsidRPr="007F40EB">
        <w:rPr>
          <w:rFonts w:ascii="Times New Roman" w:hAnsi="Times New Roman" w:cs="Times New Roman"/>
          <w:color w:val="auto"/>
          <w:sz w:val="24"/>
          <w:szCs w:val="24"/>
        </w:rPr>
        <w:t xml:space="preserve">education, </w:t>
      </w:r>
      <w:r w:rsidRPr="007F40EB">
        <w:rPr>
          <w:rFonts w:ascii="Times New Roman" w:hAnsi="Times New Roman" w:cs="Times New Roman"/>
          <w:color w:val="auto"/>
          <w:sz w:val="24"/>
          <w:szCs w:val="24"/>
        </w:rPr>
        <w:t xml:space="preserve">wealth, </w:t>
      </w:r>
      <w:r w:rsidR="005416EB" w:rsidRPr="007F40EB">
        <w:rPr>
          <w:rFonts w:ascii="Times New Roman" w:hAnsi="Times New Roman" w:cs="Times New Roman"/>
          <w:color w:val="auto"/>
          <w:sz w:val="24"/>
          <w:szCs w:val="24"/>
        </w:rPr>
        <w:t xml:space="preserve">cardiovascular disease, diabetes, </w:t>
      </w:r>
      <w:r w:rsidRPr="007F40EB">
        <w:rPr>
          <w:rFonts w:ascii="Times New Roman" w:hAnsi="Times New Roman" w:cs="Times New Roman"/>
          <w:color w:val="auto"/>
          <w:sz w:val="24"/>
          <w:szCs w:val="24"/>
        </w:rPr>
        <w:t>limiting long-standing illness, smoking status, physical activity</w:t>
      </w:r>
      <w:r w:rsidR="005416EB"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 xml:space="preserve"> depressive symptoms,</w:t>
      </w:r>
      <w:r w:rsidR="005416EB" w:rsidRPr="007F40EB">
        <w:rPr>
          <w:rFonts w:ascii="Times New Roman" w:hAnsi="Times New Roman" w:cs="Times New Roman"/>
          <w:color w:val="auto"/>
          <w:sz w:val="24"/>
          <w:szCs w:val="24"/>
        </w:rPr>
        <w:t xml:space="preserve"> ADL impairments and IADL impairments,</w:t>
      </w:r>
      <w:r w:rsidRPr="007F40EB">
        <w:rPr>
          <w:rFonts w:ascii="Times New Roman" w:hAnsi="Times New Roman" w:cs="Times New Roman"/>
          <w:color w:val="auto"/>
          <w:sz w:val="24"/>
          <w:szCs w:val="24"/>
        </w:rPr>
        <w:t xml:space="preserve"> associations between sexual activity and preservation of cognitive function in men remained significant for immediate (0.</w:t>
      </w:r>
      <w:r w:rsidR="00C852C6" w:rsidRPr="007F40EB">
        <w:rPr>
          <w:rFonts w:ascii="Times New Roman" w:hAnsi="Times New Roman" w:cs="Times New Roman"/>
          <w:color w:val="auto"/>
          <w:sz w:val="24"/>
          <w:szCs w:val="24"/>
        </w:rPr>
        <w:t>18</w:t>
      </w:r>
      <w:r w:rsidRPr="007F40EB">
        <w:rPr>
          <w:rFonts w:ascii="Times New Roman" w:hAnsi="Times New Roman" w:cs="Times New Roman"/>
          <w:color w:val="auto"/>
          <w:sz w:val="24"/>
          <w:szCs w:val="24"/>
        </w:rPr>
        <w:t xml:space="preserve"> points, 95% CI 0.</w:t>
      </w:r>
      <w:r w:rsidR="00C852C6" w:rsidRPr="007F40EB">
        <w:rPr>
          <w:rFonts w:ascii="Times New Roman" w:hAnsi="Times New Roman" w:cs="Times New Roman"/>
          <w:color w:val="auto"/>
          <w:sz w:val="24"/>
          <w:szCs w:val="24"/>
        </w:rPr>
        <w:t>07</w:t>
      </w:r>
      <w:r w:rsidRPr="007F40EB">
        <w:rPr>
          <w:rFonts w:ascii="Times New Roman" w:hAnsi="Times New Roman" w:cs="Times New Roman"/>
          <w:color w:val="auto"/>
          <w:sz w:val="24"/>
          <w:szCs w:val="24"/>
        </w:rPr>
        <w:t xml:space="preserve"> to 0.</w:t>
      </w:r>
      <w:r w:rsidR="00C852C6" w:rsidRPr="007F40EB">
        <w:rPr>
          <w:rFonts w:ascii="Times New Roman" w:hAnsi="Times New Roman" w:cs="Times New Roman"/>
          <w:color w:val="auto"/>
          <w:sz w:val="24"/>
          <w:szCs w:val="24"/>
        </w:rPr>
        <w:t>29</w:t>
      </w:r>
      <w:r w:rsidRPr="007F40EB">
        <w:rPr>
          <w:rFonts w:ascii="Times New Roman" w:hAnsi="Times New Roman" w:cs="Times New Roman"/>
          <w:color w:val="auto"/>
          <w:sz w:val="24"/>
          <w:szCs w:val="24"/>
        </w:rPr>
        <w:t xml:space="preserve">, </w:t>
      </w:r>
      <w:r w:rsidRPr="007F40EB">
        <w:rPr>
          <w:rStyle w:val="None"/>
          <w:rFonts w:ascii="Times New Roman" w:hAnsi="Times New Roman" w:cs="Times New Roman"/>
          <w:i/>
          <w:iCs/>
          <w:color w:val="auto"/>
          <w:sz w:val="24"/>
          <w:szCs w:val="24"/>
        </w:rPr>
        <w:t>p</w:t>
      </w:r>
      <w:r w:rsidR="00C852C6" w:rsidRPr="007F40EB">
        <w:rPr>
          <w:rFonts w:ascii="Times New Roman" w:hAnsi="Times New Roman" w:cs="Times New Roman"/>
          <w:color w:val="auto"/>
          <w:sz w:val="24"/>
          <w:szCs w:val="24"/>
        </w:rPr>
        <w:t>=</w:t>
      </w:r>
      <w:r w:rsidRPr="007F40EB">
        <w:rPr>
          <w:rFonts w:ascii="Times New Roman" w:hAnsi="Times New Roman" w:cs="Times New Roman"/>
          <w:color w:val="auto"/>
          <w:sz w:val="24"/>
          <w:szCs w:val="24"/>
        </w:rPr>
        <w:t>0.00</w:t>
      </w:r>
      <w:r w:rsidR="00C852C6" w:rsidRPr="007F40EB">
        <w:rPr>
          <w:rFonts w:ascii="Times New Roman" w:hAnsi="Times New Roman" w:cs="Times New Roman"/>
          <w:color w:val="auto"/>
          <w:sz w:val="24"/>
          <w:szCs w:val="24"/>
        </w:rPr>
        <w:t>2</w:t>
      </w:r>
      <w:r w:rsidRPr="007F40EB">
        <w:rPr>
          <w:rFonts w:ascii="Times New Roman" w:hAnsi="Times New Roman" w:cs="Times New Roman"/>
          <w:color w:val="auto"/>
          <w:sz w:val="24"/>
          <w:szCs w:val="24"/>
        </w:rPr>
        <w:t>) and delayed recall (0.</w:t>
      </w:r>
      <w:r w:rsidR="00C852C6" w:rsidRPr="007F40EB">
        <w:rPr>
          <w:rFonts w:ascii="Times New Roman" w:hAnsi="Times New Roman" w:cs="Times New Roman"/>
          <w:color w:val="auto"/>
          <w:sz w:val="24"/>
          <w:szCs w:val="24"/>
        </w:rPr>
        <w:t>19</w:t>
      </w:r>
      <w:r w:rsidRPr="007F40EB">
        <w:rPr>
          <w:rFonts w:ascii="Times New Roman" w:hAnsi="Times New Roman" w:cs="Times New Roman"/>
          <w:color w:val="auto"/>
          <w:sz w:val="24"/>
          <w:szCs w:val="24"/>
        </w:rPr>
        <w:t xml:space="preserve"> points, 95% CI 0.</w:t>
      </w:r>
      <w:r w:rsidR="00C852C6" w:rsidRPr="007F40EB">
        <w:rPr>
          <w:rFonts w:ascii="Times New Roman" w:hAnsi="Times New Roman" w:cs="Times New Roman"/>
          <w:color w:val="auto"/>
          <w:sz w:val="24"/>
          <w:szCs w:val="24"/>
        </w:rPr>
        <w:t>08</w:t>
      </w:r>
      <w:r w:rsidRPr="007F40EB">
        <w:rPr>
          <w:rFonts w:ascii="Times New Roman" w:hAnsi="Times New Roman" w:cs="Times New Roman"/>
          <w:color w:val="auto"/>
          <w:sz w:val="24"/>
          <w:szCs w:val="24"/>
        </w:rPr>
        <w:t xml:space="preserve"> to 0.</w:t>
      </w:r>
      <w:r w:rsidR="00C852C6" w:rsidRPr="007F40EB">
        <w:rPr>
          <w:rFonts w:ascii="Times New Roman" w:hAnsi="Times New Roman" w:cs="Times New Roman"/>
          <w:color w:val="auto"/>
          <w:sz w:val="24"/>
          <w:szCs w:val="24"/>
        </w:rPr>
        <w:t>29</w:t>
      </w:r>
      <w:r w:rsidRPr="007F40EB">
        <w:rPr>
          <w:rFonts w:ascii="Times New Roman" w:hAnsi="Times New Roman" w:cs="Times New Roman"/>
          <w:color w:val="auto"/>
          <w:sz w:val="24"/>
          <w:szCs w:val="24"/>
        </w:rPr>
        <w:t xml:space="preserve">, </w:t>
      </w:r>
      <w:r w:rsidRPr="007F40EB">
        <w:rPr>
          <w:rStyle w:val="None"/>
          <w:rFonts w:ascii="Times New Roman" w:hAnsi="Times New Roman" w:cs="Times New Roman"/>
          <w:i/>
          <w:iCs/>
          <w:color w:val="auto"/>
          <w:sz w:val="24"/>
          <w:szCs w:val="24"/>
        </w:rPr>
        <w:t>p</w:t>
      </w:r>
      <w:r w:rsidR="00C852C6" w:rsidRPr="007F40EB">
        <w:rPr>
          <w:rStyle w:val="None"/>
          <w:rFonts w:ascii="Times New Roman" w:hAnsi="Times New Roman" w:cs="Times New Roman"/>
          <w:i/>
          <w:iCs/>
          <w:color w:val="auto"/>
          <w:sz w:val="24"/>
          <w:szCs w:val="24"/>
        </w:rPr>
        <w:t>=</w:t>
      </w:r>
      <w:r w:rsidRPr="007F40EB">
        <w:rPr>
          <w:rFonts w:ascii="Times New Roman" w:hAnsi="Times New Roman" w:cs="Times New Roman"/>
          <w:color w:val="auto"/>
          <w:sz w:val="24"/>
          <w:szCs w:val="24"/>
        </w:rPr>
        <w:t xml:space="preserve">0.001). </w:t>
      </w:r>
      <w:r w:rsidR="005416EB" w:rsidRPr="007F40EB">
        <w:rPr>
          <w:rFonts w:ascii="Times New Roman" w:hAnsi="Times New Roman" w:cs="Times New Roman"/>
          <w:color w:val="auto"/>
          <w:sz w:val="24"/>
          <w:szCs w:val="24"/>
        </w:rPr>
        <w:t>Associations remained non-significant in women.</w:t>
      </w:r>
    </w:p>
    <w:p w:rsidR="006A34E7" w:rsidRPr="007F40EB" w:rsidRDefault="006A34E7" w:rsidP="00CE54E2">
      <w:pPr>
        <w:pStyle w:val="Body"/>
        <w:spacing w:after="0" w:line="480" w:lineRule="auto"/>
        <w:rPr>
          <w:rFonts w:ascii="Times New Roman" w:hAnsi="Times New Roman" w:cs="Times New Roman"/>
          <w:color w:val="auto"/>
          <w:sz w:val="24"/>
          <w:szCs w:val="24"/>
        </w:rPr>
      </w:pPr>
    </w:p>
    <w:p w:rsidR="0082500B" w:rsidRPr="007F40EB" w:rsidRDefault="006819F9" w:rsidP="00CE54E2">
      <w:pPr>
        <w:pStyle w:val="Heading"/>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Discussion</w:t>
      </w:r>
    </w:p>
    <w:p w:rsidR="0082500B" w:rsidRPr="007F40EB" w:rsidRDefault="006819F9" w:rsidP="00CE54E2">
      <w:pPr>
        <w:pStyle w:val="Body"/>
        <w:spacing w:after="0" w:line="480" w:lineRule="auto"/>
        <w:rPr>
          <w:rStyle w:val="Hyperlink1"/>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In this large, representative sample of older English adults, </w:t>
      </w:r>
      <w:r w:rsidRPr="007F40EB">
        <w:rPr>
          <w:rStyle w:val="Hyperlink1"/>
          <w:rFonts w:ascii="Times New Roman" w:hAnsi="Times New Roman" w:cs="Times New Roman"/>
          <w:color w:val="auto"/>
          <w:sz w:val="24"/>
          <w:szCs w:val="24"/>
        </w:rPr>
        <w:t xml:space="preserve">the majority of men and just over half of women reported any sexual activity in the last year at baseline. In final adjusted models, sexual activity appeared to protect against cognitive decline (measured either by immediate or delayed recall) in men over </w:t>
      </w:r>
      <w:r w:rsidR="009C48B1" w:rsidRPr="007F40EB">
        <w:rPr>
          <w:rStyle w:val="Hyperlink1"/>
          <w:rFonts w:ascii="Times New Roman" w:hAnsi="Times New Roman" w:cs="Times New Roman"/>
          <w:color w:val="auto"/>
          <w:sz w:val="24"/>
          <w:szCs w:val="24"/>
        </w:rPr>
        <w:t>four</w:t>
      </w:r>
      <w:r w:rsidRPr="007F40EB">
        <w:rPr>
          <w:rStyle w:val="Hyperlink1"/>
          <w:rFonts w:ascii="Times New Roman" w:hAnsi="Times New Roman" w:cs="Times New Roman"/>
          <w:color w:val="auto"/>
          <w:sz w:val="24"/>
          <w:szCs w:val="24"/>
        </w:rPr>
        <w:t>-year follow-up. However, no such asso</w:t>
      </w:r>
      <w:r w:rsidR="0059028D" w:rsidRPr="007F40EB">
        <w:rPr>
          <w:rStyle w:val="Hyperlink1"/>
          <w:rFonts w:ascii="Times New Roman" w:hAnsi="Times New Roman" w:cs="Times New Roman"/>
          <w:color w:val="auto"/>
          <w:sz w:val="24"/>
          <w:szCs w:val="24"/>
        </w:rPr>
        <w:t>ciation was observed in women.</w:t>
      </w:r>
    </w:p>
    <w:p w:rsidR="006A34E7" w:rsidRPr="007F40EB" w:rsidRDefault="006A34E7" w:rsidP="00CE54E2">
      <w:pPr>
        <w:pStyle w:val="Body"/>
        <w:spacing w:after="0" w:line="480" w:lineRule="auto"/>
        <w:rPr>
          <w:rStyle w:val="Hyperlink1"/>
          <w:rFonts w:ascii="Times New Roman" w:hAnsi="Times New Roman" w:cs="Times New Roman"/>
          <w:color w:val="auto"/>
          <w:sz w:val="24"/>
          <w:szCs w:val="24"/>
        </w:rPr>
      </w:pPr>
    </w:p>
    <w:p w:rsidR="00155AB8" w:rsidRPr="007F40EB" w:rsidRDefault="0096793F" w:rsidP="00CE54E2">
      <w:pPr>
        <w:pStyle w:val="Body"/>
        <w:spacing w:after="0" w:line="480" w:lineRule="auto"/>
        <w:rPr>
          <w:rStyle w:val="Hyperlink1"/>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t>Literature suggests that older men who are sexually active also have increased levels of cognitive function</w:t>
      </w:r>
      <w:r w:rsidR="008D1A5A" w:rsidRPr="007F40EB">
        <w:rPr>
          <w:rStyle w:val="Hyperlink1"/>
          <w:rFonts w:ascii="Times New Roman" w:hAnsi="Times New Roman" w:cs="Times New Roman"/>
          <w:color w:val="auto"/>
          <w:sz w:val="24"/>
          <w:szCs w:val="24"/>
        </w:rPr>
        <w:t>, whil</w:t>
      </w:r>
      <w:r w:rsidR="00EB420B" w:rsidRPr="007F40EB">
        <w:rPr>
          <w:rStyle w:val="Hyperlink1"/>
          <w:rFonts w:ascii="Times New Roman" w:hAnsi="Times New Roman" w:cs="Times New Roman"/>
          <w:color w:val="auto"/>
          <w:sz w:val="24"/>
          <w:szCs w:val="24"/>
        </w:rPr>
        <w:t>e</w:t>
      </w:r>
      <w:r w:rsidR="008D1A5A" w:rsidRPr="007F40EB">
        <w:rPr>
          <w:rStyle w:val="Hyperlink1"/>
          <w:rFonts w:ascii="Times New Roman" w:hAnsi="Times New Roman" w:cs="Times New Roman"/>
          <w:color w:val="auto"/>
          <w:sz w:val="24"/>
          <w:szCs w:val="24"/>
        </w:rPr>
        <w:t xml:space="preserve"> findings in women are contradictory. In the ELSA study, the same that we used for our research, </w:t>
      </w:r>
      <w:bookmarkStart w:id="3" w:name="_Hlk524582029"/>
      <w:r w:rsidR="008D1A5A" w:rsidRPr="007F40EB">
        <w:rPr>
          <w:rStyle w:val="Hyperlink1"/>
          <w:rFonts w:ascii="Times New Roman" w:hAnsi="Times New Roman" w:cs="Times New Roman"/>
          <w:color w:val="auto"/>
          <w:sz w:val="24"/>
          <w:szCs w:val="24"/>
        </w:rPr>
        <w:t xml:space="preserve">a previous cross-sectional study demonstrated that men </w:t>
      </w:r>
      <w:r w:rsidR="00C25647" w:rsidRPr="007F40EB">
        <w:rPr>
          <w:rStyle w:val="Hyperlink1"/>
          <w:rFonts w:ascii="Times New Roman" w:hAnsi="Times New Roman" w:cs="Times New Roman"/>
          <w:color w:val="auto"/>
          <w:sz w:val="24"/>
          <w:szCs w:val="24"/>
        </w:rPr>
        <w:t xml:space="preserve">who were </w:t>
      </w:r>
      <w:r w:rsidR="008D1A5A" w:rsidRPr="007F40EB">
        <w:rPr>
          <w:rStyle w:val="Hyperlink1"/>
          <w:rFonts w:ascii="Times New Roman" w:hAnsi="Times New Roman" w:cs="Times New Roman"/>
          <w:color w:val="auto"/>
          <w:sz w:val="24"/>
          <w:szCs w:val="24"/>
        </w:rPr>
        <w:t>sexually active had better cognitive te</w:t>
      </w:r>
      <w:r w:rsidR="00E967A1" w:rsidRPr="007F40EB">
        <w:rPr>
          <w:rStyle w:val="Hyperlink1"/>
          <w:rFonts w:ascii="Times New Roman" w:hAnsi="Times New Roman" w:cs="Times New Roman"/>
          <w:color w:val="auto"/>
          <w:sz w:val="24"/>
          <w:szCs w:val="24"/>
        </w:rPr>
        <w:t>sts scores in all domains, while</w:t>
      </w:r>
      <w:r w:rsidR="008D1A5A" w:rsidRPr="007F40EB">
        <w:rPr>
          <w:rStyle w:val="Hyperlink1"/>
          <w:rFonts w:ascii="Times New Roman" w:hAnsi="Times New Roman" w:cs="Times New Roman"/>
          <w:color w:val="auto"/>
          <w:sz w:val="24"/>
          <w:szCs w:val="24"/>
        </w:rPr>
        <w:t xml:space="preserve"> in women these findings were attenuated</w:t>
      </w:r>
      <w:r w:rsidR="004C7E6D" w:rsidRPr="007F40EB">
        <w:rPr>
          <w:rStyle w:val="Hyperlink1"/>
          <w:rFonts w:ascii="Times New Roman" w:hAnsi="Times New Roman" w:cs="Times New Roman"/>
          <w:color w:val="auto"/>
          <w:sz w:val="24"/>
          <w:szCs w:val="24"/>
        </w:rPr>
        <w:t xml:space="preserve"> [17]</w:t>
      </w:r>
      <w:r w:rsidR="00F260C6" w:rsidRPr="007F40EB">
        <w:rPr>
          <w:rStyle w:val="Hyperlink1"/>
          <w:rFonts w:ascii="Times New Roman" w:hAnsi="Times New Roman" w:cs="Times New Roman"/>
          <w:color w:val="auto"/>
          <w:sz w:val="24"/>
          <w:szCs w:val="24"/>
        </w:rPr>
        <w:t>.</w:t>
      </w:r>
      <w:r w:rsidR="00E45CA9" w:rsidRPr="007F40EB">
        <w:rPr>
          <w:rStyle w:val="Hyperlink1"/>
          <w:rFonts w:ascii="Times New Roman" w:hAnsi="Times New Roman" w:cs="Times New Roman"/>
          <w:color w:val="auto"/>
          <w:sz w:val="24"/>
          <w:szCs w:val="24"/>
        </w:rPr>
        <w:t xml:space="preserve"> A </w:t>
      </w:r>
      <w:r w:rsidR="008D1A5A" w:rsidRPr="007F40EB">
        <w:rPr>
          <w:rStyle w:val="Hyperlink1"/>
          <w:rFonts w:ascii="Times New Roman" w:hAnsi="Times New Roman" w:cs="Times New Roman"/>
          <w:color w:val="auto"/>
          <w:sz w:val="24"/>
          <w:szCs w:val="24"/>
        </w:rPr>
        <w:t>more recent prospective study in the ELSA</w:t>
      </w:r>
      <w:r w:rsidR="00003A5A" w:rsidRPr="007F40EB">
        <w:rPr>
          <w:rStyle w:val="Hyperlink1"/>
          <w:rFonts w:ascii="Times New Roman" w:hAnsi="Times New Roman" w:cs="Times New Roman"/>
          <w:color w:val="auto"/>
          <w:sz w:val="24"/>
          <w:szCs w:val="24"/>
        </w:rPr>
        <w:t xml:space="preserve"> sample</w:t>
      </w:r>
      <w:r w:rsidR="008D1A5A" w:rsidRPr="007F40EB">
        <w:rPr>
          <w:rStyle w:val="Hyperlink1"/>
          <w:rFonts w:ascii="Times New Roman" w:hAnsi="Times New Roman" w:cs="Times New Roman"/>
          <w:color w:val="auto"/>
          <w:sz w:val="24"/>
          <w:szCs w:val="24"/>
        </w:rPr>
        <w:t xml:space="preserve"> found that sexua</w:t>
      </w:r>
      <w:r w:rsidR="00684CC9" w:rsidRPr="007F40EB">
        <w:rPr>
          <w:rStyle w:val="Hyperlink1"/>
          <w:rFonts w:ascii="Times New Roman" w:hAnsi="Times New Roman" w:cs="Times New Roman"/>
          <w:color w:val="auto"/>
          <w:sz w:val="24"/>
          <w:szCs w:val="24"/>
        </w:rPr>
        <w:t>l activity was associated with</w:t>
      </w:r>
      <w:r w:rsidR="008D1A5A" w:rsidRPr="007F40EB">
        <w:rPr>
          <w:rStyle w:val="Hyperlink1"/>
          <w:rFonts w:ascii="Times New Roman" w:hAnsi="Times New Roman" w:cs="Times New Roman"/>
          <w:color w:val="auto"/>
          <w:sz w:val="24"/>
          <w:szCs w:val="24"/>
        </w:rPr>
        <w:t xml:space="preserve"> better cognition, but this investigation was limited to </w:t>
      </w:r>
      <w:r w:rsidR="00684CC9" w:rsidRPr="007F40EB">
        <w:rPr>
          <w:rStyle w:val="Hyperlink1"/>
          <w:rFonts w:ascii="Times New Roman" w:hAnsi="Times New Roman" w:cs="Times New Roman"/>
          <w:color w:val="auto"/>
          <w:sz w:val="24"/>
          <w:szCs w:val="24"/>
        </w:rPr>
        <w:t>just</w:t>
      </w:r>
      <w:r w:rsidR="008D1A5A" w:rsidRPr="007F40EB">
        <w:rPr>
          <w:rStyle w:val="Hyperlink1"/>
          <w:rFonts w:ascii="Times New Roman" w:hAnsi="Times New Roman" w:cs="Times New Roman"/>
          <w:color w:val="auto"/>
          <w:sz w:val="24"/>
          <w:szCs w:val="24"/>
        </w:rPr>
        <w:t xml:space="preserve"> one cognitive test and</w:t>
      </w:r>
      <w:r w:rsidR="00684CC9" w:rsidRPr="007F40EB">
        <w:rPr>
          <w:rStyle w:val="Hyperlink1"/>
          <w:rFonts w:ascii="Times New Roman" w:hAnsi="Times New Roman" w:cs="Times New Roman"/>
          <w:color w:val="auto"/>
          <w:sz w:val="24"/>
          <w:szCs w:val="24"/>
        </w:rPr>
        <w:t xml:space="preserve"> evaluated changes over a shorter time span (two years)</w:t>
      </w:r>
      <w:bookmarkEnd w:id="3"/>
      <w:r w:rsidR="005E05BF" w:rsidRPr="007F40EB">
        <w:rPr>
          <w:rStyle w:val="Hyperlink1"/>
          <w:rFonts w:ascii="Times New Roman" w:hAnsi="Times New Roman" w:cs="Times New Roman"/>
          <w:color w:val="auto"/>
          <w:sz w:val="24"/>
          <w:szCs w:val="24"/>
        </w:rPr>
        <w:t xml:space="preserve"> </w:t>
      </w:r>
      <w:r w:rsidR="004C7E6D" w:rsidRPr="007F40EB">
        <w:rPr>
          <w:rStyle w:val="Hyperlink1"/>
          <w:rFonts w:ascii="Times New Roman" w:hAnsi="Times New Roman" w:cs="Times New Roman"/>
          <w:color w:val="auto"/>
          <w:sz w:val="24"/>
          <w:szCs w:val="24"/>
        </w:rPr>
        <w:t>[18]</w:t>
      </w:r>
      <w:r w:rsidR="00F260C6" w:rsidRPr="007F40EB">
        <w:rPr>
          <w:rStyle w:val="Hyperlink1"/>
          <w:rFonts w:ascii="Times New Roman" w:hAnsi="Times New Roman" w:cs="Times New Roman"/>
          <w:color w:val="auto"/>
          <w:sz w:val="24"/>
          <w:szCs w:val="24"/>
        </w:rPr>
        <w:t>.</w:t>
      </w:r>
      <w:r w:rsidR="00E45CA9" w:rsidRPr="007F40EB">
        <w:rPr>
          <w:rStyle w:val="Hyperlink1"/>
          <w:rFonts w:ascii="Times New Roman" w:hAnsi="Times New Roman" w:cs="Times New Roman"/>
          <w:color w:val="auto"/>
          <w:sz w:val="24"/>
          <w:szCs w:val="24"/>
        </w:rPr>
        <w:t xml:space="preserve"> </w:t>
      </w:r>
      <w:r w:rsidR="0087440D" w:rsidRPr="007F40EB">
        <w:rPr>
          <w:rStyle w:val="Hyperlink1"/>
          <w:rFonts w:ascii="Times New Roman" w:hAnsi="Times New Roman" w:cs="Times New Roman"/>
          <w:color w:val="auto"/>
          <w:sz w:val="24"/>
          <w:szCs w:val="24"/>
        </w:rPr>
        <w:t xml:space="preserve">Our investigation </w:t>
      </w:r>
      <w:r w:rsidR="00AA6AC5" w:rsidRPr="007F40EB">
        <w:rPr>
          <w:rStyle w:val="Hyperlink1"/>
          <w:rFonts w:ascii="Times New Roman" w:hAnsi="Times New Roman" w:cs="Times New Roman"/>
          <w:color w:val="auto"/>
          <w:sz w:val="24"/>
          <w:szCs w:val="24"/>
        </w:rPr>
        <w:t>expands</w:t>
      </w:r>
      <w:r w:rsidR="0087440D" w:rsidRPr="007F40EB">
        <w:rPr>
          <w:rStyle w:val="Hyperlink1"/>
          <w:rFonts w:ascii="Times New Roman" w:hAnsi="Times New Roman" w:cs="Times New Roman"/>
          <w:color w:val="auto"/>
          <w:sz w:val="24"/>
          <w:szCs w:val="24"/>
        </w:rPr>
        <w:t xml:space="preserve"> these preliminary findings, showing that sexual activity is </w:t>
      </w:r>
      <w:r w:rsidR="00C25647" w:rsidRPr="007F40EB">
        <w:rPr>
          <w:rStyle w:val="Hyperlink1"/>
          <w:rFonts w:ascii="Times New Roman" w:hAnsi="Times New Roman" w:cs="Times New Roman"/>
          <w:color w:val="auto"/>
          <w:sz w:val="24"/>
          <w:szCs w:val="24"/>
        </w:rPr>
        <w:t xml:space="preserve">positively </w:t>
      </w:r>
      <w:r w:rsidR="0087440D" w:rsidRPr="007F40EB">
        <w:rPr>
          <w:rStyle w:val="Hyperlink1"/>
          <w:rFonts w:ascii="Times New Roman" w:hAnsi="Times New Roman" w:cs="Times New Roman"/>
          <w:color w:val="auto"/>
          <w:sz w:val="24"/>
          <w:szCs w:val="24"/>
        </w:rPr>
        <w:t xml:space="preserve">associated with several cognitive tests </w:t>
      </w:r>
      <w:r w:rsidR="00AA6AC5" w:rsidRPr="007F40EB">
        <w:rPr>
          <w:rStyle w:val="Hyperlink1"/>
          <w:rFonts w:ascii="Times New Roman" w:hAnsi="Times New Roman" w:cs="Times New Roman"/>
          <w:color w:val="auto"/>
          <w:sz w:val="24"/>
          <w:szCs w:val="24"/>
        </w:rPr>
        <w:t>over</w:t>
      </w:r>
      <w:r w:rsidR="0087440D" w:rsidRPr="007F40EB">
        <w:rPr>
          <w:rStyle w:val="Hyperlink1"/>
          <w:rFonts w:ascii="Times New Roman" w:hAnsi="Times New Roman" w:cs="Times New Roman"/>
          <w:color w:val="auto"/>
          <w:sz w:val="24"/>
          <w:szCs w:val="24"/>
        </w:rPr>
        <w:t xml:space="preserve"> a </w:t>
      </w:r>
      <w:r w:rsidR="00AA6AC5" w:rsidRPr="007F40EB">
        <w:rPr>
          <w:rStyle w:val="Hyperlink1"/>
          <w:rFonts w:ascii="Times New Roman" w:hAnsi="Times New Roman" w:cs="Times New Roman"/>
          <w:color w:val="auto"/>
          <w:sz w:val="24"/>
          <w:szCs w:val="24"/>
        </w:rPr>
        <w:t xml:space="preserve">longer </w:t>
      </w:r>
      <w:r w:rsidR="0087440D" w:rsidRPr="007F40EB">
        <w:rPr>
          <w:rStyle w:val="Hyperlink1"/>
          <w:rFonts w:ascii="Times New Roman" w:hAnsi="Times New Roman" w:cs="Times New Roman"/>
          <w:color w:val="auto"/>
          <w:sz w:val="24"/>
          <w:szCs w:val="24"/>
        </w:rPr>
        <w:t>follow-up and</w:t>
      </w:r>
      <w:r w:rsidR="00AA6AC5" w:rsidRPr="007F40EB">
        <w:rPr>
          <w:rStyle w:val="Hyperlink1"/>
          <w:rFonts w:ascii="Times New Roman" w:hAnsi="Times New Roman" w:cs="Times New Roman"/>
          <w:color w:val="auto"/>
          <w:sz w:val="24"/>
          <w:szCs w:val="24"/>
        </w:rPr>
        <w:t>, importantly,</w:t>
      </w:r>
      <w:r w:rsidR="0087440D" w:rsidRPr="007F40EB">
        <w:rPr>
          <w:rStyle w:val="Hyperlink1"/>
          <w:rFonts w:ascii="Times New Roman" w:hAnsi="Times New Roman" w:cs="Times New Roman"/>
          <w:color w:val="auto"/>
          <w:sz w:val="24"/>
          <w:szCs w:val="24"/>
        </w:rPr>
        <w:t xml:space="preserve"> that this </w:t>
      </w:r>
      <w:r w:rsidR="00AF59E3" w:rsidRPr="007F40EB">
        <w:rPr>
          <w:rStyle w:val="Hyperlink1"/>
          <w:rFonts w:ascii="Times New Roman" w:hAnsi="Times New Roman" w:cs="Times New Roman"/>
          <w:color w:val="auto"/>
          <w:sz w:val="24"/>
          <w:szCs w:val="24"/>
        </w:rPr>
        <w:t>association</w:t>
      </w:r>
      <w:r w:rsidR="0087440D" w:rsidRPr="007F40EB">
        <w:rPr>
          <w:rStyle w:val="Hyperlink1"/>
          <w:rFonts w:ascii="Times New Roman" w:hAnsi="Times New Roman" w:cs="Times New Roman"/>
          <w:color w:val="auto"/>
          <w:sz w:val="24"/>
          <w:szCs w:val="24"/>
        </w:rPr>
        <w:t xml:space="preserve"> is </w:t>
      </w:r>
      <w:r w:rsidR="00AA6AC5" w:rsidRPr="007F40EB">
        <w:rPr>
          <w:rStyle w:val="Hyperlink1"/>
          <w:rFonts w:ascii="Times New Roman" w:hAnsi="Times New Roman" w:cs="Times New Roman"/>
          <w:color w:val="auto"/>
          <w:sz w:val="24"/>
          <w:szCs w:val="24"/>
        </w:rPr>
        <w:t>only observed among men</w:t>
      </w:r>
      <w:r w:rsidR="0087440D" w:rsidRPr="007F40EB">
        <w:rPr>
          <w:rStyle w:val="Hyperlink1"/>
          <w:rFonts w:ascii="Times New Roman" w:hAnsi="Times New Roman" w:cs="Times New Roman"/>
          <w:color w:val="auto"/>
          <w:sz w:val="24"/>
          <w:szCs w:val="24"/>
        </w:rPr>
        <w:t xml:space="preserve">. </w:t>
      </w:r>
    </w:p>
    <w:p w:rsidR="006A34E7" w:rsidRPr="007F40EB" w:rsidRDefault="006A34E7" w:rsidP="00CE54E2">
      <w:pPr>
        <w:pStyle w:val="Body"/>
        <w:spacing w:after="0" w:line="480" w:lineRule="auto"/>
        <w:rPr>
          <w:rStyle w:val="Hyperlink1"/>
          <w:rFonts w:ascii="Times New Roman" w:hAnsi="Times New Roman" w:cs="Times New Roman"/>
          <w:color w:val="auto"/>
          <w:sz w:val="24"/>
          <w:szCs w:val="24"/>
        </w:rPr>
      </w:pPr>
    </w:p>
    <w:p w:rsidR="003A0185" w:rsidRPr="007F40EB" w:rsidRDefault="00F75BCF" w:rsidP="00CE54E2">
      <w:pPr>
        <w:pStyle w:val="Body"/>
        <w:spacing w:after="0" w:line="480" w:lineRule="auto"/>
        <w:rPr>
          <w:rStyle w:val="Hyperlink1"/>
          <w:rFonts w:ascii="Times New Roman" w:hAnsi="Times New Roman" w:cs="Times New Roman"/>
          <w:color w:val="auto"/>
          <w:sz w:val="24"/>
          <w:szCs w:val="24"/>
        </w:rPr>
      </w:pPr>
      <w:r w:rsidRPr="007F40EB">
        <w:rPr>
          <w:rStyle w:val="Hyperlink1"/>
          <w:rFonts w:ascii="Times New Roman" w:hAnsi="Times New Roman" w:cs="Times New Roman"/>
          <w:color w:val="auto"/>
          <w:sz w:val="24"/>
          <w:szCs w:val="24"/>
        </w:rPr>
        <w:lastRenderedPageBreak/>
        <w:t xml:space="preserve">We can </w:t>
      </w:r>
      <w:r w:rsidR="00421028" w:rsidRPr="007F40EB">
        <w:rPr>
          <w:rStyle w:val="Hyperlink1"/>
          <w:rFonts w:ascii="Times New Roman" w:hAnsi="Times New Roman" w:cs="Times New Roman"/>
          <w:color w:val="auto"/>
          <w:sz w:val="24"/>
          <w:szCs w:val="24"/>
        </w:rPr>
        <w:t xml:space="preserve">potentially explain </w:t>
      </w:r>
      <w:r w:rsidRPr="007F40EB">
        <w:rPr>
          <w:rStyle w:val="Hyperlink1"/>
          <w:rFonts w:ascii="Times New Roman" w:hAnsi="Times New Roman" w:cs="Times New Roman"/>
          <w:color w:val="auto"/>
          <w:sz w:val="24"/>
          <w:szCs w:val="24"/>
        </w:rPr>
        <w:t>our findings through several mechanisms.</w:t>
      </w:r>
      <w:r w:rsidR="006A34E7" w:rsidRPr="007F40EB">
        <w:rPr>
          <w:rStyle w:val="Hyperlink1"/>
          <w:rFonts w:ascii="Times New Roman" w:hAnsi="Times New Roman" w:cs="Times New Roman"/>
          <w:color w:val="auto"/>
          <w:sz w:val="24"/>
          <w:szCs w:val="24"/>
        </w:rPr>
        <w:t xml:space="preserve"> </w:t>
      </w:r>
      <w:r w:rsidR="00CF2989" w:rsidRPr="007F40EB">
        <w:rPr>
          <w:rFonts w:ascii="Times New Roman" w:hAnsi="Times New Roman" w:cs="Times New Roman"/>
          <w:color w:val="auto"/>
          <w:sz w:val="24"/>
          <w:szCs w:val="24"/>
        </w:rPr>
        <w:t xml:space="preserve">First, the possible relationship between </w:t>
      </w:r>
      <w:r w:rsidR="009F7443" w:rsidRPr="007F40EB">
        <w:rPr>
          <w:rFonts w:ascii="Times New Roman" w:hAnsi="Times New Roman" w:cs="Times New Roman"/>
          <w:color w:val="auto"/>
          <w:sz w:val="24"/>
          <w:szCs w:val="24"/>
        </w:rPr>
        <w:t xml:space="preserve">sexual activity and better </w:t>
      </w:r>
      <w:r w:rsidR="00CF2989" w:rsidRPr="007F40EB">
        <w:rPr>
          <w:rFonts w:ascii="Times New Roman" w:hAnsi="Times New Roman" w:cs="Times New Roman"/>
          <w:color w:val="auto"/>
          <w:sz w:val="24"/>
          <w:szCs w:val="24"/>
        </w:rPr>
        <w:t xml:space="preserve">cognitive </w:t>
      </w:r>
      <w:r w:rsidR="009F7443" w:rsidRPr="007F40EB">
        <w:rPr>
          <w:rFonts w:ascii="Times New Roman" w:hAnsi="Times New Roman" w:cs="Times New Roman"/>
          <w:color w:val="auto"/>
          <w:sz w:val="24"/>
          <w:szCs w:val="24"/>
        </w:rPr>
        <w:t>function</w:t>
      </w:r>
      <w:r w:rsidR="00CF2989" w:rsidRPr="007F40EB">
        <w:rPr>
          <w:rFonts w:ascii="Times New Roman" w:hAnsi="Times New Roman" w:cs="Times New Roman"/>
          <w:color w:val="auto"/>
          <w:sz w:val="24"/>
          <w:szCs w:val="24"/>
        </w:rPr>
        <w:t xml:space="preserve"> may be explained via alterations in neurotransmission. For example, </w:t>
      </w:r>
      <w:r w:rsidR="008F2778" w:rsidRPr="007F40EB">
        <w:rPr>
          <w:rFonts w:ascii="Times New Roman" w:hAnsi="Times New Roman" w:cs="Times New Roman"/>
          <w:color w:val="auto"/>
          <w:sz w:val="24"/>
          <w:szCs w:val="24"/>
        </w:rPr>
        <w:t xml:space="preserve">dopamine might have </w:t>
      </w:r>
      <w:r w:rsidR="00CF2989" w:rsidRPr="007F40EB">
        <w:rPr>
          <w:rFonts w:ascii="Times New Roman" w:hAnsi="Times New Roman" w:cs="Times New Roman"/>
          <w:color w:val="auto"/>
          <w:sz w:val="24"/>
          <w:szCs w:val="24"/>
        </w:rPr>
        <w:t xml:space="preserve">cognitive enhancing effects </w:t>
      </w:r>
      <w:r w:rsidR="008F2778" w:rsidRPr="007F40EB">
        <w:rPr>
          <w:rFonts w:ascii="Times New Roman" w:hAnsi="Times New Roman" w:cs="Times New Roman"/>
          <w:color w:val="auto"/>
          <w:sz w:val="24"/>
          <w:szCs w:val="24"/>
        </w:rPr>
        <w:t>as reported in animal and experimental models</w:t>
      </w:r>
      <w:r w:rsidR="004C7E6D" w:rsidRPr="007F40EB">
        <w:rPr>
          <w:rFonts w:ascii="Times New Roman" w:hAnsi="Times New Roman" w:cs="Times New Roman"/>
          <w:color w:val="auto"/>
          <w:sz w:val="24"/>
          <w:szCs w:val="24"/>
        </w:rPr>
        <w:t xml:space="preserve"> [26]</w:t>
      </w:r>
      <w:r w:rsidR="00F260C6" w:rsidRPr="007F40EB">
        <w:rPr>
          <w:rFonts w:ascii="Times New Roman" w:hAnsi="Times New Roman" w:cs="Times New Roman"/>
          <w:color w:val="auto"/>
          <w:sz w:val="24"/>
          <w:szCs w:val="24"/>
        </w:rPr>
        <w:t>,</w:t>
      </w:r>
      <w:r w:rsidR="008F2778" w:rsidRPr="007F40EB">
        <w:rPr>
          <w:rFonts w:ascii="Times New Roman" w:hAnsi="Times New Roman" w:cs="Times New Roman"/>
          <w:color w:val="auto"/>
          <w:sz w:val="24"/>
          <w:szCs w:val="24"/>
        </w:rPr>
        <w:t xml:space="preserve"> </w:t>
      </w:r>
      <w:r w:rsidR="00DC1527" w:rsidRPr="007F40EB">
        <w:rPr>
          <w:rFonts w:ascii="Times New Roman" w:hAnsi="Times New Roman" w:cs="Times New Roman"/>
          <w:color w:val="auto"/>
          <w:sz w:val="24"/>
          <w:szCs w:val="24"/>
        </w:rPr>
        <w:t>and</w:t>
      </w:r>
      <w:r w:rsidR="001B441C" w:rsidRPr="007F40EB">
        <w:rPr>
          <w:rFonts w:ascii="Times New Roman" w:hAnsi="Times New Roman" w:cs="Times New Roman"/>
          <w:color w:val="auto"/>
          <w:sz w:val="24"/>
          <w:szCs w:val="24"/>
        </w:rPr>
        <w:t xml:space="preserve"> dopamine is highly involved in </w:t>
      </w:r>
      <w:r w:rsidR="00CF2989" w:rsidRPr="007F40EB">
        <w:rPr>
          <w:rFonts w:ascii="Times New Roman" w:hAnsi="Times New Roman" w:cs="Times New Roman"/>
          <w:color w:val="auto"/>
          <w:sz w:val="24"/>
          <w:szCs w:val="24"/>
        </w:rPr>
        <w:t xml:space="preserve">sexual </w:t>
      </w:r>
      <w:r w:rsidR="006E1C04" w:rsidRPr="007F40EB">
        <w:rPr>
          <w:rFonts w:ascii="Times New Roman" w:hAnsi="Times New Roman" w:cs="Times New Roman"/>
          <w:color w:val="auto"/>
          <w:sz w:val="24"/>
          <w:szCs w:val="24"/>
        </w:rPr>
        <w:t>behavior</w:t>
      </w:r>
      <w:r w:rsidR="004C7E6D" w:rsidRPr="007F40EB">
        <w:rPr>
          <w:rFonts w:ascii="Times New Roman" w:hAnsi="Times New Roman" w:cs="Times New Roman"/>
          <w:color w:val="auto"/>
          <w:sz w:val="24"/>
          <w:szCs w:val="24"/>
        </w:rPr>
        <w:t xml:space="preserve"> [27]</w:t>
      </w:r>
      <w:r w:rsidR="00F260C6" w:rsidRPr="007F40EB">
        <w:rPr>
          <w:rFonts w:ascii="Times New Roman" w:hAnsi="Times New Roman" w:cs="Times New Roman"/>
          <w:color w:val="auto"/>
          <w:sz w:val="24"/>
          <w:szCs w:val="24"/>
        </w:rPr>
        <w:t>.</w:t>
      </w:r>
      <w:r w:rsidR="001B441C" w:rsidRPr="007F40EB">
        <w:rPr>
          <w:rFonts w:ascii="Times New Roman" w:hAnsi="Times New Roman" w:cs="Times New Roman"/>
          <w:color w:val="auto"/>
          <w:sz w:val="24"/>
          <w:szCs w:val="24"/>
        </w:rPr>
        <w:t xml:space="preserve"> </w:t>
      </w:r>
      <w:r w:rsidR="007B5394" w:rsidRPr="007F40EB">
        <w:rPr>
          <w:rFonts w:ascii="Times New Roman" w:hAnsi="Times New Roman" w:cs="Times New Roman"/>
          <w:color w:val="auto"/>
          <w:sz w:val="24"/>
          <w:szCs w:val="24"/>
        </w:rPr>
        <w:t xml:space="preserve">In this sense, </w:t>
      </w:r>
      <w:r w:rsidR="00CF2989" w:rsidRPr="007F40EB">
        <w:rPr>
          <w:rFonts w:ascii="Times New Roman" w:hAnsi="Times New Roman" w:cs="Times New Roman"/>
          <w:color w:val="auto"/>
          <w:sz w:val="24"/>
          <w:szCs w:val="24"/>
        </w:rPr>
        <w:t xml:space="preserve">other </w:t>
      </w:r>
      <w:r w:rsidR="007B5394" w:rsidRPr="007F40EB">
        <w:rPr>
          <w:rFonts w:ascii="Times New Roman" w:hAnsi="Times New Roman" w:cs="Times New Roman"/>
          <w:color w:val="auto"/>
          <w:sz w:val="24"/>
          <w:szCs w:val="24"/>
        </w:rPr>
        <w:t>hormones</w:t>
      </w:r>
      <w:r w:rsidR="00CF2989" w:rsidRPr="007F40EB">
        <w:rPr>
          <w:rFonts w:ascii="Times New Roman" w:hAnsi="Times New Roman" w:cs="Times New Roman"/>
          <w:color w:val="auto"/>
          <w:sz w:val="24"/>
          <w:szCs w:val="24"/>
        </w:rPr>
        <w:t xml:space="preserve"> such as oxytocin are </w:t>
      </w:r>
      <w:r w:rsidR="0061237A" w:rsidRPr="007F40EB">
        <w:rPr>
          <w:rFonts w:ascii="Times New Roman" w:hAnsi="Times New Roman" w:cs="Times New Roman"/>
          <w:color w:val="auto"/>
          <w:sz w:val="24"/>
          <w:szCs w:val="24"/>
        </w:rPr>
        <w:t>probably involved in the association between sexual activity and cognition</w:t>
      </w:r>
      <w:r w:rsidR="004C7E6D" w:rsidRPr="007F40EB">
        <w:rPr>
          <w:rFonts w:ascii="Times New Roman" w:hAnsi="Times New Roman" w:cs="Times New Roman"/>
          <w:color w:val="auto"/>
          <w:sz w:val="24"/>
          <w:szCs w:val="24"/>
        </w:rPr>
        <w:t xml:space="preserve"> [28]</w:t>
      </w:r>
      <w:r w:rsidR="00F260C6" w:rsidRPr="007F40EB">
        <w:rPr>
          <w:rFonts w:ascii="Times New Roman" w:hAnsi="Times New Roman" w:cs="Times New Roman"/>
          <w:color w:val="auto"/>
          <w:sz w:val="24"/>
          <w:szCs w:val="24"/>
        </w:rPr>
        <w:t>.</w:t>
      </w:r>
      <w:r w:rsidR="00CF2989" w:rsidRPr="007F40EB">
        <w:rPr>
          <w:rFonts w:ascii="Times New Roman" w:hAnsi="Times New Roman" w:cs="Times New Roman"/>
          <w:color w:val="auto"/>
          <w:sz w:val="24"/>
          <w:szCs w:val="24"/>
        </w:rPr>
        <w:t xml:space="preserve"> </w:t>
      </w:r>
      <w:r w:rsidR="00486A1F" w:rsidRPr="007F40EB">
        <w:rPr>
          <w:rFonts w:ascii="Times New Roman" w:hAnsi="Times New Roman" w:cs="Times New Roman"/>
          <w:color w:val="auto"/>
          <w:sz w:val="24"/>
          <w:szCs w:val="24"/>
        </w:rPr>
        <w:t>L</w:t>
      </w:r>
      <w:r w:rsidR="006819F9" w:rsidRPr="007F40EB">
        <w:rPr>
          <w:rStyle w:val="Hyperlink1"/>
          <w:rFonts w:ascii="Times New Roman" w:hAnsi="Times New Roman" w:cs="Times New Roman"/>
          <w:color w:val="auto"/>
          <w:sz w:val="24"/>
          <w:szCs w:val="24"/>
        </w:rPr>
        <w:t>ow serum level of brain-derived neurotrophic factor (BDNF)</w:t>
      </w:r>
      <w:r w:rsidR="00486A1F" w:rsidRPr="007F40EB">
        <w:rPr>
          <w:rStyle w:val="Hyperlink1"/>
          <w:rFonts w:ascii="Times New Roman" w:hAnsi="Times New Roman" w:cs="Times New Roman"/>
          <w:color w:val="auto"/>
          <w:sz w:val="24"/>
          <w:szCs w:val="24"/>
        </w:rPr>
        <w:t xml:space="preserve"> may also be implicated</w:t>
      </w:r>
      <w:r w:rsidR="006819F9" w:rsidRPr="007F40EB">
        <w:rPr>
          <w:rStyle w:val="Hyperlink1"/>
          <w:rFonts w:ascii="Times New Roman" w:hAnsi="Times New Roman" w:cs="Times New Roman"/>
          <w:color w:val="auto"/>
          <w:sz w:val="24"/>
          <w:szCs w:val="24"/>
        </w:rPr>
        <w:t>. BDNF has previously been shown to be associated with cognitive impairments, and genetic variations in the BDNF gene have been found to protect against cognitive impairments</w:t>
      </w:r>
      <w:r w:rsidR="004C7E6D" w:rsidRPr="007F40EB">
        <w:rPr>
          <w:rStyle w:val="Hyperlink1"/>
          <w:rFonts w:ascii="Times New Roman" w:hAnsi="Times New Roman" w:cs="Times New Roman"/>
          <w:color w:val="auto"/>
          <w:sz w:val="24"/>
          <w:szCs w:val="24"/>
        </w:rPr>
        <w:t xml:space="preserve"> [29,30].</w:t>
      </w:r>
      <w:r w:rsidR="006819F9" w:rsidRPr="007F40EB">
        <w:rPr>
          <w:rStyle w:val="Hyperlink1"/>
          <w:rFonts w:ascii="Times New Roman" w:hAnsi="Times New Roman" w:cs="Times New Roman"/>
          <w:color w:val="auto"/>
          <w:sz w:val="24"/>
          <w:szCs w:val="24"/>
        </w:rPr>
        <w:t xml:space="preserve"> BDNF is a </w:t>
      </w:r>
      <w:proofErr w:type="spellStart"/>
      <w:r w:rsidR="006819F9" w:rsidRPr="007F40EB">
        <w:rPr>
          <w:rStyle w:val="Hyperlink1"/>
          <w:rFonts w:ascii="Times New Roman" w:hAnsi="Times New Roman" w:cs="Times New Roman"/>
          <w:color w:val="auto"/>
          <w:sz w:val="24"/>
          <w:szCs w:val="24"/>
        </w:rPr>
        <w:t>neurotrophin</w:t>
      </w:r>
      <w:proofErr w:type="spellEnd"/>
      <w:r w:rsidR="006819F9" w:rsidRPr="007F40EB">
        <w:rPr>
          <w:rStyle w:val="Hyperlink1"/>
          <w:rFonts w:ascii="Times New Roman" w:hAnsi="Times New Roman" w:cs="Times New Roman"/>
          <w:color w:val="auto"/>
          <w:sz w:val="24"/>
          <w:szCs w:val="24"/>
        </w:rPr>
        <w:t xml:space="preserve"> secreted in response to muscle contraction</w:t>
      </w:r>
      <w:r w:rsidR="004C7E6D" w:rsidRPr="007F40EB">
        <w:rPr>
          <w:rStyle w:val="Hyperlink1"/>
          <w:rFonts w:ascii="Times New Roman" w:hAnsi="Times New Roman" w:cs="Times New Roman"/>
          <w:color w:val="auto"/>
          <w:sz w:val="24"/>
          <w:szCs w:val="24"/>
        </w:rPr>
        <w:t xml:space="preserve"> [31]</w:t>
      </w:r>
      <w:r w:rsidR="00F260C6" w:rsidRPr="007F40EB">
        <w:rPr>
          <w:rStyle w:val="Hyperlink1"/>
          <w:rFonts w:ascii="Times New Roman" w:hAnsi="Times New Roman" w:cs="Times New Roman"/>
          <w:color w:val="auto"/>
          <w:sz w:val="24"/>
          <w:szCs w:val="24"/>
        </w:rPr>
        <w:t>.</w:t>
      </w:r>
      <w:r w:rsidR="006819F9" w:rsidRPr="007F40EB">
        <w:rPr>
          <w:rStyle w:val="Hyperlink1"/>
          <w:rFonts w:ascii="Times New Roman" w:hAnsi="Times New Roman" w:cs="Times New Roman"/>
          <w:color w:val="auto"/>
          <w:sz w:val="24"/>
          <w:szCs w:val="24"/>
        </w:rPr>
        <w:t xml:space="preserve"> Sexual intercourse can be seen as a moderate intensity </w:t>
      </w:r>
      <w:r w:rsidR="006819F9" w:rsidRPr="007F40EB">
        <w:rPr>
          <w:rStyle w:val="None"/>
          <w:rFonts w:ascii="Times New Roman" w:hAnsi="Times New Roman" w:cs="Times New Roman"/>
          <w:color w:val="auto"/>
          <w:sz w:val="24"/>
          <w:szCs w:val="24"/>
        </w:rPr>
        <w:t xml:space="preserve">(5.8 METS) </w:t>
      </w:r>
      <w:r w:rsidR="006819F9" w:rsidRPr="007F40EB">
        <w:rPr>
          <w:rStyle w:val="Hyperlink1"/>
          <w:rFonts w:ascii="Times New Roman" w:hAnsi="Times New Roman" w:cs="Times New Roman"/>
          <w:color w:val="auto"/>
          <w:sz w:val="24"/>
          <w:szCs w:val="24"/>
        </w:rPr>
        <w:t>activity</w:t>
      </w:r>
      <w:r w:rsidR="004C7E6D" w:rsidRPr="007F40EB">
        <w:rPr>
          <w:rStyle w:val="Hyperlink1"/>
          <w:rFonts w:ascii="Times New Roman" w:hAnsi="Times New Roman" w:cs="Times New Roman"/>
          <w:color w:val="auto"/>
          <w:sz w:val="24"/>
          <w:szCs w:val="24"/>
        </w:rPr>
        <w:t xml:space="preserve"> [32]</w:t>
      </w:r>
      <w:r w:rsidR="00F260C6" w:rsidRPr="007F40EB">
        <w:rPr>
          <w:rStyle w:val="Hyperlink1"/>
          <w:rFonts w:ascii="Times New Roman" w:hAnsi="Times New Roman" w:cs="Times New Roman"/>
          <w:color w:val="auto"/>
          <w:sz w:val="24"/>
          <w:szCs w:val="24"/>
        </w:rPr>
        <w:t xml:space="preserve"> </w:t>
      </w:r>
      <w:r w:rsidR="006819F9" w:rsidRPr="007F40EB">
        <w:rPr>
          <w:rStyle w:val="Hyperlink1"/>
          <w:rFonts w:ascii="Times New Roman" w:hAnsi="Times New Roman" w:cs="Times New Roman"/>
          <w:color w:val="auto"/>
          <w:sz w:val="24"/>
          <w:szCs w:val="24"/>
        </w:rPr>
        <w:t>and requires significant contraction of large skeletal muscles; during such contractions BDNF is released which may aid in the prevention of cognitive decline. Another potential explanation is that engaging in sexual activity is beneficial for the circulatory system</w:t>
      </w:r>
      <w:r w:rsidR="004C7E6D" w:rsidRPr="007F40EB">
        <w:rPr>
          <w:rStyle w:val="Hyperlink1"/>
          <w:rFonts w:ascii="Times New Roman" w:hAnsi="Times New Roman" w:cs="Times New Roman"/>
          <w:color w:val="auto"/>
          <w:sz w:val="24"/>
          <w:szCs w:val="24"/>
        </w:rPr>
        <w:t xml:space="preserve"> [14]</w:t>
      </w:r>
      <w:r w:rsidR="00F260C6" w:rsidRPr="007F40EB">
        <w:rPr>
          <w:rStyle w:val="Hyperlink1"/>
          <w:rFonts w:ascii="Times New Roman" w:hAnsi="Times New Roman" w:cs="Times New Roman"/>
          <w:color w:val="auto"/>
          <w:sz w:val="24"/>
          <w:szCs w:val="24"/>
        </w:rPr>
        <w:t xml:space="preserve"> </w:t>
      </w:r>
      <w:r w:rsidR="006819F9" w:rsidRPr="007F40EB">
        <w:rPr>
          <w:rStyle w:val="Hyperlink1"/>
          <w:rFonts w:ascii="Times New Roman" w:hAnsi="Times New Roman" w:cs="Times New Roman"/>
          <w:color w:val="auto"/>
          <w:sz w:val="24"/>
          <w:szCs w:val="24"/>
        </w:rPr>
        <w:t>and diseases of the circulatory system may adversely affect normal brain functioning, leading to cognitive decline</w:t>
      </w:r>
      <w:r w:rsidR="004C7E6D" w:rsidRPr="007F40EB">
        <w:rPr>
          <w:rStyle w:val="Hyperlink1"/>
          <w:rFonts w:ascii="Times New Roman" w:hAnsi="Times New Roman" w:cs="Times New Roman"/>
          <w:color w:val="auto"/>
          <w:sz w:val="24"/>
          <w:szCs w:val="24"/>
        </w:rPr>
        <w:t xml:space="preserve"> [33]</w:t>
      </w:r>
      <w:r w:rsidR="00F260C6" w:rsidRPr="007F40EB">
        <w:rPr>
          <w:rStyle w:val="Hyperlink1"/>
          <w:rFonts w:ascii="Times New Roman" w:hAnsi="Times New Roman" w:cs="Times New Roman"/>
          <w:color w:val="auto"/>
          <w:sz w:val="24"/>
          <w:szCs w:val="24"/>
        </w:rPr>
        <w:t>.</w:t>
      </w:r>
      <w:r w:rsidR="004C7E6D" w:rsidRPr="007F40EB">
        <w:rPr>
          <w:rStyle w:val="Hyperlink1"/>
          <w:rFonts w:ascii="Times New Roman" w:hAnsi="Times New Roman" w:cs="Times New Roman"/>
          <w:color w:val="auto"/>
          <w:sz w:val="24"/>
          <w:szCs w:val="24"/>
        </w:rPr>
        <w:t xml:space="preserve"> </w:t>
      </w:r>
    </w:p>
    <w:p w:rsidR="006A34E7" w:rsidRPr="007F40EB" w:rsidRDefault="006A34E7" w:rsidP="00CE54E2">
      <w:pPr>
        <w:pStyle w:val="Body"/>
        <w:spacing w:after="0" w:line="480" w:lineRule="auto"/>
        <w:rPr>
          <w:rStyle w:val="Hyperlink1"/>
          <w:rFonts w:ascii="Times New Roman" w:hAnsi="Times New Roman" w:cs="Times New Roman"/>
          <w:color w:val="auto"/>
          <w:sz w:val="24"/>
          <w:szCs w:val="24"/>
        </w:rPr>
      </w:pPr>
    </w:p>
    <w:p w:rsidR="003A0185" w:rsidRPr="007F40EB" w:rsidRDefault="006819F9" w:rsidP="00CE54E2">
      <w:pPr>
        <w:pStyle w:val="Body"/>
        <w:spacing w:after="0" w:line="480" w:lineRule="auto"/>
        <w:rPr>
          <w:rStyle w:val="None"/>
          <w:rFonts w:ascii="Times New Roman" w:hAnsi="Times New Roman" w:cs="Times New Roman"/>
          <w:color w:val="auto"/>
          <w:sz w:val="24"/>
          <w:szCs w:val="24"/>
          <w:shd w:val="clear" w:color="auto" w:fill="FFFFFF"/>
        </w:rPr>
      </w:pPr>
      <w:r w:rsidRPr="007F40EB">
        <w:rPr>
          <w:rStyle w:val="None"/>
          <w:rFonts w:ascii="Times New Roman" w:hAnsi="Times New Roman" w:cs="Times New Roman"/>
          <w:color w:val="auto"/>
          <w:sz w:val="24"/>
          <w:szCs w:val="24"/>
          <w:shd w:val="clear" w:color="auto" w:fill="FFFFFF"/>
        </w:rPr>
        <w:t>Sex differences in cognitive function in later life are thought to be a consequence of differences in brain development and structure between men and women</w:t>
      </w:r>
      <w:r w:rsidR="004C7E6D" w:rsidRPr="007F40EB">
        <w:rPr>
          <w:rStyle w:val="None"/>
          <w:rFonts w:ascii="Times New Roman" w:hAnsi="Times New Roman" w:cs="Times New Roman"/>
          <w:color w:val="auto"/>
          <w:sz w:val="24"/>
          <w:szCs w:val="24"/>
          <w:shd w:val="clear" w:color="auto" w:fill="FFFFFF"/>
        </w:rPr>
        <w:t xml:space="preserve"> [34]</w:t>
      </w:r>
      <w:r w:rsidR="00F260C6" w:rsidRPr="007F40EB">
        <w:rPr>
          <w:rStyle w:val="None"/>
          <w:rFonts w:ascii="Times New Roman" w:hAnsi="Times New Roman" w:cs="Times New Roman"/>
          <w:color w:val="auto"/>
          <w:sz w:val="24"/>
          <w:szCs w:val="24"/>
          <w:shd w:val="clear" w:color="auto" w:fill="FFFFFF"/>
        </w:rPr>
        <w:t xml:space="preserve">. </w:t>
      </w:r>
      <w:r w:rsidRPr="007F40EB">
        <w:rPr>
          <w:rStyle w:val="None"/>
          <w:rFonts w:ascii="Times New Roman" w:hAnsi="Times New Roman" w:cs="Times New Roman"/>
          <w:color w:val="auto"/>
          <w:sz w:val="24"/>
          <w:szCs w:val="24"/>
          <w:shd w:val="clear" w:color="auto" w:fill="FFFFFF"/>
        </w:rPr>
        <w:t>Recently, sex differences and response to sex hormones in brain function and regions have been identified</w:t>
      </w:r>
      <w:r w:rsidR="004C7E6D" w:rsidRPr="007F40EB">
        <w:rPr>
          <w:rStyle w:val="None"/>
          <w:rFonts w:ascii="Times New Roman" w:hAnsi="Times New Roman" w:cs="Times New Roman"/>
          <w:color w:val="auto"/>
          <w:sz w:val="24"/>
          <w:szCs w:val="24"/>
          <w:shd w:val="clear" w:color="auto" w:fill="FFFFFF"/>
        </w:rPr>
        <w:t xml:space="preserve"> [35]</w:t>
      </w:r>
      <w:r w:rsidR="00F260C6" w:rsidRPr="007F40EB">
        <w:rPr>
          <w:rStyle w:val="None"/>
          <w:rFonts w:ascii="Times New Roman" w:hAnsi="Times New Roman" w:cs="Times New Roman"/>
          <w:color w:val="auto"/>
          <w:sz w:val="24"/>
          <w:szCs w:val="24"/>
          <w:shd w:val="clear" w:color="auto" w:fill="FFFFFF"/>
        </w:rPr>
        <w:t>.</w:t>
      </w:r>
      <w:r w:rsidRPr="007F40EB">
        <w:rPr>
          <w:rStyle w:val="None"/>
          <w:rFonts w:ascii="Times New Roman" w:hAnsi="Times New Roman" w:cs="Times New Roman"/>
          <w:color w:val="auto"/>
          <w:sz w:val="24"/>
          <w:szCs w:val="24"/>
          <w:shd w:val="clear" w:color="auto" w:fill="FFFFFF"/>
        </w:rPr>
        <w:t xml:space="preserve"> Sex hormones affect neuronal structure and function on their own. For instance, testosterone induced spine synapses have been shown in the male rat hippocampus</w:t>
      </w:r>
      <w:r w:rsidR="004C7E6D" w:rsidRPr="007F40EB">
        <w:rPr>
          <w:rStyle w:val="None"/>
          <w:rFonts w:ascii="Times New Roman" w:hAnsi="Times New Roman" w:cs="Times New Roman"/>
          <w:color w:val="auto"/>
          <w:sz w:val="24"/>
          <w:szCs w:val="24"/>
          <w:shd w:val="clear" w:color="auto" w:fill="FFFFFF"/>
        </w:rPr>
        <w:t xml:space="preserve"> [36]</w:t>
      </w:r>
      <w:r w:rsidR="00F260C6" w:rsidRPr="007F40EB">
        <w:rPr>
          <w:rStyle w:val="None"/>
          <w:rFonts w:ascii="Times New Roman" w:hAnsi="Times New Roman" w:cs="Times New Roman"/>
          <w:color w:val="auto"/>
          <w:sz w:val="24"/>
          <w:szCs w:val="24"/>
          <w:shd w:val="clear" w:color="auto" w:fill="FFFFFF"/>
        </w:rPr>
        <w:t>.</w:t>
      </w:r>
      <w:r w:rsidRPr="007F40EB">
        <w:rPr>
          <w:rStyle w:val="None"/>
          <w:rFonts w:ascii="Times New Roman" w:hAnsi="Times New Roman" w:cs="Times New Roman"/>
          <w:color w:val="auto"/>
          <w:sz w:val="24"/>
          <w:szCs w:val="24"/>
          <w:shd w:val="clear" w:color="auto" w:fill="FFFFFF"/>
        </w:rPr>
        <w:t xml:space="preserve"> Sex hormones also affect brain functions interacting with stressors, although the specific mechanisms are yet to be discovered</w:t>
      </w:r>
      <w:r w:rsidR="004C7E6D" w:rsidRPr="007F40EB">
        <w:rPr>
          <w:rStyle w:val="None"/>
          <w:rFonts w:ascii="Times New Roman" w:hAnsi="Times New Roman" w:cs="Times New Roman"/>
          <w:color w:val="auto"/>
          <w:sz w:val="24"/>
          <w:szCs w:val="24"/>
          <w:shd w:val="clear" w:color="auto" w:fill="FFFFFF"/>
        </w:rPr>
        <w:t xml:space="preserve"> [37]</w:t>
      </w:r>
      <w:r w:rsidR="00F260C6" w:rsidRPr="007F40EB">
        <w:rPr>
          <w:rStyle w:val="None"/>
          <w:rFonts w:ascii="Times New Roman" w:hAnsi="Times New Roman" w:cs="Times New Roman"/>
          <w:color w:val="auto"/>
          <w:sz w:val="24"/>
          <w:szCs w:val="24"/>
          <w:shd w:val="clear" w:color="auto" w:fill="FFFFFF"/>
        </w:rPr>
        <w:t xml:space="preserve">. </w:t>
      </w:r>
      <w:r w:rsidRPr="007F40EB">
        <w:rPr>
          <w:rStyle w:val="None"/>
          <w:rFonts w:ascii="Times New Roman" w:hAnsi="Times New Roman" w:cs="Times New Roman"/>
          <w:color w:val="auto"/>
          <w:sz w:val="24"/>
          <w:szCs w:val="24"/>
          <w:shd w:val="clear" w:color="auto" w:fill="FFFFFF"/>
        </w:rPr>
        <w:t xml:space="preserve">It may be the high level of testosterone released by men, not women, during sexual activity that is driving the sex-specific association with cognitive decline observed in the present study. </w:t>
      </w:r>
      <w:r w:rsidR="00F93747" w:rsidRPr="007F40EB">
        <w:rPr>
          <w:rStyle w:val="None"/>
          <w:rFonts w:ascii="Times New Roman" w:hAnsi="Times New Roman" w:cs="Times New Roman"/>
          <w:color w:val="auto"/>
          <w:sz w:val="24"/>
          <w:szCs w:val="24"/>
          <w:shd w:val="clear" w:color="auto" w:fill="FFFFFF"/>
        </w:rPr>
        <w:t xml:space="preserve">However, </w:t>
      </w:r>
      <w:r w:rsidR="000816E0" w:rsidRPr="007F40EB">
        <w:rPr>
          <w:rStyle w:val="None"/>
          <w:rFonts w:ascii="Times New Roman" w:hAnsi="Times New Roman" w:cs="Times New Roman"/>
          <w:color w:val="auto"/>
          <w:sz w:val="24"/>
          <w:szCs w:val="24"/>
          <w:shd w:val="clear" w:color="auto" w:fill="FFFFFF"/>
        </w:rPr>
        <w:t xml:space="preserve">previous research reported that the </w:t>
      </w:r>
      <w:r w:rsidR="000816E0" w:rsidRPr="007F40EB">
        <w:rPr>
          <w:rStyle w:val="None"/>
          <w:rFonts w:ascii="Times New Roman" w:hAnsi="Times New Roman" w:cs="Times New Roman"/>
          <w:color w:val="auto"/>
          <w:sz w:val="24"/>
          <w:szCs w:val="24"/>
          <w:shd w:val="clear" w:color="auto" w:fill="FFFFFF"/>
        </w:rPr>
        <w:lastRenderedPageBreak/>
        <w:t xml:space="preserve">association between sexual activity and cognition is more evident in women than in </w:t>
      </w:r>
      <w:r w:rsidR="00E45CA9" w:rsidRPr="007F40EB">
        <w:rPr>
          <w:rStyle w:val="None"/>
          <w:rFonts w:ascii="Times New Roman" w:hAnsi="Times New Roman" w:cs="Times New Roman"/>
          <w:color w:val="auto"/>
          <w:sz w:val="24"/>
          <w:szCs w:val="24"/>
          <w:shd w:val="clear" w:color="auto" w:fill="FFFFFF"/>
        </w:rPr>
        <w:t>men</w:t>
      </w:r>
      <w:r w:rsidR="004C7E6D" w:rsidRPr="007F40EB">
        <w:rPr>
          <w:rStyle w:val="None"/>
          <w:rFonts w:ascii="Times New Roman" w:hAnsi="Times New Roman" w:cs="Times New Roman"/>
          <w:color w:val="auto"/>
          <w:sz w:val="24"/>
          <w:szCs w:val="24"/>
          <w:shd w:val="clear" w:color="auto" w:fill="FFFFFF"/>
        </w:rPr>
        <w:t xml:space="preserve"> [38]</w:t>
      </w:r>
      <w:r w:rsidR="00F260C6" w:rsidRPr="007F40EB">
        <w:rPr>
          <w:rStyle w:val="None"/>
          <w:rFonts w:ascii="Times New Roman" w:hAnsi="Times New Roman" w:cs="Times New Roman"/>
          <w:color w:val="auto"/>
          <w:sz w:val="24"/>
          <w:szCs w:val="24"/>
          <w:shd w:val="clear" w:color="auto" w:fill="FFFFFF"/>
        </w:rPr>
        <w:t xml:space="preserve">, </w:t>
      </w:r>
      <w:r w:rsidR="00F93747" w:rsidRPr="007F40EB">
        <w:rPr>
          <w:rStyle w:val="None"/>
          <w:rFonts w:ascii="Times New Roman" w:hAnsi="Times New Roman" w:cs="Times New Roman"/>
          <w:color w:val="auto"/>
          <w:sz w:val="24"/>
          <w:szCs w:val="24"/>
          <w:shd w:val="clear" w:color="auto" w:fill="FFFFFF"/>
        </w:rPr>
        <w:t>highlighting the need for more research on this</w:t>
      </w:r>
      <w:r w:rsidR="000816E0" w:rsidRPr="007F40EB">
        <w:rPr>
          <w:rStyle w:val="None"/>
          <w:rFonts w:ascii="Times New Roman" w:hAnsi="Times New Roman" w:cs="Times New Roman"/>
          <w:color w:val="auto"/>
          <w:sz w:val="24"/>
          <w:szCs w:val="24"/>
          <w:shd w:val="clear" w:color="auto" w:fill="FFFFFF"/>
        </w:rPr>
        <w:t xml:space="preserve"> topic.</w:t>
      </w:r>
    </w:p>
    <w:p w:rsidR="002B22A8" w:rsidRPr="007F40EB" w:rsidRDefault="002B22A8" w:rsidP="00CE54E2">
      <w:pPr>
        <w:pStyle w:val="Body"/>
        <w:spacing w:after="0" w:line="480" w:lineRule="auto"/>
        <w:rPr>
          <w:rStyle w:val="None"/>
          <w:rFonts w:ascii="Times New Roman" w:hAnsi="Times New Roman" w:cs="Times New Roman"/>
          <w:color w:val="auto"/>
          <w:sz w:val="24"/>
          <w:szCs w:val="24"/>
          <w:shd w:val="clear" w:color="auto" w:fill="FFFFFF"/>
        </w:rPr>
      </w:pPr>
    </w:p>
    <w:p w:rsidR="006A34E7" w:rsidRPr="007F40EB" w:rsidRDefault="006819F9" w:rsidP="00CE54E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Strengths of this study include the large, representative sample, longitudinal design, and adjustment for a wide range of potential confounders. However, there were also limitations. The observational nature of our study means we cannot deduce the exact direction of e</w:t>
      </w:r>
      <w:r w:rsidRPr="007F40EB">
        <w:rPr>
          <w:rStyle w:val="None"/>
          <w:rFonts w:ascii="Times New Roman" w:eastAsia="AdvOT596495f2+fb" w:hAnsi="Times New Roman" w:cs="Times New Roman"/>
          <w:color w:val="auto"/>
          <w:sz w:val="24"/>
          <w:szCs w:val="24"/>
        </w:rPr>
        <w:t>ff</w:t>
      </w:r>
      <w:r w:rsidRPr="007F40EB">
        <w:rPr>
          <w:rFonts w:ascii="Times New Roman" w:hAnsi="Times New Roman" w:cs="Times New Roman"/>
          <w:color w:val="auto"/>
          <w:sz w:val="24"/>
          <w:szCs w:val="24"/>
        </w:rPr>
        <w:t xml:space="preserve">ect of our </w:t>
      </w:r>
      <w:r w:rsidRPr="007F40EB">
        <w:rPr>
          <w:rStyle w:val="None"/>
          <w:rFonts w:ascii="Times New Roman" w:eastAsia="AdvOT596495f2+fb" w:hAnsi="Times New Roman" w:cs="Times New Roman"/>
          <w:color w:val="auto"/>
          <w:sz w:val="24"/>
          <w:szCs w:val="24"/>
        </w:rPr>
        <w:t>fi</w:t>
      </w:r>
      <w:r w:rsidRPr="007F40EB">
        <w:rPr>
          <w:rFonts w:ascii="Times New Roman" w:hAnsi="Times New Roman" w:cs="Times New Roman"/>
          <w:color w:val="auto"/>
          <w:sz w:val="24"/>
          <w:szCs w:val="24"/>
        </w:rPr>
        <w:t>ndings. In addition, cognitive ability test scores in older people may re</w:t>
      </w:r>
      <w:r w:rsidRPr="007F40EB">
        <w:rPr>
          <w:rStyle w:val="None"/>
          <w:rFonts w:ascii="Times New Roman" w:eastAsia="AdvOT596495f2+fb" w:hAnsi="Times New Roman" w:cs="Times New Roman"/>
          <w:color w:val="auto"/>
          <w:sz w:val="24"/>
          <w:szCs w:val="24"/>
        </w:rPr>
        <w:t>fl</w:t>
      </w:r>
      <w:r w:rsidRPr="007F40EB">
        <w:rPr>
          <w:rFonts w:ascii="Times New Roman" w:hAnsi="Times New Roman" w:cs="Times New Roman"/>
          <w:color w:val="auto"/>
          <w:sz w:val="24"/>
          <w:szCs w:val="24"/>
        </w:rPr>
        <w:t>ect not only a possible decline, but also their peak prior cognitive ability</w:t>
      </w:r>
      <w:r w:rsidR="004C7E6D" w:rsidRPr="007F40EB">
        <w:rPr>
          <w:rFonts w:ascii="Times New Roman" w:hAnsi="Times New Roman" w:cs="Times New Roman"/>
          <w:color w:val="auto"/>
          <w:sz w:val="24"/>
          <w:szCs w:val="24"/>
        </w:rPr>
        <w:t xml:space="preserve"> [20]</w:t>
      </w:r>
      <w:r w:rsidR="00F260C6" w:rsidRPr="007F40EB">
        <w:rPr>
          <w:rFonts w:ascii="Times New Roman" w:hAnsi="Times New Roman" w:cs="Times New Roman"/>
          <w:color w:val="auto"/>
          <w:sz w:val="24"/>
          <w:szCs w:val="24"/>
        </w:rPr>
        <w:t xml:space="preserve">, </w:t>
      </w:r>
      <w:r w:rsidRPr="007F40EB">
        <w:rPr>
          <w:rFonts w:ascii="Times New Roman" w:hAnsi="Times New Roman" w:cs="Times New Roman"/>
          <w:color w:val="auto"/>
          <w:sz w:val="24"/>
          <w:szCs w:val="24"/>
        </w:rPr>
        <w:t>but we did not have any information regarding the trajectories of their cognitive function during the lifespan.</w:t>
      </w:r>
      <w:r w:rsidR="008E635E" w:rsidRPr="007F40EB">
        <w:rPr>
          <w:color w:val="auto"/>
        </w:rPr>
        <w:t xml:space="preserve"> </w:t>
      </w:r>
      <w:r w:rsidR="00E53C17" w:rsidRPr="007F40EB">
        <w:rPr>
          <w:rFonts w:ascii="Times New Roman" w:hAnsi="Times New Roman" w:cs="Times New Roman"/>
          <w:color w:val="auto"/>
          <w:sz w:val="24"/>
          <w:szCs w:val="24"/>
        </w:rPr>
        <w:t>T</w:t>
      </w:r>
      <w:r w:rsidR="008E635E" w:rsidRPr="007F40EB">
        <w:rPr>
          <w:rFonts w:ascii="Times New Roman" w:hAnsi="Times New Roman" w:cs="Times New Roman"/>
          <w:color w:val="auto"/>
          <w:sz w:val="24"/>
          <w:szCs w:val="24"/>
        </w:rPr>
        <w:t>he present study did not discriminate between types of sexual activity. For example, masturbation may have a different impact on cognition as to intercourse. Future studies should investigate the effect of different types of sexual activity on cognition.</w:t>
      </w:r>
      <w:r w:rsidR="00E53C17" w:rsidRPr="007F40EB">
        <w:rPr>
          <w:rFonts w:ascii="Times New Roman" w:hAnsi="Times New Roman" w:cs="Times New Roman"/>
          <w:color w:val="auto"/>
          <w:sz w:val="24"/>
          <w:szCs w:val="24"/>
        </w:rPr>
        <w:t xml:space="preserve"> </w:t>
      </w:r>
      <w:bookmarkStart w:id="4" w:name="_Hlk16670009"/>
      <w:r w:rsidR="00E53C17" w:rsidRPr="007F40EB">
        <w:rPr>
          <w:rFonts w:ascii="Times New Roman" w:hAnsi="Times New Roman" w:cs="Times New Roman"/>
          <w:color w:val="auto"/>
          <w:sz w:val="24"/>
          <w:szCs w:val="24"/>
        </w:rPr>
        <w:t>Finally, participants were asked to recall as many words as possible immediately and again after a short delay during which they carried out other cognitive tests. However, no set time was provided for the length of delay nor was this time recorded.</w:t>
      </w:r>
    </w:p>
    <w:bookmarkEnd w:id="4"/>
    <w:p w:rsidR="002B22A8" w:rsidRPr="007F40EB" w:rsidRDefault="002B22A8" w:rsidP="00CE54E2">
      <w:pPr>
        <w:pStyle w:val="Body"/>
        <w:spacing w:after="0" w:line="480" w:lineRule="auto"/>
        <w:rPr>
          <w:rFonts w:ascii="Times New Roman" w:hAnsi="Times New Roman" w:cs="Times New Roman"/>
          <w:color w:val="auto"/>
          <w:sz w:val="24"/>
          <w:szCs w:val="24"/>
          <w:shd w:val="clear" w:color="auto" w:fill="FFFFFF"/>
        </w:rPr>
      </w:pPr>
    </w:p>
    <w:p w:rsidR="00072AE2" w:rsidRPr="007F40EB" w:rsidRDefault="006819F9" w:rsidP="001E1D92">
      <w:pPr>
        <w:pStyle w:val="Body"/>
        <w:spacing w:after="0" w:line="480" w:lineRule="auto"/>
        <w:rPr>
          <w:rStyle w:val="None"/>
          <w:rFonts w:ascii="Times New Roman" w:hAnsi="Times New Roman" w:cs="Times New Roman"/>
          <w:color w:val="auto"/>
          <w:sz w:val="24"/>
          <w:szCs w:val="24"/>
          <w:shd w:val="clear" w:color="auto" w:fill="FFFFFF"/>
        </w:rPr>
      </w:pPr>
      <w:r w:rsidRPr="007F40EB">
        <w:rPr>
          <w:rStyle w:val="None"/>
          <w:rFonts w:ascii="Times New Roman" w:hAnsi="Times New Roman" w:cs="Times New Roman"/>
          <w:color w:val="auto"/>
          <w:sz w:val="24"/>
          <w:szCs w:val="24"/>
          <w:shd w:val="clear" w:color="auto" w:fill="FFFFFF"/>
        </w:rPr>
        <w:t xml:space="preserve">The present study has identified a novel modifiable correlate that may aid in the prevention of cognitive decline in older men. Health practitioners should be encouraged to screen older men relating to their sexual activity to identify those who may be at risk of cognitive decline. </w:t>
      </w:r>
      <w:bookmarkStart w:id="5" w:name="_Hlk524447529"/>
      <w:r w:rsidRPr="007F40EB">
        <w:rPr>
          <w:rStyle w:val="None"/>
          <w:rFonts w:ascii="Times New Roman" w:hAnsi="Times New Roman" w:cs="Times New Roman"/>
          <w:color w:val="auto"/>
          <w:sz w:val="24"/>
          <w:szCs w:val="24"/>
          <w:shd w:val="clear" w:color="auto" w:fill="FFFFFF"/>
        </w:rPr>
        <w:t>Older men will be heartened to know that participation in sexual activity may aid in the prevention of age-related decline in cognitive function and subsequent dementia.</w:t>
      </w:r>
      <w:bookmarkEnd w:id="5"/>
    </w:p>
    <w:p w:rsidR="004F6E18" w:rsidRPr="007F40EB" w:rsidRDefault="004F6E18" w:rsidP="001E1D92">
      <w:pPr>
        <w:pStyle w:val="Body"/>
        <w:spacing w:after="0" w:line="480" w:lineRule="auto"/>
        <w:rPr>
          <w:rFonts w:ascii="Times New Roman" w:hAnsi="Times New Roman" w:cs="Times New Roman"/>
          <w:b/>
          <w:color w:val="auto"/>
          <w:sz w:val="24"/>
          <w:szCs w:val="24"/>
        </w:rPr>
      </w:pPr>
    </w:p>
    <w:p w:rsidR="006C27AE" w:rsidRPr="007F40EB" w:rsidRDefault="006C27AE" w:rsidP="006C27AE">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b/>
          <w:color w:val="auto"/>
          <w:sz w:val="24"/>
          <w:szCs w:val="24"/>
        </w:rPr>
        <w:t>Conflicting Interests:</w:t>
      </w:r>
      <w:r w:rsidRPr="007F40EB">
        <w:rPr>
          <w:rFonts w:ascii="Times New Roman" w:hAnsi="Times New Roman" w:cs="Times New Roman"/>
          <w:color w:val="auto"/>
          <w:sz w:val="24"/>
          <w:szCs w:val="24"/>
        </w:rPr>
        <w:t xml:space="preserve"> The authors declare that there is no conflict of interest.  </w:t>
      </w:r>
    </w:p>
    <w:p w:rsidR="006C27AE" w:rsidRPr="007F40EB" w:rsidRDefault="006C27AE" w:rsidP="006C27AE">
      <w:pPr>
        <w:pStyle w:val="Body"/>
        <w:spacing w:after="0" w:line="480" w:lineRule="auto"/>
        <w:rPr>
          <w:rFonts w:ascii="Times New Roman" w:hAnsi="Times New Roman" w:cs="Times New Roman"/>
          <w:color w:val="auto"/>
          <w:sz w:val="24"/>
          <w:szCs w:val="24"/>
        </w:rPr>
      </w:pPr>
    </w:p>
    <w:p w:rsidR="00E42544" w:rsidRPr="007F40EB" w:rsidRDefault="006C27AE"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b/>
          <w:color w:val="auto"/>
          <w:sz w:val="24"/>
          <w:szCs w:val="24"/>
        </w:rPr>
        <w:t xml:space="preserve">Funding: </w:t>
      </w:r>
      <w:r w:rsidR="00E42544" w:rsidRPr="007F40EB">
        <w:rPr>
          <w:rFonts w:ascii="Times New Roman" w:hAnsi="Times New Roman" w:cs="Times New Roman"/>
          <w:color w:val="auto"/>
          <w:sz w:val="24"/>
          <w:szCs w:val="24"/>
        </w:rPr>
        <w:t>None.</w:t>
      </w:r>
    </w:p>
    <w:p w:rsidR="0082500B" w:rsidRPr="007F40EB" w:rsidRDefault="006819F9" w:rsidP="001E1D92">
      <w:pPr>
        <w:pStyle w:val="Heading"/>
        <w:spacing w:after="0" w:line="480" w:lineRule="auto"/>
        <w:rPr>
          <w:rFonts w:ascii="Times New Roman" w:hAnsi="Times New Roman" w:cs="Times New Roman"/>
          <w:color w:val="auto"/>
          <w:sz w:val="24"/>
          <w:szCs w:val="24"/>
          <w:lang w:val="fr-FR"/>
        </w:rPr>
      </w:pPr>
      <w:proofErr w:type="spellStart"/>
      <w:r w:rsidRPr="007F40EB">
        <w:rPr>
          <w:rFonts w:ascii="Times New Roman" w:hAnsi="Times New Roman" w:cs="Times New Roman"/>
          <w:color w:val="auto"/>
          <w:sz w:val="24"/>
          <w:szCs w:val="24"/>
          <w:lang w:val="fr-FR"/>
        </w:rPr>
        <w:lastRenderedPageBreak/>
        <w:t>References</w:t>
      </w:r>
      <w:proofErr w:type="spellEnd"/>
    </w:p>
    <w:p w:rsidR="001755EC" w:rsidRPr="007F40EB" w:rsidRDefault="00EB0324" w:rsidP="001755EC">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fldChar w:fldCharType="begin"/>
      </w:r>
      <w:r w:rsidR="00B446FB" w:rsidRPr="007F40EB">
        <w:rPr>
          <w:rFonts w:ascii="Times New Roman" w:hAnsi="Times New Roman" w:cs="Times New Roman"/>
          <w:color w:val="auto"/>
          <w:sz w:val="24"/>
          <w:szCs w:val="24"/>
        </w:rPr>
        <w:instrText xml:space="preserve"> ADDIN ZOTERO_BIBL {"uncited":[],"omitted":[],"custom":[]} CSL_BIBLIOGRAPHY </w:instrText>
      </w:r>
      <w:r w:rsidRPr="007F40EB">
        <w:rPr>
          <w:rFonts w:ascii="Times New Roman" w:hAnsi="Times New Roman" w:cs="Times New Roman"/>
          <w:color w:val="auto"/>
          <w:sz w:val="24"/>
          <w:szCs w:val="24"/>
        </w:rPr>
        <w:fldChar w:fldCharType="separate"/>
      </w:r>
      <w:r w:rsidR="001755EC" w:rsidRPr="007F40EB">
        <w:rPr>
          <w:rFonts w:ascii="Times New Roman" w:hAnsi="Times New Roman" w:cs="Times New Roman"/>
          <w:color w:val="auto"/>
          <w:sz w:val="24"/>
          <w:szCs w:val="24"/>
        </w:rPr>
        <w:t xml:space="preserve">1. </w:t>
      </w:r>
      <w:r w:rsidR="00B446FB" w:rsidRPr="007F40EB">
        <w:rPr>
          <w:rFonts w:ascii="Times New Roman" w:hAnsi="Times New Roman" w:cs="Times New Roman"/>
          <w:color w:val="auto"/>
          <w:sz w:val="24"/>
          <w:szCs w:val="24"/>
        </w:rPr>
        <w:t xml:space="preserve">World Health Organization. Global Health Observatory </w:t>
      </w:r>
      <w:r w:rsidR="001755EC" w:rsidRPr="007F40EB">
        <w:rPr>
          <w:rFonts w:ascii="Times New Roman" w:hAnsi="Times New Roman" w:cs="Times New Roman"/>
          <w:color w:val="auto"/>
          <w:sz w:val="24"/>
          <w:szCs w:val="24"/>
        </w:rPr>
        <w:t>data: Life expectancy</w:t>
      </w:r>
      <w:r w:rsidR="00B446FB" w:rsidRPr="007F40EB">
        <w:rPr>
          <w:rFonts w:ascii="Times New Roman" w:hAnsi="Times New Roman" w:cs="Times New Roman"/>
          <w:color w:val="auto"/>
          <w:sz w:val="24"/>
          <w:szCs w:val="24"/>
        </w:rPr>
        <w:t>.</w:t>
      </w:r>
      <w:r w:rsidR="001755EC" w:rsidRPr="007F40EB">
        <w:rPr>
          <w:rFonts w:ascii="Times New Roman" w:hAnsi="Times New Roman" w:cs="Times New Roman"/>
          <w:color w:val="auto"/>
          <w:sz w:val="24"/>
          <w:szCs w:val="24"/>
        </w:rPr>
        <w:t xml:space="preserve"> http://www.who.int/gho/mortality_burden_disease/life_tables/situation_trends_text/en. Accessed </w:t>
      </w:r>
      <w:r w:rsidR="009F05AC" w:rsidRPr="007F40EB">
        <w:rPr>
          <w:rFonts w:ascii="Times New Roman" w:hAnsi="Times New Roman" w:cs="Times New Roman"/>
          <w:color w:val="auto"/>
          <w:sz w:val="24"/>
          <w:szCs w:val="24"/>
        </w:rPr>
        <w:t xml:space="preserve">on </w:t>
      </w:r>
      <w:r w:rsidR="001755EC" w:rsidRPr="007F40EB">
        <w:rPr>
          <w:rFonts w:ascii="Times New Roman" w:hAnsi="Times New Roman" w:cs="Times New Roman"/>
          <w:color w:val="auto"/>
          <w:sz w:val="24"/>
          <w:szCs w:val="24"/>
        </w:rPr>
        <w:t>Ausgust 24, 2018.</w:t>
      </w:r>
    </w:p>
    <w:p w:rsidR="001755EC" w:rsidRPr="007F40EB" w:rsidRDefault="001755EC" w:rsidP="001755EC">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 </w:t>
      </w:r>
      <w:r w:rsidR="00B446FB" w:rsidRPr="007F40EB">
        <w:rPr>
          <w:rFonts w:ascii="Times New Roman" w:hAnsi="Times New Roman" w:cs="Times New Roman"/>
          <w:color w:val="auto"/>
          <w:sz w:val="24"/>
          <w:szCs w:val="24"/>
        </w:rPr>
        <w:t xml:space="preserve">Alzheimer’s Disease International. World Alzheimer Report 2015: The Global Impact of Dementia </w:t>
      </w:r>
      <w:r w:rsidRPr="007F40EB">
        <w:rPr>
          <w:rFonts w:ascii="Times New Roman" w:hAnsi="Times New Roman" w:cs="Times New Roman"/>
          <w:color w:val="auto"/>
          <w:sz w:val="24"/>
          <w:szCs w:val="24"/>
        </w:rPr>
        <w:t xml:space="preserve">https://www.alz.co.uk/research/world-report-2015. Accessed </w:t>
      </w:r>
      <w:r w:rsidR="009F05AC" w:rsidRPr="007F40EB">
        <w:rPr>
          <w:rFonts w:ascii="Times New Roman" w:hAnsi="Times New Roman" w:cs="Times New Roman"/>
          <w:color w:val="auto"/>
          <w:sz w:val="24"/>
          <w:szCs w:val="24"/>
        </w:rPr>
        <w:t xml:space="preserve">on </w:t>
      </w:r>
      <w:r w:rsidRPr="007F40EB">
        <w:rPr>
          <w:rFonts w:ascii="Times New Roman" w:hAnsi="Times New Roman" w:cs="Times New Roman"/>
          <w:color w:val="auto"/>
          <w:sz w:val="24"/>
          <w:szCs w:val="24"/>
        </w:rPr>
        <w:t>September 11, 2018.</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 </w:t>
      </w:r>
      <w:r w:rsidRPr="007F40EB">
        <w:rPr>
          <w:rFonts w:ascii="Times New Roman" w:hAnsi="Times New Roman" w:cs="Times New Roman"/>
          <w:color w:val="auto"/>
          <w:sz w:val="24"/>
          <w:szCs w:val="24"/>
        </w:rPr>
        <w:tab/>
        <w:t xml:space="preserve">Bishop NA, Lu T, Yankner BA. Neural mechanisms </w:t>
      </w:r>
      <w:r w:rsidR="001755EC" w:rsidRPr="007F40EB">
        <w:rPr>
          <w:rFonts w:ascii="Times New Roman" w:hAnsi="Times New Roman" w:cs="Times New Roman"/>
          <w:color w:val="auto"/>
          <w:sz w:val="24"/>
          <w:szCs w:val="24"/>
        </w:rPr>
        <w:t xml:space="preserve">of ageing and cognitive decline. </w:t>
      </w:r>
      <w:r w:rsidR="00761F6F" w:rsidRPr="007F40EB">
        <w:rPr>
          <w:rFonts w:ascii="Times New Roman" w:hAnsi="Times New Roman" w:cs="Times New Roman"/>
          <w:i/>
          <w:color w:val="auto"/>
          <w:sz w:val="24"/>
          <w:szCs w:val="24"/>
        </w:rPr>
        <w:t>N</w:t>
      </w:r>
      <w:r w:rsidR="001755EC" w:rsidRPr="007F40EB">
        <w:rPr>
          <w:rFonts w:ascii="Times New Roman" w:hAnsi="Times New Roman" w:cs="Times New Roman"/>
          <w:i/>
          <w:color w:val="auto"/>
          <w:sz w:val="24"/>
          <w:szCs w:val="24"/>
        </w:rPr>
        <w:t>ature</w:t>
      </w:r>
      <w:r w:rsidR="00CD20DE" w:rsidRPr="007F40EB">
        <w:rPr>
          <w:rFonts w:ascii="Times New Roman" w:hAnsi="Times New Roman" w:cs="Times New Roman"/>
          <w:color w:val="auto"/>
          <w:sz w:val="24"/>
          <w:szCs w:val="24"/>
        </w:rPr>
        <w:t xml:space="preserve"> </w:t>
      </w:r>
      <w:r w:rsidR="00761F6F" w:rsidRPr="007F40EB">
        <w:rPr>
          <w:rFonts w:ascii="Times New Roman" w:hAnsi="Times New Roman" w:cs="Times New Roman"/>
          <w:color w:val="auto"/>
          <w:sz w:val="24"/>
          <w:szCs w:val="24"/>
        </w:rPr>
        <w:t>2010; 464</w:t>
      </w:r>
      <w:r w:rsidR="003E6D92" w:rsidRPr="007F40EB">
        <w:rPr>
          <w:rFonts w:ascii="Times New Roman" w:hAnsi="Times New Roman" w:cs="Times New Roman"/>
          <w:color w:val="auto"/>
          <w:sz w:val="24"/>
          <w:szCs w:val="24"/>
        </w:rPr>
        <w:t>:</w:t>
      </w:r>
      <w:r w:rsidR="00761F6F" w:rsidRPr="007F40EB">
        <w:rPr>
          <w:rFonts w:ascii="Times New Roman" w:hAnsi="Times New Roman" w:cs="Times New Roman"/>
          <w:color w:val="auto"/>
          <w:sz w:val="24"/>
          <w:szCs w:val="24"/>
        </w:rPr>
        <w:t>529-535.</w:t>
      </w:r>
    </w:p>
    <w:p w:rsidR="00B446FB" w:rsidRPr="007F40EB" w:rsidRDefault="00897888"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lang w:val="en-GB"/>
        </w:rPr>
        <w:t xml:space="preserve">4. </w:t>
      </w:r>
      <w:r w:rsidRPr="007F40EB">
        <w:rPr>
          <w:rFonts w:ascii="Times New Roman" w:hAnsi="Times New Roman" w:cs="Times New Roman"/>
          <w:color w:val="auto"/>
          <w:sz w:val="24"/>
          <w:szCs w:val="24"/>
          <w:lang w:val="en-GB"/>
        </w:rPr>
        <w:tab/>
        <w:t>Wimo A, Guerchet M, Ali G</w:t>
      </w:r>
      <w:r w:rsidR="00B446FB" w:rsidRPr="007F40EB">
        <w:rPr>
          <w:rFonts w:ascii="Times New Roman" w:hAnsi="Times New Roman" w:cs="Times New Roman"/>
          <w:color w:val="auto"/>
          <w:sz w:val="24"/>
          <w:szCs w:val="24"/>
          <w:lang w:val="en-GB"/>
        </w:rPr>
        <w:t xml:space="preserve">C, et al. </w:t>
      </w:r>
      <w:r w:rsidR="00B446FB" w:rsidRPr="007F40EB">
        <w:rPr>
          <w:rFonts w:ascii="Times New Roman" w:hAnsi="Times New Roman" w:cs="Times New Roman"/>
          <w:color w:val="auto"/>
          <w:sz w:val="24"/>
          <w:szCs w:val="24"/>
        </w:rPr>
        <w:t xml:space="preserve">The worldwide costs of dementia 2015 and comparisons with 2010. </w:t>
      </w:r>
      <w:r w:rsidR="00B446FB" w:rsidRPr="007F40EB">
        <w:rPr>
          <w:rFonts w:ascii="Times New Roman" w:hAnsi="Times New Roman" w:cs="Times New Roman"/>
          <w:i/>
          <w:color w:val="auto"/>
          <w:sz w:val="24"/>
          <w:szCs w:val="24"/>
        </w:rPr>
        <w:t>Alzhe</w:t>
      </w:r>
      <w:r w:rsidR="00CD20DE" w:rsidRPr="007F40EB">
        <w:rPr>
          <w:rFonts w:ascii="Times New Roman" w:hAnsi="Times New Roman" w:cs="Times New Roman"/>
          <w:i/>
          <w:color w:val="auto"/>
          <w:sz w:val="24"/>
          <w:szCs w:val="24"/>
        </w:rPr>
        <w:t>imers Dement J Alzheimers Assoc</w:t>
      </w:r>
      <w:r w:rsidR="00CD20DE" w:rsidRPr="007F40EB">
        <w:rPr>
          <w:rFonts w:ascii="Times New Roman" w:hAnsi="Times New Roman" w:cs="Times New Roman"/>
          <w:color w:val="auto"/>
          <w:sz w:val="24"/>
          <w:szCs w:val="24"/>
        </w:rPr>
        <w:t xml:space="preserve"> </w:t>
      </w:r>
      <w:r w:rsidR="00B446FB" w:rsidRPr="007F40EB">
        <w:rPr>
          <w:rFonts w:ascii="Times New Roman" w:hAnsi="Times New Roman" w:cs="Times New Roman"/>
          <w:color w:val="auto"/>
          <w:sz w:val="24"/>
          <w:szCs w:val="24"/>
        </w:rPr>
        <w:t xml:space="preserve">2017;13(1):1–7.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5. </w:t>
      </w:r>
      <w:r w:rsidRPr="007F40EB">
        <w:rPr>
          <w:rFonts w:ascii="Times New Roman" w:hAnsi="Times New Roman" w:cs="Times New Roman"/>
          <w:color w:val="auto"/>
          <w:sz w:val="24"/>
          <w:szCs w:val="24"/>
        </w:rPr>
        <w:tab/>
        <w:t xml:space="preserve">Cummings JL. Treatment of Alzheimer’s disease: current and future therapeutic approaches. </w:t>
      </w:r>
      <w:r w:rsidR="00CD20DE" w:rsidRPr="007F40EB">
        <w:rPr>
          <w:rFonts w:ascii="Times New Roman" w:hAnsi="Times New Roman" w:cs="Times New Roman"/>
          <w:i/>
          <w:color w:val="auto"/>
          <w:sz w:val="24"/>
          <w:szCs w:val="24"/>
        </w:rPr>
        <w:t xml:space="preserve">Rev Neurol Dis </w:t>
      </w:r>
      <w:r w:rsidRPr="007F40EB">
        <w:rPr>
          <w:rFonts w:ascii="Times New Roman" w:hAnsi="Times New Roman" w:cs="Times New Roman"/>
          <w:i/>
          <w:color w:val="auto"/>
          <w:sz w:val="24"/>
          <w:szCs w:val="24"/>
        </w:rPr>
        <w:t xml:space="preserve"> </w:t>
      </w:r>
      <w:r w:rsidRPr="007F40EB">
        <w:rPr>
          <w:rFonts w:ascii="Times New Roman" w:hAnsi="Times New Roman" w:cs="Times New Roman"/>
          <w:color w:val="auto"/>
          <w:sz w:val="24"/>
          <w:szCs w:val="24"/>
        </w:rPr>
        <w:t>2004;1(2):60–</w:t>
      </w:r>
      <w:r w:rsidR="00995161" w:rsidRPr="007F40EB">
        <w:rPr>
          <w:rFonts w:ascii="Times New Roman" w:hAnsi="Times New Roman" w:cs="Times New Roman"/>
          <w:color w:val="auto"/>
          <w:sz w:val="24"/>
          <w:szCs w:val="24"/>
        </w:rPr>
        <w:t>6</w:t>
      </w:r>
      <w:r w:rsidRPr="007F40EB">
        <w:rPr>
          <w:rFonts w:ascii="Times New Roman" w:hAnsi="Times New Roman" w:cs="Times New Roman"/>
          <w:color w:val="auto"/>
          <w:sz w:val="24"/>
          <w:szCs w:val="24"/>
        </w:rPr>
        <w:t xml:space="preserve">9.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6. </w:t>
      </w:r>
      <w:r w:rsidRPr="007F40EB">
        <w:rPr>
          <w:rFonts w:ascii="Times New Roman" w:hAnsi="Times New Roman" w:cs="Times New Roman"/>
          <w:color w:val="auto"/>
          <w:sz w:val="24"/>
          <w:szCs w:val="24"/>
        </w:rPr>
        <w:tab/>
        <w:t>Frankish H, Horton R. Prevention and management of dementia: a priority for public</w:t>
      </w:r>
      <w:r w:rsidR="00995161" w:rsidRPr="007F40EB">
        <w:rPr>
          <w:rFonts w:ascii="Times New Roman" w:hAnsi="Times New Roman" w:cs="Times New Roman"/>
          <w:color w:val="auto"/>
          <w:sz w:val="24"/>
          <w:szCs w:val="24"/>
        </w:rPr>
        <w:t xml:space="preserve"> health. </w:t>
      </w:r>
      <w:r w:rsidR="00CD20DE" w:rsidRPr="007F40EB">
        <w:rPr>
          <w:rFonts w:ascii="Times New Roman" w:hAnsi="Times New Roman" w:cs="Times New Roman"/>
          <w:i/>
          <w:color w:val="auto"/>
          <w:sz w:val="24"/>
          <w:szCs w:val="24"/>
        </w:rPr>
        <w:t xml:space="preserve">The Lancet </w:t>
      </w:r>
      <w:r w:rsidR="00995161" w:rsidRPr="007F40EB">
        <w:rPr>
          <w:rFonts w:ascii="Times New Roman" w:hAnsi="Times New Roman" w:cs="Times New Roman"/>
          <w:color w:val="auto"/>
          <w:sz w:val="24"/>
          <w:szCs w:val="24"/>
        </w:rPr>
        <w:t xml:space="preserve"> 2017</w:t>
      </w:r>
      <w:r w:rsidRPr="007F40EB">
        <w:rPr>
          <w:rFonts w:ascii="Times New Roman" w:hAnsi="Times New Roman" w:cs="Times New Roman"/>
          <w:color w:val="auto"/>
          <w:sz w:val="24"/>
          <w:szCs w:val="24"/>
        </w:rPr>
        <w:t>;390(10113):2614–</w:t>
      </w:r>
      <w:r w:rsidR="00995161" w:rsidRPr="007F40EB">
        <w:rPr>
          <w:rFonts w:ascii="Times New Roman" w:hAnsi="Times New Roman" w:cs="Times New Roman"/>
          <w:color w:val="auto"/>
          <w:sz w:val="24"/>
          <w:szCs w:val="24"/>
        </w:rPr>
        <w:t>261</w:t>
      </w:r>
      <w:r w:rsidRPr="007F40EB">
        <w:rPr>
          <w:rFonts w:ascii="Times New Roman" w:hAnsi="Times New Roman" w:cs="Times New Roman"/>
          <w:color w:val="auto"/>
          <w:sz w:val="24"/>
          <w:szCs w:val="24"/>
        </w:rPr>
        <w:t xml:space="preserve">5.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7. </w:t>
      </w:r>
      <w:r w:rsidRPr="007F40EB">
        <w:rPr>
          <w:rFonts w:ascii="Times New Roman" w:hAnsi="Times New Roman" w:cs="Times New Roman"/>
          <w:color w:val="auto"/>
          <w:sz w:val="24"/>
          <w:szCs w:val="24"/>
        </w:rPr>
        <w:tab/>
        <w:t xml:space="preserve">Weintraub S, Carrillo MC, Farias ST, et al. Measuring cognition and function in the preclinical stage of Alzheimer’s disease. </w:t>
      </w:r>
      <w:r w:rsidRPr="007F40EB">
        <w:rPr>
          <w:rFonts w:ascii="Times New Roman" w:hAnsi="Times New Roman" w:cs="Times New Roman"/>
          <w:i/>
          <w:color w:val="auto"/>
          <w:sz w:val="24"/>
          <w:szCs w:val="24"/>
        </w:rPr>
        <w:t>Alzheimers Dement Tr</w:t>
      </w:r>
      <w:r w:rsidR="00CD20DE" w:rsidRPr="007F40EB">
        <w:rPr>
          <w:rFonts w:ascii="Times New Roman" w:hAnsi="Times New Roman" w:cs="Times New Roman"/>
          <w:i/>
          <w:color w:val="auto"/>
          <w:sz w:val="24"/>
          <w:szCs w:val="24"/>
        </w:rPr>
        <w:t>ansl Res Clin Interv</w:t>
      </w:r>
      <w:r w:rsidR="00995161"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2018</w:t>
      </w:r>
      <w:r w:rsidRPr="007F40EB">
        <w:rPr>
          <w:rFonts w:ascii="Times New Roman" w:hAnsi="Times New Roman" w:cs="Times New Roman"/>
          <w:color w:val="auto"/>
          <w:sz w:val="24"/>
          <w:szCs w:val="24"/>
        </w:rPr>
        <w:t xml:space="preserve">;4:64–75.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8. </w:t>
      </w:r>
      <w:r w:rsidRPr="007F40EB">
        <w:rPr>
          <w:rFonts w:ascii="Times New Roman" w:hAnsi="Times New Roman" w:cs="Times New Roman"/>
          <w:color w:val="auto"/>
          <w:sz w:val="24"/>
          <w:szCs w:val="24"/>
        </w:rPr>
        <w:tab/>
      </w:r>
      <w:r w:rsidRPr="007F40EB">
        <w:rPr>
          <w:rFonts w:ascii="Times New Roman" w:hAnsi="Times New Roman" w:cs="Times New Roman"/>
          <w:color w:val="auto"/>
          <w:sz w:val="24"/>
          <w:szCs w:val="24"/>
          <w:lang w:val="en-GB"/>
        </w:rPr>
        <w:t xml:space="preserve">Baumgart M, Snyder HM, Carrillo MC, </w:t>
      </w:r>
      <w:r w:rsidR="0082243A" w:rsidRPr="007F40EB">
        <w:rPr>
          <w:rFonts w:ascii="Times New Roman" w:hAnsi="Times New Roman" w:cs="Times New Roman"/>
          <w:color w:val="auto"/>
          <w:sz w:val="24"/>
          <w:szCs w:val="24"/>
          <w:lang w:val="en-GB"/>
        </w:rPr>
        <w:t>et al</w:t>
      </w:r>
      <w:r w:rsidRPr="007F40EB">
        <w:rPr>
          <w:rFonts w:ascii="Times New Roman" w:hAnsi="Times New Roman" w:cs="Times New Roman"/>
          <w:color w:val="auto"/>
          <w:sz w:val="24"/>
          <w:szCs w:val="24"/>
          <w:lang w:val="en-GB"/>
        </w:rPr>
        <w:t xml:space="preserve">. </w:t>
      </w:r>
      <w:r w:rsidRPr="007F40EB">
        <w:rPr>
          <w:rFonts w:ascii="Times New Roman" w:hAnsi="Times New Roman" w:cs="Times New Roman"/>
          <w:color w:val="auto"/>
          <w:sz w:val="24"/>
          <w:szCs w:val="24"/>
        </w:rPr>
        <w:t>Summary of the evidence on modifiable risk factors for cognitive decline and dementia: A population-based perspectiv</w:t>
      </w:r>
      <w:r w:rsidR="00995161" w:rsidRPr="007F40EB">
        <w:rPr>
          <w:rFonts w:ascii="Times New Roman" w:hAnsi="Times New Roman" w:cs="Times New Roman"/>
          <w:color w:val="auto"/>
          <w:sz w:val="24"/>
          <w:szCs w:val="24"/>
        </w:rPr>
        <w:t xml:space="preserve">e. </w:t>
      </w:r>
      <w:r w:rsidR="00CD20DE" w:rsidRPr="007F40EB">
        <w:rPr>
          <w:rFonts w:ascii="Times New Roman" w:hAnsi="Times New Roman" w:cs="Times New Roman"/>
          <w:i/>
          <w:color w:val="auto"/>
          <w:sz w:val="24"/>
          <w:szCs w:val="24"/>
        </w:rPr>
        <w:t xml:space="preserve">Alzheimers Dement </w:t>
      </w:r>
      <w:r w:rsidR="00995161" w:rsidRPr="007F40EB">
        <w:rPr>
          <w:rFonts w:ascii="Times New Roman" w:hAnsi="Times New Roman" w:cs="Times New Roman"/>
          <w:color w:val="auto"/>
          <w:sz w:val="24"/>
          <w:szCs w:val="24"/>
        </w:rPr>
        <w:t>2015</w:t>
      </w:r>
      <w:r w:rsidRPr="007F40EB">
        <w:rPr>
          <w:rFonts w:ascii="Times New Roman" w:hAnsi="Times New Roman" w:cs="Times New Roman"/>
          <w:color w:val="auto"/>
          <w:sz w:val="24"/>
          <w:szCs w:val="24"/>
        </w:rPr>
        <w:t>;11(6):718–</w:t>
      </w:r>
      <w:r w:rsidR="00995161" w:rsidRPr="007F40EB">
        <w:rPr>
          <w:rFonts w:ascii="Times New Roman" w:hAnsi="Times New Roman" w:cs="Times New Roman"/>
          <w:color w:val="auto"/>
          <w:sz w:val="24"/>
          <w:szCs w:val="24"/>
        </w:rPr>
        <w:t>7</w:t>
      </w:r>
      <w:r w:rsidRPr="007F40EB">
        <w:rPr>
          <w:rFonts w:ascii="Times New Roman" w:hAnsi="Times New Roman" w:cs="Times New Roman"/>
          <w:color w:val="auto"/>
          <w:sz w:val="24"/>
          <w:szCs w:val="24"/>
        </w:rPr>
        <w:t xml:space="preserve">26.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9. </w:t>
      </w:r>
      <w:r w:rsidRPr="007F40EB">
        <w:rPr>
          <w:rFonts w:ascii="Times New Roman" w:hAnsi="Times New Roman" w:cs="Times New Roman"/>
          <w:color w:val="auto"/>
          <w:sz w:val="24"/>
          <w:szCs w:val="24"/>
        </w:rPr>
        <w:tab/>
        <w:t>Cukierman T, Gerstein HC, Williamson JD. Cognitive decline and dementia in diabetes—systematic overview of prospective observational s</w:t>
      </w:r>
      <w:r w:rsidR="00995161" w:rsidRPr="007F40EB">
        <w:rPr>
          <w:rFonts w:ascii="Times New Roman" w:hAnsi="Times New Roman" w:cs="Times New Roman"/>
          <w:color w:val="auto"/>
          <w:sz w:val="24"/>
          <w:szCs w:val="24"/>
        </w:rPr>
        <w:t xml:space="preserve">tudies. </w:t>
      </w:r>
      <w:r w:rsidR="00CD20DE" w:rsidRPr="007F40EB">
        <w:rPr>
          <w:rFonts w:ascii="Times New Roman" w:hAnsi="Times New Roman" w:cs="Times New Roman"/>
          <w:i/>
          <w:color w:val="auto"/>
          <w:sz w:val="24"/>
          <w:szCs w:val="24"/>
        </w:rPr>
        <w:t xml:space="preserve">Diabetologia </w:t>
      </w:r>
      <w:r w:rsidR="00995161" w:rsidRPr="007F40EB">
        <w:rPr>
          <w:rFonts w:ascii="Times New Roman" w:hAnsi="Times New Roman" w:cs="Times New Roman"/>
          <w:color w:val="auto"/>
          <w:sz w:val="24"/>
          <w:szCs w:val="24"/>
        </w:rPr>
        <w:t>2005</w:t>
      </w:r>
      <w:r w:rsidRPr="007F40EB">
        <w:rPr>
          <w:rFonts w:ascii="Times New Roman" w:hAnsi="Times New Roman" w:cs="Times New Roman"/>
          <w:color w:val="auto"/>
          <w:sz w:val="24"/>
          <w:szCs w:val="24"/>
        </w:rPr>
        <w:t>;48(12):2460–</w:t>
      </w:r>
      <w:r w:rsidR="00995161" w:rsidRPr="007F40EB">
        <w:rPr>
          <w:rFonts w:ascii="Times New Roman" w:hAnsi="Times New Roman" w:cs="Times New Roman"/>
          <w:color w:val="auto"/>
          <w:sz w:val="24"/>
          <w:szCs w:val="24"/>
        </w:rPr>
        <w:t>246</w:t>
      </w:r>
      <w:r w:rsidRPr="007F40EB">
        <w:rPr>
          <w:rFonts w:ascii="Times New Roman" w:hAnsi="Times New Roman" w:cs="Times New Roman"/>
          <w:color w:val="auto"/>
          <w:sz w:val="24"/>
          <w:szCs w:val="24"/>
        </w:rPr>
        <w:t xml:space="preserve">9. </w:t>
      </w:r>
    </w:p>
    <w:p w:rsidR="00B446FB" w:rsidRPr="007F40EB" w:rsidRDefault="00B446FB" w:rsidP="001E1D92">
      <w:pPr>
        <w:pStyle w:val="Bibliography"/>
        <w:spacing w:after="0" w:line="480" w:lineRule="auto"/>
        <w:rPr>
          <w:rFonts w:ascii="Times New Roman" w:hAnsi="Times New Roman" w:cs="Times New Roman"/>
          <w:color w:val="auto"/>
          <w:sz w:val="24"/>
          <w:szCs w:val="24"/>
          <w:lang w:val="it-IT"/>
        </w:rPr>
      </w:pPr>
      <w:r w:rsidRPr="007F40EB">
        <w:rPr>
          <w:rFonts w:ascii="Times New Roman" w:hAnsi="Times New Roman" w:cs="Times New Roman"/>
          <w:color w:val="auto"/>
          <w:sz w:val="24"/>
          <w:szCs w:val="24"/>
        </w:rPr>
        <w:lastRenderedPageBreak/>
        <w:t xml:space="preserve">10. </w:t>
      </w:r>
      <w:r w:rsidRPr="007F40EB">
        <w:rPr>
          <w:rFonts w:ascii="Times New Roman" w:hAnsi="Times New Roman" w:cs="Times New Roman"/>
          <w:color w:val="auto"/>
          <w:sz w:val="24"/>
          <w:szCs w:val="24"/>
        </w:rPr>
        <w:tab/>
        <w:t>Anstey KJ, von Sanden C, Salim A,</w:t>
      </w:r>
      <w:r w:rsidR="0082243A" w:rsidRPr="007F40EB">
        <w:rPr>
          <w:rFonts w:ascii="Times New Roman" w:hAnsi="Times New Roman" w:cs="Times New Roman"/>
          <w:color w:val="auto"/>
          <w:sz w:val="24"/>
          <w:szCs w:val="24"/>
        </w:rPr>
        <w:t xml:space="preserve"> et al</w:t>
      </w:r>
      <w:r w:rsidRPr="007F40EB">
        <w:rPr>
          <w:rFonts w:ascii="Times New Roman" w:hAnsi="Times New Roman" w:cs="Times New Roman"/>
          <w:color w:val="auto"/>
          <w:sz w:val="24"/>
          <w:szCs w:val="24"/>
        </w:rPr>
        <w:t xml:space="preserve">. Smoking as a Risk Factor for Dementia and Cognitive Decline: A Meta-Analysis of Prospective Studies. </w:t>
      </w:r>
      <w:r w:rsidR="00CD20DE" w:rsidRPr="007F40EB">
        <w:rPr>
          <w:rFonts w:ascii="Times New Roman" w:hAnsi="Times New Roman" w:cs="Times New Roman"/>
          <w:i/>
          <w:color w:val="auto"/>
          <w:sz w:val="24"/>
          <w:szCs w:val="24"/>
          <w:lang w:val="it-IT"/>
        </w:rPr>
        <w:t xml:space="preserve">Am J Epidemiol </w:t>
      </w:r>
      <w:r w:rsidR="00995161" w:rsidRPr="007F40EB">
        <w:rPr>
          <w:rFonts w:ascii="Times New Roman" w:hAnsi="Times New Roman" w:cs="Times New Roman"/>
          <w:color w:val="auto"/>
          <w:sz w:val="24"/>
          <w:szCs w:val="24"/>
          <w:lang w:val="it-IT"/>
        </w:rPr>
        <w:t>2007</w:t>
      </w:r>
      <w:r w:rsidRPr="007F40EB">
        <w:rPr>
          <w:rFonts w:ascii="Times New Roman" w:hAnsi="Times New Roman" w:cs="Times New Roman"/>
          <w:color w:val="auto"/>
          <w:sz w:val="24"/>
          <w:szCs w:val="24"/>
          <w:lang w:val="it-IT"/>
        </w:rPr>
        <w:t>;166(4):367–</w:t>
      </w:r>
      <w:r w:rsidR="00995161" w:rsidRPr="007F40EB">
        <w:rPr>
          <w:rFonts w:ascii="Times New Roman" w:hAnsi="Times New Roman" w:cs="Times New Roman"/>
          <w:color w:val="auto"/>
          <w:sz w:val="24"/>
          <w:szCs w:val="24"/>
          <w:lang w:val="it-IT"/>
        </w:rPr>
        <w:t>3</w:t>
      </w:r>
      <w:r w:rsidRPr="007F40EB">
        <w:rPr>
          <w:rFonts w:ascii="Times New Roman" w:hAnsi="Times New Roman" w:cs="Times New Roman"/>
          <w:color w:val="auto"/>
          <w:sz w:val="24"/>
          <w:szCs w:val="24"/>
          <w:lang w:val="it-IT"/>
        </w:rPr>
        <w:t xml:space="preserve">78.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lang w:val="it-IT"/>
        </w:rPr>
        <w:t xml:space="preserve">11. </w:t>
      </w:r>
      <w:r w:rsidRPr="007F40EB">
        <w:rPr>
          <w:rFonts w:ascii="Times New Roman" w:hAnsi="Times New Roman" w:cs="Times New Roman"/>
          <w:color w:val="auto"/>
          <w:sz w:val="24"/>
          <w:szCs w:val="24"/>
          <w:lang w:val="it-IT"/>
        </w:rPr>
        <w:tab/>
        <w:t xml:space="preserve">Sofi F, Valecchi D, Bacci D, et al. </w:t>
      </w:r>
      <w:r w:rsidRPr="007F40EB">
        <w:rPr>
          <w:rFonts w:ascii="Times New Roman" w:hAnsi="Times New Roman" w:cs="Times New Roman"/>
          <w:color w:val="auto"/>
          <w:sz w:val="24"/>
          <w:szCs w:val="24"/>
        </w:rPr>
        <w:t>Physical activity and risk of cognitive decline: a meta-analysis of prospective s</w:t>
      </w:r>
      <w:r w:rsidR="00995161" w:rsidRPr="007F40EB">
        <w:rPr>
          <w:rFonts w:ascii="Times New Roman" w:hAnsi="Times New Roman" w:cs="Times New Roman"/>
          <w:color w:val="auto"/>
          <w:sz w:val="24"/>
          <w:szCs w:val="24"/>
        </w:rPr>
        <w:t xml:space="preserve">tudies. </w:t>
      </w:r>
      <w:r w:rsidR="00CD20DE" w:rsidRPr="007F40EB">
        <w:rPr>
          <w:rFonts w:ascii="Times New Roman" w:hAnsi="Times New Roman" w:cs="Times New Roman"/>
          <w:i/>
          <w:color w:val="auto"/>
          <w:sz w:val="24"/>
          <w:szCs w:val="24"/>
        </w:rPr>
        <w:t>J Intern Med</w:t>
      </w:r>
      <w:r w:rsidR="00995161"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2011</w:t>
      </w:r>
      <w:r w:rsidRPr="007F40EB">
        <w:rPr>
          <w:rFonts w:ascii="Times New Roman" w:hAnsi="Times New Roman" w:cs="Times New Roman"/>
          <w:color w:val="auto"/>
          <w:sz w:val="24"/>
          <w:szCs w:val="24"/>
        </w:rPr>
        <w:t>;269(1):107–</w:t>
      </w:r>
      <w:r w:rsidR="00995161" w:rsidRPr="007F40EB">
        <w:rPr>
          <w:rFonts w:ascii="Times New Roman" w:hAnsi="Times New Roman" w:cs="Times New Roman"/>
          <w:color w:val="auto"/>
          <w:sz w:val="24"/>
          <w:szCs w:val="24"/>
        </w:rPr>
        <w:t>1</w:t>
      </w:r>
      <w:r w:rsidRPr="007F40EB">
        <w:rPr>
          <w:rFonts w:ascii="Times New Roman" w:hAnsi="Times New Roman" w:cs="Times New Roman"/>
          <w:color w:val="auto"/>
          <w:sz w:val="24"/>
          <w:szCs w:val="24"/>
        </w:rPr>
        <w:t xml:space="preserve">17.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12. </w:t>
      </w:r>
      <w:r w:rsidRPr="007F40EB">
        <w:rPr>
          <w:rFonts w:ascii="Times New Roman" w:hAnsi="Times New Roman" w:cs="Times New Roman"/>
          <w:color w:val="auto"/>
          <w:sz w:val="24"/>
          <w:szCs w:val="24"/>
        </w:rPr>
        <w:tab/>
        <w:t xml:space="preserve">Brody S, Costa RM. Satisfaction (sexual, life, relationship, and mental health) is associated directly with penile-vaginal intercourse, but inversely with other sexual behavior </w:t>
      </w:r>
      <w:r w:rsidR="00995161" w:rsidRPr="007F40EB">
        <w:rPr>
          <w:rFonts w:ascii="Times New Roman" w:hAnsi="Times New Roman" w:cs="Times New Roman"/>
          <w:color w:val="auto"/>
          <w:sz w:val="24"/>
          <w:szCs w:val="24"/>
        </w:rPr>
        <w:t>frequencies.</w:t>
      </w:r>
      <w:r w:rsidR="00CD20DE" w:rsidRPr="007F40EB">
        <w:rPr>
          <w:rFonts w:ascii="Times New Roman" w:hAnsi="Times New Roman" w:cs="Times New Roman"/>
          <w:i/>
          <w:color w:val="auto"/>
          <w:sz w:val="24"/>
          <w:szCs w:val="24"/>
        </w:rPr>
        <w:t xml:space="preserve"> J Sex Med</w:t>
      </w:r>
      <w:r w:rsidR="00995161"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2009</w:t>
      </w:r>
      <w:r w:rsidRPr="007F40EB">
        <w:rPr>
          <w:rFonts w:ascii="Times New Roman" w:hAnsi="Times New Roman" w:cs="Times New Roman"/>
          <w:color w:val="auto"/>
          <w:sz w:val="24"/>
          <w:szCs w:val="24"/>
        </w:rPr>
        <w:t>;6(7):1947–</w:t>
      </w:r>
      <w:r w:rsidR="00995161" w:rsidRPr="007F40EB">
        <w:rPr>
          <w:rFonts w:ascii="Times New Roman" w:hAnsi="Times New Roman" w:cs="Times New Roman"/>
          <w:color w:val="auto"/>
          <w:sz w:val="24"/>
          <w:szCs w:val="24"/>
        </w:rPr>
        <w:t>19</w:t>
      </w:r>
      <w:r w:rsidRPr="007F40EB">
        <w:rPr>
          <w:rFonts w:ascii="Times New Roman" w:hAnsi="Times New Roman" w:cs="Times New Roman"/>
          <w:color w:val="auto"/>
          <w:sz w:val="24"/>
          <w:szCs w:val="24"/>
        </w:rPr>
        <w:t xml:space="preserve">54.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13. </w:t>
      </w:r>
      <w:r w:rsidRPr="007F40EB">
        <w:rPr>
          <w:rFonts w:ascii="Times New Roman" w:hAnsi="Times New Roman" w:cs="Times New Roman"/>
          <w:color w:val="auto"/>
          <w:sz w:val="24"/>
          <w:szCs w:val="24"/>
        </w:rPr>
        <w:tab/>
        <w:t>Flynn T-J, Gow AJ. Examining associations between sexual behaviours and quality of life in ol</w:t>
      </w:r>
      <w:r w:rsidR="00995161" w:rsidRPr="007F40EB">
        <w:rPr>
          <w:rFonts w:ascii="Times New Roman" w:hAnsi="Times New Roman" w:cs="Times New Roman"/>
          <w:color w:val="auto"/>
          <w:sz w:val="24"/>
          <w:szCs w:val="24"/>
        </w:rPr>
        <w:t>der adults.</w:t>
      </w:r>
      <w:r w:rsidR="00CD20DE" w:rsidRPr="007F40EB">
        <w:rPr>
          <w:rFonts w:ascii="Times New Roman" w:hAnsi="Times New Roman" w:cs="Times New Roman"/>
          <w:i/>
          <w:color w:val="auto"/>
          <w:sz w:val="24"/>
          <w:szCs w:val="24"/>
        </w:rPr>
        <w:t xml:space="preserve"> Age Ageing</w:t>
      </w:r>
      <w:r w:rsidR="00995161"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2015</w:t>
      </w:r>
      <w:r w:rsidRPr="007F40EB">
        <w:rPr>
          <w:rFonts w:ascii="Times New Roman" w:hAnsi="Times New Roman" w:cs="Times New Roman"/>
          <w:color w:val="auto"/>
          <w:sz w:val="24"/>
          <w:szCs w:val="24"/>
        </w:rPr>
        <w:t>;44(5):823–</w:t>
      </w:r>
      <w:r w:rsidR="00995161" w:rsidRPr="007F40EB">
        <w:rPr>
          <w:rFonts w:ascii="Times New Roman" w:hAnsi="Times New Roman" w:cs="Times New Roman"/>
          <w:color w:val="auto"/>
          <w:sz w:val="24"/>
          <w:szCs w:val="24"/>
        </w:rPr>
        <w:t>82</w:t>
      </w:r>
      <w:r w:rsidRPr="007F40EB">
        <w:rPr>
          <w:rFonts w:ascii="Times New Roman" w:hAnsi="Times New Roman" w:cs="Times New Roman"/>
          <w:color w:val="auto"/>
          <w:sz w:val="24"/>
          <w:szCs w:val="24"/>
        </w:rPr>
        <w:t xml:space="preserve">8.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14. </w:t>
      </w:r>
      <w:r w:rsidRPr="007F40EB">
        <w:rPr>
          <w:rFonts w:ascii="Times New Roman" w:hAnsi="Times New Roman" w:cs="Times New Roman"/>
          <w:color w:val="auto"/>
          <w:sz w:val="24"/>
          <w:szCs w:val="24"/>
        </w:rPr>
        <w:tab/>
        <w:t xml:space="preserve">Ebrahim S, May M, Shlomo YB, et al. Sexual intercourse and risk of ischaemic stroke and coronary heart disease: the Caerphilly study. </w:t>
      </w:r>
      <w:r w:rsidRPr="007F40EB">
        <w:rPr>
          <w:rFonts w:ascii="Times New Roman" w:hAnsi="Times New Roman" w:cs="Times New Roman"/>
          <w:i/>
          <w:color w:val="auto"/>
          <w:sz w:val="24"/>
          <w:szCs w:val="24"/>
        </w:rPr>
        <w:t>J Epide</w:t>
      </w:r>
      <w:r w:rsidR="00CD20DE" w:rsidRPr="007F40EB">
        <w:rPr>
          <w:rFonts w:ascii="Times New Roman" w:hAnsi="Times New Roman" w:cs="Times New Roman"/>
          <w:i/>
          <w:color w:val="auto"/>
          <w:sz w:val="24"/>
          <w:szCs w:val="24"/>
        </w:rPr>
        <w:t>miol Community Health</w:t>
      </w:r>
      <w:r w:rsidR="00995161" w:rsidRPr="007F40EB">
        <w:rPr>
          <w:rFonts w:ascii="Times New Roman" w:hAnsi="Times New Roman" w:cs="Times New Roman"/>
          <w:color w:val="auto"/>
          <w:sz w:val="24"/>
          <w:szCs w:val="24"/>
        </w:rPr>
        <w:t xml:space="preserve"> 2002</w:t>
      </w:r>
      <w:r w:rsidRPr="007F40EB">
        <w:rPr>
          <w:rFonts w:ascii="Times New Roman" w:hAnsi="Times New Roman" w:cs="Times New Roman"/>
          <w:color w:val="auto"/>
          <w:sz w:val="24"/>
          <w:szCs w:val="24"/>
        </w:rPr>
        <w:t xml:space="preserve">;56(2):99–102.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15. </w:t>
      </w:r>
      <w:r w:rsidRPr="007F40EB">
        <w:rPr>
          <w:rFonts w:ascii="Times New Roman" w:hAnsi="Times New Roman" w:cs="Times New Roman"/>
          <w:color w:val="auto"/>
          <w:sz w:val="24"/>
          <w:szCs w:val="24"/>
        </w:rPr>
        <w:tab/>
        <w:t>Newman AB, Fitzpatrick AL, Lopez O, et al. Dementia and Alzheimer’s Disease Incidence in Relationship to Cardiovascular Disease in the Cardiovascular Health Study Coho</w:t>
      </w:r>
      <w:r w:rsidR="00995161" w:rsidRPr="007F40EB">
        <w:rPr>
          <w:rFonts w:ascii="Times New Roman" w:hAnsi="Times New Roman" w:cs="Times New Roman"/>
          <w:color w:val="auto"/>
          <w:sz w:val="24"/>
          <w:szCs w:val="24"/>
        </w:rPr>
        <w:t xml:space="preserve">rt. </w:t>
      </w:r>
      <w:r w:rsidR="00995161" w:rsidRPr="007F40EB">
        <w:rPr>
          <w:rFonts w:ascii="Times New Roman" w:hAnsi="Times New Roman" w:cs="Times New Roman"/>
          <w:i/>
          <w:color w:val="auto"/>
          <w:sz w:val="24"/>
          <w:szCs w:val="24"/>
        </w:rPr>
        <w:t xml:space="preserve">J Am Geriatr Soc </w:t>
      </w:r>
      <w:r w:rsidR="00995161" w:rsidRPr="007F40EB">
        <w:rPr>
          <w:rFonts w:ascii="Times New Roman" w:hAnsi="Times New Roman" w:cs="Times New Roman"/>
          <w:color w:val="auto"/>
          <w:sz w:val="24"/>
          <w:szCs w:val="24"/>
        </w:rPr>
        <w:t>2005</w:t>
      </w:r>
      <w:r w:rsidRPr="007F40EB">
        <w:rPr>
          <w:rFonts w:ascii="Times New Roman" w:hAnsi="Times New Roman" w:cs="Times New Roman"/>
          <w:color w:val="auto"/>
          <w:sz w:val="24"/>
          <w:szCs w:val="24"/>
        </w:rPr>
        <w:t>;53(7):1101–</w:t>
      </w:r>
      <w:r w:rsidR="00995161" w:rsidRPr="007F40EB">
        <w:rPr>
          <w:rFonts w:ascii="Times New Roman" w:hAnsi="Times New Roman" w:cs="Times New Roman"/>
          <w:color w:val="auto"/>
          <w:sz w:val="24"/>
          <w:szCs w:val="24"/>
        </w:rPr>
        <w:t>110</w:t>
      </w:r>
      <w:r w:rsidRPr="007F40EB">
        <w:rPr>
          <w:rFonts w:ascii="Times New Roman" w:hAnsi="Times New Roman" w:cs="Times New Roman"/>
          <w:color w:val="auto"/>
          <w:sz w:val="24"/>
          <w:szCs w:val="24"/>
        </w:rPr>
        <w:t xml:space="preserve">7.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16. </w:t>
      </w:r>
      <w:r w:rsidRPr="007F40EB">
        <w:rPr>
          <w:rFonts w:ascii="Times New Roman" w:hAnsi="Times New Roman" w:cs="Times New Roman"/>
          <w:color w:val="auto"/>
          <w:sz w:val="24"/>
          <w:szCs w:val="24"/>
        </w:rPr>
        <w:tab/>
        <w:t xml:space="preserve">Whitmer RA, Sidney S, Selby J,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Midlife cardiovascular risk factors and risk of dementia in l</w:t>
      </w:r>
      <w:r w:rsidR="00995161" w:rsidRPr="007F40EB">
        <w:rPr>
          <w:rFonts w:ascii="Times New Roman" w:hAnsi="Times New Roman" w:cs="Times New Roman"/>
          <w:color w:val="auto"/>
          <w:sz w:val="24"/>
          <w:szCs w:val="24"/>
        </w:rPr>
        <w:t xml:space="preserve">ate life. </w:t>
      </w:r>
      <w:r w:rsidR="00995161" w:rsidRPr="007F40EB">
        <w:rPr>
          <w:rFonts w:ascii="Times New Roman" w:hAnsi="Times New Roman" w:cs="Times New Roman"/>
          <w:i/>
          <w:color w:val="auto"/>
          <w:sz w:val="24"/>
          <w:szCs w:val="24"/>
        </w:rPr>
        <w:t>Neurology</w:t>
      </w:r>
      <w:r w:rsidR="00CD20DE"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 xml:space="preserve"> 2005</w:t>
      </w:r>
      <w:r w:rsidRPr="007F40EB">
        <w:rPr>
          <w:rFonts w:ascii="Times New Roman" w:hAnsi="Times New Roman" w:cs="Times New Roman"/>
          <w:color w:val="auto"/>
          <w:sz w:val="24"/>
          <w:szCs w:val="24"/>
        </w:rPr>
        <w:t>;64(2):277–</w:t>
      </w:r>
      <w:r w:rsidR="00995161" w:rsidRPr="007F40EB">
        <w:rPr>
          <w:rFonts w:ascii="Times New Roman" w:hAnsi="Times New Roman" w:cs="Times New Roman"/>
          <w:color w:val="auto"/>
          <w:sz w:val="24"/>
          <w:szCs w:val="24"/>
        </w:rPr>
        <w:t>2</w:t>
      </w:r>
      <w:r w:rsidRPr="007F40EB">
        <w:rPr>
          <w:rFonts w:ascii="Times New Roman" w:hAnsi="Times New Roman" w:cs="Times New Roman"/>
          <w:color w:val="auto"/>
          <w:sz w:val="24"/>
          <w:szCs w:val="24"/>
        </w:rPr>
        <w:t xml:space="preserve">81.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17. </w:t>
      </w:r>
      <w:r w:rsidRPr="007F40EB">
        <w:rPr>
          <w:rFonts w:ascii="Times New Roman" w:hAnsi="Times New Roman" w:cs="Times New Roman"/>
          <w:color w:val="auto"/>
          <w:sz w:val="24"/>
          <w:szCs w:val="24"/>
        </w:rPr>
        <w:tab/>
        <w:t>Wright H, Jenks RA. Sex on the brain! Associations between sexual activity and cognitive function in older age. Age Ag</w:t>
      </w:r>
      <w:r w:rsidR="00CD20DE" w:rsidRPr="007F40EB">
        <w:rPr>
          <w:rFonts w:ascii="Times New Roman" w:hAnsi="Times New Roman" w:cs="Times New Roman"/>
          <w:color w:val="auto"/>
          <w:sz w:val="24"/>
          <w:szCs w:val="24"/>
        </w:rPr>
        <w:t>eing</w:t>
      </w:r>
      <w:r w:rsidR="00995161" w:rsidRPr="007F40EB">
        <w:rPr>
          <w:rFonts w:ascii="Times New Roman" w:hAnsi="Times New Roman" w:cs="Times New Roman"/>
          <w:color w:val="auto"/>
          <w:sz w:val="24"/>
          <w:szCs w:val="24"/>
        </w:rPr>
        <w:t xml:space="preserve"> 2016</w:t>
      </w:r>
      <w:r w:rsidRPr="007F40EB">
        <w:rPr>
          <w:rFonts w:ascii="Times New Roman" w:hAnsi="Times New Roman" w:cs="Times New Roman"/>
          <w:color w:val="auto"/>
          <w:sz w:val="24"/>
          <w:szCs w:val="24"/>
        </w:rPr>
        <w:t>;45(2):313–</w:t>
      </w:r>
      <w:r w:rsidR="00995161" w:rsidRPr="007F40EB">
        <w:rPr>
          <w:rFonts w:ascii="Times New Roman" w:hAnsi="Times New Roman" w:cs="Times New Roman"/>
          <w:color w:val="auto"/>
          <w:sz w:val="24"/>
          <w:szCs w:val="24"/>
        </w:rPr>
        <w:t>31</w:t>
      </w:r>
      <w:r w:rsidRPr="007F40EB">
        <w:rPr>
          <w:rFonts w:ascii="Times New Roman" w:hAnsi="Times New Roman" w:cs="Times New Roman"/>
          <w:color w:val="auto"/>
          <w:sz w:val="24"/>
          <w:szCs w:val="24"/>
        </w:rPr>
        <w:t xml:space="preserve">7.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18. </w:t>
      </w:r>
      <w:r w:rsidRPr="007F40EB">
        <w:rPr>
          <w:rFonts w:ascii="Times New Roman" w:hAnsi="Times New Roman" w:cs="Times New Roman"/>
          <w:color w:val="auto"/>
          <w:sz w:val="24"/>
          <w:szCs w:val="24"/>
        </w:rPr>
        <w:tab/>
        <w:t>Allen MS. Sexual Activity and Cognitive Decline in Older Adu</w:t>
      </w:r>
      <w:r w:rsidR="00995161" w:rsidRPr="007F40EB">
        <w:rPr>
          <w:rFonts w:ascii="Times New Roman" w:hAnsi="Times New Roman" w:cs="Times New Roman"/>
          <w:color w:val="auto"/>
          <w:sz w:val="24"/>
          <w:szCs w:val="24"/>
        </w:rPr>
        <w:t xml:space="preserve">lts. </w:t>
      </w:r>
      <w:r w:rsidR="00CD20DE" w:rsidRPr="007F40EB">
        <w:rPr>
          <w:rFonts w:ascii="Times New Roman" w:hAnsi="Times New Roman" w:cs="Times New Roman"/>
          <w:i/>
          <w:color w:val="auto"/>
          <w:sz w:val="24"/>
          <w:szCs w:val="24"/>
        </w:rPr>
        <w:t>Arch Sex Behav</w:t>
      </w:r>
      <w:r w:rsidR="00995161" w:rsidRPr="007F40EB">
        <w:rPr>
          <w:rFonts w:ascii="Times New Roman" w:hAnsi="Times New Roman" w:cs="Times New Roman"/>
          <w:i/>
          <w:color w:val="auto"/>
          <w:sz w:val="24"/>
          <w:szCs w:val="24"/>
        </w:rPr>
        <w:t xml:space="preserve"> </w:t>
      </w:r>
      <w:r w:rsidR="00995161" w:rsidRPr="007F40EB">
        <w:rPr>
          <w:rFonts w:ascii="Times New Roman" w:hAnsi="Times New Roman" w:cs="Times New Roman"/>
          <w:color w:val="auto"/>
          <w:sz w:val="24"/>
          <w:szCs w:val="24"/>
        </w:rPr>
        <w:t>2018;47(6):1711–1719.</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19. </w:t>
      </w:r>
      <w:r w:rsidRPr="007F40EB">
        <w:rPr>
          <w:rFonts w:ascii="Times New Roman" w:hAnsi="Times New Roman" w:cs="Times New Roman"/>
          <w:color w:val="auto"/>
          <w:sz w:val="24"/>
          <w:szCs w:val="24"/>
        </w:rPr>
        <w:tab/>
        <w:t xml:space="preserve">Steptoe A, Breeze E, Banks J,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Cohort profile: the English Longitudinal Study of A</w:t>
      </w:r>
      <w:r w:rsidR="007A6ACA" w:rsidRPr="007F40EB">
        <w:rPr>
          <w:rFonts w:ascii="Times New Roman" w:hAnsi="Times New Roman" w:cs="Times New Roman"/>
          <w:color w:val="auto"/>
          <w:sz w:val="24"/>
          <w:szCs w:val="24"/>
        </w:rPr>
        <w:t xml:space="preserve">geing. </w:t>
      </w:r>
      <w:r w:rsidR="00CD20DE" w:rsidRPr="007F40EB">
        <w:rPr>
          <w:rFonts w:ascii="Times New Roman" w:hAnsi="Times New Roman" w:cs="Times New Roman"/>
          <w:i/>
          <w:color w:val="auto"/>
          <w:sz w:val="24"/>
          <w:szCs w:val="24"/>
        </w:rPr>
        <w:t>Int J Epidemiol</w:t>
      </w:r>
      <w:r w:rsidR="007A6ACA" w:rsidRPr="007F40EB">
        <w:rPr>
          <w:rFonts w:ascii="Times New Roman" w:hAnsi="Times New Roman" w:cs="Times New Roman"/>
          <w:i/>
          <w:color w:val="auto"/>
          <w:sz w:val="24"/>
          <w:szCs w:val="24"/>
        </w:rPr>
        <w:t xml:space="preserve"> </w:t>
      </w:r>
      <w:r w:rsidR="007A6ACA" w:rsidRPr="007F40EB">
        <w:rPr>
          <w:rFonts w:ascii="Times New Roman" w:hAnsi="Times New Roman" w:cs="Times New Roman"/>
          <w:color w:val="auto"/>
          <w:sz w:val="24"/>
          <w:szCs w:val="24"/>
        </w:rPr>
        <w:t>2013</w:t>
      </w:r>
      <w:r w:rsidRPr="007F40EB">
        <w:rPr>
          <w:rFonts w:ascii="Times New Roman" w:hAnsi="Times New Roman" w:cs="Times New Roman"/>
          <w:color w:val="auto"/>
          <w:sz w:val="24"/>
          <w:szCs w:val="24"/>
        </w:rPr>
        <w:t>;42(6):1640–</w:t>
      </w:r>
      <w:r w:rsidR="007A6ACA" w:rsidRPr="007F40EB">
        <w:rPr>
          <w:rFonts w:ascii="Times New Roman" w:hAnsi="Times New Roman" w:cs="Times New Roman"/>
          <w:color w:val="auto"/>
          <w:sz w:val="24"/>
          <w:szCs w:val="24"/>
        </w:rPr>
        <w:t>164</w:t>
      </w:r>
      <w:r w:rsidRPr="007F40EB">
        <w:rPr>
          <w:rFonts w:ascii="Times New Roman" w:hAnsi="Times New Roman" w:cs="Times New Roman"/>
          <w:color w:val="auto"/>
          <w:sz w:val="24"/>
          <w:szCs w:val="24"/>
        </w:rPr>
        <w:t xml:space="preserve">8. </w:t>
      </w:r>
    </w:p>
    <w:p w:rsidR="00B446FB" w:rsidRPr="007F40EB" w:rsidRDefault="00B446FB" w:rsidP="001E1D92">
      <w:pPr>
        <w:pStyle w:val="Bibliography"/>
        <w:spacing w:after="0" w:line="480" w:lineRule="auto"/>
        <w:rPr>
          <w:rFonts w:ascii="Times New Roman" w:hAnsi="Times New Roman" w:cs="Times New Roman"/>
          <w:color w:val="auto"/>
          <w:sz w:val="24"/>
          <w:szCs w:val="24"/>
          <w:lang w:val="en-GB"/>
        </w:rPr>
      </w:pPr>
      <w:r w:rsidRPr="007F40EB">
        <w:rPr>
          <w:rFonts w:ascii="Times New Roman" w:hAnsi="Times New Roman" w:cs="Times New Roman"/>
          <w:color w:val="auto"/>
          <w:sz w:val="24"/>
          <w:szCs w:val="24"/>
        </w:rPr>
        <w:lastRenderedPageBreak/>
        <w:t xml:space="preserve">20. </w:t>
      </w:r>
      <w:r w:rsidRPr="007F40EB">
        <w:rPr>
          <w:rFonts w:ascii="Times New Roman" w:hAnsi="Times New Roman" w:cs="Times New Roman"/>
          <w:color w:val="auto"/>
          <w:sz w:val="24"/>
          <w:szCs w:val="24"/>
        </w:rPr>
        <w:tab/>
        <w:t xml:space="preserve">Gale CR, Deary IJ, Cooper C,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xml:space="preserve">. Intelligence in childhood and chronic widespread pain in middle age: The National Child Development Survey. </w:t>
      </w:r>
      <w:r w:rsidR="007A6ACA" w:rsidRPr="007F40EB">
        <w:rPr>
          <w:rFonts w:ascii="Times New Roman" w:hAnsi="Times New Roman" w:cs="Times New Roman"/>
          <w:i/>
          <w:color w:val="auto"/>
          <w:sz w:val="24"/>
          <w:szCs w:val="24"/>
          <w:lang w:val="en-GB"/>
        </w:rPr>
        <w:t xml:space="preserve">PAIN®. </w:t>
      </w:r>
      <w:r w:rsidR="007A6ACA" w:rsidRPr="007F40EB">
        <w:rPr>
          <w:rFonts w:ascii="Times New Roman" w:hAnsi="Times New Roman" w:cs="Times New Roman"/>
          <w:color w:val="auto"/>
          <w:sz w:val="24"/>
          <w:szCs w:val="24"/>
          <w:lang w:val="en-GB"/>
        </w:rPr>
        <w:t>2012</w:t>
      </w:r>
      <w:r w:rsidRPr="007F40EB">
        <w:rPr>
          <w:rFonts w:ascii="Times New Roman" w:hAnsi="Times New Roman" w:cs="Times New Roman"/>
          <w:color w:val="auto"/>
          <w:sz w:val="24"/>
          <w:szCs w:val="24"/>
          <w:lang w:val="en-GB"/>
        </w:rPr>
        <w:t>;153(12):2339–</w:t>
      </w:r>
      <w:r w:rsidR="007A6ACA" w:rsidRPr="007F40EB">
        <w:rPr>
          <w:rFonts w:ascii="Times New Roman" w:hAnsi="Times New Roman" w:cs="Times New Roman"/>
          <w:color w:val="auto"/>
          <w:sz w:val="24"/>
          <w:szCs w:val="24"/>
          <w:lang w:val="en-GB"/>
        </w:rPr>
        <w:t>23</w:t>
      </w:r>
      <w:r w:rsidRPr="007F40EB">
        <w:rPr>
          <w:rFonts w:ascii="Times New Roman" w:hAnsi="Times New Roman" w:cs="Times New Roman"/>
          <w:color w:val="auto"/>
          <w:sz w:val="24"/>
          <w:szCs w:val="24"/>
          <w:lang w:val="en-GB"/>
        </w:rPr>
        <w:t xml:space="preserve">44.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lang w:val="en-GB"/>
        </w:rPr>
        <w:t xml:space="preserve">21. </w:t>
      </w:r>
      <w:r w:rsidRPr="007F40EB">
        <w:rPr>
          <w:rFonts w:ascii="Times New Roman" w:hAnsi="Times New Roman" w:cs="Times New Roman"/>
          <w:color w:val="auto"/>
          <w:sz w:val="24"/>
          <w:szCs w:val="24"/>
          <w:lang w:val="en-GB"/>
        </w:rPr>
        <w:tab/>
        <w:t xml:space="preserve">Veronese N, Koyanagi A, Solmi M, </w:t>
      </w:r>
      <w:r w:rsidR="0082243A" w:rsidRPr="007F40EB">
        <w:rPr>
          <w:rFonts w:ascii="Times New Roman" w:hAnsi="Times New Roman" w:cs="Times New Roman"/>
          <w:color w:val="auto"/>
          <w:sz w:val="24"/>
          <w:szCs w:val="24"/>
          <w:lang w:val="en-GB"/>
        </w:rPr>
        <w:t>e</w:t>
      </w:r>
      <w:r w:rsidRPr="007F40EB">
        <w:rPr>
          <w:rFonts w:ascii="Times New Roman" w:hAnsi="Times New Roman" w:cs="Times New Roman"/>
          <w:color w:val="auto"/>
          <w:sz w:val="24"/>
          <w:szCs w:val="24"/>
          <w:lang w:val="en-GB"/>
        </w:rPr>
        <w:t xml:space="preserve">t al. </w:t>
      </w:r>
      <w:r w:rsidRPr="007F40EB">
        <w:rPr>
          <w:rFonts w:ascii="Times New Roman" w:hAnsi="Times New Roman" w:cs="Times New Roman"/>
          <w:color w:val="auto"/>
          <w:sz w:val="24"/>
          <w:szCs w:val="24"/>
        </w:rPr>
        <w:t>Pain is not associated with cognitive decline in older adults: A four-year longitu</w:t>
      </w:r>
      <w:r w:rsidR="007A6ACA" w:rsidRPr="007F40EB">
        <w:rPr>
          <w:rFonts w:ascii="Times New Roman" w:hAnsi="Times New Roman" w:cs="Times New Roman"/>
          <w:color w:val="auto"/>
          <w:sz w:val="24"/>
          <w:szCs w:val="24"/>
        </w:rPr>
        <w:t xml:space="preserve">dinal study. </w:t>
      </w:r>
      <w:r w:rsidR="00CD20DE" w:rsidRPr="007F40EB">
        <w:rPr>
          <w:rFonts w:ascii="Times New Roman" w:hAnsi="Times New Roman" w:cs="Times New Roman"/>
          <w:i/>
          <w:color w:val="auto"/>
          <w:sz w:val="24"/>
          <w:szCs w:val="24"/>
        </w:rPr>
        <w:t>Maturitas</w:t>
      </w:r>
      <w:r w:rsidR="007A6ACA" w:rsidRPr="007F40EB">
        <w:rPr>
          <w:rFonts w:ascii="Times New Roman" w:hAnsi="Times New Roman" w:cs="Times New Roman"/>
          <w:i/>
          <w:color w:val="auto"/>
          <w:sz w:val="24"/>
          <w:szCs w:val="24"/>
        </w:rPr>
        <w:t xml:space="preserve"> </w:t>
      </w:r>
      <w:r w:rsidR="007A6ACA" w:rsidRPr="007F40EB">
        <w:rPr>
          <w:rFonts w:ascii="Times New Roman" w:hAnsi="Times New Roman" w:cs="Times New Roman"/>
          <w:color w:val="auto"/>
          <w:sz w:val="24"/>
          <w:szCs w:val="24"/>
        </w:rPr>
        <w:t>2018</w:t>
      </w:r>
      <w:r w:rsidRPr="007F40EB">
        <w:rPr>
          <w:rFonts w:ascii="Times New Roman" w:hAnsi="Times New Roman" w:cs="Times New Roman"/>
          <w:color w:val="auto"/>
          <w:sz w:val="24"/>
          <w:szCs w:val="24"/>
        </w:rPr>
        <w:t>;115:92–</w:t>
      </w:r>
      <w:r w:rsidR="007A6ACA" w:rsidRPr="007F40EB">
        <w:rPr>
          <w:rFonts w:ascii="Times New Roman" w:hAnsi="Times New Roman" w:cs="Times New Roman"/>
          <w:color w:val="auto"/>
          <w:sz w:val="24"/>
          <w:szCs w:val="24"/>
        </w:rPr>
        <w:t>9</w:t>
      </w:r>
      <w:r w:rsidRPr="007F40EB">
        <w:rPr>
          <w:rFonts w:ascii="Times New Roman" w:hAnsi="Times New Roman" w:cs="Times New Roman"/>
          <w:color w:val="auto"/>
          <w:sz w:val="24"/>
          <w:szCs w:val="24"/>
        </w:rPr>
        <w:t xml:space="preserve">6. </w:t>
      </w:r>
    </w:p>
    <w:p w:rsidR="00761F6F" w:rsidRPr="007F40EB" w:rsidRDefault="00B446FB" w:rsidP="00761F6F">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22. </w:t>
      </w:r>
      <w:r w:rsidRPr="007F40EB">
        <w:rPr>
          <w:rFonts w:ascii="Times New Roman" w:hAnsi="Times New Roman" w:cs="Times New Roman"/>
          <w:color w:val="auto"/>
          <w:sz w:val="24"/>
          <w:szCs w:val="24"/>
        </w:rPr>
        <w:tab/>
        <w:t>Banks J, Karlsen S, Oldfield Z</w:t>
      </w:r>
      <w:r w:rsidR="00761F6F" w:rsidRPr="007F40EB">
        <w:rPr>
          <w:rFonts w:ascii="Times New Roman" w:hAnsi="Times New Roman" w:cs="Times New Roman"/>
          <w:color w:val="auto"/>
          <w:sz w:val="24"/>
          <w:szCs w:val="24"/>
        </w:rPr>
        <w:t xml:space="preserve">. Socio-economic position. 2003. http://discovery.ucl.ac.uk/15366/1/15366.pdf. Accessed </w:t>
      </w:r>
      <w:r w:rsidR="009F05AC" w:rsidRPr="007F40EB">
        <w:rPr>
          <w:rFonts w:ascii="Times New Roman" w:hAnsi="Times New Roman" w:cs="Times New Roman"/>
          <w:color w:val="auto"/>
          <w:sz w:val="24"/>
          <w:szCs w:val="24"/>
        </w:rPr>
        <w:t xml:space="preserve">on </w:t>
      </w:r>
      <w:r w:rsidR="00761F6F" w:rsidRPr="007F40EB">
        <w:rPr>
          <w:rFonts w:ascii="Times New Roman" w:hAnsi="Times New Roman" w:cs="Times New Roman"/>
          <w:color w:val="auto"/>
          <w:sz w:val="24"/>
          <w:szCs w:val="24"/>
        </w:rPr>
        <w:t>March 4, 2014.</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23. </w:t>
      </w:r>
      <w:r w:rsidRPr="007F40EB">
        <w:rPr>
          <w:rFonts w:ascii="Times New Roman" w:hAnsi="Times New Roman" w:cs="Times New Roman"/>
          <w:color w:val="auto"/>
          <w:sz w:val="24"/>
          <w:szCs w:val="24"/>
        </w:rPr>
        <w:tab/>
        <w:t xml:space="preserve">Lee DM, Nazroo J, O’Connor DB,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Sexual Health and Well-being Among Older Men and Women in England: Findings from the English Longitudinal Study of Age</w:t>
      </w:r>
      <w:r w:rsidR="007A6ACA" w:rsidRPr="007F40EB">
        <w:rPr>
          <w:rFonts w:ascii="Times New Roman" w:hAnsi="Times New Roman" w:cs="Times New Roman"/>
          <w:color w:val="auto"/>
          <w:sz w:val="24"/>
          <w:szCs w:val="24"/>
        </w:rPr>
        <w:t xml:space="preserve">ing. </w:t>
      </w:r>
      <w:r w:rsidR="007A6ACA" w:rsidRPr="007F40EB">
        <w:rPr>
          <w:rFonts w:ascii="Times New Roman" w:hAnsi="Times New Roman" w:cs="Times New Roman"/>
          <w:i/>
          <w:color w:val="auto"/>
          <w:sz w:val="24"/>
          <w:szCs w:val="24"/>
        </w:rPr>
        <w:t>Arch Sex Behav</w:t>
      </w:r>
      <w:r w:rsidR="007A6ACA" w:rsidRPr="007F40EB">
        <w:rPr>
          <w:rFonts w:ascii="Times New Roman" w:hAnsi="Times New Roman" w:cs="Times New Roman"/>
          <w:color w:val="auto"/>
          <w:sz w:val="24"/>
          <w:szCs w:val="24"/>
        </w:rPr>
        <w:t xml:space="preserve"> 2015</w:t>
      </w:r>
      <w:r w:rsidRPr="007F40EB">
        <w:rPr>
          <w:rFonts w:ascii="Times New Roman" w:hAnsi="Times New Roman" w:cs="Times New Roman"/>
          <w:color w:val="auto"/>
          <w:sz w:val="24"/>
          <w:szCs w:val="24"/>
        </w:rPr>
        <w:t>;</w:t>
      </w:r>
      <w:r w:rsidR="007A6ACA" w:rsidRPr="007F40EB">
        <w:rPr>
          <w:rFonts w:ascii="Times New Roman" w:hAnsi="Times New Roman" w:cs="Times New Roman"/>
          <w:color w:val="auto"/>
          <w:sz w:val="24"/>
          <w:szCs w:val="24"/>
        </w:rPr>
        <w:t>45(1):133-</w:t>
      </w:r>
      <w:r w:rsidR="000E4A6B" w:rsidRPr="007F40EB">
        <w:rPr>
          <w:rFonts w:ascii="Times New Roman" w:hAnsi="Times New Roman" w:cs="Times New Roman"/>
          <w:color w:val="auto"/>
          <w:sz w:val="24"/>
          <w:szCs w:val="24"/>
        </w:rPr>
        <w:t>1</w:t>
      </w:r>
      <w:r w:rsidR="007A6ACA" w:rsidRPr="007F40EB">
        <w:rPr>
          <w:rFonts w:ascii="Times New Roman" w:hAnsi="Times New Roman" w:cs="Times New Roman"/>
          <w:color w:val="auto"/>
          <w:sz w:val="24"/>
          <w:szCs w:val="24"/>
        </w:rPr>
        <w:t>44.</w:t>
      </w:r>
      <w:r w:rsidRPr="007F40EB">
        <w:rPr>
          <w:rFonts w:ascii="Times New Roman" w:hAnsi="Times New Roman" w:cs="Times New Roman"/>
          <w:color w:val="auto"/>
          <w:sz w:val="24"/>
          <w:szCs w:val="24"/>
        </w:rPr>
        <w:t xml:space="preserve">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24. </w:t>
      </w:r>
      <w:r w:rsidRPr="007F40EB">
        <w:rPr>
          <w:rFonts w:ascii="Times New Roman" w:hAnsi="Times New Roman" w:cs="Times New Roman"/>
          <w:color w:val="auto"/>
          <w:sz w:val="24"/>
          <w:szCs w:val="24"/>
        </w:rPr>
        <w:tab/>
      </w:r>
      <w:r w:rsidRPr="007F40EB">
        <w:rPr>
          <w:rFonts w:ascii="Times New Roman" w:hAnsi="Times New Roman" w:cs="Times New Roman"/>
          <w:color w:val="auto"/>
          <w:sz w:val="24"/>
          <w:szCs w:val="24"/>
          <w:lang w:val="en-GB"/>
        </w:rPr>
        <w:t xml:space="preserve">Hamer M, Molloy GJ, de Oliveira C, </w:t>
      </w:r>
      <w:r w:rsidR="0082243A" w:rsidRPr="007F40EB">
        <w:rPr>
          <w:rFonts w:ascii="Times New Roman" w:hAnsi="Times New Roman" w:cs="Times New Roman"/>
          <w:color w:val="auto"/>
          <w:sz w:val="24"/>
          <w:szCs w:val="24"/>
          <w:lang w:val="en-GB"/>
        </w:rPr>
        <w:t>et al</w:t>
      </w:r>
      <w:r w:rsidRPr="007F40EB">
        <w:rPr>
          <w:rFonts w:ascii="Times New Roman" w:hAnsi="Times New Roman" w:cs="Times New Roman"/>
          <w:color w:val="auto"/>
          <w:sz w:val="24"/>
          <w:szCs w:val="24"/>
          <w:lang w:val="en-GB"/>
        </w:rPr>
        <w:t xml:space="preserve">. </w:t>
      </w:r>
      <w:r w:rsidRPr="007F40EB">
        <w:rPr>
          <w:rFonts w:ascii="Times New Roman" w:hAnsi="Times New Roman" w:cs="Times New Roman"/>
          <w:color w:val="auto"/>
          <w:sz w:val="24"/>
          <w:szCs w:val="24"/>
        </w:rPr>
        <w:t xml:space="preserve">Leisure time physical activity, risk of depressive symptoms, and inflammatory mediators: the English Longitudinal Study of Ageing. </w:t>
      </w:r>
      <w:r w:rsidRPr="007F40EB">
        <w:rPr>
          <w:rFonts w:ascii="Times New Roman" w:hAnsi="Times New Roman" w:cs="Times New Roman"/>
          <w:i/>
          <w:color w:val="auto"/>
          <w:sz w:val="24"/>
          <w:szCs w:val="24"/>
        </w:rPr>
        <w:t>Ps</w:t>
      </w:r>
      <w:r w:rsidR="00CD20DE" w:rsidRPr="007F40EB">
        <w:rPr>
          <w:rFonts w:ascii="Times New Roman" w:hAnsi="Times New Roman" w:cs="Times New Roman"/>
          <w:i/>
          <w:color w:val="auto"/>
          <w:sz w:val="24"/>
          <w:szCs w:val="24"/>
        </w:rPr>
        <w:t>ychoneuroendocrinology</w:t>
      </w:r>
      <w:r w:rsidR="000E4A6B" w:rsidRPr="007F40EB">
        <w:rPr>
          <w:rFonts w:ascii="Times New Roman" w:hAnsi="Times New Roman" w:cs="Times New Roman"/>
          <w:i/>
          <w:color w:val="auto"/>
          <w:sz w:val="24"/>
          <w:szCs w:val="24"/>
        </w:rPr>
        <w:t xml:space="preserve"> </w:t>
      </w:r>
      <w:r w:rsidR="000E4A6B" w:rsidRPr="007F40EB">
        <w:rPr>
          <w:rFonts w:ascii="Times New Roman" w:hAnsi="Times New Roman" w:cs="Times New Roman"/>
          <w:color w:val="auto"/>
          <w:sz w:val="24"/>
          <w:szCs w:val="24"/>
        </w:rPr>
        <w:t>2009</w:t>
      </w:r>
      <w:r w:rsidRPr="007F40EB">
        <w:rPr>
          <w:rFonts w:ascii="Times New Roman" w:hAnsi="Times New Roman" w:cs="Times New Roman"/>
          <w:color w:val="auto"/>
          <w:sz w:val="24"/>
          <w:szCs w:val="24"/>
        </w:rPr>
        <w:t>;34(7):1050–</w:t>
      </w:r>
      <w:r w:rsidR="000E4A6B" w:rsidRPr="007F40EB">
        <w:rPr>
          <w:rFonts w:ascii="Times New Roman" w:hAnsi="Times New Roman" w:cs="Times New Roman"/>
          <w:color w:val="auto"/>
          <w:sz w:val="24"/>
          <w:szCs w:val="24"/>
        </w:rPr>
        <w:t>105</w:t>
      </w:r>
      <w:r w:rsidRPr="007F40EB">
        <w:rPr>
          <w:rFonts w:ascii="Times New Roman" w:hAnsi="Times New Roman" w:cs="Times New Roman"/>
          <w:color w:val="auto"/>
          <w:sz w:val="24"/>
          <w:szCs w:val="24"/>
        </w:rPr>
        <w:t xml:space="preserve">5.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25. </w:t>
      </w:r>
      <w:r w:rsidRPr="007F40EB">
        <w:rPr>
          <w:rFonts w:ascii="Times New Roman" w:hAnsi="Times New Roman" w:cs="Times New Roman"/>
          <w:color w:val="auto"/>
          <w:sz w:val="24"/>
          <w:szCs w:val="24"/>
        </w:rPr>
        <w:tab/>
        <w:t>Steffick DE.</w:t>
      </w:r>
      <w:r w:rsidRPr="007F40EB">
        <w:rPr>
          <w:rFonts w:ascii="Times New Roman" w:hAnsi="Times New Roman" w:cs="Times New Roman"/>
          <w:i/>
          <w:color w:val="auto"/>
          <w:sz w:val="24"/>
          <w:szCs w:val="24"/>
        </w:rPr>
        <w:t xml:space="preserve"> Documentation of affective functioning measures in the Health and Retirement Study. HRS Documentation Report DR-005</w:t>
      </w:r>
      <w:r w:rsidR="00761F6F" w:rsidRPr="007F40EB">
        <w:rPr>
          <w:rFonts w:ascii="Times New Roman" w:hAnsi="Times New Roman" w:cs="Times New Roman"/>
          <w:color w:val="auto"/>
          <w:sz w:val="24"/>
          <w:szCs w:val="24"/>
        </w:rPr>
        <w:t>. Ann Arbor, Michigan</w:t>
      </w:r>
      <w:r w:rsidR="003E6D92" w:rsidRPr="007F40EB">
        <w:rPr>
          <w:rFonts w:ascii="Times New Roman" w:hAnsi="Times New Roman" w:cs="Times New Roman"/>
          <w:color w:val="auto"/>
          <w:sz w:val="24"/>
          <w:szCs w:val="24"/>
        </w:rPr>
        <w:t xml:space="preserve">: Institute for Social Research, University of Michigan; </w:t>
      </w:r>
      <w:r w:rsidRPr="007F40EB">
        <w:rPr>
          <w:rFonts w:ascii="Times New Roman" w:hAnsi="Times New Roman" w:cs="Times New Roman"/>
          <w:color w:val="auto"/>
          <w:sz w:val="24"/>
          <w:szCs w:val="24"/>
        </w:rPr>
        <w:t xml:space="preserve">2000.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26. </w:t>
      </w:r>
      <w:r w:rsidRPr="007F40EB">
        <w:rPr>
          <w:rFonts w:ascii="Times New Roman" w:hAnsi="Times New Roman" w:cs="Times New Roman"/>
          <w:color w:val="auto"/>
          <w:sz w:val="24"/>
          <w:szCs w:val="24"/>
        </w:rPr>
        <w:tab/>
        <w:t xml:space="preserve">Furth KE, Mastwal S, Wang KH,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xml:space="preserve">. Dopamine, cognitive function, and gamma oscillations: role of D4 receptors. </w:t>
      </w:r>
      <w:r w:rsidR="00CD20DE" w:rsidRPr="007F40EB">
        <w:rPr>
          <w:rFonts w:ascii="Times New Roman" w:hAnsi="Times New Roman" w:cs="Times New Roman"/>
          <w:i/>
          <w:color w:val="auto"/>
          <w:sz w:val="24"/>
          <w:szCs w:val="24"/>
        </w:rPr>
        <w:t>Front Cell Neurosci</w:t>
      </w:r>
      <w:r w:rsidRPr="007F40EB">
        <w:rPr>
          <w:rFonts w:ascii="Times New Roman" w:hAnsi="Times New Roman" w:cs="Times New Roman"/>
          <w:color w:val="auto"/>
          <w:sz w:val="24"/>
          <w:szCs w:val="24"/>
        </w:rPr>
        <w:t xml:space="preserve"> 2013;7:102.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27. </w:t>
      </w:r>
      <w:r w:rsidRPr="007F40EB">
        <w:rPr>
          <w:rFonts w:ascii="Times New Roman" w:hAnsi="Times New Roman" w:cs="Times New Roman"/>
          <w:color w:val="auto"/>
          <w:sz w:val="24"/>
          <w:szCs w:val="24"/>
        </w:rPr>
        <w:tab/>
        <w:t>Melis MR, Argiolas A. Dopamine and sexual behavior.</w:t>
      </w:r>
      <w:r w:rsidR="00CD20DE" w:rsidRPr="007F40EB">
        <w:rPr>
          <w:rFonts w:ascii="Times New Roman" w:hAnsi="Times New Roman" w:cs="Times New Roman"/>
          <w:i/>
          <w:color w:val="auto"/>
          <w:sz w:val="24"/>
          <w:szCs w:val="24"/>
        </w:rPr>
        <w:t xml:space="preserve"> Neurosci Biobehav Rev</w:t>
      </w:r>
      <w:r w:rsidRPr="007F40EB">
        <w:rPr>
          <w:rFonts w:ascii="Times New Roman" w:hAnsi="Times New Roman" w:cs="Times New Roman"/>
          <w:i/>
          <w:color w:val="auto"/>
          <w:sz w:val="24"/>
          <w:szCs w:val="24"/>
        </w:rPr>
        <w:t xml:space="preserve"> </w:t>
      </w:r>
      <w:r w:rsidRPr="007F40EB">
        <w:rPr>
          <w:rFonts w:ascii="Times New Roman" w:hAnsi="Times New Roman" w:cs="Times New Roman"/>
          <w:color w:val="auto"/>
          <w:sz w:val="24"/>
          <w:szCs w:val="24"/>
        </w:rPr>
        <w:t xml:space="preserve">1995;19(1):19–38.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28. </w:t>
      </w:r>
      <w:r w:rsidRPr="007F40EB">
        <w:rPr>
          <w:rFonts w:ascii="Times New Roman" w:hAnsi="Times New Roman" w:cs="Times New Roman"/>
          <w:color w:val="auto"/>
          <w:sz w:val="24"/>
          <w:szCs w:val="24"/>
        </w:rPr>
        <w:tab/>
        <w:t>Guastella AJ, Einfeld SL, Gray KM, et al. Intranasal oxytocin improves emotion recognition for youth with autism spectrum diso</w:t>
      </w:r>
      <w:r w:rsidR="000E4A6B" w:rsidRPr="007F40EB">
        <w:rPr>
          <w:rFonts w:ascii="Times New Roman" w:hAnsi="Times New Roman" w:cs="Times New Roman"/>
          <w:color w:val="auto"/>
          <w:sz w:val="24"/>
          <w:szCs w:val="24"/>
        </w:rPr>
        <w:t xml:space="preserve">rders. </w:t>
      </w:r>
      <w:r w:rsidR="00CD20DE" w:rsidRPr="007F40EB">
        <w:rPr>
          <w:rFonts w:ascii="Times New Roman" w:hAnsi="Times New Roman" w:cs="Times New Roman"/>
          <w:i/>
          <w:color w:val="auto"/>
          <w:sz w:val="24"/>
          <w:szCs w:val="24"/>
        </w:rPr>
        <w:t>Biol Psychiatry</w:t>
      </w:r>
      <w:r w:rsidR="000E4A6B" w:rsidRPr="007F40EB">
        <w:rPr>
          <w:rFonts w:ascii="Times New Roman" w:hAnsi="Times New Roman" w:cs="Times New Roman"/>
          <w:i/>
          <w:color w:val="auto"/>
          <w:sz w:val="24"/>
          <w:szCs w:val="24"/>
        </w:rPr>
        <w:t xml:space="preserve"> </w:t>
      </w:r>
      <w:r w:rsidR="000E4A6B" w:rsidRPr="007F40EB">
        <w:rPr>
          <w:rFonts w:ascii="Times New Roman" w:hAnsi="Times New Roman" w:cs="Times New Roman"/>
          <w:color w:val="auto"/>
          <w:sz w:val="24"/>
          <w:szCs w:val="24"/>
        </w:rPr>
        <w:t>2010</w:t>
      </w:r>
      <w:r w:rsidRPr="007F40EB">
        <w:rPr>
          <w:rFonts w:ascii="Times New Roman" w:hAnsi="Times New Roman" w:cs="Times New Roman"/>
          <w:color w:val="auto"/>
          <w:sz w:val="24"/>
          <w:szCs w:val="24"/>
        </w:rPr>
        <w:t>;67(7):692–</w:t>
      </w:r>
      <w:r w:rsidR="009C75A1" w:rsidRPr="007F40EB">
        <w:rPr>
          <w:rFonts w:ascii="Times New Roman" w:hAnsi="Times New Roman" w:cs="Times New Roman"/>
          <w:color w:val="auto"/>
          <w:sz w:val="24"/>
          <w:szCs w:val="24"/>
        </w:rPr>
        <w:t>69</w:t>
      </w:r>
      <w:r w:rsidRPr="007F40EB">
        <w:rPr>
          <w:rFonts w:ascii="Times New Roman" w:hAnsi="Times New Roman" w:cs="Times New Roman"/>
          <w:color w:val="auto"/>
          <w:sz w:val="24"/>
          <w:szCs w:val="24"/>
        </w:rPr>
        <w:t xml:space="preserve">4.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lastRenderedPageBreak/>
        <w:t xml:space="preserve">29. </w:t>
      </w:r>
      <w:r w:rsidRPr="007F40EB">
        <w:rPr>
          <w:rFonts w:ascii="Times New Roman" w:hAnsi="Times New Roman" w:cs="Times New Roman"/>
          <w:color w:val="auto"/>
          <w:sz w:val="24"/>
          <w:szCs w:val="24"/>
        </w:rPr>
        <w:tab/>
        <w:t>Ng T, Teo SM, Yeo HL, et al. Brain-derived neurotrophic factor genetic polymorphism (rs6265) is protective against chemotherapy-associated cognitive impairment in patients with early-stage brea</w:t>
      </w:r>
      <w:r w:rsidR="009C75A1" w:rsidRPr="007F40EB">
        <w:rPr>
          <w:rFonts w:ascii="Times New Roman" w:hAnsi="Times New Roman" w:cs="Times New Roman"/>
          <w:color w:val="auto"/>
          <w:sz w:val="24"/>
          <w:szCs w:val="24"/>
        </w:rPr>
        <w:t xml:space="preserve">st cancer. </w:t>
      </w:r>
      <w:r w:rsidR="00CD20DE" w:rsidRPr="007F40EB">
        <w:rPr>
          <w:rFonts w:ascii="Times New Roman" w:hAnsi="Times New Roman" w:cs="Times New Roman"/>
          <w:i/>
          <w:color w:val="auto"/>
          <w:sz w:val="24"/>
          <w:szCs w:val="24"/>
        </w:rPr>
        <w:t>Neuro-Oncol</w:t>
      </w:r>
      <w:r w:rsidR="009C75A1" w:rsidRPr="007F40EB">
        <w:rPr>
          <w:rFonts w:ascii="Times New Roman" w:hAnsi="Times New Roman" w:cs="Times New Roman"/>
          <w:i/>
          <w:color w:val="auto"/>
          <w:sz w:val="24"/>
          <w:szCs w:val="24"/>
        </w:rPr>
        <w:t xml:space="preserve"> </w:t>
      </w:r>
      <w:r w:rsidR="009C75A1" w:rsidRPr="007F40EB">
        <w:rPr>
          <w:rFonts w:ascii="Times New Roman" w:hAnsi="Times New Roman" w:cs="Times New Roman"/>
          <w:color w:val="auto"/>
          <w:sz w:val="24"/>
          <w:szCs w:val="24"/>
        </w:rPr>
        <w:t>2016</w:t>
      </w:r>
      <w:r w:rsidRPr="007F40EB">
        <w:rPr>
          <w:rFonts w:ascii="Times New Roman" w:hAnsi="Times New Roman" w:cs="Times New Roman"/>
          <w:color w:val="auto"/>
          <w:sz w:val="24"/>
          <w:szCs w:val="24"/>
        </w:rPr>
        <w:t>;18(2):244–</w:t>
      </w:r>
      <w:r w:rsidR="009C75A1" w:rsidRPr="007F40EB">
        <w:rPr>
          <w:rFonts w:ascii="Times New Roman" w:hAnsi="Times New Roman" w:cs="Times New Roman"/>
          <w:color w:val="auto"/>
          <w:sz w:val="24"/>
          <w:szCs w:val="24"/>
        </w:rPr>
        <w:t>2</w:t>
      </w:r>
      <w:r w:rsidRPr="007F40EB">
        <w:rPr>
          <w:rFonts w:ascii="Times New Roman" w:hAnsi="Times New Roman" w:cs="Times New Roman"/>
          <w:color w:val="auto"/>
          <w:sz w:val="24"/>
          <w:szCs w:val="24"/>
        </w:rPr>
        <w:t xml:space="preserve">51.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30. </w:t>
      </w:r>
      <w:r w:rsidRPr="007F40EB">
        <w:rPr>
          <w:rFonts w:ascii="Times New Roman" w:hAnsi="Times New Roman" w:cs="Times New Roman"/>
          <w:color w:val="auto"/>
          <w:sz w:val="24"/>
          <w:szCs w:val="24"/>
        </w:rPr>
        <w:tab/>
        <w:t>Jehn CF, Becker B, Flath B, et al. Neurocognitive function, brain-derived neurotrophic factor (BDNF) and IL-6 levels in cancer patients with depress</w:t>
      </w:r>
      <w:r w:rsidR="009C75A1" w:rsidRPr="007F40EB">
        <w:rPr>
          <w:rFonts w:ascii="Times New Roman" w:hAnsi="Times New Roman" w:cs="Times New Roman"/>
          <w:color w:val="auto"/>
          <w:sz w:val="24"/>
          <w:szCs w:val="24"/>
        </w:rPr>
        <w:t xml:space="preserve">ion. </w:t>
      </w:r>
      <w:r w:rsidR="00CD20DE" w:rsidRPr="007F40EB">
        <w:rPr>
          <w:rFonts w:ascii="Times New Roman" w:hAnsi="Times New Roman" w:cs="Times New Roman"/>
          <w:i/>
          <w:color w:val="auto"/>
          <w:sz w:val="24"/>
          <w:szCs w:val="24"/>
        </w:rPr>
        <w:t>J Neuroimmunol</w:t>
      </w:r>
      <w:r w:rsidR="009C75A1" w:rsidRPr="007F40EB">
        <w:rPr>
          <w:rFonts w:ascii="Times New Roman" w:hAnsi="Times New Roman" w:cs="Times New Roman"/>
          <w:i/>
          <w:color w:val="auto"/>
          <w:sz w:val="24"/>
          <w:szCs w:val="24"/>
        </w:rPr>
        <w:t xml:space="preserve"> </w:t>
      </w:r>
      <w:r w:rsidR="009C75A1" w:rsidRPr="007F40EB">
        <w:rPr>
          <w:rFonts w:ascii="Times New Roman" w:hAnsi="Times New Roman" w:cs="Times New Roman"/>
          <w:color w:val="auto"/>
          <w:sz w:val="24"/>
          <w:szCs w:val="24"/>
        </w:rPr>
        <w:t>2015</w:t>
      </w:r>
      <w:r w:rsidRPr="007F40EB">
        <w:rPr>
          <w:rFonts w:ascii="Times New Roman" w:hAnsi="Times New Roman" w:cs="Times New Roman"/>
          <w:color w:val="auto"/>
          <w:sz w:val="24"/>
          <w:szCs w:val="24"/>
        </w:rPr>
        <w:t xml:space="preserve">;287:88–92.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31. </w:t>
      </w:r>
      <w:r w:rsidRPr="007F40EB">
        <w:rPr>
          <w:rFonts w:ascii="Times New Roman" w:hAnsi="Times New Roman" w:cs="Times New Roman"/>
          <w:color w:val="auto"/>
          <w:sz w:val="24"/>
          <w:szCs w:val="24"/>
        </w:rPr>
        <w:tab/>
        <w:t>Pedersen BK. Muscle as a secretor</w:t>
      </w:r>
      <w:r w:rsidR="00CD20DE" w:rsidRPr="007F40EB">
        <w:rPr>
          <w:rFonts w:ascii="Times New Roman" w:hAnsi="Times New Roman" w:cs="Times New Roman"/>
          <w:color w:val="auto"/>
          <w:sz w:val="24"/>
          <w:szCs w:val="24"/>
        </w:rPr>
        <w:t xml:space="preserve">y organ. </w:t>
      </w:r>
      <w:r w:rsidR="00CD20DE" w:rsidRPr="007F40EB">
        <w:rPr>
          <w:rFonts w:ascii="Times New Roman" w:hAnsi="Times New Roman" w:cs="Times New Roman"/>
          <w:i/>
          <w:color w:val="auto"/>
          <w:sz w:val="24"/>
          <w:szCs w:val="24"/>
        </w:rPr>
        <w:t>Compr Physiol</w:t>
      </w:r>
      <w:r w:rsidR="009C75A1" w:rsidRPr="007F40EB">
        <w:rPr>
          <w:rFonts w:ascii="Times New Roman" w:hAnsi="Times New Roman" w:cs="Times New Roman"/>
          <w:color w:val="auto"/>
          <w:sz w:val="24"/>
          <w:szCs w:val="24"/>
        </w:rPr>
        <w:t xml:space="preserve"> 2013</w:t>
      </w:r>
      <w:r w:rsidRPr="007F40EB">
        <w:rPr>
          <w:rFonts w:ascii="Times New Roman" w:hAnsi="Times New Roman" w:cs="Times New Roman"/>
          <w:color w:val="auto"/>
          <w:sz w:val="24"/>
          <w:szCs w:val="24"/>
        </w:rPr>
        <w:t>;3(3):1337–</w:t>
      </w:r>
      <w:r w:rsidR="009C75A1" w:rsidRPr="007F40EB">
        <w:rPr>
          <w:rFonts w:ascii="Times New Roman" w:hAnsi="Times New Roman" w:cs="Times New Roman"/>
          <w:color w:val="auto"/>
          <w:sz w:val="24"/>
          <w:szCs w:val="24"/>
        </w:rPr>
        <w:t>13</w:t>
      </w:r>
      <w:r w:rsidRPr="007F40EB">
        <w:rPr>
          <w:rFonts w:ascii="Times New Roman" w:hAnsi="Times New Roman" w:cs="Times New Roman"/>
          <w:color w:val="auto"/>
          <w:sz w:val="24"/>
          <w:szCs w:val="24"/>
        </w:rPr>
        <w:t xml:space="preserve">62.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32. </w:t>
      </w:r>
      <w:r w:rsidRPr="007F40EB">
        <w:rPr>
          <w:rFonts w:ascii="Times New Roman" w:hAnsi="Times New Roman" w:cs="Times New Roman"/>
          <w:color w:val="auto"/>
          <w:sz w:val="24"/>
          <w:szCs w:val="24"/>
        </w:rPr>
        <w:tab/>
        <w:t xml:space="preserve">Frappier J, Toupin I, Levy JJ, </w:t>
      </w:r>
      <w:r w:rsidR="0082243A" w:rsidRPr="007F40EB">
        <w:rPr>
          <w:rFonts w:ascii="Times New Roman" w:hAnsi="Times New Roman" w:cs="Times New Roman"/>
          <w:color w:val="auto"/>
          <w:sz w:val="24"/>
          <w:szCs w:val="24"/>
        </w:rPr>
        <w:t>et al</w:t>
      </w:r>
      <w:r w:rsidRPr="007F40EB">
        <w:rPr>
          <w:rFonts w:ascii="Times New Roman" w:hAnsi="Times New Roman" w:cs="Times New Roman"/>
          <w:color w:val="auto"/>
          <w:sz w:val="24"/>
          <w:szCs w:val="24"/>
        </w:rPr>
        <w:t>. Energy Expenditure during Sexual Activity in Young Heal</w:t>
      </w:r>
      <w:r w:rsidR="009C75A1" w:rsidRPr="007F40EB">
        <w:rPr>
          <w:rFonts w:ascii="Times New Roman" w:hAnsi="Times New Roman" w:cs="Times New Roman"/>
          <w:color w:val="auto"/>
          <w:sz w:val="24"/>
          <w:szCs w:val="24"/>
        </w:rPr>
        <w:t xml:space="preserve">thy Couples. </w:t>
      </w:r>
      <w:r w:rsidR="009C75A1" w:rsidRPr="007F40EB">
        <w:rPr>
          <w:rFonts w:ascii="Times New Roman" w:hAnsi="Times New Roman" w:cs="Times New Roman"/>
          <w:i/>
          <w:color w:val="auto"/>
          <w:sz w:val="24"/>
          <w:szCs w:val="24"/>
        </w:rPr>
        <w:t>PLoS O</w:t>
      </w:r>
      <w:r w:rsidR="001755EC" w:rsidRPr="007F40EB">
        <w:rPr>
          <w:rFonts w:ascii="Times New Roman" w:hAnsi="Times New Roman" w:cs="Times New Roman"/>
          <w:i/>
          <w:color w:val="auto"/>
          <w:sz w:val="24"/>
          <w:szCs w:val="24"/>
        </w:rPr>
        <w:t>ne</w:t>
      </w:r>
      <w:r w:rsidR="009C75A1" w:rsidRPr="007F40EB">
        <w:rPr>
          <w:rFonts w:ascii="Times New Roman" w:hAnsi="Times New Roman" w:cs="Times New Roman"/>
          <w:i/>
          <w:color w:val="auto"/>
          <w:sz w:val="24"/>
          <w:szCs w:val="24"/>
        </w:rPr>
        <w:t xml:space="preserve"> </w:t>
      </w:r>
      <w:r w:rsidR="009C75A1" w:rsidRPr="007F40EB">
        <w:rPr>
          <w:rFonts w:ascii="Times New Roman" w:hAnsi="Times New Roman" w:cs="Times New Roman"/>
          <w:color w:val="auto"/>
          <w:sz w:val="24"/>
          <w:szCs w:val="24"/>
        </w:rPr>
        <w:t>2013;8(10):</w:t>
      </w:r>
      <w:r w:rsidR="009C75A1" w:rsidRPr="007F40EB">
        <w:rPr>
          <w:color w:val="auto"/>
        </w:rPr>
        <w:t xml:space="preserve"> </w:t>
      </w:r>
      <w:r w:rsidR="009C75A1" w:rsidRPr="007F40EB">
        <w:rPr>
          <w:rFonts w:ascii="Times New Roman" w:hAnsi="Times New Roman" w:cs="Times New Roman"/>
          <w:color w:val="auto"/>
          <w:sz w:val="24"/>
          <w:szCs w:val="24"/>
        </w:rPr>
        <w:t>e79342.</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33. </w:t>
      </w:r>
      <w:r w:rsidRPr="007F40EB">
        <w:rPr>
          <w:rFonts w:ascii="Times New Roman" w:hAnsi="Times New Roman" w:cs="Times New Roman"/>
          <w:color w:val="auto"/>
          <w:sz w:val="24"/>
          <w:szCs w:val="24"/>
        </w:rPr>
        <w:tab/>
        <w:t xml:space="preserve">Deary IJ, Corley J, Gow AJ, et al. Age-associated cognitive </w:t>
      </w:r>
      <w:r w:rsidR="001368E4" w:rsidRPr="007F40EB">
        <w:rPr>
          <w:rFonts w:ascii="Times New Roman" w:hAnsi="Times New Roman" w:cs="Times New Roman"/>
          <w:color w:val="auto"/>
          <w:sz w:val="24"/>
          <w:szCs w:val="24"/>
        </w:rPr>
        <w:t xml:space="preserve">decline. </w:t>
      </w:r>
      <w:r w:rsidR="00CD20DE" w:rsidRPr="007F40EB">
        <w:rPr>
          <w:rFonts w:ascii="Times New Roman" w:hAnsi="Times New Roman" w:cs="Times New Roman"/>
          <w:i/>
          <w:color w:val="auto"/>
          <w:sz w:val="24"/>
          <w:szCs w:val="24"/>
        </w:rPr>
        <w:t>Br Med Bull</w:t>
      </w:r>
      <w:r w:rsidR="001368E4" w:rsidRPr="007F40EB">
        <w:rPr>
          <w:rFonts w:ascii="Times New Roman" w:hAnsi="Times New Roman" w:cs="Times New Roman"/>
          <w:i/>
          <w:color w:val="auto"/>
          <w:sz w:val="24"/>
          <w:szCs w:val="24"/>
        </w:rPr>
        <w:t xml:space="preserve"> </w:t>
      </w:r>
      <w:r w:rsidR="001368E4" w:rsidRPr="007F40EB">
        <w:rPr>
          <w:rFonts w:ascii="Times New Roman" w:hAnsi="Times New Roman" w:cs="Times New Roman"/>
          <w:color w:val="auto"/>
          <w:sz w:val="24"/>
          <w:szCs w:val="24"/>
        </w:rPr>
        <w:t>2009</w:t>
      </w:r>
      <w:r w:rsidRPr="007F40EB">
        <w:rPr>
          <w:rFonts w:ascii="Times New Roman" w:hAnsi="Times New Roman" w:cs="Times New Roman"/>
          <w:color w:val="auto"/>
          <w:sz w:val="24"/>
          <w:szCs w:val="24"/>
        </w:rPr>
        <w:t>;92(1):135–</w:t>
      </w:r>
      <w:r w:rsidR="001368E4" w:rsidRPr="007F40EB">
        <w:rPr>
          <w:rFonts w:ascii="Times New Roman" w:hAnsi="Times New Roman" w:cs="Times New Roman"/>
          <w:color w:val="auto"/>
          <w:sz w:val="24"/>
          <w:szCs w:val="24"/>
        </w:rPr>
        <w:t>1</w:t>
      </w:r>
      <w:r w:rsidRPr="007F40EB">
        <w:rPr>
          <w:rFonts w:ascii="Times New Roman" w:hAnsi="Times New Roman" w:cs="Times New Roman"/>
          <w:color w:val="auto"/>
          <w:sz w:val="24"/>
          <w:szCs w:val="24"/>
        </w:rPr>
        <w:t xml:space="preserve">52. </w:t>
      </w:r>
    </w:p>
    <w:p w:rsidR="003E6D92"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34. </w:t>
      </w:r>
      <w:r w:rsidRPr="007F40EB">
        <w:rPr>
          <w:rFonts w:ascii="Times New Roman" w:hAnsi="Times New Roman" w:cs="Times New Roman"/>
          <w:color w:val="auto"/>
          <w:sz w:val="24"/>
          <w:szCs w:val="24"/>
        </w:rPr>
        <w:tab/>
        <w:t>Zaidi ZF. Gender Differences in Human Brain: A Review.</w:t>
      </w:r>
      <w:r w:rsidRPr="007F40EB">
        <w:rPr>
          <w:rFonts w:ascii="Times New Roman" w:hAnsi="Times New Roman" w:cs="Times New Roman"/>
          <w:i/>
          <w:color w:val="auto"/>
          <w:sz w:val="24"/>
          <w:szCs w:val="24"/>
        </w:rPr>
        <w:t xml:space="preserve"> Open Anat J</w:t>
      </w:r>
      <w:r w:rsidR="003E6D92" w:rsidRPr="007F40EB">
        <w:rPr>
          <w:rFonts w:ascii="Times New Roman" w:hAnsi="Times New Roman" w:cs="Times New Roman"/>
          <w:color w:val="auto"/>
          <w:sz w:val="24"/>
          <w:szCs w:val="24"/>
        </w:rPr>
        <w:t xml:space="preserve"> 2010;2:37-55.</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35. </w:t>
      </w:r>
      <w:r w:rsidRPr="007F40EB">
        <w:rPr>
          <w:rFonts w:ascii="Times New Roman" w:hAnsi="Times New Roman" w:cs="Times New Roman"/>
          <w:color w:val="auto"/>
          <w:sz w:val="24"/>
          <w:szCs w:val="24"/>
        </w:rPr>
        <w:tab/>
        <w:t>McEwen BS, Milner TA. Understanding the Broad Influence of Sex Hormones and Sex Differences in the B</w:t>
      </w:r>
      <w:r w:rsidR="001368E4" w:rsidRPr="007F40EB">
        <w:rPr>
          <w:rFonts w:ascii="Times New Roman" w:hAnsi="Times New Roman" w:cs="Times New Roman"/>
          <w:color w:val="auto"/>
          <w:sz w:val="24"/>
          <w:szCs w:val="24"/>
        </w:rPr>
        <w:t xml:space="preserve">rain. </w:t>
      </w:r>
      <w:r w:rsidR="001368E4" w:rsidRPr="007F40EB">
        <w:rPr>
          <w:rFonts w:ascii="Times New Roman" w:hAnsi="Times New Roman" w:cs="Times New Roman"/>
          <w:i/>
          <w:color w:val="auto"/>
          <w:sz w:val="24"/>
          <w:szCs w:val="24"/>
        </w:rPr>
        <w:t>J Neurosci Res</w:t>
      </w:r>
      <w:r w:rsidR="001368E4" w:rsidRPr="007F40EB">
        <w:rPr>
          <w:rFonts w:ascii="Times New Roman" w:hAnsi="Times New Roman" w:cs="Times New Roman"/>
          <w:color w:val="auto"/>
          <w:sz w:val="24"/>
          <w:szCs w:val="24"/>
        </w:rPr>
        <w:t xml:space="preserve"> 2017</w:t>
      </w:r>
      <w:r w:rsidRPr="007F40EB">
        <w:rPr>
          <w:rFonts w:ascii="Times New Roman" w:hAnsi="Times New Roman" w:cs="Times New Roman"/>
          <w:color w:val="auto"/>
          <w:sz w:val="24"/>
          <w:szCs w:val="24"/>
        </w:rPr>
        <w:t xml:space="preserve">;95(1–2):24–39.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t xml:space="preserve">36. </w:t>
      </w:r>
      <w:r w:rsidRPr="007F40EB">
        <w:rPr>
          <w:rFonts w:ascii="Times New Roman" w:hAnsi="Times New Roman" w:cs="Times New Roman"/>
          <w:color w:val="auto"/>
          <w:sz w:val="24"/>
          <w:szCs w:val="24"/>
        </w:rPr>
        <w:tab/>
        <w:t xml:space="preserve">Leranth C, Petnehazy O, MacLusky NJ. Gonadal hormones affect spine synaptic density in the CA1 hippocampal subfield of male rats. </w:t>
      </w:r>
      <w:r w:rsidRPr="007F40EB">
        <w:rPr>
          <w:rFonts w:ascii="Times New Roman" w:hAnsi="Times New Roman" w:cs="Times New Roman"/>
          <w:i/>
          <w:color w:val="auto"/>
          <w:sz w:val="24"/>
          <w:szCs w:val="24"/>
        </w:rPr>
        <w:t>J Neurosci Off J Soc Neurosci</w:t>
      </w:r>
      <w:r w:rsidR="001368E4" w:rsidRPr="007F40EB">
        <w:rPr>
          <w:rFonts w:ascii="Times New Roman" w:hAnsi="Times New Roman" w:cs="Times New Roman"/>
          <w:i/>
          <w:color w:val="auto"/>
          <w:sz w:val="24"/>
          <w:szCs w:val="24"/>
        </w:rPr>
        <w:t xml:space="preserve"> </w:t>
      </w:r>
      <w:r w:rsidR="001368E4" w:rsidRPr="007F40EB">
        <w:rPr>
          <w:rFonts w:ascii="Times New Roman" w:hAnsi="Times New Roman" w:cs="Times New Roman"/>
          <w:color w:val="auto"/>
          <w:sz w:val="24"/>
          <w:szCs w:val="24"/>
        </w:rPr>
        <w:t>2003</w:t>
      </w:r>
      <w:r w:rsidRPr="007F40EB">
        <w:rPr>
          <w:rFonts w:ascii="Times New Roman" w:hAnsi="Times New Roman" w:cs="Times New Roman"/>
          <w:color w:val="auto"/>
          <w:sz w:val="24"/>
          <w:szCs w:val="24"/>
        </w:rPr>
        <w:t>;23(5):1588–</w:t>
      </w:r>
      <w:r w:rsidR="001368E4" w:rsidRPr="007F40EB">
        <w:rPr>
          <w:rFonts w:ascii="Times New Roman" w:hAnsi="Times New Roman" w:cs="Times New Roman"/>
          <w:color w:val="auto"/>
          <w:sz w:val="24"/>
          <w:szCs w:val="24"/>
        </w:rPr>
        <w:t>15</w:t>
      </w:r>
      <w:r w:rsidRPr="007F40EB">
        <w:rPr>
          <w:rFonts w:ascii="Times New Roman" w:hAnsi="Times New Roman" w:cs="Times New Roman"/>
          <w:color w:val="auto"/>
          <w:sz w:val="24"/>
          <w:szCs w:val="24"/>
        </w:rPr>
        <w:t xml:space="preserve">92. </w:t>
      </w:r>
    </w:p>
    <w:p w:rsidR="00B446FB" w:rsidRPr="007F40EB" w:rsidRDefault="00B446FB" w:rsidP="001E1D92">
      <w:pPr>
        <w:pStyle w:val="Bibliography"/>
        <w:spacing w:after="0" w:line="480" w:lineRule="auto"/>
        <w:rPr>
          <w:rFonts w:ascii="Times New Roman" w:hAnsi="Times New Roman" w:cs="Times New Roman"/>
          <w:color w:val="auto"/>
          <w:sz w:val="24"/>
          <w:szCs w:val="24"/>
          <w:lang w:val="it-IT"/>
        </w:rPr>
      </w:pPr>
      <w:r w:rsidRPr="007F40EB">
        <w:rPr>
          <w:rFonts w:ascii="Times New Roman" w:hAnsi="Times New Roman" w:cs="Times New Roman"/>
          <w:color w:val="auto"/>
          <w:sz w:val="24"/>
          <w:szCs w:val="24"/>
        </w:rPr>
        <w:t xml:space="preserve">37. </w:t>
      </w:r>
      <w:r w:rsidRPr="007F40EB">
        <w:rPr>
          <w:rFonts w:ascii="Times New Roman" w:hAnsi="Times New Roman" w:cs="Times New Roman"/>
          <w:color w:val="auto"/>
          <w:sz w:val="24"/>
          <w:szCs w:val="24"/>
        </w:rPr>
        <w:tab/>
        <w:t xml:space="preserve">McEwen BS. Sex, stress and the brain: interactive actions of hormones on the developing and adult brain. </w:t>
      </w:r>
      <w:r w:rsidR="00CD20DE" w:rsidRPr="007F40EB">
        <w:rPr>
          <w:rFonts w:ascii="Times New Roman" w:hAnsi="Times New Roman" w:cs="Times New Roman"/>
          <w:i/>
          <w:color w:val="auto"/>
          <w:sz w:val="24"/>
          <w:szCs w:val="24"/>
          <w:lang w:val="it-IT"/>
        </w:rPr>
        <w:t>Climacteric</w:t>
      </w:r>
      <w:r w:rsidR="001368E4" w:rsidRPr="007F40EB">
        <w:rPr>
          <w:rFonts w:ascii="Times New Roman" w:hAnsi="Times New Roman" w:cs="Times New Roman"/>
          <w:i/>
          <w:color w:val="auto"/>
          <w:sz w:val="24"/>
          <w:szCs w:val="24"/>
          <w:lang w:val="it-IT"/>
        </w:rPr>
        <w:t xml:space="preserve"> </w:t>
      </w:r>
      <w:r w:rsidR="001368E4" w:rsidRPr="007F40EB">
        <w:rPr>
          <w:rFonts w:ascii="Times New Roman" w:hAnsi="Times New Roman" w:cs="Times New Roman"/>
          <w:color w:val="auto"/>
          <w:sz w:val="24"/>
          <w:szCs w:val="24"/>
          <w:lang w:val="it-IT"/>
        </w:rPr>
        <w:t>2014</w:t>
      </w:r>
      <w:r w:rsidRPr="007F40EB">
        <w:rPr>
          <w:rFonts w:ascii="Times New Roman" w:hAnsi="Times New Roman" w:cs="Times New Roman"/>
          <w:color w:val="auto"/>
          <w:sz w:val="24"/>
          <w:szCs w:val="24"/>
          <w:lang w:val="it-IT"/>
        </w:rPr>
        <w:t xml:space="preserve">;17(sup2):18–25. </w:t>
      </w:r>
    </w:p>
    <w:p w:rsidR="00B446FB" w:rsidRPr="007F40EB" w:rsidRDefault="00B446FB" w:rsidP="001E1D92">
      <w:pPr>
        <w:pStyle w:val="Bibliograph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lang w:val="it-IT"/>
        </w:rPr>
        <w:t xml:space="preserve">38. </w:t>
      </w:r>
      <w:r w:rsidRPr="007F40EB">
        <w:rPr>
          <w:rFonts w:ascii="Times New Roman" w:hAnsi="Times New Roman" w:cs="Times New Roman"/>
          <w:color w:val="auto"/>
          <w:sz w:val="24"/>
          <w:szCs w:val="24"/>
          <w:lang w:val="it-IT"/>
        </w:rPr>
        <w:tab/>
        <w:t xml:space="preserve">Padoani W, Dello Buono M, Marietta P, </w:t>
      </w:r>
      <w:r w:rsidR="0082243A" w:rsidRPr="007F40EB">
        <w:rPr>
          <w:rFonts w:ascii="Times New Roman" w:hAnsi="Times New Roman" w:cs="Times New Roman"/>
          <w:color w:val="auto"/>
          <w:sz w:val="24"/>
          <w:szCs w:val="24"/>
          <w:lang w:val="it-IT"/>
        </w:rPr>
        <w:t>et al</w:t>
      </w:r>
      <w:r w:rsidRPr="007F40EB">
        <w:rPr>
          <w:rFonts w:ascii="Times New Roman" w:hAnsi="Times New Roman" w:cs="Times New Roman"/>
          <w:color w:val="auto"/>
          <w:sz w:val="24"/>
          <w:szCs w:val="24"/>
          <w:lang w:val="it-IT"/>
        </w:rPr>
        <w:t xml:space="preserve">. </w:t>
      </w:r>
      <w:r w:rsidRPr="007F40EB">
        <w:rPr>
          <w:rFonts w:ascii="Times New Roman" w:hAnsi="Times New Roman" w:cs="Times New Roman"/>
          <w:color w:val="auto"/>
          <w:sz w:val="24"/>
          <w:szCs w:val="24"/>
        </w:rPr>
        <w:t>Influence of cognitive status on the sexual life of 352 elderly Italians aged 65-</w:t>
      </w:r>
      <w:r w:rsidR="001368E4" w:rsidRPr="007F40EB">
        <w:rPr>
          <w:rFonts w:ascii="Times New Roman" w:hAnsi="Times New Roman" w:cs="Times New Roman"/>
          <w:color w:val="auto"/>
          <w:sz w:val="24"/>
          <w:szCs w:val="24"/>
        </w:rPr>
        <w:t xml:space="preserve">105 years. </w:t>
      </w:r>
      <w:r w:rsidR="001368E4" w:rsidRPr="007F40EB">
        <w:rPr>
          <w:rFonts w:ascii="Times New Roman" w:hAnsi="Times New Roman" w:cs="Times New Roman"/>
          <w:i/>
          <w:color w:val="auto"/>
          <w:sz w:val="24"/>
          <w:szCs w:val="24"/>
        </w:rPr>
        <w:t xml:space="preserve">Gerontology </w:t>
      </w:r>
      <w:r w:rsidR="001368E4" w:rsidRPr="007F40EB">
        <w:rPr>
          <w:rFonts w:ascii="Times New Roman" w:hAnsi="Times New Roman" w:cs="Times New Roman"/>
          <w:color w:val="auto"/>
          <w:sz w:val="24"/>
          <w:szCs w:val="24"/>
        </w:rPr>
        <w:t>2000</w:t>
      </w:r>
      <w:r w:rsidRPr="007F40EB">
        <w:rPr>
          <w:rFonts w:ascii="Times New Roman" w:hAnsi="Times New Roman" w:cs="Times New Roman"/>
          <w:color w:val="auto"/>
          <w:sz w:val="24"/>
          <w:szCs w:val="24"/>
        </w:rPr>
        <w:t>;46(5):258–</w:t>
      </w:r>
      <w:r w:rsidR="001368E4" w:rsidRPr="007F40EB">
        <w:rPr>
          <w:rFonts w:ascii="Times New Roman" w:hAnsi="Times New Roman" w:cs="Times New Roman"/>
          <w:color w:val="auto"/>
          <w:sz w:val="24"/>
          <w:szCs w:val="24"/>
        </w:rPr>
        <w:t>2</w:t>
      </w:r>
      <w:r w:rsidRPr="007F40EB">
        <w:rPr>
          <w:rFonts w:ascii="Times New Roman" w:hAnsi="Times New Roman" w:cs="Times New Roman"/>
          <w:color w:val="auto"/>
          <w:sz w:val="24"/>
          <w:szCs w:val="24"/>
        </w:rPr>
        <w:t xml:space="preserve">65. </w:t>
      </w:r>
    </w:p>
    <w:p w:rsidR="0082500B" w:rsidRPr="007F40EB" w:rsidRDefault="00EB0324" w:rsidP="001E1D92">
      <w:pPr>
        <w:pStyle w:val="Body"/>
        <w:spacing w:after="0" w:line="480" w:lineRule="auto"/>
        <w:rPr>
          <w:rFonts w:ascii="Times New Roman" w:hAnsi="Times New Roman" w:cs="Times New Roman"/>
          <w:color w:val="auto"/>
          <w:sz w:val="24"/>
          <w:szCs w:val="24"/>
        </w:rPr>
      </w:pPr>
      <w:r w:rsidRPr="007F40EB">
        <w:rPr>
          <w:rFonts w:ascii="Times New Roman" w:hAnsi="Times New Roman" w:cs="Times New Roman"/>
          <w:color w:val="auto"/>
          <w:sz w:val="24"/>
          <w:szCs w:val="24"/>
        </w:rPr>
        <w:fldChar w:fldCharType="end"/>
      </w:r>
      <w:r w:rsidR="006819F9" w:rsidRPr="007F40EB">
        <w:rPr>
          <w:rFonts w:ascii="Times New Roman" w:hAnsi="Times New Roman" w:cs="Times New Roman"/>
          <w:color w:val="auto"/>
          <w:sz w:val="24"/>
          <w:szCs w:val="24"/>
        </w:rPr>
        <w:br w:type="page"/>
      </w:r>
    </w:p>
    <w:p w:rsidR="004904E2" w:rsidRPr="007F40EB" w:rsidRDefault="004904E2" w:rsidP="000A6265">
      <w:pPr>
        <w:spacing w:after="160" w:line="259" w:lineRule="auto"/>
        <w:sectPr w:rsidR="004904E2" w:rsidRPr="007F40EB" w:rsidSect="00ED13A9">
          <w:headerReference w:type="default" r:id="rId11"/>
          <w:pgSz w:w="11900" w:h="16840"/>
          <w:pgMar w:top="1440" w:right="1440" w:bottom="1440" w:left="1440" w:header="709" w:footer="709" w:gutter="0"/>
          <w:lnNumType w:countBy="1" w:restart="continuous"/>
          <w:cols w:space="720"/>
          <w:docGrid w:linePitch="326"/>
        </w:sectPr>
      </w:pPr>
    </w:p>
    <w:tbl>
      <w:tblPr>
        <w:tblStyle w:val="TableGrid"/>
        <w:tblW w:w="11199"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9"/>
        <w:gridCol w:w="45"/>
        <w:gridCol w:w="138"/>
        <w:gridCol w:w="1661"/>
        <w:gridCol w:w="610"/>
        <w:gridCol w:w="1561"/>
        <w:gridCol w:w="1559"/>
        <w:gridCol w:w="800"/>
        <w:gridCol w:w="239"/>
        <w:gridCol w:w="1850"/>
        <w:gridCol w:w="1650"/>
        <w:gridCol w:w="847"/>
      </w:tblGrid>
      <w:tr w:rsidR="007F40EB" w:rsidRPr="007F40EB" w:rsidTr="00C72D00">
        <w:trPr>
          <w:trHeight w:val="242"/>
        </w:trPr>
        <w:tc>
          <w:tcPr>
            <w:tcW w:w="5813" w:type="dxa"/>
            <w:gridSpan w:val="7"/>
            <w:tcBorders>
              <w:top w:val="nil"/>
              <w:bottom w:val="single" w:sz="4" w:space="0" w:color="auto"/>
              <w:right w:val="nil"/>
            </w:tcBorders>
          </w:tcPr>
          <w:p w:rsidR="004904E2" w:rsidRPr="007F40EB" w:rsidRDefault="004904E2" w:rsidP="00C72D00">
            <w:pPr>
              <w:pStyle w:val="Beforetables"/>
              <w:spacing w:line="240" w:lineRule="auto"/>
              <w:rPr>
                <w:color w:val="auto"/>
                <w:sz w:val="20"/>
                <w:szCs w:val="20"/>
              </w:rPr>
            </w:pPr>
            <w:r w:rsidRPr="007F40EB">
              <w:rPr>
                <w:b/>
                <w:color w:val="auto"/>
                <w:sz w:val="20"/>
                <w:szCs w:val="20"/>
              </w:rPr>
              <w:lastRenderedPageBreak/>
              <w:t>Table 1</w:t>
            </w:r>
            <w:r w:rsidRPr="007F40EB">
              <w:rPr>
                <w:color w:val="auto"/>
                <w:sz w:val="20"/>
                <w:szCs w:val="20"/>
              </w:rPr>
              <w:t xml:space="preserve"> Sample characteristics at baseline</w:t>
            </w:r>
          </w:p>
        </w:tc>
        <w:tc>
          <w:tcPr>
            <w:tcW w:w="800" w:type="dxa"/>
            <w:tcBorders>
              <w:top w:val="nil"/>
              <w:bottom w:val="single" w:sz="4" w:space="0" w:color="auto"/>
            </w:tcBorders>
          </w:tcPr>
          <w:p w:rsidR="004904E2" w:rsidRPr="007F40EB" w:rsidRDefault="004904E2" w:rsidP="00C72D00">
            <w:pPr>
              <w:pStyle w:val="Beforetables"/>
              <w:spacing w:line="240" w:lineRule="auto"/>
              <w:rPr>
                <w:b/>
                <w:color w:val="auto"/>
                <w:sz w:val="20"/>
                <w:szCs w:val="20"/>
              </w:rPr>
            </w:pPr>
          </w:p>
        </w:tc>
        <w:tc>
          <w:tcPr>
            <w:tcW w:w="239" w:type="dxa"/>
            <w:tcBorders>
              <w:top w:val="nil"/>
              <w:bottom w:val="single" w:sz="4" w:space="0" w:color="auto"/>
              <w:right w:val="nil"/>
            </w:tcBorders>
          </w:tcPr>
          <w:p w:rsidR="004904E2" w:rsidRPr="007F40EB" w:rsidRDefault="004904E2" w:rsidP="00C72D00">
            <w:pPr>
              <w:pStyle w:val="Beforetables"/>
              <w:spacing w:line="240" w:lineRule="auto"/>
              <w:rPr>
                <w:b/>
                <w:color w:val="auto"/>
                <w:sz w:val="20"/>
                <w:szCs w:val="20"/>
              </w:rPr>
            </w:pPr>
          </w:p>
        </w:tc>
        <w:tc>
          <w:tcPr>
            <w:tcW w:w="1850" w:type="dxa"/>
            <w:tcBorders>
              <w:top w:val="nil"/>
              <w:bottom w:val="single" w:sz="4" w:space="0" w:color="auto"/>
              <w:right w:val="nil"/>
            </w:tcBorders>
          </w:tcPr>
          <w:p w:rsidR="004904E2" w:rsidRPr="007F40EB" w:rsidRDefault="004904E2" w:rsidP="00C72D00">
            <w:pPr>
              <w:pStyle w:val="Beforetables"/>
              <w:spacing w:line="240" w:lineRule="auto"/>
              <w:rPr>
                <w:b/>
                <w:color w:val="auto"/>
                <w:sz w:val="20"/>
                <w:szCs w:val="20"/>
              </w:rPr>
            </w:pPr>
          </w:p>
        </w:tc>
        <w:tc>
          <w:tcPr>
            <w:tcW w:w="1650" w:type="dxa"/>
            <w:tcBorders>
              <w:top w:val="nil"/>
              <w:bottom w:val="single" w:sz="4" w:space="0" w:color="auto"/>
              <w:right w:val="nil"/>
            </w:tcBorders>
          </w:tcPr>
          <w:p w:rsidR="004904E2" w:rsidRPr="007F40EB" w:rsidRDefault="004904E2" w:rsidP="00C72D00">
            <w:pPr>
              <w:pStyle w:val="Beforetables"/>
              <w:spacing w:line="240" w:lineRule="auto"/>
              <w:rPr>
                <w:b/>
                <w:color w:val="auto"/>
                <w:sz w:val="20"/>
                <w:szCs w:val="20"/>
              </w:rPr>
            </w:pPr>
          </w:p>
        </w:tc>
        <w:tc>
          <w:tcPr>
            <w:tcW w:w="847" w:type="dxa"/>
            <w:tcBorders>
              <w:top w:val="nil"/>
              <w:bottom w:val="single" w:sz="4" w:space="0" w:color="auto"/>
              <w:right w:val="nil"/>
            </w:tcBorders>
          </w:tcPr>
          <w:p w:rsidR="004904E2" w:rsidRPr="007F40EB" w:rsidRDefault="004904E2" w:rsidP="00C72D00">
            <w:pPr>
              <w:pStyle w:val="Beforetables"/>
              <w:spacing w:line="240" w:lineRule="auto"/>
              <w:rPr>
                <w:b/>
                <w:color w:val="auto"/>
                <w:sz w:val="20"/>
                <w:szCs w:val="20"/>
              </w:rPr>
            </w:pPr>
          </w:p>
        </w:tc>
      </w:tr>
      <w:tr w:rsidR="007F40EB" w:rsidRPr="007F40EB" w:rsidTr="00C72D00">
        <w:tc>
          <w:tcPr>
            <w:tcW w:w="422" w:type="dxa"/>
            <w:gridSpan w:val="3"/>
            <w:tcBorders>
              <w:top w:val="nil"/>
              <w:bottom w:val="nil"/>
              <w:right w:val="nil"/>
            </w:tcBorders>
            <w:vAlign w:val="center"/>
          </w:tcPr>
          <w:p w:rsidR="004904E2" w:rsidRPr="007F40EB" w:rsidRDefault="004904E2" w:rsidP="00C72D00">
            <w:pPr>
              <w:jc w:val="center"/>
              <w:rPr>
                <w:b/>
                <w:sz w:val="20"/>
                <w:szCs w:val="20"/>
              </w:rPr>
            </w:pPr>
          </w:p>
        </w:tc>
        <w:tc>
          <w:tcPr>
            <w:tcW w:w="1661" w:type="dxa"/>
            <w:tcBorders>
              <w:top w:val="nil"/>
              <w:left w:val="nil"/>
              <w:bottom w:val="nil"/>
              <w:right w:val="nil"/>
            </w:tcBorders>
            <w:vAlign w:val="center"/>
          </w:tcPr>
          <w:p w:rsidR="004904E2" w:rsidRPr="007F40EB" w:rsidRDefault="004904E2" w:rsidP="00C72D00">
            <w:pPr>
              <w:jc w:val="center"/>
              <w:rPr>
                <w:b/>
                <w:sz w:val="20"/>
                <w:szCs w:val="20"/>
              </w:rPr>
            </w:pPr>
          </w:p>
        </w:tc>
        <w:tc>
          <w:tcPr>
            <w:tcW w:w="610" w:type="dxa"/>
            <w:tcBorders>
              <w:top w:val="nil"/>
              <w:left w:val="nil"/>
              <w:bottom w:val="nil"/>
              <w:right w:val="nil"/>
            </w:tcBorders>
            <w:vAlign w:val="center"/>
          </w:tcPr>
          <w:p w:rsidR="004904E2" w:rsidRPr="007F40EB" w:rsidRDefault="004904E2" w:rsidP="00C72D00">
            <w:pPr>
              <w:jc w:val="center"/>
              <w:rPr>
                <w:b/>
                <w:sz w:val="20"/>
                <w:szCs w:val="20"/>
              </w:rPr>
            </w:pPr>
          </w:p>
        </w:tc>
        <w:tc>
          <w:tcPr>
            <w:tcW w:w="3920" w:type="dxa"/>
            <w:gridSpan w:val="3"/>
            <w:tcBorders>
              <w:top w:val="single" w:sz="4" w:space="0" w:color="auto"/>
              <w:left w:val="nil"/>
              <w:bottom w:val="single" w:sz="8" w:space="0" w:color="auto"/>
              <w:right w:val="nil"/>
            </w:tcBorders>
            <w:vAlign w:val="center"/>
          </w:tcPr>
          <w:p w:rsidR="004904E2" w:rsidRPr="007F40EB" w:rsidRDefault="004904E2" w:rsidP="00C72D00">
            <w:pPr>
              <w:jc w:val="center"/>
              <w:rPr>
                <w:b/>
                <w:sz w:val="20"/>
                <w:szCs w:val="20"/>
              </w:rPr>
            </w:pPr>
            <w:r w:rsidRPr="007F40EB">
              <w:rPr>
                <w:b/>
                <w:sz w:val="20"/>
                <w:szCs w:val="20"/>
              </w:rPr>
              <w:t>Men</w:t>
            </w:r>
          </w:p>
        </w:tc>
        <w:tc>
          <w:tcPr>
            <w:tcW w:w="239" w:type="dxa"/>
            <w:tcBorders>
              <w:top w:val="single" w:sz="4" w:space="0" w:color="auto"/>
              <w:left w:val="nil"/>
              <w:bottom w:val="nil"/>
              <w:right w:val="nil"/>
            </w:tcBorders>
          </w:tcPr>
          <w:p w:rsidR="004904E2" w:rsidRPr="007F40EB" w:rsidRDefault="004904E2" w:rsidP="00C72D00">
            <w:pPr>
              <w:jc w:val="center"/>
              <w:rPr>
                <w:b/>
                <w:sz w:val="20"/>
                <w:szCs w:val="20"/>
              </w:rPr>
            </w:pPr>
          </w:p>
        </w:tc>
        <w:tc>
          <w:tcPr>
            <w:tcW w:w="4347" w:type="dxa"/>
            <w:gridSpan w:val="3"/>
            <w:tcBorders>
              <w:top w:val="single" w:sz="4" w:space="0" w:color="auto"/>
              <w:left w:val="nil"/>
              <w:bottom w:val="single" w:sz="8" w:space="0" w:color="auto"/>
              <w:right w:val="nil"/>
            </w:tcBorders>
            <w:vAlign w:val="center"/>
          </w:tcPr>
          <w:p w:rsidR="004904E2" w:rsidRPr="007F40EB" w:rsidRDefault="004904E2" w:rsidP="00C72D00">
            <w:pPr>
              <w:jc w:val="center"/>
              <w:rPr>
                <w:b/>
                <w:sz w:val="20"/>
                <w:szCs w:val="20"/>
              </w:rPr>
            </w:pPr>
            <w:r w:rsidRPr="007F40EB">
              <w:rPr>
                <w:b/>
                <w:sz w:val="20"/>
                <w:szCs w:val="20"/>
              </w:rPr>
              <w:t>Women</w:t>
            </w:r>
          </w:p>
        </w:tc>
      </w:tr>
      <w:tr w:rsidR="007F40EB" w:rsidRPr="007F40EB" w:rsidTr="00C72D00">
        <w:tc>
          <w:tcPr>
            <w:tcW w:w="2693" w:type="dxa"/>
            <w:gridSpan w:val="5"/>
            <w:tcBorders>
              <w:top w:val="nil"/>
              <w:bottom w:val="single" w:sz="4" w:space="0" w:color="auto"/>
              <w:right w:val="nil"/>
            </w:tcBorders>
          </w:tcPr>
          <w:p w:rsidR="004904E2" w:rsidRPr="007F40EB" w:rsidRDefault="004904E2" w:rsidP="00C72D00">
            <w:pPr>
              <w:rPr>
                <w:sz w:val="20"/>
                <w:szCs w:val="20"/>
              </w:rPr>
            </w:pPr>
          </w:p>
        </w:tc>
        <w:tc>
          <w:tcPr>
            <w:tcW w:w="1561" w:type="dxa"/>
            <w:tcBorders>
              <w:top w:val="nil"/>
              <w:bottom w:val="single" w:sz="4" w:space="0" w:color="auto"/>
            </w:tcBorders>
          </w:tcPr>
          <w:p w:rsidR="004904E2" w:rsidRPr="007F40EB" w:rsidRDefault="004904E2" w:rsidP="00C72D00">
            <w:pPr>
              <w:jc w:val="center"/>
              <w:rPr>
                <w:b/>
                <w:sz w:val="20"/>
                <w:szCs w:val="20"/>
              </w:rPr>
            </w:pPr>
            <w:r w:rsidRPr="007F40EB">
              <w:rPr>
                <w:b/>
                <w:sz w:val="20"/>
                <w:szCs w:val="20"/>
              </w:rPr>
              <w:t>Sexually active  (</w:t>
            </w:r>
            <w:r w:rsidRPr="007F40EB">
              <w:rPr>
                <w:b/>
                <w:i/>
                <w:sz w:val="20"/>
                <w:szCs w:val="20"/>
              </w:rPr>
              <w:t>n</w:t>
            </w:r>
            <w:r w:rsidRPr="007F40EB">
              <w:rPr>
                <w:b/>
                <w:sz w:val="20"/>
                <w:szCs w:val="20"/>
              </w:rPr>
              <w:t>=1,554)</w:t>
            </w:r>
          </w:p>
        </w:tc>
        <w:tc>
          <w:tcPr>
            <w:tcW w:w="1559" w:type="dxa"/>
            <w:tcBorders>
              <w:top w:val="nil"/>
              <w:bottom w:val="single" w:sz="4" w:space="0" w:color="auto"/>
            </w:tcBorders>
          </w:tcPr>
          <w:p w:rsidR="004904E2" w:rsidRPr="007F40EB" w:rsidRDefault="004904E2" w:rsidP="00C72D00">
            <w:pPr>
              <w:jc w:val="center"/>
              <w:rPr>
                <w:b/>
                <w:sz w:val="20"/>
                <w:szCs w:val="20"/>
                <w:lang w:val="en-US"/>
              </w:rPr>
            </w:pPr>
            <w:r w:rsidRPr="007F40EB">
              <w:rPr>
                <w:b/>
                <w:sz w:val="20"/>
                <w:szCs w:val="20"/>
                <w:lang w:val="en-US"/>
              </w:rPr>
              <w:t xml:space="preserve">Not sexually active </w:t>
            </w:r>
            <w:r w:rsidRPr="007F40EB">
              <w:rPr>
                <w:b/>
                <w:sz w:val="20"/>
                <w:szCs w:val="20"/>
              </w:rPr>
              <w:t xml:space="preserve"> (</w:t>
            </w:r>
            <w:r w:rsidRPr="007F40EB">
              <w:rPr>
                <w:b/>
                <w:i/>
                <w:sz w:val="20"/>
                <w:szCs w:val="20"/>
              </w:rPr>
              <w:t>n</w:t>
            </w:r>
            <w:r w:rsidRPr="007F40EB">
              <w:rPr>
                <w:b/>
                <w:sz w:val="20"/>
                <w:szCs w:val="20"/>
              </w:rPr>
              <w:t>=409)</w:t>
            </w:r>
          </w:p>
        </w:tc>
        <w:tc>
          <w:tcPr>
            <w:tcW w:w="800" w:type="dxa"/>
            <w:tcBorders>
              <w:top w:val="single" w:sz="4" w:space="0" w:color="auto"/>
              <w:bottom w:val="single" w:sz="4" w:space="0" w:color="auto"/>
            </w:tcBorders>
          </w:tcPr>
          <w:p w:rsidR="004904E2" w:rsidRPr="007F40EB" w:rsidRDefault="004904E2" w:rsidP="00C72D00">
            <w:pPr>
              <w:jc w:val="center"/>
              <w:rPr>
                <w:b/>
                <w:i/>
                <w:sz w:val="20"/>
                <w:szCs w:val="20"/>
                <w:lang w:val="en-US"/>
              </w:rPr>
            </w:pPr>
            <w:r w:rsidRPr="007F40EB">
              <w:rPr>
                <w:b/>
                <w:i/>
                <w:sz w:val="20"/>
                <w:szCs w:val="20"/>
                <w:lang w:val="en-US"/>
              </w:rPr>
              <w:t>p</w:t>
            </w:r>
          </w:p>
        </w:tc>
        <w:tc>
          <w:tcPr>
            <w:tcW w:w="239" w:type="dxa"/>
            <w:tcBorders>
              <w:top w:val="nil"/>
              <w:bottom w:val="single" w:sz="4" w:space="0" w:color="auto"/>
            </w:tcBorders>
          </w:tcPr>
          <w:p w:rsidR="004904E2" w:rsidRPr="007F40EB" w:rsidRDefault="004904E2" w:rsidP="00C72D00">
            <w:pPr>
              <w:jc w:val="center"/>
              <w:rPr>
                <w:sz w:val="20"/>
                <w:szCs w:val="20"/>
                <w:lang w:val="en-US"/>
              </w:rPr>
            </w:pPr>
          </w:p>
        </w:tc>
        <w:tc>
          <w:tcPr>
            <w:tcW w:w="1850" w:type="dxa"/>
            <w:tcBorders>
              <w:top w:val="nil"/>
              <w:bottom w:val="single" w:sz="4" w:space="0" w:color="auto"/>
            </w:tcBorders>
          </w:tcPr>
          <w:p w:rsidR="004904E2" w:rsidRPr="007F40EB" w:rsidRDefault="004904E2" w:rsidP="00C72D00">
            <w:pPr>
              <w:jc w:val="center"/>
              <w:rPr>
                <w:sz w:val="20"/>
                <w:szCs w:val="20"/>
                <w:lang w:val="en-US"/>
              </w:rPr>
            </w:pPr>
            <w:r w:rsidRPr="007F40EB">
              <w:rPr>
                <w:b/>
                <w:sz w:val="20"/>
                <w:szCs w:val="20"/>
              </w:rPr>
              <w:t>Sexually active  (</w:t>
            </w:r>
            <w:r w:rsidRPr="007F40EB">
              <w:rPr>
                <w:b/>
                <w:i/>
                <w:sz w:val="20"/>
                <w:szCs w:val="20"/>
              </w:rPr>
              <w:t>n</w:t>
            </w:r>
            <w:r w:rsidRPr="007F40EB">
              <w:rPr>
                <w:b/>
                <w:sz w:val="20"/>
                <w:szCs w:val="20"/>
              </w:rPr>
              <w:t>=1,375)</w:t>
            </w:r>
          </w:p>
        </w:tc>
        <w:tc>
          <w:tcPr>
            <w:tcW w:w="1650" w:type="dxa"/>
            <w:tcBorders>
              <w:top w:val="nil"/>
              <w:bottom w:val="single" w:sz="4" w:space="0" w:color="auto"/>
            </w:tcBorders>
          </w:tcPr>
          <w:p w:rsidR="004904E2" w:rsidRPr="007F40EB" w:rsidRDefault="004904E2" w:rsidP="00C72D00">
            <w:pPr>
              <w:jc w:val="center"/>
              <w:rPr>
                <w:sz w:val="20"/>
                <w:szCs w:val="20"/>
                <w:lang w:val="en-US"/>
              </w:rPr>
            </w:pPr>
            <w:r w:rsidRPr="007F40EB">
              <w:rPr>
                <w:b/>
                <w:sz w:val="20"/>
                <w:szCs w:val="20"/>
                <w:lang w:val="en-US"/>
              </w:rPr>
              <w:t xml:space="preserve">Not sexually active </w:t>
            </w:r>
            <w:r w:rsidRPr="007F40EB">
              <w:rPr>
                <w:b/>
                <w:sz w:val="20"/>
                <w:szCs w:val="20"/>
              </w:rPr>
              <w:t xml:space="preserve"> (</w:t>
            </w:r>
            <w:r w:rsidRPr="007F40EB">
              <w:rPr>
                <w:b/>
                <w:i/>
                <w:sz w:val="20"/>
                <w:szCs w:val="20"/>
              </w:rPr>
              <w:t>n</w:t>
            </w:r>
            <w:r w:rsidRPr="007F40EB">
              <w:rPr>
                <w:b/>
                <w:sz w:val="20"/>
                <w:szCs w:val="20"/>
              </w:rPr>
              <w:t>=1,138)</w:t>
            </w:r>
          </w:p>
        </w:tc>
        <w:tc>
          <w:tcPr>
            <w:tcW w:w="847" w:type="dxa"/>
            <w:tcBorders>
              <w:top w:val="nil"/>
              <w:bottom w:val="single" w:sz="4" w:space="0" w:color="auto"/>
            </w:tcBorders>
          </w:tcPr>
          <w:p w:rsidR="004904E2" w:rsidRPr="007F40EB" w:rsidRDefault="004904E2" w:rsidP="00C72D00">
            <w:pPr>
              <w:jc w:val="center"/>
              <w:rPr>
                <w:b/>
                <w:i/>
                <w:sz w:val="20"/>
                <w:szCs w:val="20"/>
                <w:lang w:val="en-US"/>
              </w:rPr>
            </w:pPr>
            <w:r w:rsidRPr="007F40EB">
              <w:rPr>
                <w:b/>
                <w:i/>
                <w:sz w:val="20"/>
                <w:szCs w:val="20"/>
                <w:lang w:val="en-US"/>
              </w:rPr>
              <w:t>p</w:t>
            </w:r>
          </w:p>
        </w:tc>
      </w:tr>
      <w:tr w:rsidR="007F40EB" w:rsidRPr="007F40EB" w:rsidTr="00C72D00">
        <w:tc>
          <w:tcPr>
            <w:tcW w:w="2693" w:type="dxa"/>
            <w:gridSpan w:val="5"/>
            <w:tcBorders>
              <w:top w:val="nil"/>
              <w:bottom w:val="single" w:sz="4" w:space="0" w:color="auto"/>
              <w:right w:val="nil"/>
            </w:tcBorders>
          </w:tcPr>
          <w:p w:rsidR="004904E2" w:rsidRPr="007F40EB" w:rsidRDefault="004904E2" w:rsidP="00C72D00">
            <w:pPr>
              <w:rPr>
                <w:sz w:val="20"/>
                <w:szCs w:val="20"/>
              </w:rPr>
            </w:pPr>
            <w:r w:rsidRPr="007F40EB">
              <w:rPr>
                <w:sz w:val="20"/>
                <w:szCs w:val="20"/>
              </w:rPr>
              <w:t>Age (mean [SD] years)</w:t>
            </w:r>
          </w:p>
        </w:tc>
        <w:tc>
          <w:tcPr>
            <w:tcW w:w="1561" w:type="dxa"/>
            <w:tcBorders>
              <w:top w:val="nil"/>
              <w:bottom w:val="single" w:sz="4" w:space="0" w:color="auto"/>
            </w:tcBorders>
          </w:tcPr>
          <w:p w:rsidR="004904E2" w:rsidRPr="007F40EB" w:rsidRDefault="004904E2" w:rsidP="00C72D00">
            <w:pPr>
              <w:jc w:val="center"/>
              <w:rPr>
                <w:sz w:val="20"/>
                <w:szCs w:val="20"/>
              </w:rPr>
            </w:pPr>
            <w:r w:rsidRPr="007F40EB">
              <w:rPr>
                <w:sz w:val="20"/>
                <w:szCs w:val="20"/>
              </w:rPr>
              <w:t>63.37 (7.97)</w:t>
            </w:r>
          </w:p>
        </w:tc>
        <w:tc>
          <w:tcPr>
            <w:tcW w:w="1559" w:type="dxa"/>
            <w:tcBorders>
              <w:top w:val="nil"/>
              <w:bottom w:val="single" w:sz="4" w:space="0" w:color="auto"/>
            </w:tcBorders>
          </w:tcPr>
          <w:p w:rsidR="004904E2" w:rsidRPr="007F40EB" w:rsidRDefault="004904E2" w:rsidP="00C72D00">
            <w:pPr>
              <w:jc w:val="center"/>
              <w:rPr>
                <w:sz w:val="20"/>
                <w:szCs w:val="20"/>
                <w:lang w:val="en-US"/>
              </w:rPr>
            </w:pPr>
            <w:r w:rsidRPr="007F40EB">
              <w:rPr>
                <w:sz w:val="20"/>
                <w:szCs w:val="20"/>
                <w:lang w:val="en-US"/>
              </w:rPr>
              <w:t>72.68 (7.97)</w:t>
            </w:r>
          </w:p>
        </w:tc>
        <w:tc>
          <w:tcPr>
            <w:tcW w:w="800" w:type="dxa"/>
            <w:tcBorders>
              <w:top w:val="nil"/>
              <w:bottom w:val="single" w:sz="4" w:space="0" w:color="auto"/>
            </w:tcBorders>
          </w:tcPr>
          <w:p w:rsidR="004904E2" w:rsidRPr="007F40EB" w:rsidRDefault="004904E2" w:rsidP="00C72D00">
            <w:pPr>
              <w:jc w:val="center"/>
              <w:rPr>
                <w:sz w:val="20"/>
                <w:szCs w:val="20"/>
                <w:lang w:val="en-US"/>
              </w:rPr>
            </w:pPr>
            <w:r w:rsidRPr="007F40EB">
              <w:rPr>
                <w:sz w:val="20"/>
                <w:szCs w:val="20"/>
                <w:lang w:val="en-US"/>
              </w:rPr>
              <w:t>&lt;0.001</w:t>
            </w:r>
          </w:p>
        </w:tc>
        <w:tc>
          <w:tcPr>
            <w:tcW w:w="239" w:type="dxa"/>
            <w:tcBorders>
              <w:top w:val="nil"/>
              <w:bottom w:val="single" w:sz="4" w:space="0" w:color="auto"/>
            </w:tcBorders>
          </w:tcPr>
          <w:p w:rsidR="004904E2" w:rsidRPr="007F40EB" w:rsidRDefault="004904E2" w:rsidP="00C72D00">
            <w:pPr>
              <w:jc w:val="center"/>
              <w:rPr>
                <w:sz w:val="20"/>
                <w:szCs w:val="20"/>
                <w:lang w:val="en-US"/>
              </w:rPr>
            </w:pPr>
          </w:p>
        </w:tc>
        <w:tc>
          <w:tcPr>
            <w:tcW w:w="1850" w:type="dxa"/>
            <w:tcBorders>
              <w:top w:val="nil"/>
              <w:bottom w:val="single" w:sz="4" w:space="0" w:color="auto"/>
            </w:tcBorders>
          </w:tcPr>
          <w:p w:rsidR="004904E2" w:rsidRPr="007F40EB" w:rsidRDefault="004904E2" w:rsidP="00C72D00">
            <w:pPr>
              <w:jc w:val="center"/>
              <w:rPr>
                <w:sz w:val="20"/>
                <w:szCs w:val="20"/>
                <w:lang w:val="en-US"/>
              </w:rPr>
            </w:pPr>
            <w:r w:rsidRPr="007F40EB">
              <w:rPr>
                <w:sz w:val="20"/>
                <w:szCs w:val="20"/>
                <w:lang w:val="en-US"/>
              </w:rPr>
              <w:t>62.81 (7.59)</w:t>
            </w:r>
          </w:p>
        </w:tc>
        <w:tc>
          <w:tcPr>
            <w:tcW w:w="1650" w:type="dxa"/>
            <w:tcBorders>
              <w:top w:val="nil"/>
              <w:bottom w:val="single" w:sz="4" w:space="0" w:color="auto"/>
            </w:tcBorders>
          </w:tcPr>
          <w:p w:rsidR="004904E2" w:rsidRPr="007F40EB" w:rsidRDefault="004904E2" w:rsidP="00C72D00">
            <w:pPr>
              <w:jc w:val="center"/>
              <w:rPr>
                <w:sz w:val="20"/>
                <w:szCs w:val="20"/>
                <w:lang w:val="en-US"/>
              </w:rPr>
            </w:pPr>
            <w:r w:rsidRPr="007F40EB">
              <w:rPr>
                <w:sz w:val="20"/>
                <w:szCs w:val="20"/>
                <w:lang w:val="en-US"/>
              </w:rPr>
              <w:t>69.49 (9.06)</w:t>
            </w:r>
          </w:p>
        </w:tc>
        <w:tc>
          <w:tcPr>
            <w:tcW w:w="847" w:type="dxa"/>
            <w:tcBorders>
              <w:top w:val="nil"/>
              <w:bottom w:val="single" w:sz="4" w:space="0" w:color="auto"/>
            </w:tcBorders>
          </w:tcPr>
          <w:p w:rsidR="004904E2" w:rsidRPr="007F40EB" w:rsidRDefault="004904E2" w:rsidP="00C72D00">
            <w:pPr>
              <w:jc w:val="center"/>
              <w:rPr>
                <w:sz w:val="20"/>
                <w:szCs w:val="20"/>
                <w:lang w:val="en-US"/>
              </w:rPr>
            </w:pPr>
            <w:r w:rsidRPr="007F40EB">
              <w:rPr>
                <w:sz w:val="20"/>
                <w:szCs w:val="20"/>
                <w:lang w:val="en-US"/>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White ethnicity</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95.3</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93.0</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0.069</w:t>
            </w:r>
          </w:p>
        </w:tc>
        <w:tc>
          <w:tcPr>
            <w:tcW w:w="239" w:type="dxa"/>
            <w:tcBorders>
              <w:top w:val="single" w:sz="4" w:space="0" w:color="auto"/>
              <w:bottom w:val="nil"/>
            </w:tcBorders>
          </w:tcPr>
          <w:p w:rsidR="004904E2" w:rsidRPr="007F40EB" w:rsidRDefault="004904E2" w:rsidP="00C72D00">
            <w:pP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97.5</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95.7</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0.023</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Partner status</w:t>
            </w:r>
          </w:p>
        </w:tc>
        <w:tc>
          <w:tcPr>
            <w:tcW w:w="1561" w:type="dxa"/>
            <w:tcBorders>
              <w:top w:val="single" w:sz="4" w:space="0" w:color="auto"/>
              <w:bottom w:val="nil"/>
            </w:tcBorders>
          </w:tcPr>
          <w:p w:rsidR="004904E2" w:rsidRPr="007F40EB" w:rsidRDefault="004904E2" w:rsidP="00C72D00">
            <w:pPr>
              <w:jc w:val="center"/>
              <w:rPr>
                <w:sz w:val="20"/>
                <w:szCs w:val="20"/>
              </w:rPr>
            </w:pPr>
          </w:p>
        </w:tc>
        <w:tc>
          <w:tcPr>
            <w:tcW w:w="1559" w:type="dxa"/>
            <w:tcBorders>
              <w:top w:val="single" w:sz="4" w:space="0" w:color="auto"/>
              <w:bottom w:val="nil"/>
            </w:tcBorders>
          </w:tcPr>
          <w:p w:rsidR="004904E2" w:rsidRPr="007F40EB" w:rsidRDefault="004904E2" w:rsidP="00C72D00">
            <w:pPr>
              <w:jc w:val="center"/>
              <w:rPr>
                <w:sz w:val="20"/>
                <w:szCs w:val="20"/>
              </w:rPr>
            </w:pPr>
          </w:p>
        </w:tc>
        <w:tc>
          <w:tcPr>
            <w:tcW w:w="800" w:type="dxa"/>
            <w:tcBorders>
              <w:top w:val="single" w:sz="4" w:space="0" w:color="auto"/>
              <w:bottom w:val="nil"/>
            </w:tcBorders>
          </w:tcPr>
          <w:p w:rsidR="004904E2" w:rsidRPr="007F40EB" w:rsidRDefault="004904E2" w:rsidP="00C72D00">
            <w:pPr>
              <w:jc w:val="center"/>
              <w:rPr>
                <w:sz w:val="20"/>
                <w:szCs w:val="20"/>
              </w:rPr>
            </w:pP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p>
        </w:tc>
        <w:tc>
          <w:tcPr>
            <w:tcW w:w="1650" w:type="dxa"/>
            <w:tcBorders>
              <w:top w:val="single" w:sz="4" w:space="0" w:color="auto"/>
              <w:bottom w:val="nil"/>
            </w:tcBorders>
          </w:tcPr>
          <w:p w:rsidR="004904E2" w:rsidRPr="007F40EB" w:rsidRDefault="004904E2" w:rsidP="00C72D00">
            <w:pPr>
              <w:jc w:val="center"/>
              <w:rPr>
                <w:sz w:val="20"/>
                <w:szCs w:val="20"/>
              </w:rPr>
            </w:pPr>
          </w:p>
        </w:tc>
        <w:tc>
          <w:tcPr>
            <w:tcW w:w="847" w:type="dxa"/>
            <w:tcBorders>
              <w:top w:val="single" w:sz="4" w:space="0" w:color="auto"/>
              <w:bottom w:val="nil"/>
            </w:tcBorders>
          </w:tcPr>
          <w:p w:rsidR="004904E2" w:rsidRPr="007F40EB" w:rsidRDefault="004904E2" w:rsidP="00C72D00">
            <w:pPr>
              <w:jc w:val="center"/>
              <w:rPr>
                <w:sz w:val="20"/>
                <w:szCs w:val="20"/>
              </w:rPr>
            </w:pP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Married/cohabiting</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75.4</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69.4</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76.6</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42.2</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Separated/divorced</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12.0</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8.9</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14.3</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20.4</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Widowed</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4.2</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14.4</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5.5</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30.4</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nil"/>
              <w:right w:val="nil"/>
            </w:tcBorders>
            <w:vAlign w:val="center"/>
          </w:tcPr>
          <w:p w:rsidR="004904E2" w:rsidRPr="007F40EB" w:rsidRDefault="004904E2" w:rsidP="00C72D00">
            <w:pPr>
              <w:rPr>
                <w:sz w:val="20"/>
                <w:szCs w:val="20"/>
              </w:rPr>
            </w:pPr>
            <w:r w:rsidRPr="007F40EB">
              <w:rPr>
                <w:sz w:val="20"/>
                <w:szCs w:val="20"/>
              </w:rPr>
              <w:t>Single/never married</w:t>
            </w:r>
          </w:p>
        </w:tc>
        <w:tc>
          <w:tcPr>
            <w:tcW w:w="1561"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8.5</w:t>
            </w:r>
          </w:p>
        </w:tc>
        <w:tc>
          <w:tcPr>
            <w:tcW w:w="1559"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7.3</w:t>
            </w:r>
          </w:p>
        </w:tc>
        <w:tc>
          <w:tcPr>
            <w:tcW w:w="80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nil"/>
              <w:right w:val="nil"/>
            </w:tcBorders>
          </w:tcPr>
          <w:p w:rsidR="004904E2" w:rsidRPr="007F40EB" w:rsidRDefault="004904E2" w:rsidP="00C72D00">
            <w:pPr>
              <w:jc w:val="center"/>
              <w:rPr>
                <w:sz w:val="20"/>
                <w:szCs w:val="20"/>
              </w:rPr>
            </w:pPr>
          </w:p>
        </w:tc>
        <w:tc>
          <w:tcPr>
            <w:tcW w:w="18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3.5</w:t>
            </w:r>
          </w:p>
        </w:tc>
        <w:tc>
          <w:tcPr>
            <w:tcW w:w="16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7.0</w:t>
            </w:r>
          </w:p>
        </w:tc>
        <w:tc>
          <w:tcPr>
            <w:tcW w:w="847"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Education</w:t>
            </w:r>
          </w:p>
        </w:tc>
        <w:tc>
          <w:tcPr>
            <w:tcW w:w="1561" w:type="dxa"/>
            <w:tcBorders>
              <w:top w:val="single" w:sz="4" w:space="0" w:color="auto"/>
              <w:bottom w:val="nil"/>
            </w:tcBorders>
          </w:tcPr>
          <w:p w:rsidR="004904E2" w:rsidRPr="007F40EB" w:rsidRDefault="004904E2" w:rsidP="00C72D00">
            <w:pPr>
              <w:jc w:val="center"/>
              <w:rPr>
                <w:sz w:val="20"/>
                <w:szCs w:val="20"/>
              </w:rPr>
            </w:pPr>
          </w:p>
        </w:tc>
        <w:tc>
          <w:tcPr>
            <w:tcW w:w="1559" w:type="dxa"/>
            <w:tcBorders>
              <w:top w:val="single" w:sz="4" w:space="0" w:color="auto"/>
              <w:bottom w:val="nil"/>
            </w:tcBorders>
          </w:tcPr>
          <w:p w:rsidR="004904E2" w:rsidRPr="007F40EB" w:rsidRDefault="004904E2" w:rsidP="00C72D00">
            <w:pPr>
              <w:jc w:val="center"/>
              <w:rPr>
                <w:sz w:val="20"/>
                <w:szCs w:val="20"/>
              </w:rPr>
            </w:pPr>
          </w:p>
        </w:tc>
        <w:tc>
          <w:tcPr>
            <w:tcW w:w="800" w:type="dxa"/>
            <w:tcBorders>
              <w:top w:val="single" w:sz="4" w:space="0" w:color="auto"/>
              <w:bottom w:val="nil"/>
            </w:tcBorders>
          </w:tcPr>
          <w:p w:rsidR="004904E2" w:rsidRPr="007F40EB" w:rsidRDefault="004904E2" w:rsidP="00C72D00">
            <w:pPr>
              <w:jc w:val="center"/>
              <w:rPr>
                <w:sz w:val="20"/>
                <w:szCs w:val="20"/>
              </w:rPr>
            </w:pP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p>
        </w:tc>
        <w:tc>
          <w:tcPr>
            <w:tcW w:w="1650" w:type="dxa"/>
            <w:tcBorders>
              <w:top w:val="single" w:sz="4" w:space="0" w:color="auto"/>
              <w:bottom w:val="nil"/>
            </w:tcBorders>
          </w:tcPr>
          <w:p w:rsidR="004904E2" w:rsidRPr="007F40EB" w:rsidRDefault="004904E2" w:rsidP="00C72D00">
            <w:pPr>
              <w:jc w:val="center"/>
              <w:rPr>
                <w:sz w:val="20"/>
                <w:szCs w:val="20"/>
              </w:rPr>
            </w:pPr>
          </w:p>
        </w:tc>
        <w:tc>
          <w:tcPr>
            <w:tcW w:w="847" w:type="dxa"/>
            <w:tcBorders>
              <w:top w:val="single" w:sz="4" w:space="0" w:color="auto"/>
              <w:bottom w:val="nil"/>
            </w:tcBorders>
          </w:tcPr>
          <w:p w:rsidR="004904E2" w:rsidRPr="007F40EB" w:rsidRDefault="004904E2" w:rsidP="00C72D00">
            <w:pPr>
              <w:jc w:val="center"/>
              <w:rPr>
                <w:sz w:val="20"/>
                <w:szCs w:val="20"/>
              </w:rPr>
            </w:pP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No qualifications</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14.8</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27.7</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20.9</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37.7</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Intermediate</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39.6</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42.5</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48.7</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42.8</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nil"/>
              <w:right w:val="nil"/>
            </w:tcBorders>
            <w:vAlign w:val="center"/>
          </w:tcPr>
          <w:p w:rsidR="004904E2" w:rsidRPr="007F40EB" w:rsidRDefault="004904E2" w:rsidP="00C72D00">
            <w:pPr>
              <w:rPr>
                <w:sz w:val="20"/>
                <w:szCs w:val="20"/>
              </w:rPr>
            </w:pPr>
            <w:r w:rsidRPr="007F40EB">
              <w:rPr>
                <w:sz w:val="20"/>
                <w:szCs w:val="20"/>
              </w:rPr>
              <w:t>Higher</w:t>
            </w:r>
          </w:p>
        </w:tc>
        <w:tc>
          <w:tcPr>
            <w:tcW w:w="1561"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45.6</w:t>
            </w:r>
          </w:p>
        </w:tc>
        <w:tc>
          <w:tcPr>
            <w:tcW w:w="1559"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27.2</w:t>
            </w:r>
          </w:p>
        </w:tc>
        <w:tc>
          <w:tcPr>
            <w:tcW w:w="80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nil"/>
              <w:right w:val="nil"/>
            </w:tcBorders>
          </w:tcPr>
          <w:p w:rsidR="004904E2" w:rsidRPr="007F40EB" w:rsidRDefault="004904E2" w:rsidP="00C72D00">
            <w:pPr>
              <w:jc w:val="center"/>
              <w:rPr>
                <w:sz w:val="20"/>
                <w:szCs w:val="20"/>
              </w:rPr>
            </w:pPr>
          </w:p>
        </w:tc>
        <w:tc>
          <w:tcPr>
            <w:tcW w:w="18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30.4</w:t>
            </w:r>
          </w:p>
        </w:tc>
        <w:tc>
          <w:tcPr>
            <w:tcW w:w="16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19.5</w:t>
            </w:r>
          </w:p>
        </w:tc>
        <w:tc>
          <w:tcPr>
            <w:tcW w:w="847"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Wealth quintile</w:t>
            </w:r>
          </w:p>
        </w:tc>
        <w:tc>
          <w:tcPr>
            <w:tcW w:w="1561" w:type="dxa"/>
            <w:tcBorders>
              <w:top w:val="single" w:sz="4" w:space="0" w:color="auto"/>
              <w:bottom w:val="nil"/>
            </w:tcBorders>
          </w:tcPr>
          <w:p w:rsidR="004904E2" w:rsidRPr="007F40EB" w:rsidRDefault="004904E2" w:rsidP="00C72D00">
            <w:pPr>
              <w:jc w:val="center"/>
              <w:rPr>
                <w:sz w:val="20"/>
                <w:szCs w:val="20"/>
              </w:rPr>
            </w:pPr>
          </w:p>
        </w:tc>
        <w:tc>
          <w:tcPr>
            <w:tcW w:w="1559" w:type="dxa"/>
            <w:tcBorders>
              <w:top w:val="single" w:sz="4" w:space="0" w:color="auto"/>
              <w:bottom w:val="nil"/>
            </w:tcBorders>
          </w:tcPr>
          <w:p w:rsidR="004904E2" w:rsidRPr="007F40EB" w:rsidRDefault="004904E2" w:rsidP="00C72D00">
            <w:pPr>
              <w:jc w:val="center"/>
              <w:rPr>
                <w:sz w:val="20"/>
                <w:szCs w:val="20"/>
              </w:rPr>
            </w:pPr>
          </w:p>
        </w:tc>
        <w:tc>
          <w:tcPr>
            <w:tcW w:w="800" w:type="dxa"/>
            <w:tcBorders>
              <w:top w:val="single" w:sz="4" w:space="0" w:color="auto"/>
              <w:bottom w:val="nil"/>
            </w:tcBorders>
          </w:tcPr>
          <w:p w:rsidR="004904E2" w:rsidRPr="007F40EB" w:rsidRDefault="004904E2" w:rsidP="00C72D00">
            <w:pPr>
              <w:jc w:val="center"/>
              <w:rPr>
                <w:sz w:val="20"/>
                <w:szCs w:val="20"/>
              </w:rPr>
            </w:pP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p>
        </w:tc>
        <w:tc>
          <w:tcPr>
            <w:tcW w:w="1650" w:type="dxa"/>
            <w:tcBorders>
              <w:top w:val="single" w:sz="4" w:space="0" w:color="auto"/>
              <w:bottom w:val="nil"/>
            </w:tcBorders>
          </w:tcPr>
          <w:p w:rsidR="004904E2" w:rsidRPr="007F40EB" w:rsidRDefault="004904E2" w:rsidP="00C72D00">
            <w:pPr>
              <w:jc w:val="center"/>
              <w:rPr>
                <w:sz w:val="20"/>
                <w:szCs w:val="20"/>
              </w:rPr>
            </w:pPr>
          </w:p>
        </w:tc>
        <w:tc>
          <w:tcPr>
            <w:tcW w:w="847" w:type="dxa"/>
            <w:tcBorders>
              <w:top w:val="single" w:sz="4" w:space="0" w:color="auto"/>
              <w:bottom w:val="nil"/>
            </w:tcBorders>
          </w:tcPr>
          <w:p w:rsidR="004904E2" w:rsidRPr="007F40EB" w:rsidRDefault="004904E2" w:rsidP="00C72D00">
            <w:pPr>
              <w:jc w:val="center"/>
              <w:rPr>
                <w:sz w:val="20"/>
                <w:szCs w:val="20"/>
              </w:rPr>
            </w:pP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1 (poorest)</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15.5</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18.8</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0.001</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12.9</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25.9</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2</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17.1</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22.5</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18.8</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22.9</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3</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19.2</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22.0</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19.7</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24.1</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4</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23.3</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19.9</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23.1</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16.0</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nil"/>
              <w:right w:val="nil"/>
            </w:tcBorders>
            <w:vAlign w:val="center"/>
          </w:tcPr>
          <w:p w:rsidR="004904E2" w:rsidRPr="007F40EB" w:rsidRDefault="004904E2" w:rsidP="00C72D00">
            <w:pPr>
              <w:rPr>
                <w:sz w:val="20"/>
                <w:szCs w:val="20"/>
              </w:rPr>
            </w:pPr>
            <w:r w:rsidRPr="007F40EB">
              <w:rPr>
                <w:sz w:val="20"/>
                <w:szCs w:val="20"/>
              </w:rPr>
              <w:t>5 (richest)</w:t>
            </w:r>
          </w:p>
        </w:tc>
        <w:tc>
          <w:tcPr>
            <w:tcW w:w="1561"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24.9</w:t>
            </w:r>
          </w:p>
        </w:tc>
        <w:tc>
          <w:tcPr>
            <w:tcW w:w="1559"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16.8</w:t>
            </w:r>
          </w:p>
        </w:tc>
        <w:tc>
          <w:tcPr>
            <w:tcW w:w="80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nil"/>
              <w:right w:val="nil"/>
            </w:tcBorders>
          </w:tcPr>
          <w:p w:rsidR="004904E2" w:rsidRPr="007F40EB" w:rsidRDefault="004904E2" w:rsidP="00C72D00">
            <w:pPr>
              <w:jc w:val="center"/>
              <w:rPr>
                <w:sz w:val="20"/>
                <w:szCs w:val="20"/>
              </w:rPr>
            </w:pPr>
          </w:p>
        </w:tc>
        <w:tc>
          <w:tcPr>
            <w:tcW w:w="18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25.6</w:t>
            </w:r>
          </w:p>
        </w:tc>
        <w:tc>
          <w:tcPr>
            <w:tcW w:w="1650"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11.0</w:t>
            </w:r>
          </w:p>
        </w:tc>
        <w:tc>
          <w:tcPr>
            <w:tcW w:w="847" w:type="dxa"/>
            <w:tcBorders>
              <w:top w:val="single" w:sz="4" w:space="0" w:color="auto"/>
              <w:left w:val="nil"/>
              <w:bottom w:val="nil"/>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Cardiovascular disease</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41.0</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58.6</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33.8</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49.6</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Diabetes</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10.4</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19.6</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7.5</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13.0</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Limiting long-standing illness</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26.1</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45.2</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29.7</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42.8</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Current smoker</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13.4</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12.3</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0.565</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11.9</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13.5</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0.282</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Alcohol intake</w:t>
            </w:r>
            <w:r w:rsidRPr="007F40EB">
              <w:rPr>
                <w:rFonts w:cstheme="minorHAnsi"/>
                <w:sz w:val="20"/>
                <w:szCs w:val="20"/>
              </w:rPr>
              <w:t>¹</w:t>
            </w:r>
          </w:p>
        </w:tc>
        <w:tc>
          <w:tcPr>
            <w:tcW w:w="1561" w:type="dxa"/>
            <w:tcBorders>
              <w:top w:val="single" w:sz="4" w:space="0" w:color="auto"/>
              <w:bottom w:val="nil"/>
            </w:tcBorders>
          </w:tcPr>
          <w:p w:rsidR="004904E2" w:rsidRPr="007F40EB" w:rsidRDefault="004904E2" w:rsidP="00C72D00">
            <w:pPr>
              <w:jc w:val="center"/>
              <w:rPr>
                <w:sz w:val="20"/>
                <w:szCs w:val="20"/>
              </w:rPr>
            </w:pPr>
          </w:p>
        </w:tc>
        <w:tc>
          <w:tcPr>
            <w:tcW w:w="1559" w:type="dxa"/>
            <w:tcBorders>
              <w:top w:val="single" w:sz="4" w:space="0" w:color="auto"/>
              <w:bottom w:val="nil"/>
            </w:tcBorders>
          </w:tcPr>
          <w:p w:rsidR="004904E2" w:rsidRPr="007F40EB" w:rsidRDefault="004904E2" w:rsidP="00C72D00">
            <w:pPr>
              <w:jc w:val="center"/>
              <w:rPr>
                <w:sz w:val="20"/>
                <w:szCs w:val="20"/>
              </w:rPr>
            </w:pPr>
          </w:p>
        </w:tc>
        <w:tc>
          <w:tcPr>
            <w:tcW w:w="800" w:type="dxa"/>
            <w:tcBorders>
              <w:top w:val="single" w:sz="4" w:space="0" w:color="auto"/>
              <w:bottom w:val="nil"/>
            </w:tcBorders>
          </w:tcPr>
          <w:p w:rsidR="004904E2" w:rsidRPr="007F40EB" w:rsidRDefault="004904E2" w:rsidP="00C72D00">
            <w:pPr>
              <w:jc w:val="center"/>
              <w:rPr>
                <w:sz w:val="20"/>
                <w:szCs w:val="20"/>
              </w:rPr>
            </w:pP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p>
        </w:tc>
        <w:tc>
          <w:tcPr>
            <w:tcW w:w="1650" w:type="dxa"/>
            <w:tcBorders>
              <w:top w:val="single" w:sz="4" w:space="0" w:color="auto"/>
              <w:bottom w:val="nil"/>
            </w:tcBorders>
          </w:tcPr>
          <w:p w:rsidR="004904E2" w:rsidRPr="007F40EB" w:rsidRDefault="004904E2" w:rsidP="00C72D00">
            <w:pPr>
              <w:jc w:val="center"/>
              <w:rPr>
                <w:sz w:val="20"/>
                <w:szCs w:val="20"/>
              </w:rPr>
            </w:pPr>
          </w:p>
        </w:tc>
        <w:tc>
          <w:tcPr>
            <w:tcW w:w="847" w:type="dxa"/>
            <w:tcBorders>
              <w:top w:val="single" w:sz="4" w:space="0" w:color="auto"/>
              <w:bottom w:val="nil"/>
            </w:tcBorders>
          </w:tcPr>
          <w:p w:rsidR="004904E2" w:rsidRPr="007F40EB" w:rsidRDefault="004904E2" w:rsidP="00C72D00">
            <w:pPr>
              <w:jc w:val="center"/>
              <w:rPr>
                <w:sz w:val="20"/>
                <w:szCs w:val="20"/>
              </w:rPr>
            </w:pP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Never/rarely</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10.5</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28.0</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21.2</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39.7</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Regularly</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43.2</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42.4</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48.1</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41.1</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Frequently</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46.2</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29.6</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30.7</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19.2</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sz w:val="20"/>
                <w:szCs w:val="20"/>
              </w:rPr>
              <w:t>Physical activity</w:t>
            </w:r>
          </w:p>
        </w:tc>
        <w:tc>
          <w:tcPr>
            <w:tcW w:w="1561" w:type="dxa"/>
            <w:tcBorders>
              <w:top w:val="single" w:sz="4" w:space="0" w:color="auto"/>
              <w:bottom w:val="nil"/>
            </w:tcBorders>
          </w:tcPr>
          <w:p w:rsidR="004904E2" w:rsidRPr="007F40EB" w:rsidRDefault="004904E2" w:rsidP="00C72D00">
            <w:pPr>
              <w:jc w:val="center"/>
              <w:rPr>
                <w:sz w:val="20"/>
                <w:szCs w:val="20"/>
              </w:rPr>
            </w:pPr>
          </w:p>
        </w:tc>
        <w:tc>
          <w:tcPr>
            <w:tcW w:w="1559" w:type="dxa"/>
            <w:tcBorders>
              <w:top w:val="single" w:sz="4" w:space="0" w:color="auto"/>
              <w:bottom w:val="nil"/>
            </w:tcBorders>
          </w:tcPr>
          <w:p w:rsidR="004904E2" w:rsidRPr="007F40EB" w:rsidRDefault="004904E2" w:rsidP="00C72D00">
            <w:pPr>
              <w:jc w:val="center"/>
              <w:rPr>
                <w:sz w:val="20"/>
                <w:szCs w:val="20"/>
              </w:rPr>
            </w:pPr>
          </w:p>
        </w:tc>
        <w:tc>
          <w:tcPr>
            <w:tcW w:w="800" w:type="dxa"/>
            <w:tcBorders>
              <w:top w:val="single" w:sz="4" w:space="0" w:color="auto"/>
              <w:bottom w:val="nil"/>
            </w:tcBorders>
          </w:tcPr>
          <w:p w:rsidR="004904E2" w:rsidRPr="007F40EB" w:rsidRDefault="004904E2" w:rsidP="00C72D00">
            <w:pPr>
              <w:jc w:val="center"/>
              <w:rPr>
                <w:sz w:val="20"/>
                <w:szCs w:val="20"/>
              </w:rPr>
            </w:pP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p>
        </w:tc>
        <w:tc>
          <w:tcPr>
            <w:tcW w:w="1650" w:type="dxa"/>
            <w:tcBorders>
              <w:top w:val="single" w:sz="4" w:space="0" w:color="auto"/>
              <w:bottom w:val="nil"/>
            </w:tcBorders>
          </w:tcPr>
          <w:p w:rsidR="004904E2" w:rsidRPr="007F40EB" w:rsidRDefault="004904E2" w:rsidP="00C72D00">
            <w:pPr>
              <w:jc w:val="center"/>
              <w:rPr>
                <w:sz w:val="20"/>
                <w:szCs w:val="20"/>
              </w:rPr>
            </w:pPr>
          </w:p>
        </w:tc>
        <w:tc>
          <w:tcPr>
            <w:tcW w:w="847" w:type="dxa"/>
            <w:tcBorders>
              <w:top w:val="single" w:sz="4" w:space="0" w:color="auto"/>
              <w:bottom w:val="nil"/>
            </w:tcBorders>
          </w:tcPr>
          <w:p w:rsidR="004904E2" w:rsidRPr="007F40EB" w:rsidRDefault="004904E2" w:rsidP="00C72D00">
            <w:pPr>
              <w:jc w:val="center"/>
              <w:rPr>
                <w:sz w:val="20"/>
                <w:szCs w:val="20"/>
              </w:rPr>
            </w:pP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Inactive</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13.7</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28.2</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16.4</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31.1</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nil"/>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Moderate at least once a week</w:t>
            </w:r>
          </w:p>
        </w:tc>
        <w:tc>
          <w:tcPr>
            <w:tcW w:w="1561"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44.4</w:t>
            </w:r>
          </w:p>
        </w:tc>
        <w:tc>
          <w:tcPr>
            <w:tcW w:w="1559"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49.3</w:t>
            </w:r>
          </w:p>
        </w:tc>
        <w:tc>
          <w:tcPr>
            <w:tcW w:w="80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nil"/>
              <w:left w:val="nil"/>
              <w:bottom w:val="single" w:sz="4" w:space="0" w:color="auto"/>
              <w:right w:val="nil"/>
            </w:tcBorders>
          </w:tcPr>
          <w:p w:rsidR="004904E2" w:rsidRPr="007F40EB" w:rsidRDefault="004904E2" w:rsidP="00C72D00">
            <w:pPr>
              <w:jc w:val="center"/>
              <w:rPr>
                <w:sz w:val="20"/>
                <w:szCs w:val="20"/>
              </w:rPr>
            </w:pPr>
          </w:p>
        </w:tc>
        <w:tc>
          <w:tcPr>
            <w:tcW w:w="18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49.7</w:t>
            </w:r>
          </w:p>
        </w:tc>
        <w:tc>
          <w:tcPr>
            <w:tcW w:w="1650"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49.5</w:t>
            </w:r>
          </w:p>
        </w:tc>
        <w:tc>
          <w:tcPr>
            <w:tcW w:w="847" w:type="dxa"/>
            <w:tcBorders>
              <w:top w:val="nil"/>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84" w:type="dxa"/>
            <w:gridSpan w:val="2"/>
            <w:tcBorders>
              <w:top w:val="nil"/>
              <w:bottom w:val="nil"/>
              <w:right w:val="nil"/>
            </w:tcBorders>
          </w:tcPr>
          <w:p w:rsidR="004904E2" w:rsidRPr="007F40EB" w:rsidRDefault="004904E2" w:rsidP="00C72D00">
            <w:pPr>
              <w:rPr>
                <w:sz w:val="20"/>
                <w:szCs w:val="20"/>
              </w:rPr>
            </w:pPr>
          </w:p>
        </w:tc>
        <w:tc>
          <w:tcPr>
            <w:tcW w:w="2409" w:type="dxa"/>
            <w:gridSpan w:val="3"/>
            <w:tcBorders>
              <w:top w:val="single" w:sz="4" w:space="0" w:color="auto"/>
              <w:left w:val="nil"/>
              <w:bottom w:val="single" w:sz="4" w:space="0" w:color="auto"/>
              <w:right w:val="nil"/>
            </w:tcBorders>
            <w:vAlign w:val="center"/>
          </w:tcPr>
          <w:p w:rsidR="004904E2" w:rsidRPr="007F40EB" w:rsidRDefault="004904E2" w:rsidP="00C72D00">
            <w:pPr>
              <w:rPr>
                <w:sz w:val="20"/>
                <w:szCs w:val="20"/>
              </w:rPr>
            </w:pPr>
            <w:r w:rsidRPr="007F40EB">
              <w:rPr>
                <w:sz w:val="20"/>
                <w:szCs w:val="20"/>
              </w:rPr>
              <w:t>Vigorous at least once a week</w:t>
            </w:r>
          </w:p>
        </w:tc>
        <w:tc>
          <w:tcPr>
            <w:tcW w:w="1561"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41.9</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22.5</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33.8</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19.4</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w:t>
            </w:r>
          </w:p>
        </w:tc>
      </w:tr>
      <w:tr w:rsidR="007F40EB" w:rsidRPr="007F40EB" w:rsidTr="00C72D00">
        <w:tc>
          <w:tcPr>
            <w:tcW w:w="2693" w:type="dxa"/>
            <w:gridSpan w:val="5"/>
            <w:tcBorders>
              <w:top w:val="single" w:sz="4" w:space="0" w:color="auto"/>
              <w:bottom w:val="single" w:sz="4" w:space="0" w:color="auto"/>
              <w:right w:val="nil"/>
            </w:tcBorders>
          </w:tcPr>
          <w:p w:rsidR="004904E2" w:rsidRPr="007F40EB" w:rsidRDefault="004904E2" w:rsidP="00C72D00">
            <w:pPr>
              <w:rPr>
                <w:sz w:val="20"/>
                <w:szCs w:val="20"/>
              </w:rPr>
            </w:pPr>
            <w:r w:rsidRPr="007F40EB">
              <w:rPr>
                <w:sz w:val="20"/>
                <w:szCs w:val="20"/>
              </w:rPr>
              <w:t>Depressive symptoms (0-8) (mean [SD])</w:t>
            </w:r>
          </w:p>
        </w:tc>
        <w:tc>
          <w:tcPr>
            <w:tcW w:w="1561" w:type="dxa"/>
            <w:tcBorders>
              <w:top w:val="single" w:sz="4" w:space="0" w:color="auto"/>
              <w:bottom w:val="single" w:sz="4" w:space="0" w:color="auto"/>
              <w:right w:val="nil"/>
            </w:tcBorders>
          </w:tcPr>
          <w:p w:rsidR="004904E2" w:rsidRPr="007F40EB" w:rsidRDefault="004904E2" w:rsidP="00C72D00">
            <w:pPr>
              <w:jc w:val="center"/>
              <w:rPr>
                <w:sz w:val="20"/>
                <w:szCs w:val="20"/>
              </w:rPr>
            </w:pPr>
            <w:r w:rsidRPr="007F40EB">
              <w:rPr>
                <w:sz w:val="20"/>
                <w:szCs w:val="20"/>
              </w:rPr>
              <w:t>0.98 (1.67)</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1.16 (1.74)</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0.044</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1.30 (1.79)</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1.71 (2.09)</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single" w:sz="4" w:space="0" w:color="auto"/>
              <w:right w:val="nil"/>
            </w:tcBorders>
          </w:tcPr>
          <w:p w:rsidR="004904E2" w:rsidRPr="007F40EB" w:rsidRDefault="006811D3" w:rsidP="006811D3">
            <w:pPr>
              <w:rPr>
                <w:sz w:val="20"/>
                <w:szCs w:val="20"/>
              </w:rPr>
            </w:pPr>
            <w:r w:rsidRPr="007F40EB">
              <w:rPr>
                <w:sz w:val="20"/>
                <w:szCs w:val="20"/>
              </w:rPr>
              <w:t>ADL impairment</w:t>
            </w:r>
            <w:r w:rsidR="004904E2" w:rsidRPr="007F40EB">
              <w:rPr>
                <w:sz w:val="20"/>
                <w:szCs w:val="20"/>
              </w:rPr>
              <w:t xml:space="preserve"> (0-</w:t>
            </w:r>
            <w:r w:rsidRPr="007F40EB">
              <w:rPr>
                <w:sz w:val="20"/>
                <w:szCs w:val="20"/>
              </w:rPr>
              <w:t>6</w:t>
            </w:r>
            <w:r w:rsidR="004904E2" w:rsidRPr="007F40EB">
              <w:rPr>
                <w:sz w:val="20"/>
                <w:szCs w:val="20"/>
              </w:rPr>
              <w:t>) (mean [SD])</w:t>
            </w:r>
          </w:p>
        </w:tc>
        <w:tc>
          <w:tcPr>
            <w:tcW w:w="1561" w:type="dxa"/>
            <w:tcBorders>
              <w:top w:val="single" w:sz="4" w:space="0" w:color="auto"/>
              <w:bottom w:val="single" w:sz="4" w:space="0" w:color="auto"/>
              <w:right w:val="nil"/>
            </w:tcBorders>
          </w:tcPr>
          <w:p w:rsidR="004904E2" w:rsidRPr="007F40EB" w:rsidRDefault="004904E2" w:rsidP="00C72D00">
            <w:pPr>
              <w:jc w:val="center"/>
              <w:rPr>
                <w:sz w:val="20"/>
                <w:szCs w:val="20"/>
              </w:rPr>
            </w:pPr>
            <w:r w:rsidRPr="007F40EB">
              <w:rPr>
                <w:sz w:val="20"/>
                <w:szCs w:val="20"/>
              </w:rPr>
              <w:t>0.22 (0.70)</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0.46 (0.99)</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0.23 (0.73)</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0.43 (1.01)</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single" w:sz="4" w:space="0" w:color="auto"/>
              <w:right w:val="nil"/>
            </w:tcBorders>
          </w:tcPr>
          <w:p w:rsidR="004904E2" w:rsidRPr="007F40EB" w:rsidRDefault="006811D3" w:rsidP="006811D3">
            <w:pPr>
              <w:rPr>
                <w:sz w:val="20"/>
                <w:szCs w:val="20"/>
              </w:rPr>
            </w:pPr>
            <w:r w:rsidRPr="007F40EB">
              <w:rPr>
                <w:sz w:val="20"/>
                <w:szCs w:val="20"/>
              </w:rPr>
              <w:t>IADL impairment</w:t>
            </w:r>
            <w:r w:rsidR="004904E2" w:rsidRPr="007F40EB">
              <w:rPr>
                <w:sz w:val="20"/>
                <w:szCs w:val="20"/>
              </w:rPr>
              <w:t xml:space="preserve"> (0-</w:t>
            </w:r>
            <w:r w:rsidRPr="007F40EB">
              <w:rPr>
                <w:sz w:val="20"/>
                <w:szCs w:val="20"/>
              </w:rPr>
              <w:t>7</w:t>
            </w:r>
            <w:r w:rsidR="004904E2" w:rsidRPr="007F40EB">
              <w:rPr>
                <w:sz w:val="20"/>
                <w:szCs w:val="20"/>
              </w:rPr>
              <w:t>) (mean [SD])</w:t>
            </w:r>
          </w:p>
        </w:tc>
        <w:tc>
          <w:tcPr>
            <w:tcW w:w="1561" w:type="dxa"/>
            <w:tcBorders>
              <w:top w:val="single" w:sz="4" w:space="0" w:color="auto"/>
              <w:bottom w:val="single" w:sz="4" w:space="0" w:color="auto"/>
              <w:right w:val="nil"/>
            </w:tcBorders>
          </w:tcPr>
          <w:p w:rsidR="004904E2" w:rsidRPr="007F40EB" w:rsidRDefault="004904E2" w:rsidP="00C72D00">
            <w:pPr>
              <w:jc w:val="center"/>
              <w:rPr>
                <w:sz w:val="20"/>
                <w:szCs w:val="20"/>
              </w:rPr>
            </w:pPr>
            <w:r w:rsidRPr="007F40EB">
              <w:rPr>
                <w:sz w:val="20"/>
                <w:szCs w:val="20"/>
              </w:rPr>
              <w:t>0.15 (0.56)</w:t>
            </w:r>
          </w:p>
        </w:tc>
        <w:tc>
          <w:tcPr>
            <w:tcW w:w="155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0.36 (0.83)</w:t>
            </w:r>
          </w:p>
        </w:tc>
        <w:tc>
          <w:tcPr>
            <w:tcW w:w="80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p>
        </w:tc>
        <w:tc>
          <w:tcPr>
            <w:tcW w:w="18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0.20 (0.62)</w:t>
            </w:r>
          </w:p>
        </w:tc>
        <w:tc>
          <w:tcPr>
            <w:tcW w:w="1650"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0.46 (1.00)</w:t>
            </w:r>
          </w:p>
        </w:tc>
        <w:tc>
          <w:tcPr>
            <w:tcW w:w="847" w:type="dxa"/>
            <w:tcBorders>
              <w:top w:val="single" w:sz="4" w:space="0" w:color="auto"/>
              <w:left w:val="nil"/>
              <w:bottom w:val="single" w:sz="4" w:space="0" w:color="auto"/>
              <w:right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sz w:val="20"/>
                <w:szCs w:val="20"/>
              </w:rPr>
            </w:pPr>
            <w:r w:rsidRPr="007F40EB">
              <w:rPr>
                <w:rFonts w:eastAsia="Times New Roman"/>
                <w:sz w:val="20"/>
                <w:shd w:val="clear" w:color="auto" w:fill="FFFFFF"/>
              </w:rPr>
              <w:t>Immediate recall (0-10) (mean [SD])</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6.23 (1.52)</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5.29 (1.51)</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6.58 (1.57)</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5.97 (1.64)</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693" w:type="dxa"/>
            <w:gridSpan w:val="5"/>
            <w:tcBorders>
              <w:top w:val="single" w:sz="4" w:space="0" w:color="auto"/>
              <w:bottom w:val="nil"/>
              <w:right w:val="nil"/>
            </w:tcBorders>
          </w:tcPr>
          <w:p w:rsidR="004904E2" w:rsidRPr="007F40EB" w:rsidRDefault="004904E2" w:rsidP="00C72D00">
            <w:pPr>
              <w:rPr>
                <w:rFonts w:eastAsia="Times New Roman"/>
                <w:sz w:val="20"/>
                <w:shd w:val="clear" w:color="auto" w:fill="FFFFFF"/>
              </w:rPr>
            </w:pPr>
            <w:r w:rsidRPr="007F40EB">
              <w:rPr>
                <w:rFonts w:eastAsia="Times New Roman"/>
                <w:sz w:val="20"/>
                <w:shd w:val="clear" w:color="auto" w:fill="FFFFFF"/>
              </w:rPr>
              <w:t>Delayed recall (0-10) (mean [SD])</w:t>
            </w:r>
          </w:p>
        </w:tc>
        <w:tc>
          <w:tcPr>
            <w:tcW w:w="1561"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5.03 (1.77)</w:t>
            </w:r>
          </w:p>
        </w:tc>
        <w:tc>
          <w:tcPr>
            <w:tcW w:w="1559"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4.14 (1.72)</w:t>
            </w:r>
          </w:p>
        </w:tc>
        <w:tc>
          <w:tcPr>
            <w:tcW w:w="80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c>
          <w:tcPr>
            <w:tcW w:w="239" w:type="dxa"/>
            <w:tcBorders>
              <w:top w:val="single" w:sz="4" w:space="0" w:color="auto"/>
              <w:bottom w:val="nil"/>
            </w:tcBorders>
          </w:tcPr>
          <w:p w:rsidR="004904E2" w:rsidRPr="007F40EB" w:rsidRDefault="004904E2" w:rsidP="00C72D00">
            <w:pPr>
              <w:jc w:val="center"/>
              <w:rPr>
                <w:sz w:val="20"/>
                <w:szCs w:val="20"/>
              </w:rPr>
            </w:pPr>
          </w:p>
        </w:tc>
        <w:tc>
          <w:tcPr>
            <w:tcW w:w="18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5.53 (1.87)</w:t>
            </w:r>
          </w:p>
        </w:tc>
        <w:tc>
          <w:tcPr>
            <w:tcW w:w="1650"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4.84 (1.97)</w:t>
            </w:r>
          </w:p>
        </w:tc>
        <w:tc>
          <w:tcPr>
            <w:tcW w:w="847" w:type="dxa"/>
            <w:tcBorders>
              <w:top w:val="single" w:sz="4" w:space="0" w:color="auto"/>
              <w:bottom w:val="nil"/>
            </w:tcBorders>
          </w:tcPr>
          <w:p w:rsidR="004904E2" w:rsidRPr="007F40EB" w:rsidRDefault="004904E2" w:rsidP="00C72D00">
            <w:pPr>
              <w:jc w:val="center"/>
              <w:rPr>
                <w:sz w:val="20"/>
                <w:szCs w:val="20"/>
              </w:rPr>
            </w:pPr>
            <w:r w:rsidRPr="007F40EB">
              <w:rPr>
                <w:sz w:val="20"/>
                <w:szCs w:val="20"/>
              </w:rPr>
              <w:t>&lt;0.001</w:t>
            </w:r>
          </w:p>
        </w:tc>
      </w:tr>
      <w:tr w:rsidR="007F40EB" w:rsidRPr="007F40EB" w:rsidTr="00C72D00">
        <w:tc>
          <w:tcPr>
            <w:tcW w:w="239" w:type="dxa"/>
            <w:tcBorders>
              <w:top w:val="single" w:sz="4" w:space="0" w:color="auto"/>
              <w:bottom w:val="nil"/>
            </w:tcBorders>
          </w:tcPr>
          <w:p w:rsidR="004904E2" w:rsidRPr="007F40EB" w:rsidRDefault="004904E2" w:rsidP="00C72D00">
            <w:pPr>
              <w:rPr>
                <w:sz w:val="20"/>
                <w:szCs w:val="20"/>
                <w:lang w:val="en-US"/>
              </w:rPr>
            </w:pPr>
          </w:p>
        </w:tc>
        <w:tc>
          <w:tcPr>
            <w:tcW w:w="10113" w:type="dxa"/>
            <w:gridSpan w:val="10"/>
            <w:tcBorders>
              <w:top w:val="single" w:sz="4" w:space="0" w:color="auto"/>
              <w:bottom w:val="nil"/>
            </w:tcBorders>
          </w:tcPr>
          <w:p w:rsidR="004904E2" w:rsidRPr="007F40EB" w:rsidRDefault="004904E2" w:rsidP="00C72D00">
            <w:pPr>
              <w:rPr>
                <w:sz w:val="20"/>
                <w:szCs w:val="20"/>
                <w:lang w:val="en-US"/>
              </w:rPr>
            </w:pPr>
            <w:r w:rsidRPr="007F40EB">
              <w:rPr>
                <w:sz w:val="20"/>
                <w:szCs w:val="20"/>
                <w:lang w:val="en-US"/>
              </w:rPr>
              <w:t xml:space="preserve">Values are percentages unless otherwise stated. </w:t>
            </w:r>
          </w:p>
          <w:p w:rsidR="004904E2" w:rsidRPr="007F40EB" w:rsidRDefault="004904E2" w:rsidP="00C72D00">
            <w:pPr>
              <w:rPr>
                <w:sz w:val="20"/>
                <w:szCs w:val="20"/>
                <w:lang w:val="en-US"/>
              </w:rPr>
            </w:pPr>
            <w:r w:rsidRPr="007F40EB">
              <w:rPr>
                <w:sz w:val="20"/>
                <w:szCs w:val="20"/>
                <w:lang w:val="en-US"/>
              </w:rPr>
              <w:t>All figures are weighted for sampling probabilities and differential non-response.</w:t>
            </w:r>
          </w:p>
          <w:p w:rsidR="004904E2" w:rsidRPr="007F40EB" w:rsidRDefault="006811D3" w:rsidP="00C72D00">
            <w:pPr>
              <w:rPr>
                <w:sz w:val="20"/>
                <w:szCs w:val="20"/>
                <w:lang w:val="en-US"/>
              </w:rPr>
            </w:pPr>
            <w:r w:rsidRPr="007F40EB">
              <w:rPr>
                <w:sz w:val="20"/>
                <w:szCs w:val="20"/>
                <w:lang w:val="en-US"/>
              </w:rPr>
              <w:t>SD = standard deviation, ADL = activities of daily living, IADL = instrumental activities of daily living.</w:t>
            </w:r>
          </w:p>
          <w:p w:rsidR="004904E2" w:rsidRPr="007F40EB" w:rsidRDefault="004904E2" w:rsidP="00C72D00">
            <w:pPr>
              <w:rPr>
                <w:sz w:val="20"/>
                <w:szCs w:val="20"/>
                <w:lang w:val="en-US"/>
              </w:rPr>
            </w:pPr>
            <w:r w:rsidRPr="007F40EB">
              <w:rPr>
                <w:rFonts w:cstheme="minorHAnsi"/>
                <w:sz w:val="20"/>
                <w:szCs w:val="20"/>
                <w:lang w:val="en-US"/>
              </w:rPr>
              <w:t xml:space="preserve">¹ </w:t>
            </w:r>
            <w:r w:rsidRPr="007F40EB">
              <w:rPr>
                <w:sz w:val="20"/>
                <w:szCs w:val="20"/>
                <w:lang w:val="en-US"/>
              </w:rPr>
              <w:t xml:space="preserve">Never/rarely = never – once or twice a year; regularly = </w:t>
            </w:r>
            <w:r w:rsidRPr="007F40EB">
              <w:rPr>
                <w:rFonts w:cs="Arial"/>
                <w:sz w:val="20"/>
                <w:szCs w:val="20"/>
                <w:lang w:val="en-US"/>
              </w:rPr>
              <w:t xml:space="preserve">once every couple of months </w:t>
            </w:r>
            <w:r w:rsidRPr="007F40EB">
              <w:rPr>
                <w:sz w:val="20"/>
                <w:szCs w:val="20"/>
                <w:lang w:val="en-US"/>
              </w:rPr>
              <w:t>– twice a week; frequently = 3 days a week – almost every day.</w:t>
            </w:r>
          </w:p>
          <w:p w:rsidR="004904E2" w:rsidRPr="007F40EB" w:rsidRDefault="004904E2" w:rsidP="00C72D00">
            <w:pPr>
              <w:rPr>
                <w:sz w:val="20"/>
                <w:szCs w:val="20"/>
                <w:lang w:val="en-US"/>
              </w:rPr>
            </w:pPr>
          </w:p>
        </w:tc>
        <w:tc>
          <w:tcPr>
            <w:tcW w:w="847" w:type="dxa"/>
            <w:tcBorders>
              <w:top w:val="single" w:sz="4" w:space="0" w:color="auto"/>
              <w:bottom w:val="nil"/>
            </w:tcBorders>
          </w:tcPr>
          <w:p w:rsidR="004904E2" w:rsidRPr="007F40EB" w:rsidRDefault="004904E2" w:rsidP="00C72D00">
            <w:pPr>
              <w:rPr>
                <w:sz w:val="20"/>
                <w:szCs w:val="20"/>
                <w:lang w:val="en-US"/>
              </w:rPr>
            </w:pPr>
          </w:p>
        </w:tc>
      </w:tr>
    </w:tbl>
    <w:p w:rsidR="000A6265" w:rsidRPr="007F40EB" w:rsidRDefault="000A6265" w:rsidP="000A6265">
      <w:pPr>
        <w:spacing w:after="160" w:line="259" w:lineRule="auto"/>
        <w:sectPr w:rsidR="000A6265" w:rsidRPr="007F40EB" w:rsidSect="00ED13A9">
          <w:pgSz w:w="11900" w:h="16840"/>
          <w:pgMar w:top="1440" w:right="1440" w:bottom="1440" w:left="1440" w:header="709" w:footer="709" w:gutter="0"/>
          <w:lnNumType w:countBy="1" w:restart="continuous"/>
          <w:cols w:space="720"/>
          <w:docGrid w:linePitch="326"/>
        </w:sectPr>
      </w:pPr>
    </w:p>
    <w:p w:rsidR="000A6265" w:rsidRPr="007F40EB" w:rsidRDefault="000A6265" w:rsidP="000A6265"/>
    <w:p w:rsidR="000A6265" w:rsidRPr="007F40EB" w:rsidRDefault="000A6265" w:rsidP="000A6265"/>
    <w:tbl>
      <w:tblPr>
        <w:tblStyle w:val="TableGrid"/>
        <w:tblW w:w="14394"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2"/>
        <w:gridCol w:w="1704"/>
        <w:gridCol w:w="1559"/>
        <w:gridCol w:w="1771"/>
        <w:gridCol w:w="1659"/>
        <w:gridCol w:w="982"/>
        <w:gridCol w:w="10"/>
        <w:gridCol w:w="273"/>
        <w:gridCol w:w="10"/>
        <w:gridCol w:w="1702"/>
        <w:gridCol w:w="1884"/>
        <w:gridCol w:w="1700"/>
        <w:gridCol w:w="852"/>
        <w:gridCol w:w="6"/>
      </w:tblGrid>
      <w:tr w:rsidR="007F40EB" w:rsidRPr="007F40EB" w:rsidTr="00C72D00">
        <w:tc>
          <w:tcPr>
            <w:tcW w:w="14394" w:type="dxa"/>
            <w:gridSpan w:val="14"/>
            <w:tcBorders>
              <w:top w:val="nil"/>
            </w:tcBorders>
          </w:tcPr>
          <w:p w:rsidR="005E0C3B" w:rsidRPr="007F40EB" w:rsidRDefault="005E0C3B" w:rsidP="00C72D00">
            <w:r w:rsidRPr="007F40EB">
              <w:br w:type="page"/>
            </w:r>
            <w:r w:rsidRPr="007F40EB">
              <w:rPr>
                <w:rFonts w:eastAsia="Times New Roman"/>
                <w:b/>
                <w:sz w:val="20"/>
              </w:rPr>
              <w:t>Table 2</w:t>
            </w:r>
            <w:r w:rsidRPr="007F40EB">
              <w:rPr>
                <w:rFonts w:eastAsia="Times New Roman"/>
                <w:sz w:val="20"/>
              </w:rPr>
              <w:t xml:space="preserve">  A</w:t>
            </w:r>
            <w:r w:rsidRPr="007F40EB">
              <w:rPr>
                <w:rFonts w:eastAsia="Times New Roman"/>
                <w:sz w:val="20"/>
                <w:shd w:val="clear" w:color="auto" w:fill="FFFFFF"/>
              </w:rPr>
              <w:t>ssociations between sexual activity at baseline and change in cognitive function over four-year follow-up in men</w:t>
            </w:r>
          </w:p>
        </w:tc>
      </w:tr>
      <w:tr w:rsidR="007F40EB" w:rsidRPr="007F40EB" w:rsidTr="00C72D00">
        <w:trPr>
          <w:gridAfter w:val="1"/>
          <w:wAfter w:w="6" w:type="dxa"/>
        </w:trPr>
        <w:tc>
          <w:tcPr>
            <w:tcW w:w="282" w:type="dxa"/>
            <w:tcBorders>
              <w:bottom w:val="nil"/>
            </w:tcBorders>
          </w:tcPr>
          <w:p w:rsidR="005E0C3B" w:rsidRPr="007F40EB" w:rsidRDefault="005E0C3B" w:rsidP="00C72D00">
            <w:pPr>
              <w:jc w:val="center"/>
              <w:rPr>
                <w:b/>
                <w:sz w:val="20"/>
                <w:szCs w:val="20"/>
              </w:rPr>
            </w:pPr>
          </w:p>
        </w:tc>
        <w:tc>
          <w:tcPr>
            <w:tcW w:w="1704" w:type="dxa"/>
            <w:tcBorders>
              <w:bottom w:val="nil"/>
            </w:tcBorders>
          </w:tcPr>
          <w:p w:rsidR="005E0C3B" w:rsidRPr="007F40EB" w:rsidRDefault="005E0C3B" w:rsidP="00C72D00">
            <w:pPr>
              <w:jc w:val="center"/>
              <w:rPr>
                <w:b/>
                <w:sz w:val="20"/>
                <w:szCs w:val="20"/>
              </w:rPr>
            </w:pPr>
          </w:p>
        </w:tc>
        <w:tc>
          <w:tcPr>
            <w:tcW w:w="5971" w:type="dxa"/>
            <w:gridSpan w:val="4"/>
          </w:tcPr>
          <w:p w:rsidR="005E0C3B" w:rsidRPr="007F40EB" w:rsidRDefault="005E0C3B" w:rsidP="00C72D00">
            <w:pPr>
              <w:jc w:val="center"/>
              <w:rPr>
                <w:b/>
                <w:sz w:val="20"/>
                <w:szCs w:val="20"/>
              </w:rPr>
            </w:pPr>
            <w:r w:rsidRPr="007F40EB">
              <w:rPr>
                <w:b/>
                <w:sz w:val="20"/>
                <w:szCs w:val="20"/>
              </w:rPr>
              <w:t>Age-adjusted model</w:t>
            </w:r>
          </w:p>
        </w:tc>
        <w:tc>
          <w:tcPr>
            <w:tcW w:w="283" w:type="dxa"/>
            <w:gridSpan w:val="2"/>
            <w:tcBorders>
              <w:top w:val="nil"/>
              <w:bottom w:val="nil"/>
            </w:tcBorders>
          </w:tcPr>
          <w:p w:rsidR="005E0C3B" w:rsidRPr="007F40EB" w:rsidRDefault="005E0C3B" w:rsidP="00C72D00">
            <w:pPr>
              <w:jc w:val="center"/>
              <w:rPr>
                <w:b/>
                <w:sz w:val="20"/>
                <w:szCs w:val="20"/>
              </w:rPr>
            </w:pPr>
          </w:p>
        </w:tc>
        <w:tc>
          <w:tcPr>
            <w:tcW w:w="6148" w:type="dxa"/>
            <w:gridSpan w:val="5"/>
          </w:tcPr>
          <w:p w:rsidR="005E0C3B" w:rsidRPr="007F40EB" w:rsidRDefault="005E0C3B" w:rsidP="00C72D00">
            <w:pPr>
              <w:jc w:val="center"/>
              <w:rPr>
                <w:b/>
                <w:sz w:val="20"/>
                <w:szCs w:val="20"/>
              </w:rPr>
            </w:pPr>
            <w:r w:rsidRPr="007F40EB">
              <w:rPr>
                <w:b/>
                <w:sz w:val="20"/>
                <w:szCs w:val="20"/>
              </w:rPr>
              <w:t>Fully adjusted model</w:t>
            </w:r>
          </w:p>
        </w:tc>
      </w:tr>
      <w:tr w:rsidR="007F40EB" w:rsidRPr="007F40EB" w:rsidTr="00C72D00">
        <w:trPr>
          <w:gridAfter w:val="1"/>
          <w:wAfter w:w="6" w:type="dxa"/>
        </w:trPr>
        <w:tc>
          <w:tcPr>
            <w:tcW w:w="282" w:type="dxa"/>
            <w:tcBorders>
              <w:top w:val="nil"/>
            </w:tcBorders>
          </w:tcPr>
          <w:p w:rsidR="005E0C3B" w:rsidRPr="007F40EB" w:rsidRDefault="005E0C3B" w:rsidP="00C72D00">
            <w:pPr>
              <w:jc w:val="center"/>
              <w:rPr>
                <w:b/>
                <w:sz w:val="20"/>
                <w:szCs w:val="20"/>
              </w:rPr>
            </w:pPr>
          </w:p>
        </w:tc>
        <w:tc>
          <w:tcPr>
            <w:tcW w:w="1704" w:type="dxa"/>
            <w:tcBorders>
              <w:top w:val="nil"/>
            </w:tcBorders>
          </w:tcPr>
          <w:p w:rsidR="005E0C3B" w:rsidRPr="007F40EB" w:rsidRDefault="005E0C3B" w:rsidP="00C72D00">
            <w:pPr>
              <w:jc w:val="center"/>
              <w:rPr>
                <w:b/>
                <w:sz w:val="20"/>
                <w:szCs w:val="20"/>
              </w:rPr>
            </w:pPr>
          </w:p>
        </w:tc>
        <w:tc>
          <w:tcPr>
            <w:tcW w:w="1559" w:type="dxa"/>
            <w:tcBorders>
              <w:top w:val="nil"/>
            </w:tcBorders>
          </w:tcPr>
          <w:p w:rsidR="005E0C3B" w:rsidRPr="007F40EB" w:rsidRDefault="005E0C3B" w:rsidP="00C72D00">
            <w:pPr>
              <w:jc w:val="center"/>
              <w:rPr>
                <w:b/>
                <w:sz w:val="20"/>
                <w:szCs w:val="20"/>
              </w:rPr>
            </w:pPr>
            <w:r w:rsidRPr="007F40EB">
              <w:rPr>
                <w:b/>
                <w:sz w:val="20"/>
                <w:szCs w:val="20"/>
              </w:rPr>
              <w:t>EM mean (SE) sexually active</w:t>
            </w:r>
          </w:p>
        </w:tc>
        <w:tc>
          <w:tcPr>
            <w:tcW w:w="1771" w:type="dxa"/>
            <w:tcBorders>
              <w:top w:val="nil"/>
            </w:tcBorders>
          </w:tcPr>
          <w:p w:rsidR="005E0C3B" w:rsidRPr="007F40EB" w:rsidRDefault="005E0C3B" w:rsidP="00C72D00">
            <w:pPr>
              <w:jc w:val="center"/>
              <w:rPr>
                <w:b/>
                <w:sz w:val="20"/>
                <w:szCs w:val="20"/>
              </w:rPr>
            </w:pPr>
            <w:r w:rsidRPr="007F40EB">
              <w:rPr>
                <w:b/>
                <w:sz w:val="20"/>
                <w:szCs w:val="20"/>
              </w:rPr>
              <w:t xml:space="preserve">EM mean (SE) </w:t>
            </w:r>
          </w:p>
          <w:p w:rsidR="005E0C3B" w:rsidRPr="007F40EB" w:rsidRDefault="005E0C3B" w:rsidP="00C72D00">
            <w:pPr>
              <w:jc w:val="center"/>
              <w:rPr>
                <w:b/>
                <w:sz w:val="20"/>
                <w:szCs w:val="20"/>
              </w:rPr>
            </w:pPr>
            <w:r w:rsidRPr="007F40EB">
              <w:rPr>
                <w:b/>
                <w:sz w:val="20"/>
                <w:szCs w:val="20"/>
              </w:rPr>
              <w:t>not sexually active</w:t>
            </w:r>
          </w:p>
        </w:tc>
        <w:tc>
          <w:tcPr>
            <w:tcW w:w="1659" w:type="dxa"/>
            <w:tcBorders>
              <w:top w:val="nil"/>
            </w:tcBorders>
          </w:tcPr>
          <w:p w:rsidR="005E0C3B" w:rsidRPr="007F40EB" w:rsidRDefault="005E0C3B" w:rsidP="00C72D00">
            <w:pPr>
              <w:jc w:val="center"/>
              <w:rPr>
                <w:b/>
                <w:sz w:val="20"/>
                <w:szCs w:val="20"/>
              </w:rPr>
            </w:pPr>
            <w:r w:rsidRPr="007F40EB">
              <w:rPr>
                <w:b/>
                <w:sz w:val="20"/>
                <w:szCs w:val="20"/>
              </w:rPr>
              <w:t>Beta [95% CI]</w:t>
            </w:r>
          </w:p>
        </w:tc>
        <w:tc>
          <w:tcPr>
            <w:tcW w:w="992" w:type="dxa"/>
            <w:gridSpan w:val="2"/>
            <w:tcBorders>
              <w:top w:val="nil"/>
            </w:tcBorders>
          </w:tcPr>
          <w:p w:rsidR="005E0C3B" w:rsidRPr="007F40EB" w:rsidRDefault="005E0C3B" w:rsidP="00C72D00">
            <w:pPr>
              <w:jc w:val="center"/>
              <w:rPr>
                <w:b/>
                <w:sz w:val="20"/>
                <w:szCs w:val="20"/>
              </w:rPr>
            </w:pPr>
            <w:r w:rsidRPr="007F40EB">
              <w:rPr>
                <w:b/>
                <w:i/>
                <w:sz w:val="20"/>
                <w:szCs w:val="20"/>
              </w:rPr>
              <w:t>p</w:t>
            </w:r>
          </w:p>
        </w:tc>
        <w:tc>
          <w:tcPr>
            <w:tcW w:w="283" w:type="dxa"/>
            <w:gridSpan w:val="2"/>
            <w:tcBorders>
              <w:top w:val="nil"/>
            </w:tcBorders>
          </w:tcPr>
          <w:p w:rsidR="005E0C3B" w:rsidRPr="007F40EB" w:rsidRDefault="005E0C3B" w:rsidP="00C72D00">
            <w:pPr>
              <w:jc w:val="center"/>
              <w:rPr>
                <w:b/>
                <w:sz w:val="20"/>
                <w:szCs w:val="20"/>
              </w:rPr>
            </w:pPr>
          </w:p>
        </w:tc>
        <w:tc>
          <w:tcPr>
            <w:tcW w:w="1702" w:type="dxa"/>
          </w:tcPr>
          <w:p w:rsidR="005E0C3B" w:rsidRPr="007F40EB" w:rsidRDefault="005E0C3B" w:rsidP="00C72D00">
            <w:pPr>
              <w:jc w:val="center"/>
              <w:rPr>
                <w:b/>
                <w:sz w:val="20"/>
                <w:szCs w:val="20"/>
              </w:rPr>
            </w:pPr>
            <w:r w:rsidRPr="007F40EB">
              <w:rPr>
                <w:b/>
                <w:sz w:val="20"/>
                <w:szCs w:val="20"/>
              </w:rPr>
              <w:t>EM mean (SE) sexually active</w:t>
            </w:r>
          </w:p>
        </w:tc>
        <w:tc>
          <w:tcPr>
            <w:tcW w:w="1884" w:type="dxa"/>
          </w:tcPr>
          <w:p w:rsidR="005E0C3B" w:rsidRPr="007F40EB" w:rsidRDefault="005E0C3B" w:rsidP="00C72D00">
            <w:pPr>
              <w:jc w:val="center"/>
              <w:rPr>
                <w:b/>
                <w:sz w:val="20"/>
                <w:szCs w:val="20"/>
              </w:rPr>
            </w:pPr>
            <w:r w:rsidRPr="007F40EB">
              <w:rPr>
                <w:b/>
                <w:sz w:val="20"/>
                <w:szCs w:val="20"/>
              </w:rPr>
              <w:t xml:space="preserve">EM mean (SE) </w:t>
            </w:r>
          </w:p>
          <w:p w:rsidR="005E0C3B" w:rsidRPr="007F40EB" w:rsidRDefault="005E0C3B" w:rsidP="00C72D00">
            <w:pPr>
              <w:jc w:val="center"/>
              <w:rPr>
                <w:b/>
                <w:i/>
                <w:sz w:val="20"/>
                <w:szCs w:val="20"/>
              </w:rPr>
            </w:pPr>
            <w:r w:rsidRPr="007F40EB">
              <w:rPr>
                <w:b/>
                <w:sz w:val="20"/>
                <w:szCs w:val="20"/>
              </w:rPr>
              <w:t>not sexually active</w:t>
            </w:r>
          </w:p>
        </w:tc>
        <w:tc>
          <w:tcPr>
            <w:tcW w:w="1700" w:type="dxa"/>
          </w:tcPr>
          <w:p w:rsidR="005E0C3B" w:rsidRPr="007F40EB" w:rsidRDefault="005E0C3B" w:rsidP="00C72D00">
            <w:pPr>
              <w:jc w:val="center"/>
              <w:rPr>
                <w:b/>
                <w:i/>
                <w:sz w:val="20"/>
                <w:szCs w:val="20"/>
              </w:rPr>
            </w:pPr>
            <w:r w:rsidRPr="007F40EB">
              <w:rPr>
                <w:b/>
                <w:sz w:val="20"/>
                <w:szCs w:val="20"/>
              </w:rPr>
              <w:t>Beta [95% CI]</w:t>
            </w:r>
          </w:p>
        </w:tc>
        <w:tc>
          <w:tcPr>
            <w:tcW w:w="852" w:type="dxa"/>
          </w:tcPr>
          <w:p w:rsidR="005E0C3B" w:rsidRPr="007F40EB" w:rsidRDefault="005E0C3B" w:rsidP="00C72D00">
            <w:pPr>
              <w:jc w:val="center"/>
              <w:rPr>
                <w:b/>
                <w:i/>
                <w:sz w:val="20"/>
                <w:szCs w:val="20"/>
              </w:rPr>
            </w:pPr>
            <w:r w:rsidRPr="007F40EB">
              <w:rPr>
                <w:b/>
                <w:i/>
                <w:sz w:val="20"/>
                <w:szCs w:val="20"/>
              </w:rPr>
              <w:t>p</w:t>
            </w:r>
          </w:p>
        </w:tc>
      </w:tr>
      <w:tr w:rsidR="007F40EB" w:rsidRPr="007F40EB" w:rsidTr="00C72D00">
        <w:trPr>
          <w:gridAfter w:val="1"/>
          <w:wAfter w:w="6" w:type="dxa"/>
        </w:trPr>
        <w:tc>
          <w:tcPr>
            <w:tcW w:w="1986" w:type="dxa"/>
            <w:gridSpan w:val="2"/>
            <w:tcBorders>
              <w:bottom w:val="nil"/>
            </w:tcBorders>
          </w:tcPr>
          <w:p w:rsidR="005E0C3B" w:rsidRPr="007F40EB" w:rsidRDefault="005E0C3B" w:rsidP="00C72D00">
            <w:pPr>
              <w:rPr>
                <w:sz w:val="20"/>
                <w:szCs w:val="20"/>
              </w:rPr>
            </w:pPr>
            <w:r w:rsidRPr="007F40EB">
              <w:rPr>
                <w:rFonts w:eastAsia="Times New Roman"/>
                <w:sz w:val="20"/>
                <w:shd w:val="clear" w:color="auto" w:fill="FFFFFF"/>
              </w:rPr>
              <w:t>Immediate recall</w:t>
            </w:r>
          </w:p>
        </w:tc>
        <w:tc>
          <w:tcPr>
            <w:tcW w:w="1559" w:type="dxa"/>
            <w:tcBorders>
              <w:bottom w:val="nil"/>
            </w:tcBorders>
          </w:tcPr>
          <w:p w:rsidR="005E0C3B" w:rsidRPr="007F40EB" w:rsidRDefault="005E0C3B" w:rsidP="00C72D00">
            <w:pPr>
              <w:jc w:val="center"/>
              <w:rPr>
                <w:sz w:val="20"/>
                <w:szCs w:val="20"/>
              </w:rPr>
            </w:pPr>
            <w:r w:rsidRPr="007F40EB">
              <w:rPr>
                <w:sz w:val="20"/>
                <w:szCs w:val="20"/>
              </w:rPr>
              <w:t>0.001 (0.02)</w:t>
            </w:r>
          </w:p>
        </w:tc>
        <w:tc>
          <w:tcPr>
            <w:tcW w:w="1771" w:type="dxa"/>
            <w:tcBorders>
              <w:bottom w:val="nil"/>
            </w:tcBorders>
          </w:tcPr>
          <w:p w:rsidR="005E0C3B" w:rsidRPr="007F40EB" w:rsidRDefault="005E0C3B" w:rsidP="00C72D00">
            <w:pPr>
              <w:jc w:val="center"/>
              <w:rPr>
                <w:sz w:val="20"/>
                <w:szCs w:val="20"/>
              </w:rPr>
            </w:pPr>
            <w:r w:rsidRPr="007F40EB">
              <w:rPr>
                <w:sz w:val="20"/>
                <w:szCs w:val="20"/>
              </w:rPr>
              <w:t>-0.23 (0.05)</w:t>
            </w:r>
          </w:p>
        </w:tc>
        <w:tc>
          <w:tcPr>
            <w:tcW w:w="1659" w:type="dxa"/>
            <w:tcBorders>
              <w:bottom w:val="nil"/>
            </w:tcBorders>
          </w:tcPr>
          <w:p w:rsidR="005E0C3B" w:rsidRPr="007F40EB" w:rsidRDefault="005E0C3B" w:rsidP="00C72D00">
            <w:pPr>
              <w:jc w:val="center"/>
              <w:rPr>
                <w:sz w:val="20"/>
                <w:szCs w:val="20"/>
              </w:rPr>
            </w:pPr>
            <w:r w:rsidRPr="007F40EB">
              <w:rPr>
                <w:sz w:val="20"/>
                <w:szCs w:val="20"/>
              </w:rPr>
              <w:t>0.23 [0.12; 0.34]</w:t>
            </w:r>
          </w:p>
        </w:tc>
        <w:tc>
          <w:tcPr>
            <w:tcW w:w="992" w:type="dxa"/>
            <w:gridSpan w:val="2"/>
            <w:tcBorders>
              <w:bottom w:val="nil"/>
            </w:tcBorders>
          </w:tcPr>
          <w:p w:rsidR="005E0C3B" w:rsidRPr="007F40EB" w:rsidRDefault="005E0C3B" w:rsidP="00C72D00">
            <w:pPr>
              <w:jc w:val="center"/>
              <w:rPr>
                <w:sz w:val="20"/>
                <w:szCs w:val="20"/>
              </w:rPr>
            </w:pPr>
            <w:r w:rsidRPr="007F40EB">
              <w:rPr>
                <w:sz w:val="20"/>
                <w:szCs w:val="20"/>
              </w:rPr>
              <w:t>&lt;0.001</w:t>
            </w:r>
          </w:p>
        </w:tc>
        <w:tc>
          <w:tcPr>
            <w:tcW w:w="283" w:type="dxa"/>
            <w:gridSpan w:val="2"/>
            <w:tcBorders>
              <w:bottom w:val="nil"/>
            </w:tcBorders>
          </w:tcPr>
          <w:p w:rsidR="005E0C3B" w:rsidRPr="007F40EB" w:rsidRDefault="005E0C3B" w:rsidP="00C72D00">
            <w:pPr>
              <w:jc w:val="center"/>
              <w:rPr>
                <w:sz w:val="20"/>
                <w:szCs w:val="20"/>
              </w:rPr>
            </w:pPr>
          </w:p>
        </w:tc>
        <w:tc>
          <w:tcPr>
            <w:tcW w:w="1702" w:type="dxa"/>
            <w:tcBorders>
              <w:bottom w:val="nil"/>
            </w:tcBorders>
          </w:tcPr>
          <w:p w:rsidR="005E0C3B" w:rsidRPr="007F40EB" w:rsidRDefault="005E0C3B" w:rsidP="00C72D00">
            <w:pPr>
              <w:jc w:val="center"/>
              <w:rPr>
                <w:sz w:val="20"/>
                <w:szCs w:val="20"/>
              </w:rPr>
            </w:pPr>
            <w:r w:rsidRPr="007F40EB">
              <w:rPr>
                <w:sz w:val="20"/>
                <w:szCs w:val="20"/>
              </w:rPr>
              <w:t>-0.01 (0.02)</w:t>
            </w:r>
          </w:p>
        </w:tc>
        <w:tc>
          <w:tcPr>
            <w:tcW w:w="1884" w:type="dxa"/>
            <w:tcBorders>
              <w:bottom w:val="nil"/>
            </w:tcBorders>
          </w:tcPr>
          <w:p w:rsidR="005E0C3B" w:rsidRPr="007F40EB" w:rsidRDefault="005E0C3B" w:rsidP="00C72D00">
            <w:pPr>
              <w:jc w:val="center"/>
              <w:rPr>
                <w:sz w:val="20"/>
                <w:szCs w:val="20"/>
              </w:rPr>
            </w:pPr>
            <w:r w:rsidRPr="007F40EB">
              <w:rPr>
                <w:sz w:val="20"/>
                <w:szCs w:val="20"/>
              </w:rPr>
              <w:t>-0.19 (0.05)</w:t>
            </w:r>
          </w:p>
        </w:tc>
        <w:tc>
          <w:tcPr>
            <w:tcW w:w="1700" w:type="dxa"/>
            <w:tcBorders>
              <w:bottom w:val="nil"/>
            </w:tcBorders>
          </w:tcPr>
          <w:p w:rsidR="005E0C3B" w:rsidRPr="007F40EB" w:rsidRDefault="005E0C3B" w:rsidP="00C72D00">
            <w:pPr>
              <w:jc w:val="center"/>
              <w:rPr>
                <w:sz w:val="20"/>
                <w:szCs w:val="20"/>
              </w:rPr>
            </w:pPr>
            <w:r w:rsidRPr="007F40EB">
              <w:rPr>
                <w:sz w:val="20"/>
                <w:szCs w:val="20"/>
              </w:rPr>
              <w:t>0.18 [0.07; 0.29]</w:t>
            </w:r>
          </w:p>
        </w:tc>
        <w:tc>
          <w:tcPr>
            <w:tcW w:w="852" w:type="dxa"/>
            <w:tcBorders>
              <w:bottom w:val="nil"/>
            </w:tcBorders>
          </w:tcPr>
          <w:p w:rsidR="005E0C3B" w:rsidRPr="007F40EB" w:rsidRDefault="005E0C3B" w:rsidP="00C72D00">
            <w:pPr>
              <w:jc w:val="center"/>
              <w:rPr>
                <w:sz w:val="20"/>
                <w:szCs w:val="20"/>
              </w:rPr>
            </w:pPr>
            <w:r w:rsidRPr="007F40EB">
              <w:rPr>
                <w:sz w:val="20"/>
                <w:szCs w:val="20"/>
              </w:rPr>
              <w:t>0.002</w:t>
            </w:r>
          </w:p>
        </w:tc>
      </w:tr>
      <w:tr w:rsidR="007F40EB" w:rsidRPr="007F40EB" w:rsidTr="00C72D00">
        <w:trPr>
          <w:gridAfter w:val="1"/>
          <w:wAfter w:w="6" w:type="dxa"/>
        </w:trPr>
        <w:tc>
          <w:tcPr>
            <w:tcW w:w="1986" w:type="dxa"/>
            <w:gridSpan w:val="2"/>
            <w:tcBorders>
              <w:bottom w:val="nil"/>
            </w:tcBorders>
          </w:tcPr>
          <w:p w:rsidR="005E0C3B" w:rsidRPr="007F40EB" w:rsidRDefault="005E0C3B" w:rsidP="00C72D00">
            <w:pPr>
              <w:rPr>
                <w:sz w:val="20"/>
                <w:szCs w:val="20"/>
              </w:rPr>
            </w:pPr>
            <w:r w:rsidRPr="007F40EB">
              <w:rPr>
                <w:rFonts w:eastAsia="Times New Roman"/>
                <w:sz w:val="20"/>
                <w:shd w:val="clear" w:color="auto" w:fill="FFFFFF"/>
              </w:rPr>
              <w:t>Delayed recall</w:t>
            </w:r>
          </w:p>
        </w:tc>
        <w:tc>
          <w:tcPr>
            <w:tcW w:w="1559" w:type="dxa"/>
            <w:tcBorders>
              <w:bottom w:val="nil"/>
            </w:tcBorders>
          </w:tcPr>
          <w:p w:rsidR="005E0C3B" w:rsidRPr="007F40EB" w:rsidRDefault="005E0C3B" w:rsidP="00C72D00">
            <w:pPr>
              <w:jc w:val="center"/>
              <w:rPr>
                <w:sz w:val="20"/>
                <w:szCs w:val="20"/>
              </w:rPr>
            </w:pPr>
            <w:r w:rsidRPr="007F40EB">
              <w:rPr>
                <w:sz w:val="20"/>
                <w:szCs w:val="20"/>
              </w:rPr>
              <w:t>0.02 (0.02)</w:t>
            </w:r>
          </w:p>
        </w:tc>
        <w:tc>
          <w:tcPr>
            <w:tcW w:w="1771" w:type="dxa"/>
            <w:tcBorders>
              <w:bottom w:val="nil"/>
            </w:tcBorders>
          </w:tcPr>
          <w:p w:rsidR="005E0C3B" w:rsidRPr="007F40EB" w:rsidRDefault="005E0C3B" w:rsidP="00C72D00">
            <w:pPr>
              <w:jc w:val="center"/>
              <w:rPr>
                <w:sz w:val="20"/>
                <w:szCs w:val="20"/>
              </w:rPr>
            </w:pPr>
            <w:r w:rsidRPr="007F40EB">
              <w:rPr>
                <w:sz w:val="20"/>
                <w:szCs w:val="20"/>
              </w:rPr>
              <w:t>-0.23 (0.05)</w:t>
            </w:r>
          </w:p>
        </w:tc>
        <w:tc>
          <w:tcPr>
            <w:tcW w:w="1659" w:type="dxa"/>
            <w:tcBorders>
              <w:bottom w:val="nil"/>
            </w:tcBorders>
          </w:tcPr>
          <w:p w:rsidR="005E0C3B" w:rsidRPr="007F40EB" w:rsidRDefault="005E0C3B" w:rsidP="00C72D00">
            <w:pPr>
              <w:jc w:val="center"/>
              <w:rPr>
                <w:sz w:val="20"/>
                <w:szCs w:val="20"/>
              </w:rPr>
            </w:pPr>
            <w:r w:rsidRPr="007F40EB">
              <w:rPr>
                <w:sz w:val="20"/>
                <w:szCs w:val="20"/>
              </w:rPr>
              <w:t>0.25 [0.15; 0.36]</w:t>
            </w:r>
          </w:p>
        </w:tc>
        <w:tc>
          <w:tcPr>
            <w:tcW w:w="992" w:type="dxa"/>
            <w:gridSpan w:val="2"/>
            <w:tcBorders>
              <w:bottom w:val="nil"/>
            </w:tcBorders>
          </w:tcPr>
          <w:p w:rsidR="005E0C3B" w:rsidRPr="007F40EB" w:rsidRDefault="005E0C3B" w:rsidP="00C72D00">
            <w:pPr>
              <w:jc w:val="center"/>
              <w:rPr>
                <w:sz w:val="20"/>
                <w:szCs w:val="20"/>
              </w:rPr>
            </w:pPr>
            <w:r w:rsidRPr="007F40EB">
              <w:rPr>
                <w:sz w:val="20"/>
                <w:szCs w:val="20"/>
              </w:rPr>
              <w:t>&lt;0.001</w:t>
            </w:r>
          </w:p>
        </w:tc>
        <w:tc>
          <w:tcPr>
            <w:tcW w:w="283" w:type="dxa"/>
            <w:gridSpan w:val="2"/>
            <w:tcBorders>
              <w:bottom w:val="nil"/>
            </w:tcBorders>
          </w:tcPr>
          <w:p w:rsidR="005E0C3B" w:rsidRPr="007F40EB" w:rsidRDefault="005E0C3B" w:rsidP="00C72D00">
            <w:pPr>
              <w:jc w:val="center"/>
              <w:rPr>
                <w:sz w:val="20"/>
                <w:szCs w:val="20"/>
              </w:rPr>
            </w:pPr>
          </w:p>
        </w:tc>
        <w:tc>
          <w:tcPr>
            <w:tcW w:w="1702" w:type="dxa"/>
            <w:tcBorders>
              <w:bottom w:val="nil"/>
            </w:tcBorders>
          </w:tcPr>
          <w:p w:rsidR="005E0C3B" w:rsidRPr="007F40EB" w:rsidRDefault="005E0C3B" w:rsidP="00C72D00">
            <w:pPr>
              <w:jc w:val="center"/>
              <w:rPr>
                <w:sz w:val="20"/>
                <w:szCs w:val="20"/>
              </w:rPr>
            </w:pPr>
            <w:r w:rsidRPr="007F40EB">
              <w:rPr>
                <w:sz w:val="20"/>
                <w:szCs w:val="20"/>
              </w:rPr>
              <w:t>0.01 (0.02)</w:t>
            </w:r>
          </w:p>
        </w:tc>
        <w:tc>
          <w:tcPr>
            <w:tcW w:w="1884" w:type="dxa"/>
            <w:tcBorders>
              <w:bottom w:val="nil"/>
            </w:tcBorders>
          </w:tcPr>
          <w:p w:rsidR="005E0C3B" w:rsidRPr="007F40EB" w:rsidRDefault="005E0C3B" w:rsidP="00C72D00">
            <w:pPr>
              <w:jc w:val="center"/>
              <w:rPr>
                <w:sz w:val="20"/>
                <w:szCs w:val="20"/>
              </w:rPr>
            </w:pPr>
            <w:r w:rsidRPr="007F40EB">
              <w:rPr>
                <w:sz w:val="20"/>
                <w:szCs w:val="20"/>
              </w:rPr>
              <w:t>-0.17 (0.05)</w:t>
            </w:r>
          </w:p>
        </w:tc>
        <w:tc>
          <w:tcPr>
            <w:tcW w:w="1700" w:type="dxa"/>
            <w:tcBorders>
              <w:bottom w:val="nil"/>
            </w:tcBorders>
          </w:tcPr>
          <w:p w:rsidR="005E0C3B" w:rsidRPr="007F40EB" w:rsidRDefault="005E0C3B" w:rsidP="00C72D00">
            <w:pPr>
              <w:jc w:val="center"/>
              <w:rPr>
                <w:sz w:val="20"/>
                <w:szCs w:val="20"/>
              </w:rPr>
            </w:pPr>
            <w:r w:rsidRPr="007F40EB">
              <w:rPr>
                <w:sz w:val="20"/>
                <w:szCs w:val="20"/>
              </w:rPr>
              <w:t>0.19 [0.08; 0.29]</w:t>
            </w:r>
          </w:p>
        </w:tc>
        <w:tc>
          <w:tcPr>
            <w:tcW w:w="852" w:type="dxa"/>
            <w:tcBorders>
              <w:bottom w:val="nil"/>
            </w:tcBorders>
          </w:tcPr>
          <w:p w:rsidR="005E0C3B" w:rsidRPr="007F40EB" w:rsidRDefault="005E0C3B" w:rsidP="00C72D00">
            <w:pPr>
              <w:jc w:val="center"/>
              <w:rPr>
                <w:sz w:val="20"/>
                <w:szCs w:val="20"/>
              </w:rPr>
            </w:pPr>
            <w:r w:rsidRPr="007F40EB">
              <w:rPr>
                <w:sz w:val="20"/>
                <w:szCs w:val="20"/>
              </w:rPr>
              <w:t>0.001</w:t>
            </w:r>
          </w:p>
        </w:tc>
      </w:tr>
      <w:tr w:rsidR="007F40EB" w:rsidRPr="007F40EB" w:rsidTr="00C72D00">
        <w:tc>
          <w:tcPr>
            <w:tcW w:w="14394" w:type="dxa"/>
            <w:gridSpan w:val="14"/>
            <w:tcBorders>
              <w:top w:val="single" w:sz="4" w:space="0" w:color="auto"/>
              <w:bottom w:val="nil"/>
            </w:tcBorders>
          </w:tcPr>
          <w:p w:rsidR="005E0C3B" w:rsidRPr="007F40EB" w:rsidRDefault="005E0C3B" w:rsidP="00C72D00">
            <w:pPr>
              <w:rPr>
                <w:rFonts w:cs="Arial"/>
                <w:sz w:val="20"/>
                <w:szCs w:val="20"/>
                <w:lang w:val="en-US"/>
              </w:rPr>
            </w:pPr>
            <w:r w:rsidRPr="007F40EB">
              <w:rPr>
                <w:rFonts w:cs="Arial"/>
                <w:sz w:val="20"/>
                <w:szCs w:val="20"/>
                <w:lang w:val="en-US"/>
              </w:rPr>
              <w:t>In both models, those who reported no sexual activity in the last year were taken as the reference group.</w:t>
            </w:r>
          </w:p>
          <w:p w:rsidR="005E0C3B" w:rsidRPr="007F40EB" w:rsidRDefault="005E0C3B" w:rsidP="00C72D00">
            <w:pPr>
              <w:rPr>
                <w:rFonts w:cs="Arial"/>
                <w:sz w:val="20"/>
                <w:szCs w:val="20"/>
                <w:lang w:val="en-US"/>
              </w:rPr>
            </w:pPr>
            <w:r w:rsidRPr="007F40EB">
              <w:rPr>
                <w:rFonts w:cs="Arial"/>
                <w:sz w:val="20"/>
                <w:szCs w:val="20"/>
                <w:lang w:val="en-US"/>
              </w:rPr>
              <w:t>The age adjusted model is adjusted for age and recall at baseline.</w:t>
            </w:r>
          </w:p>
          <w:p w:rsidR="005E0C3B" w:rsidRPr="007F40EB" w:rsidRDefault="005E0C3B" w:rsidP="00C72D00">
            <w:pPr>
              <w:rPr>
                <w:rFonts w:cs="Arial"/>
                <w:sz w:val="20"/>
                <w:szCs w:val="20"/>
                <w:lang w:val="en-US"/>
              </w:rPr>
            </w:pPr>
            <w:r w:rsidRPr="007F40EB">
              <w:rPr>
                <w:rFonts w:cs="Arial"/>
                <w:sz w:val="20"/>
                <w:szCs w:val="20"/>
                <w:lang w:val="en-US"/>
              </w:rPr>
              <w:t>The fully adjusted model is adjusted for age, recall at baseline, partner status, ethnicity, education, wealth, cardiovascular disease, diabetes, limiting long-standing illness, smoking status, physical activity, depressive symptoms, activities of daily living and instrumental activities of daily living.</w:t>
            </w:r>
          </w:p>
          <w:p w:rsidR="005E0C3B" w:rsidRPr="007F40EB" w:rsidRDefault="005E0C3B" w:rsidP="00C72D00">
            <w:pPr>
              <w:rPr>
                <w:rFonts w:cs="Arial"/>
                <w:sz w:val="20"/>
                <w:szCs w:val="20"/>
                <w:lang w:val="en-US"/>
              </w:rPr>
            </w:pPr>
            <w:r w:rsidRPr="007F40EB">
              <w:rPr>
                <w:rFonts w:cs="Arial"/>
                <w:sz w:val="20"/>
                <w:szCs w:val="20"/>
                <w:lang w:val="en-US"/>
              </w:rPr>
              <w:t>All figures are weighted for sampling probabilities and differential non-response.</w:t>
            </w:r>
          </w:p>
          <w:p w:rsidR="005E0C3B" w:rsidRPr="007F40EB" w:rsidRDefault="005E0C3B" w:rsidP="00C72D00">
            <w:pPr>
              <w:rPr>
                <w:rFonts w:cs="Arial"/>
                <w:sz w:val="20"/>
                <w:szCs w:val="20"/>
                <w:lang w:val="en-US"/>
              </w:rPr>
            </w:pPr>
            <w:r w:rsidRPr="007F40EB">
              <w:rPr>
                <w:rFonts w:cs="Arial"/>
                <w:sz w:val="20"/>
                <w:szCs w:val="20"/>
                <w:lang w:val="en-US"/>
              </w:rPr>
              <w:t>CI = confidence interval.</w:t>
            </w:r>
            <w:r w:rsidR="006652ED" w:rsidRPr="007F40EB">
              <w:t xml:space="preserve"> </w:t>
            </w:r>
            <w:r w:rsidR="006652ED" w:rsidRPr="007F40EB">
              <w:rPr>
                <w:rFonts w:cs="Arial"/>
                <w:sz w:val="20"/>
                <w:szCs w:val="20"/>
                <w:lang w:val="en-US"/>
              </w:rPr>
              <w:t>EM = estimated marginal. SE = standard error.</w:t>
            </w:r>
          </w:p>
          <w:p w:rsidR="005E0C3B" w:rsidRPr="007F40EB" w:rsidRDefault="005E0C3B" w:rsidP="00C72D00">
            <w:pPr>
              <w:rPr>
                <w:rFonts w:cs="Arial"/>
                <w:sz w:val="20"/>
                <w:szCs w:val="20"/>
                <w:lang w:val="en-US"/>
              </w:rPr>
            </w:pPr>
          </w:p>
        </w:tc>
      </w:tr>
    </w:tbl>
    <w:p w:rsidR="000A6265" w:rsidRPr="007F40EB" w:rsidRDefault="000A6265" w:rsidP="008E04B9">
      <w:pPr>
        <w:spacing w:afterLines="120" w:after="288"/>
        <w:rPr>
          <w:rFonts w:ascii="Calibri" w:hAnsi="Calibri" w:cs="Calibri"/>
          <w:shd w:val="clear" w:color="auto" w:fill="FFFFFF"/>
        </w:rPr>
      </w:pPr>
    </w:p>
    <w:p w:rsidR="00DC26EF" w:rsidRPr="007F40EB" w:rsidRDefault="00DC26EF" w:rsidP="008E04B9">
      <w:pPr>
        <w:spacing w:afterLines="120" w:after="288"/>
        <w:rPr>
          <w:rFonts w:ascii="Calibri" w:hAnsi="Calibri" w:cs="Calibri"/>
          <w:shd w:val="clear" w:color="auto" w:fill="FFFFFF"/>
        </w:rPr>
      </w:pPr>
    </w:p>
    <w:p w:rsidR="005E0C3B" w:rsidRPr="007F40EB" w:rsidRDefault="005E0C3B">
      <w:pPr>
        <w:rPr>
          <w:rFonts w:ascii="Calibri" w:hAnsi="Calibri" w:cs="Calibri"/>
          <w:shd w:val="clear" w:color="auto" w:fill="FFFFFF"/>
        </w:rPr>
      </w:pPr>
      <w:r w:rsidRPr="007F40EB">
        <w:rPr>
          <w:rFonts w:ascii="Calibri" w:hAnsi="Calibri" w:cs="Calibri"/>
          <w:shd w:val="clear" w:color="auto" w:fill="FFFFFF"/>
        </w:rPr>
        <w:br w:type="page"/>
      </w:r>
    </w:p>
    <w:p w:rsidR="00DC26EF" w:rsidRPr="007F40EB" w:rsidRDefault="00DC26EF" w:rsidP="008E04B9">
      <w:pPr>
        <w:spacing w:afterLines="120" w:after="288"/>
        <w:rPr>
          <w:rFonts w:ascii="Calibri" w:hAnsi="Calibri" w:cs="Calibri"/>
          <w:shd w:val="clear" w:color="auto" w:fill="FFFFFF"/>
        </w:rPr>
      </w:pPr>
    </w:p>
    <w:tbl>
      <w:tblPr>
        <w:tblStyle w:val="TableGrid"/>
        <w:tblW w:w="14394"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2"/>
        <w:gridCol w:w="1704"/>
        <w:gridCol w:w="1559"/>
        <w:gridCol w:w="1771"/>
        <w:gridCol w:w="1659"/>
        <w:gridCol w:w="982"/>
        <w:gridCol w:w="10"/>
        <w:gridCol w:w="273"/>
        <w:gridCol w:w="10"/>
        <w:gridCol w:w="1702"/>
        <w:gridCol w:w="1884"/>
        <w:gridCol w:w="1700"/>
        <w:gridCol w:w="852"/>
        <w:gridCol w:w="6"/>
      </w:tblGrid>
      <w:tr w:rsidR="007F40EB" w:rsidRPr="007F40EB" w:rsidTr="00C72D00">
        <w:tc>
          <w:tcPr>
            <w:tcW w:w="14394" w:type="dxa"/>
            <w:gridSpan w:val="14"/>
            <w:tcBorders>
              <w:top w:val="nil"/>
            </w:tcBorders>
          </w:tcPr>
          <w:p w:rsidR="005E0C3B" w:rsidRPr="007F40EB" w:rsidRDefault="005E0C3B" w:rsidP="00C72D00">
            <w:r w:rsidRPr="007F40EB">
              <w:br w:type="page"/>
            </w:r>
            <w:r w:rsidRPr="007F40EB">
              <w:rPr>
                <w:rFonts w:eastAsia="Times New Roman"/>
                <w:b/>
                <w:sz w:val="20"/>
              </w:rPr>
              <w:t>Table 3</w:t>
            </w:r>
            <w:r w:rsidRPr="007F40EB">
              <w:rPr>
                <w:rFonts w:eastAsia="Times New Roman"/>
                <w:sz w:val="20"/>
              </w:rPr>
              <w:t xml:space="preserve">  A</w:t>
            </w:r>
            <w:r w:rsidRPr="007F40EB">
              <w:rPr>
                <w:rFonts w:eastAsia="Times New Roman"/>
                <w:sz w:val="20"/>
                <w:shd w:val="clear" w:color="auto" w:fill="FFFFFF"/>
              </w:rPr>
              <w:t>ssociations between sexual activity at baseline and change in cognitive function over four-year follow-up in women</w:t>
            </w:r>
          </w:p>
        </w:tc>
      </w:tr>
      <w:tr w:rsidR="007F40EB" w:rsidRPr="007F40EB" w:rsidTr="00C72D00">
        <w:trPr>
          <w:gridAfter w:val="1"/>
          <w:wAfter w:w="6" w:type="dxa"/>
        </w:trPr>
        <w:tc>
          <w:tcPr>
            <w:tcW w:w="282" w:type="dxa"/>
            <w:tcBorders>
              <w:bottom w:val="nil"/>
            </w:tcBorders>
          </w:tcPr>
          <w:p w:rsidR="005E0C3B" w:rsidRPr="007F40EB" w:rsidRDefault="005E0C3B" w:rsidP="00C72D00">
            <w:pPr>
              <w:jc w:val="center"/>
              <w:rPr>
                <w:b/>
                <w:sz w:val="20"/>
                <w:szCs w:val="20"/>
              </w:rPr>
            </w:pPr>
          </w:p>
        </w:tc>
        <w:tc>
          <w:tcPr>
            <w:tcW w:w="1704" w:type="dxa"/>
            <w:tcBorders>
              <w:bottom w:val="nil"/>
            </w:tcBorders>
          </w:tcPr>
          <w:p w:rsidR="005E0C3B" w:rsidRPr="007F40EB" w:rsidRDefault="005E0C3B" w:rsidP="00C72D00">
            <w:pPr>
              <w:jc w:val="center"/>
              <w:rPr>
                <w:b/>
                <w:sz w:val="20"/>
                <w:szCs w:val="20"/>
              </w:rPr>
            </w:pPr>
          </w:p>
        </w:tc>
        <w:tc>
          <w:tcPr>
            <w:tcW w:w="5971" w:type="dxa"/>
            <w:gridSpan w:val="4"/>
          </w:tcPr>
          <w:p w:rsidR="005E0C3B" w:rsidRPr="007F40EB" w:rsidRDefault="005E0C3B" w:rsidP="00C72D00">
            <w:pPr>
              <w:jc w:val="center"/>
              <w:rPr>
                <w:b/>
                <w:sz w:val="20"/>
                <w:szCs w:val="20"/>
              </w:rPr>
            </w:pPr>
            <w:r w:rsidRPr="007F40EB">
              <w:rPr>
                <w:b/>
                <w:sz w:val="20"/>
                <w:szCs w:val="20"/>
              </w:rPr>
              <w:t>Age-adjusted model</w:t>
            </w:r>
          </w:p>
        </w:tc>
        <w:tc>
          <w:tcPr>
            <w:tcW w:w="283" w:type="dxa"/>
            <w:gridSpan w:val="2"/>
            <w:tcBorders>
              <w:top w:val="nil"/>
              <w:bottom w:val="nil"/>
            </w:tcBorders>
          </w:tcPr>
          <w:p w:rsidR="005E0C3B" w:rsidRPr="007F40EB" w:rsidRDefault="005E0C3B" w:rsidP="00C72D00">
            <w:pPr>
              <w:jc w:val="center"/>
              <w:rPr>
                <w:b/>
                <w:sz w:val="20"/>
                <w:szCs w:val="20"/>
              </w:rPr>
            </w:pPr>
          </w:p>
        </w:tc>
        <w:tc>
          <w:tcPr>
            <w:tcW w:w="6148" w:type="dxa"/>
            <w:gridSpan w:val="5"/>
          </w:tcPr>
          <w:p w:rsidR="005E0C3B" w:rsidRPr="007F40EB" w:rsidRDefault="005E0C3B" w:rsidP="00C72D00">
            <w:pPr>
              <w:jc w:val="center"/>
              <w:rPr>
                <w:b/>
                <w:sz w:val="20"/>
                <w:szCs w:val="20"/>
              </w:rPr>
            </w:pPr>
            <w:r w:rsidRPr="007F40EB">
              <w:rPr>
                <w:b/>
                <w:sz w:val="20"/>
                <w:szCs w:val="20"/>
              </w:rPr>
              <w:t>Fully adjusted model</w:t>
            </w:r>
          </w:p>
        </w:tc>
      </w:tr>
      <w:tr w:rsidR="007F40EB" w:rsidRPr="007F40EB" w:rsidTr="00C72D00">
        <w:trPr>
          <w:gridAfter w:val="1"/>
          <w:wAfter w:w="6" w:type="dxa"/>
        </w:trPr>
        <w:tc>
          <w:tcPr>
            <w:tcW w:w="282" w:type="dxa"/>
            <w:tcBorders>
              <w:top w:val="nil"/>
            </w:tcBorders>
          </w:tcPr>
          <w:p w:rsidR="005E0C3B" w:rsidRPr="007F40EB" w:rsidRDefault="005E0C3B" w:rsidP="00C72D00">
            <w:pPr>
              <w:jc w:val="center"/>
              <w:rPr>
                <w:b/>
                <w:sz w:val="20"/>
                <w:szCs w:val="20"/>
              </w:rPr>
            </w:pPr>
          </w:p>
        </w:tc>
        <w:tc>
          <w:tcPr>
            <w:tcW w:w="1704" w:type="dxa"/>
            <w:tcBorders>
              <w:top w:val="nil"/>
            </w:tcBorders>
          </w:tcPr>
          <w:p w:rsidR="005E0C3B" w:rsidRPr="007F40EB" w:rsidRDefault="005E0C3B" w:rsidP="00C72D00">
            <w:pPr>
              <w:jc w:val="center"/>
              <w:rPr>
                <w:b/>
                <w:sz w:val="20"/>
                <w:szCs w:val="20"/>
              </w:rPr>
            </w:pPr>
          </w:p>
        </w:tc>
        <w:tc>
          <w:tcPr>
            <w:tcW w:w="1559" w:type="dxa"/>
            <w:tcBorders>
              <w:top w:val="nil"/>
            </w:tcBorders>
          </w:tcPr>
          <w:p w:rsidR="005E0C3B" w:rsidRPr="007F40EB" w:rsidRDefault="005E0C3B" w:rsidP="00C72D00">
            <w:pPr>
              <w:jc w:val="center"/>
              <w:rPr>
                <w:b/>
                <w:sz w:val="20"/>
                <w:szCs w:val="20"/>
              </w:rPr>
            </w:pPr>
            <w:r w:rsidRPr="007F40EB">
              <w:rPr>
                <w:b/>
                <w:sz w:val="20"/>
                <w:szCs w:val="20"/>
              </w:rPr>
              <w:t>EM mean (SE) sexually active</w:t>
            </w:r>
          </w:p>
        </w:tc>
        <w:tc>
          <w:tcPr>
            <w:tcW w:w="1771" w:type="dxa"/>
            <w:tcBorders>
              <w:top w:val="nil"/>
            </w:tcBorders>
          </w:tcPr>
          <w:p w:rsidR="005E0C3B" w:rsidRPr="007F40EB" w:rsidRDefault="005E0C3B" w:rsidP="00C72D00">
            <w:pPr>
              <w:jc w:val="center"/>
              <w:rPr>
                <w:b/>
                <w:sz w:val="20"/>
                <w:szCs w:val="20"/>
              </w:rPr>
            </w:pPr>
            <w:r w:rsidRPr="007F40EB">
              <w:rPr>
                <w:b/>
                <w:sz w:val="20"/>
                <w:szCs w:val="20"/>
              </w:rPr>
              <w:t xml:space="preserve">EM mean (SE) </w:t>
            </w:r>
          </w:p>
          <w:p w:rsidR="005E0C3B" w:rsidRPr="007F40EB" w:rsidRDefault="005E0C3B" w:rsidP="00C72D00">
            <w:pPr>
              <w:jc w:val="center"/>
              <w:rPr>
                <w:b/>
                <w:sz w:val="20"/>
                <w:szCs w:val="20"/>
              </w:rPr>
            </w:pPr>
            <w:r w:rsidRPr="007F40EB">
              <w:rPr>
                <w:b/>
                <w:sz w:val="20"/>
                <w:szCs w:val="20"/>
              </w:rPr>
              <w:t>not sexually active</w:t>
            </w:r>
          </w:p>
        </w:tc>
        <w:tc>
          <w:tcPr>
            <w:tcW w:w="1659" w:type="dxa"/>
            <w:tcBorders>
              <w:top w:val="nil"/>
            </w:tcBorders>
          </w:tcPr>
          <w:p w:rsidR="005E0C3B" w:rsidRPr="007F40EB" w:rsidRDefault="005E0C3B" w:rsidP="00C72D00">
            <w:pPr>
              <w:jc w:val="center"/>
              <w:rPr>
                <w:b/>
                <w:sz w:val="20"/>
                <w:szCs w:val="20"/>
              </w:rPr>
            </w:pPr>
            <w:r w:rsidRPr="007F40EB">
              <w:rPr>
                <w:b/>
                <w:sz w:val="20"/>
                <w:szCs w:val="20"/>
              </w:rPr>
              <w:t>Beta [95% CI]</w:t>
            </w:r>
          </w:p>
        </w:tc>
        <w:tc>
          <w:tcPr>
            <w:tcW w:w="992" w:type="dxa"/>
            <w:gridSpan w:val="2"/>
            <w:tcBorders>
              <w:top w:val="nil"/>
            </w:tcBorders>
          </w:tcPr>
          <w:p w:rsidR="005E0C3B" w:rsidRPr="007F40EB" w:rsidRDefault="005E0C3B" w:rsidP="00C72D00">
            <w:pPr>
              <w:jc w:val="center"/>
              <w:rPr>
                <w:b/>
                <w:sz w:val="20"/>
                <w:szCs w:val="20"/>
              </w:rPr>
            </w:pPr>
            <w:r w:rsidRPr="007F40EB">
              <w:rPr>
                <w:b/>
                <w:i/>
                <w:sz w:val="20"/>
                <w:szCs w:val="20"/>
              </w:rPr>
              <w:t>p</w:t>
            </w:r>
          </w:p>
        </w:tc>
        <w:tc>
          <w:tcPr>
            <w:tcW w:w="283" w:type="dxa"/>
            <w:gridSpan w:val="2"/>
            <w:tcBorders>
              <w:top w:val="nil"/>
            </w:tcBorders>
          </w:tcPr>
          <w:p w:rsidR="005E0C3B" w:rsidRPr="007F40EB" w:rsidRDefault="005E0C3B" w:rsidP="00C72D00">
            <w:pPr>
              <w:jc w:val="center"/>
              <w:rPr>
                <w:b/>
                <w:sz w:val="20"/>
                <w:szCs w:val="20"/>
              </w:rPr>
            </w:pPr>
          </w:p>
        </w:tc>
        <w:tc>
          <w:tcPr>
            <w:tcW w:w="1702" w:type="dxa"/>
          </w:tcPr>
          <w:p w:rsidR="005E0C3B" w:rsidRPr="007F40EB" w:rsidRDefault="005E0C3B" w:rsidP="00C72D00">
            <w:pPr>
              <w:jc w:val="center"/>
              <w:rPr>
                <w:b/>
                <w:sz w:val="20"/>
                <w:szCs w:val="20"/>
              </w:rPr>
            </w:pPr>
            <w:r w:rsidRPr="007F40EB">
              <w:rPr>
                <w:b/>
                <w:sz w:val="20"/>
                <w:szCs w:val="20"/>
              </w:rPr>
              <w:t>EM mean (SE) sexually active</w:t>
            </w:r>
          </w:p>
        </w:tc>
        <w:tc>
          <w:tcPr>
            <w:tcW w:w="1884" w:type="dxa"/>
          </w:tcPr>
          <w:p w:rsidR="005E0C3B" w:rsidRPr="007F40EB" w:rsidRDefault="005E0C3B" w:rsidP="00C72D00">
            <w:pPr>
              <w:jc w:val="center"/>
              <w:rPr>
                <w:b/>
                <w:sz w:val="20"/>
                <w:szCs w:val="20"/>
              </w:rPr>
            </w:pPr>
            <w:r w:rsidRPr="007F40EB">
              <w:rPr>
                <w:b/>
                <w:sz w:val="20"/>
                <w:szCs w:val="20"/>
              </w:rPr>
              <w:t xml:space="preserve">EM mean (SE) </w:t>
            </w:r>
          </w:p>
          <w:p w:rsidR="005E0C3B" w:rsidRPr="007F40EB" w:rsidRDefault="005E0C3B" w:rsidP="00C72D00">
            <w:pPr>
              <w:jc w:val="center"/>
              <w:rPr>
                <w:b/>
                <w:i/>
                <w:sz w:val="20"/>
                <w:szCs w:val="20"/>
              </w:rPr>
            </w:pPr>
            <w:r w:rsidRPr="007F40EB">
              <w:rPr>
                <w:b/>
                <w:sz w:val="20"/>
                <w:szCs w:val="20"/>
              </w:rPr>
              <w:t>not sexually active</w:t>
            </w:r>
          </w:p>
        </w:tc>
        <w:tc>
          <w:tcPr>
            <w:tcW w:w="1700" w:type="dxa"/>
          </w:tcPr>
          <w:p w:rsidR="005E0C3B" w:rsidRPr="007F40EB" w:rsidRDefault="005E0C3B" w:rsidP="00C72D00">
            <w:pPr>
              <w:jc w:val="center"/>
              <w:rPr>
                <w:b/>
                <w:i/>
                <w:sz w:val="20"/>
                <w:szCs w:val="20"/>
              </w:rPr>
            </w:pPr>
            <w:r w:rsidRPr="007F40EB">
              <w:rPr>
                <w:b/>
                <w:sz w:val="20"/>
                <w:szCs w:val="20"/>
              </w:rPr>
              <w:t>Beta [95% CI]</w:t>
            </w:r>
          </w:p>
        </w:tc>
        <w:tc>
          <w:tcPr>
            <w:tcW w:w="852" w:type="dxa"/>
          </w:tcPr>
          <w:p w:rsidR="005E0C3B" w:rsidRPr="007F40EB" w:rsidRDefault="005E0C3B" w:rsidP="00C72D00">
            <w:pPr>
              <w:jc w:val="center"/>
              <w:rPr>
                <w:b/>
                <w:i/>
                <w:sz w:val="20"/>
                <w:szCs w:val="20"/>
              </w:rPr>
            </w:pPr>
            <w:r w:rsidRPr="007F40EB">
              <w:rPr>
                <w:b/>
                <w:i/>
                <w:sz w:val="20"/>
                <w:szCs w:val="20"/>
              </w:rPr>
              <w:t>p</w:t>
            </w:r>
          </w:p>
        </w:tc>
      </w:tr>
      <w:tr w:rsidR="007F40EB" w:rsidRPr="007F40EB" w:rsidTr="00C72D00">
        <w:trPr>
          <w:gridAfter w:val="1"/>
          <w:wAfter w:w="6" w:type="dxa"/>
        </w:trPr>
        <w:tc>
          <w:tcPr>
            <w:tcW w:w="1986" w:type="dxa"/>
            <w:gridSpan w:val="2"/>
            <w:tcBorders>
              <w:bottom w:val="nil"/>
            </w:tcBorders>
          </w:tcPr>
          <w:p w:rsidR="005E0C3B" w:rsidRPr="007F40EB" w:rsidRDefault="005E0C3B" w:rsidP="00C72D00">
            <w:pPr>
              <w:rPr>
                <w:sz w:val="20"/>
                <w:szCs w:val="20"/>
              </w:rPr>
            </w:pPr>
            <w:r w:rsidRPr="007F40EB">
              <w:rPr>
                <w:rFonts w:eastAsia="Times New Roman"/>
                <w:sz w:val="20"/>
                <w:shd w:val="clear" w:color="auto" w:fill="FFFFFF"/>
              </w:rPr>
              <w:t>Immediate recall</w:t>
            </w:r>
          </w:p>
        </w:tc>
        <w:tc>
          <w:tcPr>
            <w:tcW w:w="1559" w:type="dxa"/>
            <w:tcBorders>
              <w:bottom w:val="nil"/>
            </w:tcBorders>
          </w:tcPr>
          <w:p w:rsidR="005E0C3B" w:rsidRPr="007F40EB" w:rsidRDefault="005E0C3B" w:rsidP="00C72D00">
            <w:pPr>
              <w:jc w:val="center"/>
              <w:rPr>
                <w:sz w:val="20"/>
                <w:szCs w:val="20"/>
              </w:rPr>
            </w:pPr>
            <w:r w:rsidRPr="007F40EB">
              <w:rPr>
                <w:sz w:val="20"/>
                <w:szCs w:val="20"/>
              </w:rPr>
              <w:t>0.01 (0.03)</w:t>
            </w:r>
          </w:p>
        </w:tc>
        <w:tc>
          <w:tcPr>
            <w:tcW w:w="1771" w:type="dxa"/>
            <w:tcBorders>
              <w:bottom w:val="nil"/>
            </w:tcBorders>
          </w:tcPr>
          <w:p w:rsidR="005E0C3B" w:rsidRPr="007F40EB" w:rsidRDefault="005E0C3B" w:rsidP="00C72D00">
            <w:pPr>
              <w:jc w:val="center"/>
              <w:rPr>
                <w:sz w:val="20"/>
                <w:szCs w:val="20"/>
              </w:rPr>
            </w:pPr>
            <w:r w:rsidRPr="007F40EB">
              <w:rPr>
                <w:sz w:val="20"/>
                <w:szCs w:val="20"/>
              </w:rPr>
              <w:t>-0.02 (0.03)</w:t>
            </w:r>
          </w:p>
        </w:tc>
        <w:tc>
          <w:tcPr>
            <w:tcW w:w="1659" w:type="dxa"/>
            <w:tcBorders>
              <w:bottom w:val="nil"/>
            </w:tcBorders>
          </w:tcPr>
          <w:p w:rsidR="005E0C3B" w:rsidRPr="007F40EB" w:rsidRDefault="005E0C3B" w:rsidP="00C72D00">
            <w:pPr>
              <w:jc w:val="center"/>
              <w:rPr>
                <w:sz w:val="20"/>
                <w:szCs w:val="20"/>
              </w:rPr>
            </w:pPr>
            <w:r w:rsidRPr="007F40EB">
              <w:rPr>
                <w:sz w:val="20"/>
                <w:szCs w:val="20"/>
              </w:rPr>
              <w:t>0.04 [-0.04; 0.12]</w:t>
            </w:r>
          </w:p>
        </w:tc>
        <w:tc>
          <w:tcPr>
            <w:tcW w:w="992" w:type="dxa"/>
            <w:gridSpan w:val="2"/>
            <w:tcBorders>
              <w:bottom w:val="nil"/>
            </w:tcBorders>
          </w:tcPr>
          <w:p w:rsidR="005E0C3B" w:rsidRPr="007F40EB" w:rsidRDefault="005E0C3B" w:rsidP="00C72D00">
            <w:pPr>
              <w:jc w:val="center"/>
              <w:rPr>
                <w:sz w:val="20"/>
                <w:szCs w:val="20"/>
              </w:rPr>
            </w:pPr>
            <w:r w:rsidRPr="007F40EB">
              <w:rPr>
                <w:sz w:val="20"/>
                <w:szCs w:val="20"/>
              </w:rPr>
              <w:t>0.394</w:t>
            </w:r>
          </w:p>
        </w:tc>
        <w:tc>
          <w:tcPr>
            <w:tcW w:w="283" w:type="dxa"/>
            <w:gridSpan w:val="2"/>
            <w:tcBorders>
              <w:bottom w:val="nil"/>
            </w:tcBorders>
          </w:tcPr>
          <w:p w:rsidR="005E0C3B" w:rsidRPr="007F40EB" w:rsidRDefault="005E0C3B" w:rsidP="00C72D00">
            <w:pPr>
              <w:jc w:val="center"/>
              <w:rPr>
                <w:sz w:val="20"/>
                <w:szCs w:val="20"/>
              </w:rPr>
            </w:pPr>
          </w:p>
        </w:tc>
        <w:tc>
          <w:tcPr>
            <w:tcW w:w="1702" w:type="dxa"/>
            <w:tcBorders>
              <w:bottom w:val="nil"/>
            </w:tcBorders>
          </w:tcPr>
          <w:p w:rsidR="005E0C3B" w:rsidRPr="007F40EB" w:rsidRDefault="005E0C3B" w:rsidP="00C72D00">
            <w:pPr>
              <w:jc w:val="center"/>
              <w:rPr>
                <w:sz w:val="20"/>
                <w:szCs w:val="20"/>
              </w:rPr>
            </w:pPr>
            <w:r w:rsidRPr="007F40EB">
              <w:rPr>
                <w:sz w:val="20"/>
                <w:szCs w:val="20"/>
              </w:rPr>
              <w:t>-0.03 (0.03)</w:t>
            </w:r>
          </w:p>
        </w:tc>
        <w:tc>
          <w:tcPr>
            <w:tcW w:w="1884" w:type="dxa"/>
            <w:tcBorders>
              <w:bottom w:val="nil"/>
            </w:tcBorders>
          </w:tcPr>
          <w:p w:rsidR="005E0C3B" w:rsidRPr="007F40EB" w:rsidRDefault="005E0C3B" w:rsidP="00C72D00">
            <w:pPr>
              <w:jc w:val="center"/>
              <w:rPr>
                <w:sz w:val="20"/>
                <w:szCs w:val="20"/>
              </w:rPr>
            </w:pPr>
            <w:r w:rsidRPr="007F40EB">
              <w:rPr>
                <w:sz w:val="20"/>
                <w:szCs w:val="20"/>
              </w:rPr>
              <w:t>0.03 (0.03)</w:t>
            </w:r>
          </w:p>
        </w:tc>
        <w:tc>
          <w:tcPr>
            <w:tcW w:w="1700" w:type="dxa"/>
            <w:tcBorders>
              <w:bottom w:val="nil"/>
            </w:tcBorders>
          </w:tcPr>
          <w:p w:rsidR="005E0C3B" w:rsidRPr="007F40EB" w:rsidRDefault="005E0C3B" w:rsidP="00C72D00">
            <w:pPr>
              <w:jc w:val="center"/>
              <w:rPr>
                <w:sz w:val="20"/>
                <w:szCs w:val="20"/>
              </w:rPr>
            </w:pPr>
            <w:r w:rsidRPr="007F40EB">
              <w:rPr>
                <w:sz w:val="20"/>
                <w:szCs w:val="20"/>
              </w:rPr>
              <w:t>-0.06 [-0.15; 0.03]</w:t>
            </w:r>
          </w:p>
        </w:tc>
        <w:tc>
          <w:tcPr>
            <w:tcW w:w="852" w:type="dxa"/>
            <w:tcBorders>
              <w:bottom w:val="nil"/>
            </w:tcBorders>
          </w:tcPr>
          <w:p w:rsidR="005E0C3B" w:rsidRPr="007F40EB" w:rsidRDefault="005E0C3B" w:rsidP="00C72D00">
            <w:pPr>
              <w:jc w:val="center"/>
              <w:rPr>
                <w:sz w:val="20"/>
                <w:szCs w:val="20"/>
              </w:rPr>
            </w:pPr>
            <w:r w:rsidRPr="007F40EB">
              <w:rPr>
                <w:sz w:val="20"/>
                <w:szCs w:val="20"/>
              </w:rPr>
              <w:t>0.177</w:t>
            </w:r>
          </w:p>
        </w:tc>
      </w:tr>
      <w:tr w:rsidR="007F40EB" w:rsidRPr="007F40EB" w:rsidTr="00C72D00">
        <w:trPr>
          <w:gridAfter w:val="1"/>
          <w:wAfter w:w="6" w:type="dxa"/>
        </w:trPr>
        <w:tc>
          <w:tcPr>
            <w:tcW w:w="1986" w:type="dxa"/>
            <w:gridSpan w:val="2"/>
            <w:tcBorders>
              <w:bottom w:val="nil"/>
            </w:tcBorders>
          </w:tcPr>
          <w:p w:rsidR="005E0C3B" w:rsidRPr="007F40EB" w:rsidRDefault="005E0C3B" w:rsidP="00C72D00">
            <w:pPr>
              <w:rPr>
                <w:sz w:val="20"/>
                <w:szCs w:val="20"/>
              </w:rPr>
            </w:pPr>
            <w:r w:rsidRPr="007F40EB">
              <w:rPr>
                <w:rFonts w:eastAsia="Times New Roman"/>
                <w:sz w:val="20"/>
                <w:shd w:val="clear" w:color="auto" w:fill="FFFFFF"/>
              </w:rPr>
              <w:t>Delayed recall</w:t>
            </w:r>
          </w:p>
        </w:tc>
        <w:tc>
          <w:tcPr>
            <w:tcW w:w="1559" w:type="dxa"/>
            <w:tcBorders>
              <w:bottom w:val="nil"/>
            </w:tcBorders>
          </w:tcPr>
          <w:p w:rsidR="005E0C3B" w:rsidRPr="007F40EB" w:rsidRDefault="005E0C3B" w:rsidP="00C72D00">
            <w:pPr>
              <w:jc w:val="center"/>
              <w:rPr>
                <w:sz w:val="20"/>
                <w:szCs w:val="20"/>
              </w:rPr>
            </w:pPr>
            <w:r w:rsidRPr="007F40EB">
              <w:rPr>
                <w:sz w:val="20"/>
                <w:szCs w:val="20"/>
              </w:rPr>
              <w:t>0.05 (0.03)</w:t>
            </w:r>
          </w:p>
        </w:tc>
        <w:tc>
          <w:tcPr>
            <w:tcW w:w="1771" w:type="dxa"/>
            <w:tcBorders>
              <w:bottom w:val="nil"/>
            </w:tcBorders>
          </w:tcPr>
          <w:p w:rsidR="005E0C3B" w:rsidRPr="007F40EB" w:rsidRDefault="005E0C3B" w:rsidP="00C72D00">
            <w:pPr>
              <w:jc w:val="center"/>
              <w:rPr>
                <w:sz w:val="20"/>
                <w:szCs w:val="20"/>
              </w:rPr>
            </w:pPr>
            <w:r w:rsidRPr="007F40EB">
              <w:rPr>
                <w:sz w:val="20"/>
                <w:szCs w:val="20"/>
              </w:rPr>
              <w:t>-0.01 (0.03)</w:t>
            </w:r>
          </w:p>
        </w:tc>
        <w:tc>
          <w:tcPr>
            <w:tcW w:w="1659" w:type="dxa"/>
            <w:tcBorders>
              <w:bottom w:val="nil"/>
            </w:tcBorders>
          </w:tcPr>
          <w:p w:rsidR="005E0C3B" w:rsidRPr="007F40EB" w:rsidRDefault="005E0C3B" w:rsidP="00C72D00">
            <w:pPr>
              <w:jc w:val="center"/>
              <w:rPr>
                <w:sz w:val="20"/>
                <w:szCs w:val="20"/>
              </w:rPr>
            </w:pPr>
            <w:r w:rsidRPr="007F40EB">
              <w:rPr>
                <w:sz w:val="20"/>
                <w:szCs w:val="20"/>
              </w:rPr>
              <w:t>0.06 [-0.03; 0.14]</w:t>
            </w:r>
          </w:p>
        </w:tc>
        <w:tc>
          <w:tcPr>
            <w:tcW w:w="992" w:type="dxa"/>
            <w:gridSpan w:val="2"/>
            <w:tcBorders>
              <w:bottom w:val="nil"/>
            </w:tcBorders>
          </w:tcPr>
          <w:p w:rsidR="005E0C3B" w:rsidRPr="007F40EB" w:rsidRDefault="005E0C3B" w:rsidP="00C72D00">
            <w:pPr>
              <w:jc w:val="center"/>
              <w:rPr>
                <w:sz w:val="20"/>
                <w:szCs w:val="20"/>
              </w:rPr>
            </w:pPr>
            <w:r w:rsidRPr="007F40EB">
              <w:rPr>
                <w:sz w:val="20"/>
                <w:szCs w:val="20"/>
              </w:rPr>
              <w:t>0.176</w:t>
            </w:r>
          </w:p>
        </w:tc>
        <w:tc>
          <w:tcPr>
            <w:tcW w:w="283" w:type="dxa"/>
            <w:gridSpan w:val="2"/>
            <w:tcBorders>
              <w:bottom w:val="nil"/>
            </w:tcBorders>
          </w:tcPr>
          <w:p w:rsidR="005E0C3B" w:rsidRPr="007F40EB" w:rsidRDefault="005E0C3B" w:rsidP="00C72D00">
            <w:pPr>
              <w:jc w:val="center"/>
              <w:rPr>
                <w:sz w:val="20"/>
                <w:szCs w:val="20"/>
              </w:rPr>
            </w:pPr>
          </w:p>
        </w:tc>
        <w:tc>
          <w:tcPr>
            <w:tcW w:w="1702" w:type="dxa"/>
            <w:tcBorders>
              <w:bottom w:val="nil"/>
            </w:tcBorders>
          </w:tcPr>
          <w:p w:rsidR="005E0C3B" w:rsidRPr="007F40EB" w:rsidRDefault="005E0C3B" w:rsidP="00C72D00">
            <w:pPr>
              <w:jc w:val="center"/>
              <w:rPr>
                <w:sz w:val="20"/>
                <w:szCs w:val="20"/>
              </w:rPr>
            </w:pPr>
            <w:r w:rsidRPr="007F40EB">
              <w:rPr>
                <w:sz w:val="20"/>
                <w:szCs w:val="20"/>
              </w:rPr>
              <w:t>-0.01 (0.03)</w:t>
            </w:r>
          </w:p>
        </w:tc>
        <w:tc>
          <w:tcPr>
            <w:tcW w:w="1884" w:type="dxa"/>
            <w:tcBorders>
              <w:bottom w:val="nil"/>
            </w:tcBorders>
          </w:tcPr>
          <w:p w:rsidR="005E0C3B" w:rsidRPr="007F40EB" w:rsidRDefault="005E0C3B" w:rsidP="00C72D00">
            <w:pPr>
              <w:jc w:val="center"/>
              <w:rPr>
                <w:sz w:val="20"/>
                <w:szCs w:val="20"/>
              </w:rPr>
            </w:pPr>
            <w:r w:rsidRPr="007F40EB">
              <w:rPr>
                <w:sz w:val="20"/>
                <w:szCs w:val="20"/>
              </w:rPr>
              <w:t>0.07 (0.03)</w:t>
            </w:r>
          </w:p>
        </w:tc>
        <w:tc>
          <w:tcPr>
            <w:tcW w:w="1700" w:type="dxa"/>
            <w:tcBorders>
              <w:bottom w:val="nil"/>
            </w:tcBorders>
          </w:tcPr>
          <w:p w:rsidR="005E0C3B" w:rsidRPr="007F40EB" w:rsidRDefault="005E0C3B" w:rsidP="00C72D00">
            <w:pPr>
              <w:jc w:val="center"/>
              <w:rPr>
                <w:sz w:val="20"/>
                <w:szCs w:val="20"/>
              </w:rPr>
            </w:pPr>
            <w:r w:rsidRPr="007F40EB">
              <w:rPr>
                <w:sz w:val="20"/>
                <w:szCs w:val="20"/>
              </w:rPr>
              <w:t>-0.07 [-0.16; 0.02]</w:t>
            </w:r>
          </w:p>
        </w:tc>
        <w:tc>
          <w:tcPr>
            <w:tcW w:w="852" w:type="dxa"/>
            <w:tcBorders>
              <w:bottom w:val="nil"/>
            </w:tcBorders>
          </w:tcPr>
          <w:p w:rsidR="005E0C3B" w:rsidRPr="007F40EB" w:rsidRDefault="005E0C3B" w:rsidP="00C72D00">
            <w:pPr>
              <w:jc w:val="center"/>
              <w:rPr>
                <w:sz w:val="20"/>
                <w:szCs w:val="20"/>
              </w:rPr>
            </w:pPr>
            <w:r w:rsidRPr="007F40EB">
              <w:rPr>
                <w:sz w:val="20"/>
                <w:szCs w:val="20"/>
              </w:rPr>
              <w:t>0.104</w:t>
            </w:r>
          </w:p>
        </w:tc>
      </w:tr>
      <w:tr w:rsidR="007F40EB" w:rsidRPr="007F40EB" w:rsidTr="00C72D00">
        <w:tc>
          <w:tcPr>
            <w:tcW w:w="14394" w:type="dxa"/>
            <w:gridSpan w:val="14"/>
            <w:tcBorders>
              <w:top w:val="single" w:sz="4" w:space="0" w:color="auto"/>
              <w:bottom w:val="nil"/>
            </w:tcBorders>
          </w:tcPr>
          <w:p w:rsidR="005E0C3B" w:rsidRPr="007F40EB" w:rsidRDefault="005E0C3B" w:rsidP="00C72D00">
            <w:pPr>
              <w:rPr>
                <w:rFonts w:cs="Arial"/>
                <w:sz w:val="20"/>
                <w:szCs w:val="20"/>
                <w:lang w:val="en-US"/>
              </w:rPr>
            </w:pPr>
            <w:r w:rsidRPr="007F40EB">
              <w:rPr>
                <w:rFonts w:cs="Arial"/>
                <w:sz w:val="20"/>
                <w:szCs w:val="20"/>
                <w:lang w:val="en-US"/>
              </w:rPr>
              <w:t>In both models, those who reported no sexual activity in the last year were taken as the reference group.</w:t>
            </w:r>
          </w:p>
          <w:p w:rsidR="005E0C3B" w:rsidRPr="007F40EB" w:rsidRDefault="005E0C3B" w:rsidP="00C72D00">
            <w:pPr>
              <w:rPr>
                <w:rFonts w:cs="Arial"/>
                <w:sz w:val="20"/>
                <w:szCs w:val="20"/>
                <w:lang w:val="en-US"/>
              </w:rPr>
            </w:pPr>
            <w:r w:rsidRPr="007F40EB">
              <w:rPr>
                <w:rFonts w:cs="Arial"/>
                <w:sz w:val="20"/>
                <w:szCs w:val="20"/>
                <w:lang w:val="en-US"/>
              </w:rPr>
              <w:t>The age adjusted model is adjusted for age and recall at baseline.</w:t>
            </w:r>
          </w:p>
          <w:p w:rsidR="005E0C3B" w:rsidRPr="007F40EB" w:rsidRDefault="005E0C3B" w:rsidP="00C72D00">
            <w:pPr>
              <w:rPr>
                <w:rFonts w:cs="Arial"/>
                <w:sz w:val="20"/>
                <w:szCs w:val="20"/>
                <w:lang w:val="en-US"/>
              </w:rPr>
            </w:pPr>
            <w:r w:rsidRPr="007F40EB">
              <w:rPr>
                <w:rFonts w:cs="Arial"/>
                <w:sz w:val="20"/>
                <w:szCs w:val="20"/>
                <w:lang w:val="en-US"/>
              </w:rPr>
              <w:t>The fully adjusted model is adjusted for age, recall at baseline, partner status, ethnicity, education, wealth, cardiovascular disease, diabetes, limiting long-standing illness, smoking status, physical activity, depressive symptoms, activities of daily living and instrumental activities of daily living.</w:t>
            </w:r>
          </w:p>
          <w:p w:rsidR="005E0C3B" w:rsidRPr="007F40EB" w:rsidRDefault="005E0C3B" w:rsidP="00C72D00">
            <w:pPr>
              <w:rPr>
                <w:rFonts w:cs="Arial"/>
                <w:sz w:val="20"/>
                <w:szCs w:val="20"/>
                <w:lang w:val="en-US"/>
              </w:rPr>
            </w:pPr>
            <w:r w:rsidRPr="007F40EB">
              <w:rPr>
                <w:rFonts w:cs="Arial"/>
                <w:sz w:val="20"/>
                <w:szCs w:val="20"/>
                <w:lang w:val="en-US"/>
              </w:rPr>
              <w:t>All figures are weighted for sampling probabilities and differential non-response.</w:t>
            </w:r>
          </w:p>
          <w:p w:rsidR="005E0C3B" w:rsidRPr="007F40EB" w:rsidRDefault="005E0C3B" w:rsidP="00C72D00">
            <w:pPr>
              <w:rPr>
                <w:rFonts w:cs="Arial"/>
                <w:sz w:val="20"/>
                <w:szCs w:val="20"/>
                <w:lang w:val="en-US"/>
              </w:rPr>
            </w:pPr>
            <w:r w:rsidRPr="007F40EB">
              <w:rPr>
                <w:rFonts w:cs="Arial"/>
                <w:sz w:val="20"/>
                <w:szCs w:val="20"/>
                <w:lang w:val="en-US"/>
              </w:rPr>
              <w:t>CI = confidence interval.</w:t>
            </w:r>
            <w:r w:rsidR="006652ED" w:rsidRPr="007F40EB">
              <w:t xml:space="preserve"> </w:t>
            </w:r>
            <w:r w:rsidR="006652ED" w:rsidRPr="007F40EB">
              <w:rPr>
                <w:rFonts w:cs="Arial"/>
                <w:sz w:val="20"/>
                <w:szCs w:val="20"/>
                <w:lang w:val="en-US"/>
              </w:rPr>
              <w:t>EM = estimated marginal. SE = standard error.</w:t>
            </w:r>
          </w:p>
          <w:p w:rsidR="005E0C3B" w:rsidRPr="007F40EB" w:rsidRDefault="005E0C3B" w:rsidP="00C72D00">
            <w:pPr>
              <w:rPr>
                <w:rFonts w:cs="Arial"/>
                <w:sz w:val="20"/>
                <w:szCs w:val="20"/>
                <w:lang w:val="en-US"/>
              </w:rPr>
            </w:pPr>
          </w:p>
        </w:tc>
      </w:tr>
    </w:tbl>
    <w:p w:rsidR="0082500B" w:rsidRPr="007F40EB" w:rsidRDefault="0082500B" w:rsidP="000A6265">
      <w:pPr>
        <w:pStyle w:val="Body"/>
        <w:rPr>
          <w:color w:val="auto"/>
        </w:rPr>
      </w:pPr>
      <w:bookmarkStart w:id="6" w:name="_GoBack"/>
      <w:bookmarkEnd w:id="6"/>
    </w:p>
    <w:sectPr w:rsidR="0082500B" w:rsidRPr="007F40EB" w:rsidSect="000251F5">
      <w:headerReference w:type="default" r:id="rId12"/>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15" w:rsidRDefault="00545C15">
      <w:r>
        <w:separator/>
      </w:r>
    </w:p>
  </w:endnote>
  <w:endnote w:type="continuationSeparator" w:id="0">
    <w:p w:rsidR="00545C15" w:rsidRDefault="0054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dvOT596495f2+fb">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15" w:rsidRDefault="00545C15">
      <w:r>
        <w:separator/>
      </w:r>
    </w:p>
  </w:footnote>
  <w:footnote w:type="continuationSeparator" w:id="0">
    <w:p w:rsidR="00545C15" w:rsidRDefault="0054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84647"/>
      <w:docPartObj>
        <w:docPartGallery w:val="Page Numbers (Top of Page)"/>
        <w:docPartUnique/>
      </w:docPartObj>
    </w:sdtPr>
    <w:sdtEndPr>
      <w:rPr>
        <w:noProof/>
      </w:rPr>
    </w:sdtEndPr>
    <w:sdtContent>
      <w:p w:rsidR="007F40EB" w:rsidRDefault="007F40EB">
        <w:pPr>
          <w:pStyle w:val="Head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7F40EB" w:rsidRDefault="007F4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EB" w:rsidRDefault="007F40E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trien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4739&lt;/item&gt;&lt;item&gt;4741&lt;/item&gt;&lt;item&gt;4742&lt;/item&gt;&lt;/record-ids&gt;&lt;/item&gt;&lt;/Libraries&gt;"/>
  </w:docVars>
  <w:rsids>
    <w:rsidRoot w:val="0082500B"/>
    <w:rsid w:val="00000400"/>
    <w:rsid w:val="00003A5A"/>
    <w:rsid w:val="00016BAE"/>
    <w:rsid w:val="000251F5"/>
    <w:rsid w:val="00045E68"/>
    <w:rsid w:val="00064512"/>
    <w:rsid w:val="00072AE2"/>
    <w:rsid w:val="000816E0"/>
    <w:rsid w:val="00090D2C"/>
    <w:rsid w:val="0009528E"/>
    <w:rsid w:val="00097950"/>
    <w:rsid w:val="000A3F54"/>
    <w:rsid w:val="000A41A8"/>
    <w:rsid w:val="000A6265"/>
    <w:rsid w:val="000E4A6B"/>
    <w:rsid w:val="000F0C3B"/>
    <w:rsid w:val="000F51A8"/>
    <w:rsid w:val="000F523F"/>
    <w:rsid w:val="000F6F87"/>
    <w:rsid w:val="00122211"/>
    <w:rsid w:val="00122EDE"/>
    <w:rsid w:val="00123EBD"/>
    <w:rsid w:val="00130BBB"/>
    <w:rsid w:val="001368E4"/>
    <w:rsid w:val="001410CC"/>
    <w:rsid w:val="00151E45"/>
    <w:rsid w:val="00155AB8"/>
    <w:rsid w:val="001670B7"/>
    <w:rsid w:val="00173E0D"/>
    <w:rsid w:val="001755EC"/>
    <w:rsid w:val="001923E8"/>
    <w:rsid w:val="00194671"/>
    <w:rsid w:val="00197CC9"/>
    <w:rsid w:val="001A43B5"/>
    <w:rsid w:val="001B0E75"/>
    <w:rsid w:val="001B441C"/>
    <w:rsid w:val="001C3565"/>
    <w:rsid w:val="001C7DA1"/>
    <w:rsid w:val="001D1A17"/>
    <w:rsid w:val="001E1D92"/>
    <w:rsid w:val="00230799"/>
    <w:rsid w:val="00242592"/>
    <w:rsid w:val="002431F2"/>
    <w:rsid w:val="002536C4"/>
    <w:rsid w:val="00283CE8"/>
    <w:rsid w:val="00286118"/>
    <w:rsid w:val="00291B69"/>
    <w:rsid w:val="002A0922"/>
    <w:rsid w:val="002A3049"/>
    <w:rsid w:val="002B22A8"/>
    <w:rsid w:val="002B2E20"/>
    <w:rsid w:val="002D4CFE"/>
    <w:rsid w:val="002D4FD3"/>
    <w:rsid w:val="002E639F"/>
    <w:rsid w:val="002F0E57"/>
    <w:rsid w:val="002F3314"/>
    <w:rsid w:val="002F3745"/>
    <w:rsid w:val="003076C8"/>
    <w:rsid w:val="00313096"/>
    <w:rsid w:val="0032361E"/>
    <w:rsid w:val="00336ACC"/>
    <w:rsid w:val="00381EF9"/>
    <w:rsid w:val="003820A3"/>
    <w:rsid w:val="00390D67"/>
    <w:rsid w:val="00395691"/>
    <w:rsid w:val="003959BA"/>
    <w:rsid w:val="003A0185"/>
    <w:rsid w:val="003A2945"/>
    <w:rsid w:val="003C1EBF"/>
    <w:rsid w:val="003C3B24"/>
    <w:rsid w:val="003D0A30"/>
    <w:rsid w:val="003E6D92"/>
    <w:rsid w:val="00421028"/>
    <w:rsid w:val="00422C9F"/>
    <w:rsid w:val="0042349E"/>
    <w:rsid w:val="00457DC0"/>
    <w:rsid w:val="004639B6"/>
    <w:rsid w:val="00474323"/>
    <w:rsid w:val="00486A1F"/>
    <w:rsid w:val="004904E2"/>
    <w:rsid w:val="004A24D0"/>
    <w:rsid w:val="004A417F"/>
    <w:rsid w:val="004C3246"/>
    <w:rsid w:val="004C3A75"/>
    <w:rsid w:val="004C7E6D"/>
    <w:rsid w:val="004D25EE"/>
    <w:rsid w:val="004D7F26"/>
    <w:rsid w:val="004E05B6"/>
    <w:rsid w:val="004E12CB"/>
    <w:rsid w:val="004E38FE"/>
    <w:rsid w:val="004E78EA"/>
    <w:rsid w:val="004F4A60"/>
    <w:rsid w:val="004F6E18"/>
    <w:rsid w:val="00525A95"/>
    <w:rsid w:val="00540A7D"/>
    <w:rsid w:val="005416EB"/>
    <w:rsid w:val="005437BA"/>
    <w:rsid w:val="00545C15"/>
    <w:rsid w:val="00550EB7"/>
    <w:rsid w:val="005521B7"/>
    <w:rsid w:val="00555CEB"/>
    <w:rsid w:val="00587AD7"/>
    <w:rsid w:val="0059028D"/>
    <w:rsid w:val="0059397D"/>
    <w:rsid w:val="005E05BF"/>
    <w:rsid w:val="005E0C3B"/>
    <w:rsid w:val="005E2164"/>
    <w:rsid w:val="0060086C"/>
    <w:rsid w:val="00600ADD"/>
    <w:rsid w:val="0061237A"/>
    <w:rsid w:val="00634097"/>
    <w:rsid w:val="006522E4"/>
    <w:rsid w:val="006652ED"/>
    <w:rsid w:val="00666485"/>
    <w:rsid w:val="00667904"/>
    <w:rsid w:val="006811D3"/>
    <w:rsid w:val="006819F9"/>
    <w:rsid w:val="00684CC9"/>
    <w:rsid w:val="006863F3"/>
    <w:rsid w:val="00687A0C"/>
    <w:rsid w:val="00697CBA"/>
    <w:rsid w:val="006A34E7"/>
    <w:rsid w:val="006B721B"/>
    <w:rsid w:val="006C0D9E"/>
    <w:rsid w:val="006C27AE"/>
    <w:rsid w:val="006D2567"/>
    <w:rsid w:val="006E0711"/>
    <w:rsid w:val="006E1C04"/>
    <w:rsid w:val="006E3BDC"/>
    <w:rsid w:val="006F51C8"/>
    <w:rsid w:val="00707498"/>
    <w:rsid w:val="007310D6"/>
    <w:rsid w:val="00731A30"/>
    <w:rsid w:val="00743AA6"/>
    <w:rsid w:val="00761F6F"/>
    <w:rsid w:val="00763E93"/>
    <w:rsid w:val="00765B5A"/>
    <w:rsid w:val="007824CF"/>
    <w:rsid w:val="0079027E"/>
    <w:rsid w:val="0079264E"/>
    <w:rsid w:val="00795A5C"/>
    <w:rsid w:val="007961C6"/>
    <w:rsid w:val="007A500D"/>
    <w:rsid w:val="007A6ACA"/>
    <w:rsid w:val="007B5394"/>
    <w:rsid w:val="007E10E1"/>
    <w:rsid w:val="007E4C24"/>
    <w:rsid w:val="007F09B8"/>
    <w:rsid w:val="007F2B81"/>
    <w:rsid w:val="007F3F47"/>
    <w:rsid w:val="007F40EB"/>
    <w:rsid w:val="0082243A"/>
    <w:rsid w:val="0082500B"/>
    <w:rsid w:val="00831261"/>
    <w:rsid w:val="00842431"/>
    <w:rsid w:val="00844439"/>
    <w:rsid w:val="008475F4"/>
    <w:rsid w:val="0085023A"/>
    <w:rsid w:val="008569EA"/>
    <w:rsid w:val="00856B1E"/>
    <w:rsid w:val="00863DA1"/>
    <w:rsid w:val="00867830"/>
    <w:rsid w:val="0087440D"/>
    <w:rsid w:val="00892F65"/>
    <w:rsid w:val="00897888"/>
    <w:rsid w:val="008A0D3E"/>
    <w:rsid w:val="008A2195"/>
    <w:rsid w:val="008D1A5A"/>
    <w:rsid w:val="008E04B9"/>
    <w:rsid w:val="008E32E0"/>
    <w:rsid w:val="008E635E"/>
    <w:rsid w:val="008F1C45"/>
    <w:rsid w:val="008F2778"/>
    <w:rsid w:val="00901056"/>
    <w:rsid w:val="009027C4"/>
    <w:rsid w:val="00903852"/>
    <w:rsid w:val="00913D0C"/>
    <w:rsid w:val="00944C94"/>
    <w:rsid w:val="0096793F"/>
    <w:rsid w:val="00995161"/>
    <w:rsid w:val="009A6AAB"/>
    <w:rsid w:val="009B39AE"/>
    <w:rsid w:val="009C48B1"/>
    <w:rsid w:val="009C75A1"/>
    <w:rsid w:val="009E34A9"/>
    <w:rsid w:val="009F05AC"/>
    <w:rsid w:val="009F6C67"/>
    <w:rsid w:val="009F7443"/>
    <w:rsid w:val="00A029C3"/>
    <w:rsid w:val="00A2116A"/>
    <w:rsid w:val="00A23F95"/>
    <w:rsid w:val="00A77082"/>
    <w:rsid w:val="00A863F3"/>
    <w:rsid w:val="00A958BC"/>
    <w:rsid w:val="00A9592B"/>
    <w:rsid w:val="00AA2A7F"/>
    <w:rsid w:val="00AA5BBF"/>
    <w:rsid w:val="00AA6AC5"/>
    <w:rsid w:val="00AE3227"/>
    <w:rsid w:val="00AF59E3"/>
    <w:rsid w:val="00B07B78"/>
    <w:rsid w:val="00B174EF"/>
    <w:rsid w:val="00B446FB"/>
    <w:rsid w:val="00B47323"/>
    <w:rsid w:val="00B54704"/>
    <w:rsid w:val="00B65441"/>
    <w:rsid w:val="00B73694"/>
    <w:rsid w:val="00B8461C"/>
    <w:rsid w:val="00B8736D"/>
    <w:rsid w:val="00B90ADE"/>
    <w:rsid w:val="00B914B5"/>
    <w:rsid w:val="00B93487"/>
    <w:rsid w:val="00BB34F3"/>
    <w:rsid w:val="00BB5919"/>
    <w:rsid w:val="00BE4AA7"/>
    <w:rsid w:val="00BE4FC1"/>
    <w:rsid w:val="00C02377"/>
    <w:rsid w:val="00C12CFD"/>
    <w:rsid w:val="00C25647"/>
    <w:rsid w:val="00C30223"/>
    <w:rsid w:val="00C333C0"/>
    <w:rsid w:val="00C339C3"/>
    <w:rsid w:val="00C425EC"/>
    <w:rsid w:val="00C42609"/>
    <w:rsid w:val="00C43392"/>
    <w:rsid w:val="00C53E6D"/>
    <w:rsid w:val="00C728FA"/>
    <w:rsid w:val="00C72D00"/>
    <w:rsid w:val="00C72E33"/>
    <w:rsid w:val="00C852C6"/>
    <w:rsid w:val="00CA4494"/>
    <w:rsid w:val="00CB0002"/>
    <w:rsid w:val="00CC3DA1"/>
    <w:rsid w:val="00CC4B18"/>
    <w:rsid w:val="00CC783A"/>
    <w:rsid w:val="00CD20DE"/>
    <w:rsid w:val="00CE54E2"/>
    <w:rsid w:val="00CF07A0"/>
    <w:rsid w:val="00CF2989"/>
    <w:rsid w:val="00CF63E7"/>
    <w:rsid w:val="00D00325"/>
    <w:rsid w:val="00D03AEC"/>
    <w:rsid w:val="00D16311"/>
    <w:rsid w:val="00D7501C"/>
    <w:rsid w:val="00D8670B"/>
    <w:rsid w:val="00DC1527"/>
    <w:rsid w:val="00DC26EF"/>
    <w:rsid w:val="00E0668F"/>
    <w:rsid w:val="00E2312F"/>
    <w:rsid w:val="00E3500C"/>
    <w:rsid w:val="00E42544"/>
    <w:rsid w:val="00E45CA9"/>
    <w:rsid w:val="00E53C17"/>
    <w:rsid w:val="00E54E35"/>
    <w:rsid w:val="00E563AD"/>
    <w:rsid w:val="00E90982"/>
    <w:rsid w:val="00E967A1"/>
    <w:rsid w:val="00EA4987"/>
    <w:rsid w:val="00EB0324"/>
    <w:rsid w:val="00EB0D91"/>
    <w:rsid w:val="00EB420B"/>
    <w:rsid w:val="00ED13A9"/>
    <w:rsid w:val="00ED380F"/>
    <w:rsid w:val="00EE76AC"/>
    <w:rsid w:val="00F00F36"/>
    <w:rsid w:val="00F057A5"/>
    <w:rsid w:val="00F15253"/>
    <w:rsid w:val="00F226B3"/>
    <w:rsid w:val="00F23166"/>
    <w:rsid w:val="00F260C6"/>
    <w:rsid w:val="00F26680"/>
    <w:rsid w:val="00F36E9F"/>
    <w:rsid w:val="00F47980"/>
    <w:rsid w:val="00F75BCF"/>
    <w:rsid w:val="00F83547"/>
    <w:rsid w:val="00F91DFD"/>
    <w:rsid w:val="00F93747"/>
    <w:rsid w:val="00F97393"/>
    <w:rsid w:val="00FB5A07"/>
    <w:rsid w:val="00FC5C10"/>
    <w:rsid w:val="00FC5F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25AF0-3A50-4FDD-AD08-1B3E273C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528E"/>
    <w:rPr>
      <w:sz w:val="24"/>
      <w:szCs w:val="24"/>
      <w:lang w:eastAsia="en-US"/>
    </w:rPr>
  </w:style>
  <w:style w:type="paragraph" w:styleId="Heading2">
    <w:name w:val="heading 2"/>
    <w:next w:val="Body"/>
    <w:rsid w:val="0009528E"/>
    <w:pPr>
      <w:spacing w:after="240" w:line="360" w:lineRule="auto"/>
      <w:outlineLvl w:val="1"/>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8E"/>
    <w:rPr>
      <w:u w:val="single"/>
    </w:rPr>
  </w:style>
  <w:style w:type="paragraph" w:customStyle="1" w:styleId="HeaderFooter">
    <w:name w:val="Header &amp; Footer"/>
    <w:rsid w:val="0009528E"/>
    <w:pPr>
      <w:tabs>
        <w:tab w:val="right" w:pos="9020"/>
      </w:tabs>
    </w:pPr>
    <w:rPr>
      <w:rFonts w:ascii="Helvetica Neue" w:hAnsi="Helvetica Neue" w:cs="Arial Unicode MS"/>
      <w:color w:val="000000"/>
      <w:sz w:val="24"/>
      <w:szCs w:val="24"/>
    </w:rPr>
  </w:style>
  <w:style w:type="paragraph" w:customStyle="1" w:styleId="Heading">
    <w:name w:val="Heading"/>
    <w:next w:val="Body"/>
    <w:rsid w:val="0009528E"/>
    <w:pPr>
      <w:spacing w:after="240" w:line="360" w:lineRule="auto"/>
      <w:outlineLvl w:val="0"/>
    </w:pPr>
    <w:rPr>
      <w:rFonts w:ascii="Calibri" w:eastAsia="Calibri" w:hAnsi="Calibri" w:cs="Calibri"/>
      <w:b/>
      <w:bCs/>
      <w:color w:val="000000"/>
      <w:sz w:val="26"/>
      <w:szCs w:val="26"/>
      <w:u w:color="000000"/>
    </w:rPr>
  </w:style>
  <w:style w:type="paragraph" w:customStyle="1" w:styleId="Body">
    <w:name w:val="Body"/>
    <w:link w:val="BodyCarattere"/>
    <w:rsid w:val="0009528E"/>
    <w:pPr>
      <w:spacing w:after="240" w:line="360" w:lineRule="auto"/>
    </w:pPr>
    <w:rPr>
      <w:rFonts w:ascii="Calibri" w:eastAsia="Calibri" w:hAnsi="Calibri" w:cs="Calibri"/>
      <w:color w:val="000000"/>
      <w:sz w:val="22"/>
      <w:szCs w:val="22"/>
      <w:u w:color="000000"/>
    </w:rPr>
  </w:style>
  <w:style w:type="paragraph" w:customStyle="1" w:styleId="Default">
    <w:name w:val="Default"/>
    <w:rsid w:val="0009528E"/>
    <w:rPr>
      <w:rFonts w:ascii="Helvetica Neue" w:eastAsia="Helvetica Neue" w:hAnsi="Helvetica Neue" w:cs="Helvetica Neue"/>
      <w:color w:val="000000"/>
      <w:sz w:val="22"/>
      <w:szCs w:val="22"/>
    </w:rPr>
  </w:style>
  <w:style w:type="character" w:customStyle="1" w:styleId="None">
    <w:name w:val="None"/>
    <w:rsid w:val="0009528E"/>
  </w:style>
  <w:style w:type="character" w:customStyle="1" w:styleId="Hyperlink0">
    <w:name w:val="Hyperlink.0"/>
    <w:basedOn w:val="None"/>
    <w:rsid w:val="0009528E"/>
    <w:rPr>
      <w:shd w:val="clear" w:color="auto" w:fill="FFFFFF"/>
      <w:lang w:val="en-US"/>
    </w:rPr>
  </w:style>
  <w:style w:type="character" w:customStyle="1" w:styleId="Hyperlink1">
    <w:name w:val="Hyperlink.1"/>
    <w:basedOn w:val="None"/>
    <w:rsid w:val="0009528E"/>
    <w:rPr>
      <w:shd w:val="clear" w:color="auto" w:fill="FFFFFF"/>
    </w:rPr>
  </w:style>
  <w:style w:type="paragraph" w:styleId="Bibliography">
    <w:name w:val="Bibliography"/>
    <w:next w:val="Body"/>
    <w:rsid w:val="0009528E"/>
    <w:pPr>
      <w:tabs>
        <w:tab w:val="left" w:pos="504"/>
      </w:tabs>
      <w:spacing w:after="240"/>
      <w:ind w:left="504" w:hanging="504"/>
    </w:pPr>
    <w:rPr>
      <w:rFonts w:ascii="Calibri" w:eastAsia="Calibri" w:hAnsi="Calibri" w:cs="Calibri"/>
      <w:color w:val="000000"/>
      <w:sz w:val="22"/>
      <w:szCs w:val="22"/>
      <w:u w:color="000000"/>
    </w:rPr>
  </w:style>
  <w:style w:type="paragraph" w:customStyle="1" w:styleId="Beforetables">
    <w:name w:val="Before tables"/>
    <w:link w:val="BeforetablesChar"/>
    <w:qFormat/>
    <w:rsid w:val="0009528E"/>
    <w:pPr>
      <w:spacing w:line="360" w:lineRule="auto"/>
    </w:pPr>
    <w:rPr>
      <w:rFonts w:ascii="Calibri" w:eastAsia="Calibri" w:hAnsi="Calibri" w:cs="Calibri"/>
      <w:color w:val="000000"/>
      <w:sz w:val="8"/>
      <w:szCs w:val="8"/>
      <w:u w:color="000000"/>
    </w:rPr>
  </w:style>
  <w:style w:type="paragraph" w:styleId="CommentText">
    <w:name w:val="annotation text"/>
    <w:basedOn w:val="Normal"/>
    <w:link w:val="CommentTextChar"/>
    <w:uiPriority w:val="99"/>
    <w:semiHidden/>
    <w:unhideWhenUsed/>
    <w:rsid w:val="0009528E"/>
    <w:rPr>
      <w:sz w:val="20"/>
      <w:szCs w:val="20"/>
    </w:rPr>
  </w:style>
  <w:style w:type="character" w:customStyle="1" w:styleId="CommentTextChar">
    <w:name w:val="Comment Text Char"/>
    <w:basedOn w:val="DefaultParagraphFont"/>
    <w:link w:val="CommentText"/>
    <w:uiPriority w:val="99"/>
    <w:semiHidden/>
    <w:rsid w:val="0009528E"/>
    <w:rPr>
      <w:lang w:eastAsia="en-US"/>
    </w:rPr>
  </w:style>
  <w:style w:type="character" w:styleId="CommentReference">
    <w:name w:val="annotation reference"/>
    <w:basedOn w:val="DefaultParagraphFont"/>
    <w:uiPriority w:val="99"/>
    <w:semiHidden/>
    <w:unhideWhenUsed/>
    <w:rsid w:val="0009528E"/>
    <w:rPr>
      <w:sz w:val="16"/>
      <w:szCs w:val="16"/>
    </w:rPr>
  </w:style>
  <w:style w:type="paragraph" w:styleId="BalloonText">
    <w:name w:val="Balloon Text"/>
    <w:basedOn w:val="Normal"/>
    <w:link w:val="BalloonTextChar"/>
    <w:uiPriority w:val="99"/>
    <w:semiHidden/>
    <w:unhideWhenUsed/>
    <w:rsid w:val="004C3A75"/>
    <w:rPr>
      <w:rFonts w:ascii="Tahoma" w:hAnsi="Tahoma" w:cs="Tahoma"/>
      <w:sz w:val="16"/>
      <w:szCs w:val="16"/>
    </w:rPr>
  </w:style>
  <w:style w:type="character" w:customStyle="1" w:styleId="BalloonTextChar">
    <w:name w:val="Balloon Text Char"/>
    <w:basedOn w:val="DefaultParagraphFont"/>
    <w:link w:val="BalloonText"/>
    <w:uiPriority w:val="99"/>
    <w:semiHidden/>
    <w:rsid w:val="004C3A75"/>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87AD7"/>
    <w:rPr>
      <w:b/>
      <w:bCs/>
    </w:rPr>
  </w:style>
  <w:style w:type="character" w:customStyle="1" w:styleId="CommentSubjectChar">
    <w:name w:val="Comment Subject Char"/>
    <w:basedOn w:val="CommentTextChar"/>
    <w:link w:val="CommentSubject"/>
    <w:uiPriority w:val="99"/>
    <w:semiHidden/>
    <w:rsid w:val="00587AD7"/>
    <w:rPr>
      <w:b/>
      <w:bCs/>
      <w:lang w:eastAsia="en-US"/>
    </w:rPr>
  </w:style>
  <w:style w:type="paragraph" w:customStyle="1" w:styleId="EndNoteBibliographyTitle">
    <w:name w:val="EndNote Bibliography Title"/>
    <w:basedOn w:val="Normal"/>
    <w:link w:val="EndNoteBibliographyTitleCarattere"/>
    <w:rsid w:val="008D1A5A"/>
    <w:pPr>
      <w:jc w:val="center"/>
    </w:pPr>
    <w:rPr>
      <w:rFonts w:ascii="Calibri" w:hAnsi="Calibri" w:cs="Calibri"/>
      <w:noProof/>
      <w:sz w:val="22"/>
    </w:rPr>
  </w:style>
  <w:style w:type="character" w:customStyle="1" w:styleId="BodyCarattere">
    <w:name w:val="Body Carattere"/>
    <w:basedOn w:val="DefaultParagraphFont"/>
    <w:link w:val="Body"/>
    <w:rsid w:val="008D1A5A"/>
    <w:rPr>
      <w:rFonts w:ascii="Calibri" w:eastAsia="Calibri" w:hAnsi="Calibri" w:cs="Calibri"/>
      <w:color w:val="000000"/>
      <w:sz w:val="22"/>
      <w:szCs w:val="22"/>
      <w:u w:color="000000"/>
    </w:rPr>
  </w:style>
  <w:style w:type="character" w:customStyle="1" w:styleId="EndNoteBibliographyTitleCarattere">
    <w:name w:val="EndNote Bibliography Title Carattere"/>
    <w:basedOn w:val="BodyCarattere"/>
    <w:link w:val="EndNoteBibliographyTitle"/>
    <w:rsid w:val="008D1A5A"/>
    <w:rPr>
      <w:rFonts w:ascii="Calibri" w:eastAsia="Calibri" w:hAnsi="Calibri" w:cs="Calibri"/>
      <w:noProof/>
      <w:color w:val="000000"/>
      <w:sz w:val="22"/>
      <w:szCs w:val="24"/>
      <w:u w:color="000000"/>
      <w:lang w:eastAsia="en-US"/>
    </w:rPr>
  </w:style>
  <w:style w:type="paragraph" w:customStyle="1" w:styleId="EndNoteBibliography">
    <w:name w:val="EndNote Bibliography"/>
    <w:basedOn w:val="Normal"/>
    <w:link w:val="EndNoteBibliographyCarattere"/>
    <w:rsid w:val="008D1A5A"/>
    <w:rPr>
      <w:rFonts w:ascii="Calibri" w:hAnsi="Calibri" w:cs="Calibri"/>
      <w:noProof/>
      <w:sz w:val="22"/>
    </w:rPr>
  </w:style>
  <w:style w:type="character" w:customStyle="1" w:styleId="EndNoteBibliographyCarattere">
    <w:name w:val="EndNote Bibliography Carattere"/>
    <w:basedOn w:val="BodyCarattere"/>
    <w:link w:val="EndNoteBibliography"/>
    <w:rsid w:val="008D1A5A"/>
    <w:rPr>
      <w:rFonts w:ascii="Calibri" w:eastAsia="Calibri" w:hAnsi="Calibri" w:cs="Calibri"/>
      <w:noProof/>
      <w:color w:val="000000"/>
      <w:sz w:val="22"/>
      <w:szCs w:val="24"/>
      <w:u w:color="000000"/>
      <w:lang w:eastAsia="en-US"/>
    </w:rPr>
  </w:style>
  <w:style w:type="character" w:customStyle="1" w:styleId="UnresolvedMention1">
    <w:name w:val="Unresolved Mention1"/>
    <w:basedOn w:val="DefaultParagraphFont"/>
    <w:uiPriority w:val="99"/>
    <w:semiHidden/>
    <w:unhideWhenUsed/>
    <w:rsid w:val="008D1A5A"/>
    <w:rPr>
      <w:color w:val="605E5C"/>
      <w:shd w:val="clear" w:color="auto" w:fill="E1DFDD"/>
    </w:rPr>
  </w:style>
  <w:style w:type="character" w:customStyle="1" w:styleId="mixed-citation">
    <w:name w:val="mixed-citation"/>
    <w:basedOn w:val="DefaultParagraphFont"/>
    <w:rsid w:val="00CF2989"/>
  </w:style>
  <w:style w:type="character" w:customStyle="1" w:styleId="ref-title">
    <w:name w:val="ref-title"/>
    <w:basedOn w:val="DefaultParagraphFont"/>
    <w:rsid w:val="00CF2989"/>
  </w:style>
  <w:style w:type="character" w:customStyle="1" w:styleId="ref-journal">
    <w:name w:val="ref-journal"/>
    <w:basedOn w:val="DefaultParagraphFont"/>
    <w:rsid w:val="00CF2989"/>
  </w:style>
  <w:style w:type="character" w:customStyle="1" w:styleId="ref-vol">
    <w:name w:val="ref-vol"/>
    <w:basedOn w:val="DefaultParagraphFont"/>
    <w:rsid w:val="00CF2989"/>
  </w:style>
  <w:style w:type="character" w:styleId="FollowedHyperlink">
    <w:name w:val="FollowedHyperlink"/>
    <w:basedOn w:val="DefaultParagraphFont"/>
    <w:uiPriority w:val="99"/>
    <w:semiHidden/>
    <w:unhideWhenUsed/>
    <w:rsid w:val="00C333C0"/>
    <w:rPr>
      <w:color w:val="FF00FF" w:themeColor="followedHyperlink"/>
      <w:u w:val="single"/>
    </w:rPr>
  </w:style>
  <w:style w:type="table" w:styleId="TableGrid">
    <w:name w:val="Table Grid"/>
    <w:basedOn w:val="TableNormal"/>
    <w:uiPriority w:val="59"/>
    <w:rsid w:val="000A62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foretablesChar">
    <w:name w:val="Before tables Char"/>
    <w:basedOn w:val="DefaultParagraphFont"/>
    <w:link w:val="Beforetables"/>
    <w:rsid w:val="000A6265"/>
    <w:rPr>
      <w:rFonts w:ascii="Calibri" w:eastAsia="Calibri" w:hAnsi="Calibri" w:cs="Calibri"/>
      <w:color w:val="000000"/>
      <w:sz w:val="8"/>
      <w:szCs w:val="8"/>
      <w:u w:color="000000"/>
    </w:rPr>
  </w:style>
  <w:style w:type="paragraph" w:styleId="Header">
    <w:name w:val="header"/>
    <w:basedOn w:val="Normal"/>
    <w:link w:val="HeaderChar"/>
    <w:uiPriority w:val="99"/>
    <w:unhideWhenUsed/>
    <w:rsid w:val="00F83547"/>
    <w:pPr>
      <w:tabs>
        <w:tab w:val="center" w:pos="4513"/>
        <w:tab w:val="right" w:pos="9026"/>
      </w:tabs>
    </w:pPr>
  </w:style>
  <w:style w:type="character" w:customStyle="1" w:styleId="HeaderChar">
    <w:name w:val="Header Char"/>
    <w:basedOn w:val="DefaultParagraphFont"/>
    <w:link w:val="Header"/>
    <w:uiPriority w:val="99"/>
    <w:rsid w:val="00F83547"/>
    <w:rPr>
      <w:sz w:val="24"/>
      <w:szCs w:val="24"/>
      <w:lang w:eastAsia="en-US"/>
    </w:rPr>
  </w:style>
  <w:style w:type="paragraph" w:styleId="Footer">
    <w:name w:val="footer"/>
    <w:basedOn w:val="Normal"/>
    <w:link w:val="FooterChar"/>
    <w:uiPriority w:val="99"/>
    <w:unhideWhenUsed/>
    <w:rsid w:val="00F83547"/>
    <w:pPr>
      <w:tabs>
        <w:tab w:val="center" w:pos="4513"/>
        <w:tab w:val="right" w:pos="9026"/>
      </w:tabs>
    </w:pPr>
  </w:style>
  <w:style w:type="character" w:customStyle="1" w:styleId="FooterChar">
    <w:name w:val="Footer Char"/>
    <w:basedOn w:val="DefaultParagraphFont"/>
    <w:link w:val="Footer"/>
    <w:uiPriority w:val="99"/>
    <w:rsid w:val="00F83547"/>
    <w:rPr>
      <w:sz w:val="24"/>
      <w:szCs w:val="24"/>
      <w:lang w:eastAsia="en-US"/>
    </w:rPr>
  </w:style>
  <w:style w:type="character" w:styleId="LineNumber">
    <w:name w:val="line number"/>
    <w:basedOn w:val="DefaultParagraphFont"/>
    <w:uiPriority w:val="99"/>
    <w:semiHidden/>
    <w:unhideWhenUsed/>
    <w:rsid w:val="004639B6"/>
  </w:style>
  <w:style w:type="paragraph" w:styleId="NormalWeb">
    <w:name w:val="Normal (Web)"/>
    <w:basedOn w:val="Normal"/>
    <w:uiPriority w:val="99"/>
    <w:semiHidden/>
    <w:unhideWhenUsed/>
    <w:rsid w:val="00A863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24710">
      <w:bodyDiv w:val="1"/>
      <w:marLeft w:val="0"/>
      <w:marRight w:val="0"/>
      <w:marTop w:val="0"/>
      <w:marBottom w:val="0"/>
      <w:divBdr>
        <w:top w:val="none" w:sz="0" w:space="0" w:color="auto"/>
        <w:left w:val="none" w:sz="0" w:space="0" w:color="auto"/>
        <w:bottom w:val="none" w:sz="0" w:space="0" w:color="auto"/>
        <w:right w:val="none" w:sz="0" w:space="0" w:color="auto"/>
      </w:divBdr>
    </w:div>
    <w:div w:id="1128863842">
      <w:bodyDiv w:val="1"/>
      <w:marLeft w:val="0"/>
      <w:marRight w:val="0"/>
      <w:marTop w:val="0"/>
      <w:marBottom w:val="0"/>
      <w:divBdr>
        <w:top w:val="none" w:sz="0" w:space="0" w:color="auto"/>
        <w:left w:val="none" w:sz="0" w:space="0" w:color="auto"/>
        <w:bottom w:val="none" w:sz="0" w:space="0" w:color="auto"/>
        <w:right w:val="none" w:sz="0" w:space="0" w:color="auto"/>
      </w:divBdr>
    </w:div>
    <w:div w:id="1255818886">
      <w:bodyDiv w:val="1"/>
      <w:marLeft w:val="0"/>
      <w:marRight w:val="0"/>
      <w:marTop w:val="0"/>
      <w:marBottom w:val="0"/>
      <w:divBdr>
        <w:top w:val="none" w:sz="0" w:space="0" w:color="auto"/>
        <w:left w:val="none" w:sz="0" w:space="0" w:color="auto"/>
        <w:bottom w:val="none" w:sz="0" w:space="0" w:color="auto"/>
        <w:right w:val="none" w:sz="0" w:space="0" w:color="auto"/>
      </w:divBdr>
    </w:div>
    <w:div w:id="136455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kdataservice.ac.uk/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smith@anglia.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_elsa_w6_technical_report_v1.pdf/" TargetMode="External"/><Relationship Id="rId4" Type="http://schemas.openxmlformats.org/officeDocument/2006/relationships/webSettings" Target="webSettings.xml"/><Relationship Id="rId9" Type="http://schemas.openxmlformats.org/officeDocument/2006/relationships/hyperlink" Target="http://mrdo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0DEC-86AE-4F8A-8F26-D5205C60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4638</Words>
  <Characters>26440</Characters>
  <Application>Microsoft Office Word</Application>
  <DocSecurity>0</DocSecurity>
  <Lines>220</Lines>
  <Paragraphs>62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Medizinische Universitaet Wien</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Lee Smith</cp:lastModifiedBy>
  <cp:revision>4</cp:revision>
  <dcterms:created xsi:type="dcterms:W3CDTF">2019-08-14T09:28:00Z</dcterms:created>
  <dcterms:modified xsi:type="dcterms:W3CDTF">2019-08-19T07:53:00Z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id="BCBjr3a5"/&gt;&lt;style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