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4EB50" w14:textId="77777777" w:rsidR="00C824CB" w:rsidRPr="00C824CB" w:rsidRDefault="00C824CB" w:rsidP="00C824CB">
      <w:pPr>
        <w:spacing w:line="480" w:lineRule="auto"/>
        <w:jc w:val="center"/>
        <w:rPr>
          <w:rFonts w:ascii="Arial" w:hAnsi="Arial" w:cs="Arial"/>
          <w:b/>
        </w:rPr>
      </w:pPr>
      <w:r w:rsidRPr="00C824CB">
        <w:rPr>
          <w:rFonts w:ascii="Arial" w:hAnsi="Arial" w:cs="Arial"/>
          <w:b/>
        </w:rPr>
        <w:t>Association between intelligence quotient and disability: the role of socioeconomic status</w:t>
      </w:r>
    </w:p>
    <w:p w14:paraId="0E042798" w14:textId="77777777" w:rsidR="00C824CB" w:rsidRPr="00C824CB" w:rsidRDefault="00C824CB" w:rsidP="00C824CB">
      <w:pPr>
        <w:spacing w:line="480" w:lineRule="auto"/>
        <w:rPr>
          <w:rFonts w:ascii="Arial" w:hAnsi="Arial" w:cs="Arial"/>
        </w:rPr>
      </w:pPr>
    </w:p>
    <w:p w14:paraId="506FA94A" w14:textId="77777777" w:rsidR="00C824CB" w:rsidRPr="00C824CB" w:rsidRDefault="00C824CB" w:rsidP="00C824CB">
      <w:pPr>
        <w:spacing w:line="480" w:lineRule="auto"/>
        <w:jc w:val="both"/>
        <w:rPr>
          <w:rFonts w:ascii="Arial" w:hAnsi="Arial" w:cs="Arial"/>
        </w:rPr>
      </w:pPr>
      <w:r w:rsidRPr="00C824CB">
        <w:rPr>
          <w:rFonts w:ascii="Arial" w:hAnsi="Arial" w:cs="Arial"/>
          <w:i/>
        </w:rPr>
        <w:t>Running title:</w:t>
      </w:r>
      <w:r w:rsidRPr="00C824CB">
        <w:rPr>
          <w:rFonts w:ascii="Arial" w:hAnsi="Arial" w:cs="Arial"/>
        </w:rPr>
        <w:t xml:space="preserve"> Intelligence quotient and disability</w:t>
      </w:r>
    </w:p>
    <w:p w14:paraId="66BE6920" w14:textId="77777777" w:rsidR="00C824CB" w:rsidRPr="00C824CB" w:rsidRDefault="00C824CB" w:rsidP="00C824CB">
      <w:pPr>
        <w:spacing w:line="480" w:lineRule="auto"/>
        <w:jc w:val="both"/>
        <w:rPr>
          <w:rFonts w:ascii="Arial" w:hAnsi="Arial" w:cs="Arial"/>
        </w:rPr>
      </w:pPr>
    </w:p>
    <w:p w14:paraId="31D3EA62" w14:textId="77777777" w:rsidR="00C824CB" w:rsidRPr="00C824CB" w:rsidRDefault="00C824CB" w:rsidP="00C824CB">
      <w:pPr>
        <w:spacing w:line="480" w:lineRule="auto"/>
        <w:jc w:val="both"/>
        <w:rPr>
          <w:rFonts w:ascii="Arial" w:hAnsi="Arial" w:cs="Arial"/>
        </w:rPr>
      </w:pPr>
      <w:r w:rsidRPr="00C824CB">
        <w:rPr>
          <w:rFonts w:ascii="Arial" w:hAnsi="Arial" w:cs="Arial"/>
        </w:rPr>
        <w:t xml:space="preserve">Louis Jacob, </w:t>
      </w:r>
      <w:proofErr w:type="spellStart"/>
      <w:r w:rsidRPr="00C824CB">
        <w:rPr>
          <w:rFonts w:ascii="Arial" w:hAnsi="Arial" w:cs="Arial"/>
        </w:rPr>
        <w:t>PhD</w:t>
      </w:r>
      <w:r w:rsidRPr="00C824CB">
        <w:rPr>
          <w:rFonts w:ascii="Arial" w:hAnsi="Arial" w:cs="Arial"/>
          <w:vertAlign w:val="superscript"/>
        </w:rPr>
        <w:t>a,b</w:t>
      </w:r>
      <w:proofErr w:type="spellEnd"/>
      <w:r w:rsidRPr="00C824CB">
        <w:rPr>
          <w:rFonts w:ascii="Arial" w:hAnsi="Arial" w:cs="Arial"/>
          <w:vertAlign w:val="superscript"/>
        </w:rPr>
        <w:t>*</w:t>
      </w:r>
      <w:r w:rsidRPr="00C824CB">
        <w:rPr>
          <w:rFonts w:ascii="Arial" w:hAnsi="Arial" w:cs="Arial"/>
        </w:rPr>
        <w:t xml:space="preserve">; Lee Smith, </w:t>
      </w:r>
      <w:proofErr w:type="spellStart"/>
      <w:r w:rsidRPr="00C824CB">
        <w:rPr>
          <w:rFonts w:ascii="Arial" w:hAnsi="Arial" w:cs="Arial"/>
        </w:rPr>
        <w:t>PhD</w:t>
      </w:r>
      <w:r w:rsidRPr="00C824CB">
        <w:rPr>
          <w:rFonts w:ascii="Arial" w:hAnsi="Arial" w:cs="Arial"/>
          <w:vertAlign w:val="superscript"/>
        </w:rPr>
        <w:t>c</w:t>
      </w:r>
      <w:proofErr w:type="spellEnd"/>
      <w:r w:rsidRPr="00C824CB">
        <w:rPr>
          <w:rFonts w:ascii="Arial" w:hAnsi="Arial" w:cs="Arial"/>
        </w:rPr>
        <w:t xml:space="preserve">; Philippe </w:t>
      </w:r>
      <w:proofErr w:type="spellStart"/>
      <w:r w:rsidRPr="00C824CB">
        <w:rPr>
          <w:rFonts w:ascii="Arial" w:hAnsi="Arial" w:cs="Arial"/>
        </w:rPr>
        <w:t>Thoumie</w:t>
      </w:r>
      <w:proofErr w:type="spellEnd"/>
      <w:r w:rsidRPr="00C824CB">
        <w:rPr>
          <w:rFonts w:ascii="Arial" w:hAnsi="Arial" w:cs="Arial"/>
        </w:rPr>
        <w:t>, MD-</w:t>
      </w:r>
      <w:proofErr w:type="spellStart"/>
      <w:r w:rsidRPr="00C824CB">
        <w:rPr>
          <w:rFonts w:ascii="Arial" w:hAnsi="Arial" w:cs="Arial"/>
        </w:rPr>
        <w:t>PhD</w:t>
      </w:r>
      <w:r w:rsidRPr="00C824CB">
        <w:rPr>
          <w:rFonts w:ascii="Arial" w:hAnsi="Arial" w:cs="Arial"/>
          <w:vertAlign w:val="superscript"/>
        </w:rPr>
        <w:t>d</w:t>
      </w:r>
      <w:proofErr w:type="spellEnd"/>
      <w:r w:rsidRPr="00C824CB">
        <w:rPr>
          <w:rFonts w:ascii="Arial" w:hAnsi="Arial" w:cs="Arial"/>
        </w:rPr>
        <w:t xml:space="preserve">; </w:t>
      </w:r>
      <w:proofErr w:type="spellStart"/>
      <w:r w:rsidRPr="00C824CB">
        <w:rPr>
          <w:rFonts w:ascii="Arial" w:hAnsi="Arial" w:cs="Arial"/>
        </w:rPr>
        <w:t>Josep</w:t>
      </w:r>
      <w:proofErr w:type="spellEnd"/>
      <w:r w:rsidRPr="00C824CB">
        <w:rPr>
          <w:rFonts w:ascii="Arial" w:hAnsi="Arial" w:cs="Arial"/>
        </w:rPr>
        <w:t xml:space="preserve"> Maria </w:t>
      </w:r>
      <w:proofErr w:type="spellStart"/>
      <w:r w:rsidRPr="00C824CB">
        <w:rPr>
          <w:rFonts w:ascii="Arial" w:hAnsi="Arial" w:cs="Arial"/>
        </w:rPr>
        <w:t>Haro</w:t>
      </w:r>
      <w:proofErr w:type="spellEnd"/>
      <w:r w:rsidRPr="00C824CB">
        <w:rPr>
          <w:rFonts w:ascii="Arial" w:hAnsi="Arial" w:cs="Arial"/>
        </w:rPr>
        <w:t>, MD-</w:t>
      </w:r>
      <w:proofErr w:type="spellStart"/>
      <w:r w:rsidRPr="00C824CB">
        <w:rPr>
          <w:rFonts w:ascii="Arial" w:hAnsi="Arial" w:cs="Arial"/>
        </w:rPr>
        <w:t>PhD</w:t>
      </w:r>
      <w:r w:rsidRPr="00C824CB">
        <w:rPr>
          <w:rFonts w:ascii="Arial" w:hAnsi="Arial" w:cs="Arial"/>
          <w:vertAlign w:val="superscript"/>
        </w:rPr>
        <w:t>b</w:t>
      </w:r>
      <w:proofErr w:type="spellEnd"/>
      <w:r w:rsidRPr="00C824CB">
        <w:rPr>
          <w:rFonts w:ascii="Arial" w:hAnsi="Arial" w:cs="Arial"/>
        </w:rPr>
        <w:t xml:space="preserve">; Andrew Stickley, </w:t>
      </w:r>
      <w:proofErr w:type="spellStart"/>
      <w:r w:rsidRPr="00C824CB">
        <w:rPr>
          <w:rFonts w:ascii="Arial" w:hAnsi="Arial" w:cs="Arial"/>
        </w:rPr>
        <w:t>PhD</w:t>
      </w:r>
      <w:r w:rsidRPr="00C824CB">
        <w:rPr>
          <w:rFonts w:ascii="Arial" w:hAnsi="Arial" w:cs="Arial"/>
          <w:vertAlign w:val="superscript"/>
        </w:rPr>
        <w:t>e</w:t>
      </w:r>
      <w:proofErr w:type="spellEnd"/>
      <w:r w:rsidRPr="00C824CB">
        <w:rPr>
          <w:rFonts w:ascii="Arial" w:hAnsi="Arial" w:cs="Arial"/>
        </w:rPr>
        <w:t xml:space="preserve">; Ai </w:t>
      </w:r>
      <w:proofErr w:type="spellStart"/>
      <w:r w:rsidRPr="00C824CB">
        <w:rPr>
          <w:rFonts w:ascii="Arial" w:hAnsi="Arial" w:cs="Arial"/>
        </w:rPr>
        <w:t>Koyanagi</w:t>
      </w:r>
      <w:proofErr w:type="spellEnd"/>
      <w:r w:rsidRPr="00C824CB">
        <w:rPr>
          <w:rFonts w:ascii="Arial" w:hAnsi="Arial" w:cs="Arial"/>
        </w:rPr>
        <w:t>, MD-</w:t>
      </w:r>
      <w:proofErr w:type="spellStart"/>
      <w:r w:rsidRPr="00C824CB">
        <w:rPr>
          <w:rFonts w:ascii="Arial" w:hAnsi="Arial" w:cs="Arial"/>
        </w:rPr>
        <w:t>PhD</w:t>
      </w:r>
      <w:r w:rsidRPr="00C824CB">
        <w:rPr>
          <w:rFonts w:ascii="Arial" w:hAnsi="Arial" w:cs="Arial"/>
          <w:vertAlign w:val="superscript"/>
        </w:rPr>
        <w:t>b,g</w:t>
      </w:r>
      <w:proofErr w:type="spellEnd"/>
    </w:p>
    <w:p w14:paraId="29D391D0" w14:textId="77777777" w:rsidR="00C824CB" w:rsidRPr="00C824CB" w:rsidRDefault="00C824CB" w:rsidP="00C824CB">
      <w:pPr>
        <w:spacing w:line="480" w:lineRule="auto"/>
        <w:jc w:val="both"/>
        <w:rPr>
          <w:rFonts w:ascii="Arial" w:hAnsi="Arial" w:cs="Arial"/>
          <w:vertAlign w:val="superscript"/>
        </w:rPr>
      </w:pPr>
    </w:p>
    <w:p w14:paraId="348D94BB" w14:textId="77777777" w:rsidR="00C824CB" w:rsidRPr="00C824CB" w:rsidRDefault="00C824CB" w:rsidP="00C824CB">
      <w:pPr>
        <w:spacing w:line="480" w:lineRule="auto"/>
        <w:jc w:val="both"/>
        <w:rPr>
          <w:rFonts w:ascii="Arial" w:hAnsi="Arial" w:cs="Arial"/>
          <w:lang w:val="fr-FR"/>
        </w:rPr>
      </w:pPr>
      <w:proofErr w:type="spellStart"/>
      <w:proofErr w:type="gramStart"/>
      <w:r w:rsidRPr="00C824CB">
        <w:rPr>
          <w:rFonts w:ascii="Arial" w:hAnsi="Arial" w:cs="Arial"/>
          <w:vertAlign w:val="superscript"/>
          <w:lang w:val="fr-FR"/>
        </w:rPr>
        <w:t>a</w:t>
      </w:r>
      <w:proofErr w:type="spellEnd"/>
      <w:proofErr w:type="gramEnd"/>
      <w:r w:rsidRPr="00C824CB">
        <w:rPr>
          <w:rFonts w:ascii="Arial" w:hAnsi="Arial" w:cs="Arial"/>
          <w:lang w:val="fr-FR"/>
        </w:rPr>
        <w:t xml:space="preserve"> </w:t>
      </w:r>
      <w:proofErr w:type="spellStart"/>
      <w:r w:rsidRPr="00C824CB">
        <w:rPr>
          <w:rFonts w:ascii="Arial" w:hAnsi="Arial" w:cs="Arial"/>
          <w:lang w:val="fr-FR"/>
        </w:rPr>
        <w:t>Faculty</w:t>
      </w:r>
      <w:proofErr w:type="spellEnd"/>
      <w:r w:rsidRPr="00C824CB">
        <w:rPr>
          <w:rFonts w:ascii="Arial" w:hAnsi="Arial" w:cs="Arial"/>
          <w:lang w:val="fr-FR"/>
        </w:rPr>
        <w:t xml:space="preserve"> of </w:t>
      </w:r>
      <w:proofErr w:type="spellStart"/>
      <w:r w:rsidRPr="00C824CB">
        <w:rPr>
          <w:rFonts w:ascii="Arial" w:hAnsi="Arial" w:cs="Arial"/>
          <w:lang w:val="fr-FR"/>
        </w:rPr>
        <w:t>Medicine</w:t>
      </w:r>
      <w:proofErr w:type="spellEnd"/>
      <w:r w:rsidRPr="00C824CB">
        <w:rPr>
          <w:rFonts w:ascii="Arial" w:hAnsi="Arial" w:cs="Arial"/>
          <w:lang w:val="fr-FR"/>
        </w:rPr>
        <w:t xml:space="preserve">, </w:t>
      </w:r>
      <w:proofErr w:type="spellStart"/>
      <w:r w:rsidRPr="00C824CB">
        <w:rPr>
          <w:rFonts w:ascii="Arial" w:hAnsi="Arial" w:cs="Arial"/>
          <w:lang w:val="fr-FR"/>
        </w:rPr>
        <w:t>University</w:t>
      </w:r>
      <w:proofErr w:type="spellEnd"/>
      <w:r w:rsidRPr="00C824CB">
        <w:rPr>
          <w:rFonts w:ascii="Arial" w:hAnsi="Arial" w:cs="Arial"/>
          <w:lang w:val="fr-FR"/>
        </w:rPr>
        <w:t xml:space="preserve"> of Versailles Saint-Quentin-en-Yvelines, Montigny-le-Bretonneux 78180, France</w:t>
      </w:r>
    </w:p>
    <w:p w14:paraId="368F9E4E" w14:textId="77777777" w:rsidR="00C824CB" w:rsidRPr="00C824CB" w:rsidRDefault="00C824CB" w:rsidP="00C824CB">
      <w:pPr>
        <w:spacing w:line="480" w:lineRule="auto"/>
        <w:jc w:val="both"/>
        <w:rPr>
          <w:rFonts w:ascii="Arial" w:hAnsi="Arial" w:cs="Arial"/>
          <w:lang w:val="fr-FR"/>
        </w:rPr>
      </w:pPr>
      <w:proofErr w:type="gramStart"/>
      <w:r w:rsidRPr="00C824CB">
        <w:rPr>
          <w:rFonts w:ascii="Arial" w:hAnsi="Arial" w:cs="Arial"/>
          <w:vertAlign w:val="superscript"/>
          <w:lang w:val="fr-FR"/>
        </w:rPr>
        <w:t>b</w:t>
      </w:r>
      <w:proofErr w:type="gramEnd"/>
      <w:r w:rsidRPr="00C824CB">
        <w:rPr>
          <w:rFonts w:ascii="Arial" w:hAnsi="Arial" w:cs="Arial"/>
          <w:vertAlign w:val="superscript"/>
          <w:lang w:val="fr-FR"/>
        </w:rPr>
        <w:t xml:space="preserve"> </w:t>
      </w:r>
      <w:r w:rsidRPr="00C824CB">
        <w:rPr>
          <w:rFonts w:ascii="Arial" w:hAnsi="Arial" w:cs="Arial"/>
          <w:lang w:val="fr-FR"/>
        </w:rPr>
        <w:t xml:space="preserve">Parc </w:t>
      </w:r>
      <w:proofErr w:type="spellStart"/>
      <w:r w:rsidRPr="00C824CB">
        <w:rPr>
          <w:rFonts w:ascii="Arial" w:hAnsi="Arial" w:cs="Arial"/>
          <w:lang w:val="fr-FR"/>
        </w:rPr>
        <w:t>Sanitari</w:t>
      </w:r>
      <w:proofErr w:type="spellEnd"/>
      <w:r w:rsidRPr="00C824CB">
        <w:rPr>
          <w:rFonts w:ascii="Arial" w:hAnsi="Arial" w:cs="Arial"/>
          <w:lang w:val="fr-FR"/>
        </w:rPr>
        <w:t xml:space="preserve"> Sant Joan de </w:t>
      </w:r>
      <w:proofErr w:type="spellStart"/>
      <w:r w:rsidRPr="00C824CB">
        <w:rPr>
          <w:rFonts w:ascii="Arial" w:hAnsi="Arial" w:cs="Arial"/>
          <w:lang w:val="fr-FR"/>
        </w:rPr>
        <w:t>Déu</w:t>
      </w:r>
      <w:proofErr w:type="spellEnd"/>
      <w:r w:rsidRPr="00C824CB">
        <w:rPr>
          <w:rFonts w:ascii="Arial" w:hAnsi="Arial" w:cs="Arial"/>
          <w:lang w:val="fr-FR"/>
        </w:rPr>
        <w:t xml:space="preserve">, CIBERSAM, Dr. Antoni </w:t>
      </w:r>
      <w:proofErr w:type="spellStart"/>
      <w:r w:rsidRPr="00C824CB">
        <w:rPr>
          <w:rFonts w:ascii="Arial" w:hAnsi="Arial" w:cs="Arial"/>
          <w:lang w:val="fr-FR"/>
        </w:rPr>
        <w:t>Pujadas</w:t>
      </w:r>
      <w:proofErr w:type="spellEnd"/>
      <w:r w:rsidRPr="00C824CB">
        <w:rPr>
          <w:rFonts w:ascii="Arial" w:hAnsi="Arial" w:cs="Arial"/>
          <w:lang w:val="fr-FR"/>
        </w:rPr>
        <w:t xml:space="preserve">, 42, Sant </w:t>
      </w:r>
      <w:proofErr w:type="spellStart"/>
      <w:r w:rsidRPr="00C824CB">
        <w:rPr>
          <w:rFonts w:ascii="Arial" w:hAnsi="Arial" w:cs="Arial"/>
          <w:lang w:val="fr-FR"/>
        </w:rPr>
        <w:t>Boi</w:t>
      </w:r>
      <w:proofErr w:type="spellEnd"/>
      <w:r w:rsidRPr="00C824CB">
        <w:rPr>
          <w:rFonts w:ascii="Arial" w:hAnsi="Arial" w:cs="Arial"/>
          <w:lang w:val="fr-FR"/>
        </w:rPr>
        <w:t xml:space="preserve"> de Llobregat, Barcelona 08830, Spain</w:t>
      </w:r>
    </w:p>
    <w:p w14:paraId="3EB8DE0B" w14:textId="77777777" w:rsidR="00C824CB" w:rsidRPr="00C824CB" w:rsidRDefault="00C824CB" w:rsidP="00C824CB">
      <w:pPr>
        <w:spacing w:line="480" w:lineRule="auto"/>
        <w:jc w:val="both"/>
        <w:rPr>
          <w:rFonts w:ascii="Arial" w:hAnsi="Arial" w:cs="Arial"/>
        </w:rPr>
      </w:pPr>
      <w:r w:rsidRPr="00C824CB">
        <w:rPr>
          <w:rFonts w:ascii="Arial" w:hAnsi="Arial" w:cs="Arial"/>
          <w:vertAlign w:val="superscript"/>
        </w:rPr>
        <w:t>c</w:t>
      </w:r>
      <w:r w:rsidRPr="00C824CB">
        <w:rPr>
          <w:rFonts w:ascii="Arial" w:hAnsi="Arial" w:cs="Arial"/>
        </w:rPr>
        <w:t xml:space="preserve"> Cambridge Centre for Sport and Exercise Sciences, Anglia Ruskin University, Cambridge, United Kingdom</w:t>
      </w:r>
    </w:p>
    <w:p w14:paraId="552B1F51" w14:textId="77777777" w:rsidR="00C824CB" w:rsidRPr="00C824CB" w:rsidRDefault="00C824CB" w:rsidP="00C824CB">
      <w:pPr>
        <w:pStyle w:val="NormalWeb"/>
        <w:spacing w:before="0" w:beforeAutospacing="0" w:after="0" w:afterAutospacing="0" w:line="480" w:lineRule="auto"/>
        <w:jc w:val="both"/>
        <w:rPr>
          <w:lang w:val="en-US"/>
        </w:rPr>
      </w:pPr>
      <w:r w:rsidRPr="00C824CB">
        <w:rPr>
          <w:rFonts w:ascii="Arial" w:hAnsi="Arial" w:cs="Arial"/>
          <w:vertAlign w:val="superscript"/>
          <w:lang w:val="en-US"/>
        </w:rPr>
        <w:t>d</w:t>
      </w:r>
      <w:r w:rsidRPr="00C824CB">
        <w:rPr>
          <w:rFonts w:ascii="Arial" w:hAnsi="Arial" w:cs="Arial"/>
          <w:lang w:val="en-US"/>
        </w:rPr>
        <w:t xml:space="preserve"> APHP </w:t>
      </w:r>
      <w:proofErr w:type="spellStart"/>
      <w:r w:rsidRPr="00C824CB">
        <w:rPr>
          <w:rFonts w:ascii="Arial" w:hAnsi="Arial" w:cs="Arial"/>
          <w:lang w:val="en-US"/>
        </w:rPr>
        <w:t>Hôpital</w:t>
      </w:r>
      <w:proofErr w:type="spellEnd"/>
      <w:r w:rsidRPr="00C824CB">
        <w:rPr>
          <w:rFonts w:ascii="Arial" w:hAnsi="Arial" w:cs="Arial"/>
          <w:lang w:val="en-US"/>
        </w:rPr>
        <w:t xml:space="preserve"> Rothschild and Sorbonne University Agathe INSERM U-1150, Service de </w:t>
      </w:r>
      <w:proofErr w:type="spellStart"/>
      <w:r w:rsidRPr="00C824CB">
        <w:rPr>
          <w:rFonts w:ascii="Arial" w:hAnsi="Arial" w:cs="Arial"/>
          <w:lang w:val="en-US"/>
        </w:rPr>
        <w:t>Médecine</w:t>
      </w:r>
      <w:proofErr w:type="spellEnd"/>
      <w:r w:rsidRPr="00C824CB">
        <w:rPr>
          <w:rFonts w:ascii="Arial" w:hAnsi="Arial" w:cs="Arial"/>
          <w:lang w:val="en-US"/>
        </w:rPr>
        <w:t xml:space="preserve"> Physique et </w:t>
      </w:r>
      <w:proofErr w:type="spellStart"/>
      <w:r w:rsidRPr="00C824CB">
        <w:rPr>
          <w:rFonts w:ascii="Arial" w:hAnsi="Arial" w:cs="Arial"/>
          <w:lang w:val="en-US"/>
        </w:rPr>
        <w:t>Réadaptation</w:t>
      </w:r>
      <w:proofErr w:type="spellEnd"/>
      <w:r w:rsidRPr="00C824CB">
        <w:rPr>
          <w:rFonts w:ascii="Arial" w:hAnsi="Arial" w:cs="Arial"/>
          <w:lang w:val="en-US"/>
        </w:rPr>
        <w:t xml:space="preserve">, Paris, 75012, France </w:t>
      </w:r>
    </w:p>
    <w:p w14:paraId="725D3FAA" w14:textId="77777777" w:rsidR="00C824CB" w:rsidRPr="00C824CB" w:rsidRDefault="00C824CB" w:rsidP="00C824CB">
      <w:pPr>
        <w:spacing w:line="480" w:lineRule="auto"/>
        <w:jc w:val="both"/>
        <w:rPr>
          <w:rFonts w:ascii="Arial" w:hAnsi="Arial" w:cs="Arial"/>
        </w:rPr>
      </w:pPr>
      <w:r w:rsidRPr="00C824CB">
        <w:rPr>
          <w:rFonts w:ascii="Arial" w:hAnsi="Arial" w:cs="Arial"/>
          <w:vertAlign w:val="superscript"/>
        </w:rPr>
        <w:t>e</w:t>
      </w:r>
      <w:r w:rsidRPr="00C824CB">
        <w:rPr>
          <w:rFonts w:ascii="Arial" w:hAnsi="Arial" w:cs="Arial"/>
        </w:rPr>
        <w:t xml:space="preserve"> Department of Preventive Intervention for Psychiatric Disorders, National Institute of Mental Health, National Center of Neurology and Psychiatry, </w:t>
      </w:r>
      <w:proofErr w:type="spellStart"/>
      <w:r w:rsidRPr="00C824CB">
        <w:rPr>
          <w:rFonts w:ascii="Arial" w:hAnsi="Arial" w:cs="Arial"/>
        </w:rPr>
        <w:t>Kodaira</w:t>
      </w:r>
      <w:proofErr w:type="spellEnd"/>
      <w:r w:rsidRPr="00C824CB">
        <w:rPr>
          <w:rFonts w:ascii="Arial" w:hAnsi="Arial" w:cs="Arial"/>
        </w:rPr>
        <w:t>, Tokyo, Japan</w:t>
      </w:r>
    </w:p>
    <w:p w14:paraId="7E604368" w14:textId="77777777" w:rsidR="00C824CB" w:rsidRPr="00C824CB" w:rsidRDefault="00C824CB" w:rsidP="00C824CB">
      <w:pPr>
        <w:spacing w:line="480" w:lineRule="auto"/>
        <w:jc w:val="both"/>
        <w:rPr>
          <w:rFonts w:ascii="Arial" w:hAnsi="Arial" w:cs="Arial"/>
        </w:rPr>
      </w:pPr>
      <w:r w:rsidRPr="00C824CB">
        <w:rPr>
          <w:rFonts w:ascii="Arial" w:hAnsi="Arial" w:cs="Arial"/>
          <w:vertAlign w:val="superscript"/>
        </w:rPr>
        <w:t>g</w:t>
      </w:r>
      <w:r w:rsidRPr="00C824CB">
        <w:rPr>
          <w:rFonts w:ascii="Arial" w:hAnsi="Arial" w:cs="Arial"/>
        </w:rPr>
        <w:t xml:space="preserve"> </w:t>
      </w:r>
      <w:r w:rsidRPr="00C824CB">
        <w:rPr>
          <w:rFonts w:ascii="Arial" w:hAnsi="Arial"/>
          <w:lang w:val="es-ES"/>
        </w:rPr>
        <w:t xml:space="preserve">ICREA, Pg. </w:t>
      </w:r>
      <w:proofErr w:type="spellStart"/>
      <w:r w:rsidRPr="00C824CB">
        <w:rPr>
          <w:rFonts w:ascii="Arial" w:hAnsi="Arial"/>
          <w:lang w:val="es-ES"/>
        </w:rPr>
        <w:t>Lluis</w:t>
      </w:r>
      <w:proofErr w:type="spellEnd"/>
      <w:r w:rsidRPr="00C824CB">
        <w:rPr>
          <w:rFonts w:ascii="Arial" w:hAnsi="Arial"/>
          <w:lang w:val="es-ES"/>
        </w:rPr>
        <w:t xml:space="preserve"> Companys 23, Barcelona, </w:t>
      </w:r>
      <w:proofErr w:type="spellStart"/>
      <w:r w:rsidRPr="00C824CB">
        <w:rPr>
          <w:rFonts w:ascii="Arial" w:hAnsi="Arial"/>
          <w:lang w:val="es-ES"/>
        </w:rPr>
        <w:t>Spain</w:t>
      </w:r>
      <w:proofErr w:type="spellEnd"/>
    </w:p>
    <w:p w14:paraId="42A1D3B8" w14:textId="77777777" w:rsidR="00C824CB" w:rsidRPr="00C824CB" w:rsidRDefault="00C824CB" w:rsidP="00C545C5">
      <w:pPr>
        <w:spacing w:line="480" w:lineRule="auto"/>
        <w:jc w:val="both"/>
        <w:rPr>
          <w:rFonts w:ascii="Arial" w:hAnsi="Arial" w:cs="Arial"/>
          <w:b/>
        </w:rPr>
      </w:pPr>
    </w:p>
    <w:p w14:paraId="2CF3B1EF" w14:textId="77777777" w:rsidR="00C824CB" w:rsidRPr="00C824CB" w:rsidRDefault="00C824CB" w:rsidP="00C545C5">
      <w:pPr>
        <w:spacing w:line="480" w:lineRule="auto"/>
        <w:jc w:val="both"/>
        <w:rPr>
          <w:rFonts w:ascii="Arial" w:hAnsi="Arial" w:cs="Arial"/>
          <w:b/>
        </w:rPr>
      </w:pPr>
    </w:p>
    <w:p w14:paraId="75169456" w14:textId="77777777" w:rsidR="00C824CB" w:rsidRPr="00C824CB" w:rsidRDefault="00C824CB" w:rsidP="00C545C5">
      <w:pPr>
        <w:spacing w:line="480" w:lineRule="auto"/>
        <w:jc w:val="both"/>
        <w:rPr>
          <w:rFonts w:ascii="Arial" w:hAnsi="Arial" w:cs="Arial"/>
          <w:b/>
        </w:rPr>
      </w:pPr>
    </w:p>
    <w:p w14:paraId="51EAAA16" w14:textId="77777777" w:rsidR="00C824CB" w:rsidRPr="00C824CB" w:rsidRDefault="00C824CB" w:rsidP="00C545C5">
      <w:pPr>
        <w:spacing w:line="480" w:lineRule="auto"/>
        <w:jc w:val="both"/>
        <w:rPr>
          <w:rFonts w:ascii="Arial" w:hAnsi="Arial" w:cs="Arial"/>
          <w:b/>
        </w:rPr>
      </w:pPr>
    </w:p>
    <w:p w14:paraId="3FA80141" w14:textId="77777777" w:rsidR="00C824CB" w:rsidRPr="00C824CB" w:rsidRDefault="00C824CB" w:rsidP="00C545C5">
      <w:pPr>
        <w:spacing w:line="480" w:lineRule="auto"/>
        <w:jc w:val="both"/>
        <w:rPr>
          <w:rFonts w:ascii="Arial" w:hAnsi="Arial" w:cs="Arial"/>
          <w:b/>
        </w:rPr>
      </w:pPr>
    </w:p>
    <w:p w14:paraId="7111A0ED" w14:textId="328BFE50" w:rsidR="00DB3BB7" w:rsidRPr="00C824CB" w:rsidRDefault="00626101" w:rsidP="00C545C5">
      <w:pPr>
        <w:spacing w:line="480" w:lineRule="auto"/>
        <w:jc w:val="both"/>
        <w:rPr>
          <w:rFonts w:ascii="Arial" w:hAnsi="Arial" w:cs="Arial"/>
          <w:b/>
        </w:rPr>
      </w:pPr>
      <w:r w:rsidRPr="00C824CB">
        <w:rPr>
          <w:rFonts w:ascii="Arial" w:hAnsi="Arial" w:cs="Arial"/>
          <w:b/>
        </w:rPr>
        <w:lastRenderedPageBreak/>
        <w:t>Abstract</w:t>
      </w:r>
    </w:p>
    <w:p w14:paraId="79B8163B" w14:textId="22CA61AA" w:rsidR="002909CF" w:rsidRPr="00C824CB" w:rsidRDefault="002909CF" w:rsidP="00C545C5">
      <w:pPr>
        <w:spacing w:line="480" w:lineRule="auto"/>
        <w:jc w:val="both"/>
        <w:rPr>
          <w:rFonts w:ascii="Arial" w:hAnsi="Arial" w:cs="Arial"/>
        </w:rPr>
      </w:pPr>
    </w:p>
    <w:p w14:paraId="2681527B" w14:textId="4C357BFE" w:rsidR="008D1F17" w:rsidRPr="00C824CB" w:rsidRDefault="00572F66" w:rsidP="008D1F17">
      <w:pPr>
        <w:spacing w:line="480" w:lineRule="auto"/>
        <w:jc w:val="both"/>
        <w:rPr>
          <w:rFonts w:ascii="Arial" w:hAnsi="Arial" w:cs="Arial"/>
        </w:rPr>
      </w:pPr>
      <w:r w:rsidRPr="00C824CB">
        <w:rPr>
          <w:rFonts w:ascii="Arial" w:hAnsi="Arial" w:cs="Arial"/>
          <w:i/>
        </w:rPr>
        <w:t>Objectives</w:t>
      </w:r>
      <w:r w:rsidR="008D1F17" w:rsidRPr="00C824CB">
        <w:rPr>
          <w:rFonts w:ascii="Arial" w:hAnsi="Arial" w:cs="Arial"/>
          <w:i/>
        </w:rPr>
        <w:t>:</w:t>
      </w:r>
      <w:r w:rsidR="008D1F17" w:rsidRPr="00C824CB">
        <w:rPr>
          <w:rFonts w:ascii="Arial" w:hAnsi="Arial" w:cs="Arial"/>
        </w:rPr>
        <w:t xml:space="preserve"> </w:t>
      </w:r>
      <w:r w:rsidR="00AB7D15" w:rsidRPr="00C824CB">
        <w:rPr>
          <w:rFonts w:ascii="Arial" w:hAnsi="Arial" w:cs="Arial"/>
        </w:rPr>
        <w:t>N</w:t>
      </w:r>
      <w:r w:rsidRPr="00C824CB">
        <w:rPr>
          <w:rFonts w:ascii="Arial" w:hAnsi="Arial" w:cs="Arial"/>
        </w:rPr>
        <w:t xml:space="preserve">o study </w:t>
      </w:r>
      <w:r w:rsidR="00AB7D15" w:rsidRPr="00C824CB">
        <w:rPr>
          <w:rFonts w:ascii="Arial" w:hAnsi="Arial" w:cs="Arial"/>
        </w:rPr>
        <w:t xml:space="preserve">has yet </w:t>
      </w:r>
      <w:r w:rsidRPr="00C824CB">
        <w:rPr>
          <w:rFonts w:ascii="Arial" w:hAnsi="Arial" w:cs="Arial"/>
        </w:rPr>
        <w:t>investigat</w:t>
      </w:r>
      <w:r w:rsidR="00AB7D15" w:rsidRPr="00C824CB">
        <w:rPr>
          <w:rFonts w:ascii="Arial" w:hAnsi="Arial" w:cs="Arial"/>
        </w:rPr>
        <w:t>ed</w:t>
      </w:r>
      <w:r w:rsidRPr="00C824CB">
        <w:rPr>
          <w:rFonts w:ascii="Arial" w:hAnsi="Arial" w:cs="Arial"/>
        </w:rPr>
        <w:t xml:space="preserve"> the association between intelligence quotient </w:t>
      </w:r>
      <w:r w:rsidR="0073074B" w:rsidRPr="00C824CB">
        <w:rPr>
          <w:rFonts w:ascii="Arial" w:hAnsi="Arial" w:cs="Arial"/>
        </w:rPr>
        <w:t xml:space="preserve">(IQ) </w:t>
      </w:r>
      <w:r w:rsidRPr="00C824CB">
        <w:rPr>
          <w:rFonts w:ascii="Arial" w:hAnsi="Arial" w:cs="Arial"/>
        </w:rPr>
        <w:t xml:space="preserve">and disability </w:t>
      </w:r>
      <w:r w:rsidR="00297ABE" w:rsidRPr="00C824CB">
        <w:rPr>
          <w:rFonts w:ascii="Arial" w:hAnsi="Arial" w:cs="Arial"/>
        </w:rPr>
        <w:t xml:space="preserve">[i.e., </w:t>
      </w:r>
      <w:r w:rsidR="00E1575E" w:rsidRPr="00C824CB">
        <w:rPr>
          <w:rFonts w:ascii="Arial" w:hAnsi="Arial" w:cs="Arial"/>
        </w:rPr>
        <w:t xml:space="preserve">difficulties in </w:t>
      </w:r>
      <w:r w:rsidR="00297ABE" w:rsidRPr="00C824CB">
        <w:rPr>
          <w:rFonts w:ascii="Arial" w:hAnsi="Arial" w:cs="Arial"/>
        </w:rPr>
        <w:t xml:space="preserve">activities of daily living (ADL) </w:t>
      </w:r>
      <w:r w:rsidR="00E1575E" w:rsidRPr="00C824CB">
        <w:rPr>
          <w:rFonts w:ascii="Arial" w:hAnsi="Arial" w:cs="Arial"/>
        </w:rPr>
        <w:t>or</w:t>
      </w:r>
      <w:r w:rsidR="00297ABE" w:rsidRPr="00C824CB">
        <w:rPr>
          <w:rFonts w:ascii="Arial" w:hAnsi="Arial" w:cs="Arial"/>
        </w:rPr>
        <w:t xml:space="preserve"> instrumental activities of daily living (IADL)] </w:t>
      </w:r>
      <w:r w:rsidRPr="00C824CB">
        <w:rPr>
          <w:rFonts w:ascii="Arial" w:hAnsi="Arial" w:cs="Arial"/>
        </w:rPr>
        <w:t xml:space="preserve">in the general population. </w:t>
      </w:r>
      <w:r w:rsidR="00595618" w:rsidRPr="00C824CB">
        <w:rPr>
          <w:rFonts w:ascii="Arial" w:hAnsi="Arial" w:cs="Arial"/>
        </w:rPr>
        <w:t>T</w:t>
      </w:r>
      <w:r w:rsidR="008D1F17" w:rsidRPr="00C824CB">
        <w:rPr>
          <w:rFonts w:ascii="Arial" w:hAnsi="Arial" w:cs="Arial"/>
        </w:rPr>
        <w:t xml:space="preserve">he goal of this nationally representative study was to </w:t>
      </w:r>
      <w:r w:rsidR="00D74CF0" w:rsidRPr="00C824CB">
        <w:rPr>
          <w:rFonts w:ascii="Arial" w:hAnsi="Arial" w:cs="Arial"/>
        </w:rPr>
        <w:t xml:space="preserve">therefore </w:t>
      </w:r>
      <w:r w:rsidR="00AB7D15" w:rsidRPr="00C824CB">
        <w:rPr>
          <w:rFonts w:ascii="Arial" w:hAnsi="Arial" w:cs="Arial"/>
        </w:rPr>
        <w:t>analyze</w:t>
      </w:r>
      <w:r w:rsidR="008D1F17" w:rsidRPr="00C824CB">
        <w:rPr>
          <w:rFonts w:ascii="Arial" w:hAnsi="Arial" w:cs="Arial"/>
        </w:rPr>
        <w:t xml:space="preserve"> the potential </w:t>
      </w:r>
      <w:r w:rsidR="00AB7D15" w:rsidRPr="00C824CB">
        <w:rPr>
          <w:rFonts w:ascii="Arial" w:hAnsi="Arial" w:cs="Arial"/>
        </w:rPr>
        <w:t>IQ-disability relationship</w:t>
      </w:r>
      <w:r w:rsidR="008D1F17" w:rsidRPr="00C824CB">
        <w:rPr>
          <w:rFonts w:ascii="Arial" w:hAnsi="Arial" w:cs="Arial"/>
        </w:rPr>
        <w:t xml:space="preserve"> in </w:t>
      </w:r>
      <w:r w:rsidR="006224A0" w:rsidRPr="00C824CB">
        <w:rPr>
          <w:rFonts w:ascii="Arial" w:hAnsi="Arial" w:cs="Arial"/>
        </w:rPr>
        <w:t>England</w:t>
      </w:r>
      <w:r w:rsidR="002D5601" w:rsidRPr="00C824CB">
        <w:rPr>
          <w:rFonts w:ascii="Arial" w:hAnsi="Arial" w:cs="Arial"/>
        </w:rPr>
        <w:t xml:space="preserve">, and to identify </w:t>
      </w:r>
      <w:r w:rsidR="00FE288B" w:rsidRPr="00C824CB">
        <w:rPr>
          <w:rFonts w:ascii="Arial" w:hAnsi="Arial" w:cs="Arial"/>
        </w:rPr>
        <w:t xml:space="preserve">influential factors in </w:t>
      </w:r>
      <w:r w:rsidR="002D5601" w:rsidRPr="00C824CB">
        <w:rPr>
          <w:rFonts w:ascii="Arial" w:hAnsi="Arial" w:cs="Arial"/>
        </w:rPr>
        <w:t xml:space="preserve">this </w:t>
      </w:r>
      <w:r w:rsidR="00AB7D15" w:rsidRPr="00C824CB">
        <w:rPr>
          <w:rFonts w:ascii="Arial" w:hAnsi="Arial" w:cs="Arial"/>
        </w:rPr>
        <w:t>association</w:t>
      </w:r>
      <w:r w:rsidR="002D5601" w:rsidRPr="00C824CB">
        <w:rPr>
          <w:rFonts w:ascii="Arial" w:hAnsi="Arial" w:cs="Arial"/>
        </w:rPr>
        <w:t>.</w:t>
      </w:r>
    </w:p>
    <w:p w14:paraId="041DA93A" w14:textId="4DB2143F" w:rsidR="00442F35" w:rsidRPr="00C824CB" w:rsidRDefault="00442F35" w:rsidP="008D1F17">
      <w:pPr>
        <w:spacing w:line="480" w:lineRule="auto"/>
        <w:jc w:val="both"/>
        <w:rPr>
          <w:rFonts w:ascii="Arial" w:hAnsi="Arial" w:cs="Arial"/>
        </w:rPr>
      </w:pPr>
      <w:r w:rsidRPr="00C824CB">
        <w:rPr>
          <w:rFonts w:ascii="Arial" w:hAnsi="Arial" w:cs="Arial"/>
          <w:i/>
        </w:rPr>
        <w:t>Methods:</w:t>
      </w:r>
      <w:r w:rsidRPr="00C824CB">
        <w:rPr>
          <w:rFonts w:ascii="Arial" w:hAnsi="Arial" w:cs="Arial"/>
        </w:rPr>
        <w:t xml:space="preserve"> Cross-sectional data </w:t>
      </w:r>
      <w:r w:rsidR="00446C1C" w:rsidRPr="00C824CB">
        <w:rPr>
          <w:rFonts w:ascii="Arial" w:hAnsi="Arial" w:cs="Arial"/>
        </w:rPr>
        <w:t xml:space="preserve">were analyzed </w:t>
      </w:r>
      <w:r w:rsidRPr="00C824CB">
        <w:rPr>
          <w:rFonts w:ascii="Arial" w:hAnsi="Arial" w:cs="Arial"/>
        </w:rPr>
        <w:t xml:space="preserve">from the 2007 Adult Psychiatric Morbidity Survey </w:t>
      </w:r>
      <w:r w:rsidR="001B160C" w:rsidRPr="00C824CB">
        <w:rPr>
          <w:rFonts w:ascii="Arial" w:hAnsi="Arial" w:cs="Arial"/>
        </w:rPr>
        <w:t>(n=6872)</w:t>
      </w:r>
      <w:r w:rsidRPr="00C824CB">
        <w:rPr>
          <w:rFonts w:ascii="Arial" w:hAnsi="Arial" w:cs="Arial"/>
        </w:rPr>
        <w:t xml:space="preserve">. IQ was </w:t>
      </w:r>
      <w:r w:rsidR="00E22C48" w:rsidRPr="00C824CB">
        <w:rPr>
          <w:rFonts w:ascii="Arial" w:hAnsi="Arial" w:cs="Arial"/>
        </w:rPr>
        <w:t>assessed</w:t>
      </w:r>
      <w:r w:rsidRPr="00C824CB">
        <w:rPr>
          <w:rFonts w:ascii="Arial" w:hAnsi="Arial" w:cs="Arial"/>
        </w:rPr>
        <w:t xml:space="preserve"> using the National Adult Reading Test (NART)</w:t>
      </w:r>
      <w:r w:rsidR="004C6134" w:rsidRPr="00C824CB">
        <w:rPr>
          <w:rFonts w:ascii="Arial" w:hAnsi="Arial" w:cs="Arial"/>
        </w:rPr>
        <w:t>,</w:t>
      </w:r>
      <w:r w:rsidR="00A81CBC" w:rsidRPr="00C824CB">
        <w:rPr>
          <w:rFonts w:ascii="Arial" w:hAnsi="Arial" w:cs="Arial"/>
        </w:rPr>
        <w:t xml:space="preserve"> a test that consists of a list of 50 words and is scored by counting the number of errors made in reading out the words. D</w:t>
      </w:r>
      <w:r w:rsidR="004C6134" w:rsidRPr="00C824CB">
        <w:rPr>
          <w:rFonts w:ascii="Arial" w:hAnsi="Arial" w:cs="Arial"/>
        </w:rPr>
        <w:t xml:space="preserve">isability </w:t>
      </w:r>
      <w:r w:rsidR="008B3AAF" w:rsidRPr="00C824CB">
        <w:rPr>
          <w:rFonts w:ascii="Arial" w:hAnsi="Arial" w:cs="Arial"/>
        </w:rPr>
        <w:t xml:space="preserve">was defined as having </w:t>
      </w:r>
      <w:r w:rsidR="004C6134" w:rsidRPr="00C824CB">
        <w:rPr>
          <w:rFonts w:ascii="Arial" w:hAnsi="Arial" w:cs="Arial"/>
        </w:rPr>
        <w:t xml:space="preserve">difficulties in </w:t>
      </w:r>
      <w:r w:rsidR="008B3AAF" w:rsidRPr="00C824CB">
        <w:rPr>
          <w:rFonts w:ascii="Arial" w:hAnsi="Arial" w:cs="Arial"/>
        </w:rPr>
        <w:t xml:space="preserve">at least one of the seven domains of </w:t>
      </w:r>
      <w:r w:rsidR="004C6134" w:rsidRPr="00C824CB">
        <w:rPr>
          <w:rFonts w:ascii="Arial" w:hAnsi="Arial" w:cs="Arial"/>
        </w:rPr>
        <w:t xml:space="preserve">ADL </w:t>
      </w:r>
      <w:r w:rsidR="008B3AAF" w:rsidRPr="00C824CB">
        <w:rPr>
          <w:rFonts w:ascii="Arial" w:hAnsi="Arial" w:cs="Arial"/>
        </w:rPr>
        <w:t>and</w:t>
      </w:r>
      <w:r w:rsidR="004C6134" w:rsidRPr="00C824CB">
        <w:rPr>
          <w:rFonts w:ascii="Arial" w:hAnsi="Arial" w:cs="Arial"/>
        </w:rPr>
        <w:t xml:space="preserve"> IADL.</w:t>
      </w:r>
      <w:r w:rsidR="00C36E62" w:rsidRPr="00C824CB">
        <w:rPr>
          <w:rFonts w:ascii="Arial" w:hAnsi="Arial" w:cs="Arial"/>
        </w:rPr>
        <w:t xml:space="preserve"> Regression and mediation analyses were conducted to analyze the</w:t>
      </w:r>
      <w:r w:rsidR="00104DAE" w:rsidRPr="00C824CB">
        <w:rPr>
          <w:rFonts w:ascii="Arial" w:hAnsi="Arial" w:cs="Arial"/>
        </w:rPr>
        <w:t xml:space="preserve"> association between</w:t>
      </w:r>
      <w:r w:rsidR="00C36E62" w:rsidRPr="00C824CB">
        <w:rPr>
          <w:rFonts w:ascii="Arial" w:hAnsi="Arial" w:cs="Arial"/>
        </w:rPr>
        <w:t xml:space="preserve"> IQ</w:t>
      </w:r>
      <w:r w:rsidR="00104DAE" w:rsidRPr="00C824CB">
        <w:rPr>
          <w:rFonts w:ascii="Arial" w:hAnsi="Arial" w:cs="Arial"/>
        </w:rPr>
        <w:t xml:space="preserve"> and </w:t>
      </w:r>
      <w:r w:rsidR="00C36E62" w:rsidRPr="00C824CB">
        <w:rPr>
          <w:rFonts w:ascii="Arial" w:hAnsi="Arial" w:cs="Arial"/>
        </w:rPr>
        <w:t>disability</w:t>
      </w:r>
      <w:r w:rsidR="00104DAE" w:rsidRPr="00C824CB">
        <w:rPr>
          <w:rFonts w:ascii="Arial" w:hAnsi="Arial" w:cs="Arial"/>
        </w:rPr>
        <w:t xml:space="preserve">, </w:t>
      </w:r>
      <w:r w:rsidR="00C36E62" w:rsidRPr="00C824CB">
        <w:rPr>
          <w:rFonts w:ascii="Arial" w:hAnsi="Arial" w:cs="Arial"/>
        </w:rPr>
        <w:t xml:space="preserve">and </w:t>
      </w:r>
      <w:r w:rsidR="00F51C55" w:rsidRPr="00C824CB">
        <w:rPr>
          <w:rFonts w:ascii="Arial" w:hAnsi="Arial" w:cs="Arial"/>
        </w:rPr>
        <w:t xml:space="preserve">to </w:t>
      </w:r>
      <w:r w:rsidR="00C36E62" w:rsidRPr="00C824CB">
        <w:rPr>
          <w:rFonts w:ascii="Arial" w:hAnsi="Arial" w:cs="Arial"/>
        </w:rPr>
        <w:t xml:space="preserve">identify potential factors involved in this relationship. </w:t>
      </w:r>
    </w:p>
    <w:p w14:paraId="6D1F5741" w14:textId="43BF8536" w:rsidR="00C36E62" w:rsidRPr="00C824CB" w:rsidRDefault="00C36E62" w:rsidP="00C36E62">
      <w:pPr>
        <w:spacing w:line="480" w:lineRule="auto"/>
        <w:jc w:val="both"/>
        <w:rPr>
          <w:rFonts w:ascii="Arial" w:hAnsi="Arial" w:cs="Arial"/>
        </w:rPr>
      </w:pPr>
      <w:r w:rsidRPr="00C824CB">
        <w:rPr>
          <w:rFonts w:ascii="Arial" w:hAnsi="Arial" w:cs="Arial"/>
          <w:i/>
        </w:rPr>
        <w:t>Results:</w:t>
      </w:r>
      <w:r w:rsidRPr="00C824CB">
        <w:rPr>
          <w:rFonts w:ascii="Arial" w:hAnsi="Arial" w:cs="Arial"/>
        </w:rPr>
        <w:t xml:space="preserve"> The prevalence of disability increased from 27.7% in the IQ 120-129 group to 51.0% in the IQ 70-79 group. </w:t>
      </w:r>
      <w:r w:rsidR="00876EDC" w:rsidRPr="00C824CB">
        <w:rPr>
          <w:rFonts w:ascii="Arial" w:hAnsi="Arial" w:cs="Arial"/>
        </w:rPr>
        <w:t xml:space="preserve">After adjusting for sex, age and ethnicity, compared </w:t>
      </w:r>
      <w:r w:rsidR="002C6783" w:rsidRPr="00C824CB">
        <w:rPr>
          <w:rFonts w:ascii="Arial" w:hAnsi="Arial" w:cs="Arial"/>
        </w:rPr>
        <w:t>to</w:t>
      </w:r>
      <w:r w:rsidR="00876EDC" w:rsidRPr="00C824CB">
        <w:rPr>
          <w:rFonts w:ascii="Arial" w:hAnsi="Arial" w:cs="Arial"/>
        </w:rPr>
        <w:t xml:space="preserve"> those with IQ scores of 120-129, scores of 110-119, 100-109, 90-99, 80-89, and 70-79 were associated with 1.22 [95% confidence interval (CI): 1.01-1.48], 1.42 (95%CI: 1.16-1.72), 1.86 (95%CI: 1.54-2.25), 2.41 (95%CI: 1.92-3.03), and 4.71 (95%CI: 3.56-6.17) times higher odds for disability, respectively.</w:t>
      </w:r>
      <w:r w:rsidRPr="00C824CB">
        <w:rPr>
          <w:rFonts w:ascii="Arial" w:hAnsi="Arial" w:cs="Arial"/>
        </w:rPr>
        <w:t xml:space="preserve"> </w:t>
      </w:r>
      <w:r w:rsidR="00C01C94" w:rsidRPr="00C824CB">
        <w:rPr>
          <w:rFonts w:ascii="Arial" w:hAnsi="Arial" w:cs="Arial"/>
        </w:rPr>
        <w:t xml:space="preserve">In addition, there was a positive association between a one SD decrease in IQ and disability </w:t>
      </w:r>
      <w:r w:rsidR="00E451D7" w:rsidRPr="00C824CB">
        <w:rPr>
          <w:rFonts w:ascii="Arial" w:hAnsi="Arial" w:cs="Arial"/>
        </w:rPr>
        <w:t>(</w:t>
      </w:r>
      <w:r w:rsidR="00C01C94" w:rsidRPr="00C824CB">
        <w:rPr>
          <w:rFonts w:ascii="Arial" w:hAnsi="Arial" w:cs="Arial"/>
        </w:rPr>
        <w:t>odds</w:t>
      </w:r>
      <w:r w:rsidR="00506C7B" w:rsidRPr="00C824CB">
        <w:rPr>
          <w:rFonts w:ascii="Arial" w:hAnsi="Arial" w:cs="Arial"/>
        </w:rPr>
        <w:t xml:space="preserve"> </w:t>
      </w:r>
      <w:r w:rsidR="00C01C94" w:rsidRPr="00C824CB">
        <w:rPr>
          <w:rFonts w:ascii="Arial" w:hAnsi="Arial" w:cs="Arial"/>
        </w:rPr>
        <w:t xml:space="preserve">ratio=1.53, 95%CI: 1.43-1.63). Finally, income (mediated percentage=26.9%), social class (18.0%) and qualification (11.6%) were the strongest </w:t>
      </w:r>
      <w:r w:rsidR="00FE288B" w:rsidRPr="00C824CB">
        <w:rPr>
          <w:rFonts w:ascii="Arial" w:hAnsi="Arial" w:cs="Arial"/>
        </w:rPr>
        <w:t xml:space="preserve">influential factors </w:t>
      </w:r>
      <w:r w:rsidR="00C01C94" w:rsidRPr="00C824CB">
        <w:rPr>
          <w:rFonts w:ascii="Arial" w:hAnsi="Arial" w:cs="Arial"/>
        </w:rPr>
        <w:t>involved in the relationship between IQ and disability</w:t>
      </w:r>
      <w:r w:rsidR="00506C7B" w:rsidRPr="00C824CB">
        <w:rPr>
          <w:rFonts w:ascii="Arial" w:hAnsi="Arial" w:cs="Arial"/>
        </w:rPr>
        <w:t xml:space="preserve">, and these </w:t>
      </w:r>
      <w:r w:rsidR="005E0AC6" w:rsidRPr="00C824CB">
        <w:rPr>
          <w:rFonts w:ascii="Arial" w:hAnsi="Arial" w:cs="Arial"/>
        </w:rPr>
        <w:t xml:space="preserve">socioeconomic </w:t>
      </w:r>
      <w:r w:rsidR="00506C7B" w:rsidRPr="00C824CB">
        <w:rPr>
          <w:rFonts w:ascii="Arial" w:hAnsi="Arial" w:cs="Arial"/>
        </w:rPr>
        <w:t xml:space="preserve">factors collectively explained </w:t>
      </w:r>
      <w:r w:rsidR="00BC4C67" w:rsidRPr="00C824CB">
        <w:rPr>
          <w:rFonts w:ascii="Arial" w:hAnsi="Arial" w:cs="Arial"/>
        </w:rPr>
        <w:t>37.1</w:t>
      </w:r>
      <w:r w:rsidR="00506C7B" w:rsidRPr="00C824CB">
        <w:rPr>
          <w:rFonts w:ascii="Arial" w:hAnsi="Arial" w:cs="Arial"/>
        </w:rPr>
        <w:t>% of the association</w:t>
      </w:r>
      <w:r w:rsidR="00C01C94" w:rsidRPr="00C824CB">
        <w:rPr>
          <w:rFonts w:ascii="Arial" w:hAnsi="Arial" w:cs="Arial"/>
        </w:rPr>
        <w:t>.</w:t>
      </w:r>
    </w:p>
    <w:p w14:paraId="7235F685" w14:textId="122BAC55" w:rsidR="00C36E62" w:rsidRPr="00C824CB" w:rsidRDefault="00C36E62" w:rsidP="00C36E62">
      <w:pPr>
        <w:spacing w:line="480" w:lineRule="auto"/>
        <w:jc w:val="both"/>
        <w:rPr>
          <w:rFonts w:ascii="Arial" w:hAnsi="Arial" w:cs="Arial"/>
          <w:u w:val="single"/>
        </w:rPr>
      </w:pPr>
      <w:r w:rsidRPr="00C824CB">
        <w:rPr>
          <w:rFonts w:ascii="Arial" w:hAnsi="Arial" w:cs="Arial"/>
          <w:i/>
        </w:rPr>
        <w:lastRenderedPageBreak/>
        <w:t>Conclusions:</w:t>
      </w:r>
      <w:r w:rsidRPr="00C824CB">
        <w:rPr>
          <w:rFonts w:ascii="Arial" w:hAnsi="Arial" w:cs="Arial"/>
        </w:rPr>
        <w:t xml:space="preserve"> There was a positive association between low IQ and disability in England</w:t>
      </w:r>
      <w:r w:rsidR="00C01C94" w:rsidRPr="00C824CB">
        <w:rPr>
          <w:rFonts w:ascii="Arial" w:hAnsi="Arial" w:cs="Arial"/>
        </w:rPr>
        <w:t>, and socioeconomic status explained more than one</w:t>
      </w:r>
      <w:r w:rsidR="00DA361E" w:rsidRPr="00C824CB">
        <w:rPr>
          <w:rFonts w:ascii="Arial" w:hAnsi="Arial" w:cs="Arial"/>
        </w:rPr>
        <w:t>-</w:t>
      </w:r>
      <w:r w:rsidR="00C01C94" w:rsidRPr="00C824CB">
        <w:rPr>
          <w:rFonts w:ascii="Arial" w:hAnsi="Arial" w:cs="Arial"/>
        </w:rPr>
        <w:t>third of this relationship.</w:t>
      </w:r>
    </w:p>
    <w:p w14:paraId="4911861B" w14:textId="5B6A26AC" w:rsidR="008D1F17" w:rsidRPr="00C824CB" w:rsidRDefault="008D1F17" w:rsidP="00C545C5">
      <w:pPr>
        <w:spacing w:line="480" w:lineRule="auto"/>
        <w:jc w:val="both"/>
        <w:rPr>
          <w:rFonts w:ascii="Arial" w:hAnsi="Arial" w:cs="Arial"/>
        </w:rPr>
      </w:pPr>
    </w:p>
    <w:p w14:paraId="50CE4B9E" w14:textId="08DE8B7C" w:rsidR="00626101" w:rsidRPr="00C824CB" w:rsidRDefault="00626101" w:rsidP="00C545C5">
      <w:pPr>
        <w:spacing w:line="480" w:lineRule="auto"/>
        <w:jc w:val="both"/>
        <w:rPr>
          <w:rFonts w:ascii="Arial" w:hAnsi="Arial" w:cs="Arial"/>
        </w:rPr>
      </w:pPr>
      <w:r w:rsidRPr="00C824CB">
        <w:rPr>
          <w:rFonts w:ascii="Arial" w:hAnsi="Arial" w:cs="Arial"/>
          <w:b/>
        </w:rPr>
        <w:t>Keywords:</w:t>
      </w:r>
      <w:r w:rsidRPr="00C824CB">
        <w:rPr>
          <w:rFonts w:ascii="Arial" w:hAnsi="Arial" w:cs="Arial"/>
        </w:rPr>
        <w:t xml:space="preserve"> </w:t>
      </w:r>
      <w:r w:rsidR="000D39A7" w:rsidRPr="00C824CB">
        <w:rPr>
          <w:rFonts w:ascii="Arial" w:hAnsi="Arial" w:cs="Arial"/>
        </w:rPr>
        <w:t xml:space="preserve">intelligence quotient; disability; </w:t>
      </w:r>
      <w:r w:rsidR="00CF7294" w:rsidRPr="00C824CB">
        <w:rPr>
          <w:rFonts w:ascii="Arial" w:hAnsi="Arial" w:cs="Arial"/>
        </w:rPr>
        <w:t>England</w:t>
      </w:r>
      <w:r w:rsidR="00FE288B" w:rsidRPr="00C824CB">
        <w:rPr>
          <w:rFonts w:ascii="Arial" w:hAnsi="Arial" w:cs="Arial"/>
        </w:rPr>
        <w:t>; epidemiology</w:t>
      </w:r>
    </w:p>
    <w:p w14:paraId="0E170DD2" w14:textId="77777777" w:rsidR="00C545C5" w:rsidRPr="00C824CB" w:rsidRDefault="00C545C5">
      <w:pPr>
        <w:rPr>
          <w:rFonts w:ascii="Arial" w:hAnsi="Arial" w:cs="Arial"/>
          <w:b/>
        </w:rPr>
      </w:pPr>
      <w:r w:rsidRPr="00C824CB">
        <w:rPr>
          <w:rFonts w:ascii="Arial" w:hAnsi="Arial" w:cs="Arial"/>
          <w:b/>
        </w:rPr>
        <w:br w:type="page"/>
      </w:r>
    </w:p>
    <w:p w14:paraId="07056848" w14:textId="11BCABCA" w:rsidR="00A52632" w:rsidRPr="00C824CB" w:rsidRDefault="00A52632" w:rsidP="00DB3BB7">
      <w:pPr>
        <w:spacing w:line="480" w:lineRule="auto"/>
        <w:rPr>
          <w:rFonts w:ascii="Arial" w:hAnsi="Arial" w:cs="Arial"/>
          <w:b/>
        </w:rPr>
      </w:pPr>
      <w:r w:rsidRPr="00C824CB">
        <w:rPr>
          <w:rFonts w:ascii="Arial" w:hAnsi="Arial" w:cs="Arial"/>
          <w:b/>
        </w:rPr>
        <w:lastRenderedPageBreak/>
        <w:t>Introduction</w:t>
      </w:r>
    </w:p>
    <w:p w14:paraId="758E1CDF" w14:textId="5BE3D88D" w:rsidR="00E601FD" w:rsidRPr="00C824CB" w:rsidRDefault="00E601FD" w:rsidP="00DB3BB7">
      <w:pPr>
        <w:spacing w:line="480" w:lineRule="auto"/>
        <w:rPr>
          <w:rFonts w:ascii="Arial" w:hAnsi="Arial" w:cs="Arial"/>
        </w:rPr>
      </w:pPr>
    </w:p>
    <w:p w14:paraId="7AAD097A" w14:textId="7BDF3B30" w:rsidR="00A3684B" w:rsidRPr="00C824CB" w:rsidRDefault="00C43ED3" w:rsidP="003E3F8C">
      <w:pPr>
        <w:spacing w:line="480" w:lineRule="auto"/>
        <w:jc w:val="both"/>
        <w:rPr>
          <w:rFonts w:ascii="Arial" w:hAnsi="Arial" w:cs="Arial"/>
        </w:rPr>
      </w:pPr>
      <w:r w:rsidRPr="00C824CB">
        <w:rPr>
          <w:rFonts w:ascii="Arial" w:hAnsi="Arial" w:cs="Arial"/>
        </w:rPr>
        <w:t>M</w:t>
      </w:r>
      <w:r w:rsidR="00A50B67" w:rsidRPr="00C824CB">
        <w:rPr>
          <w:rFonts w:ascii="Arial" w:hAnsi="Arial" w:cs="Arial"/>
        </w:rPr>
        <w:t xml:space="preserve">ore than one billion people </w:t>
      </w:r>
      <w:r w:rsidRPr="00C824CB">
        <w:rPr>
          <w:rFonts w:ascii="Arial" w:hAnsi="Arial" w:cs="Arial"/>
        </w:rPr>
        <w:t>were</w:t>
      </w:r>
      <w:r w:rsidR="00A50B67" w:rsidRPr="00C824CB">
        <w:rPr>
          <w:rFonts w:ascii="Arial" w:hAnsi="Arial" w:cs="Arial"/>
        </w:rPr>
        <w:t xml:space="preserve"> affected by some form of disability in the world</w:t>
      </w:r>
      <w:r w:rsidRPr="00C824CB">
        <w:rPr>
          <w:rFonts w:ascii="Arial" w:hAnsi="Arial" w:cs="Arial"/>
        </w:rPr>
        <w:t xml:space="preserve"> in 2018</w:t>
      </w:r>
      <w:r w:rsidR="00FA51E4" w:rsidRPr="00C824CB">
        <w:rPr>
          <w:rFonts w:ascii="Arial" w:hAnsi="Arial" w:cs="Arial"/>
        </w:rPr>
        <w:t xml:space="preserve"> </w:t>
      </w:r>
      <w:r w:rsidR="00FA51E4" w:rsidRPr="00C824CB">
        <w:rPr>
          <w:rFonts w:ascii="Arial" w:hAnsi="Arial" w:cs="Arial"/>
        </w:rPr>
        <w:fldChar w:fldCharType="begin"/>
      </w:r>
      <w:r w:rsidR="006B0C8A" w:rsidRPr="00C824CB">
        <w:rPr>
          <w:rFonts w:ascii="Arial" w:hAnsi="Arial" w:cs="Arial"/>
        </w:rPr>
        <w:instrText xml:space="preserve"> ADDIN ZOTERO_ITEM CSL_CITATION {"citationID":"XvUYcjYN","properties":{"formattedCitation":"[1]","plainCitation":"[1]","noteIndex":0},"citationItems":[{"id":722,"uris":["http://zotero.org/users/local/hhPVnw6l/items/K9HLLHQY"],"uri":["http://zotero.org/users/local/hhPVnw6l/items/K9HLLHQY"],"itemData":{"id":722,"type":"webpage","title":"Disability and health","abstract":"WHO fact sheet on disability and health provides key facts and information on unmet needs for health care, secondary conditions, how lives of disabled people affected, barriers to health care and WHO response.","URL":"https://www.who.int/news-room/fact-sheets/detail/disability-and-health","language":"en","author":[{"family":"World Health Organization","given":""}],"issued":{"date-parts":[["2018"]]},"accessed":{"date-parts":[["2019",3,2]]}}}],"schema":"https://github.com/citation-style-language/schema/raw/master/csl-citation.json"} </w:instrText>
      </w:r>
      <w:r w:rsidR="00FA51E4" w:rsidRPr="00C824CB">
        <w:rPr>
          <w:rFonts w:ascii="Arial" w:hAnsi="Arial" w:cs="Arial"/>
        </w:rPr>
        <w:fldChar w:fldCharType="separate"/>
      </w:r>
      <w:r w:rsidR="006B0C8A" w:rsidRPr="00C824CB">
        <w:rPr>
          <w:rFonts w:ascii="Arial" w:hAnsi="Arial" w:cs="Arial"/>
          <w:noProof/>
        </w:rPr>
        <w:t>[1]</w:t>
      </w:r>
      <w:r w:rsidR="00FA51E4" w:rsidRPr="00C824CB">
        <w:rPr>
          <w:rFonts w:ascii="Arial" w:hAnsi="Arial" w:cs="Arial"/>
        </w:rPr>
        <w:fldChar w:fldCharType="end"/>
      </w:r>
      <w:r w:rsidR="00A50B67" w:rsidRPr="00C824CB">
        <w:rPr>
          <w:rFonts w:ascii="Arial" w:hAnsi="Arial" w:cs="Arial"/>
        </w:rPr>
        <w:t xml:space="preserve">. </w:t>
      </w:r>
      <w:r w:rsidR="009D619B" w:rsidRPr="00C824CB">
        <w:rPr>
          <w:rFonts w:ascii="Arial" w:hAnsi="Arial" w:cs="Arial"/>
        </w:rPr>
        <w:t>Because of population ageing and the increasing burden of chronic conditions, t</w:t>
      </w:r>
      <w:r w:rsidRPr="00C824CB">
        <w:rPr>
          <w:rFonts w:ascii="Arial" w:hAnsi="Arial" w:cs="Arial"/>
        </w:rPr>
        <w:t xml:space="preserve">he worldwide prevalence of disability </w:t>
      </w:r>
      <w:r w:rsidR="001F0097" w:rsidRPr="00C824CB">
        <w:rPr>
          <w:rFonts w:ascii="Arial" w:hAnsi="Arial" w:cs="Arial"/>
        </w:rPr>
        <w:t>is likely to</w:t>
      </w:r>
      <w:r w:rsidRPr="00C824CB">
        <w:rPr>
          <w:rFonts w:ascii="Arial" w:hAnsi="Arial" w:cs="Arial"/>
        </w:rPr>
        <w:t xml:space="preserve"> rise in the next decades.</w:t>
      </w:r>
      <w:r w:rsidR="00711941" w:rsidRPr="00C824CB">
        <w:rPr>
          <w:rFonts w:ascii="Arial" w:hAnsi="Arial" w:cs="Arial"/>
        </w:rPr>
        <w:t xml:space="preserve"> D</w:t>
      </w:r>
      <w:r w:rsidR="001A040F" w:rsidRPr="00C824CB">
        <w:rPr>
          <w:rFonts w:ascii="Arial" w:hAnsi="Arial" w:cs="Arial"/>
        </w:rPr>
        <w:t xml:space="preserve">isability is associated with </w:t>
      </w:r>
      <w:r w:rsidR="00B927F1" w:rsidRPr="00C824CB">
        <w:rPr>
          <w:rFonts w:ascii="Arial" w:hAnsi="Arial" w:cs="Arial"/>
        </w:rPr>
        <w:t>unmet health care needs</w:t>
      </w:r>
      <w:r w:rsidR="00FA51E4" w:rsidRPr="00C824CB">
        <w:rPr>
          <w:rFonts w:ascii="Arial" w:hAnsi="Arial" w:cs="Arial"/>
        </w:rPr>
        <w:t xml:space="preserve"> </w:t>
      </w:r>
      <w:r w:rsidR="00FA51E4" w:rsidRPr="00C824CB">
        <w:rPr>
          <w:rFonts w:ascii="Arial" w:hAnsi="Arial" w:cs="Arial"/>
        </w:rPr>
        <w:fldChar w:fldCharType="begin"/>
      </w:r>
      <w:r w:rsidR="006B0C8A" w:rsidRPr="00C824CB">
        <w:rPr>
          <w:rFonts w:ascii="Arial" w:hAnsi="Arial" w:cs="Arial"/>
        </w:rPr>
        <w:instrText xml:space="preserve"> ADDIN ZOTERO_ITEM CSL_CITATION {"citationID":"F4rdIg0Y","properties":{"formattedCitation":"[2]","plainCitation":"[2]","noteIndex":0},"citationItems":[{"id":724,"uris":["http://zotero.org/users/local/hhPVnw6l/items/HPB8ARFV"],"uri":["http://zotero.org/users/local/hhPVnw6l/items/HPB8ARFV"],"itemData":{"id":724,"type":"article-journal","title":"Unmet health care needs of people with disabilities: population level evidence","container-title":"Disability &amp; Society","page":"205-218","volume":"25","issue":"2","source":"Taylor and Francis+NEJM","abstract":"The present study examined population level data on unmet needs for adults with physical, sensory and cognitive disabilities, using the National Population Health Survey. The study revealed that disabled adult</w:instrText>
      </w:r>
      <w:r w:rsidR="006B0C8A" w:rsidRPr="00C824CB">
        <w:rPr>
          <w:rFonts w:ascii="Arial" w:hAnsi="Arial" w:cs="Arial" w:hint="eastAsia"/>
        </w:rPr>
        <w:instrText>s (aged 20</w:instrText>
      </w:r>
      <w:r w:rsidR="006B0C8A" w:rsidRPr="00C824CB">
        <w:rPr>
          <w:rFonts w:ascii="Arial" w:hAnsi="Arial" w:cs="Arial" w:hint="eastAsia"/>
        </w:rPr>
        <w:instrText>–</w:instrText>
      </w:r>
      <w:r w:rsidR="006B0C8A" w:rsidRPr="00C824CB">
        <w:rPr>
          <w:rFonts w:ascii="Arial" w:hAnsi="Arial" w:cs="Arial" w:hint="eastAsia"/>
        </w:rPr>
        <w:instrText>64) reported more than three times as many unmet health care needs as their non</w:instrText>
      </w:r>
      <w:r w:rsidR="006B0C8A" w:rsidRPr="00C824CB">
        <w:rPr>
          <w:rFonts w:ascii="Arial" w:hAnsi="Arial" w:cs="Arial" w:hint="eastAsia"/>
        </w:rPr>
        <w:instrText>‐</w:instrText>
      </w:r>
      <w:r w:rsidR="006B0C8A" w:rsidRPr="00C824CB">
        <w:rPr>
          <w:rFonts w:ascii="Arial" w:hAnsi="Arial" w:cs="Arial" w:hint="eastAsia"/>
        </w:rPr>
        <w:instrText xml:space="preserve">disabled counterparts. Even after controlling for the effects of age, gender and poor health, disability had a significant effect on the perception of unmet needs, </w:instrText>
      </w:r>
      <w:r w:rsidR="006B0C8A" w:rsidRPr="00C824CB">
        <w:rPr>
          <w:rFonts w:ascii="Arial" w:hAnsi="Arial" w:cs="Arial"/>
        </w:rPr>
        <w:instrText xml:space="preserve">particularly disabilities associated with pain, hearing impairment and emotional problems. The greatest deterrent to receiving needed services among individuals with disabilities was cost. Despite being publicly funded and thereby presumably equally accessible to all, the health care system in Canada fails to meet the needs of some of its most vulnerable constituents – adults with disabilities.","DOI":"10.1080/09687590903537406","ISSN":"0968-7599","title-short":"Unmet health care needs of people with disabilities","author":[{"family":"McColl","given":"Mary Ann"},{"family":"Jarzynowska","given":"Anna"},{"family":"Shortt","given":"S. E. D."}],"issued":{"date-parts":[["2010",3,1]]}}}],"schema":"https://github.com/citation-style-language/schema/raw/master/csl-citation.json"} </w:instrText>
      </w:r>
      <w:r w:rsidR="00FA51E4" w:rsidRPr="00C824CB">
        <w:rPr>
          <w:rFonts w:ascii="Arial" w:hAnsi="Arial" w:cs="Arial"/>
        </w:rPr>
        <w:fldChar w:fldCharType="separate"/>
      </w:r>
      <w:r w:rsidR="004D2938" w:rsidRPr="00C824CB">
        <w:rPr>
          <w:rFonts w:ascii="Arial" w:hAnsi="Arial" w:cs="Arial"/>
          <w:noProof/>
        </w:rPr>
        <w:t>[2]</w:t>
      </w:r>
      <w:r w:rsidR="00FA51E4" w:rsidRPr="00C824CB">
        <w:rPr>
          <w:rFonts w:ascii="Arial" w:hAnsi="Arial" w:cs="Arial"/>
        </w:rPr>
        <w:fldChar w:fldCharType="end"/>
      </w:r>
      <w:r w:rsidR="00711941" w:rsidRPr="00C824CB">
        <w:rPr>
          <w:rFonts w:ascii="Arial" w:hAnsi="Arial" w:cs="Arial"/>
        </w:rPr>
        <w:t xml:space="preserve">, </w:t>
      </w:r>
      <w:r w:rsidR="00D1255B" w:rsidRPr="00C824CB">
        <w:rPr>
          <w:rFonts w:ascii="Arial" w:hAnsi="Arial" w:cs="Arial"/>
        </w:rPr>
        <w:t xml:space="preserve">impaired quality of life </w:t>
      </w:r>
      <w:r w:rsidR="00FA51E4" w:rsidRPr="00C824CB">
        <w:rPr>
          <w:rFonts w:ascii="Arial" w:hAnsi="Arial" w:cs="Arial"/>
        </w:rPr>
        <w:fldChar w:fldCharType="begin"/>
      </w:r>
      <w:r w:rsidR="00CC5A15" w:rsidRPr="00C824CB">
        <w:rPr>
          <w:rFonts w:ascii="Arial" w:hAnsi="Arial" w:cs="Arial"/>
        </w:rPr>
        <w:instrText xml:space="preserve"> ADDIN ZOTERO_ITEM CSL_CITATION {"citationID":"28hDm41j","properties":{"formattedCitation":"[3]","plainCitation":"[3]","noteIndex":0},"citationItems":[{"id":747,"uris":["http://zotero.org/users/local/hhPVnw6l/items/766LKYQJ"],"uri":["http://zotero.org/users/local/hhPVnw6l/items/766LKYQJ"],"itemData":{"id":747,"type":"article-journal","title":"The impact of disabilities on quality of life in people with multiple sclerosis","container-title":"Multiple Sclerosis (Houndmills, Basingstoke, England)","page":"972-980","volume":"14","issue":"7","source":"PubMed","abstract":"OBJECTIVE: People with Multiple Sclerosis (MS) experience lower levels of quality of life (QOL) than people from the general population. We examined the relative impact of MS-related disabilities on QOL.\nMETHOD: Data were obtained from a sample of 530 patients who completed the Multiple Sclerosis Impact Profile (MSIP), a disability measure based on the International Classification of Functioning, Disabilities and Health (ICF) and two generic health-related QOL measures, the Medical Outcome study Short Form Questionnaire (SF-36) and the World Health Organization Quality Of Life-BREF (WHOQOL-BREF). The impact of disabilities on QOL was estimated using hierarchical multiple regression analyses after controlling for the clinical course of MS.\nRESULTS: Disabilities contributed to a unique and substantial extent to QOL variance. \"Impairments in mental functions\" was the most important QOL predictor. \"Fatigue\" showed the highest prevalence and severity scores, while the impact on QOL was limited. The estimated impact on QOL appeared to be dependent on the applied QOL measure: the WHOQOL-BREF was sensitive to disabilities related to all four ICF components, while the SF-36 was only sensitive to disabilities belonging to the 'body functions' and 'activities' components.\nCONCLUSION: Treatment programmes should target impairments in cognitive functioning, emotional functioning and sleep. Interventions are best evaluated using the WHOQOL-BREF.","DOI":"10.1177/1352458508091260","ISSN":"1352-4585","note":"PMID: 18632779","journalAbbreviation":"Mult. Scler.","language":"eng","author":[{"family":"Wynia","given":"K."},{"family":"Middel","given":"B."},{"family":"Dijk","given":"J. P.","non-dropping-particle":"van"},{"family":"De Keyser","given":"J. H. A."},{"family":"Reijneveld","given":"S. A."}],"issued":{"date-parts":[["2008",8]]}}}],"schema":"https://github.com/citation-style-language/schema/raw/master/csl-citation.json"} </w:instrText>
      </w:r>
      <w:r w:rsidR="00FA51E4" w:rsidRPr="00C824CB">
        <w:rPr>
          <w:rFonts w:ascii="Arial" w:hAnsi="Arial" w:cs="Arial"/>
        </w:rPr>
        <w:fldChar w:fldCharType="separate"/>
      </w:r>
      <w:r w:rsidR="004D2938" w:rsidRPr="00C824CB">
        <w:rPr>
          <w:rFonts w:ascii="Arial" w:hAnsi="Arial" w:cs="Arial"/>
          <w:noProof/>
        </w:rPr>
        <w:t>[3]</w:t>
      </w:r>
      <w:r w:rsidR="00FA51E4" w:rsidRPr="00C824CB">
        <w:rPr>
          <w:rFonts w:ascii="Arial" w:hAnsi="Arial" w:cs="Arial"/>
        </w:rPr>
        <w:fldChar w:fldCharType="end"/>
      </w:r>
      <w:r w:rsidR="00DC7966" w:rsidRPr="00C824CB">
        <w:rPr>
          <w:rFonts w:ascii="Arial" w:hAnsi="Arial" w:cs="Arial"/>
        </w:rPr>
        <w:t xml:space="preserve"> and mortality</w:t>
      </w:r>
      <w:r w:rsidR="00FA51E4" w:rsidRPr="00C824CB">
        <w:rPr>
          <w:rFonts w:ascii="Arial" w:hAnsi="Arial" w:cs="Arial"/>
        </w:rPr>
        <w:t xml:space="preserve"> </w:t>
      </w:r>
      <w:r w:rsidR="00FA51E4" w:rsidRPr="00C824CB">
        <w:rPr>
          <w:rFonts w:ascii="Arial" w:hAnsi="Arial" w:cs="Arial"/>
        </w:rPr>
        <w:fldChar w:fldCharType="begin"/>
      </w:r>
      <w:r w:rsidR="006B0C8A" w:rsidRPr="00C824CB">
        <w:rPr>
          <w:rFonts w:ascii="Arial" w:hAnsi="Arial" w:cs="Arial"/>
        </w:rPr>
        <w:instrText xml:space="preserve"> ADDIN ZOTERO_ITEM CSL_CITATION {"citationID":"bdUfEswP","properties":{"formattedCitation":"[4]","plainCitation":"[4]","noteIndex":0},"citationItems":[{"id":750,"uris":["http://zotero.org/users/local/hhPVnw6l/items/7MTS32LM"],"uri":["http://zotero.org/users/local/hhPVnw6l/items/7MTS32LM"],"itemData":{"id":750,"type":"article-journal","title":"Mortality Risk Associated With Disability: A Population-Based Record Linkage Study","container-title":"American Journal of Public Health","page":"e9-e15","volume":"101","issue":"12","source":"PubMed Central","abstract":"Objectives. We assessed the association between mortality and\ndisability and quantified the effect of disability-associated risk factors., Methods. We linked data from cross-sectional health surveys in the\nNetherlands to the population registry to create a large data set comprising baseline\ncovariates and an indicator of death. We used Cox regression models to estimate the\nhazard ratio of disability on mortality., Results. Among men, the unadjusted hazard ratio for activities of\ndaily living, mobility, or mild disability defined by the Organization for Economic\nCo-operation and Development at age 55 years was 7.85 (95% confidence interval [CI]\n= 4.36, 14.13), 5.21 (95% CI = 3.19, 8.51), and 1.87 (95% CI =\n1.58, 2.22), respectively. People with disability in activities of daily living and\nmobility had a 10-year shorter life expectancy than nondisabled people had, of which\n6 years could be explained by differences in lifestyle, sociodemographics, and major\nchronic diseases., Conclusions. Disabled people face a higher mortality risk than\nnondisabled people do. Although the difference can be explained by diseases and other\nrisk factors for those with mild disability, we cannot rule out that more severe\ndisabilities have an independent effect on mortality.","DOI":"10.2105/AJPH.2011.300361","ISSN":"0090-0036","note":"PMID: 22021307\nPMCID: PMC3222426","title-short":"Mortality Risk Associated With Disability","journalAbbreviation":"Am J Public Health","author":[{"family":"Majer","given":"Istvan M."},{"family":"Nusselder","given":"Wilma J."},{"family":"Mackenbach","given":"Johan P."},{"family":"Klijs","given":"Bart"},{"family":"Baal","given":"Pieter H. M.","non-dropping-particle":"van"}],"issued":{"date-parts":[["2011",12]]}}}],"schema":"https://github.com/citation-style-language/schema/raw/master/csl-citation.json"} </w:instrText>
      </w:r>
      <w:r w:rsidR="00FA51E4" w:rsidRPr="00C824CB">
        <w:rPr>
          <w:rFonts w:ascii="Arial" w:hAnsi="Arial" w:cs="Arial"/>
        </w:rPr>
        <w:fldChar w:fldCharType="separate"/>
      </w:r>
      <w:r w:rsidR="004D2938" w:rsidRPr="00C824CB">
        <w:rPr>
          <w:rFonts w:ascii="Arial" w:hAnsi="Arial" w:cs="Arial"/>
          <w:noProof/>
        </w:rPr>
        <w:t>[4]</w:t>
      </w:r>
      <w:r w:rsidR="00FA51E4" w:rsidRPr="00C824CB">
        <w:rPr>
          <w:rFonts w:ascii="Arial" w:hAnsi="Arial" w:cs="Arial"/>
        </w:rPr>
        <w:fldChar w:fldCharType="end"/>
      </w:r>
      <w:r w:rsidR="00DC7966" w:rsidRPr="00C824CB">
        <w:rPr>
          <w:rFonts w:ascii="Arial" w:hAnsi="Arial" w:cs="Arial"/>
        </w:rPr>
        <w:t xml:space="preserve">. </w:t>
      </w:r>
      <w:r w:rsidR="00035155" w:rsidRPr="00C824CB">
        <w:rPr>
          <w:rFonts w:ascii="Arial" w:hAnsi="Arial" w:cs="Arial"/>
        </w:rPr>
        <w:t xml:space="preserve">Therefore, </w:t>
      </w:r>
      <w:r w:rsidR="006A45D4" w:rsidRPr="00C824CB">
        <w:rPr>
          <w:rFonts w:ascii="Arial" w:hAnsi="Arial" w:cs="Arial"/>
        </w:rPr>
        <w:t xml:space="preserve">identifying new risk factors for disability </w:t>
      </w:r>
      <w:r w:rsidR="00A3684B" w:rsidRPr="00C824CB">
        <w:rPr>
          <w:rFonts w:ascii="Arial" w:hAnsi="Arial" w:cs="Arial"/>
        </w:rPr>
        <w:t>is a public health priority.</w:t>
      </w:r>
    </w:p>
    <w:p w14:paraId="611CB188" w14:textId="77777777" w:rsidR="00A3684B" w:rsidRPr="00C824CB" w:rsidRDefault="00A3684B" w:rsidP="003E3F8C">
      <w:pPr>
        <w:spacing w:line="480" w:lineRule="auto"/>
        <w:jc w:val="both"/>
        <w:rPr>
          <w:rFonts w:ascii="Arial" w:hAnsi="Arial" w:cs="Arial"/>
        </w:rPr>
      </w:pPr>
    </w:p>
    <w:p w14:paraId="07EAD7E0" w14:textId="2C7EF0CE" w:rsidR="004A0A0C" w:rsidRPr="00C824CB" w:rsidRDefault="003D0B91" w:rsidP="003E3F8C">
      <w:pPr>
        <w:spacing w:line="480" w:lineRule="auto"/>
        <w:jc w:val="both"/>
        <w:rPr>
          <w:rFonts w:ascii="Arial" w:hAnsi="Arial" w:cs="Arial"/>
        </w:rPr>
      </w:pPr>
      <w:r w:rsidRPr="00C824CB">
        <w:rPr>
          <w:rFonts w:ascii="Arial" w:hAnsi="Arial" w:cs="Arial"/>
        </w:rPr>
        <w:t>To the best of our knowledge, to date</w:t>
      </w:r>
      <w:r w:rsidR="001D5236" w:rsidRPr="00C824CB">
        <w:rPr>
          <w:rFonts w:ascii="Arial" w:hAnsi="Arial" w:cs="Arial"/>
        </w:rPr>
        <w:t>, there are</w:t>
      </w:r>
      <w:r w:rsidRPr="00C824CB">
        <w:rPr>
          <w:rFonts w:ascii="Arial" w:hAnsi="Arial" w:cs="Arial"/>
        </w:rPr>
        <w:t xml:space="preserve"> no stud</w:t>
      </w:r>
      <w:r w:rsidR="001D5236" w:rsidRPr="00C824CB">
        <w:rPr>
          <w:rFonts w:ascii="Arial" w:hAnsi="Arial" w:cs="Arial"/>
        </w:rPr>
        <w:t>ies</w:t>
      </w:r>
      <w:r w:rsidRPr="00C824CB">
        <w:rPr>
          <w:rFonts w:ascii="Arial" w:hAnsi="Arial" w:cs="Arial"/>
        </w:rPr>
        <w:t xml:space="preserve"> investigating the association between intelligence quotient (IQ) and disability</w:t>
      </w:r>
      <w:r w:rsidR="009D0166" w:rsidRPr="00C824CB">
        <w:rPr>
          <w:rFonts w:ascii="Arial" w:hAnsi="Arial" w:cs="Arial"/>
        </w:rPr>
        <w:t xml:space="preserve"> [i.e., difficulties in activities of daily living (ADL) or instrumental activities of daily living (IADL)]</w:t>
      </w:r>
      <w:r w:rsidR="00026D18" w:rsidRPr="00C824CB">
        <w:rPr>
          <w:rFonts w:ascii="Arial" w:hAnsi="Arial" w:cs="Arial"/>
        </w:rPr>
        <w:t xml:space="preserve"> in the general population</w:t>
      </w:r>
      <w:r w:rsidR="001D5236" w:rsidRPr="00C824CB">
        <w:rPr>
          <w:rFonts w:ascii="Arial" w:hAnsi="Arial" w:cs="Arial"/>
        </w:rPr>
        <w:t>, despite the fact that</w:t>
      </w:r>
      <w:r w:rsidR="003661EC" w:rsidRPr="00C824CB">
        <w:rPr>
          <w:rFonts w:ascii="Arial" w:hAnsi="Arial" w:cs="Arial"/>
        </w:rPr>
        <w:t xml:space="preserve"> previous research has </w:t>
      </w:r>
      <w:r w:rsidR="001D5236" w:rsidRPr="00C824CB">
        <w:rPr>
          <w:rFonts w:ascii="Arial" w:hAnsi="Arial" w:cs="Arial"/>
        </w:rPr>
        <w:t xml:space="preserve">shown </w:t>
      </w:r>
      <w:r w:rsidR="003661EC" w:rsidRPr="00C824CB">
        <w:rPr>
          <w:rFonts w:ascii="Arial" w:hAnsi="Arial" w:cs="Arial"/>
        </w:rPr>
        <w:t xml:space="preserve">that low IQ has a major impact on health. For example, a longitudinal study </w:t>
      </w:r>
      <w:r w:rsidR="001F5C02" w:rsidRPr="00C824CB">
        <w:rPr>
          <w:rFonts w:ascii="Arial" w:hAnsi="Arial" w:cs="Arial"/>
        </w:rPr>
        <w:t xml:space="preserve">showed that low IQ was a significant predictor of early mortality in a US </w:t>
      </w:r>
      <w:r w:rsidR="00342868" w:rsidRPr="00C824CB">
        <w:rPr>
          <w:rFonts w:ascii="Arial" w:hAnsi="Arial" w:cs="Arial"/>
        </w:rPr>
        <w:t xml:space="preserve">population </w:t>
      </w:r>
      <w:r w:rsidR="00DC05A9" w:rsidRPr="00C824CB">
        <w:rPr>
          <w:rFonts w:ascii="Arial" w:hAnsi="Arial" w:cs="Arial"/>
        </w:rPr>
        <w:t>sample</w:t>
      </w:r>
      <w:r w:rsidR="00DA5015" w:rsidRPr="00C824CB">
        <w:rPr>
          <w:rFonts w:ascii="Arial" w:hAnsi="Arial" w:cs="Arial"/>
        </w:rPr>
        <w:t xml:space="preserve"> followed for several decades</w:t>
      </w:r>
      <w:r w:rsidR="001F5C02" w:rsidRPr="00C824CB">
        <w:rPr>
          <w:rFonts w:ascii="Arial" w:hAnsi="Arial" w:cs="Arial"/>
        </w:rPr>
        <w:t xml:space="preserve">, and this association was largely explained by socioeconomic status </w:t>
      </w:r>
      <w:r w:rsidR="001F5C02" w:rsidRPr="00C824CB">
        <w:rPr>
          <w:rFonts w:ascii="Arial" w:hAnsi="Arial" w:cs="Arial"/>
        </w:rPr>
        <w:fldChar w:fldCharType="begin"/>
      </w:r>
      <w:r w:rsidR="006B0C8A" w:rsidRPr="00C824CB">
        <w:rPr>
          <w:rFonts w:ascii="Arial" w:hAnsi="Arial" w:cs="Arial"/>
        </w:rPr>
        <w:instrText xml:space="preserve"> ADDIN ZOTERO_ITEM CSL_CITATION {"citationID":"ImgPpVqu","properties":{"formattedCitation":"[5]","plainCitation":"[5]","noteIndex":0},"citationItems":[{"id":940,"uris":["http://zotero.org/users/local/hhPVnw6l/items/6YVZCLWW"],"uri":["http://zotero.org/users/local/hhPVnw6l/items/6YVZCLWW"],"itemData":{"id":940,"type":"article-journal","title":"IQ, socioeconomic status, and early death: The US National Longitudinal Survey of Youth","container-title":"Psychosomatic Medicine","page":"322-328","volume":"71","issue":"3","source":"PubMed Central","abstract":"Objective\nTo assess whether the association between cognitive ability (IQ) and early mortality is mediated by socioeconomic status (SES) or whether the association between SES and mortality reflects a spurious association caused by IQ.\n\nMethods\nThe participants were from the U.S. National Longitudinal Survey of Youth (n=11321). IQ was assessed at age 16 to 23 years and the participants were followed up to 40 to 47 years of age.\n\nResults\nControlling for sex, birth year, race/ethnicity, baseline health, and parental education, higher IQ was associated with lower probability of death (odds ratio per 1 standard deviation increase in IQ=0.78, 95% confidence interval= 0.66, 0.91). This association disappeared (OR=0.99, CI=0.81, 1.20) when adjusted for education and household income. Adjustment for IQ had no effect on the association between SES and mortality. These findings were similar in Hispanic, Black, and White/other participants and in women and men. Parental education moderated the IQ-mortality association, so that this association was not observed in participants with low parental education.\n\nConclusions\nLow IQ predicts early mortality in the U.S. population and this association is largely explained by SES. The results do not support the alternative hypothesis that the socioeconomic gradient in early mortality would reflect IQ differences.","DOI":"10.1097/PSY.0b013e31819b69f6","ISSN":"0033-3174","note":"PMID: 19251867\nPMCID: PMC2851186","title-short":"IQ, socioeconomic status, and early death","journalAbbreviation":"Psychosom Med","author":[{"family":"Jokela","given":"Markus"},{"family":"Elovainio","given":"Marko"},{"family":"Singh-Manoux","given":"Archana"},{"family":"Kivimäki","given":"Mika"}],"issued":{"date-parts":[["2009",4]]}}}],"schema":"https://github.com/citation-style-language/schema/raw/master/csl-citation.json"} </w:instrText>
      </w:r>
      <w:r w:rsidR="001F5C02" w:rsidRPr="00C824CB">
        <w:rPr>
          <w:rFonts w:ascii="Arial" w:hAnsi="Arial" w:cs="Arial"/>
        </w:rPr>
        <w:fldChar w:fldCharType="separate"/>
      </w:r>
      <w:r w:rsidR="004D2938" w:rsidRPr="00C824CB">
        <w:rPr>
          <w:rFonts w:ascii="Arial" w:hAnsi="Arial" w:cs="Arial"/>
          <w:noProof/>
        </w:rPr>
        <w:t>[5]</w:t>
      </w:r>
      <w:r w:rsidR="001F5C02" w:rsidRPr="00C824CB">
        <w:rPr>
          <w:rFonts w:ascii="Arial" w:hAnsi="Arial" w:cs="Arial"/>
        </w:rPr>
        <w:fldChar w:fldCharType="end"/>
      </w:r>
      <w:r w:rsidR="001F5C02" w:rsidRPr="00C824CB">
        <w:rPr>
          <w:rFonts w:ascii="Arial" w:hAnsi="Arial" w:cs="Arial"/>
        </w:rPr>
        <w:t>.</w:t>
      </w:r>
      <w:r w:rsidR="00FE2B89" w:rsidRPr="00C824CB">
        <w:rPr>
          <w:rFonts w:ascii="Arial" w:hAnsi="Arial" w:cs="Arial"/>
        </w:rPr>
        <w:t xml:space="preserve"> </w:t>
      </w:r>
      <w:r w:rsidR="00AC1B26" w:rsidRPr="00C824CB">
        <w:rPr>
          <w:rFonts w:ascii="Arial" w:hAnsi="Arial" w:cs="Arial"/>
        </w:rPr>
        <w:t xml:space="preserve">Another study conducted </w:t>
      </w:r>
      <w:r w:rsidR="001A3A2F" w:rsidRPr="00C824CB">
        <w:rPr>
          <w:rFonts w:ascii="Arial" w:hAnsi="Arial" w:cs="Arial"/>
        </w:rPr>
        <w:t>in North East Scotland found that low mental ability at age 11 years was a risk factor for decreased functional independence at age 77 years</w:t>
      </w:r>
      <w:r w:rsidR="000A4672" w:rsidRPr="00C824CB">
        <w:rPr>
          <w:rFonts w:ascii="Arial" w:hAnsi="Arial" w:cs="Arial"/>
        </w:rPr>
        <w:t xml:space="preserve"> </w:t>
      </w:r>
      <w:r w:rsidR="000A4672" w:rsidRPr="00C824CB">
        <w:rPr>
          <w:rFonts w:ascii="Arial" w:hAnsi="Arial" w:cs="Arial"/>
        </w:rPr>
        <w:fldChar w:fldCharType="begin"/>
      </w:r>
      <w:r w:rsidR="00CC5A15" w:rsidRPr="00C824CB">
        <w:rPr>
          <w:rFonts w:ascii="Arial" w:hAnsi="Arial" w:cs="Arial"/>
        </w:rPr>
        <w:instrText xml:space="preserve"> ADDIN ZOTERO_ITEM CSL_CITATION {"citationID":"qdW9Pkl0","properties":{"formattedCitation":"[6]","plainCitation":"[6]","noteIndex":0},"citationItems":[{"id":945,"uris":["http://zotero.org/users/local/hhPVnw6l/items/VB6Z3B9Y"],"uri":["http://zotero.org/users/local/hhPVnw6l/items/VB6Z3B9Y"],"itemData":{"id":945,"type":"article-journal","title":"Mental ability age 11 years and health status age 77 years","container-title":"Age and Ageing","page":"523-528","volume":"29","issue":"6","source":"PubMed","abstract":"OBJECTIVES: to measure the effects of childhood mental ability on health in old age.\nDESIGN: longitudinal cohort study.\nSETTING: community-based.\nPARTICIPANTS: survivors of the 1932 Scottish Mental Survey cohort randomly selected from the Community Health Index in North East Scotland.\nMEASUREMENTS: (i) presence of disease by diagnostic category; (ii) cardiovascular, respiratory, anthropomorphic, sensory and locomotor physiological variables; (iii) Barthel index of functional independence; (iv) socio-demographic and socio-economic variables as health status predictors; and (v) score on the Moray House Test in 1932.\nRESULTS: There was no significant difference in Moray House Test score in 1932 between those with (mean 39.7, S.D. 13.8) and without (mean 40.1, S.D. 12.1) current disease (F = 0.04, P = 0.84). Physiological health status was predicted by demi-span (F = 6.87, P&lt; 0.001), sex (F = 3.69, P = 0.001), deprivation category (F = 1.45, P = 0.05) and the interaction between sex and deprivation category (F = 2.01, P = 0.002). Moray House Test score in 1932 correlated significantly and positively with Barthel score (r = 0.24, P &lt; 0.001). No additional general linear models added any other significant socio-economic variable once Moray House Test Score in 1932 was entered. Moray House Test score in 1932 remained significant (beta = 0.16, P = 0.024) after Mini Mental State Examination score was entered and found to be significant (beta = 0.21, P = 0.003).\nCONCLUSION: socio-economic and socio-environmental factors are important determinants of some aspects of inequalities in health in old age in this cohort. Pre-morbid mental ability was an important independent predictor of late-life functional independence.","ISSN":"0002-0729","note":"PMID: 11191245","journalAbbreviation":"Age Ageing","language":"eng","author":[{"family":"Starr","given":"J. M."},{"family":"Deary","given":"I. J."},{"family":"Lemmon","given":"H."},{"family":"Whalley","given":"L. J."}],"issued":{"date-parts":[["2000",11]]}}}],"schema":"https://github.com/citation-style-language/schema/raw/master/csl-citation.json"} </w:instrText>
      </w:r>
      <w:r w:rsidR="000A4672" w:rsidRPr="00C824CB">
        <w:rPr>
          <w:rFonts w:ascii="Arial" w:hAnsi="Arial" w:cs="Arial"/>
        </w:rPr>
        <w:fldChar w:fldCharType="separate"/>
      </w:r>
      <w:r w:rsidR="004D2938" w:rsidRPr="00C824CB">
        <w:rPr>
          <w:rFonts w:ascii="Arial" w:hAnsi="Arial" w:cs="Arial"/>
          <w:noProof/>
        </w:rPr>
        <w:t>[6]</w:t>
      </w:r>
      <w:r w:rsidR="000A4672" w:rsidRPr="00C824CB">
        <w:rPr>
          <w:rFonts w:ascii="Arial" w:hAnsi="Arial" w:cs="Arial"/>
        </w:rPr>
        <w:fldChar w:fldCharType="end"/>
      </w:r>
      <w:r w:rsidR="001A3A2F" w:rsidRPr="00C824CB">
        <w:rPr>
          <w:rFonts w:ascii="Arial" w:hAnsi="Arial" w:cs="Arial"/>
        </w:rPr>
        <w:t xml:space="preserve">. </w:t>
      </w:r>
      <w:r w:rsidR="00D50E94" w:rsidRPr="00C824CB">
        <w:rPr>
          <w:rFonts w:ascii="Arial" w:hAnsi="Arial" w:cs="Arial"/>
        </w:rPr>
        <w:t xml:space="preserve">Finally, </w:t>
      </w:r>
      <w:r w:rsidR="0088798D" w:rsidRPr="00C824CB">
        <w:rPr>
          <w:rFonts w:ascii="Arial" w:hAnsi="Arial" w:cs="Arial"/>
        </w:rPr>
        <w:t xml:space="preserve">there was a positive correlation between IQ and quality of life in a sample of almost 100 elderly patients </w:t>
      </w:r>
      <w:r w:rsidR="0088798D" w:rsidRPr="00C824CB">
        <w:rPr>
          <w:rFonts w:ascii="Arial" w:hAnsi="Arial" w:cs="Arial"/>
        </w:rPr>
        <w:fldChar w:fldCharType="begin"/>
      </w:r>
      <w:r w:rsidR="00CC5A15" w:rsidRPr="00C824CB">
        <w:rPr>
          <w:rFonts w:ascii="Arial" w:hAnsi="Arial" w:cs="Arial"/>
        </w:rPr>
        <w:instrText xml:space="preserve"> ADDIN ZOTERO_ITEM CSL_CITATION {"citationID":"MUujgIyx","properties":{"formattedCitation":"[7]","plainCitation":"[7]","noteIndex":0},"citationItems":[{"id":947,"uris":["http://zotero.org/users/local/hhPVnw6l/items/9ZIHD8MY"],"uri":["http://zotero.org/users/local/hhPVnw6l/items/9ZIHD8MY"],"itemData":{"id":947,"type":"article-journal","title":"Quality of life and its correlates in octogenarians. Use of the SEIQoL-DW in Wave 5 of the Aberdeen Birth Cohort 1921 Study (ABC1921)","container-title":"Quality of Life Research: An International Journal of Quality of Life Aspects of Treatment, Care and Rehabilitation","page":"11-20","volume":"17","issue":"1","source":"PubMed","abstract":"BACKGROUND: The direct-weighted Schedule for the Evaluation of Individual Quality of Life, Direct Weighting (SEIQoL-DW) is an individualised measure of QoL that has been little used in very elderly people.\nMETHODS: We administered SEIQoL-DW during Wave 5 of the Aberdeen Birth Cohort 1921 Study (ABC1921) and sought statistical correlations with other variables in the data set. ABC1921 participants had been IQ-tested in 1932 at age 11. Since 1997, data about cognition, mental/physical function, personality, health, and socioeconomic status have been gathered in five waves of investigations.\nRESULTS: Ninety-six out of 98 individuals, mean age 82.2, completed the SEIQoL-DW. Health, family, relationships, finances and social pastimes were the commonest cues nominated, but age/gender differences existed. The mean SEIQoL-DW score (74.0) was significantly lower than in an approximately 60% sample from Wave 3, the fall being greater in men. Variables statistically associated with Wave 5 SEIQoL-DW usually reflected current rather than past status [including Short-Form 36 Health Survey (SF-36) components and depression], although there were weaker correlations with years of education, housing in childhood, conscientiousness, and IQ in 1998.\nCONCLUSIONS: SEIQoL-DW proved feasible and acceptable in community-dwelling octogenarians. Recent (i.e. statelike) rather than early or long-standing (i.e. traitlike) influences appeared to have the greater effect on QoL.","DOI":"10.1007/s11136-007-9291-4","ISSN":"0962-9343","note":"PMID: 18071924","journalAbbreviation":"Qual Life Res","language":"eng","author":[{"family":"Seymour","given":"David Gwyn"},{"family":"Starr","given":"John M."},{"family":"Fox","given":"Helen C."},{"family":"Lemmon","given":"Helen A."},{"family":"Deary","given":"Ian J."},{"family":"Prescott","given":"Gordon J."},{"family":"Whalley","given":"Lawrence J."}],"issued":{"date-parts":[["2008",2]]}}}],"schema":"https://github.com/citation-style-language/schema/raw/master/csl-citation.json"} </w:instrText>
      </w:r>
      <w:r w:rsidR="0088798D" w:rsidRPr="00C824CB">
        <w:rPr>
          <w:rFonts w:ascii="Arial" w:hAnsi="Arial" w:cs="Arial"/>
        </w:rPr>
        <w:fldChar w:fldCharType="separate"/>
      </w:r>
      <w:r w:rsidR="004D2938" w:rsidRPr="00C824CB">
        <w:rPr>
          <w:rFonts w:ascii="Arial" w:hAnsi="Arial" w:cs="Arial"/>
          <w:noProof/>
        </w:rPr>
        <w:t>[7]</w:t>
      </w:r>
      <w:r w:rsidR="0088798D" w:rsidRPr="00C824CB">
        <w:rPr>
          <w:rFonts w:ascii="Arial" w:hAnsi="Arial" w:cs="Arial"/>
        </w:rPr>
        <w:fldChar w:fldCharType="end"/>
      </w:r>
      <w:r w:rsidR="0088798D" w:rsidRPr="00C824CB">
        <w:rPr>
          <w:rFonts w:ascii="Arial" w:hAnsi="Arial" w:cs="Arial"/>
        </w:rPr>
        <w:t xml:space="preserve">. </w:t>
      </w:r>
      <w:r w:rsidR="00C300CB" w:rsidRPr="00C824CB">
        <w:rPr>
          <w:rFonts w:ascii="Arial" w:hAnsi="Arial" w:cs="Arial"/>
        </w:rPr>
        <w:t xml:space="preserve">It is possible that IQ may lead to disability via </w:t>
      </w:r>
      <w:r w:rsidR="004F6E02" w:rsidRPr="00C824CB">
        <w:rPr>
          <w:rFonts w:ascii="Arial" w:hAnsi="Arial" w:cs="Arial"/>
        </w:rPr>
        <w:t xml:space="preserve">structural changes in the brain </w:t>
      </w:r>
      <w:r w:rsidR="004F6E02" w:rsidRPr="00C824CB">
        <w:rPr>
          <w:rFonts w:ascii="Arial" w:hAnsi="Arial" w:cs="Arial"/>
        </w:rPr>
        <w:fldChar w:fldCharType="begin"/>
      </w:r>
      <w:r w:rsidR="00CC5A15" w:rsidRPr="00C824CB">
        <w:rPr>
          <w:rFonts w:ascii="Arial" w:hAnsi="Arial" w:cs="Arial"/>
        </w:rPr>
        <w:instrText xml:space="preserve"> ADDIN ZOTERO_ITEM CSL_CITATION {"citationID":"ZXmI40lj","properties":{"formattedCitation":"[8]","plainCitation":"[8]","noteIndex":0},"citationItems":[{"id":943,"uris":["http://zotero.org/users/local/hhPVnw6l/items/QMXGDKAL"],"uri":["http://zotero.org/users/local/hhPVnw6l/items/QMXGDKAL"],"itemData":{"id":943,"type":"article-journal","title":"Associations between childhood intelligence (IQ), adult morbidity and mortality","container-title":"Maturitas","page":"98-105","volume":"65","issue":"2","source":"PubMed","abstract":"Intelligence is a life-long trait that exerts powerful influences on educational success, occupational status, use of health services, life style and recreational choices. Until recently, the influence of cognitive performance on time to death was thought largely to be based on failing cognition in the time immediately before death or because lower mental ability was associated with low socioeconomic status and socioeconomic disadvantage. Children who were systematically IQ tested early in the twentieth century have now completed most of their life expectancy and permit evaluation of a possible link between childhood IQ and survival. This link is discussed as it affects people with intellectual disability and as a possible contributor to the acquisition of a healthy life style or use of health services. Studies on the topic are affected by many methodological pitfalls. Recently, as cohorts IQ tested as adolescents have completed middle age, new relevant data have become available. These suggest that earlier attempts to tease out the confounding effects of socioeconomic status on the relationship between childhood IQ and mortality did not take account of the full effects of childhood adversity on IQ and disease risk. When statistical models that include childhood adversity are tested, these attenuate and sometimes remove the contribution of IQ to morbidity and premature death.","DOI":"10.1016/j.maturitas.2009.09.021","ISSN":"1873-4111","note":"PMID: 19879703","journalAbbreviation":"Maturitas","language":"eng","author":[{"family":"Kilgour","given":"Alixe H. M."},{"family":"Starr","given":"John M."},{"family":"Whalley","given":"Lawrence J."}],"issued":{"date-parts":[["2010",2]]}}}],"schema":"https://github.com/citation-style-language/schema/raw/master/csl-citation.json"} </w:instrText>
      </w:r>
      <w:r w:rsidR="004F6E02" w:rsidRPr="00C824CB">
        <w:rPr>
          <w:rFonts w:ascii="Arial" w:hAnsi="Arial" w:cs="Arial"/>
        </w:rPr>
        <w:fldChar w:fldCharType="separate"/>
      </w:r>
      <w:r w:rsidR="004D2938" w:rsidRPr="00C824CB">
        <w:rPr>
          <w:rFonts w:ascii="Arial" w:hAnsi="Arial" w:cs="Arial"/>
          <w:noProof/>
        </w:rPr>
        <w:t>[8]</w:t>
      </w:r>
      <w:r w:rsidR="004F6E02" w:rsidRPr="00C824CB">
        <w:rPr>
          <w:rFonts w:ascii="Arial" w:hAnsi="Arial" w:cs="Arial"/>
        </w:rPr>
        <w:fldChar w:fldCharType="end"/>
      </w:r>
      <w:r w:rsidR="004F6E02" w:rsidRPr="00C824CB">
        <w:rPr>
          <w:rFonts w:ascii="Arial" w:hAnsi="Arial" w:cs="Arial"/>
        </w:rPr>
        <w:t xml:space="preserve">, </w:t>
      </w:r>
      <w:r w:rsidR="00C300CB" w:rsidRPr="00C824CB">
        <w:rPr>
          <w:rFonts w:ascii="Arial" w:hAnsi="Arial" w:cs="Arial"/>
        </w:rPr>
        <w:t xml:space="preserve">while </w:t>
      </w:r>
      <w:r w:rsidR="00BC62CE" w:rsidRPr="00C824CB">
        <w:rPr>
          <w:rFonts w:ascii="Arial" w:hAnsi="Arial" w:cs="Arial"/>
        </w:rPr>
        <w:t>several socioeconomic factors (e.g., income</w:t>
      </w:r>
      <w:r w:rsidR="006E6DC1" w:rsidRPr="00C824CB">
        <w:rPr>
          <w:rFonts w:ascii="Arial" w:hAnsi="Arial" w:cs="Arial"/>
        </w:rPr>
        <w:t xml:space="preserve"> </w:t>
      </w:r>
      <w:r w:rsidR="006E6DC1" w:rsidRPr="00C824CB">
        <w:rPr>
          <w:rFonts w:ascii="Arial" w:hAnsi="Arial" w:cs="Arial"/>
        </w:rPr>
        <w:fldChar w:fldCharType="begin"/>
      </w:r>
      <w:r w:rsidR="00CC5A15" w:rsidRPr="00C824CB">
        <w:rPr>
          <w:rFonts w:ascii="Arial" w:hAnsi="Arial" w:cs="Arial"/>
        </w:rPr>
        <w:instrText xml:space="preserve"> ADDIN ZOTERO_ITEM CSL_CITATION {"citationID":"NLOLnUdu","properties":{"formattedCitation":"[9,10]","plainCitation":"[9,10]","noteIndex":0},"citationItems":[{"id":976,"uris":["http://zotero.org/users/local/hhPVnw6l/items/PDRWU2UL"],"uri":["http://zotero.org/users/local/hhPVnw6l/items/PDRWU2UL"],"itemData":{"id":976,"type":"article-journal","title":"The relation between childhood IQ and income in middle age","container-title":"The Journal of social, political, and economic studies","page":"191-196","volume":"31","issue":"2","language":"eng","author":[{"family":"Irwing","given":"Paul"},{"family":"Lynn","given":"Richard"}],"issued":{"date-parts":[["2006"]]}}},{"id":977,"uris":["http://zotero.org/users/local/hhPVnw6l/items/J9EICM4S"],"uri":["http://zotero.org/users/local/hhPVnw6l/items/J9EICM4S"],"itemData":{"id":977,"type":"article-journal","title":"Examining the Association Between Different Aspects of Socioeconomic Status, Race, and Disability in Hawaii","container-title":"Journal of Racial and Ethnic Health Disparities","page":"1247-1253","volume":"5","issue":"6","source":"PubMed","abstract":"Socioeconomic status and race/ethnicity are known to be associated with health disparities. This study used data (2010-2014) from the American Community Survey. Respondents over age 30 from Hawaii were included (n = 44,921). Outcome variables were self-reported disability in vision, hearing, ambulatory function, self-care, independent living, or cognitive function. Four measures of socioeconomic status were personal income, average income for the area, income inequality for area, and education. This study used multivariable logistic regression to predict disability by race/ethnicity and socioeconomic status, controlling for age and gender. All four measures of socioeconomic status were significant predictors of at least one type of disability after adjustment for age, gender, and other measures of socioeconomic status. Higher education was significantly related to having every type of disability. Similarly, people with high personal income were less likely to have each type of disability than those with middle income, and those with low income were more likely to have all disabilities except hearing. Income inequality was significantly associated with half the disabilities. Low area income was significantly associated with increased vision-related disability, while high income was associated with less likelihood of hearing-related disability. Native Hawaiians were significantly more likely to report having a disability than Filipinos and Chinese for all six types of disability, Japanese for four, and whites for two, after adjustment. These results suggest that in order to reduce health disparities for Native Hawaiians, as well as other ethnic groups, a range of socioeconomic factors need to be addressed.","DOI":"10.1007/s40615-018-0471-4","ISSN":"2196-8837","note":"PMID: 29464658","journalAbbreviation":"J Racial Ethn Health Disparities","language":"eng","author":[{"family":"Seto","given":"Jason"},{"family":"Davis","given":"James"},{"family":"Taira","given":"Deborah Ann"}],"issued":{"date-parts":[["2018",12]]}}}],"schema":"https://github.com/citation-style-language/schema/raw/master/csl-citation.json"} </w:instrText>
      </w:r>
      <w:r w:rsidR="006E6DC1" w:rsidRPr="00C824CB">
        <w:rPr>
          <w:rFonts w:ascii="Arial" w:hAnsi="Arial" w:cs="Arial"/>
        </w:rPr>
        <w:fldChar w:fldCharType="separate"/>
      </w:r>
      <w:r w:rsidR="004D2938" w:rsidRPr="00C824CB">
        <w:rPr>
          <w:rFonts w:ascii="Arial" w:hAnsi="Arial" w:cs="Arial"/>
          <w:noProof/>
        </w:rPr>
        <w:t>[9,10]</w:t>
      </w:r>
      <w:r w:rsidR="006E6DC1" w:rsidRPr="00C824CB">
        <w:rPr>
          <w:rFonts w:ascii="Arial" w:hAnsi="Arial" w:cs="Arial"/>
        </w:rPr>
        <w:fldChar w:fldCharType="end"/>
      </w:r>
      <w:r w:rsidR="00BC62CE" w:rsidRPr="00C824CB">
        <w:rPr>
          <w:rFonts w:ascii="Arial" w:hAnsi="Arial" w:cs="Arial"/>
        </w:rPr>
        <w:t>, social class</w:t>
      </w:r>
      <w:r w:rsidR="00044957" w:rsidRPr="00C824CB">
        <w:rPr>
          <w:rFonts w:ascii="Arial" w:hAnsi="Arial" w:cs="Arial"/>
        </w:rPr>
        <w:t xml:space="preserve"> </w:t>
      </w:r>
      <w:r w:rsidR="00044957" w:rsidRPr="00C824CB">
        <w:rPr>
          <w:rFonts w:ascii="Arial" w:hAnsi="Arial" w:cs="Arial"/>
        </w:rPr>
        <w:fldChar w:fldCharType="begin"/>
      </w:r>
      <w:r w:rsidR="006B0C8A" w:rsidRPr="00C824CB">
        <w:rPr>
          <w:rFonts w:ascii="Arial" w:hAnsi="Arial" w:cs="Arial"/>
        </w:rPr>
        <w:instrText xml:space="preserve"> ADDIN ZOTERO_ITEM CSL_CITATION {"citationID":"JOkFoOSH","properties":{"formattedCitation":"[11,12]","plainCitation":"[11,12]","noteIndex":0},"citationItems":[{"id":981,"uris":["http://zotero.org/users/local/hhPVnw6l/items/PGDRASN9"],"uri":["http://zotero.org/users/local/hhPVnw6l/items/PGDRASN9"],"itemData":{"id":981,"type":"article-journal","title":"Intelligence as a Factor in Occupational Choice","container-title":"American Sociological Review","page":"683-694","volume":"3","issue":"5","source":"JSTOR","archive":"JSTOR","DOI":"10.2307/2084687","ISSN":"0003-1224","author":[{"family":"Clark","given":"Carroll D."},{"family":"Gist","given":"Noel P."}],"issued":{"date-parts":[["1938"]]}}},{"id":982,"uris":["http://zotero.org/users/local/hhPVnw6l/items/4ZSPBKQE"],"uri":["http://zotero.org/users/local/hhPVnw6l/items/4ZSPBKQE"],"itemData":{"id":982,"type":"article-journal","title":"Extent of Social Inequalities in Disability in the Elderly: Results From a Population-based Study of British Men","container-title":"Annals of Epidemiology","page":"896-903","volume":"18","issue":"12","source":"ScienceDirect","abstract":"Purpose\nLittle is known about social inequalities in disability in the elderly. We examined the extent and determinants of socioeconomic inequalities in disability and functional limitation in elderly men in Britain.\nMethods\nDisability was ascertained as problems with activities of daily living (ADLs) and instrumental ADL in a socioeconomically representative sample of 3981 men from 24 British towns who were between 63 to 82 years of age in 2003. We also examined functional limitation. Measures of socioeconomic position were social class, age at leaving full-time education, and car and house ownership.\nResults\nMen in lower social classes had greater risks of both ADL and instrumental ADL disability and functional limitation compared with higher social classes; odds ratios (95% CI) for social class V compared with I were 3.13 (1.64–5.97), 2.87 (1.49–5.51), and 2.65 (1.31–5.35), respectively. Behavioral risk factors (smoking, body mass index, physical activity) and particularly co-morbidity attenuated these differences; together, they reduced relative risks to 1.11 (0.49–2.51), 1.01 (0.45–2.25), and 1.05 (0.46–2.42). Age at leaving full-time education had no relation to functional limitations after taking social class into account. Men who were not house or car owners had greater odds of functional limitation and ADL disability compared with house or car owners, independent of behavioural risk factors, comorbidities and social class.\nConclusion\nStrong socioeconomic inequalities in disability exist in the elderly, which were considerably explained by behavioral factors and comorbidity. Policy efforts are needed to reduce the social disparities in disability in the elderly.","DOI":"10.1016/j.annepidem.2008.09.006","ISSN":"1047-2797","title-short":"Extent of Social Inequalities in Disability in the Elderly","journalAbbreviation":"Annals of Epidemiology","author":[{"family":"Ramsay","given":"Sheena E."},{"family":"Whincup","given":"Peter H."},{"family":"Morris","given":"Richard W."},{"family":"Lennon","given":"Lucy T."},{"family":"Wannamethee","given":"S. G."}],"issued":{"date-parts":[["2008",12,1]]}}}],"schema":"https://github.com/citation-style-language/schema/raw/master/csl-citation.json"} </w:instrText>
      </w:r>
      <w:r w:rsidR="00044957" w:rsidRPr="00C824CB">
        <w:rPr>
          <w:rFonts w:ascii="Arial" w:hAnsi="Arial" w:cs="Arial"/>
        </w:rPr>
        <w:fldChar w:fldCharType="separate"/>
      </w:r>
      <w:r w:rsidR="004D2938" w:rsidRPr="00C824CB">
        <w:rPr>
          <w:rFonts w:ascii="Arial" w:hAnsi="Arial" w:cs="Arial"/>
          <w:noProof/>
        </w:rPr>
        <w:t>[11,12]</w:t>
      </w:r>
      <w:r w:rsidR="00044957" w:rsidRPr="00C824CB">
        <w:rPr>
          <w:rFonts w:ascii="Arial" w:hAnsi="Arial" w:cs="Arial"/>
        </w:rPr>
        <w:fldChar w:fldCharType="end"/>
      </w:r>
      <w:r w:rsidR="00BC62CE" w:rsidRPr="00C824CB">
        <w:rPr>
          <w:rFonts w:ascii="Arial" w:hAnsi="Arial" w:cs="Arial"/>
        </w:rPr>
        <w:t xml:space="preserve">, </w:t>
      </w:r>
      <w:r w:rsidR="001D5236" w:rsidRPr="00C824CB">
        <w:rPr>
          <w:rFonts w:ascii="Arial" w:hAnsi="Arial" w:cs="Arial"/>
        </w:rPr>
        <w:t xml:space="preserve">education </w:t>
      </w:r>
      <w:r w:rsidR="00073702" w:rsidRPr="00C824CB">
        <w:rPr>
          <w:rFonts w:ascii="Arial" w:hAnsi="Arial" w:cs="Arial"/>
        </w:rPr>
        <w:fldChar w:fldCharType="begin"/>
      </w:r>
      <w:r w:rsidR="00CC5A15" w:rsidRPr="00C824CB">
        <w:rPr>
          <w:rFonts w:ascii="Arial" w:hAnsi="Arial" w:cs="Arial"/>
        </w:rPr>
        <w:instrText xml:space="preserve"> ADDIN ZOTERO_ITEM CSL_CITATION {"citationID":"TClz169t","properties":{"formattedCitation":"[10,13]","plainCitation":"[10,13]","noteIndex":0},"citationItems":[{"id":977,"uris":["http://zotero.org/users/local/hhPVnw6l/items/J9EICM4S"],"uri":["http://zotero.org/users/local/hhPVnw6l/items/J9EICM4S"],"itemData":{"id":977,"type":"article-journal","title":"Examining the Association Between Different Aspects of Socioeconomic Status, Race, and Disability in Hawaii","container-title":"Journal of Racial and Ethnic Health Disparities","page":"1247-1253","volume":"5","issue":"6","source":"PubMed","abstract":"Socioeconomic status and race/ethnicity are known to be associated with health disparities. This study used data (2010-2014) from the American Community Survey. Respondents over age 30 from Hawaii were included (n = 44,921). Outcome variables were self-reported disability in vision, hearing, ambulatory function, self-care, independent living, or cognitive function. Four measures of socioeconomic status were personal income, average income for the area, income inequality for area, and education. This study used multivariable logistic regression to predict disability by race/ethnicity and socioeconomic status, controlling for age and gender. All four measures of socioeconomic status were significant predictors of at least one type of disability after adjustment for age, gender, and other measures of socioeconomic status. Higher education was significantly related to having every type of disability. Similarly, people with high personal income were less likely to have each type of disability than those with middle income, and those with low income were more likely to have all disabilities except hearing. Income inequality was significantly associated with half the disabilities. Low area income was significantly associated with increased vision-related disability, while high income was associated with less likelihood of hearing-related disability. Native Hawaiians were significantly more likely to report having a disability than Filipinos and Chinese for all six types of disability, Japanese for four, and whites for two, after adjustment. These results suggest that in order to reduce health disparities for Native Hawaiians, as well as other ethnic groups, a range of socioeconomic factors need to be addressed.","DOI":"10.1007/s40615-018-0471-4","ISSN":"2196-8837","note":"PMID: 29464658","journalAbbreviation":"J Racial Ethn Health Disparities","language":"eng","author":[{"family":"Seto","given":"Jason"},{"family":"Davis","given":"James"},{"family":"Taira","given":"Deborah Ann"}],"issued":{"date-parts":[["2018",12]]}}},{"id":979,"uris":["http://zotero.org/users/local/hhPVnw6l/items/RTV7ZG9F"],"uri":["http://zotero.org/users/local/hhPVnw6l/items/RTV7ZG9F"],"itemData":{"id":979,"type":"article-journal","title":"Intelligence and educational achievement","container-title":"Intelligence","page":"13-21","volume":"35","issue":"1","source":"ScienceDirect","abstract":"This 5-year prospective longitudinal study of 70,000+ English children examined the association between psychometric intelligence at age 11 years and educational achievement in national examinations in 25 academic subjects at age 16. The correlation between a latent intelligence trait (Spearman's g from CAT2E) and a latent trait of educational achievement (GCSE scores) was 0.81. General intelligence contributed to success on all 25 subjects. Variance accounted for ranged from 58.6% in Mathematics and 48% in English to 18.1% in Art and Design. Girls showed no advantage in g, but performed significantly better on all subjects except Physics. This was not due to their better verbal ability. At age 16, obtaining five or more GCSEs at grades A</w:instrText>
      </w:r>
      <w:r w:rsidR="00CC5A15" w:rsidRPr="00C824CB">
        <w:rPr>
          <w:rFonts w:ascii="Segoe UI Symbol" w:hAnsi="Segoe UI Symbol" w:cs="Segoe UI Symbol"/>
        </w:rPr>
        <w:instrText>⁎</w:instrText>
      </w:r>
      <w:r w:rsidR="00CC5A15" w:rsidRPr="00C824CB">
        <w:rPr>
          <w:rFonts w:ascii="Arial" w:hAnsi="Arial" w:cs="Arial"/>
        </w:rPr>
        <w:instrText xml:space="preserve">–C is an important criterion. 61% of girls and 50% of boys achieved this. For those at the mean level of g at age 11, 58% achieved this; a standard deviation increase or decrease in g altered the values to 91% and 16%, respectively.","DOI":"10.1016/j.intell.2006.02.001","ISSN":"0160-2896","journalAbbreviation":"Intelligence","author":[{"family":"Deary","given":"Ian J."},{"family":"Strand","given":"Steve"},{"family":"Smith","given":"Pauline"},{"family":"Fernandes","given":"Cres"}],"issued":{"date-parts":[["2007",1,1]]}}}],"schema":"https://github.com/citation-style-language/schema/raw/master/csl-citation.json"} </w:instrText>
      </w:r>
      <w:r w:rsidR="00073702" w:rsidRPr="00C824CB">
        <w:rPr>
          <w:rFonts w:ascii="Arial" w:hAnsi="Arial" w:cs="Arial"/>
        </w:rPr>
        <w:fldChar w:fldCharType="separate"/>
      </w:r>
      <w:r w:rsidR="004D2938" w:rsidRPr="00C824CB">
        <w:rPr>
          <w:rFonts w:ascii="Arial" w:hAnsi="Arial" w:cs="Arial"/>
          <w:noProof/>
        </w:rPr>
        <w:t>[10,13]</w:t>
      </w:r>
      <w:r w:rsidR="00073702" w:rsidRPr="00C824CB">
        <w:rPr>
          <w:rFonts w:ascii="Arial" w:hAnsi="Arial" w:cs="Arial"/>
        </w:rPr>
        <w:fldChar w:fldCharType="end"/>
      </w:r>
      <w:r w:rsidR="00BC62CE" w:rsidRPr="00C824CB">
        <w:rPr>
          <w:rFonts w:ascii="Arial" w:hAnsi="Arial" w:cs="Arial"/>
        </w:rPr>
        <w:t xml:space="preserve">) </w:t>
      </w:r>
      <w:r w:rsidR="004F6E02" w:rsidRPr="00C824CB">
        <w:rPr>
          <w:rFonts w:ascii="Arial" w:hAnsi="Arial" w:cs="Arial"/>
        </w:rPr>
        <w:t xml:space="preserve">may </w:t>
      </w:r>
      <w:r w:rsidR="00C300CB" w:rsidRPr="00C824CB">
        <w:rPr>
          <w:rFonts w:ascii="Arial" w:hAnsi="Arial" w:cs="Arial"/>
        </w:rPr>
        <w:t xml:space="preserve">also </w:t>
      </w:r>
      <w:r w:rsidR="000B64DC" w:rsidRPr="00C824CB">
        <w:rPr>
          <w:rFonts w:ascii="Arial" w:hAnsi="Arial" w:cs="Arial"/>
        </w:rPr>
        <w:t>play an important mediating role</w:t>
      </w:r>
      <w:r w:rsidR="004F6E02" w:rsidRPr="00C824CB">
        <w:rPr>
          <w:rFonts w:ascii="Arial" w:hAnsi="Arial" w:cs="Arial"/>
        </w:rPr>
        <w:t xml:space="preserve"> in the IQ-disability relationship. </w:t>
      </w:r>
    </w:p>
    <w:p w14:paraId="56D71166" w14:textId="13C36C4B" w:rsidR="00441D25" w:rsidRPr="00C824CB" w:rsidRDefault="00441D25" w:rsidP="003E3F8C">
      <w:pPr>
        <w:spacing w:line="480" w:lineRule="auto"/>
        <w:jc w:val="both"/>
        <w:rPr>
          <w:rFonts w:ascii="Arial" w:hAnsi="Arial" w:cs="Arial"/>
        </w:rPr>
      </w:pPr>
    </w:p>
    <w:p w14:paraId="4B1E44D9" w14:textId="4CD9051E" w:rsidR="00441D25" w:rsidRPr="00C824CB" w:rsidRDefault="00441D25" w:rsidP="003E3F8C">
      <w:pPr>
        <w:spacing w:line="480" w:lineRule="auto"/>
        <w:jc w:val="both"/>
        <w:rPr>
          <w:rFonts w:ascii="Arial" w:hAnsi="Arial" w:cs="Arial"/>
        </w:rPr>
      </w:pPr>
      <w:r w:rsidRPr="00C824CB">
        <w:rPr>
          <w:rFonts w:ascii="Arial" w:hAnsi="Arial" w:cs="Arial"/>
        </w:rPr>
        <w:lastRenderedPageBreak/>
        <w:t xml:space="preserve">Given </w:t>
      </w:r>
      <w:r w:rsidR="00C300CB" w:rsidRPr="00C824CB">
        <w:rPr>
          <w:rFonts w:ascii="Arial" w:hAnsi="Arial" w:cs="Arial"/>
        </w:rPr>
        <w:t xml:space="preserve">the lack of studies on IQ and disability, </w:t>
      </w:r>
      <w:r w:rsidRPr="00C824CB">
        <w:rPr>
          <w:rFonts w:ascii="Arial" w:hAnsi="Arial" w:cs="Arial"/>
        </w:rPr>
        <w:t xml:space="preserve">and the fact that disability is </w:t>
      </w:r>
      <w:r w:rsidR="00B04E3A" w:rsidRPr="00C824CB">
        <w:rPr>
          <w:rFonts w:ascii="Arial" w:hAnsi="Arial" w:cs="Arial"/>
        </w:rPr>
        <w:t>increasingly</w:t>
      </w:r>
      <w:r w:rsidRPr="00C824CB">
        <w:rPr>
          <w:rFonts w:ascii="Arial" w:hAnsi="Arial" w:cs="Arial"/>
        </w:rPr>
        <w:t xml:space="preserve"> common in the UK</w:t>
      </w:r>
      <w:r w:rsidR="00190EB3" w:rsidRPr="00C824CB">
        <w:rPr>
          <w:rFonts w:ascii="Arial" w:hAnsi="Arial" w:cs="Arial"/>
        </w:rPr>
        <w:t xml:space="preserve"> </w:t>
      </w:r>
      <w:r w:rsidR="00165737" w:rsidRPr="00C824CB">
        <w:rPr>
          <w:rFonts w:ascii="Arial" w:hAnsi="Arial" w:cs="Arial"/>
        </w:rPr>
        <w:fldChar w:fldCharType="begin"/>
      </w:r>
      <w:r w:rsidR="006B0C8A" w:rsidRPr="00C824CB">
        <w:rPr>
          <w:rFonts w:ascii="Arial" w:hAnsi="Arial" w:cs="Arial"/>
        </w:rPr>
        <w:instrText xml:space="preserve"> ADDIN ZOTERO_ITEM CSL_CITATION {"citationID":"gjLfYpya","properties":{"formattedCitation":"[14]","plainCitation":"[14]","noteIndex":0},"citationItems":[{"id":930,"uris":["http://zotero.org/users/local/hhPVnw6l/items/JKRJ23TM"],"uri":["http://zotero.org/users/local/hhPVnw6l/items/JKRJ23TM"],"itemData":{"id":930,"type":"article-journal","title":"Forecasted trends in disability and life expectancy in England and Wales up to 2025: a modelling study","container-title":"The Lancet. Public Health","page":"e307-e313","volume":"2","issue":"7","source":"PubMed","abstract":"BACKGROUND: Reliable estimation of future trends in life expectancy and the burden of disability is crucial for ageing societies. Previous forecasts have not considered the potential impact of trends in disease incidence. The present prediction model combines population trends in cardiovascular disease, dementia, disability, and mortality to forecast trends in life expectancy and the burden of disability in England and Wales up to 2025.\nMETHODS: We developed and validated the IMPACT-Better Ageing Model-a probabilistic model that tracks the population aged 35-100 years through ten health states characterised by the presence or absence of cardiovascular disease, dementia, disability (difficulty with one or more activities of daily living) or death up to 2025, by use of evidence-based age-specific, sex-specific, and year-specific transition probabilities. As shown in the English Longitudinal Study of Ageing, we projected continuing declines in dementia incidence (2·7% per annum), cardiovascular incidence, and mortality. The model estimates disability prevalence and disabled and disability-free life expectancy by year.\nFINDINGS: Between 2015 and 2025, the number of people aged 65 years and older will increase by 19·4% (95% uncertainty interval [UI] 17·7-20·9), from 10·4 million (10·37-10·41 million) to 12·4 million (12·23-12·57 million). The number living with disability will increase by 25·0% (95% UI 21·3-28·2), from 2·25 million (2·24-2·27 million) to 2·81 million (2·72-2·89 million). The age-standardised prevalence of disability among this population will remain constant, at 21·7% (95% UI 21·5-21·8) in 2015 and 21·6% (21·3-21·8) in 2025. Total life expectancy at age 65 years will increase by 1·7 years (95% UI 0·1-3·6), from 20·1 years (19·9-20·3) to 21·8 years (20·2-23·6). Disability-free life expectancy at age 65 years will increase by 1·0 years (95% UI 0·1-1·9), from 15·4 years (15·3-15·5) to 16·4 years (15·5-17·3). However, life expectancy with disability will increase more in relative terms, with an increase of roughly 15% from 2015 (4·7 years, 95% UI 4·6-4·8) to 2025 (5·4 years, 4·7-6·4).\nINTERPRETATION: The number of older people with care needs will expand by 25% by 2025, mainly reflecting population ageing rather than an increase in prevalence of disability. Lifespans will increase further in the next decade, but a quarter of life expectancy at age 65 years will involve disability.\nFUNDING: British Heart Foundation.","DOI":"10.1016/S2468-2667(17)30091-9","ISSN":"2468-2667","note":"PMID: 28736759\nPMCID: PMC5500313","title-short":"Forecasted trends in disability and life expectancy in England and Wales up to 2025","journalAbbreviation":"Lancet Public Health","language":"eng","author":[{"family":"Guzman-Castillo","given":"Maria"},{"family":"Ahmadi-Abhari","given":"Sara"},{"family":"Bandosz","given":"Piotr"},{"family":"Capewell","given":"Simon"},{"family":"Steptoe","given":"Andrew"},{"family":"Singh-Manoux","given":"Archana"},{"family":"Kivimaki","given":"Mika"},{"family":"Shipley","given":"Martin J."},{"family":"Brunner","given":"Eric J."},{"family":"O'Flaherty","given":"Martin"}],"issued":{"date-parts":[["2017",7]]}}}],"schema":"https://github.com/citation-style-language/schema/raw/master/csl-citation.json"} </w:instrText>
      </w:r>
      <w:r w:rsidR="00165737" w:rsidRPr="00C824CB">
        <w:rPr>
          <w:rFonts w:ascii="Arial" w:hAnsi="Arial" w:cs="Arial"/>
        </w:rPr>
        <w:fldChar w:fldCharType="separate"/>
      </w:r>
      <w:r w:rsidR="004D2938" w:rsidRPr="00C824CB">
        <w:rPr>
          <w:rFonts w:ascii="Arial" w:hAnsi="Arial" w:cs="Arial"/>
          <w:noProof/>
        </w:rPr>
        <w:t>[14]</w:t>
      </w:r>
      <w:r w:rsidR="00165737" w:rsidRPr="00C824CB">
        <w:rPr>
          <w:rFonts w:ascii="Arial" w:hAnsi="Arial" w:cs="Arial"/>
        </w:rPr>
        <w:fldChar w:fldCharType="end"/>
      </w:r>
      <w:r w:rsidRPr="00C824CB">
        <w:rPr>
          <w:rFonts w:ascii="Arial" w:hAnsi="Arial" w:cs="Arial"/>
        </w:rPr>
        <w:t xml:space="preserve">, the goal of this nationally representative study was to investigate the association between IQ and disability in the English </w:t>
      </w:r>
      <w:r w:rsidR="008E7D8F" w:rsidRPr="00C824CB">
        <w:rPr>
          <w:rFonts w:ascii="Arial" w:hAnsi="Arial" w:cs="Arial"/>
        </w:rPr>
        <w:t xml:space="preserve">general </w:t>
      </w:r>
      <w:r w:rsidRPr="00C824CB">
        <w:rPr>
          <w:rFonts w:ascii="Arial" w:hAnsi="Arial" w:cs="Arial"/>
        </w:rPr>
        <w:t>population</w:t>
      </w:r>
      <w:r w:rsidR="00421E42" w:rsidRPr="00C824CB">
        <w:rPr>
          <w:rFonts w:ascii="Arial" w:hAnsi="Arial" w:cs="Arial"/>
        </w:rPr>
        <w:t xml:space="preserve">, and to </w:t>
      </w:r>
      <w:r w:rsidR="00CB0E14" w:rsidRPr="00C824CB">
        <w:rPr>
          <w:rFonts w:ascii="Arial" w:hAnsi="Arial" w:cs="Arial"/>
        </w:rPr>
        <w:t xml:space="preserve">quantify the extent to which this relationship can be explained by </w:t>
      </w:r>
      <w:r w:rsidR="005E6D8F" w:rsidRPr="00C824CB">
        <w:rPr>
          <w:rFonts w:ascii="Arial" w:hAnsi="Arial" w:cs="Arial"/>
        </w:rPr>
        <w:t>socioeconomic</w:t>
      </w:r>
      <w:r w:rsidR="00C538C0" w:rsidRPr="00C824CB">
        <w:rPr>
          <w:rFonts w:ascii="Arial" w:hAnsi="Arial" w:cs="Arial"/>
        </w:rPr>
        <w:t xml:space="preserve">, physical, </w:t>
      </w:r>
      <w:r w:rsidR="005E6D8F" w:rsidRPr="00C824CB">
        <w:rPr>
          <w:rFonts w:ascii="Arial" w:hAnsi="Arial" w:cs="Arial"/>
        </w:rPr>
        <w:t>behavioral</w:t>
      </w:r>
      <w:r w:rsidR="00C538C0" w:rsidRPr="00C824CB">
        <w:rPr>
          <w:rFonts w:ascii="Arial" w:hAnsi="Arial" w:cs="Arial"/>
        </w:rPr>
        <w:t>, and psychosocial</w:t>
      </w:r>
      <w:r w:rsidR="005E6D8F" w:rsidRPr="00C824CB">
        <w:rPr>
          <w:rFonts w:ascii="Arial" w:hAnsi="Arial" w:cs="Arial"/>
        </w:rPr>
        <w:t xml:space="preserve"> factors.</w:t>
      </w:r>
    </w:p>
    <w:p w14:paraId="5D222CFC" w14:textId="03249844" w:rsidR="00C26093" w:rsidRPr="00C824CB" w:rsidRDefault="00C26093" w:rsidP="003E3F8C">
      <w:pPr>
        <w:spacing w:line="480" w:lineRule="auto"/>
        <w:jc w:val="both"/>
        <w:rPr>
          <w:rFonts w:ascii="Arial" w:hAnsi="Arial" w:cs="Arial"/>
        </w:rPr>
      </w:pPr>
    </w:p>
    <w:p w14:paraId="2DF21E94" w14:textId="1E92764E" w:rsidR="00C26093" w:rsidRPr="00C824CB" w:rsidRDefault="00C26093" w:rsidP="003E3F8C">
      <w:pPr>
        <w:spacing w:line="480" w:lineRule="auto"/>
        <w:jc w:val="both"/>
        <w:rPr>
          <w:rFonts w:ascii="Arial" w:hAnsi="Arial" w:cs="Arial"/>
          <w:b/>
        </w:rPr>
      </w:pPr>
      <w:r w:rsidRPr="00C824CB">
        <w:rPr>
          <w:rFonts w:ascii="Arial" w:hAnsi="Arial" w:cs="Arial"/>
          <w:b/>
        </w:rPr>
        <w:t>Methods</w:t>
      </w:r>
    </w:p>
    <w:p w14:paraId="73D16147" w14:textId="428DE3EB" w:rsidR="00C26093" w:rsidRPr="00C824CB" w:rsidRDefault="00C26093" w:rsidP="003E3F8C">
      <w:pPr>
        <w:spacing w:line="480" w:lineRule="auto"/>
        <w:jc w:val="both"/>
        <w:rPr>
          <w:rFonts w:ascii="Arial" w:hAnsi="Arial" w:cs="Arial"/>
        </w:rPr>
      </w:pPr>
    </w:p>
    <w:p w14:paraId="1C104B6F" w14:textId="77777777" w:rsidR="001E424D" w:rsidRPr="00C824CB" w:rsidRDefault="001E424D" w:rsidP="001E424D">
      <w:pPr>
        <w:spacing w:line="480" w:lineRule="auto"/>
        <w:jc w:val="both"/>
        <w:rPr>
          <w:rFonts w:ascii="Arial" w:hAnsi="Arial" w:cs="Arial"/>
          <w:i/>
        </w:rPr>
      </w:pPr>
      <w:r w:rsidRPr="00C824CB">
        <w:rPr>
          <w:rFonts w:ascii="Arial" w:hAnsi="Arial" w:cs="Arial"/>
          <w:i/>
        </w:rPr>
        <w:t>Study participants</w:t>
      </w:r>
    </w:p>
    <w:p w14:paraId="382AA210" w14:textId="3A9F80AA" w:rsidR="00DD3644" w:rsidRPr="00C824CB" w:rsidRDefault="001E424D" w:rsidP="001E424D">
      <w:pPr>
        <w:spacing w:line="480" w:lineRule="auto"/>
        <w:jc w:val="both"/>
        <w:rPr>
          <w:rFonts w:ascii="Arial" w:hAnsi="Arial" w:cs="Arial"/>
        </w:rPr>
      </w:pPr>
      <w:r w:rsidRPr="00C824CB">
        <w:rPr>
          <w:rFonts w:ascii="Arial" w:hAnsi="Arial" w:cs="Arial"/>
        </w:rPr>
        <w:t xml:space="preserve">This study used data from 7403 people who participated in the 2007 Adult Psychiatric Morbidity Survey (APMS). Full details of the survey have been published elsewhere </w:t>
      </w:r>
      <w:r w:rsidR="00482B7B" w:rsidRPr="00C824CB">
        <w:rPr>
          <w:rFonts w:ascii="Arial" w:hAnsi="Arial" w:cs="Arial"/>
        </w:rPr>
        <w:fldChar w:fldCharType="begin"/>
      </w:r>
      <w:r w:rsidR="006B0C8A" w:rsidRPr="00C824CB">
        <w:rPr>
          <w:rFonts w:ascii="Arial" w:hAnsi="Arial" w:cs="Arial"/>
        </w:rPr>
        <w:instrText xml:space="preserve"> ADDIN ZOTERO_ITEM CSL_CITATION {"citationID":"Mh4bqFnJ","properties":{"formattedCitation":"[15,16]","plainCitation":"[15,16]","noteIndex":0},"citationItems":[{"id":358,"uris":["http://zotero.org/users/local/hhPVnw6l/items/43KD97LT"],"uri":["http://zotero.org/users/local/hhPVnw6l/items/43KD97LT"],"itemData":{"id":358,"type":"article-journal","title":"The British Mental Health Survey Programme: achievements and latest findings","container-title":"Social Psychiatry and Psychiatric Epidemiology","page":"899-904","volume":"44","issue":"11","source":"PubMed","DOI":"10.1007/s00127-009-0112-7","ISSN":"1433-9285","note":"PMID: 19693420","title-short":"The British Mental Health Survey Programme","journalAbbreviation":"Soc Psychiatry Psychiatr Epidemiol","language":"eng","author":[{"family":"Jenkins","given":"Rachel"},{"family":"Meltzer","given":"Howard"},{"family":"Bebbington","given":"Paul"},{"family":"Brugha","given":"Traolach"},{"family":"Farrell","given":"Michael"},{"family":"McManus","given":"Sally"},{"family":"Singleton","given":"Nicola"}],"issued":{"date-parts":[["2009",11]]}}},{"id":361,"uris":["http://zotero.org/users/local/hhPVnw6l/items/CBMHNKI7"],"uri":["http://zotero.org/users/local/hhPVnw6l/items/CBMHNKI7"],"itemData":{"id":361,"type":"report","title":"Adult Psychiatric Morbidity in England, 2007: Results of a Household Survey.","publisher":"The NHS Information Centre for Health and Social Care","publisher-place":"London","event-place":"London","URL":"https://digital.nhs.uk/data-and-information/publications/statistical/adult-psychiatric-morbidity-survey/adult-psychiatric-morbidity-in-england-2007-results-of-a-household-survey","language":"English","author":[{"family":"McManus","given":"Sally"},{"family":"Meltzer","given":"Howard"},{"family":"Brugha","given":"Traolach"},{"family":"Bebbington","given":"Paul"},{"family":"Jenkins","given":"Rachel"}],"issued":{"date-parts":[["2009"]]}}}],"schema":"https://github.com/citation-style-language/schema/raw/master/csl-citation.json"} </w:instrText>
      </w:r>
      <w:r w:rsidR="00482B7B" w:rsidRPr="00C824CB">
        <w:rPr>
          <w:rFonts w:ascii="Arial" w:hAnsi="Arial" w:cs="Arial"/>
        </w:rPr>
        <w:fldChar w:fldCharType="separate"/>
      </w:r>
      <w:r w:rsidR="004D2938" w:rsidRPr="00C824CB">
        <w:rPr>
          <w:rFonts w:ascii="Arial" w:hAnsi="Arial" w:cs="Arial"/>
          <w:noProof/>
        </w:rPr>
        <w:t>[15,16]</w:t>
      </w:r>
      <w:r w:rsidR="00482B7B" w:rsidRPr="00C824CB">
        <w:rPr>
          <w:rFonts w:ascii="Arial" w:hAnsi="Arial" w:cs="Arial"/>
        </w:rPr>
        <w:fldChar w:fldCharType="end"/>
      </w:r>
      <w:r w:rsidRPr="00C824CB">
        <w:rPr>
          <w:rFonts w:ascii="Arial" w:hAnsi="Arial" w:cs="Arial"/>
        </w:rPr>
        <w:t>. Briefly, this was a nationally representative survey of the English adult population (aged ≥16 years) living in private households. The National Center for Social Research and Leicester University undertook the survey fieldwork in October 2006 to December 2007 using a multistage stratified probability sampling design where the sampling frame consisted of the small user postcode address file, while the primary sampling units were postcode sectors. Participant information was obtained through face-to-face interviews where some of the questionnaire items were self-completed (with the use of a computer). Sampling weights were constructed to account for non-response and the probability of being selected so that the sample was representative of the English adult household population. The survey response rate was 57%. Ethical permission for the study was obtained from the Royal Free Hospital and Medical School Research Ethics Committee. All participants provided informed consent before their inclusion.</w:t>
      </w:r>
    </w:p>
    <w:p w14:paraId="34D63E02" w14:textId="1A15908C" w:rsidR="00920562" w:rsidRPr="00C824CB" w:rsidRDefault="00920562" w:rsidP="001E424D">
      <w:pPr>
        <w:spacing w:line="480" w:lineRule="auto"/>
        <w:jc w:val="both"/>
        <w:rPr>
          <w:rFonts w:ascii="Arial" w:hAnsi="Arial" w:cs="Arial"/>
        </w:rPr>
      </w:pPr>
    </w:p>
    <w:p w14:paraId="4856F8B7" w14:textId="41DB5E32" w:rsidR="00920562" w:rsidRPr="00C824CB" w:rsidRDefault="00920562" w:rsidP="001E424D">
      <w:pPr>
        <w:spacing w:line="480" w:lineRule="auto"/>
        <w:jc w:val="both"/>
        <w:rPr>
          <w:rFonts w:ascii="Arial" w:hAnsi="Arial" w:cs="Arial"/>
          <w:i/>
        </w:rPr>
      </w:pPr>
      <w:r w:rsidRPr="00C824CB">
        <w:rPr>
          <w:rFonts w:ascii="Arial" w:hAnsi="Arial" w:cs="Arial"/>
          <w:i/>
        </w:rPr>
        <w:lastRenderedPageBreak/>
        <w:t>Measures</w:t>
      </w:r>
    </w:p>
    <w:p w14:paraId="3040AA53" w14:textId="77777777" w:rsidR="00863C23" w:rsidRPr="00C824CB" w:rsidRDefault="00863C23" w:rsidP="00863C23">
      <w:pPr>
        <w:spacing w:line="480" w:lineRule="auto"/>
        <w:jc w:val="both"/>
        <w:rPr>
          <w:rFonts w:ascii="Arial" w:hAnsi="Arial" w:cs="Arial"/>
          <w:i/>
        </w:rPr>
      </w:pPr>
      <w:r w:rsidRPr="00C824CB">
        <w:rPr>
          <w:rFonts w:ascii="Arial" w:hAnsi="Arial" w:cs="Arial"/>
          <w:i/>
        </w:rPr>
        <w:t>Intelligence quotient (independent variable)</w:t>
      </w:r>
    </w:p>
    <w:p w14:paraId="17B97683" w14:textId="2F767365" w:rsidR="00863C23" w:rsidRPr="00C824CB" w:rsidRDefault="00863C23" w:rsidP="00863C23">
      <w:pPr>
        <w:spacing w:line="480" w:lineRule="auto"/>
        <w:jc w:val="both"/>
        <w:rPr>
          <w:rFonts w:ascii="Arial" w:hAnsi="Arial" w:cs="Arial"/>
        </w:rPr>
      </w:pPr>
      <w:r w:rsidRPr="00C824CB">
        <w:rPr>
          <w:rFonts w:ascii="Arial" w:hAnsi="Arial" w:cs="Arial"/>
        </w:rPr>
        <w:t xml:space="preserve">Verbal IQ was estimated using the National Adult Reading Test (NART). The NART, a brief measure administered only to native English speakers and widely used in the world, consists of a list of 50 words and is scored by counting the number of errors made in reading out the words </w:t>
      </w:r>
      <w:r w:rsidR="00057975" w:rsidRPr="00C824CB">
        <w:rPr>
          <w:rFonts w:ascii="Arial" w:hAnsi="Arial" w:cs="Arial"/>
        </w:rPr>
        <w:fldChar w:fldCharType="begin"/>
      </w:r>
      <w:r w:rsidR="00CC5A15" w:rsidRPr="00C824CB">
        <w:rPr>
          <w:rFonts w:ascii="Arial" w:hAnsi="Arial" w:cs="Arial"/>
        </w:rPr>
        <w:instrText xml:space="preserve"> ADDIN ZOTERO_ITEM CSL_CITATION {"citationID":"1Axm9GzU","properties":{"formattedCitation":"[17]","plainCitation":"[17]","noteIndex":0},"citationItems":[{"id":362,"uris":["http://zotero.org/users/local/hhPVnw6l/items/3ZQUXDDC"],"uri":["http://zotero.org/users/local/hhPVnw6l/items/3ZQUXDDC"],"itemData":{"id":362,"type":"article-journal","title":"Association between intelligence quotient and violence perpetration in the English general population","container-title":"Psychological Medicine","page":"1-8","source":"PubMed","abstract":"BACKGROUND: Data on the relationship between intelligence quotient (IQ) and violence perpetration are scarce and nationally representative data from the UK adult population is lacking. Therefore, our goal was to examine the relationship between IQ and violence perpetration using nationally representative community-based data from the UK.\nMETHODS: We analyzed cross-sectional data from the 2007 Adult Psychiatric Morbidity Survey. IQ was estimated using the National Adult Reading Test (NART). Violence perpetration referred to being in a physical fight or having deliberately hit anyone in the past 5 years. We conducted logistic regression analysis to assess the association between IQ (exposure variable) and violence perpetration (outcome variable).\nRESULTS: There were 6872 participants aged </w:instrText>
      </w:r>
      <w:r w:rsidR="00CC5A15" w:rsidRPr="00C824CB">
        <w:rPr>
          <w:rFonts w:ascii="Cambria Math" w:hAnsi="Cambria Math" w:cs="Cambria Math"/>
        </w:rPr>
        <w:instrText>⩾</w:instrText>
      </w:r>
      <w:r w:rsidR="00CC5A15" w:rsidRPr="00C824CB">
        <w:rPr>
          <w:rFonts w:ascii="Arial" w:hAnsi="Arial" w:cs="Arial"/>
        </w:rPr>
        <w:instrText xml:space="preserve">16 years included in this study. The prevalence of violence perpetration decreased linearly with increasing IQ [16.3% (IQ 70-79) v. 2.9% (IQ 120-129)]. After adjusting for demographic and behavioral factors, childhood adversity, and psychiatric morbidity, compared with those with IQ 120-129, IQ scores of 110-119, 100-109, 90-99, 80-89, and 70-79 were associated with 1.07 [95% confidence interval (CI) 0.63-1.84], 1.90 (95% CI 1.12-3.22), 1.80 (95% CI 1.05-3.13), 2.36 (95% CI 1.32-4.22), and 2.25 (95% CI 1.26-4.01) times higher odds for violence perpetration, respectively.\nCONCLUSIONS: Lower IQ was associated with violence perpetration in the UK general population. Further studies are warranted to assess how low IQ can lead to violence perpetration, and whether interventions are possible for this high-risk group.","DOI":"10.1017/S0033291718001939","ISSN":"1469-8978","note":"PMID: 30058504","journalAbbreviation":"Psychol Med","language":"eng","author":[{"family":"Jacob","given":"Louis"},{"family":"Haro","given":"Josep Maria"},{"family":"Koyanagi","given":"Ai"}],"issued":{"date-parts":[["2018",7,30]]}}}],"schema":"https://github.com/citation-style-language/schema/raw/master/csl-citation.json"} </w:instrText>
      </w:r>
      <w:r w:rsidR="00057975" w:rsidRPr="00C824CB">
        <w:rPr>
          <w:rFonts w:ascii="Arial" w:hAnsi="Arial" w:cs="Arial"/>
        </w:rPr>
        <w:fldChar w:fldCharType="separate"/>
      </w:r>
      <w:r w:rsidR="004D2938" w:rsidRPr="00C824CB">
        <w:rPr>
          <w:rFonts w:ascii="Arial" w:hAnsi="Arial" w:cs="Arial"/>
          <w:noProof/>
        </w:rPr>
        <w:t>[17]</w:t>
      </w:r>
      <w:r w:rsidR="00057975" w:rsidRPr="00C824CB">
        <w:rPr>
          <w:rFonts w:ascii="Arial" w:hAnsi="Arial" w:cs="Arial"/>
        </w:rPr>
        <w:fldChar w:fldCharType="end"/>
      </w:r>
      <w:r w:rsidRPr="00C824CB">
        <w:rPr>
          <w:rFonts w:ascii="Arial" w:hAnsi="Arial" w:cs="Arial"/>
        </w:rPr>
        <w:t xml:space="preserve">. The reliability of the NART has been assessed by a split-half technique (Cronbach α) which gave a reliability coefficient of 0.93 compared with the Wechsler Adult Intelligence Scale (WAIS). Previous research has also shown that NART scores are largely unaffected by psychiatric and neurological disorders, underlying the interest of this test in the context of the 2007 APMS </w:t>
      </w:r>
      <w:r w:rsidR="00057975" w:rsidRPr="00C824CB">
        <w:rPr>
          <w:rFonts w:ascii="Arial" w:hAnsi="Arial" w:cs="Arial"/>
        </w:rPr>
        <w:fldChar w:fldCharType="begin"/>
      </w:r>
      <w:r w:rsidR="00CC5A15" w:rsidRPr="00C824CB">
        <w:rPr>
          <w:rFonts w:ascii="Arial" w:hAnsi="Arial" w:cs="Arial"/>
        </w:rPr>
        <w:instrText xml:space="preserve"> ADDIN ZOTERO_ITEM CSL_CITATION {"citationID":"1gsZPf1P","properties":{"formattedCitation":"[17]","plainCitation":"[17]","noteIndex":0},"citationItems":[{"id":362,"uris":["http://zotero.org/users/local/hhPVnw6l/items/3ZQUXDDC"],"uri":["http://zotero.org/users/local/hhPVnw6l/items/3ZQUXDDC"],"itemData":{"id":362,"type":"article-journal","title":"Association between intelligence quotient and violence perpetration in the English general population","container-title":"Psychological Medicine","page":"1-8","source":"PubMed","abstract":"BACKGROUND: Data on the relationship between intelligence quotient (IQ) and violence perpetration are scarce and nationally representative data from the UK adult population is lacking. Therefore, our goal was to examine the relationship between IQ and violence perpetration using nationally representative community-based data from the UK.\nMETHODS: We analyzed cross-sectional data from the 2007 Adult Psychiatric Morbidity Survey. IQ was estimated using the National Adult Reading Test (NART). Violence perpetration referred to being in a physical fight or having deliberately hit anyone in the past 5 years. We conducted logistic regression analysis to assess the association between IQ (exposure variable) and violence perpetration (outcome variable).\nRESULTS: There were 6872 participants aged </w:instrText>
      </w:r>
      <w:r w:rsidR="00CC5A15" w:rsidRPr="00C824CB">
        <w:rPr>
          <w:rFonts w:ascii="Cambria Math" w:hAnsi="Cambria Math" w:cs="Cambria Math"/>
        </w:rPr>
        <w:instrText>⩾</w:instrText>
      </w:r>
      <w:r w:rsidR="00CC5A15" w:rsidRPr="00C824CB">
        <w:rPr>
          <w:rFonts w:ascii="Arial" w:hAnsi="Arial" w:cs="Arial"/>
        </w:rPr>
        <w:instrText xml:space="preserve">16 years included in this study. The prevalence of violence perpetration decreased linearly with increasing IQ [16.3% (IQ 70-79) v. 2.9% (IQ 120-129)]. After adjusting for demographic and behavioral factors, childhood adversity, and psychiatric morbidity, compared with those with IQ 120-129, IQ scores of 110-119, 100-109, 90-99, 80-89, and 70-79 were associated with 1.07 [95% confidence interval (CI) 0.63-1.84], 1.90 (95% CI 1.12-3.22), 1.80 (95% CI 1.05-3.13), 2.36 (95% CI 1.32-4.22), and 2.25 (95% CI 1.26-4.01) times higher odds for violence perpetration, respectively.\nCONCLUSIONS: Lower IQ was associated with violence perpetration in the UK general population. Further studies are warranted to assess how low IQ can lead to violence perpetration, and whether interventions are possible for this high-risk group.","DOI":"10.1017/S0033291718001939","ISSN":"1469-8978","note":"PMID: 30058504","journalAbbreviation":"Psychol Med","language":"eng","author":[{"family":"Jacob","given":"Louis"},{"family":"Haro","given":"Josep Maria"},{"family":"Koyanagi","given":"Ai"}],"issued":{"date-parts":[["2018",7,30]]}}}],"schema":"https://github.com/citation-style-language/schema/raw/master/csl-citation.json"} </w:instrText>
      </w:r>
      <w:r w:rsidR="00057975" w:rsidRPr="00C824CB">
        <w:rPr>
          <w:rFonts w:ascii="Arial" w:hAnsi="Arial" w:cs="Arial"/>
        </w:rPr>
        <w:fldChar w:fldCharType="separate"/>
      </w:r>
      <w:r w:rsidR="004D2938" w:rsidRPr="00C824CB">
        <w:rPr>
          <w:rFonts w:ascii="Arial" w:hAnsi="Arial" w:cs="Arial"/>
          <w:noProof/>
        </w:rPr>
        <w:t>[17]</w:t>
      </w:r>
      <w:r w:rsidR="00057975" w:rsidRPr="00C824CB">
        <w:rPr>
          <w:rFonts w:ascii="Arial" w:hAnsi="Arial" w:cs="Arial"/>
        </w:rPr>
        <w:fldChar w:fldCharType="end"/>
      </w:r>
      <w:r w:rsidRPr="00C824CB">
        <w:rPr>
          <w:rFonts w:ascii="Arial" w:hAnsi="Arial" w:cs="Arial"/>
        </w:rPr>
        <w:t>. There were 531 participants who were not administered the test (e.g., English not their first language, eyesight problems, dyslexia, refusal). The scores ranged from 70 to 130</w:t>
      </w:r>
      <w:r w:rsidR="003D46E1" w:rsidRPr="00C824CB">
        <w:rPr>
          <w:rFonts w:ascii="Arial" w:hAnsi="Arial" w:cs="Arial"/>
        </w:rPr>
        <w:t>,</w:t>
      </w:r>
      <w:r w:rsidRPr="00C824CB">
        <w:rPr>
          <w:rFonts w:ascii="Arial" w:hAnsi="Arial" w:cs="Arial"/>
        </w:rPr>
        <w:t xml:space="preserve"> and this variable was analyzed as a continuous </w:t>
      </w:r>
      <w:r w:rsidR="00D56803" w:rsidRPr="00C824CB">
        <w:rPr>
          <w:rFonts w:ascii="Arial" w:hAnsi="Arial" w:cs="Arial"/>
        </w:rPr>
        <w:t>(score</w:t>
      </w:r>
      <w:r w:rsidR="006F18A1" w:rsidRPr="00C824CB">
        <w:rPr>
          <w:rFonts w:ascii="Arial" w:hAnsi="Arial" w:cs="Arial"/>
        </w:rPr>
        <w:t>s based on standard deviations)</w:t>
      </w:r>
      <w:r w:rsidR="00026ACA" w:rsidRPr="00C824CB">
        <w:rPr>
          <w:rFonts w:ascii="Arial" w:hAnsi="Arial" w:cs="Arial"/>
        </w:rPr>
        <w:t>,</w:t>
      </w:r>
      <w:r w:rsidRPr="00C824CB">
        <w:rPr>
          <w:rFonts w:ascii="Arial" w:hAnsi="Arial" w:cs="Arial"/>
        </w:rPr>
        <w:t xml:space="preserve"> </w:t>
      </w:r>
      <w:r w:rsidR="00026ACA" w:rsidRPr="00C824CB">
        <w:rPr>
          <w:rFonts w:ascii="Arial" w:hAnsi="Arial" w:cs="Arial"/>
        </w:rPr>
        <w:t xml:space="preserve">six-category </w:t>
      </w:r>
      <w:r w:rsidRPr="00C824CB">
        <w:rPr>
          <w:rFonts w:ascii="Arial" w:hAnsi="Arial" w:cs="Arial"/>
        </w:rPr>
        <w:t xml:space="preserve">(i.e., 70–79, 80–89, 90–99, 100–109, 110–119, 120–129) </w:t>
      </w:r>
      <w:r w:rsidR="00026ACA" w:rsidRPr="00C824CB">
        <w:rPr>
          <w:rFonts w:ascii="Arial" w:hAnsi="Arial" w:cs="Arial"/>
        </w:rPr>
        <w:t>or dichotomous variable</w:t>
      </w:r>
      <w:r w:rsidR="003D46E1" w:rsidRPr="00C824CB">
        <w:rPr>
          <w:rFonts w:ascii="Arial" w:hAnsi="Arial" w:cs="Arial"/>
        </w:rPr>
        <w:t xml:space="preserve"> (i.e., ≤102.5, &gt;102.5</w:t>
      </w:r>
      <w:r w:rsidR="005D44DA" w:rsidRPr="00C824CB">
        <w:rPr>
          <w:rFonts w:ascii="Arial" w:hAnsi="Arial" w:cs="Arial"/>
        </w:rPr>
        <w:t xml:space="preserve">; </w:t>
      </w:r>
      <w:r w:rsidR="00217559" w:rsidRPr="00C824CB">
        <w:rPr>
          <w:rFonts w:ascii="Arial" w:hAnsi="Arial" w:cs="Arial"/>
        </w:rPr>
        <w:t>102.5=</w:t>
      </w:r>
      <w:r w:rsidR="00C14DD4" w:rsidRPr="00C824CB">
        <w:rPr>
          <w:rFonts w:ascii="Arial" w:hAnsi="Arial" w:cs="Arial"/>
        </w:rPr>
        <w:t xml:space="preserve">mean IQ of the </w:t>
      </w:r>
      <w:r w:rsidR="00C20051" w:rsidRPr="00C824CB">
        <w:rPr>
          <w:rFonts w:ascii="Arial" w:hAnsi="Arial" w:cs="Arial"/>
        </w:rPr>
        <w:t xml:space="preserve">weighted </w:t>
      </w:r>
      <w:r w:rsidR="00C14DD4" w:rsidRPr="00C824CB">
        <w:rPr>
          <w:rFonts w:ascii="Arial" w:hAnsi="Arial" w:cs="Arial"/>
        </w:rPr>
        <w:t>sample</w:t>
      </w:r>
      <w:r w:rsidR="003D46E1" w:rsidRPr="00C824CB">
        <w:rPr>
          <w:rFonts w:ascii="Arial" w:hAnsi="Arial" w:cs="Arial"/>
        </w:rPr>
        <w:t>)</w:t>
      </w:r>
      <w:r w:rsidRPr="00C824CB">
        <w:rPr>
          <w:rFonts w:ascii="Arial" w:hAnsi="Arial" w:cs="Arial"/>
        </w:rPr>
        <w:t xml:space="preserve"> </w:t>
      </w:r>
      <w:r w:rsidR="00421290" w:rsidRPr="00C824CB">
        <w:rPr>
          <w:rFonts w:ascii="Arial" w:hAnsi="Arial" w:cs="Arial"/>
        </w:rPr>
        <w:fldChar w:fldCharType="begin"/>
      </w:r>
      <w:r w:rsidR="00CC5A15" w:rsidRPr="00C824CB">
        <w:rPr>
          <w:rFonts w:ascii="Arial" w:hAnsi="Arial" w:cs="Arial"/>
        </w:rPr>
        <w:instrText xml:space="preserve"> ADDIN ZOTERO_ITEM CSL_CITATION {"citationID":"UHd4ubCH","properties":{"formattedCitation":"[17]","plainCitation":"[17]","noteIndex":0},"citationItems":[{"id":362,"uris":["http://zotero.org/users/local/hhPVnw6l/items/3ZQUXDDC"],"uri":["http://zotero.org/users/local/hhPVnw6l/items/3ZQUXDDC"],"itemData":{"id":362,"type":"article-journal","title":"Association between intelligence quotient and violence perpetration in the English general population","container-title":"Psychological Medicine","page":"1-8","source":"PubMed","abstract":"BACKGROUND: Data on the relationship between intelligence quotient (IQ) and violence perpetration are scarce and nationally representative data from the UK adult population is lacking. Therefore, our goal was to examine the relationship between IQ and violence perpetration using nationally representative community-based data from the UK.\nMETHODS: We analyzed cross-sectional data from the 2007 Adult Psychiatric Morbidity Survey. IQ was estimated using the National Adult Reading Test (NART). Violence perpetration referred to being in a physical fight or having deliberately hit anyone in the past 5 years. We conducted logistic regression analysis to assess the association between IQ (exposure variable) and violence perpetration (outcome variable).\nRESULTS: There were 6872 participants aged </w:instrText>
      </w:r>
      <w:r w:rsidR="00CC5A15" w:rsidRPr="00C824CB">
        <w:rPr>
          <w:rFonts w:ascii="Cambria Math" w:hAnsi="Cambria Math" w:cs="Cambria Math"/>
        </w:rPr>
        <w:instrText>⩾</w:instrText>
      </w:r>
      <w:r w:rsidR="00CC5A15" w:rsidRPr="00C824CB">
        <w:rPr>
          <w:rFonts w:ascii="Arial" w:hAnsi="Arial" w:cs="Arial"/>
        </w:rPr>
        <w:instrText xml:space="preserve">16 years included in this study. The prevalence of violence perpetration decreased linearly with increasing IQ [16.3% (IQ 70-79) v. 2.9% (IQ 120-129)]. After adjusting for demographic and behavioral factors, childhood adversity, and psychiatric morbidity, compared with those with IQ 120-129, IQ scores of 110-119, 100-109, 90-99, 80-89, and 70-79 were associated with 1.07 [95% confidence interval (CI) 0.63-1.84], 1.90 (95% CI 1.12-3.22), 1.80 (95% CI 1.05-3.13), 2.36 (95% CI 1.32-4.22), and 2.25 (95% CI 1.26-4.01) times higher odds for violence perpetration, respectively.\nCONCLUSIONS: Lower IQ was associated with violence perpetration in the UK general population. Further studies are warranted to assess how low IQ can lead to violence perpetration, and whether interventions are possible for this high-risk group.","DOI":"10.1017/S0033291718001939","ISSN":"1469-8978","note":"PMID: 30058504","journalAbbreviation":"Psychol Med","language":"eng","author":[{"family":"Jacob","given":"Louis"},{"family":"Haro","given":"Josep Maria"},{"family":"Koyanagi","given":"Ai"}],"issued":{"date-parts":[["2018",7,30]]}}}],"schema":"https://github.com/citation-style-language/schema/raw/master/csl-citation.json"} </w:instrText>
      </w:r>
      <w:r w:rsidR="00421290" w:rsidRPr="00C824CB">
        <w:rPr>
          <w:rFonts w:ascii="Arial" w:hAnsi="Arial" w:cs="Arial"/>
        </w:rPr>
        <w:fldChar w:fldCharType="separate"/>
      </w:r>
      <w:r w:rsidR="004D2938" w:rsidRPr="00C824CB">
        <w:rPr>
          <w:rFonts w:ascii="Arial" w:hAnsi="Arial" w:cs="Arial"/>
          <w:noProof/>
        </w:rPr>
        <w:t>[17]</w:t>
      </w:r>
      <w:r w:rsidR="00421290" w:rsidRPr="00C824CB">
        <w:rPr>
          <w:rFonts w:ascii="Arial" w:hAnsi="Arial" w:cs="Arial"/>
        </w:rPr>
        <w:fldChar w:fldCharType="end"/>
      </w:r>
      <w:r w:rsidRPr="00C824CB">
        <w:rPr>
          <w:rFonts w:ascii="Arial" w:hAnsi="Arial" w:cs="Arial"/>
        </w:rPr>
        <w:t>.</w:t>
      </w:r>
      <w:r w:rsidR="00296392" w:rsidRPr="00C824CB">
        <w:rPr>
          <w:rFonts w:ascii="Arial" w:hAnsi="Arial" w:cs="Arial"/>
        </w:rPr>
        <w:t xml:space="preserve"> </w:t>
      </w:r>
      <w:r w:rsidRPr="00C824CB">
        <w:rPr>
          <w:rFonts w:ascii="Arial" w:hAnsi="Arial" w:cs="Arial"/>
        </w:rPr>
        <w:t>Verbal IQ is referred to as IQ in this manuscript for the sake of brevity.</w:t>
      </w:r>
    </w:p>
    <w:p w14:paraId="65F4C6AE" w14:textId="77777777" w:rsidR="00863C23" w:rsidRPr="00C824CB" w:rsidRDefault="00863C23" w:rsidP="00863C23">
      <w:pPr>
        <w:spacing w:line="480" w:lineRule="auto"/>
        <w:jc w:val="both"/>
        <w:rPr>
          <w:rFonts w:ascii="Arial" w:hAnsi="Arial" w:cs="Arial"/>
          <w:i/>
        </w:rPr>
      </w:pPr>
    </w:p>
    <w:p w14:paraId="0DB1F592" w14:textId="484A28C7" w:rsidR="00920562" w:rsidRPr="00C824CB" w:rsidRDefault="00920562" w:rsidP="001E424D">
      <w:pPr>
        <w:spacing w:line="480" w:lineRule="auto"/>
        <w:jc w:val="both"/>
        <w:rPr>
          <w:rFonts w:ascii="Arial" w:hAnsi="Arial" w:cs="Arial"/>
          <w:i/>
        </w:rPr>
      </w:pPr>
      <w:r w:rsidRPr="00C824CB">
        <w:rPr>
          <w:rFonts w:ascii="Arial" w:hAnsi="Arial" w:cs="Arial"/>
          <w:i/>
        </w:rPr>
        <w:t>Disability (dependent variable)</w:t>
      </w:r>
    </w:p>
    <w:p w14:paraId="3139920C" w14:textId="7894EAE7" w:rsidR="00920562" w:rsidRPr="00C824CB" w:rsidRDefault="001D5236" w:rsidP="00920562">
      <w:pPr>
        <w:spacing w:line="480" w:lineRule="auto"/>
        <w:jc w:val="both"/>
        <w:rPr>
          <w:rFonts w:ascii="Arial" w:hAnsi="Arial" w:cs="Arial"/>
        </w:rPr>
      </w:pPr>
      <w:r w:rsidRPr="00C824CB">
        <w:rPr>
          <w:rFonts w:ascii="Arial" w:hAnsi="Arial" w:cs="Arial"/>
        </w:rPr>
        <w:t>D</w:t>
      </w:r>
      <w:r w:rsidR="00920562" w:rsidRPr="00C824CB">
        <w:rPr>
          <w:rFonts w:ascii="Arial" w:hAnsi="Arial" w:cs="Arial"/>
        </w:rPr>
        <w:t xml:space="preserve">isability was assessed with seven questions about difficulties in ADL and IADL. Specifically, these questions were on personal care, getting out and about or using transport, medical care, household activities, practical activities, paperwork, and managing money (see </w:t>
      </w:r>
      <w:r w:rsidR="00920562" w:rsidRPr="00C824CB">
        <w:rPr>
          <w:rFonts w:ascii="Arial" w:hAnsi="Arial" w:cs="Arial"/>
          <w:b/>
        </w:rPr>
        <w:t>Appendix 1</w:t>
      </w:r>
      <w:r w:rsidR="00920562" w:rsidRPr="00C824CB">
        <w:rPr>
          <w:rFonts w:ascii="Arial" w:hAnsi="Arial" w:cs="Arial"/>
        </w:rPr>
        <w:t xml:space="preserve"> for details). Disability was used as a binary variable (at least one difficulty in one of the seven ADL/IADL domains: yes or no). </w:t>
      </w:r>
    </w:p>
    <w:p w14:paraId="718EDE35" w14:textId="10EF83E7" w:rsidR="0063618E" w:rsidRPr="00C824CB" w:rsidRDefault="0063618E" w:rsidP="00920562">
      <w:pPr>
        <w:spacing w:line="480" w:lineRule="auto"/>
        <w:jc w:val="both"/>
        <w:rPr>
          <w:rFonts w:ascii="Arial" w:hAnsi="Arial" w:cs="Arial"/>
        </w:rPr>
      </w:pPr>
    </w:p>
    <w:p w14:paraId="4FA3F714" w14:textId="215FC367" w:rsidR="0063618E" w:rsidRPr="00C824CB" w:rsidRDefault="0063618E" w:rsidP="00920562">
      <w:pPr>
        <w:spacing w:line="480" w:lineRule="auto"/>
        <w:jc w:val="both"/>
        <w:rPr>
          <w:rFonts w:ascii="Arial" w:hAnsi="Arial" w:cs="Arial"/>
          <w:i/>
        </w:rPr>
      </w:pPr>
      <w:r w:rsidRPr="00C824CB">
        <w:rPr>
          <w:rFonts w:ascii="Arial" w:hAnsi="Arial" w:cs="Arial"/>
          <w:i/>
        </w:rPr>
        <w:t>Control variables</w:t>
      </w:r>
    </w:p>
    <w:p w14:paraId="71F9CDB7" w14:textId="77777777" w:rsidR="009C5BCB" w:rsidRPr="00C824CB" w:rsidRDefault="00FD3D6F" w:rsidP="00D064CA">
      <w:pPr>
        <w:spacing w:line="480" w:lineRule="auto"/>
        <w:jc w:val="both"/>
        <w:rPr>
          <w:rFonts w:ascii="Arial" w:hAnsi="Arial" w:cs="Arial"/>
        </w:rPr>
      </w:pPr>
      <w:r w:rsidRPr="00C824CB">
        <w:rPr>
          <w:rFonts w:ascii="Arial" w:hAnsi="Arial" w:cs="Arial"/>
        </w:rPr>
        <w:lastRenderedPageBreak/>
        <w:t xml:space="preserve">The present study controlled for </w:t>
      </w:r>
      <w:r w:rsidR="00D064CA" w:rsidRPr="00C824CB">
        <w:rPr>
          <w:rFonts w:ascii="Arial" w:hAnsi="Arial" w:cs="Arial"/>
        </w:rPr>
        <w:t>s</w:t>
      </w:r>
      <w:r w:rsidR="00D91FBB" w:rsidRPr="00C824CB">
        <w:rPr>
          <w:rFonts w:ascii="Arial" w:hAnsi="Arial" w:cs="Arial"/>
        </w:rPr>
        <w:t>ex, age</w:t>
      </w:r>
      <w:r w:rsidR="009C5BCB" w:rsidRPr="00C824CB">
        <w:rPr>
          <w:rFonts w:ascii="Arial" w:hAnsi="Arial" w:cs="Arial"/>
        </w:rPr>
        <w:t xml:space="preserve"> and</w:t>
      </w:r>
      <w:r w:rsidR="00D91FBB" w:rsidRPr="00C824CB">
        <w:rPr>
          <w:rFonts w:ascii="Arial" w:hAnsi="Arial" w:cs="Arial"/>
        </w:rPr>
        <w:t xml:space="preserve"> ethnicity (British White: yes or no)</w:t>
      </w:r>
      <w:r w:rsidR="009C5BCB" w:rsidRPr="00C824CB">
        <w:rPr>
          <w:rFonts w:ascii="Arial" w:hAnsi="Arial" w:cs="Arial"/>
        </w:rPr>
        <w:t>.</w:t>
      </w:r>
    </w:p>
    <w:p w14:paraId="482ED6A5" w14:textId="33C1C217" w:rsidR="00D064CA" w:rsidRPr="00C824CB" w:rsidRDefault="00D064CA" w:rsidP="00D064CA">
      <w:pPr>
        <w:spacing w:line="480" w:lineRule="auto"/>
        <w:jc w:val="both"/>
        <w:rPr>
          <w:rFonts w:ascii="Arial" w:hAnsi="Arial" w:cs="Arial"/>
        </w:rPr>
      </w:pPr>
    </w:p>
    <w:p w14:paraId="74FA27C0" w14:textId="3CA63B59" w:rsidR="00D064CA" w:rsidRPr="00C824CB" w:rsidRDefault="007A0EC1" w:rsidP="00D064CA">
      <w:pPr>
        <w:spacing w:line="480" w:lineRule="auto"/>
        <w:jc w:val="both"/>
        <w:rPr>
          <w:rFonts w:ascii="Arial" w:hAnsi="Arial" w:cs="Arial"/>
          <w:i/>
        </w:rPr>
      </w:pPr>
      <w:r w:rsidRPr="00C824CB">
        <w:rPr>
          <w:rFonts w:ascii="Arial" w:hAnsi="Arial" w:cs="Arial"/>
          <w:i/>
        </w:rPr>
        <w:t xml:space="preserve">Influential </w:t>
      </w:r>
      <w:r w:rsidR="00D064CA" w:rsidRPr="00C824CB">
        <w:rPr>
          <w:rFonts w:ascii="Arial" w:hAnsi="Arial" w:cs="Arial"/>
          <w:i/>
        </w:rPr>
        <w:t>variables</w:t>
      </w:r>
    </w:p>
    <w:p w14:paraId="09286223" w14:textId="41DF8A56" w:rsidR="00AB58DD" w:rsidRPr="00C824CB" w:rsidRDefault="00AB58DD" w:rsidP="00D91FBB">
      <w:pPr>
        <w:spacing w:line="480" w:lineRule="auto"/>
        <w:jc w:val="both"/>
        <w:rPr>
          <w:rFonts w:ascii="Arial" w:hAnsi="Arial" w:cs="Arial"/>
        </w:rPr>
      </w:pPr>
      <w:r w:rsidRPr="00C824CB">
        <w:rPr>
          <w:rFonts w:ascii="Arial" w:hAnsi="Arial" w:cs="Arial"/>
        </w:rPr>
        <w:t>These variables were selected from past literature</w:t>
      </w:r>
      <w:r w:rsidR="00240F51" w:rsidRPr="00C824CB">
        <w:rPr>
          <w:rFonts w:ascii="Arial" w:hAnsi="Arial" w:cs="Arial"/>
        </w:rPr>
        <w:t xml:space="preserve"> </w:t>
      </w:r>
      <w:r w:rsidR="00240F51" w:rsidRPr="00C824CB">
        <w:rPr>
          <w:rFonts w:ascii="Arial" w:hAnsi="Arial" w:cs="Arial"/>
        </w:rPr>
        <w:fldChar w:fldCharType="begin"/>
      </w:r>
      <w:r w:rsidR="006B0C8A" w:rsidRPr="00C824CB">
        <w:rPr>
          <w:rFonts w:ascii="Arial" w:hAnsi="Arial" w:cs="Arial"/>
        </w:rPr>
        <w:instrText xml:space="preserve"> ADDIN ZOTERO_ITEM CSL_CITATION {"citationID":"2HMJj5A1","properties":{"formattedCitation":"[9\\uc0\\u8211{}13,18\\uc0\\u8211{}29]","plainCitation":"[9–13,18–29]","noteIndex":0},"citationItems":[{"id":976,"uris":["http://zotero.org/users/local/hhPVnw6l/items/PDRWU2UL"],"uri":["http://zotero.org/users/local/hhPVnw6l/items/PDRWU2UL"],"itemData":{"id":976,"type":"article-journal","title":"The relation between childhood IQ and income in middle age","container-title":"The Journal of social, political, and economic studies","page":"191-196","volume":"31","issue":"2","language":"eng","author":[{"family":"Irwing","given":"Paul"},{"family":"Lynn","given":"Richard"}],"issued":{"date-parts":[["2006"]]}}},{"id":977,"uris":["http://zotero.org/users/local/hhPVnw6l/items/J9EICM4S"],"uri":["http://zotero.org/users/local/hhPVnw6l/items/J9EICM4S"],"itemData":{"id":977,"type":"article-journal","title":"Examining the Association Between Different Aspects of Socioeconomic Status, Race, and Disability in Hawaii","container-title":"Journal of Racial and Ethnic Health Disparities","page":"1247-1253","volume":"5","issue":"6","source":"PubMed","abstract":"Socioeconomic status and race/ethnicity are known to be associated with health disparities. This study used data (2010-2014) from the American Community Survey. Respondents over age 30 from Hawaii were included (n = 44,921). Outcome variables were self-reported disability in vision, hearing, ambulatory function, self-care, independent living, or cognitive function. Four measures of socioeconomic status were personal income, average income for the area, income inequality for area, and education. This study used multivariable logistic regression to predict disability by race/ethnicity and socioeconomic status, controlling for age and gender. All four measures of socioeconomic status were significant predictors of at least one type of disability after adjustment for age, gender, and other measures of socioeconomic status. Higher education was significantly related to having every type of disability. Similarly, people with high personal income were less likely to have each type of disability than those with middle income, and those with low income were more likely to have all disabilities except hearing. Income inequality was significantly associated with half the disabilities. Low area income was significantly associated with increased vision-related disability, while high income was associated with less likelihood of hearing-related disability. Native Hawaiians were significantly more likely to report having a disability than Filipinos and Chinese for all six types of disability, Japanese for four, and whites for two, after adjustment. These results suggest that in order to reduce health disparities for Native Hawaiians, as well as other ethnic groups, a range of socioeconomic factors need to be addressed.","DOI":"10.1007/s40615-018-0471-4","ISSN":"2196-8837","note":"PMID: 29464658","journalAbbreviation":"J Racial Ethn Health Disparities","language":"eng","author":[{"family":"Seto","given":"Jason"},{"family":"Davis","given":"James"},{"family":"Taira","given":"Deborah Ann"}],"issued":{"date-parts":[["2018",12]]}}},{"id":981,"uris":["http://zotero.org/users/local/hhPVnw6l/items/PGDRASN9"],"uri":["http://zotero.org/users/local/hhPVnw6l/items/PGDRASN9"],"itemData":{"id":981,"type":"article-journal","title":"Intelligence as a Factor in Occupational Choice","container-title":"American Sociological Review","page":"683-694","volume":"3","issue":"5","source":"JSTOR","archive":"JSTOR","DOI":"10.2307/2084687","ISSN":"0003-1224","author":[{"family":"Clark","given":"Carroll D."},{"family":"Gist","given":"Noel P."}],"issued":{"date-parts":[["1938"]]}}},{"id":982,"uris":["http://zotero.org/users/local/hhPVnw6l/items/4ZSPBKQE"],"uri":["http://zotero.org/users/local/hhPVnw6l/items/4ZSPBKQE"],"itemData":{"id":982,"type":"article-journal","title":"Extent of Social Inequalities in Disability in the Elderly: Results From a Population-based Study of British Men","container-title":"Annals of Epidemiology","page":"896-903","volume":"18","issue":"12","source":"ScienceDirect","abstract":"Purpose\nLittle is known about social inequalities in disability in the elderly. We examined the extent and determinants of socioeconomic inequalities in disability and functional limitation in elderly men in Britain.\nMethods\nDisability was ascertained as problems with activities of daily living (ADLs) and instrumental ADL in a socioeconomically representative sample of 3981 men from 24 British towns who were between 63 to 82 years of age in 2003. We also examined functional limitation. Measures of socioeconomic position were social class, age at leaving full-time education, and car and house ownership.\nResults\nMen in lower social classes had greater risks of both ADL and instrumental ADL disability and functional limitation compared with higher social classes; odds ratios (95% CI) for social class V compared with I were 3.13 (1.64–5.97), 2.87 (1.49–5.51), and 2.65 (1.31–5.35), respectively. Behavioral risk factors (smoking, body mass index, physical activity) and particularly co-morbidity attenuated these differences; together, they reduced relative risks to 1.11 (0.49–2.51), 1.01 (0.45–2.25), and 1.05 (0.46–2.42). Age at leaving full-time education had no relation to functional limitations after taking social class into account. Men who were not house or car owners had greater odds of functional limitation and ADL disability compared with house or car owners, independent of behavioural risk factors, comorbidities and social class.\nConclusion\nStrong socioeconomic inequalities in disability exist in the elderly, which were considerably explained by behavioral factors and comorbidity. Policy efforts are needed to reduce the social disparities in disability in the elderly.","DOI":"10.1016/j.annepidem.2008.09.006","ISSN":"1047-2797","title-short":"Extent of Social Inequalities in Disability in the Elderly","journalAbbreviation":"Annals of Epidemiology","author":[{"family":"Ramsay","given":"Sheena E."},{"family":"Whincup","given":"Peter H."},{"family":"Morris","given":"Richard W."},{"family":"Lennon","given":"Lucy T."},{"family":"Wannamethee","given":"S. G."}],"issued":{"date-parts":[["2008",12,1]]}}},{"id":979,"uris":["http://zotero.org/users/local/hhPVnw6l/items/RTV7ZG9F"],"uri":["http://zotero.org/users/local/hhPVnw6l/items/RTV7ZG9F"],"itemData":{"id":979,"type":"article-journal","title":"Intelligence and educational achievement","container-title":"Intelligence","page":"13-21","volume":"35","issue":"1","source":"ScienceDirect","abstract":"This 5-year prospective longitudinal study of 70,000+ English children examined the association between psychometric intelligence at age 11 years and educational achievement in national examinations in 25 academic subjects at age 16. The correlation between a latent intelligence trait (Spearman's g from CAT2E) and a latent trait of educational achievement (GCSE scores) was 0.81. General intelligence contributed to success on all 25 subjects. Variance accounted for ranged from 58.6% in Mathematics and 48% in English to 18.1% in Art and Design. Girls showed no advantage in g, but performed significantly better on all subjects except Physics. This was not due to their better verbal ability. At age 16, obtaining five or more GCSEs at grades A</w:instrText>
      </w:r>
      <w:r w:rsidR="006B0C8A" w:rsidRPr="00C824CB">
        <w:rPr>
          <w:rFonts w:ascii="Segoe UI Symbol" w:hAnsi="Segoe UI Symbol" w:cs="Segoe UI Symbol"/>
        </w:rPr>
        <w:instrText>⁎</w:instrText>
      </w:r>
      <w:r w:rsidR="006B0C8A" w:rsidRPr="00C824CB">
        <w:rPr>
          <w:rFonts w:ascii="Arial" w:hAnsi="Arial" w:cs="Arial"/>
        </w:rPr>
        <w:instrText xml:space="preserve">–C is an important criterion. 61% of girls and 50% of boys achieved this. For those at the mean level of g at age 11, 58% achieved this; a standard deviation increase or decrease in g altered the values to 91% and 16%, respectively.","DOI":"10.1016/j.intell.2006.02.001","ISSN":"0160-2896","journalAbbreviation":"Intelligence","author":[{"family":"Deary","given":"Ian J."},{"family":"Strand","given":"Steve"},{"family":"Smith","given":"Pauline"},{"family":"Fernandes","given":"Cres"}],"issued":{"date-parts":[["2007",1,1]]}}},{"id":997,"uris":["http://zotero.org/users/local/hhPVnw6l/items/7NF8XEDH"],"uri":["http://zotero.org/users/local/hhPVnw6l/items/7NF8XEDH"],"itemData":{"id":997,"type":"article-journal","title":"Demographic determinants for change in activities of daily living: a cohort study of the elderly people in Beijing","container-title":"Journal of Epidemiology","page":"280-286","volume":"12","issue":"3","source":"PubMed","abstract":"To describe changes in activities of daily living (ADL) of community-dwelling Beijing elderly people, observed for 8 years, and to identify the demographic characteristics that predict the functional change. Four sets of interview data from 1992 to 2000 were used to evaluate changes among Beijing elderly aged 55 years and over. Results revealed that prevalence of disability increased from 3.9% to 7.1% during the 8 years of follow-up with the average increasing rate of disability was 0.41% per year. Meanwhile an increasing likelihood of recovery from disability is observed with age and time. Women, aged 75 or more, experienced higher disability than men though it was in the opposite for younger ages. In addition, certain demographic subgroups (such as women, unmarried, illiterate and living in non urban area) appeared to be at higher risk for ADL impaired. The patterns of ADL change is in both the direction of improvement and declination. Demographic variables emerged as a significant predictor in estimating functional outcomes. Furthermore, it is recommended that the demarcation factor for the evaluation of ADL should be 75 years of age.","ISSN":"0917-5040","note":"PMID: 12164333","title-short":"Demographic determinants for change in activities of daily living","journalAbbreviation":"J Epidemiol","language":"eng","author":[{"family":"Jiang","given":"Jingmei"},{"family":"Tang","given":"Zhe"},{"family":"Meng","given":"Xiang Jun"},{"family":"Futatsuka","given":"Makoto"}],"issued":{"date-parts":[["2002",5]]}}},{"id":776,"uris":["http://zotero.org/users/local/hhPVnw6l/items/76SBCXQI"],"uri":["http://zotero.org/users/local/hhPVnw6l/items/76SBCXQI"],"itemData":{"id":776,"type":"article-journal","title":"Is there a relationship between excessive drinking and functional impairment in older persons?","container-title":"Journal of the American Geriatrics Society","page":"44-49","volume":"51","issue":"1","source":"PubMed","abstract":"OBJECTIVES: To investigate the relationship between (1) two thresholds of excessive alcohol drinking, (2) binge drinking, and (3) impairments in functional status in older drinkers.\nDESIGN: Cross-sectional study.\nSETTING: Ten internal medicine practices affiliated with an academic medical center.\nPARTICIPANTS: One hundred sixty-one persons aged 60 and older who reported drinking one or more drinks in the previous 3 months.\nMEASUREMENTS: Two commonly used thresholds of excessive drinking: (1) eight to 14 drinks per week for women and men (lower threshold) and (2) more than 14 drinks per week for women and men (higher threshold); a measure of binge drinking (&gt; or =3 drinks per occasion for women or &gt; or =4 drinks per occasion for men); and self-reported instrumental activities of daily living (IADLs) and advanced activities of daily living (AADLs).\nRESULTS: Compared with older persons consuming seven or fewer drinks per week, those exceeding the higher threshold of excessive drinking were more likely to have impairments in IADLs (adjusted odds ratio (AOR) = 8.4) and, to a lesser extent, AADLs (AOR = 3.7); those exceeding the lower threshold were more likely to have impairments in IADLs (AOR 5 6.0) but not in AADLs (AOR = 1.7). Binge drinkers were also more likely to have impairments in IADLs (AOR = 3.0) but not in AADLs (AOR = 1.5).\nCONCLUSIONS: In this group of older men and women, drinking more than seven drinks per week was associated with impairments in IADLs and, to a lesser extent, AADLs. Drinking more than three drinks per occasion was associated with impairments in IADLs.","ISSN":"0002-8614","note":"PMID: 12534844","journalAbbreviation":"J Am Geriatr Soc","language":"eng","author":[{"family":"Moore","given":"Alison A."},{"family":"Endo","given":"Justin O."},{"family":"Carter","given":"M. Kallin"}],"issued":{"date-parts":[["2003",1]]}}},{"id":294,"uris":["http://zotero.org/users/local/hhPVnw6l/items/NSQZGH38"],"uri":["http://zotero.org/users/local/hhPVnw6l/items/NSQZGH38"],"itemData":{"id":294,"type":"article-journal","title":"Childhood IQ and marriage by mid-life: the Scottish Mental Survey 1932 and the Midspan studies","container-title":"Personality and Individual Differences","page":"1621-1630","volume":"38","issue":"7","source":"ScienceDirect","abstract":"The study examined the influence of IQ at age 11 years on marital status by mid-adulthood. The combined databases of the Scottish Mental Survey 1932 and the Midspan studies provided data from 883 subjects. With regard to IQ at age 11, there was an interaction between sex and marital status by mid-adulthood (p=0.0001). Women who had ever-married achieved mean lower childhood IQ scores than women who had never-married (p&lt;0.001). Conversely, there was a trend for men who had ever-married to achieve higher childhood IQ scores than men who had never-married (p=0.07). In men, the odds ratio of ever marrying was 1.35 (95% CI 0.98–1.86; p=0.07) for each standard deviation increase in childhood IQ. Among women, the odds ratio of ever marrying by mid-life was 0.42 (95% CI 0.27–0.64; p=0.0001) for each standard deviation increase in childhood IQ. Mid-life social class had a similar association with marriage, with women in more professional jobs and men in more manual jobs being less likely to have ever-married by mid-life. Adjustment for the effects of mid-life social class and height on the association between childhood IQ and later marriage, and vice versa, attenuated the effects somewhat, but suggested that IQ, height and social class acted partly independently.","DOI":"10.1016/j.paid.2004.09.021","ISSN":"0191-8869","title-short":"Childhood IQ and marriage by mid-life","journalAbbreviation":"Personality and Individual Differences","author":[{"family":"Taylor","given":"Michelle D."},{"family":"Hart","given":"Carole L."},{"family":"Smith","given":"George Davey"},{"family":"Whalley","given":"Lawrence J."},{"family":"Hole","given":"David J."},{"family":"Wilson","given":"Valerie"},{"family":"Deary","given":"Ian J."}],"issued":{"date-parts":[["2005",5,1]]}}},{"id":1007,"uris":["http://zotero.org/users/local/hhPVnw6l/items/KT9NZ8KK"],"uri":["http://zotero.org/users/local/hhPVnw6l/items/KT9NZ8KK"],"itemData":{"id":1007,"type":"article-journal","title":"Social support and intellectual disabilities: a comparison between social networks of adults with intellectual disability and those with physical disability","container-title":"Journal of intellectual disability research: JIDR","page":"463-473","volume":"53","issue":"5","source":"PubMed","abstract":"BACKGROUND: Social support has been identified as a major protective factor in preventing mental health problems and also as a major contributor to quality of life. People with intellectual disabilities (ID) have been identified as having limited social support structures. Interventions have been focused on promoting their social presence and integration. However, previous studies have shown that this does not always lead to the formation of social relationships. To date few studies have looked at how having an ID leads to impoverished social networks. This study aimed to do this by contrasting the social relationships of people with physical disabilities (PD) and people with ID.\nMETHODS: Two groups of participants were recruited; 30 people with mild ID and 17 people with PD. Social and functional support networks were assessed, in addition to life experiences. Between and within group differences were then explored statistically.\nRESULTS: Adults with ID had more restricted social networks than PD, despite being involved in more activities. Social support for adults with ID was mainly provided by family and carers and few relationships with non-disabled people were identified. In contrast adults with PD had larger social networks than had been reported in the mainstream literature and had a balance of relationships with disabled and non-disabled people.\nCONCLUSIONS: The results suggest that there are additional processes attached to having an ID, which lead to continued impoverished lifestyles. The findings also endorse other work that suggests being physically integrated and engaged in a wide range of activities does not guarantee good social and emotional support.","DOI":"10.1111/j.1365-2788.2009.01170.x","ISSN":"1365-2788","note":"PMID: 19302469","title-short":"Social support and intellectual disabilities","journalAbbreviation":"J Intellect Disabil Res","language":"eng","author":[{"family":"Lippold","given":"T."},{"family":"Burns","given":"J."}],"issued":{"date-parts":[["2009",5]]}}},{"id":1001,"uris":["http://zotero.org/users/local/hhPVnw6l/items/GIELQKSE"],"uri":["http://zotero.org/users/local/hhPVnw6l/items/GIELQKSE"],"itemData":{"id":1001,"type":"article-journal","title":"Effect of methamphetamine dependence on everyday functional ability","container-title":"Addictive Behaviors","page":"593-598","volume":"35","issue":"6","source":"PubMed","abstract":"BACKGROUND: Methamphetamine (METH) is an increasingly popular and highly addictive psychostimulant with a significant impact on public health. Chronic METH exposure has been associated with neurotoxic effects, profound neuropsychological deficits, and impaired quality of life, but few studies have examined the effect of the drug on the ability to carry out everyday activities. We assessed the effect of METH dependence on everyday functioning using the UCSD Performance-Based Skills Assessment (UPSA-2), a performance-based measure designed to evaluate real-life skills.\nMETHOD: UPSA-2 performance was quantified in 15 currently abstinent individuals with a history of METH dependence and 15 drug-free comparison subjects. The Positive and Negative Syndrome Scale (PANSS) and Wisconsin Card Sorting Task (WCST) were administered to assess psychopathology and executive function.\nRESULTS: METH-dependent participants exhibited significant impairment on the UPSA-2 total score and several UPSA-2 subscales, including comprehension, finance, transportation, communication, and medication management compared to drug-free comparison subjects. Lower UPSA-2 scores were associated with impaired performance on the WCST, higher PANSS scores, and drug use at an earlier age.\nCONCLUSION: METH dependence may be associated with decreased everyday functioning ability potentially mediated by frontal cortex dysfunction or the emergence of psychopathology related to chronic drug use.","DOI":"10.1016/j.addbeh.2010.01.013","ISSN":"1873-6327","note":"PMID: 20167435\nPMCID: PMC2839012","journalAbbreviation":"Addict Behav","language":"eng","author":[{"family":"Henry","given":"Brook L."},{"family":"Minassian","given":"Arpi"},{"family":"Perry","given":"William"}],"issued":{"date-parts":[["2010",6]]}}},{"id":774,"uris":["http://zotero.org/users/local/hhPVnw6l/items/9HNLVBDK"],"uri":["http://zotero.org/users/local/hhPVnw6l/items/9HNLVBDK"],"itemData":{"id":774,"type":"article-journal","title":"Cigarette smoking in middle age and a long-term risk of impaired activities of daily living: NIPPON DATA80","container-title":"Nicotine &amp; Tobacco Research: Official Journal of the Society for Research on Nicotine and Tobacco","page":"944-949","volume":"12","issue":"9","source":"PubMed","abstract":"INTRODUCTION: Few studies have reported the relationship between smoking in middle age and long-term risk of impaired activities of daily living (ADL).\nMETHODS: We analyzed 2,276 men and women aged 47-59 years at the baseline survey of NIPPON DATA80 in 1980. At the follow-up survey in 1999, ADL was surveyed among 1890 survivors. Multivariate-adjusted odds ratio (AOR) and 95% CI of impaired ADL or of composite outcome of either death or impaired ADL according to baseline smoking status were calculated by multiple logistic regression analyses.\nRESULTS: In 1999, 386 participants were dead, and 75 participants had impaired ADL. Compared with nonsmokers, AOR (95% CI) of impaired ADL was significantly higher in current smokers at baseline (odds ratio [OR] 2.11 [1.09-4.06]). Compared with nonsmokers, AOR of impaired ADL was higher as the number of cigarettes increased (OR 2.04 [1.02-4.06] for &lt;20 cigarettes/day and OR 2.35 [0.94-5.88] for &gt;20 cigarettes/day; p for trend = .04). AOR of composite outcome for current smoking was 1.83 (1.37-2.41).\nDISCUSSION: Smoking in middle age would increase future risks of impaired ADL. Smoking cessation may be important to prevent future impairment of ADL as well as death.","DOI":"10.1093/ntr/ntq121","ISSN":"1469-994X","note":"PMID: 20675364","title-short":"Cigarette smoking in middle age and a long-term risk of impaired activities of daily living","journalAbbreviation":"Nicotine Tob. Res.","language":"eng","author":[{"family":"Takashima","given":"Naoyuki"},{"family":"Miura","given":"Katsuyuki"},{"family":"Hozawa","given":"Atsushi"},{"family":"Okamura","given":"Tomonori"},{"family":"Hayakawa","given":"Takehito"},{"family":"Okuda","given":"Nagako"},{"family":"Kadowaki","given":"Takashi"},{"family":"Murakami","given":"Yoshitaka"},{"family":"Kita","given":"Yoshikuni"},{"family":"Nakamura","given":"Yasuyuki"},{"family":"Okayama","given":"Akira"},{"family":"Ueshima","given":"Hirotsugu"},{"literal":"NIPPON DATA80 Research Group"}],"issued":{"date-parts":[["2010",9]]}}},{"id":335,"uris":["http://zotero.org/users/local/hhPVnw6l/items/4RLNPVKT"],"uri":["http://zotero.org/users/local/hhPVnw6l/items/4RLNPVKT"],"itemData":{"id":335,"type":"article-journal","title":"Associations between IQ and cigarette smoking among Swedish male twins","container-title":"Social Science &amp; Medicine (1982)","page":"575-581","volume":"70","issue":"4","source":"PubMed","abstract":"It has been suggested that certain health behaviours, such as smoking, may operate as mediators of the well-established inverse association between IQ and mortality risk. Previous research may be afflicted by unadjusted confounding by socioeconomic or psychosocial factors. Twin designs offer a unique possibility to take genetic and shared environmental factors into account. The aim of the present national twin study was to determine the interrelations between IQ at age 18, childhood and attained social factors and smoking status in young adulthood and mid-life. We studied the association between IQ at age 18 and smoking in later life in a population of 11 589 male Swedish twins. IQ was measured at military conscription, and data on smoking and zygosity was obtained from the Swedish Twin Register. Information on social factors was extracted from censuses. Data on smoking was self-reported by the twins at the age of 22-47 years. Logistic regression models estimated with generalised estimating equations were used to explore possible associations between IQ and smoking among the twins as individuals as well as between-and within twin-pairs. A strong inverse association between IQ and smoking status emerged in unmatched analyses over the entire range of IQ distribution. In within-pair and between-pair analyses it transpired that shared environmental factors explained most of the inverse IQ-smoking relationship. In addition, these analyses indicated that non-shared and genetic factors contributed only slightly (and non-significantly) to the IQ-smoking association. Analysis of twin pairs discordant for IQ and smoking status displayed no evidence that non-shared factors contribute substantially to the association. The question of which shared environmental factors might explain the IQ-smoking association is an intriguing one for future research.","DOI":"10.1016/j.socscimed.2009.10.050","ISSN":"1873-5347","note":"PMID: 19931961","journalAbbreviation":"Soc Sci Med","language":"eng","author":[{"family":"Wennerstad","given":"Karin Modig"},{"family":"Silventoinen","given":"Karri"},{"family":"Tynelius","given":"Per"},{"family":"Bergman","given":"Lars"},{"family":"Kaprio","given":"Jaakko"},{"family":"Rasmussen","given":"Finn"}],"issued":{"date-parts":[["2010",2]]}}},{"id":999,"uris":["http://zotero.org/users/local/hhPVnw6l/items/VBYLHH6K"],"uri":["http://zotero.org/users/local/hhPVnw6l/items/VBYLHH6K"],"itemData":{"id":999,"type":"article-journal","title":"Increasing body weight and risk of limitations in activities of daily living: a systematic review and meta-analysis","container-title":"Obesity Reviews: An Official Journal of the International Association for the Study of Obesity","page":"456-468","volume":"13","issue":"5","source":"PubMed","abstract":"This study examined the relationship between normal weight, overweight and obesity class I and II+, and the risk of disability, which is defined as impairment in activities of daily living (ADL). Systematic searching of the literature identified eight cross-sectional studies and four longitudinal studies that were comparable for meta-analysis. An additional four cross-sectional studies and one longitudinal study were included for qualitative review. Results from the meta-analysis of cross-sectional studies revealed a graded increase in the risk of ADL limitations from overweight (1.04, 95% confidence interval [CI] 1.00-1.08), class I obesity (1.16, 95% CI 1.11-1.21) and class II+ obesity (1.76, 95% CI 1.28-2.41), relative to normal weight. Meta-analyses of longitudinal studies revealed a similar graded relationship; however, the magnitude of this relationship was slightly greater for all body mass index categories. Qualitative analysis of studies that met the inclusion criteria but were not compatible for meta-analysis supported the pooled results. No studies identified met all of the pre-defined quality criteria, and subgroup analysis was inhibited due to insufficient comparable studies. We conclude that increasing body weight increases the risk of disability in a graded manner, but also emphasize the need for additional studies using contemporary longitudinal cohorts with large numbers of obese class III individuals, a range of ages and with measured height and weight, and incident ADL questions.","DOI":"10.1111/j.1467-789X.2011.00970.x","ISSN":"1467-789X","note":"PMID: 22212629","title-short":"Increasing body weight and risk of limitations in activities of daily living","journalAbbreviation":"Obes Rev","language":"eng","author":[{"family":"Backholer","given":"K."},{"family":"Wong","given":"E."},{"family":"Freak-Poli","given":"R."},{"family":"Walls","given":"H. L."},{"family":"Peeters","given":"A."}],"issued":{"date-parts":[["2012",5]]}}},{"id":344,"uris":["http://zotero.org/users/local/hhPVnw6l/items/89B6LIM3"],"uri":["http://zotero.org/users/local/hhPVnw6l/items/89B6LIM3"],"itemData":{"id":344,"type":"article-journal","title":"Cognitive ability in early adulthood as a predictor of habitual drug use during later military service and civilian life: the Vietnam Experience Study","container-title":"Drug and Alcohol Dependence","page":"164-168","volume":"125","issue":"1-2","source":"PubMed","abstract":"BACKGROUND: Recent reports have linked cognitive ability (IQ) with alcohol dependency, but the relationship with illegal drug use is not well understood.\nMETHODS: Participants were 14,362 male US Vietnam veterans with IQ test results at entry into military service in 1965-1971 (mean age 22.58) who participated in a telephone interview in 1985-1986. A structured diagnostic telephone interview was used to ascertain habitual drug use during military service (for once a week, ≥ 3 months) and in civilian life (in the past 12 months, ≥ once a week), combat exposure, and post-traumatic stress disorder according to established Diagnostic and Statistical Manual of Mental disorders criteria (version III).\nRESULTS: In unadjusted analysis, men with high IQ scores were less likely to be habitual users of cannabis (OR=0.89, 95% CI=0.86, 0.93), cocaine (OR=0.69, 95% CI=0.61, 0.78), heroin (OR=0.80, 95% CI=0.73, 0.88), amphetamines (OR=0.90, 95% CI=0.83, 0.98), barbiturates (OR=0.79, 95% CI=0.72, 0.86) and LSD (OR=0.91, 95% CI=0.82, 0.99) during military service and civilian life. These associations were markedly attenuated after adjustment for socioeconomic status in early and later civilian life.\nCONCLUSION: In this cohort, socioeconomic position might lie on the pathway linking earlier IQ and later habitual drug use but might also act as a surrogate for IQ. This suggests interventions to prevent drug use could attempt to improve early life IQ and opportunities for employment.","DOI":"10.1016/j.drugalcdep.2012.03.024","ISSN":"1879-0046","note":"PMID: 22520690","title-short":"Cognitive ability in early adulthood as a predictor of habitual drug use during later military service and civilian life","journalAbbreviation":"Drug Alcohol Depend","language":"eng","author":[{"family":"White","given":"James"},{"family":"Mortensen","given":"Laust H."},{"family":"Batty","given":"G. David"}],"issued":{"date-parts":[["2012",9,1]]}}},{"id":755,"uris":["http://zotero.org/users/local/hhPVnw6l/items/DEQBX4WB"],"uri":["http://zotero.org/users/local/hhPVnw6l/items/DEQBX4WB"],"itemData":{"id":755,"type":"article-journal","title":"Childhood intelligence and adult obesity","container-title":"Obesity","page":"434-440","volume":"21","issue":"3","source":"Wiley Online Library","abstract":"Objective: Recent studies conclude childhood intelligence has no direct effect on adult obesity net of education, but evolutionary psychological theories suggest otherwise. Design and Methods: A population (n = 17,419) of British babies has been followed since birth in 1958 in a prospectively longitudinal study. Childhood general intelligence is measured at 7, 11, and 16, and adult BMI and obesity are measured at 51. Results: Childhood general intelligence has a direct effect on adult BMI, obesity, and weight gain, net of education, earnings, mother's BMI, father's BMI, childhood social class, and sex. More intelligent children grow up to eat more healthy foods and exercise more frequently as adults. Conclusion: Childhood intelligence has a direct effect on adult obesity unmediated by education or earnings. General intelligence decreases BMI only in adulthood when individuals have complete control over what they eat.","DOI":"10.1002/oby.20018","ISSN":"1930-739X","language":"en","author":[{"family":"Kanazawa","given":"Satoshi"}],"issued":{"date-parts":[["2013"]]}}},{"id":1004,"uris":["http://zotero.org/users/local/hhPVnw6l/items/R64WAPWI"],"uri":["http://zotero.org/users/local/hhPVnw6l/items/R64WAPWI"],"itemData":{"id":1004,"type":"article-journal","title":"Functional performance and social relations among the elderly in Greater Metropolitan Belo Horizonte, Minas Gerais State, Brazil: a population-based epidemiological study","container-title":"Cadernos de Saúde Pública","page":"1018-1028","volume":"30","issue":"5","source":"SciELO","abstract":"This study was conducted in a probabilistic sam- ple of 2,055 elderly in Greater Metropolitan Belo Horizonte, Minas Gerais State, Brazil, to examine components of social network (conjugal status and visits by the children, other relatives, and friends) and social support (satisfaction with personal relations and having persons on whom to rely) associated with limitations in performing basic activities of daily living (ADL). Multivariate analysis used the Hurdle model. Performance of ADL showed independent and statistically significant associations with social network (fewer meetings with friends and not having children) and personal support (dissatisfaction/indifference towards personal relations). These associations remained after adjusting for social and demographic characteristics, health status, and other indicators of social relations. Our results emphasize the need for greater attention to social network and social support for elderly with functional limitations and those with weak social networks and social support.Key words: Disabled Persons; Social Support; Health of the Elderly","DOI":"10.1590/0102-311X00102013","ISSN":"0102-311X","title-short":"Functional performance and social relations among the elderly in Greater Metropolitan Belo Horizonte, Minas Gerais State, Brazil","author":[{"family":"Torres","given":"Juliana Lustosa"},{"family":"Dias","given":"Rosângela Corrêa"},{"family":"Ferreira","given":"Fabiane Ribeiro"},{"family":"Macinko","given":"James"},{"family":"Lima-Costa","given":"Maria Fernanda"},{"family":"Torres","given":"Juliana Lustosa"},{"family":"Dias","given":"Rosângela Corrêa"},{"family":"Ferreira","given":"Fabiane Ribeiro"},{"family":"Macinko","given":"James"},{"family":"Lima-Costa","given":"Maria Fernanda"}],"issued":{"date-parts":[["2014",5]]}}},{"id":339,"uris":["http://zotero.org/users/local/hhPVnw6l/items/E4USHI2F"],"uri":["http://zotero.org/users/local/hhPVnw6l/items/E4USHI2F"],"itemData":{"id":339,"type":"article-journal","title":"IQ and Level of Alcohol Consumption—Findings from a National Survey of Swedish Conscripts","container-title":"Alcoholism, Clinical and Experimental Research","page":"548-555","volume":"39","issue":"3","source":"PubMed Central","abstract":"Background\nStudies of the association between IQ and alcohol consumption have shown conflicting results. The aim of this study was to investigate the association between IQ test results and alcohol consumption, measured as both total alcohol intake and pattern of alcohol use.\n\nMethods\nThe study population consists of 49,321 Swedish males born 1949 to 1951 who were conscripted for Swedish military service 1969 to 1970. IQ test results were available from tests performed at conscription. Questionnaires performed at conscription provided data on total alcohol intake (consumed grams of alcohol/wk) and pattern of drinking. Multinomial and binomial logistic regressions were performed on the cross-sectional data to estimate odds ratios (ORs) with 95% confidence intervals (CIs). Adjustments were made for socioeconomic position as a child, psychiatric symptoms and emotional stability, and father's alcohol habits.\n\nResults\nWe found an increased OR of 1.20 (1.17 to 1.23) for every step decrease on the stanine scale to be a high consumer versus a light consumer of alcohol. For binge drinking, an increased OR of 1.09 (95% CI = 1.08 to 1.11) was estimated for every step decrease on the stanine scale. Adjustment for confounders attenuated the associations. Also, IQ in adolescence was found to be inversely associated with moderate/high alcohol consumption measured in middle age.\n\nConclusions\nWe found that lower results on IQ tests are associated with higher consumption of alcohol measured in terms of both total alcohol intake and binge drinking in Swedish adolescent men.","DOI":"10.1111/acer.12656","ISSN":"0145-6008","note":"PMID: 25702705\nPMCID: PMC4368388","journalAbbreviation":"Alcohol Clin Exp Res","author":[{"family":"Sjölund","given":"Sara"},{"family":"Hemmingsson","given":"Tomas"},{"family":"Allebeck","given":"Peter"}],"issued":{"date-parts":[["2015",3]]}}}],"schema":"https://github.com/citation-style-language/schema/raw/master/csl-citation.json"} </w:instrText>
      </w:r>
      <w:r w:rsidR="00240F51" w:rsidRPr="00C824CB">
        <w:rPr>
          <w:rFonts w:ascii="Arial" w:hAnsi="Arial" w:cs="Arial"/>
        </w:rPr>
        <w:fldChar w:fldCharType="separate"/>
      </w:r>
      <w:r w:rsidR="004D2938" w:rsidRPr="00C824CB">
        <w:rPr>
          <w:rFonts w:ascii="Arial" w:hAnsi="Arial" w:cs="Arial"/>
        </w:rPr>
        <w:t>[9–13,18–29]</w:t>
      </w:r>
      <w:r w:rsidR="00240F51" w:rsidRPr="00C824CB">
        <w:rPr>
          <w:rFonts w:ascii="Arial" w:hAnsi="Arial" w:cs="Arial"/>
        </w:rPr>
        <w:fldChar w:fldCharType="end"/>
      </w:r>
      <w:r w:rsidRPr="00C824CB">
        <w:rPr>
          <w:rFonts w:ascii="Arial" w:hAnsi="Arial" w:cs="Arial"/>
        </w:rPr>
        <w:t>.</w:t>
      </w:r>
    </w:p>
    <w:p w14:paraId="554DFA47" w14:textId="503F8AF1" w:rsidR="009C5BCB" w:rsidRPr="00C824CB" w:rsidRDefault="009C5BCB" w:rsidP="00D91FBB">
      <w:pPr>
        <w:spacing w:line="480" w:lineRule="auto"/>
        <w:jc w:val="both"/>
        <w:rPr>
          <w:rFonts w:ascii="Arial" w:hAnsi="Arial" w:cs="Arial"/>
        </w:rPr>
      </w:pPr>
      <w:r w:rsidRPr="00C824CB">
        <w:rPr>
          <w:rFonts w:ascii="Arial" w:hAnsi="Arial" w:cs="Arial"/>
          <w:i/>
        </w:rPr>
        <w:t xml:space="preserve">Sociodemographic factors. </w:t>
      </w:r>
      <w:r w:rsidRPr="00C824CB">
        <w:rPr>
          <w:rFonts w:ascii="Arial" w:hAnsi="Arial" w:cs="Arial"/>
        </w:rPr>
        <w:t xml:space="preserve">These variables included marital status (married/cohabiting or single/widowed/divorced/separated), </w:t>
      </w:r>
      <w:r w:rsidR="00FC3027" w:rsidRPr="00C824CB">
        <w:rPr>
          <w:rFonts w:ascii="Arial" w:hAnsi="Arial" w:cs="Arial"/>
        </w:rPr>
        <w:t>qualification</w:t>
      </w:r>
      <w:r w:rsidR="006632BB" w:rsidRPr="00C824CB">
        <w:rPr>
          <w:rFonts w:ascii="Arial" w:hAnsi="Arial" w:cs="Arial"/>
        </w:rPr>
        <w:t xml:space="preserve"> </w:t>
      </w:r>
      <w:r w:rsidRPr="00C824CB">
        <w:rPr>
          <w:rFonts w:ascii="Arial" w:hAnsi="Arial" w:cs="Arial"/>
        </w:rPr>
        <w:t xml:space="preserve">(i.e., degree, non-degree, A-level, GCSE, other: yes or no), </w:t>
      </w:r>
      <w:r w:rsidR="00B7123B" w:rsidRPr="00C824CB">
        <w:rPr>
          <w:rFonts w:ascii="Arial" w:hAnsi="Arial" w:cs="Arial"/>
        </w:rPr>
        <w:t xml:space="preserve">social class </w:t>
      </w:r>
      <w:r w:rsidRPr="00C824CB">
        <w:rPr>
          <w:rFonts w:ascii="Arial" w:hAnsi="Arial" w:cs="Arial"/>
        </w:rPr>
        <w:t>(</w:t>
      </w:r>
      <w:r w:rsidR="009C6E5F" w:rsidRPr="00C824CB">
        <w:rPr>
          <w:rFonts w:ascii="Arial" w:hAnsi="Arial" w:cs="Arial"/>
        </w:rPr>
        <w:t xml:space="preserve">i.e., </w:t>
      </w:r>
      <w:r w:rsidR="008910AD" w:rsidRPr="00C824CB">
        <w:rPr>
          <w:rFonts w:ascii="Arial" w:hAnsi="Arial" w:cs="Arial"/>
        </w:rPr>
        <w:t>professional occupations, managerial and technical occupations, skilled occupations – non-manual, skilled occupations – manual, partly skilled occupations, unskilled occupations, armed forces</w:t>
      </w:r>
      <w:r w:rsidRPr="00C824CB">
        <w:rPr>
          <w:rFonts w:ascii="Arial" w:hAnsi="Arial" w:cs="Arial"/>
        </w:rPr>
        <w:t>), and income (highest</w:t>
      </w:r>
      <w:r w:rsidR="00D41CC5" w:rsidRPr="00C824CB">
        <w:rPr>
          <w:rFonts w:ascii="Arial" w:hAnsi="Arial" w:cs="Arial"/>
        </w:rPr>
        <w:t xml:space="preserve"> </w:t>
      </w:r>
      <w:r w:rsidRPr="00C824CB">
        <w:rPr>
          <w:rFonts w:ascii="Arial" w:hAnsi="Arial" w:cs="Arial"/>
        </w:rPr>
        <w:t>≥£29826, middle £14057–&lt;£29826 or lowest &lt;£14,057; equivalized income tertiles).</w:t>
      </w:r>
      <w:r w:rsidR="000F01E2" w:rsidRPr="00C824CB">
        <w:rPr>
          <w:rFonts w:ascii="Arial" w:hAnsi="Arial" w:cs="Arial"/>
        </w:rPr>
        <w:t xml:space="preserve"> </w:t>
      </w:r>
    </w:p>
    <w:p w14:paraId="62EB8821" w14:textId="5A1668B5" w:rsidR="00D91FBB" w:rsidRPr="00C824CB" w:rsidRDefault="00D91FBB" w:rsidP="00D91FBB">
      <w:pPr>
        <w:spacing w:line="480" w:lineRule="auto"/>
        <w:jc w:val="both"/>
        <w:rPr>
          <w:rFonts w:ascii="Arial" w:hAnsi="Arial" w:cs="Arial"/>
        </w:rPr>
      </w:pPr>
      <w:r w:rsidRPr="00C824CB">
        <w:rPr>
          <w:rFonts w:ascii="Arial" w:hAnsi="Arial" w:cs="Arial"/>
          <w:i/>
        </w:rPr>
        <w:t>Obesity.</w:t>
      </w:r>
      <w:r w:rsidRPr="00C824CB">
        <w:rPr>
          <w:rFonts w:ascii="Arial" w:hAnsi="Arial" w:cs="Arial"/>
        </w:rPr>
        <w:t xml:space="preserve"> Body mass index (BMI) was calculated as weight in kilograms divided by height in meters squared based on self-reported weight and height. Using the standard World Health Organization (WHO) definition, obesity was defined as ≥30 kg/m</w:t>
      </w:r>
      <w:r w:rsidRPr="00C824CB">
        <w:rPr>
          <w:rFonts w:ascii="Arial" w:hAnsi="Arial" w:cs="Arial"/>
          <w:vertAlign w:val="superscript"/>
        </w:rPr>
        <w:t>2</w:t>
      </w:r>
      <w:r w:rsidRPr="00C824CB">
        <w:rPr>
          <w:rFonts w:ascii="Arial" w:hAnsi="Arial" w:cs="Arial"/>
        </w:rPr>
        <w:t>.</w:t>
      </w:r>
    </w:p>
    <w:p w14:paraId="34DBE56D" w14:textId="1AE1DCD4" w:rsidR="00BD3642" w:rsidRPr="00C824CB" w:rsidRDefault="00BD3642" w:rsidP="00BD3642">
      <w:pPr>
        <w:spacing w:line="480" w:lineRule="auto"/>
        <w:jc w:val="both"/>
        <w:rPr>
          <w:rFonts w:ascii="Arial" w:hAnsi="Arial" w:cs="Arial"/>
        </w:rPr>
      </w:pPr>
      <w:r w:rsidRPr="00C824CB">
        <w:rPr>
          <w:rFonts w:ascii="Arial" w:hAnsi="Arial" w:cs="Arial"/>
          <w:i/>
        </w:rPr>
        <w:t>Smoking status.</w:t>
      </w:r>
      <w:r w:rsidRPr="00C824CB">
        <w:rPr>
          <w:rFonts w:ascii="Arial" w:hAnsi="Arial" w:cs="Arial"/>
        </w:rPr>
        <w:t xml:space="preserve"> Smoking was assessed by the question </w:t>
      </w:r>
      <w:r w:rsidR="00035EF5" w:rsidRPr="00C824CB">
        <w:rPr>
          <w:rFonts w:ascii="Arial" w:hAnsi="Arial" w:cs="Arial"/>
        </w:rPr>
        <w:t>“</w:t>
      </w:r>
      <w:r w:rsidRPr="00C824CB">
        <w:rPr>
          <w:rFonts w:ascii="Arial" w:hAnsi="Arial" w:cs="Arial"/>
        </w:rPr>
        <w:t>Have you ever smoked a cigarette?</w:t>
      </w:r>
      <w:r w:rsidR="00035EF5" w:rsidRPr="00C824CB">
        <w:rPr>
          <w:rFonts w:ascii="Arial" w:hAnsi="Arial" w:cs="Arial"/>
        </w:rPr>
        <w:t>”</w:t>
      </w:r>
      <w:r w:rsidRPr="00C824CB">
        <w:rPr>
          <w:rFonts w:ascii="Arial" w:hAnsi="Arial" w:cs="Arial"/>
        </w:rPr>
        <w:t xml:space="preserve"> with answer options </w:t>
      </w:r>
      <w:r w:rsidR="00035EF5" w:rsidRPr="00C824CB">
        <w:rPr>
          <w:rFonts w:ascii="Arial" w:hAnsi="Arial" w:cs="Arial"/>
        </w:rPr>
        <w:t>“</w:t>
      </w:r>
      <w:r w:rsidRPr="00C824CB">
        <w:rPr>
          <w:rFonts w:ascii="Arial" w:hAnsi="Arial" w:cs="Arial"/>
        </w:rPr>
        <w:t>yes</w:t>
      </w:r>
      <w:r w:rsidR="00035EF5" w:rsidRPr="00C824CB">
        <w:rPr>
          <w:rFonts w:ascii="Arial" w:hAnsi="Arial" w:cs="Arial"/>
        </w:rPr>
        <w:t>”</w:t>
      </w:r>
      <w:r w:rsidR="00916F41" w:rsidRPr="00C824CB">
        <w:rPr>
          <w:rFonts w:ascii="Arial" w:hAnsi="Arial" w:cs="Arial"/>
        </w:rPr>
        <w:t xml:space="preserve"> </w:t>
      </w:r>
      <w:r w:rsidRPr="00C824CB">
        <w:rPr>
          <w:rFonts w:ascii="Arial" w:hAnsi="Arial" w:cs="Arial"/>
        </w:rPr>
        <w:t xml:space="preserve">or </w:t>
      </w:r>
      <w:r w:rsidR="00035EF5" w:rsidRPr="00C824CB">
        <w:rPr>
          <w:rFonts w:ascii="Arial" w:hAnsi="Arial" w:cs="Arial"/>
        </w:rPr>
        <w:t>“</w:t>
      </w:r>
      <w:r w:rsidRPr="00C824CB">
        <w:rPr>
          <w:rFonts w:ascii="Arial" w:hAnsi="Arial" w:cs="Arial"/>
        </w:rPr>
        <w:t>no</w:t>
      </w:r>
      <w:r w:rsidR="00035EF5" w:rsidRPr="00C824CB">
        <w:rPr>
          <w:rFonts w:ascii="Arial" w:hAnsi="Arial" w:cs="Arial"/>
        </w:rPr>
        <w:t>”</w:t>
      </w:r>
      <w:r w:rsidRPr="00C824CB">
        <w:rPr>
          <w:rFonts w:ascii="Arial" w:hAnsi="Arial" w:cs="Arial"/>
        </w:rPr>
        <w:t>.</w:t>
      </w:r>
    </w:p>
    <w:p w14:paraId="2A9EA229" w14:textId="5FE5DA42" w:rsidR="00913B1B" w:rsidRPr="00C824CB" w:rsidRDefault="00913B1B" w:rsidP="00913B1B">
      <w:pPr>
        <w:spacing w:line="480" w:lineRule="auto"/>
        <w:jc w:val="both"/>
        <w:rPr>
          <w:rFonts w:ascii="Arial" w:hAnsi="Arial" w:cs="Arial"/>
        </w:rPr>
      </w:pPr>
      <w:r w:rsidRPr="00C824CB">
        <w:rPr>
          <w:rFonts w:ascii="Arial" w:hAnsi="Arial" w:cs="Arial"/>
          <w:i/>
        </w:rPr>
        <w:t>Alcohol dependence.</w:t>
      </w:r>
      <w:r w:rsidRPr="00C824CB">
        <w:rPr>
          <w:rFonts w:ascii="Arial" w:hAnsi="Arial" w:cs="Arial"/>
        </w:rPr>
        <w:t xml:space="preserve"> Excessive alcohol consumption was screened using the Alcohol Use Disorders Identification Test (AUDIT). Alcohol dependence was assessed with the Severity of Alcohol Dependence Questionnaire (SADQ-C) in participants with an AUDIT score of 10 or above. Scores of four or</w:t>
      </w:r>
      <w:r w:rsidR="006D61E4" w:rsidRPr="00C824CB">
        <w:rPr>
          <w:rFonts w:ascii="Arial" w:hAnsi="Arial" w:cs="Arial"/>
        </w:rPr>
        <w:t xml:space="preserve"> </w:t>
      </w:r>
      <w:r w:rsidRPr="00C824CB">
        <w:rPr>
          <w:rFonts w:ascii="Arial" w:hAnsi="Arial" w:cs="Arial"/>
        </w:rPr>
        <w:t>above indicated alcohol dependence in the past six months</w:t>
      </w:r>
      <w:r w:rsidR="005C2C2A" w:rsidRPr="00C824CB">
        <w:rPr>
          <w:rFonts w:ascii="Arial" w:hAnsi="Arial" w:cs="Arial"/>
        </w:rPr>
        <w:t xml:space="preserve"> </w:t>
      </w:r>
      <w:r w:rsidR="005C2C2A" w:rsidRPr="00C824CB">
        <w:rPr>
          <w:rFonts w:ascii="Arial" w:hAnsi="Arial" w:cs="Arial"/>
        </w:rPr>
        <w:fldChar w:fldCharType="begin"/>
      </w:r>
      <w:r w:rsidR="0083294E" w:rsidRPr="00C824CB">
        <w:rPr>
          <w:rFonts w:ascii="Arial" w:hAnsi="Arial" w:cs="Arial"/>
        </w:rPr>
        <w:instrText xml:space="preserve"> ADDIN ZOTERO_ITEM CSL_CITATION {"citationID":"SoACgbEe","properties":{"formattedCitation":"[17]","plainCitation":"[17]","noteIndex":0},"citationItems":[{"id":362,"uris":["http://zotero.org/users/local/hhPVnw6l/items/3ZQUXDDC"],"uri":["http://zotero.org/users/local/hhPVnw6l/items/3ZQUXDDC"],"itemData":{"id":362,"type":"article-journal","title":"Association between intelligence quotient and violence perpetration in the English general population","container-title":"Psychological Medicine","page":"1-8","source":"PubMed","abstract":"BACKGROUND: Data on the relationship between intelligence quotient (IQ) and violence perpetration are scarce and nationally representative data from the UK adult population is lacking. Therefore, our goal was to examine the relationship between IQ and violence perpetration using nationally representative community-based data from the UK.\nMETHODS: We analyzed cross-sectional data from the 2007 Adult Psychiatric Morbidity Survey. IQ was estimated using the National Adult Reading Test (NART). Violence perpetration referred to being in a physical fight or having deliberately hit anyone in the past 5 years. We conducted logistic regression analysis to assess the association between IQ (exposure variable) and violence perpetration (outcome variable).\nRESULTS: There were 6872 participants aged </w:instrText>
      </w:r>
      <w:r w:rsidR="0083294E" w:rsidRPr="00C824CB">
        <w:rPr>
          <w:rFonts w:ascii="Cambria Math" w:hAnsi="Cambria Math" w:cs="Cambria Math"/>
        </w:rPr>
        <w:instrText>⩾</w:instrText>
      </w:r>
      <w:r w:rsidR="0083294E" w:rsidRPr="00C824CB">
        <w:rPr>
          <w:rFonts w:ascii="Arial" w:hAnsi="Arial" w:cs="Arial"/>
        </w:rPr>
        <w:instrText xml:space="preserve">16 years included in this study. The prevalence of violence perpetration decreased linearly with increasing IQ [16.3% (IQ 70-79) v. 2.9% (IQ 120-129)]. After adjusting for demographic and behavioral factors, childhood adversity, and psychiatric morbidity, compared with those with IQ 120-129, IQ scores of 110-119, 100-109, 90-99, 80-89, and 70-79 were associated with 1.07 [95% confidence interval (CI) 0.63-1.84], 1.90 (95% CI 1.12-3.22), 1.80 (95% CI 1.05-3.13), 2.36 (95% CI 1.32-4.22), and 2.25 (95% CI 1.26-4.01) times higher odds for violence perpetration, respectively.\nCONCLUSIONS: Lower IQ was associated with violence perpetration in the UK general population. Further studies are warranted to assess how low IQ can lead to violence perpetration, and whether interventions are possible for this high-risk group.","DOI":"10.1017/S0033291718001939","ISSN":"1469-8978","note":"PMID: 30058504","journalAbbreviation":"Psychol Med","language":"eng","author":[{"family":"Jacob","given":"Louis"},{"family":"Haro","given":"Josep Maria"},{"family":"Koyanagi","given":"Ai"}],"issued":{"date-parts":[["2018",7,30]]}}}],"schema":"https://github.com/citation-style-language/schema/raw/master/csl-citation.json"} </w:instrText>
      </w:r>
      <w:r w:rsidR="005C2C2A" w:rsidRPr="00C824CB">
        <w:rPr>
          <w:rFonts w:ascii="Arial" w:hAnsi="Arial" w:cs="Arial"/>
        </w:rPr>
        <w:fldChar w:fldCharType="separate"/>
      </w:r>
      <w:r w:rsidR="004D2938" w:rsidRPr="00C824CB">
        <w:rPr>
          <w:rFonts w:ascii="Arial" w:hAnsi="Arial" w:cs="Arial"/>
          <w:noProof/>
        </w:rPr>
        <w:t>[17]</w:t>
      </w:r>
      <w:r w:rsidR="005C2C2A" w:rsidRPr="00C824CB">
        <w:rPr>
          <w:rFonts w:ascii="Arial" w:hAnsi="Arial" w:cs="Arial"/>
        </w:rPr>
        <w:fldChar w:fldCharType="end"/>
      </w:r>
      <w:r w:rsidRPr="00C824CB">
        <w:rPr>
          <w:rFonts w:ascii="Arial" w:hAnsi="Arial" w:cs="Arial"/>
        </w:rPr>
        <w:t>.</w:t>
      </w:r>
    </w:p>
    <w:p w14:paraId="69D3C928" w14:textId="7C0C1695" w:rsidR="005C2C2A" w:rsidRPr="00C824CB" w:rsidRDefault="005C2C2A" w:rsidP="00913B1B">
      <w:pPr>
        <w:spacing w:line="480" w:lineRule="auto"/>
        <w:jc w:val="both"/>
        <w:rPr>
          <w:rFonts w:ascii="Arial" w:hAnsi="Arial" w:cs="Arial"/>
        </w:rPr>
      </w:pPr>
      <w:r w:rsidRPr="00C824CB">
        <w:rPr>
          <w:rFonts w:ascii="Arial" w:hAnsi="Arial" w:cs="Arial"/>
          <w:i/>
        </w:rPr>
        <w:t>Drug use.</w:t>
      </w:r>
      <w:r w:rsidRPr="00C824CB">
        <w:rPr>
          <w:rFonts w:ascii="Arial" w:hAnsi="Arial" w:cs="Arial"/>
        </w:rPr>
        <w:t xml:space="preserve"> Each individual was asked if he/she had used in the past year one of the following drugs: cannabis, amphetamines, cocaine, crack, ecstasy, heroin, acid or LSD, magic mushrooms, methadone or physeptone, tranquilizers, amyl nitrate, </w:t>
      </w:r>
      <w:r w:rsidRPr="00C824CB">
        <w:rPr>
          <w:rFonts w:ascii="Arial" w:hAnsi="Arial" w:cs="Arial"/>
        </w:rPr>
        <w:lastRenderedPageBreak/>
        <w:t>anabolic steroids, and glues. Those who consumed any of these drugs were considered to be drug users.</w:t>
      </w:r>
    </w:p>
    <w:p w14:paraId="12A8439D" w14:textId="7F14BAF2" w:rsidR="00792701" w:rsidRPr="00C824CB" w:rsidRDefault="00792701" w:rsidP="00913B1B">
      <w:pPr>
        <w:spacing w:line="480" w:lineRule="auto"/>
        <w:jc w:val="both"/>
        <w:rPr>
          <w:rFonts w:ascii="Arial" w:hAnsi="Arial" w:cs="Arial"/>
        </w:rPr>
      </w:pPr>
      <w:r w:rsidRPr="00C824CB">
        <w:rPr>
          <w:rFonts w:ascii="Arial" w:hAnsi="Arial" w:cs="Arial"/>
          <w:i/>
        </w:rPr>
        <w:t>Social support.</w:t>
      </w:r>
      <w:r w:rsidRPr="00C824CB">
        <w:rPr>
          <w:rFonts w:ascii="Arial" w:hAnsi="Arial" w:cs="Arial"/>
        </w:rPr>
        <w:t xml:space="preserve"> This was assessed with a 7-item measure. Using answer options </w:t>
      </w:r>
      <w:r w:rsidR="00191605" w:rsidRPr="00C824CB">
        <w:rPr>
          <w:rFonts w:ascii="Arial" w:hAnsi="Arial" w:cs="Arial"/>
        </w:rPr>
        <w:t>“</w:t>
      </w:r>
      <w:r w:rsidRPr="00C824CB">
        <w:rPr>
          <w:rFonts w:ascii="Arial" w:hAnsi="Arial" w:cs="Arial"/>
        </w:rPr>
        <w:t>not true</w:t>
      </w:r>
      <w:r w:rsidR="00191605" w:rsidRPr="00C824CB">
        <w:rPr>
          <w:rFonts w:ascii="Arial" w:hAnsi="Arial" w:cs="Arial"/>
        </w:rPr>
        <w:t>”</w:t>
      </w:r>
      <w:r w:rsidRPr="00C824CB">
        <w:rPr>
          <w:rFonts w:ascii="Arial" w:hAnsi="Arial" w:cs="Arial"/>
        </w:rPr>
        <w:t xml:space="preserve"> (score=0), </w:t>
      </w:r>
      <w:r w:rsidR="00191605" w:rsidRPr="00C824CB">
        <w:rPr>
          <w:rFonts w:ascii="Arial" w:hAnsi="Arial" w:cs="Arial"/>
        </w:rPr>
        <w:t>“</w:t>
      </w:r>
      <w:r w:rsidRPr="00C824CB">
        <w:rPr>
          <w:rFonts w:ascii="Arial" w:hAnsi="Arial" w:cs="Arial"/>
        </w:rPr>
        <w:t>partly true</w:t>
      </w:r>
      <w:r w:rsidR="00191605" w:rsidRPr="00C824CB">
        <w:rPr>
          <w:rFonts w:ascii="Arial" w:hAnsi="Arial" w:cs="Arial"/>
        </w:rPr>
        <w:t>”</w:t>
      </w:r>
      <w:r w:rsidRPr="00C824CB">
        <w:rPr>
          <w:rFonts w:ascii="Arial" w:hAnsi="Arial" w:cs="Arial"/>
        </w:rPr>
        <w:t xml:space="preserve"> (score=1), and </w:t>
      </w:r>
      <w:r w:rsidR="00191605" w:rsidRPr="00C824CB">
        <w:rPr>
          <w:rFonts w:ascii="Arial" w:hAnsi="Arial" w:cs="Arial"/>
        </w:rPr>
        <w:t>“</w:t>
      </w:r>
      <w:r w:rsidRPr="00C824CB">
        <w:rPr>
          <w:rFonts w:ascii="Arial" w:hAnsi="Arial" w:cs="Arial"/>
        </w:rPr>
        <w:t>certainly true</w:t>
      </w:r>
      <w:r w:rsidR="00191605" w:rsidRPr="00C824CB">
        <w:rPr>
          <w:rFonts w:ascii="Arial" w:hAnsi="Arial" w:cs="Arial"/>
        </w:rPr>
        <w:t>”</w:t>
      </w:r>
      <w:r w:rsidRPr="00C824CB">
        <w:rPr>
          <w:rFonts w:ascii="Arial" w:hAnsi="Arial" w:cs="Arial"/>
        </w:rPr>
        <w:t xml:space="preserve"> (score=2), participants responded to statements which inquired if family and friends did things to make them happy, made them feel loved, could be relied on no matter what, would see that they were taken care of no matter what, accepted them just the way they are, made them feel an important part of their lives, and gave them support and encouragement. Responses were added to create a scale score that could range from 0 to 14. The internal consistency of the scale was good: Cronbach’s a=0.89.</w:t>
      </w:r>
    </w:p>
    <w:p w14:paraId="531D5402" w14:textId="272CC29F" w:rsidR="00D14F87" w:rsidRPr="00C824CB" w:rsidRDefault="00D14F87" w:rsidP="00913B1B">
      <w:pPr>
        <w:spacing w:line="480" w:lineRule="auto"/>
        <w:jc w:val="both"/>
        <w:rPr>
          <w:rFonts w:ascii="Arial" w:hAnsi="Arial" w:cs="Arial"/>
        </w:rPr>
      </w:pPr>
    </w:p>
    <w:p w14:paraId="7B3304D5" w14:textId="77CA7E68" w:rsidR="00D14F87" w:rsidRPr="00C824CB" w:rsidRDefault="00D14F87" w:rsidP="00913B1B">
      <w:pPr>
        <w:spacing w:line="480" w:lineRule="auto"/>
        <w:jc w:val="both"/>
        <w:rPr>
          <w:rFonts w:ascii="Arial" w:hAnsi="Arial" w:cs="Arial"/>
          <w:i/>
        </w:rPr>
      </w:pPr>
      <w:r w:rsidRPr="00C824CB">
        <w:rPr>
          <w:rFonts w:ascii="Arial" w:hAnsi="Arial" w:cs="Arial"/>
          <w:i/>
        </w:rPr>
        <w:t>Statistical analyses</w:t>
      </w:r>
    </w:p>
    <w:p w14:paraId="45DD58D6" w14:textId="20B958BA" w:rsidR="00C36E62" w:rsidRPr="00C824CB" w:rsidRDefault="00685C48" w:rsidP="00913B1B">
      <w:pPr>
        <w:spacing w:line="480" w:lineRule="auto"/>
        <w:jc w:val="both"/>
        <w:rPr>
          <w:rFonts w:ascii="Arial" w:hAnsi="Arial" w:cs="Arial"/>
        </w:rPr>
      </w:pPr>
      <w:r w:rsidRPr="00C824CB">
        <w:rPr>
          <w:rFonts w:ascii="Arial" w:hAnsi="Arial" w:cs="Arial"/>
        </w:rPr>
        <w:t>Differences in the sample characteristics</w:t>
      </w:r>
      <w:r w:rsidR="00355F92" w:rsidRPr="00C824CB">
        <w:rPr>
          <w:rFonts w:ascii="Arial" w:hAnsi="Arial" w:cs="Arial"/>
        </w:rPr>
        <w:t xml:space="preserve"> by disability (absent versus present) and IQ (</w:t>
      </w:r>
      <w:r w:rsidR="002D4E86" w:rsidRPr="00C824CB">
        <w:rPr>
          <w:rFonts w:ascii="Arial" w:hAnsi="Arial" w:cs="Arial"/>
        </w:rPr>
        <w:t>≤102.5 versus &gt;102.5</w:t>
      </w:r>
      <w:r w:rsidR="00355F92" w:rsidRPr="00C824CB">
        <w:rPr>
          <w:rFonts w:ascii="Arial" w:hAnsi="Arial" w:cs="Arial"/>
        </w:rPr>
        <w:t>)</w:t>
      </w:r>
      <w:r w:rsidRPr="00C824CB">
        <w:rPr>
          <w:rFonts w:ascii="Arial" w:hAnsi="Arial" w:cs="Arial"/>
        </w:rPr>
        <w:t xml:space="preserve"> were tested with Chi-squared tests for categorical variables and Student’s t-tests for continuous variables. </w:t>
      </w:r>
    </w:p>
    <w:p w14:paraId="28C67CB7" w14:textId="69595302" w:rsidR="00BB4089" w:rsidRPr="00C824CB" w:rsidRDefault="00685C48" w:rsidP="00913B1B">
      <w:pPr>
        <w:spacing w:line="480" w:lineRule="auto"/>
        <w:jc w:val="both"/>
        <w:rPr>
          <w:rFonts w:ascii="Arial" w:hAnsi="Arial" w:cs="Arial"/>
        </w:rPr>
      </w:pPr>
      <w:r w:rsidRPr="00C824CB">
        <w:rPr>
          <w:rFonts w:ascii="Arial" w:hAnsi="Arial" w:cs="Arial"/>
        </w:rPr>
        <w:t>We conducted logistic regression analyses to assess the association between IQ (independent variable: continuous and six-category variable) and disability (dependent variable). These analyses were adjusted for sex, age</w:t>
      </w:r>
      <w:r w:rsidR="000D118F" w:rsidRPr="00C824CB">
        <w:rPr>
          <w:rFonts w:ascii="Arial" w:hAnsi="Arial" w:cs="Arial"/>
        </w:rPr>
        <w:t xml:space="preserve"> and</w:t>
      </w:r>
      <w:r w:rsidRPr="00C824CB">
        <w:rPr>
          <w:rFonts w:ascii="Arial" w:hAnsi="Arial" w:cs="Arial"/>
        </w:rPr>
        <w:t xml:space="preserve"> ethnicity</w:t>
      </w:r>
      <w:r w:rsidR="00AE5D69" w:rsidRPr="00C824CB">
        <w:rPr>
          <w:rFonts w:ascii="Arial" w:hAnsi="Arial" w:cs="Arial"/>
        </w:rPr>
        <w:t>.</w:t>
      </w:r>
      <w:r w:rsidR="00AA2048" w:rsidRPr="00C824CB">
        <w:rPr>
          <w:rFonts w:ascii="Arial" w:hAnsi="Arial" w:cs="Arial"/>
        </w:rPr>
        <w:t xml:space="preserve"> </w:t>
      </w:r>
      <w:r w:rsidR="000D118F" w:rsidRPr="00C824CB">
        <w:rPr>
          <w:rFonts w:ascii="Arial" w:hAnsi="Arial" w:cs="Arial"/>
        </w:rPr>
        <w:t>Sex and ethnicity</w:t>
      </w:r>
      <w:r w:rsidR="00AA2048" w:rsidRPr="00C824CB">
        <w:rPr>
          <w:rFonts w:ascii="Arial" w:hAnsi="Arial" w:cs="Arial"/>
        </w:rPr>
        <w:t xml:space="preserve"> were included as categorical variables in the model</w:t>
      </w:r>
      <w:r w:rsidR="000D118F" w:rsidRPr="00C824CB">
        <w:rPr>
          <w:rFonts w:ascii="Arial" w:hAnsi="Arial" w:cs="Arial"/>
        </w:rPr>
        <w:t>,</w:t>
      </w:r>
      <w:r w:rsidR="00AA2048" w:rsidRPr="00C824CB">
        <w:rPr>
          <w:rFonts w:ascii="Arial" w:hAnsi="Arial" w:cs="Arial"/>
        </w:rPr>
        <w:t xml:space="preserve"> </w:t>
      </w:r>
      <w:r w:rsidR="000D118F" w:rsidRPr="00C824CB">
        <w:rPr>
          <w:rFonts w:ascii="Arial" w:hAnsi="Arial" w:cs="Arial"/>
        </w:rPr>
        <w:t>while age was included as a continuous variable</w:t>
      </w:r>
      <w:r w:rsidR="00AA2048" w:rsidRPr="00C824CB">
        <w:rPr>
          <w:rFonts w:ascii="Arial" w:hAnsi="Arial" w:cs="Arial"/>
        </w:rPr>
        <w:t>.</w:t>
      </w:r>
      <w:r w:rsidRPr="00C824CB">
        <w:rPr>
          <w:rFonts w:ascii="Arial" w:hAnsi="Arial" w:cs="Arial"/>
        </w:rPr>
        <w:t xml:space="preserve"> </w:t>
      </w:r>
    </w:p>
    <w:p w14:paraId="02E11838" w14:textId="48CA783A" w:rsidR="00BB4089" w:rsidRPr="00C824CB" w:rsidRDefault="000E3CBB" w:rsidP="00913B1B">
      <w:pPr>
        <w:spacing w:line="480" w:lineRule="auto"/>
        <w:jc w:val="both"/>
        <w:rPr>
          <w:rFonts w:ascii="Arial" w:hAnsi="Arial" w:cs="Arial"/>
        </w:rPr>
      </w:pPr>
      <w:r w:rsidRPr="00C824CB">
        <w:rPr>
          <w:rFonts w:ascii="Arial" w:hAnsi="Arial" w:cs="Arial"/>
        </w:rPr>
        <w:t xml:space="preserve">A mediation analysis was further conducted to assess the specific contribution of each potential </w:t>
      </w:r>
      <w:r w:rsidR="0024079D" w:rsidRPr="00C824CB">
        <w:rPr>
          <w:rFonts w:ascii="Arial" w:hAnsi="Arial" w:cs="Arial"/>
        </w:rPr>
        <w:t xml:space="preserve">influential </w:t>
      </w:r>
      <w:r w:rsidRPr="00C824CB">
        <w:rPr>
          <w:rFonts w:ascii="Arial" w:hAnsi="Arial" w:cs="Arial"/>
        </w:rPr>
        <w:t xml:space="preserve">factor in the association between IQ and disability. The </w:t>
      </w:r>
      <w:proofErr w:type="spellStart"/>
      <w:r w:rsidRPr="00C824CB">
        <w:rPr>
          <w:rFonts w:ascii="Arial" w:hAnsi="Arial" w:cs="Arial"/>
        </w:rPr>
        <w:t>khb</w:t>
      </w:r>
      <w:proofErr w:type="spellEnd"/>
      <w:r w:rsidRPr="00C824CB">
        <w:rPr>
          <w:rFonts w:ascii="Arial" w:hAnsi="Arial" w:cs="Arial"/>
        </w:rPr>
        <w:t xml:space="preserve"> (Karlson Holm Breen) command in Stata was used for this analysis. This method can be applied in logistic regression models and decomposes the total effect of a variable into direct and indirect effects. Using this method, the percentage of the </w:t>
      </w:r>
      <w:r w:rsidRPr="00C824CB">
        <w:rPr>
          <w:rFonts w:ascii="Arial" w:hAnsi="Arial" w:cs="Arial"/>
        </w:rPr>
        <w:lastRenderedPageBreak/>
        <w:t xml:space="preserve">main association explained by the </w:t>
      </w:r>
      <w:r w:rsidR="0024079D" w:rsidRPr="00C824CB">
        <w:rPr>
          <w:rFonts w:ascii="Arial" w:hAnsi="Arial" w:cs="Arial"/>
        </w:rPr>
        <w:t xml:space="preserve">influential factor </w:t>
      </w:r>
      <w:r w:rsidRPr="00C824CB">
        <w:rPr>
          <w:rFonts w:ascii="Arial" w:hAnsi="Arial" w:cs="Arial"/>
        </w:rPr>
        <w:t>can also be calculated (mediated percentage). The mediation analysis was adjusted for sex, age</w:t>
      </w:r>
      <w:r w:rsidR="00CC4738" w:rsidRPr="00C824CB">
        <w:rPr>
          <w:rFonts w:ascii="Arial" w:hAnsi="Arial" w:cs="Arial"/>
        </w:rPr>
        <w:t xml:space="preserve"> and</w:t>
      </w:r>
      <w:r w:rsidRPr="00C824CB">
        <w:rPr>
          <w:rFonts w:ascii="Arial" w:hAnsi="Arial" w:cs="Arial"/>
        </w:rPr>
        <w:t xml:space="preserve"> ethnicity.</w:t>
      </w:r>
    </w:p>
    <w:p w14:paraId="2E6049DA" w14:textId="1ECB207E" w:rsidR="00D14F87" w:rsidRPr="00C824CB" w:rsidRDefault="00D14F87" w:rsidP="00913B1B">
      <w:pPr>
        <w:spacing w:line="480" w:lineRule="auto"/>
        <w:jc w:val="both"/>
        <w:rPr>
          <w:rFonts w:ascii="Arial" w:hAnsi="Arial" w:cs="Arial"/>
        </w:rPr>
      </w:pPr>
      <w:r w:rsidRPr="00C824CB">
        <w:rPr>
          <w:rFonts w:ascii="Arial" w:hAnsi="Arial" w:cs="Arial"/>
        </w:rPr>
        <w:t>The sample weighting and the complex study design were taken into account in all analyses. The level of statistical significance was set at p &lt;0.05. All analyses were performed with Stata version 1</w:t>
      </w:r>
      <w:r w:rsidR="00AA2048" w:rsidRPr="00C824CB">
        <w:rPr>
          <w:rFonts w:ascii="Arial" w:hAnsi="Arial" w:cs="Arial"/>
        </w:rPr>
        <w:t>3</w:t>
      </w:r>
      <w:r w:rsidRPr="00C824CB">
        <w:rPr>
          <w:rFonts w:ascii="Arial" w:hAnsi="Arial" w:cs="Arial"/>
        </w:rPr>
        <w:t>.1 (Stata Corp LP, College Station, Texas, USA).</w:t>
      </w:r>
    </w:p>
    <w:p w14:paraId="77CBB517" w14:textId="5CEF1ECD" w:rsidR="00206523" w:rsidRPr="00C824CB" w:rsidRDefault="00206523" w:rsidP="00913B1B">
      <w:pPr>
        <w:spacing w:line="480" w:lineRule="auto"/>
        <w:jc w:val="both"/>
        <w:rPr>
          <w:rFonts w:ascii="Arial" w:hAnsi="Arial" w:cs="Arial"/>
        </w:rPr>
      </w:pPr>
    </w:p>
    <w:p w14:paraId="5C7D8A98" w14:textId="32D1F568" w:rsidR="00206523" w:rsidRPr="00C824CB" w:rsidRDefault="00206523" w:rsidP="00913B1B">
      <w:pPr>
        <w:spacing w:line="480" w:lineRule="auto"/>
        <w:jc w:val="both"/>
        <w:rPr>
          <w:rFonts w:ascii="Arial" w:hAnsi="Arial" w:cs="Arial"/>
          <w:b/>
        </w:rPr>
      </w:pPr>
      <w:r w:rsidRPr="00C824CB">
        <w:rPr>
          <w:rFonts w:ascii="Arial" w:hAnsi="Arial" w:cs="Arial"/>
          <w:b/>
        </w:rPr>
        <w:t>Results</w:t>
      </w:r>
    </w:p>
    <w:p w14:paraId="3BC077BD" w14:textId="61BE6925" w:rsidR="00206523" w:rsidRPr="00C824CB" w:rsidRDefault="00206523" w:rsidP="00913B1B">
      <w:pPr>
        <w:spacing w:line="480" w:lineRule="auto"/>
        <w:jc w:val="both"/>
        <w:rPr>
          <w:rFonts w:ascii="Arial" w:hAnsi="Arial" w:cs="Arial"/>
        </w:rPr>
      </w:pPr>
    </w:p>
    <w:p w14:paraId="41DD8EEB" w14:textId="4BFB4E3E" w:rsidR="00E60894" w:rsidRPr="00C824CB" w:rsidRDefault="00206523" w:rsidP="00913B1B">
      <w:pPr>
        <w:spacing w:line="480" w:lineRule="auto"/>
        <w:jc w:val="both"/>
        <w:rPr>
          <w:rFonts w:ascii="Arial" w:hAnsi="Arial" w:cs="Arial"/>
        </w:rPr>
      </w:pPr>
      <w:r w:rsidRPr="00C824CB">
        <w:rPr>
          <w:rFonts w:ascii="Arial" w:hAnsi="Arial" w:cs="Arial"/>
        </w:rPr>
        <w:t>This study included 6872 participants [mean age (SD)</w:t>
      </w:r>
      <w:r w:rsidR="00F125F4" w:rsidRPr="00C824CB">
        <w:rPr>
          <w:rFonts w:ascii="Arial" w:hAnsi="Arial" w:cs="Arial"/>
        </w:rPr>
        <w:t xml:space="preserve"> 46.9 (18.9) years; 51.8% of women].</w:t>
      </w:r>
      <w:r w:rsidR="00F12AE5" w:rsidRPr="00C824CB">
        <w:rPr>
          <w:rFonts w:ascii="Arial" w:hAnsi="Arial" w:cs="Arial"/>
        </w:rPr>
        <w:t xml:space="preserve"> The prevalence of disability was 32.5% in the overall sample, </w:t>
      </w:r>
      <w:r w:rsidR="00EA2957" w:rsidRPr="00C824CB">
        <w:rPr>
          <w:rFonts w:ascii="Arial" w:hAnsi="Arial" w:cs="Arial"/>
        </w:rPr>
        <w:t>and</w:t>
      </w:r>
      <w:r w:rsidR="00F12AE5" w:rsidRPr="00C824CB">
        <w:rPr>
          <w:rFonts w:ascii="Arial" w:hAnsi="Arial" w:cs="Arial"/>
        </w:rPr>
        <w:t xml:space="preserve"> mean IQ (SD) was 102.4 (15.4).</w:t>
      </w:r>
      <w:r w:rsidR="00F62125" w:rsidRPr="00C824CB">
        <w:rPr>
          <w:rFonts w:ascii="Arial" w:hAnsi="Arial" w:cs="Arial"/>
        </w:rPr>
        <w:t xml:space="preserve"> The characteristics of the population are shown in </w:t>
      </w:r>
      <w:r w:rsidR="00F62125" w:rsidRPr="00C824CB">
        <w:rPr>
          <w:rFonts w:ascii="Arial" w:hAnsi="Arial" w:cs="Arial"/>
          <w:b/>
        </w:rPr>
        <w:t>Table 1</w:t>
      </w:r>
      <w:r w:rsidR="00F62125" w:rsidRPr="00C824CB">
        <w:rPr>
          <w:rFonts w:ascii="Arial" w:hAnsi="Arial" w:cs="Arial"/>
        </w:rPr>
        <w:t>.</w:t>
      </w:r>
      <w:r w:rsidR="008D31AF" w:rsidRPr="00C824CB">
        <w:rPr>
          <w:rFonts w:ascii="Arial" w:hAnsi="Arial" w:cs="Arial"/>
        </w:rPr>
        <w:t xml:space="preserve"> </w:t>
      </w:r>
      <w:r w:rsidR="00404668" w:rsidRPr="00C824CB">
        <w:rPr>
          <w:rFonts w:ascii="Arial" w:hAnsi="Arial" w:cs="Arial"/>
        </w:rPr>
        <w:t>Single/widowed/divorced/separated</w:t>
      </w:r>
      <w:r w:rsidR="001C62B3" w:rsidRPr="00C824CB">
        <w:rPr>
          <w:rFonts w:ascii="Arial" w:hAnsi="Arial" w:cs="Arial"/>
        </w:rPr>
        <w:t xml:space="preserve">, </w:t>
      </w:r>
      <w:r w:rsidR="00D866F7" w:rsidRPr="00C824CB">
        <w:rPr>
          <w:rFonts w:ascii="Arial" w:hAnsi="Arial" w:cs="Arial"/>
        </w:rPr>
        <w:t>no qualification</w:t>
      </w:r>
      <w:r w:rsidR="001C62B3" w:rsidRPr="00C824CB">
        <w:rPr>
          <w:rFonts w:ascii="Arial" w:hAnsi="Arial" w:cs="Arial"/>
        </w:rPr>
        <w:t xml:space="preserve">, </w:t>
      </w:r>
      <w:r w:rsidR="00D866F7" w:rsidRPr="00C824CB">
        <w:rPr>
          <w:rFonts w:ascii="Arial" w:hAnsi="Arial" w:cs="Arial"/>
        </w:rPr>
        <w:t>low income, obesity, and smoking</w:t>
      </w:r>
      <w:r w:rsidR="001C62B3" w:rsidRPr="00C824CB">
        <w:rPr>
          <w:rFonts w:ascii="Arial" w:hAnsi="Arial" w:cs="Arial"/>
        </w:rPr>
        <w:t xml:space="preserve"> were significantly more common among those with a disability or low IQ</w:t>
      </w:r>
      <w:r w:rsidR="00D866F7" w:rsidRPr="00C824CB">
        <w:rPr>
          <w:rFonts w:ascii="Arial" w:hAnsi="Arial" w:cs="Arial"/>
        </w:rPr>
        <w:t xml:space="preserve">, while social support was </w:t>
      </w:r>
      <w:r w:rsidR="005E30EF" w:rsidRPr="00C824CB">
        <w:rPr>
          <w:rFonts w:ascii="Arial" w:hAnsi="Arial" w:cs="Arial"/>
        </w:rPr>
        <w:t xml:space="preserve">also </w:t>
      </w:r>
      <w:r w:rsidR="00D866F7" w:rsidRPr="00C824CB">
        <w:rPr>
          <w:rFonts w:ascii="Arial" w:hAnsi="Arial" w:cs="Arial"/>
        </w:rPr>
        <w:t>lower in these two groups</w:t>
      </w:r>
      <w:r w:rsidR="001C62B3" w:rsidRPr="00C824CB">
        <w:rPr>
          <w:rFonts w:ascii="Arial" w:hAnsi="Arial" w:cs="Arial"/>
        </w:rPr>
        <w:t xml:space="preserve">. </w:t>
      </w:r>
      <w:r w:rsidR="006C6BA8" w:rsidRPr="00C824CB">
        <w:rPr>
          <w:rFonts w:ascii="Arial" w:hAnsi="Arial" w:cs="Arial"/>
        </w:rPr>
        <w:t>The prevalence of disability increased from 27.7% in the IQ 120-129 group to 51.0% in the IQ 70-79 group (</w:t>
      </w:r>
      <w:r w:rsidR="006C6BA8" w:rsidRPr="00C824CB">
        <w:rPr>
          <w:rFonts w:ascii="Arial" w:hAnsi="Arial" w:cs="Arial"/>
          <w:b/>
        </w:rPr>
        <w:t>Figure 1</w:t>
      </w:r>
      <w:r w:rsidR="006C6BA8" w:rsidRPr="00C824CB">
        <w:rPr>
          <w:rFonts w:ascii="Arial" w:hAnsi="Arial" w:cs="Arial"/>
        </w:rPr>
        <w:t xml:space="preserve">). </w:t>
      </w:r>
      <w:r w:rsidR="009C0E04" w:rsidRPr="00C824CB">
        <w:rPr>
          <w:rFonts w:ascii="Arial" w:hAnsi="Arial" w:cs="Arial"/>
        </w:rPr>
        <w:t xml:space="preserve">After adjusting for </w:t>
      </w:r>
      <w:r w:rsidR="00F774C2" w:rsidRPr="00C824CB">
        <w:rPr>
          <w:rFonts w:ascii="Arial" w:hAnsi="Arial" w:cs="Arial"/>
        </w:rPr>
        <w:t>sex, age and ethnicity</w:t>
      </w:r>
      <w:r w:rsidR="005B313E" w:rsidRPr="00C824CB">
        <w:rPr>
          <w:rFonts w:ascii="Arial" w:hAnsi="Arial" w:cs="Arial"/>
        </w:rPr>
        <w:t xml:space="preserve">, </w:t>
      </w:r>
      <w:r w:rsidR="00B502EB" w:rsidRPr="00C824CB">
        <w:rPr>
          <w:rFonts w:ascii="Arial" w:hAnsi="Arial" w:cs="Arial"/>
        </w:rPr>
        <w:t>compared with those with IQ scores of 120-129, scores of 110-119, 100-109, 90-99, 80-89, and 70-79 were associated with 1.</w:t>
      </w:r>
      <w:r w:rsidR="00177B2F" w:rsidRPr="00C824CB">
        <w:rPr>
          <w:rFonts w:ascii="Arial" w:hAnsi="Arial" w:cs="Arial"/>
        </w:rPr>
        <w:t>22</w:t>
      </w:r>
      <w:r w:rsidR="00B502EB" w:rsidRPr="00C824CB">
        <w:rPr>
          <w:rFonts w:ascii="Arial" w:hAnsi="Arial" w:cs="Arial"/>
        </w:rPr>
        <w:t xml:space="preserve"> [95% confidence interval (CI)</w:t>
      </w:r>
      <w:r w:rsidR="003E7ED1" w:rsidRPr="00C824CB">
        <w:rPr>
          <w:rFonts w:ascii="Arial" w:hAnsi="Arial" w:cs="Arial"/>
        </w:rPr>
        <w:t>:</w:t>
      </w:r>
      <w:r w:rsidR="00B502EB" w:rsidRPr="00C824CB">
        <w:rPr>
          <w:rFonts w:ascii="Arial" w:hAnsi="Arial" w:cs="Arial"/>
        </w:rPr>
        <w:t xml:space="preserve"> </w:t>
      </w:r>
      <w:r w:rsidR="00177B2F" w:rsidRPr="00C824CB">
        <w:rPr>
          <w:rFonts w:ascii="Arial" w:hAnsi="Arial" w:cs="Arial"/>
        </w:rPr>
        <w:t>1.01</w:t>
      </w:r>
      <w:r w:rsidR="00B502EB" w:rsidRPr="00C824CB">
        <w:rPr>
          <w:rFonts w:ascii="Arial" w:hAnsi="Arial" w:cs="Arial"/>
        </w:rPr>
        <w:t>-1.4</w:t>
      </w:r>
      <w:r w:rsidR="00177B2F" w:rsidRPr="00C824CB">
        <w:rPr>
          <w:rFonts w:ascii="Arial" w:hAnsi="Arial" w:cs="Arial"/>
        </w:rPr>
        <w:t>8</w:t>
      </w:r>
      <w:r w:rsidR="00B502EB" w:rsidRPr="00C824CB">
        <w:rPr>
          <w:rFonts w:ascii="Arial" w:hAnsi="Arial" w:cs="Arial"/>
        </w:rPr>
        <w:t>]</w:t>
      </w:r>
      <w:r w:rsidR="003C04C7" w:rsidRPr="00C824CB">
        <w:rPr>
          <w:rFonts w:ascii="Arial" w:hAnsi="Arial" w:cs="Arial"/>
        </w:rPr>
        <w:t>, 1.</w:t>
      </w:r>
      <w:r w:rsidR="00177B2F" w:rsidRPr="00C824CB">
        <w:rPr>
          <w:rFonts w:ascii="Arial" w:hAnsi="Arial" w:cs="Arial"/>
        </w:rPr>
        <w:t>42</w:t>
      </w:r>
      <w:r w:rsidR="003C04C7" w:rsidRPr="00C824CB">
        <w:rPr>
          <w:rFonts w:ascii="Arial" w:hAnsi="Arial" w:cs="Arial"/>
        </w:rPr>
        <w:t xml:space="preserve"> (95%CI</w:t>
      </w:r>
      <w:r w:rsidR="003E7ED1" w:rsidRPr="00C824CB">
        <w:rPr>
          <w:rFonts w:ascii="Arial" w:hAnsi="Arial" w:cs="Arial"/>
        </w:rPr>
        <w:t>:</w:t>
      </w:r>
      <w:r w:rsidR="003C04C7" w:rsidRPr="00C824CB">
        <w:rPr>
          <w:rFonts w:ascii="Arial" w:hAnsi="Arial" w:cs="Arial"/>
        </w:rPr>
        <w:t xml:space="preserve"> 1.</w:t>
      </w:r>
      <w:r w:rsidR="00177B2F" w:rsidRPr="00C824CB">
        <w:rPr>
          <w:rFonts w:ascii="Arial" w:hAnsi="Arial" w:cs="Arial"/>
        </w:rPr>
        <w:t>16</w:t>
      </w:r>
      <w:r w:rsidR="003C04C7" w:rsidRPr="00C824CB">
        <w:rPr>
          <w:rFonts w:ascii="Arial" w:hAnsi="Arial" w:cs="Arial"/>
        </w:rPr>
        <w:t>-1.</w:t>
      </w:r>
      <w:r w:rsidR="00177B2F" w:rsidRPr="00C824CB">
        <w:rPr>
          <w:rFonts w:ascii="Arial" w:hAnsi="Arial" w:cs="Arial"/>
        </w:rPr>
        <w:t>72</w:t>
      </w:r>
      <w:r w:rsidR="003C04C7" w:rsidRPr="00C824CB">
        <w:rPr>
          <w:rFonts w:ascii="Arial" w:hAnsi="Arial" w:cs="Arial"/>
        </w:rPr>
        <w:t>), 1.</w:t>
      </w:r>
      <w:r w:rsidR="00177B2F" w:rsidRPr="00C824CB">
        <w:rPr>
          <w:rFonts w:ascii="Arial" w:hAnsi="Arial" w:cs="Arial"/>
        </w:rPr>
        <w:t>86</w:t>
      </w:r>
      <w:r w:rsidR="003C04C7" w:rsidRPr="00C824CB">
        <w:rPr>
          <w:rFonts w:ascii="Arial" w:hAnsi="Arial" w:cs="Arial"/>
        </w:rPr>
        <w:t xml:space="preserve"> (95%CI</w:t>
      </w:r>
      <w:r w:rsidR="003E7ED1" w:rsidRPr="00C824CB">
        <w:rPr>
          <w:rFonts w:ascii="Arial" w:hAnsi="Arial" w:cs="Arial"/>
        </w:rPr>
        <w:t>:</w:t>
      </w:r>
      <w:r w:rsidR="003C04C7" w:rsidRPr="00C824CB">
        <w:rPr>
          <w:rFonts w:ascii="Arial" w:hAnsi="Arial" w:cs="Arial"/>
        </w:rPr>
        <w:t xml:space="preserve"> 1.</w:t>
      </w:r>
      <w:r w:rsidR="00177B2F" w:rsidRPr="00C824CB">
        <w:rPr>
          <w:rFonts w:ascii="Arial" w:hAnsi="Arial" w:cs="Arial"/>
        </w:rPr>
        <w:t>54</w:t>
      </w:r>
      <w:r w:rsidR="003C04C7" w:rsidRPr="00C824CB">
        <w:rPr>
          <w:rFonts w:ascii="Arial" w:hAnsi="Arial" w:cs="Arial"/>
        </w:rPr>
        <w:t>-</w:t>
      </w:r>
      <w:r w:rsidR="00177B2F" w:rsidRPr="00C824CB">
        <w:rPr>
          <w:rFonts w:ascii="Arial" w:hAnsi="Arial" w:cs="Arial"/>
        </w:rPr>
        <w:t>2.25</w:t>
      </w:r>
      <w:r w:rsidR="003C04C7" w:rsidRPr="00C824CB">
        <w:rPr>
          <w:rFonts w:ascii="Arial" w:hAnsi="Arial" w:cs="Arial"/>
        </w:rPr>
        <w:t xml:space="preserve">), </w:t>
      </w:r>
      <w:r w:rsidR="007165E6" w:rsidRPr="00C824CB">
        <w:rPr>
          <w:rFonts w:ascii="Arial" w:hAnsi="Arial" w:cs="Arial"/>
        </w:rPr>
        <w:t>2.41</w:t>
      </w:r>
      <w:r w:rsidR="003C04C7" w:rsidRPr="00C824CB">
        <w:rPr>
          <w:rFonts w:ascii="Arial" w:hAnsi="Arial" w:cs="Arial"/>
        </w:rPr>
        <w:t xml:space="preserve"> (95%CI</w:t>
      </w:r>
      <w:r w:rsidR="003E7ED1" w:rsidRPr="00C824CB">
        <w:rPr>
          <w:rFonts w:ascii="Arial" w:hAnsi="Arial" w:cs="Arial"/>
        </w:rPr>
        <w:t>:</w:t>
      </w:r>
      <w:r w:rsidR="003C04C7" w:rsidRPr="00C824CB">
        <w:rPr>
          <w:rFonts w:ascii="Arial" w:hAnsi="Arial" w:cs="Arial"/>
        </w:rPr>
        <w:t xml:space="preserve"> 1.</w:t>
      </w:r>
      <w:r w:rsidR="007165E6" w:rsidRPr="00C824CB">
        <w:rPr>
          <w:rFonts w:ascii="Arial" w:hAnsi="Arial" w:cs="Arial"/>
        </w:rPr>
        <w:t>92</w:t>
      </w:r>
      <w:r w:rsidR="003C04C7" w:rsidRPr="00C824CB">
        <w:rPr>
          <w:rFonts w:ascii="Arial" w:hAnsi="Arial" w:cs="Arial"/>
        </w:rPr>
        <w:t>-</w:t>
      </w:r>
      <w:r w:rsidR="007165E6" w:rsidRPr="00C824CB">
        <w:rPr>
          <w:rFonts w:ascii="Arial" w:hAnsi="Arial" w:cs="Arial"/>
        </w:rPr>
        <w:t>3.03</w:t>
      </w:r>
      <w:r w:rsidR="003C04C7" w:rsidRPr="00C824CB">
        <w:rPr>
          <w:rFonts w:ascii="Arial" w:hAnsi="Arial" w:cs="Arial"/>
        </w:rPr>
        <w:t xml:space="preserve">), and </w:t>
      </w:r>
      <w:r w:rsidR="007165E6" w:rsidRPr="00C824CB">
        <w:rPr>
          <w:rFonts w:ascii="Arial" w:hAnsi="Arial" w:cs="Arial"/>
        </w:rPr>
        <w:t>4.71</w:t>
      </w:r>
      <w:r w:rsidR="003C04C7" w:rsidRPr="00C824CB">
        <w:rPr>
          <w:rFonts w:ascii="Arial" w:hAnsi="Arial" w:cs="Arial"/>
        </w:rPr>
        <w:t xml:space="preserve"> (95%CI</w:t>
      </w:r>
      <w:r w:rsidR="003E7ED1" w:rsidRPr="00C824CB">
        <w:rPr>
          <w:rFonts w:ascii="Arial" w:hAnsi="Arial" w:cs="Arial"/>
        </w:rPr>
        <w:t>:</w:t>
      </w:r>
      <w:r w:rsidR="003C04C7" w:rsidRPr="00C824CB">
        <w:rPr>
          <w:rFonts w:ascii="Arial" w:hAnsi="Arial" w:cs="Arial"/>
        </w:rPr>
        <w:t xml:space="preserve"> </w:t>
      </w:r>
      <w:r w:rsidR="007165E6" w:rsidRPr="00C824CB">
        <w:rPr>
          <w:rFonts w:ascii="Arial" w:hAnsi="Arial" w:cs="Arial"/>
        </w:rPr>
        <w:t>3.56</w:t>
      </w:r>
      <w:r w:rsidR="003C04C7" w:rsidRPr="00C824CB">
        <w:rPr>
          <w:rFonts w:ascii="Arial" w:hAnsi="Arial" w:cs="Arial"/>
        </w:rPr>
        <w:t>-</w:t>
      </w:r>
      <w:r w:rsidR="007165E6" w:rsidRPr="00C824CB">
        <w:rPr>
          <w:rFonts w:ascii="Arial" w:hAnsi="Arial" w:cs="Arial"/>
        </w:rPr>
        <w:t>6.17</w:t>
      </w:r>
      <w:r w:rsidR="003C04C7" w:rsidRPr="00C824CB">
        <w:rPr>
          <w:rFonts w:ascii="Arial" w:hAnsi="Arial" w:cs="Arial"/>
        </w:rPr>
        <w:t>) times higher odds for disability, respectively (</w:t>
      </w:r>
      <w:r w:rsidR="003C04C7" w:rsidRPr="00C824CB">
        <w:rPr>
          <w:rFonts w:ascii="Arial" w:hAnsi="Arial" w:cs="Arial"/>
          <w:b/>
        </w:rPr>
        <w:t>Figure 2</w:t>
      </w:r>
      <w:r w:rsidR="003C04C7" w:rsidRPr="00C824CB">
        <w:rPr>
          <w:rFonts w:ascii="Arial" w:hAnsi="Arial" w:cs="Arial"/>
        </w:rPr>
        <w:t>).</w:t>
      </w:r>
      <w:r w:rsidR="0024509E" w:rsidRPr="00C824CB">
        <w:rPr>
          <w:rFonts w:ascii="Arial" w:hAnsi="Arial" w:cs="Arial"/>
        </w:rPr>
        <w:t xml:space="preserve"> </w:t>
      </w:r>
      <w:r w:rsidR="00E60894" w:rsidRPr="00C824CB">
        <w:rPr>
          <w:rFonts w:ascii="Arial" w:hAnsi="Arial" w:cs="Arial"/>
        </w:rPr>
        <w:t>In addition, there was a positive association between a one SD decrease in IQ and disability [odds</w:t>
      </w:r>
      <w:r w:rsidR="001C62B3" w:rsidRPr="00C824CB">
        <w:rPr>
          <w:rFonts w:ascii="Arial" w:hAnsi="Arial" w:cs="Arial"/>
        </w:rPr>
        <w:t xml:space="preserve"> </w:t>
      </w:r>
      <w:r w:rsidR="00E60894" w:rsidRPr="00C824CB">
        <w:rPr>
          <w:rFonts w:ascii="Arial" w:hAnsi="Arial" w:cs="Arial"/>
        </w:rPr>
        <w:t>ratio (OR)=1.</w:t>
      </w:r>
      <w:r w:rsidR="005C2813" w:rsidRPr="00C824CB">
        <w:rPr>
          <w:rFonts w:ascii="Arial" w:hAnsi="Arial" w:cs="Arial"/>
        </w:rPr>
        <w:t>53,</w:t>
      </w:r>
      <w:r w:rsidR="00E60894" w:rsidRPr="00C824CB">
        <w:rPr>
          <w:rFonts w:ascii="Arial" w:hAnsi="Arial" w:cs="Arial"/>
        </w:rPr>
        <w:t xml:space="preserve"> 95%CI</w:t>
      </w:r>
      <w:r w:rsidR="002E5ED1" w:rsidRPr="00C824CB">
        <w:rPr>
          <w:rFonts w:ascii="Arial" w:hAnsi="Arial" w:cs="Arial"/>
        </w:rPr>
        <w:t>:</w:t>
      </w:r>
      <w:r w:rsidR="00E60894" w:rsidRPr="00C824CB">
        <w:rPr>
          <w:rFonts w:ascii="Arial" w:hAnsi="Arial" w:cs="Arial"/>
        </w:rPr>
        <w:t xml:space="preserve"> 1.</w:t>
      </w:r>
      <w:r w:rsidR="005C2813" w:rsidRPr="00C824CB">
        <w:rPr>
          <w:rFonts w:ascii="Arial" w:hAnsi="Arial" w:cs="Arial"/>
        </w:rPr>
        <w:t>43</w:t>
      </w:r>
      <w:r w:rsidR="00E60894" w:rsidRPr="00C824CB">
        <w:rPr>
          <w:rFonts w:ascii="Arial" w:hAnsi="Arial" w:cs="Arial"/>
        </w:rPr>
        <w:t>-1.</w:t>
      </w:r>
      <w:r w:rsidR="005C2813" w:rsidRPr="00C824CB">
        <w:rPr>
          <w:rFonts w:ascii="Arial" w:hAnsi="Arial" w:cs="Arial"/>
        </w:rPr>
        <w:t>63</w:t>
      </w:r>
      <w:r w:rsidR="00E60894" w:rsidRPr="00C824CB">
        <w:rPr>
          <w:rFonts w:ascii="Arial" w:hAnsi="Arial" w:cs="Arial"/>
        </w:rPr>
        <w:t>; data only shown in the text).</w:t>
      </w:r>
      <w:r w:rsidR="00E91008" w:rsidRPr="00C824CB">
        <w:rPr>
          <w:rFonts w:ascii="Arial" w:hAnsi="Arial" w:cs="Arial"/>
        </w:rPr>
        <w:t xml:space="preserve"> Finally, </w:t>
      </w:r>
      <w:r w:rsidR="00C46EB1" w:rsidRPr="00C824CB">
        <w:rPr>
          <w:rFonts w:ascii="Arial" w:hAnsi="Arial" w:cs="Arial"/>
        </w:rPr>
        <w:t xml:space="preserve">income (mediated percentage=26.9%), social class (18.0%) and qualification (11.6%) were the </w:t>
      </w:r>
      <w:r w:rsidR="0024079D" w:rsidRPr="00C824CB">
        <w:rPr>
          <w:rFonts w:ascii="Arial" w:hAnsi="Arial" w:cs="Arial"/>
        </w:rPr>
        <w:t xml:space="preserve">most influential factors </w:t>
      </w:r>
      <w:r w:rsidR="00C46EB1" w:rsidRPr="00C824CB">
        <w:rPr>
          <w:rFonts w:ascii="Arial" w:hAnsi="Arial" w:cs="Arial"/>
        </w:rPr>
        <w:t xml:space="preserve">in the relationship between IQ and disability </w:t>
      </w:r>
      <w:r w:rsidR="00370661" w:rsidRPr="00C824CB">
        <w:rPr>
          <w:rFonts w:ascii="Arial" w:hAnsi="Arial" w:cs="Arial"/>
        </w:rPr>
        <w:t>(</w:t>
      </w:r>
      <w:r w:rsidR="00370661" w:rsidRPr="00C824CB">
        <w:rPr>
          <w:rFonts w:ascii="Arial" w:hAnsi="Arial" w:cs="Arial"/>
          <w:b/>
        </w:rPr>
        <w:t>Table 2</w:t>
      </w:r>
      <w:r w:rsidR="00370661" w:rsidRPr="00C824CB">
        <w:rPr>
          <w:rFonts w:ascii="Arial" w:hAnsi="Arial" w:cs="Arial"/>
        </w:rPr>
        <w:t>).</w:t>
      </w:r>
      <w:r w:rsidR="00C46EB1" w:rsidRPr="00C824CB">
        <w:rPr>
          <w:rFonts w:ascii="Arial" w:hAnsi="Arial" w:cs="Arial"/>
        </w:rPr>
        <w:t xml:space="preserve"> </w:t>
      </w:r>
      <w:r w:rsidR="00C46EB1" w:rsidRPr="00C824CB">
        <w:rPr>
          <w:rFonts w:ascii="Arial" w:hAnsi="Arial" w:cs="Arial"/>
        </w:rPr>
        <w:lastRenderedPageBreak/>
        <w:t xml:space="preserve">Collectively, these </w:t>
      </w:r>
      <w:r w:rsidR="00203312" w:rsidRPr="00C824CB">
        <w:rPr>
          <w:rFonts w:ascii="Arial" w:hAnsi="Arial" w:cs="Arial"/>
        </w:rPr>
        <w:t xml:space="preserve">socioeconomic </w:t>
      </w:r>
      <w:r w:rsidR="0024079D" w:rsidRPr="00C824CB">
        <w:rPr>
          <w:rFonts w:ascii="Arial" w:hAnsi="Arial" w:cs="Arial"/>
        </w:rPr>
        <w:t xml:space="preserve">factors </w:t>
      </w:r>
      <w:r w:rsidR="00C46EB1" w:rsidRPr="00C824CB">
        <w:rPr>
          <w:rFonts w:ascii="Arial" w:hAnsi="Arial" w:cs="Arial"/>
        </w:rPr>
        <w:t xml:space="preserve">explained </w:t>
      </w:r>
      <w:r w:rsidR="00605071" w:rsidRPr="00C824CB">
        <w:rPr>
          <w:rFonts w:ascii="Arial" w:hAnsi="Arial" w:cs="Arial"/>
        </w:rPr>
        <w:t>37.1</w:t>
      </w:r>
      <w:r w:rsidR="00C46EB1" w:rsidRPr="00C824CB">
        <w:rPr>
          <w:rFonts w:ascii="Arial" w:hAnsi="Arial" w:cs="Arial"/>
        </w:rPr>
        <w:t>% of the association</w:t>
      </w:r>
      <w:r w:rsidR="001C62B3" w:rsidRPr="00C824CB">
        <w:rPr>
          <w:rFonts w:ascii="Arial" w:hAnsi="Arial" w:cs="Arial"/>
        </w:rPr>
        <w:t xml:space="preserve"> (data only shown in text)</w:t>
      </w:r>
      <w:r w:rsidR="00C46EB1" w:rsidRPr="00C824CB">
        <w:rPr>
          <w:rFonts w:ascii="Arial" w:hAnsi="Arial" w:cs="Arial"/>
        </w:rPr>
        <w:t>.</w:t>
      </w:r>
    </w:p>
    <w:p w14:paraId="66B35AD7" w14:textId="09B0DF99" w:rsidR="00D9625E" w:rsidRPr="00C824CB" w:rsidRDefault="00D9625E" w:rsidP="00913B1B">
      <w:pPr>
        <w:spacing w:line="480" w:lineRule="auto"/>
        <w:jc w:val="both"/>
        <w:rPr>
          <w:rFonts w:ascii="Arial" w:hAnsi="Arial" w:cs="Arial"/>
        </w:rPr>
      </w:pPr>
    </w:p>
    <w:p w14:paraId="613564DC" w14:textId="77777777" w:rsidR="00D9625E" w:rsidRPr="00C824CB" w:rsidRDefault="00D9625E" w:rsidP="00D9625E">
      <w:pPr>
        <w:spacing w:line="480" w:lineRule="auto"/>
        <w:jc w:val="both"/>
        <w:rPr>
          <w:rFonts w:ascii="Arial" w:hAnsi="Arial" w:cs="Arial"/>
          <w:b/>
        </w:rPr>
      </w:pPr>
      <w:r w:rsidRPr="00C824CB">
        <w:rPr>
          <w:rFonts w:ascii="Arial" w:hAnsi="Arial" w:cs="Arial"/>
          <w:b/>
        </w:rPr>
        <w:t>Discussion</w:t>
      </w:r>
    </w:p>
    <w:p w14:paraId="586B3EC9" w14:textId="77777777" w:rsidR="00D9625E" w:rsidRPr="00C824CB" w:rsidRDefault="00D9625E" w:rsidP="00D9625E">
      <w:pPr>
        <w:spacing w:line="480" w:lineRule="auto"/>
        <w:jc w:val="both"/>
        <w:rPr>
          <w:rFonts w:ascii="Arial" w:hAnsi="Arial" w:cs="Arial"/>
        </w:rPr>
      </w:pPr>
    </w:p>
    <w:p w14:paraId="25549052" w14:textId="77777777" w:rsidR="00D9625E" w:rsidRPr="00C824CB" w:rsidRDefault="00D9625E" w:rsidP="00D9625E">
      <w:pPr>
        <w:spacing w:line="480" w:lineRule="auto"/>
        <w:jc w:val="both"/>
        <w:rPr>
          <w:rFonts w:ascii="Arial" w:hAnsi="Arial" w:cs="Arial"/>
          <w:i/>
        </w:rPr>
      </w:pPr>
      <w:r w:rsidRPr="00C824CB">
        <w:rPr>
          <w:rFonts w:ascii="Arial" w:hAnsi="Arial" w:cs="Arial"/>
          <w:i/>
        </w:rPr>
        <w:t>Main findings</w:t>
      </w:r>
    </w:p>
    <w:p w14:paraId="38315176" w14:textId="1D97FCA4" w:rsidR="00D9625E" w:rsidRPr="00C824CB" w:rsidRDefault="00D9625E" w:rsidP="00D9625E">
      <w:pPr>
        <w:spacing w:line="480" w:lineRule="auto"/>
        <w:jc w:val="both"/>
        <w:rPr>
          <w:rFonts w:ascii="Arial" w:hAnsi="Arial" w:cs="Arial"/>
        </w:rPr>
      </w:pPr>
      <w:r w:rsidRPr="00C824CB">
        <w:rPr>
          <w:rFonts w:ascii="Arial" w:hAnsi="Arial" w:cs="Arial"/>
        </w:rPr>
        <w:t xml:space="preserve">We found in this nationally representative study including almost 6900 </w:t>
      </w:r>
      <w:r w:rsidR="005D1F45" w:rsidRPr="00C824CB">
        <w:rPr>
          <w:rFonts w:ascii="Arial" w:hAnsi="Arial" w:cs="Arial"/>
        </w:rPr>
        <w:t>adults</w:t>
      </w:r>
      <w:r w:rsidRPr="00C824CB">
        <w:rPr>
          <w:rFonts w:ascii="Arial" w:hAnsi="Arial" w:cs="Arial"/>
        </w:rPr>
        <w:t xml:space="preserve"> from England that the prevalence of disability ranged from around 28% in the IQ 120-129 group to 51% in the IQ 70-79 group. Furthermore, after adjusting for sex, age and ethnicity, there was a significant and </w:t>
      </w:r>
      <w:r w:rsidR="00CD6A19" w:rsidRPr="00C824CB">
        <w:rPr>
          <w:rFonts w:ascii="Arial" w:hAnsi="Arial" w:cs="Arial"/>
        </w:rPr>
        <w:t>negative</w:t>
      </w:r>
      <w:r w:rsidRPr="00C824CB">
        <w:rPr>
          <w:rFonts w:ascii="Arial" w:hAnsi="Arial" w:cs="Arial"/>
        </w:rPr>
        <w:t xml:space="preserve"> association between IQ and disability. Finally, </w:t>
      </w:r>
      <w:r w:rsidR="00A26C3E" w:rsidRPr="00C824CB">
        <w:rPr>
          <w:rFonts w:ascii="Arial" w:hAnsi="Arial" w:cs="Arial"/>
        </w:rPr>
        <w:t xml:space="preserve">approximately </w:t>
      </w:r>
      <w:r w:rsidRPr="00C824CB">
        <w:rPr>
          <w:rFonts w:ascii="Arial" w:hAnsi="Arial" w:cs="Arial"/>
        </w:rPr>
        <w:t xml:space="preserve">37% of the </w:t>
      </w:r>
      <w:r w:rsidR="00A26C3E" w:rsidRPr="00C824CB">
        <w:rPr>
          <w:rFonts w:ascii="Arial" w:hAnsi="Arial" w:cs="Arial"/>
        </w:rPr>
        <w:t xml:space="preserve">association </w:t>
      </w:r>
      <w:r w:rsidRPr="00C824CB">
        <w:rPr>
          <w:rFonts w:ascii="Arial" w:hAnsi="Arial" w:cs="Arial"/>
        </w:rPr>
        <w:t xml:space="preserve">between IQ and disability was </w:t>
      </w:r>
      <w:r w:rsidR="0024079D" w:rsidRPr="00C824CB">
        <w:rPr>
          <w:rFonts w:ascii="Arial" w:hAnsi="Arial" w:cs="Arial"/>
        </w:rPr>
        <w:t xml:space="preserve">explained </w:t>
      </w:r>
      <w:r w:rsidRPr="00C824CB">
        <w:rPr>
          <w:rFonts w:ascii="Arial" w:hAnsi="Arial" w:cs="Arial"/>
        </w:rPr>
        <w:t>by socioeconomic status (i.e., income, social class, qualification).</w:t>
      </w:r>
      <w:r w:rsidR="004B7C66" w:rsidRPr="00C824CB">
        <w:rPr>
          <w:rFonts w:ascii="Arial" w:hAnsi="Arial" w:cs="Arial"/>
        </w:rPr>
        <w:t xml:space="preserve"> To the best of our knowledge, this is the first study </w:t>
      </w:r>
      <w:r w:rsidR="0024079D" w:rsidRPr="00C824CB">
        <w:rPr>
          <w:rFonts w:ascii="Arial" w:hAnsi="Arial" w:cs="Arial"/>
        </w:rPr>
        <w:t xml:space="preserve">that investigates </w:t>
      </w:r>
      <w:r w:rsidR="004B7C66" w:rsidRPr="00C824CB">
        <w:rPr>
          <w:rFonts w:ascii="Arial" w:hAnsi="Arial" w:cs="Arial"/>
        </w:rPr>
        <w:t xml:space="preserve">the association between IQ and disability </w:t>
      </w:r>
      <w:r w:rsidR="0024079D" w:rsidRPr="00C824CB">
        <w:rPr>
          <w:rFonts w:ascii="Arial" w:hAnsi="Arial" w:cs="Arial"/>
        </w:rPr>
        <w:t xml:space="preserve">(i.e., </w:t>
      </w:r>
      <w:r w:rsidR="00207CF0" w:rsidRPr="00C824CB">
        <w:rPr>
          <w:rFonts w:ascii="Arial" w:hAnsi="Arial" w:cs="Arial"/>
        </w:rPr>
        <w:t xml:space="preserve">difficulties in </w:t>
      </w:r>
      <w:r w:rsidR="0024079D" w:rsidRPr="00C824CB">
        <w:rPr>
          <w:rFonts w:ascii="Arial" w:hAnsi="Arial" w:cs="Arial"/>
        </w:rPr>
        <w:t xml:space="preserve">ADL and IADL) </w:t>
      </w:r>
      <w:r w:rsidR="004B7C66" w:rsidRPr="00C824CB">
        <w:rPr>
          <w:rFonts w:ascii="Arial" w:hAnsi="Arial" w:cs="Arial"/>
        </w:rPr>
        <w:t xml:space="preserve">in the general population. </w:t>
      </w:r>
    </w:p>
    <w:p w14:paraId="6628A904" w14:textId="40E8F66A" w:rsidR="00D429F4" w:rsidRPr="00C824CB" w:rsidRDefault="00D429F4" w:rsidP="00D9625E">
      <w:pPr>
        <w:spacing w:line="480" w:lineRule="auto"/>
        <w:jc w:val="both"/>
        <w:rPr>
          <w:rFonts w:ascii="Arial" w:hAnsi="Arial" w:cs="Arial"/>
        </w:rPr>
      </w:pPr>
    </w:p>
    <w:p w14:paraId="6CE54343" w14:textId="77777777" w:rsidR="00D429F4" w:rsidRPr="00C824CB" w:rsidRDefault="00D429F4" w:rsidP="00D429F4">
      <w:pPr>
        <w:spacing w:line="480" w:lineRule="auto"/>
        <w:jc w:val="both"/>
        <w:rPr>
          <w:rFonts w:ascii="Arial" w:hAnsi="Arial" w:cs="Arial"/>
          <w:i/>
        </w:rPr>
      </w:pPr>
      <w:r w:rsidRPr="00C824CB">
        <w:rPr>
          <w:rFonts w:ascii="Arial" w:hAnsi="Arial" w:cs="Arial"/>
          <w:i/>
        </w:rPr>
        <w:t>Interpretation of the findings</w:t>
      </w:r>
    </w:p>
    <w:p w14:paraId="7FE891AF" w14:textId="535C69F1" w:rsidR="006E0612" w:rsidRPr="00C824CB" w:rsidRDefault="00262FC7" w:rsidP="00D429F4">
      <w:pPr>
        <w:spacing w:line="480" w:lineRule="auto"/>
        <w:jc w:val="both"/>
        <w:rPr>
          <w:rFonts w:ascii="Arial" w:hAnsi="Arial" w:cs="Arial"/>
        </w:rPr>
      </w:pPr>
      <w:r w:rsidRPr="00C824CB">
        <w:rPr>
          <w:rFonts w:ascii="Arial" w:hAnsi="Arial" w:cs="Arial"/>
        </w:rPr>
        <w:t>In line with</w:t>
      </w:r>
      <w:r w:rsidR="00D429F4" w:rsidRPr="00C824CB">
        <w:rPr>
          <w:rFonts w:ascii="Arial" w:hAnsi="Arial" w:cs="Arial"/>
        </w:rPr>
        <w:t xml:space="preserve"> previous studies </w:t>
      </w:r>
      <w:r w:rsidRPr="00C824CB">
        <w:rPr>
          <w:rFonts w:ascii="Arial" w:hAnsi="Arial" w:cs="Arial"/>
        </w:rPr>
        <w:t>showing</w:t>
      </w:r>
      <w:r w:rsidR="00D429F4" w:rsidRPr="00C824CB">
        <w:rPr>
          <w:rFonts w:ascii="Arial" w:hAnsi="Arial" w:cs="Arial"/>
        </w:rPr>
        <w:t xml:space="preserve"> that socioeconomic factors </w:t>
      </w:r>
      <w:r w:rsidR="00BB2249" w:rsidRPr="00C824CB">
        <w:rPr>
          <w:rFonts w:ascii="Arial" w:hAnsi="Arial" w:cs="Arial"/>
        </w:rPr>
        <w:t>are major mediators in the association between IQ and health</w:t>
      </w:r>
      <w:r w:rsidRPr="00C824CB">
        <w:rPr>
          <w:rFonts w:ascii="Arial" w:hAnsi="Arial" w:cs="Arial"/>
        </w:rPr>
        <w:t xml:space="preserve">, we observed that these factors explained a substantial share of the IQ-disability relationship. </w:t>
      </w:r>
      <w:r w:rsidR="00FC74BB" w:rsidRPr="00C824CB">
        <w:rPr>
          <w:rFonts w:ascii="Arial" w:hAnsi="Arial" w:cs="Arial"/>
        </w:rPr>
        <w:t xml:space="preserve">A meta-analysis of 16 studies found that a one SD </w:t>
      </w:r>
      <w:r w:rsidR="00F4186F" w:rsidRPr="00C824CB">
        <w:rPr>
          <w:rFonts w:ascii="Arial" w:hAnsi="Arial" w:cs="Arial"/>
        </w:rPr>
        <w:t>increase</w:t>
      </w:r>
      <w:r w:rsidR="00FC74BB" w:rsidRPr="00C824CB">
        <w:rPr>
          <w:rFonts w:ascii="Arial" w:hAnsi="Arial" w:cs="Arial"/>
        </w:rPr>
        <w:t xml:space="preserve"> </w:t>
      </w:r>
      <w:r w:rsidR="00F4186F" w:rsidRPr="00C824CB">
        <w:rPr>
          <w:rFonts w:ascii="Arial" w:hAnsi="Arial" w:cs="Arial"/>
        </w:rPr>
        <w:t xml:space="preserve">in cognitive test scores undertaken in youth led to a 24% lower risk of all-cause mortality later in life, and that controlling for adult socioeconomic status significantly attenuated the association </w:t>
      </w:r>
      <w:r w:rsidR="000A6E98" w:rsidRPr="00C824CB">
        <w:rPr>
          <w:rFonts w:ascii="Arial" w:hAnsi="Arial" w:cs="Arial"/>
        </w:rPr>
        <w:t xml:space="preserve">by </w:t>
      </w:r>
      <w:r w:rsidR="00F4186F" w:rsidRPr="00C824CB">
        <w:rPr>
          <w:rFonts w:ascii="Arial" w:hAnsi="Arial" w:cs="Arial"/>
        </w:rPr>
        <w:t xml:space="preserve">34% </w:t>
      </w:r>
      <w:r w:rsidR="00F4186F" w:rsidRPr="00C824CB">
        <w:rPr>
          <w:rFonts w:ascii="Arial" w:hAnsi="Arial" w:cs="Arial"/>
        </w:rPr>
        <w:fldChar w:fldCharType="begin"/>
      </w:r>
      <w:r w:rsidR="006B0C8A" w:rsidRPr="00C824CB">
        <w:rPr>
          <w:rFonts w:ascii="Arial" w:hAnsi="Arial" w:cs="Arial"/>
        </w:rPr>
        <w:instrText xml:space="preserve"> ADDIN ZOTERO_ITEM CSL_CITATION {"citationID":"4ByOvR1v","properties":{"formattedCitation":"[30]","plainCitation":"[30]","noteIndex":0},"citationItems":[{"id":988,"uris":["http://zotero.org/users/local/hhPVnw6l/items/F39IP5FJ"],"uri":["http://zotero.org/users/local/hhPVnw6l/items/F39IP5FJ"],"itemData":{"id":988,"type":"article-journal","title":"Intelligence in youth and all-cause-mortality: systematic review with meta-analysis","container-title":"International Journal of Epidemiology","page":"626-644","volume":"40","issue":"3","source":"PubMed Central","abstract":"Background A number of prospective cohort studies have examined the association between intelligence in childhood or youth and life expectancy in adulthood; however, the effect size of this association is yet to be quantified and previous reviews require updating., Methods The systematic review included an electronic search of EMBASE, MEDLINE and PSYCHINFO databases. This yielded 16 unrelated studies that met inclusion criteria, comprising 22 453 deaths among 1 107 022 participants. Heterogeneity was assessed, and fixed effects models were applied to the aggregate data. Publication bias was evaluated, and sensitivity analyses were conducted., Results A 1-standard deviation (SD) advantage in cognitive test scores was associated with a 24% (95% confidence interval 23–25) lower risk of death, during a 17- to 69-year follow-up. There was little evidence of publication bias (Egger’s intercept = 0.10, P = 0.81), and the intelligence–mortality association was similar for men and women. Adjustment for childhood socio-economic status (SES) in the nine studies containing these data had almost no impact on this relationship, suggesting that this is not a confounder of the intelligence–mortality association. Controlling for adult SES in five studies and for education in six studies attenuated the intelligence–mortality hazard ratios by 34 and 54%, respectively., Conclusions Future investigations should address the extent to which attenuation of the intelligence–mortality link by adult SES indicators is due to mediation, over-adjustment and/or confounding. The explanation(s) for association between higher early-life intelligence and lower risk of adult mortality require further elucidation.","DOI":"10.1093/ije/dyq190","ISSN":"0300-5771","note":"PMID: 21037248\nPMCID: PMC3147066","title-short":"Intelligence in youth and all-cause-mortality","journalAbbreviation":"Int J Epidemiol","author":[{"family":"Calvin","given":"Catherine M"},{"family":"Deary","given":"Ian J"},{"family":"Fenton","given":"Candida"},{"family":"Roberts","given":"Beverly A"},{"family":"Der","given":"Geoff"},{"family":"Leckenby","given":"Nicola"},{"family":"Batty","given":"G David"}],"issued":{"date-parts":[["2011",6]]}}}],"schema":"https://github.com/citation-style-language/schema/raw/master/csl-citation.json"} </w:instrText>
      </w:r>
      <w:r w:rsidR="00F4186F" w:rsidRPr="00C824CB">
        <w:rPr>
          <w:rFonts w:ascii="Arial" w:hAnsi="Arial" w:cs="Arial"/>
        </w:rPr>
        <w:fldChar w:fldCharType="separate"/>
      </w:r>
      <w:r w:rsidR="00F822BC" w:rsidRPr="00C824CB">
        <w:rPr>
          <w:rFonts w:ascii="Arial" w:hAnsi="Arial" w:cs="Arial"/>
          <w:noProof/>
        </w:rPr>
        <w:t>[30]</w:t>
      </w:r>
      <w:r w:rsidR="00F4186F" w:rsidRPr="00C824CB">
        <w:rPr>
          <w:rFonts w:ascii="Arial" w:hAnsi="Arial" w:cs="Arial"/>
        </w:rPr>
        <w:fldChar w:fldCharType="end"/>
      </w:r>
      <w:r w:rsidR="00F4186F" w:rsidRPr="00C824CB">
        <w:rPr>
          <w:rFonts w:ascii="Arial" w:hAnsi="Arial" w:cs="Arial"/>
        </w:rPr>
        <w:t>.</w:t>
      </w:r>
      <w:r w:rsidR="00C300CB" w:rsidRPr="00C824CB">
        <w:rPr>
          <w:rFonts w:ascii="Arial" w:hAnsi="Arial" w:cs="Arial"/>
        </w:rPr>
        <w:t xml:space="preserve"> </w:t>
      </w:r>
      <w:r w:rsidR="002323E7" w:rsidRPr="00C824CB">
        <w:rPr>
          <w:rFonts w:ascii="Arial" w:hAnsi="Arial" w:cs="Arial"/>
        </w:rPr>
        <w:t>A</w:t>
      </w:r>
      <w:r w:rsidR="00746DFB" w:rsidRPr="00C824CB">
        <w:rPr>
          <w:rFonts w:ascii="Arial" w:hAnsi="Arial" w:cs="Arial"/>
        </w:rPr>
        <w:t xml:space="preserve"> </w:t>
      </w:r>
      <w:r w:rsidR="009F364E" w:rsidRPr="00C824CB">
        <w:rPr>
          <w:rFonts w:ascii="Arial" w:hAnsi="Arial" w:cs="Arial"/>
        </w:rPr>
        <w:t xml:space="preserve">study conducted </w:t>
      </w:r>
      <w:r w:rsidR="002323E7" w:rsidRPr="00C824CB">
        <w:rPr>
          <w:rFonts w:ascii="Arial" w:hAnsi="Arial" w:cs="Arial"/>
        </w:rPr>
        <w:t>among</w:t>
      </w:r>
      <w:r w:rsidR="009F364E" w:rsidRPr="00C824CB">
        <w:rPr>
          <w:rFonts w:ascii="Arial" w:hAnsi="Arial" w:cs="Arial"/>
        </w:rPr>
        <w:t xml:space="preserve"> more than 700 individuals from Luxembourg </w:t>
      </w:r>
      <w:r w:rsidR="008E6243" w:rsidRPr="00C824CB">
        <w:rPr>
          <w:rFonts w:ascii="Arial" w:hAnsi="Arial" w:cs="Arial"/>
        </w:rPr>
        <w:t xml:space="preserve">further </w:t>
      </w:r>
      <w:r w:rsidR="009F364E" w:rsidRPr="00C824CB">
        <w:rPr>
          <w:rFonts w:ascii="Arial" w:hAnsi="Arial" w:cs="Arial"/>
        </w:rPr>
        <w:t xml:space="preserve">revealed that childhood intelligence positively predicted functional, subjective and physical health </w:t>
      </w:r>
      <w:r w:rsidR="009F364E" w:rsidRPr="00C824CB">
        <w:rPr>
          <w:rFonts w:ascii="Arial" w:hAnsi="Arial" w:cs="Arial"/>
        </w:rPr>
        <w:lastRenderedPageBreak/>
        <w:t>in adulthood, and that this association was entirely mediated by socioeconomic status</w:t>
      </w:r>
      <w:r w:rsidR="00A33ED6" w:rsidRPr="00C824CB">
        <w:rPr>
          <w:rFonts w:ascii="Arial" w:hAnsi="Arial" w:cs="Arial"/>
        </w:rPr>
        <w:t xml:space="preserve"> and education</w:t>
      </w:r>
      <w:r w:rsidR="009F364E" w:rsidRPr="00C824CB">
        <w:rPr>
          <w:rFonts w:ascii="Arial" w:hAnsi="Arial" w:cs="Arial"/>
        </w:rPr>
        <w:t xml:space="preserve"> </w:t>
      </w:r>
      <w:r w:rsidR="009F364E" w:rsidRPr="00C824CB">
        <w:rPr>
          <w:rFonts w:ascii="Arial" w:hAnsi="Arial" w:cs="Arial"/>
        </w:rPr>
        <w:fldChar w:fldCharType="begin"/>
      </w:r>
      <w:r w:rsidR="006B0C8A" w:rsidRPr="00C824CB">
        <w:rPr>
          <w:rFonts w:ascii="Arial" w:hAnsi="Arial" w:cs="Arial"/>
        </w:rPr>
        <w:instrText xml:space="preserve"> ADDIN ZOTERO_ITEM CSL_CITATION {"citationID":"MbbFCqeR","properties":{"formattedCitation":"[31]","plainCitation":"[31]","noteIndex":0},"citationItems":[{"id":986,"uris":["http://zotero.org/users/local/hhPVnw6l/items/3JUCKJLP"],"uri":["http://zotero.org/users/local/hhPVnw6l/items/3JUCKJLP"],"itemData":{"id":986,"type":"article-journal","title":"Childhood intelligence and adult health: The mediating roles of education and socioeconomic status","container-title":"Intelligence","page":"490-500","volume":"41","issue":"5","source":"ScienceDirect","abstract":"The longitudinal relation between childhood intelligence and various health outcomes in adulthood is now well-established. One mediational model that accounts for this relation proposes that intelligence has cumulative indirect effects on adult health via subsequent educational attainment and adult socioeconomic status (SES). The aim of the present study was to examine whether and the extent to which educational attainment and SES mediate the impact of childhood intelligence on three dimensions of adult health in Luxembourg, a country with high-quality universal public health care. We used data from 745 participants in the Luxembourgish MAGRIP study. At the age of 12, participants completed a comprehensive intelligence test. At the age of 52, they reported their educational careers, SES, and functional, subjective, and physical health status. Using structural equation modeling, we investigated the direct and indirect effects (via educational attainment and adult SES) of childhood intelligence on adult health. We found that higher childhood intelligence predicted better functional, subjective, and physical health in adulthood. These effects were entirely mediated via educational attainment and SES. The mediational processes differed depending on the health dimension under investigation: Whereas SES was crucial in mediating the effect of intelligence on functional and subjective health, educational attainment was crucial in mediating the effect on physical health. These findings held up when considering adult intelligence and were similar for women and men. Our results suggest that even excellent public health care cannot fully offset the cumulative effects of childhood intelligence on adult health. Further studies are needed to investigate the relative importance of different mediators in the intelligence–health relation while including a broader set of objective health measures.","DOI":"10.1016/j.intell.2013.06.015","ISSN":"0160-2896","title-short":"Childhood intelligence and adult health","journalAbbreviation":"Intelligence","author":[{"family":"Wrulich","given":"Marius"},{"family":"Brunner","given":"Martin"},{"family":"Stadler","given":"Gertraud"},{"family":"Schalke","given":"Daniela"},{"family":"Keller","given":"Ulrich"},{"family":"Chmiel","given":"Magda"},{"family":"Martin","given":"Romain"}],"issued":{"date-parts":[["2013",9,1]]}}}],"schema":"https://github.com/citation-style-language/schema/raw/master/csl-citation.json"} </w:instrText>
      </w:r>
      <w:r w:rsidR="009F364E" w:rsidRPr="00C824CB">
        <w:rPr>
          <w:rFonts w:ascii="Arial" w:hAnsi="Arial" w:cs="Arial"/>
        </w:rPr>
        <w:fldChar w:fldCharType="separate"/>
      </w:r>
      <w:r w:rsidR="00F822BC" w:rsidRPr="00C824CB">
        <w:rPr>
          <w:rFonts w:ascii="Arial" w:hAnsi="Arial" w:cs="Arial"/>
          <w:noProof/>
        </w:rPr>
        <w:t>[31]</w:t>
      </w:r>
      <w:r w:rsidR="009F364E" w:rsidRPr="00C824CB">
        <w:rPr>
          <w:rFonts w:ascii="Arial" w:hAnsi="Arial" w:cs="Arial"/>
        </w:rPr>
        <w:fldChar w:fldCharType="end"/>
      </w:r>
      <w:r w:rsidR="009F364E" w:rsidRPr="00C824CB">
        <w:rPr>
          <w:rFonts w:ascii="Arial" w:hAnsi="Arial" w:cs="Arial"/>
        </w:rPr>
        <w:t>.</w:t>
      </w:r>
      <w:r w:rsidR="00C8350A" w:rsidRPr="00C824CB">
        <w:rPr>
          <w:rFonts w:ascii="Arial" w:hAnsi="Arial" w:cs="Arial"/>
        </w:rPr>
        <w:t xml:space="preserve"> Finally, it was reported in an UK cohort of more than 17,000 participants </w:t>
      </w:r>
      <w:r w:rsidR="002A363E" w:rsidRPr="00C824CB">
        <w:rPr>
          <w:rFonts w:ascii="Arial" w:hAnsi="Arial" w:cs="Arial"/>
        </w:rPr>
        <w:t xml:space="preserve">followed for several decades </w:t>
      </w:r>
      <w:r w:rsidR="00C8350A" w:rsidRPr="00C824CB">
        <w:rPr>
          <w:rFonts w:ascii="Arial" w:hAnsi="Arial" w:cs="Arial"/>
        </w:rPr>
        <w:t xml:space="preserve">that </w:t>
      </w:r>
      <w:r w:rsidR="002A363E" w:rsidRPr="00C824CB">
        <w:rPr>
          <w:rFonts w:ascii="Arial" w:hAnsi="Arial" w:cs="Arial"/>
        </w:rPr>
        <w:t xml:space="preserve">the </w:t>
      </w:r>
      <w:r w:rsidR="00C8350A" w:rsidRPr="00C824CB">
        <w:rPr>
          <w:rFonts w:ascii="Arial" w:hAnsi="Arial" w:cs="Arial"/>
        </w:rPr>
        <w:t xml:space="preserve">adjustment for markers of socioeconomic position reduced the strength of the association between </w:t>
      </w:r>
      <w:r w:rsidR="00C94B8A" w:rsidRPr="00C824CB">
        <w:rPr>
          <w:rFonts w:ascii="Arial" w:hAnsi="Arial" w:cs="Arial"/>
        </w:rPr>
        <w:t xml:space="preserve">high </w:t>
      </w:r>
      <w:r w:rsidR="00C8350A" w:rsidRPr="00C824CB">
        <w:rPr>
          <w:rFonts w:ascii="Arial" w:hAnsi="Arial" w:cs="Arial"/>
        </w:rPr>
        <w:t>cognitive ability</w:t>
      </w:r>
      <w:r w:rsidR="00C94B8A" w:rsidRPr="00C824CB">
        <w:rPr>
          <w:rFonts w:ascii="Arial" w:hAnsi="Arial" w:cs="Arial"/>
        </w:rPr>
        <w:t xml:space="preserve"> in childhood</w:t>
      </w:r>
      <w:r w:rsidR="00C8350A" w:rsidRPr="00C824CB">
        <w:rPr>
          <w:rFonts w:ascii="Arial" w:hAnsi="Arial" w:cs="Arial"/>
        </w:rPr>
        <w:t xml:space="preserve"> and </w:t>
      </w:r>
      <w:r w:rsidR="00C94B8A" w:rsidRPr="00C824CB">
        <w:rPr>
          <w:rFonts w:ascii="Arial" w:hAnsi="Arial" w:cs="Arial"/>
        </w:rPr>
        <w:t>healthy</w:t>
      </w:r>
      <w:r w:rsidR="00C8350A" w:rsidRPr="00C824CB">
        <w:rPr>
          <w:rFonts w:ascii="Arial" w:hAnsi="Arial" w:cs="Arial"/>
        </w:rPr>
        <w:t xml:space="preserve"> diet</w:t>
      </w:r>
      <w:r w:rsidR="00C94B8A" w:rsidRPr="00C824CB">
        <w:rPr>
          <w:rFonts w:ascii="Arial" w:hAnsi="Arial" w:cs="Arial"/>
        </w:rPr>
        <w:t xml:space="preserve"> in adulthood</w:t>
      </w:r>
      <w:r w:rsidR="00C8350A" w:rsidRPr="00C824CB">
        <w:rPr>
          <w:rFonts w:ascii="Arial" w:hAnsi="Arial" w:cs="Arial"/>
        </w:rPr>
        <w:t xml:space="preserve"> </w:t>
      </w:r>
      <w:r w:rsidR="00C8350A" w:rsidRPr="00C824CB">
        <w:rPr>
          <w:rFonts w:ascii="Arial" w:hAnsi="Arial" w:cs="Arial"/>
        </w:rPr>
        <w:fldChar w:fldCharType="begin"/>
      </w:r>
      <w:r w:rsidR="006B0C8A" w:rsidRPr="00C824CB">
        <w:rPr>
          <w:rFonts w:ascii="Arial" w:hAnsi="Arial" w:cs="Arial"/>
        </w:rPr>
        <w:instrText xml:space="preserve"> ADDIN ZOTERO_ITEM CSL_CITATION {"citationID":"rTd9RpKE","properties":{"formattedCitation":"[32]","plainCitation":"[32]","noteIndex":0},"citationItems":[{"id":376,"uris":["http://zotero.org/users/local/hhPVnw6l/items/9VWRIB2X"],"uri":["http://zotero.org/users/local/hhPVnw6l/items/9VWRIB2X"],"itemData":{"id":376,"type":"article-journal","title":"Childhood mental ability in relation to food intake and physical activity in adulthood: the 1970 British Cohort Study","container-title":"Pediatrics","page":"e38-45","volume":"119","issue":"1","source":"PubMed","abstract":"OBJECTIVE: The purpose of this work was to examine the relation of scores on tests of mental ability in childhood with food consumption and physical activity in adulthood.\nMETHODS: Based on a cohort of &gt;17,000 individuals born in Great Britain in 1970, 8282 had complete data for mental ability scores at 10 years of age and reported their food intake and physical activity patterns at 30 years of age.\nRESULTS: Children with higher mental ability scores reported significantly more frequent consumption of fruit, vegetables (cooked and raw), wholemeal bread, poultry, fish, and foods fried in vegetable oil in adulthood. They were also more likely to have a lower intake of chips (French fries), nonwholemeal bread, and cakes and biscuits. There was some attenuation in these associations after adjustment for markers of socioeconomic position across the life course, which included educational attainment, with statistical significance lost in some analyses. Higher mental ability was positively associated with exercise habit, in particular, intense activity (defined by being out of breath/sweaty). The associations between mental ability and these behaviors were similar in both men and women, and they were somewhat stronger for verbal than nonverbal ability.\nCONCLUSIONS: It is plausible that the skills captured by IQ tests, such as the ability to comprehend and reason, may be important in the successful management of a person's health behaviors.","DOI":"10.1542/peds.2006-1831","ISSN":"1098-4275","note":"PMID: 17200256","title-short":"Childhood mental ability in relation to food intake and physical activity in adulthood","journalAbbreviation":"Pediatrics","language":"eng","author":[{"family":"Batty","given":"G. David"},{"family":"Deary","given":"Ian J."},{"family":"Schoon","given":"Ingrid"},{"family":"Gale","given":"Catharine R."}],"issued":{"date-parts":[["2007",1]]}}}],"schema":"https://github.com/citation-style-language/schema/raw/master/csl-citation.json"} </w:instrText>
      </w:r>
      <w:r w:rsidR="00C8350A" w:rsidRPr="00C824CB">
        <w:rPr>
          <w:rFonts w:ascii="Arial" w:hAnsi="Arial" w:cs="Arial"/>
        </w:rPr>
        <w:fldChar w:fldCharType="separate"/>
      </w:r>
      <w:r w:rsidR="00F822BC" w:rsidRPr="00C824CB">
        <w:rPr>
          <w:rFonts w:ascii="Arial" w:hAnsi="Arial" w:cs="Arial"/>
          <w:noProof/>
        </w:rPr>
        <w:t>[32]</w:t>
      </w:r>
      <w:r w:rsidR="00C8350A" w:rsidRPr="00C824CB">
        <w:rPr>
          <w:rFonts w:ascii="Arial" w:hAnsi="Arial" w:cs="Arial"/>
        </w:rPr>
        <w:fldChar w:fldCharType="end"/>
      </w:r>
      <w:r w:rsidR="00C8350A" w:rsidRPr="00C824CB">
        <w:rPr>
          <w:rFonts w:ascii="Arial" w:hAnsi="Arial" w:cs="Arial"/>
        </w:rPr>
        <w:t>.</w:t>
      </w:r>
      <w:r w:rsidR="00B67BE9" w:rsidRPr="00C824CB">
        <w:rPr>
          <w:rFonts w:ascii="Arial" w:hAnsi="Arial" w:cs="Arial"/>
        </w:rPr>
        <w:t xml:space="preserve"> </w:t>
      </w:r>
    </w:p>
    <w:p w14:paraId="17D830E0" w14:textId="075F28A4" w:rsidR="006E0612" w:rsidRPr="00C824CB" w:rsidRDefault="006E0612" w:rsidP="00D429F4">
      <w:pPr>
        <w:spacing w:line="480" w:lineRule="auto"/>
        <w:jc w:val="both"/>
        <w:rPr>
          <w:rFonts w:ascii="Arial" w:hAnsi="Arial" w:cs="Arial"/>
        </w:rPr>
      </w:pPr>
    </w:p>
    <w:p w14:paraId="4E808F2C" w14:textId="77777777" w:rsidR="00BF6AE9" w:rsidRPr="00C824CB" w:rsidRDefault="007536F6" w:rsidP="00D429F4">
      <w:pPr>
        <w:spacing w:line="480" w:lineRule="auto"/>
        <w:jc w:val="both"/>
        <w:rPr>
          <w:rFonts w:ascii="Arial" w:hAnsi="Arial" w:cs="Arial"/>
        </w:rPr>
      </w:pPr>
      <w:r w:rsidRPr="00C824CB">
        <w:rPr>
          <w:rFonts w:ascii="Arial" w:hAnsi="Arial" w:cs="Arial"/>
        </w:rPr>
        <w:t xml:space="preserve">Low IQ may have a substantial impact on several socioeconomic </w:t>
      </w:r>
      <w:r w:rsidR="00E57585" w:rsidRPr="00C824CB">
        <w:rPr>
          <w:rFonts w:ascii="Arial" w:hAnsi="Arial" w:cs="Arial"/>
        </w:rPr>
        <w:t>factors</w:t>
      </w:r>
      <w:r w:rsidRPr="00C824CB">
        <w:rPr>
          <w:rFonts w:ascii="Arial" w:hAnsi="Arial" w:cs="Arial"/>
        </w:rPr>
        <w:t xml:space="preserve">. </w:t>
      </w:r>
      <w:r w:rsidR="00943766" w:rsidRPr="00C824CB">
        <w:rPr>
          <w:rFonts w:ascii="Arial" w:hAnsi="Arial" w:cs="Arial"/>
        </w:rPr>
        <w:t>Previous</w:t>
      </w:r>
      <w:r w:rsidR="00F822BC" w:rsidRPr="00C824CB">
        <w:rPr>
          <w:rFonts w:ascii="Arial" w:hAnsi="Arial" w:cs="Arial"/>
        </w:rPr>
        <w:t xml:space="preserve"> research </w:t>
      </w:r>
      <w:r w:rsidR="003054CD" w:rsidRPr="00C824CB">
        <w:rPr>
          <w:rFonts w:ascii="Arial" w:hAnsi="Arial" w:cs="Arial"/>
        </w:rPr>
        <w:t>showed</w:t>
      </w:r>
      <w:r w:rsidR="00F822BC" w:rsidRPr="00C824CB">
        <w:rPr>
          <w:rFonts w:ascii="Arial" w:hAnsi="Arial" w:cs="Arial"/>
        </w:rPr>
        <w:t xml:space="preserve"> that cognitive ability at age 11 </w:t>
      </w:r>
      <w:r w:rsidR="00687D66" w:rsidRPr="00C824CB">
        <w:rPr>
          <w:rFonts w:ascii="Arial" w:hAnsi="Arial" w:cs="Arial"/>
        </w:rPr>
        <w:t xml:space="preserve">was </w:t>
      </w:r>
      <w:r w:rsidR="00F822BC" w:rsidRPr="00C824CB">
        <w:rPr>
          <w:rFonts w:ascii="Arial" w:hAnsi="Arial" w:cs="Arial"/>
        </w:rPr>
        <w:t>correlated with educational achievement at age 16</w:t>
      </w:r>
      <w:r w:rsidR="00863EF6" w:rsidRPr="00C824CB">
        <w:rPr>
          <w:rFonts w:ascii="Arial" w:hAnsi="Arial" w:cs="Arial"/>
        </w:rPr>
        <w:t>, and accounted variances ranged from 58.6% in Mathematics to 18</w:t>
      </w:r>
      <w:r w:rsidR="00B21625" w:rsidRPr="00C824CB">
        <w:rPr>
          <w:rFonts w:ascii="Arial" w:hAnsi="Arial" w:cs="Arial"/>
        </w:rPr>
        <w:t>.1</w:t>
      </w:r>
      <w:r w:rsidR="00863EF6" w:rsidRPr="00C824CB">
        <w:rPr>
          <w:rFonts w:ascii="Arial" w:hAnsi="Arial" w:cs="Arial"/>
        </w:rPr>
        <w:t>% in Art and Design</w:t>
      </w:r>
      <w:r w:rsidRPr="00C824CB">
        <w:rPr>
          <w:rFonts w:ascii="Arial" w:hAnsi="Arial" w:cs="Arial"/>
        </w:rPr>
        <w:t xml:space="preserve"> </w:t>
      </w:r>
      <w:r w:rsidR="00F822BC" w:rsidRPr="00C824CB">
        <w:rPr>
          <w:rFonts w:ascii="Arial" w:hAnsi="Arial" w:cs="Arial"/>
        </w:rPr>
        <w:fldChar w:fldCharType="begin"/>
      </w:r>
      <w:r w:rsidR="00F822BC" w:rsidRPr="00C824CB">
        <w:rPr>
          <w:rFonts w:ascii="Arial" w:hAnsi="Arial" w:cs="Arial"/>
        </w:rPr>
        <w:instrText xml:space="preserve"> ADDIN ZOTERO_ITEM CSL_CITATION {"citationID":"4ksZbmVW","properties":{"formattedCitation":"[13]","plainCitation":"[13]","noteIndex":0},"citationItems":[{"id":979,"uris":["http://zotero.org/users/local/hhPVnw6l/items/RTV7ZG9F"],"uri":["http://zotero.org/users/local/hhPVnw6l/items/RTV7ZG9F"],"itemData":{"id":979,"type":"article-journal","title":"Intelligence and educational achievement","container-title":"Intelligence","page":"13-21","volume":"35","issue":"1","source":"ScienceDirect","abstract":"This 5-year prospective longitudinal study of 70,000+ English children examined the association between psychometric intelligence at age 11 years and educational achievement in national examinations in 25 academic subjects at age 16. The correlation between a latent intelligence trait (Spearman's g from CAT2E) and a latent trait of educational achievement (GCSE scores) was 0.81. General intelligence contributed to success on all 25 subjects. Variance accounted for ranged from 58.6% in Mathematics and 48% in English to 18.1% in Art and Design. Girls showed no advantage in g, but performed significantly better on all subjects except Physics. This was not due to their better verbal ability. At age 16, obtaining five or more GCSEs at grades A</w:instrText>
      </w:r>
      <w:r w:rsidR="00F822BC" w:rsidRPr="00C824CB">
        <w:rPr>
          <w:rFonts w:ascii="Segoe UI Symbol" w:hAnsi="Segoe UI Symbol" w:cs="Segoe UI Symbol"/>
        </w:rPr>
        <w:instrText>⁎</w:instrText>
      </w:r>
      <w:r w:rsidR="00F822BC" w:rsidRPr="00C824CB">
        <w:rPr>
          <w:rFonts w:ascii="Arial" w:hAnsi="Arial" w:cs="Arial"/>
        </w:rPr>
        <w:instrText xml:space="preserve">–C is an important criterion. 61% of girls and 50% of boys achieved this. For those at the mean level of g at age 11, 58% achieved this; a standard deviation increase or decrease in g altered the values to 91% and 16%, respectively.","DOI":"10.1016/j.intell.2006.02.001","ISSN":"0160-2896","journalAbbreviation":"Intelligence","author":[{"family":"Deary","given":"Ian J."},{"family":"Strand","given":"Steve"},{"family":"Smith","given":"Pauline"},{"family":"Fernandes","given":"Cres"}],"issued":{"date-parts":[["2007",1,1]]}}}],"schema":"https://github.com/citation-style-language/schema/raw/master/csl-citation.json"} </w:instrText>
      </w:r>
      <w:r w:rsidR="00F822BC" w:rsidRPr="00C824CB">
        <w:rPr>
          <w:rFonts w:ascii="Arial" w:hAnsi="Arial" w:cs="Arial"/>
        </w:rPr>
        <w:fldChar w:fldCharType="separate"/>
      </w:r>
      <w:r w:rsidR="00F822BC" w:rsidRPr="00C824CB">
        <w:rPr>
          <w:rFonts w:ascii="Arial" w:hAnsi="Arial" w:cs="Arial"/>
          <w:noProof/>
        </w:rPr>
        <w:t>[13]</w:t>
      </w:r>
      <w:r w:rsidR="00F822BC" w:rsidRPr="00C824CB">
        <w:rPr>
          <w:rFonts w:ascii="Arial" w:hAnsi="Arial" w:cs="Arial"/>
        </w:rPr>
        <w:fldChar w:fldCharType="end"/>
      </w:r>
      <w:r w:rsidR="00F822BC" w:rsidRPr="00C824CB">
        <w:rPr>
          <w:rFonts w:ascii="Arial" w:hAnsi="Arial" w:cs="Arial"/>
        </w:rPr>
        <w:t>.</w:t>
      </w:r>
      <w:r w:rsidR="003054CD" w:rsidRPr="00C824CB">
        <w:rPr>
          <w:rFonts w:ascii="Arial" w:hAnsi="Arial" w:cs="Arial"/>
        </w:rPr>
        <w:t xml:space="preserve"> IQ </w:t>
      </w:r>
      <w:r w:rsidR="00CB7DF2" w:rsidRPr="00C824CB">
        <w:rPr>
          <w:rFonts w:ascii="Arial" w:hAnsi="Arial" w:cs="Arial"/>
        </w:rPr>
        <w:t xml:space="preserve">at age 12 </w:t>
      </w:r>
      <w:r w:rsidR="003054CD" w:rsidRPr="00C824CB">
        <w:rPr>
          <w:rFonts w:ascii="Arial" w:hAnsi="Arial" w:cs="Arial"/>
        </w:rPr>
        <w:t xml:space="preserve">was further found to </w:t>
      </w:r>
      <w:r w:rsidR="00214E8C" w:rsidRPr="00C824CB">
        <w:rPr>
          <w:rFonts w:ascii="Arial" w:hAnsi="Arial" w:cs="Arial"/>
        </w:rPr>
        <w:t>have significant effects on occupational status and individual income</w:t>
      </w:r>
      <w:r w:rsidR="00CB7DF2" w:rsidRPr="00C824CB">
        <w:rPr>
          <w:rFonts w:ascii="Arial" w:hAnsi="Arial" w:cs="Arial"/>
        </w:rPr>
        <w:t xml:space="preserve"> 40 years later</w:t>
      </w:r>
      <w:r w:rsidR="00214E8C" w:rsidRPr="00C824CB">
        <w:rPr>
          <w:rFonts w:ascii="Arial" w:hAnsi="Arial" w:cs="Arial"/>
        </w:rPr>
        <w:t xml:space="preserve">, and between 32% and 48% of this association was mediated by education </w:t>
      </w:r>
      <w:r w:rsidR="00214E8C" w:rsidRPr="00C824CB">
        <w:rPr>
          <w:rFonts w:ascii="Arial" w:hAnsi="Arial" w:cs="Arial"/>
        </w:rPr>
        <w:fldChar w:fldCharType="begin"/>
      </w:r>
      <w:r w:rsidR="00214E8C" w:rsidRPr="00C824CB">
        <w:rPr>
          <w:rFonts w:ascii="Arial" w:hAnsi="Arial" w:cs="Arial"/>
        </w:rPr>
        <w:instrText xml:space="preserve"> ADDIN ZOTERO_ITEM CSL_CITATION {"citationID":"iWWZ5pcs","properties":{"formattedCitation":"[33]","plainCitation":"[33]","noteIndex":0},"citationItems":[{"id":1009,"uris":["http://zotero.org/users/local/hhPVnw6l/items/A79RX9VE"],"uri":["http://zotero.org/users/local/hhPVnw6l/items/A79RX9VE"],"itemData":{"id":1009,"type":"article-journal","title":"Student characteristics and behaviors at age 12 predict occupational success 40 years later over and above childhood IQ and parental socioeconomic status","container-title":"Developmental Psychology","page":"1329-1340","volume":"51","issue":"9","source":"PubMed","abstract":"Drawing on a 2-wave longitudinal sample spanning 40 years from childhood (age 12) to middle adulthood (age 52), the present study was designed to examine how student characteristics and behaviors in late childhood (assessed in Wave 1 in 1968) predict career success in adulthood (assessed in Wave 2 in 2008). We examined the influence of parental socioeconomic status (SES), childhood intelligence, and student characteristics and behaviors (inattentiveness, school entitlement, responsible student, sense of inferiority, impatience, pessimism, rule breaking and defiance of parental authority, and teacher-rated studiousness) on 2 important real-life outcomes (i.e., occupational success and income). The longitudinal sample consisted of N = 745 persons who participated in 1968 (M = 11.9 years, SD = 0.6; 49.9% female) and 2008 (M = 51.8 years, SD = 0.6; 53.3% female). Regression analyses and path analyses were conducted to evaluate the direct and indirect effects (via education) of the predictors on career success. The results revealed direct and indirect influences of student characteristics (responsible student, rule breaking and defiance of parental authority, and teacher-rated studiousness) across the life span on career success after adjusting for differences in parental SES and IQ at age 12. rd","DOI":"10.1037/dev0000025","ISSN":"1939-0599","note":"PMID: 26147775","journalAbbreviation":"Dev Psychol","language":"eng","author":[{"family":"Spengler","given":"Marion"},{"family":"Brunner","given":"Martin"},{"family":"Damian","given":"Rodica I."},{"family":"Lüdtke","given":"Oliver"},{"family":"Martin","given":"Romain"},{"family":"Roberts","given":"Brent W."}],"issued":{"date-parts":[["2015",9]]}}}],"schema":"https://github.com/citation-style-language/schema/raw/master/csl-citation.json"} </w:instrText>
      </w:r>
      <w:r w:rsidR="00214E8C" w:rsidRPr="00C824CB">
        <w:rPr>
          <w:rFonts w:ascii="Arial" w:hAnsi="Arial" w:cs="Arial"/>
        </w:rPr>
        <w:fldChar w:fldCharType="separate"/>
      </w:r>
      <w:r w:rsidR="00214E8C" w:rsidRPr="00C824CB">
        <w:rPr>
          <w:rFonts w:ascii="Arial" w:hAnsi="Arial" w:cs="Arial"/>
          <w:noProof/>
        </w:rPr>
        <w:t>[33]</w:t>
      </w:r>
      <w:r w:rsidR="00214E8C" w:rsidRPr="00C824CB">
        <w:rPr>
          <w:rFonts w:ascii="Arial" w:hAnsi="Arial" w:cs="Arial"/>
        </w:rPr>
        <w:fldChar w:fldCharType="end"/>
      </w:r>
      <w:r w:rsidR="00214E8C" w:rsidRPr="00C824CB">
        <w:rPr>
          <w:rFonts w:ascii="Arial" w:hAnsi="Arial" w:cs="Arial"/>
        </w:rPr>
        <w:t>.</w:t>
      </w:r>
      <w:r w:rsidR="00972F69" w:rsidRPr="00C824CB">
        <w:rPr>
          <w:rFonts w:ascii="Arial" w:hAnsi="Arial" w:cs="Arial"/>
        </w:rPr>
        <w:t xml:space="preserve"> Moreover, </w:t>
      </w:r>
      <w:r w:rsidR="00815859" w:rsidRPr="00C824CB">
        <w:rPr>
          <w:rFonts w:ascii="Arial" w:hAnsi="Arial" w:cs="Arial"/>
        </w:rPr>
        <w:t xml:space="preserve">in </w:t>
      </w:r>
      <w:r w:rsidR="00972F69" w:rsidRPr="00C824CB">
        <w:rPr>
          <w:rFonts w:ascii="Arial" w:hAnsi="Arial" w:cs="Arial"/>
        </w:rPr>
        <w:t xml:space="preserve">a </w:t>
      </w:r>
      <w:r w:rsidR="004C2521" w:rsidRPr="00C824CB">
        <w:rPr>
          <w:rFonts w:ascii="Arial" w:hAnsi="Arial" w:cs="Arial"/>
        </w:rPr>
        <w:t xml:space="preserve">large </w:t>
      </w:r>
      <w:r w:rsidR="00972F69" w:rsidRPr="00C824CB">
        <w:rPr>
          <w:rFonts w:ascii="Arial" w:hAnsi="Arial" w:cs="Arial"/>
        </w:rPr>
        <w:t>cohort of Norwegian men</w:t>
      </w:r>
      <w:r w:rsidR="00EF56FB" w:rsidRPr="00C824CB">
        <w:rPr>
          <w:rFonts w:ascii="Arial" w:hAnsi="Arial" w:cs="Arial"/>
        </w:rPr>
        <w:t>,</w:t>
      </w:r>
      <w:r w:rsidR="00972F69" w:rsidRPr="00C824CB">
        <w:rPr>
          <w:rFonts w:ascii="Arial" w:hAnsi="Arial" w:cs="Arial"/>
        </w:rPr>
        <w:t xml:space="preserve"> those with low IQ (below 85) were </w:t>
      </w:r>
      <w:r w:rsidR="00E26492" w:rsidRPr="00C824CB">
        <w:rPr>
          <w:rFonts w:ascii="Arial" w:hAnsi="Arial" w:cs="Arial"/>
        </w:rPr>
        <w:t>found to have</w:t>
      </w:r>
      <w:r w:rsidR="00972F69" w:rsidRPr="00C824CB">
        <w:rPr>
          <w:rFonts w:ascii="Arial" w:hAnsi="Arial" w:cs="Arial"/>
        </w:rPr>
        <w:t xml:space="preserve"> a 4.1-fold increase</w:t>
      </w:r>
      <w:r w:rsidR="009679DD" w:rsidRPr="00C824CB">
        <w:rPr>
          <w:rFonts w:ascii="Arial" w:hAnsi="Arial" w:cs="Arial"/>
        </w:rPr>
        <w:t>d</w:t>
      </w:r>
      <w:r w:rsidR="00972F69" w:rsidRPr="00C824CB">
        <w:rPr>
          <w:rFonts w:ascii="Arial" w:hAnsi="Arial" w:cs="Arial"/>
        </w:rPr>
        <w:t xml:space="preserve"> risk for drop</w:t>
      </w:r>
      <w:r w:rsidR="00F71A37" w:rsidRPr="00C824CB">
        <w:rPr>
          <w:rFonts w:ascii="Arial" w:hAnsi="Arial" w:cs="Arial"/>
        </w:rPr>
        <w:t>ping</w:t>
      </w:r>
      <w:r w:rsidR="00972F69" w:rsidRPr="00C824CB">
        <w:rPr>
          <w:rFonts w:ascii="Arial" w:hAnsi="Arial" w:cs="Arial"/>
        </w:rPr>
        <w:t xml:space="preserve"> out </w:t>
      </w:r>
      <w:r w:rsidR="00F71A37" w:rsidRPr="00C824CB">
        <w:rPr>
          <w:rFonts w:ascii="Arial" w:hAnsi="Arial" w:cs="Arial"/>
        </w:rPr>
        <w:t xml:space="preserve">of work </w:t>
      </w:r>
      <w:r w:rsidR="00FE48FD" w:rsidRPr="00C824CB">
        <w:rPr>
          <w:rFonts w:ascii="Arial" w:hAnsi="Arial" w:cs="Arial"/>
        </w:rPr>
        <w:t>before the age of 35</w:t>
      </w:r>
      <w:r w:rsidR="00682897" w:rsidRPr="00C824CB">
        <w:rPr>
          <w:rFonts w:ascii="Arial" w:hAnsi="Arial" w:cs="Arial"/>
        </w:rPr>
        <w:t>, and this risk was</w:t>
      </w:r>
      <w:r w:rsidR="00595010" w:rsidRPr="00C824CB">
        <w:rPr>
          <w:rFonts w:ascii="Arial" w:hAnsi="Arial" w:cs="Arial"/>
        </w:rPr>
        <w:t xml:space="preserve"> multiplied by three in the presence of mental health problems</w:t>
      </w:r>
      <w:r w:rsidR="00FE48FD" w:rsidRPr="00C824CB">
        <w:rPr>
          <w:rFonts w:ascii="Arial" w:hAnsi="Arial" w:cs="Arial"/>
        </w:rPr>
        <w:t xml:space="preserve"> </w:t>
      </w:r>
      <w:r w:rsidR="00FE48FD" w:rsidRPr="00C824CB">
        <w:rPr>
          <w:rFonts w:ascii="Arial" w:hAnsi="Arial" w:cs="Arial"/>
        </w:rPr>
        <w:fldChar w:fldCharType="begin"/>
      </w:r>
      <w:r w:rsidR="00FE48FD" w:rsidRPr="00C824CB">
        <w:rPr>
          <w:rFonts w:ascii="Arial" w:hAnsi="Arial" w:cs="Arial"/>
        </w:rPr>
        <w:instrText xml:space="preserve"> ADDIN ZOTERO_ITEM CSL_CITATION {"citationID":"LZ0j2N9x","properties":{"formattedCitation":"[34]","plainCitation":"[34]","noteIndex":0},"citationItems":[{"id":1011,"uris":["http://zotero.org/users/local/hhPVnw6l/items/GF4FCK2E"],"uri":["http://zotero.org/users/local/hhPVnw6l/items/GF4FCK2E"],"itemData":{"id":1011,"type":"article-journal","title":"IQ and mental health are vital predictors of work drop out and early mortality. Multi-state analyses of Norwegian male conscripts","container-title":"PloS One","page":"e0180737","volume":"12","issue":"7","source":"PubMed","abstract":"BACKGROUND: Disability benefits and sick leave benefits represents huge costs in western countries. The pathways and prognostic factors for receiving these benefits seen in recent years are complex and manifold. We postulate that mental health and IQ, both alone and concurrent, influence subsequent employment status, disability benefits and mortality.\nMETHODS: A cohort of 918 888 Norwegian men was followed for 16 years from the age of 20 to 55. Risk for health benefits, emigration, and mortality were studied. Indicators of mental health and IQ at military enrolment were used as potential risk factors. Multi-state models were used to analyze transitions between employment, sick leave, time limited benefits, disability benefits, emigration, and mortality.\nRESULTS: During follow up, there were a total of 3 908 397 transitions between employment and different health benefits, plus 12 607 deaths. Men with low IQ (below 85), without any mental health problems at military enrolment, had an increased probability of receiving disability benefits before the age of 35 (HRR = 4.06, 95% CI: 3.88-4.26) compared to men with average IQ (85 to 115) and no mental health problems. For men with both low IQ and mental health problems, there was an excessive probability of receiving disability benefits before the age of 35 (HRR = 14.37, 95% CI: 13.59-15.19), as well as an increased probability for time limited benefits and death before the age of 35 compared to men with average IQ (85 to 115) and no mental health problems.\nCONCLUSION: Low IQ and mental health problems are strong predictors of future disability benefits and early mortality for young men.","DOI":"10.1371/journal.pone.0180737","ISSN":"1932-6203","note":"PMID: 28683088\nPMCID: PMC5500358","journalAbbreviation":"PLoS ONE","language":"eng","author":[{"family":"Lie","given":"Stein Atle"},{"family":"Tveito","given":"Torill H."},{"family":"Reme","given":"Silje E."},{"family":"Eriksen","given":"Hege R."}],"issued":{"date-parts":[["2017"]]}}}],"schema":"https://github.com/citation-style-language/schema/raw/master/csl-citation.json"} </w:instrText>
      </w:r>
      <w:r w:rsidR="00FE48FD" w:rsidRPr="00C824CB">
        <w:rPr>
          <w:rFonts w:ascii="Arial" w:hAnsi="Arial" w:cs="Arial"/>
        </w:rPr>
        <w:fldChar w:fldCharType="separate"/>
      </w:r>
      <w:r w:rsidR="00FE48FD" w:rsidRPr="00C824CB">
        <w:rPr>
          <w:rFonts w:ascii="Arial" w:hAnsi="Arial" w:cs="Arial"/>
          <w:noProof/>
        </w:rPr>
        <w:t>[34]</w:t>
      </w:r>
      <w:r w:rsidR="00FE48FD" w:rsidRPr="00C824CB">
        <w:rPr>
          <w:rFonts w:ascii="Arial" w:hAnsi="Arial" w:cs="Arial"/>
        </w:rPr>
        <w:fldChar w:fldCharType="end"/>
      </w:r>
      <w:r w:rsidR="00FE48FD" w:rsidRPr="00C824CB">
        <w:rPr>
          <w:rFonts w:ascii="Arial" w:hAnsi="Arial" w:cs="Arial"/>
        </w:rPr>
        <w:t xml:space="preserve">. </w:t>
      </w:r>
      <w:r w:rsidR="00FE0C5E" w:rsidRPr="00C824CB">
        <w:rPr>
          <w:rFonts w:ascii="Arial" w:hAnsi="Arial" w:cs="Arial"/>
        </w:rPr>
        <w:t>In addition</w:t>
      </w:r>
      <w:r w:rsidR="00FE48FD" w:rsidRPr="00C824CB">
        <w:rPr>
          <w:rFonts w:ascii="Arial" w:hAnsi="Arial" w:cs="Arial"/>
        </w:rPr>
        <w:t xml:space="preserve">, </w:t>
      </w:r>
      <w:r w:rsidR="004C2521" w:rsidRPr="00C824CB">
        <w:rPr>
          <w:rFonts w:ascii="Arial" w:hAnsi="Arial" w:cs="Arial"/>
        </w:rPr>
        <w:t xml:space="preserve">a study conducted among older persons in China suggested that attending primary school protected against the transition from no disability to disability, and </w:t>
      </w:r>
      <w:r w:rsidR="00FF55F0" w:rsidRPr="00C824CB">
        <w:rPr>
          <w:rFonts w:ascii="Arial" w:hAnsi="Arial" w:cs="Arial"/>
        </w:rPr>
        <w:t xml:space="preserve">this relationship may </w:t>
      </w:r>
      <w:r w:rsidR="001854D8" w:rsidRPr="00C824CB">
        <w:rPr>
          <w:rFonts w:ascii="Arial" w:hAnsi="Arial" w:cs="Arial"/>
        </w:rPr>
        <w:t xml:space="preserve">have </w:t>
      </w:r>
      <w:r w:rsidR="00FF55F0" w:rsidRPr="00C824CB">
        <w:rPr>
          <w:rFonts w:ascii="Arial" w:hAnsi="Arial" w:cs="Arial"/>
        </w:rPr>
        <w:t>involve</w:t>
      </w:r>
      <w:r w:rsidR="001854D8" w:rsidRPr="00C824CB">
        <w:rPr>
          <w:rFonts w:ascii="Arial" w:hAnsi="Arial" w:cs="Arial"/>
        </w:rPr>
        <w:t>d</w:t>
      </w:r>
      <w:r w:rsidR="00FF55F0" w:rsidRPr="00C824CB">
        <w:rPr>
          <w:rFonts w:ascii="Arial" w:hAnsi="Arial" w:cs="Arial"/>
        </w:rPr>
        <w:t xml:space="preserve"> </w:t>
      </w:r>
      <w:r w:rsidR="00DD3E7C" w:rsidRPr="00C824CB">
        <w:rPr>
          <w:rFonts w:ascii="Arial" w:hAnsi="Arial" w:cs="Arial"/>
        </w:rPr>
        <w:t xml:space="preserve">a </w:t>
      </w:r>
      <w:r w:rsidR="00FF55F0" w:rsidRPr="00C824CB">
        <w:rPr>
          <w:rFonts w:ascii="Arial" w:hAnsi="Arial" w:cs="Arial"/>
        </w:rPr>
        <w:t xml:space="preserve">high level of leisure activities </w:t>
      </w:r>
      <w:r w:rsidR="00FF55F0" w:rsidRPr="00C824CB">
        <w:rPr>
          <w:rFonts w:ascii="Arial" w:hAnsi="Arial" w:cs="Arial"/>
        </w:rPr>
        <w:fldChar w:fldCharType="begin"/>
      </w:r>
      <w:r w:rsidR="00FF55F0" w:rsidRPr="00C824CB">
        <w:rPr>
          <w:rFonts w:ascii="Arial" w:hAnsi="Arial" w:cs="Arial"/>
        </w:rPr>
        <w:instrText xml:space="preserve"> ADDIN ZOTERO_ITEM CSL_CITATION {"citationID":"0WWM7Ii3","properties":{"formattedCitation":"[35]","plainCitation":"[35]","noteIndex":0},"citationItems":[{"id":1017,"uris":["http://zotero.org/users/local/hhPVnw6l/items/CW2XQZFQ"],"uri":["http://zotero.org/users/local/hhPVnw6l/items/CW2XQZFQ"],"itemData":{"id":1017,"type":"article-journal","title":"The relationship and mechanism between education and functional health status transition among older persons in China","container-title":"BMC geriatrics","page":"89","volume":"18","issue":"1","source":"PubMed","abstract":"BACKGROUND: Despite decades of study, debates exist surrounding the relationship between education and functional health status transition among elderly populations. This study aims to add evidence to the debates using China as a case study. Specifically, this study analysed the association of education with functional health status transition and then the mechanism behind that association using the budget constraint relax hypothesis and the efficiency improvement hypothesis among elderly population in China.\nMETHODS: Based on data from the Chinese Longitudinal Healthy Longevity Surveys from 2008 and 2011, this study focussed on adults aged 65 years and above, with a final sample size of 12,112. A generalised structural equation model was used to analyse the relationship between education and functional health status transition and the mechanism behind that association.\nRESULTS: During the three examined years, among elderly adults who were nondisabled at baseline, 53.1% stayed nondisabled, 14.6% became disabled, and 32.3% died; among those disabled in 2008, 8.1% recovered, 21.6% stayed disabled, and 70.3% died. Compared with older adults without any education, those who had attended primary schools had both lower mortality and disability, whereas those who had attended high schools and above only had a lower mortality rate. The budget constraint relax hypothesis and the efficiency improvement hypothesis explained the majority of the relationship between education and transition from non-disability to death, but hardly explained the transition from non-disability to disability. Furthermore, once a person was disabled, education had no significant relationship with functional ability recovery or mortality.\nCONCLUSIONS: Attending primary school seems to provide the highest benefit to functional health status transition among older and nondisabled persons in China. Those who attended high schools and above are expected to live a longer life with disability. The mechanism between education and the onset of disability needs more discussion.","DOI":"10.1186/s12877-018-0785-4","ISSN":"1471-2318","note":"PMID: 29642847\nPMCID: PMC5896027","journalAbbreviation":"BMC Geriatr","language":"eng","author":[{"family":"Chen","given":"He"},{"family":"Hu","given":"Hongwei"}],"issued":{"date-parts":[["2018"]],"season":"11"}}}],"schema":"https://github.com/citation-style-language/schema/raw/master/csl-citation.json"} </w:instrText>
      </w:r>
      <w:r w:rsidR="00FF55F0" w:rsidRPr="00C824CB">
        <w:rPr>
          <w:rFonts w:ascii="Arial" w:hAnsi="Arial" w:cs="Arial"/>
        </w:rPr>
        <w:fldChar w:fldCharType="separate"/>
      </w:r>
      <w:r w:rsidR="00FF55F0" w:rsidRPr="00C824CB">
        <w:rPr>
          <w:rFonts w:ascii="Arial" w:hAnsi="Arial" w:cs="Arial"/>
          <w:noProof/>
        </w:rPr>
        <w:t>[35]</w:t>
      </w:r>
      <w:r w:rsidR="00FF55F0" w:rsidRPr="00C824CB">
        <w:rPr>
          <w:rFonts w:ascii="Arial" w:hAnsi="Arial" w:cs="Arial"/>
        </w:rPr>
        <w:fldChar w:fldCharType="end"/>
      </w:r>
      <w:r w:rsidR="00FF55F0" w:rsidRPr="00C824CB">
        <w:rPr>
          <w:rFonts w:ascii="Arial" w:hAnsi="Arial" w:cs="Arial"/>
        </w:rPr>
        <w:t>.</w:t>
      </w:r>
      <w:r w:rsidR="001854D8" w:rsidRPr="00C824CB">
        <w:rPr>
          <w:rFonts w:ascii="Arial" w:hAnsi="Arial" w:cs="Arial"/>
        </w:rPr>
        <w:t xml:space="preserve"> Furthermore, it was observed in another </w:t>
      </w:r>
      <w:r w:rsidR="0098414F" w:rsidRPr="00C824CB">
        <w:rPr>
          <w:rFonts w:ascii="Arial" w:hAnsi="Arial" w:cs="Arial"/>
        </w:rPr>
        <w:t xml:space="preserve">study </w:t>
      </w:r>
      <w:r w:rsidR="001854D8" w:rsidRPr="00C824CB">
        <w:rPr>
          <w:rFonts w:ascii="Arial" w:hAnsi="Arial" w:cs="Arial"/>
        </w:rPr>
        <w:t xml:space="preserve">that </w:t>
      </w:r>
      <w:r w:rsidR="00587A1E" w:rsidRPr="00C824CB">
        <w:rPr>
          <w:rFonts w:ascii="Arial" w:hAnsi="Arial" w:cs="Arial"/>
        </w:rPr>
        <w:t>four</w:t>
      </w:r>
      <w:r w:rsidR="001854D8" w:rsidRPr="00C824CB">
        <w:rPr>
          <w:rFonts w:ascii="Arial" w:hAnsi="Arial" w:cs="Arial"/>
        </w:rPr>
        <w:t xml:space="preserve"> socioeconomic </w:t>
      </w:r>
      <w:r w:rsidR="00F03F88" w:rsidRPr="00C824CB">
        <w:rPr>
          <w:rFonts w:ascii="Arial" w:hAnsi="Arial" w:cs="Arial"/>
        </w:rPr>
        <w:t>factors</w:t>
      </w:r>
      <w:r w:rsidR="001854D8" w:rsidRPr="00C824CB">
        <w:rPr>
          <w:rFonts w:ascii="Arial" w:hAnsi="Arial" w:cs="Arial"/>
        </w:rPr>
        <w:t xml:space="preserve"> (i.e., </w:t>
      </w:r>
      <w:r w:rsidR="00E57585" w:rsidRPr="00C824CB">
        <w:rPr>
          <w:rFonts w:ascii="Arial" w:hAnsi="Arial" w:cs="Arial"/>
        </w:rPr>
        <w:t>personal income, average income for the area, income inequality for area, education) significantly predicted disability</w:t>
      </w:r>
      <w:r w:rsidR="00C81594" w:rsidRPr="00C824CB">
        <w:rPr>
          <w:rFonts w:ascii="Arial" w:hAnsi="Arial" w:cs="Arial"/>
        </w:rPr>
        <w:t xml:space="preserve"> </w:t>
      </w:r>
      <w:r w:rsidR="00587A1E" w:rsidRPr="00C824CB">
        <w:rPr>
          <w:rFonts w:ascii="Arial" w:hAnsi="Arial" w:cs="Arial"/>
        </w:rPr>
        <w:t xml:space="preserve">in several domains </w:t>
      </w:r>
      <w:r w:rsidR="00C81594" w:rsidRPr="00C824CB">
        <w:rPr>
          <w:rFonts w:ascii="Arial" w:hAnsi="Arial" w:cs="Arial"/>
        </w:rPr>
        <w:t>(i.e., self-care, hearing, vision, ambulatory</w:t>
      </w:r>
      <w:r w:rsidR="0011497A" w:rsidRPr="00C824CB">
        <w:rPr>
          <w:rFonts w:ascii="Arial" w:hAnsi="Arial" w:cs="Arial"/>
        </w:rPr>
        <w:t xml:space="preserve"> function</w:t>
      </w:r>
      <w:r w:rsidR="00C81594" w:rsidRPr="00C824CB">
        <w:rPr>
          <w:rFonts w:ascii="Arial" w:hAnsi="Arial" w:cs="Arial"/>
        </w:rPr>
        <w:t>, cognitive</w:t>
      </w:r>
      <w:r w:rsidR="001C7394" w:rsidRPr="00C824CB">
        <w:rPr>
          <w:rFonts w:ascii="Arial" w:hAnsi="Arial" w:cs="Arial"/>
        </w:rPr>
        <w:t xml:space="preserve"> function</w:t>
      </w:r>
      <w:r w:rsidR="00C81594" w:rsidRPr="00C824CB">
        <w:rPr>
          <w:rFonts w:ascii="Arial" w:hAnsi="Arial" w:cs="Arial"/>
        </w:rPr>
        <w:t>, independent living)</w:t>
      </w:r>
      <w:r w:rsidR="0052069C" w:rsidRPr="00C824CB">
        <w:rPr>
          <w:rFonts w:ascii="Arial" w:hAnsi="Arial" w:cs="Arial"/>
        </w:rPr>
        <w:t xml:space="preserve"> </w:t>
      </w:r>
      <w:r w:rsidR="00E57585" w:rsidRPr="00C824CB">
        <w:rPr>
          <w:rFonts w:ascii="Arial" w:hAnsi="Arial" w:cs="Arial"/>
        </w:rPr>
        <w:fldChar w:fldCharType="begin"/>
      </w:r>
      <w:r w:rsidR="00E57585" w:rsidRPr="00C824CB">
        <w:rPr>
          <w:rFonts w:ascii="Arial" w:hAnsi="Arial" w:cs="Arial"/>
        </w:rPr>
        <w:instrText xml:space="preserve"> ADDIN ZOTERO_ITEM CSL_CITATION {"citationID":"ZpboOEa2","properties":{"formattedCitation":"[10]","plainCitation":"[10]","noteIndex":0},"citationItems":[{"id":977,"uris":["http://zotero.org/users/local/hhPVnw6l/items/J9EICM4S"],"uri":["http://zotero.org/users/local/hhPVnw6l/items/J9EICM4S"],"itemData":{"id":977,"type":"article-journal","title":"Examining the Association Between Different Aspects of Socioeconomic Status, Race, and Disability in Hawaii","container-title":"Journal of Racial and Ethnic Health Disparities","page":"1247-1253","volume":"5","issue":"6","source":"PubMed","abstract":"Socioeconomic status and race/ethnicity are known to be associated with health disparities. This study used data (2010-2014) from the American Community Survey. Respondents over age 30 from Hawaii were included (n = 44,921). Outcome variables were self-reported disability in vision, hearing, ambulatory function, self-care, independent living, or cognitive function. Four measures of socioeconomic status were personal income, average income for the area, income inequality for area, and education. This study used multivariable logistic regression to predict disability by race/ethnicity and socioeconomic status, controlling for age and gender. All four measures of socioeconomic status were significant predictors of at least one type of disability after adjustment for age, gender, and other measures of socioeconomic status. Higher education was significantly related to having every type of disability. Similarly, people with high personal income were less likely to have each type of disability than those with middle income, and those with low income were more likely to have all disabilities except hearing. Income inequality was significantly associated with half the disabilities. Low area income was significantly associated with increased vision-related disability, while high income was associated with less likelihood of hearing-related disability. Native Hawaiians were significantly more likely to report having a disability than Filipinos and Chinese for all six types of disability, Japanese for four, and whites for two, after adjustment. These results suggest that in order to reduce health disparities for Native Hawaiians, as well as other ethnic groups, a range of socioeconomic factors need to be addressed.","DOI":"10.1007/s40615-018-0471-4","ISSN":"2196-8837","note":"PMID: 29464658","journalAbbreviation":"J Racial Ethn Health Disparities","language":"eng","author":[{"family":"Seto","given":"Jason"},{"family":"Davis","given":"James"},{"family":"Taira","given":"Deborah Ann"}],"issued":{"date-parts":[["2018",12]]}}}],"schema":"https://github.com/citation-style-language/schema/raw/master/csl-citation.json"} </w:instrText>
      </w:r>
      <w:r w:rsidR="00E57585" w:rsidRPr="00C824CB">
        <w:rPr>
          <w:rFonts w:ascii="Arial" w:hAnsi="Arial" w:cs="Arial"/>
        </w:rPr>
        <w:fldChar w:fldCharType="separate"/>
      </w:r>
      <w:r w:rsidR="00E57585" w:rsidRPr="00C824CB">
        <w:rPr>
          <w:rFonts w:ascii="Arial" w:hAnsi="Arial" w:cs="Arial"/>
          <w:noProof/>
        </w:rPr>
        <w:t>[10]</w:t>
      </w:r>
      <w:r w:rsidR="00E57585" w:rsidRPr="00C824CB">
        <w:rPr>
          <w:rFonts w:ascii="Arial" w:hAnsi="Arial" w:cs="Arial"/>
        </w:rPr>
        <w:fldChar w:fldCharType="end"/>
      </w:r>
      <w:r w:rsidR="00E57585" w:rsidRPr="00C824CB">
        <w:rPr>
          <w:rFonts w:ascii="Arial" w:hAnsi="Arial" w:cs="Arial"/>
        </w:rPr>
        <w:t>.</w:t>
      </w:r>
      <w:r w:rsidR="0052069C" w:rsidRPr="00C824CB">
        <w:rPr>
          <w:rFonts w:ascii="Arial" w:hAnsi="Arial" w:cs="Arial"/>
        </w:rPr>
        <w:t xml:space="preserve"> The income-disability relationship may be explained by barriers to care, unhealthy behaviors and perceived stress, while educated individuals </w:t>
      </w:r>
      <w:r w:rsidR="0098414F" w:rsidRPr="00C824CB">
        <w:rPr>
          <w:rFonts w:ascii="Arial" w:hAnsi="Arial" w:cs="Arial"/>
        </w:rPr>
        <w:t>may be</w:t>
      </w:r>
      <w:r w:rsidR="0052069C" w:rsidRPr="00C824CB">
        <w:rPr>
          <w:rFonts w:ascii="Arial" w:hAnsi="Arial" w:cs="Arial"/>
        </w:rPr>
        <w:t xml:space="preserve"> less likely to develop disability </w:t>
      </w:r>
      <w:r w:rsidR="0052069C" w:rsidRPr="00C824CB">
        <w:rPr>
          <w:rFonts w:ascii="Arial" w:hAnsi="Arial" w:cs="Arial"/>
        </w:rPr>
        <w:lastRenderedPageBreak/>
        <w:t xml:space="preserve">because of a better understanding of health information and </w:t>
      </w:r>
      <w:r w:rsidR="00A759DC" w:rsidRPr="00C824CB">
        <w:rPr>
          <w:rFonts w:ascii="Arial" w:hAnsi="Arial" w:cs="Arial"/>
        </w:rPr>
        <w:t>the making of informed decision</w:t>
      </w:r>
      <w:r w:rsidR="00CF5E96" w:rsidRPr="00C824CB">
        <w:rPr>
          <w:rFonts w:ascii="Arial" w:hAnsi="Arial" w:cs="Arial"/>
        </w:rPr>
        <w:t>s regarding health.</w:t>
      </w:r>
    </w:p>
    <w:p w14:paraId="444212EE" w14:textId="43AFE8BE" w:rsidR="00D429F4" w:rsidRPr="00C824CB" w:rsidRDefault="00CF5E96" w:rsidP="00D429F4">
      <w:pPr>
        <w:spacing w:line="480" w:lineRule="auto"/>
        <w:jc w:val="both"/>
        <w:rPr>
          <w:rFonts w:ascii="Arial" w:hAnsi="Arial" w:cs="Arial"/>
        </w:rPr>
      </w:pPr>
      <w:r w:rsidRPr="00C824CB">
        <w:rPr>
          <w:rFonts w:ascii="Arial" w:hAnsi="Arial" w:cs="Arial"/>
        </w:rPr>
        <w:t xml:space="preserve"> </w:t>
      </w:r>
    </w:p>
    <w:p w14:paraId="67CA046E" w14:textId="6D06904E" w:rsidR="00236BEB" w:rsidRPr="00C824CB" w:rsidRDefault="008E6243" w:rsidP="00236BEB">
      <w:pPr>
        <w:spacing w:line="480" w:lineRule="auto"/>
        <w:jc w:val="both"/>
        <w:rPr>
          <w:rFonts w:ascii="Arial" w:hAnsi="Arial" w:cs="Arial"/>
        </w:rPr>
      </w:pPr>
      <w:r w:rsidRPr="00C824CB">
        <w:rPr>
          <w:rFonts w:ascii="Arial" w:hAnsi="Arial" w:cs="Arial"/>
        </w:rPr>
        <w:t xml:space="preserve">That being said, </w:t>
      </w:r>
      <w:r w:rsidR="00641FB6" w:rsidRPr="00C824CB">
        <w:rPr>
          <w:rFonts w:ascii="Arial" w:hAnsi="Arial" w:cs="Arial"/>
        </w:rPr>
        <w:t>more than 60%</w:t>
      </w:r>
      <w:r w:rsidRPr="00C824CB">
        <w:rPr>
          <w:rFonts w:ascii="Arial" w:hAnsi="Arial" w:cs="Arial"/>
        </w:rPr>
        <w:t xml:space="preserve"> of the association between intelligence and limitations in </w:t>
      </w:r>
      <w:r w:rsidR="005909D0" w:rsidRPr="00C824CB">
        <w:rPr>
          <w:rFonts w:ascii="Arial" w:hAnsi="Arial" w:cs="Arial"/>
        </w:rPr>
        <w:t>ADL and IADL</w:t>
      </w:r>
      <w:r w:rsidRPr="00C824CB">
        <w:rPr>
          <w:rFonts w:ascii="Arial" w:hAnsi="Arial" w:cs="Arial"/>
        </w:rPr>
        <w:t xml:space="preserve"> was not explained by these </w:t>
      </w:r>
      <w:r w:rsidR="009F6D4E" w:rsidRPr="00C824CB">
        <w:rPr>
          <w:rFonts w:ascii="Arial" w:hAnsi="Arial" w:cs="Arial"/>
        </w:rPr>
        <w:t xml:space="preserve">socioeconomic </w:t>
      </w:r>
      <w:r w:rsidRPr="00C824CB">
        <w:rPr>
          <w:rFonts w:ascii="Arial" w:hAnsi="Arial" w:cs="Arial"/>
        </w:rPr>
        <w:t xml:space="preserve">factors. </w:t>
      </w:r>
      <w:r w:rsidR="009D13D4" w:rsidRPr="00C824CB">
        <w:rPr>
          <w:rFonts w:ascii="Arial" w:hAnsi="Arial" w:cs="Arial"/>
        </w:rPr>
        <w:t>Moreover</w:t>
      </w:r>
      <w:r w:rsidR="001A49A4" w:rsidRPr="00C824CB">
        <w:rPr>
          <w:rFonts w:ascii="Arial" w:hAnsi="Arial" w:cs="Arial"/>
        </w:rPr>
        <w:t xml:space="preserve">, </w:t>
      </w:r>
      <w:r w:rsidR="009F6D4E" w:rsidRPr="00C824CB">
        <w:rPr>
          <w:rFonts w:ascii="Arial" w:hAnsi="Arial" w:cs="Arial"/>
        </w:rPr>
        <w:t xml:space="preserve">the </w:t>
      </w:r>
      <w:r w:rsidR="00F669A3" w:rsidRPr="00C824CB">
        <w:rPr>
          <w:rFonts w:ascii="Arial" w:hAnsi="Arial" w:cs="Arial"/>
        </w:rPr>
        <w:t xml:space="preserve">other </w:t>
      </w:r>
      <w:r w:rsidR="00EA3D92" w:rsidRPr="00C824CB">
        <w:rPr>
          <w:rFonts w:ascii="Arial" w:hAnsi="Arial" w:cs="Arial"/>
        </w:rPr>
        <w:t>variables</w:t>
      </w:r>
      <w:r w:rsidR="00F669A3" w:rsidRPr="00C824CB">
        <w:rPr>
          <w:rFonts w:ascii="Arial" w:hAnsi="Arial" w:cs="Arial"/>
        </w:rPr>
        <w:t xml:space="preserve"> included in the </w:t>
      </w:r>
      <w:r w:rsidR="001E585A" w:rsidRPr="00C824CB">
        <w:rPr>
          <w:rFonts w:ascii="Arial" w:hAnsi="Arial" w:cs="Arial"/>
        </w:rPr>
        <w:t>mediation</w:t>
      </w:r>
      <w:r w:rsidR="00EA3D92" w:rsidRPr="00C824CB">
        <w:rPr>
          <w:rFonts w:ascii="Arial" w:hAnsi="Arial" w:cs="Arial"/>
        </w:rPr>
        <w:t xml:space="preserve"> </w:t>
      </w:r>
      <w:r w:rsidR="00F669A3" w:rsidRPr="00C824CB">
        <w:rPr>
          <w:rFonts w:ascii="Arial" w:hAnsi="Arial" w:cs="Arial"/>
        </w:rPr>
        <w:t>analysis (i.e., marital status, obesity, smoking status, alcohol dependence, drug use, social support) explained less than 10% of this relationship</w:t>
      </w:r>
      <w:r w:rsidR="001A49A4" w:rsidRPr="00C824CB">
        <w:rPr>
          <w:rFonts w:ascii="Arial" w:hAnsi="Arial" w:cs="Arial"/>
        </w:rPr>
        <w:t>. Thus, it is likely that IQ has a direct effect on disability or that there are other mediators which were not assessed in this current study. For example, p</w:t>
      </w:r>
      <w:r w:rsidR="0070743B" w:rsidRPr="00C824CB">
        <w:rPr>
          <w:rFonts w:ascii="Arial" w:hAnsi="Arial" w:cs="Arial"/>
        </w:rPr>
        <w:t xml:space="preserve">hysical injuries </w:t>
      </w:r>
      <w:r w:rsidR="001E585A" w:rsidRPr="00C824CB">
        <w:rPr>
          <w:rFonts w:ascii="Arial" w:hAnsi="Arial" w:cs="Arial"/>
        </w:rPr>
        <w:t>may</w:t>
      </w:r>
      <w:r w:rsidR="009F6D4E" w:rsidRPr="00C824CB">
        <w:rPr>
          <w:rFonts w:ascii="Arial" w:hAnsi="Arial" w:cs="Arial"/>
        </w:rPr>
        <w:t xml:space="preserve"> </w:t>
      </w:r>
      <w:r w:rsidR="0070743B" w:rsidRPr="00C824CB">
        <w:rPr>
          <w:rFonts w:ascii="Arial" w:hAnsi="Arial" w:cs="Arial"/>
        </w:rPr>
        <w:t xml:space="preserve">be </w:t>
      </w:r>
      <w:r w:rsidR="001A49A4" w:rsidRPr="00C824CB">
        <w:rPr>
          <w:rFonts w:ascii="Arial" w:hAnsi="Arial" w:cs="Arial"/>
        </w:rPr>
        <w:t xml:space="preserve">an important </w:t>
      </w:r>
      <w:r w:rsidR="0070743B" w:rsidRPr="00C824CB">
        <w:rPr>
          <w:rFonts w:ascii="Arial" w:hAnsi="Arial" w:cs="Arial"/>
        </w:rPr>
        <w:t xml:space="preserve">mediator in the association between IQ and disability. </w:t>
      </w:r>
      <w:r w:rsidR="001A49A4" w:rsidRPr="00C824CB">
        <w:rPr>
          <w:rFonts w:ascii="Arial" w:hAnsi="Arial" w:cs="Arial"/>
        </w:rPr>
        <w:t xml:space="preserve">One </w:t>
      </w:r>
      <w:r w:rsidR="0070743B" w:rsidRPr="00C824CB">
        <w:rPr>
          <w:rFonts w:ascii="Arial" w:hAnsi="Arial" w:cs="Arial"/>
        </w:rPr>
        <w:t xml:space="preserve">cohort study </w:t>
      </w:r>
      <w:r w:rsidR="001A49A4" w:rsidRPr="00C824CB">
        <w:rPr>
          <w:rFonts w:ascii="Arial" w:hAnsi="Arial" w:cs="Arial"/>
        </w:rPr>
        <w:t>including</w:t>
      </w:r>
      <w:r w:rsidR="0070743B" w:rsidRPr="00C824CB">
        <w:rPr>
          <w:rFonts w:ascii="Arial" w:hAnsi="Arial" w:cs="Arial"/>
        </w:rPr>
        <w:t xml:space="preserve"> more than 1,109,000 Swedish men found that </w:t>
      </w:r>
      <w:r w:rsidR="001A49A4" w:rsidRPr="00C824CB">
        <w:rPr>
          <w:rFonts w:ascii="Arial" w:hAnsi="Arial" w:cs="Arial"/>
        </w:rPr>
        <w:t xml:space="preserve">a </w:t>
      </w:r>
      <w:r w:rsidR="0070743B" w:rsidRPr="00C824CB">
        <w:rPr>
          <w:rFonts w:ascii="Arial" w:hAnsi="Arial" w:cs="Arial"/>
        </w:rPr>
        <w:t xml:space="preserve">one SD decrease in IQ in early adulthood led to a 1.15-fold increase in the risk of any unintentional injury </w:t>
      </w:r>
      <w:r w:rsidR="0070743B" w:rsidRPr="00C824CB">
        <w:rPr>
          <w:rFonts w:ascii="Arial" w:hAnsi="Arial" w:cs="Arial"/>
        </w:rPr>
        <w:fldChar w:fldCharType="begin"/>
      </w:r>
      <w:r w:rsidR="006B0C8A" w:rsidRPr="00C824CB">
        <w:rPr>
          <w:rFonts w:ascii="Arial" w:hAnsi="Arial" w:cs="Arial"/>
        </w:rPr>
        <w:instrText xml:space="preserve"> ADDIN ZOTERO_ITEM CSL_CITATION {"citationID":"xbp0gvt6","properties":{"formattedCitation":"[36]","plainCitation":"[36]","noteIndex":0},"citationItems":[{"id":"e7jhjSDh/rGv8oaj0","uris":["http://zotero.org/users/local/9MIp3rtp/items/76KRWJWN"],"uri":["http://zotero.org/users/local/9MIp3rtp/items/76KRWJWN"],"itemData":{"id":188,"type":"article-journal","title":"Intelligence in early adulthood and subsequent risk of unintentional injury over two decades: cohort study of 1,109,475 Swedish men","container-title":"Journal of epidemiology and community health","page":"419-425","volume":"64","issue":"5","source":"PubMed Central","abstract":"Background\nThere is growing evidence of an inverse association between intelligence (IQ) and unintentional injuries.\n\nMethods\nAnalyses are based on a cohort of 1,109,475 Swedish men with IQ measured in early adulthood. Men were followed-up for an average 24 years and hospital admissions for unintentional injury were recorded.\n\nResults\n198,133 (17.9%) men had at least one hospital admission for any unintentional injury during follow-up. The most common cause of unintentional injury was falling, followed by road accidents, poisoning, fire and drowning. In addition, 14,637 (1.3%) men had at least one admission for complications of medical care. After adjusting for confounding variables, lower IQ scores were associated with an elevated risk of any unintentional injury (Hazard ratio (95% confidence interval) per standard deviation decrease in IQ: 1.15 (1.14, 1.15)), and of cause-specific injuries other than drowning (poisoning (1.53 (1.49, 1.57)), fire (1.36 (1.31, 1.41)), road traffic accidents (1.25 (1.23, 1.26)), medical complications (1.20 (1.18, 1.22)), and falling (1.17 (1.16, 1.18)). These gradients were stepwise across the full IQ range.\n\nConclusions\nLow IQ scores in early adulthood were associated with a subsequently increased risk of unintentional injury. A greater understanding of mechanisms underlying these associations may provide opportunities and strategies for prevention.","DOI":"10.1136/jech.2009.100669","ISSN":"0143-005X","note":"PMID: 19955099\nPMCID: PMC4170759","shortTitle":"Intelligence in early adulthood and subsequent risk of unintentional injury over two decades","journalAbbreviation":"J Epidemiol Community Health","author":[{"family":"Whitley","given":"Elise"},{"family":"Batty","given":"G. David"},{"family":"Gale","given":"Catharine R."},{"family":"Deary","given":"Ian J."},{"family":"Tynelius","given":"Per"},{"family":"Rasmussen","given":"Finn"}],"issued":{"date-parts":[["2010",5]]}}}],"schema":"https://github.com/citation-style-language/schema/raw/master/csl-citation.json"} </w:instrText>
      </w:r>
      <w:r w:rsidR="0070743B" w:rsidRPr="00C824CB">
        <w:rPr>
          <w:rFonts w:ascii="Arial" w:hAnsi="Arial" w:cs="Arial"/>
        </w:rPr>
        <w:fldChar w:fldCharType="separate"/>
      </w:r>
      <w:r w:rsidR="00FF55F0" w:rsidRPr="00C824CB">
        <w:rPr>
          <w:rFonts w:ascii="Arial" w:hAnsi="Arial" w:cs="Arial"/>
        </w:rPr>
        <w:t>[36]</w:t>
      </w:r>
      <w:r w:rsidR="0070743B" w:rsidRPr="00C824CB">
        <w:rPr>
          <w:rFonts w:ascii="Arial" w:hAnsi="Arial" w:cs="Arial"/>
        </w:rPr>
        <w:fldChar w:fldCharType="end"/>
      </w:r>
      <w:r w:rsidR="0070743B" w:rsidRPr="00C824CB">
        <w:rPr>
          <w:rFonts w:ascii="Arial" w:hAnsi="Arial" w:cs="Arial"/>
        </w:rPr>
        <w:t xml:space="preserve">. This association may involve lower processing skills, lack of psychomotor coordination and unhealthy behaviors. On the other hand, the prevalence of impairments and disabilities is high in survivors of severe physical injuries </w:t>
      </w:r>
      <w:r w:rsidR="0070743B" w:rsidRPr="00C824CB">
        <w:rPr>
          <w:rFonts w:ascii="Arial" w:hAnsi="Arial" w:cs="Arial"/>
        </w:rPr>
        <w:fldChar w:fldCharType="begin"/>
      </w:r>
      <w:r w:rsidR="006B0C8A" w:rsidRPr="00C824CB">
        <w:rPr>
          <w:rFonts w:ascii="Arial" w:hAnsi="Arial" w:cs="Arial"/>
        </w:rPr>
        <w:instrText xml:space="preserve"> ADDIN ZOTERO_ITEM CSL_CITATION {"citationID":"fwhpmNeQ","properties":{"formattedCitation":"[37]","plainCitation":"[37]","noteIndex":0},"citationItems":[{"id":"e7jhjSDh/hSn1KyE5","uris":["http://zotero.org/users/local/9MIp3rtp/items/VR8U7Q58"],"uri":["http://zotero.org/users/local/9MIp3rtp/items/VR8U7Q58"],"itemData":{"id":191,"type":"article-journal","title":"Long-term prevalence of impairments and disabilities after multiple trauma","container-title":"The Journal of Trauma","page":"54-61","volume":"42","issue":"1","source":"PubMed","abstract":"The prevalence of impairments and disabilities in activities of daily living (ADL), nonwork activities, and work were registered in a consecutive series (n = 69) of subjects with severe injuries. At follow-up 3 years after trauma, residual impairments prevailed in 80%. Only a few (6%) were ADL-dependent. Seventy-six percent had lost at least one nonwork activity, while vocational disability caused by the trauma occurred in 19%. Cognitive impairment was significantly associated with vocational disability, while physical impairment and pain were significantly associated with nonwork disability. Other parameters that influenced vocational disability negatively were age and blue-collar employment status. Although overall changes in social network quantity and quality were small, significantly more subjects with cognitive impairment or vocational disability experienced a decline in the quality and quantity of their social network after trauma. Furthermore, 25% of the subjects reported an increase in feelings of loneliness after trauma. We recommend the design of individualized, multidisciplinary rehabilitation plans before discharge from departments of surgery.","ISSN":"0022-5282","note":"PMID: 9003258","journalAbbreviation":"J Trauma","language":"eng","author":[{"family":"Anke","given":"A. G."},{"family":"Stanghelle","given":"J. K."},{"family":"Finset","given":"A."},{"family":"Roaldsen","given":"K. S."},{"family":"Pillgram-Larsen","given":"J."},{"family":"Fugl-Meyer","given":"A. R."}],"issued":{"date-parts":[["1997",1]]}}}],"schema":"https://github.com/citation-style-language/schema/raw/master/csl-citation.json"} </w:instrText>
      </w:r>
      <w:r w:rsidR="0070743B" w:rsidRPr="00C824CB">
        <w:rPr>
          <w:rFonts w:ascii="Arial" w:hAnsi="Arial" w:cs="Arial"/>
        </w:rPr>
        <w:fldChar w:fldCharType="separate"/>
      </w:r>
      <w:r w:rsidR="00714EA9" w:rsidRPr="00C824CB">
        <w:rPr>
          <w:rFonts w:ascii="Arial" w:hAnsi="Arial" w:cs="Arial"/>
        </w:rPr>
        <w:t>[37]</w:t>
      </w:r>
      <w:r w:rsidR="0070743B" w:rsidRPr="00C824CB">
        <w:rPr>
          <w:rFonts w:ascii="Arial" w:hAnsi="Arial" w:cs="Arial"/>
        </w:rPr>
        <w:fldChar w:fldCharType="end"/>
      </w:r>
      <w:r w:rsidR="0070743B" w:rsidRPr="00C824CB">
        <w:rPr>
          <w:rFonts w:ascii="Arial" w:hAnsi="Arial" w:cs="Arial"/>
        </w:rPr>
        <w:t xml:space="preserve">. </w:t>
      </w:r>
      <w:r w:rsidR="00236BEB" w:rsidRPr="00C824CB">
        <w:rPr>
          <w:rFonts w:ascii="Arial" w:hAnsi="Arial" w:cs="Arial"/>
        </w:rPr>
        <w:t xml:space="preserve">Besides, we believe that several unhealthy behaviors not </w:t>
      </w:r>
      <w:r w:rsidR="00D06EC5" w:rsidRPr="00C824CB">
        <w:rPr>
          <w:rFonts w:ascii="Arial" w:hAnsi="Arial" w:cs="Arial"/>
        </w:rPr>
        <w:t>available in the 2007 APMS dataset</w:t>
      </w:r>
      <w:r w:rsidR="00236BEB" w:rsidRPr="00C824CB">
        <w:rPr>
          <w:rFonts w:ascii="Arial" w:hAnsi="Arial" w:cs="Arial"/>
        </w:rPr>
        <w:t xml:space="preserve"> </w:t>
      </w:r>
      <w:r w:rsidR="001A49A4" w:rsidRPr="00C824CB">
        <w:rPr>
          <w:rFonts w:ascii="Arial" w:hAnsi="Arial" w:cs="Arial"/>
        </w:rPr>
        <w:t xml:space="preserve">may be </w:t>
      </w:r>
      <w:r w:rsidR="00236BEB" w:rsidRPr="00C824CB">
        <w:rPr>
          <w:rFonts w:ascii="Arial" w:hAnsi="Arial" w:cs="Arial"/>
        </w:rPr>
        <w:t xml:space="preserve">key players in the IQ-disability relationship. It was observed in a cohort from the </w:t>
      </w:r>
      <w:r w:rsidR="0070034D" w:rsidRPr="00C824CB">
        <w:rPr>
          <w:rFonts w:ascii="Arial" w:hAnsi="Arial" w:cs="Arial"/>
        </w:rPr>
        <w:t>UK</w:t>
      </w:r>
      <w:r w:rsidR="00236BEB" w:rsidRPr="00C824CB">
        <w:rPr>
          <w:rFonts w:ascii="Arial" w:hAnsi="Arial" w:cs="Arial"/>
        </w:rPr>
        <w:t xml:space="preserve"> that childhood mental ability was significantly associated with adulthood dietary patterns, and that children with low IQ were less likely to consume vegetables or fruits and were more likely to have a higher intake of chips, cakes or biscuits later in life than those with high IQ </w:t>
      </w:r>
      <w:r w:rsidR="00236BEB" w:rsidRPr="00C824CB">
        <w:rPr>
          <w:rFonts w:ascii="Arial" w:hAnsi="Arial" w:cs="Arial"/>
        </w:rPr>
        <w:fldChar w:fldCharType="begin"/>
      </w:r>
      <w:r w:rsidR="006B0C8A" w:rsidRPr="00C824CB">
        <w:rPr>
          <w:rFonts w:ascii="Arial" w:hAnsi="Arial" w:cs="Arial"/>
        </w:rPr>
        <w:instrText xml:space="preserve"> ADDIN ZOTERO_ITEM CSL_CITATION {"citationID":"HivkMILp","properties":{"formattedCitation":"[32]","plainCitation":"[32]","noteIndex":0},"citationItems":[{"id":376,"uris":["http://zotero.org/users/local/hhPVnw6l/items/9VWRIB2X"],"uri":["http://zotero.org/users/local/hhPVnw6l/items/9VWRIB2X"],"itemData":{"id":376,"type":"article-journal","title":"Childhood mental ability in relation to food intake and physical activity in adulthood: the 1970 British Cohort Study","container-title":"Pediatrics","page":"e38-45","volume":"119","issue":"1","source":"PubMed","abstract":"OBJECTIVE: The purpose of this work was to examine the relation of scores on tests of mental ability in childhood with food consumption and physical activity in adulthood.\nMETHODS: Based on a cohort of &gt;17,000 individuals born in Great Britain in 1970, 8282 had complete data for mental ability scores at 10 years of age and reported their food intake and physical activity patterns at 30 years of age.\nRESULTS: Children with higher mental ability scores reported significantly more frequent consumption of fruit, vegetables (cooked and raw), wholemeal bread, poultry, fish, and foods fried in vegetable oil in adulthood. They were also more likely to have a lower intake of chips (French fries), nonwholemeal bread, and cakes and biscuits. There was some attenuation in these associations after adjustment for markers of socioeconomic position across the life course, which included educational attainment, with statistical significance lost in some analyses. Higher mental ability was positively associated with exercise habit, in particular, intense activity (defined by being out of breath/sweaty). The associations between mental ability and these behaviors were similar in both men and women, and they were somewhat stronger for verbal than nonverbal ability.\nCONCLUSIONS: It is plausible that the skills captured by IQ tests, such as the ability to comprehend and reason, may be important in the successful management of a person's health behaviors.","DOI":"10.1542/peds.2006-1831","ISSN":"1098-4275","note":"PMID: 17200256","title-short":"Childhood mental ability in relation to food intake and physical activity in adulthood","journalAbbreviation":"Pediatrics","language":"eng","author":[{"family":"Batty","given":"G. David"},{"family":"Deary","given":"Ian J."},{"family":"Schoon","given":"Ingrid"},{"family":"Gale","given":"Catharine R."}],"issued":{"date-parts":[["2007",1]]}}}],"schema":"https://github.com/citation-style-language/schema/raw/master/csl-citation.json"} </w:instrText>
      </w:r>
      <w:r w:rsidR="00236BEB" w:rsidRPr="00C824CB">
        <w:rPr>
          <w:rFonts w:ascii="Arial" w:hAnsi="Arial" w:cs="Arial"/>
        </w:rPr>
        <w:fldChar w:fldCharType="separate"/>
      </w:r>
      <w:r w:rsidR="00F822BC" w:rsidRPr="00C824CB">
        <w:rPr>
          <w:rFonts w:ascii="Arial" w:hAnsi="Arial" w:cs="Arial"/>
          <w:noProof/>
        </w:rPr>
        <w:t>[32]</w:t>
      </w:r>
      <w:r w:rsidR="00236BEB" w:rsidRPr="00C824CB">
        <w:rPr>
          <w:rFonts w:ascii="Arial" w:hAnsi="Arial" w:cs="Arial"/>
        </w:rPr>
        <w:fldChar w:fldCharType="end"/>
      </w:r>
      <w:r w:rsidR="00236BEB" w:rsidRPr="00C824CB">
        <w:rPr>
          <w:rFonts w:ascii="Arial" w:hAnsi="Arial" w:cs="Arial"/>
        </w:rPr>
        <w:t>. Moreover, a recent French cohort study including elderly</w:t>
      </w:r>
      <w:r w:rsidR="007A0E02" w:rsidRPr="00C824CB">
        <w:rPr>
          <w:rFonts w:ascii="Arial" w:hAnsi="Arial" w:cs="Arial"/>
        </w:rPr>
        <w:t xml:space="preserve"> persons</w:t>
      </w:r>
      <w:r w:rsidR="00236BEB" w:rsidRPr="00C824CB">
        <w:rPr>
          <w:rFonts w:ascii="Arial" w:hAnsi="Arial" w:cs="Arial"/>
        </w:rPr>
        <w:t xml:space="preserve"> living in the community showed that, compared with an healthy diet, eating biscuits and snacking led to an increase in the subsequent risk of </w:t>
      </w:r>
      <w:r w:rsidR="005760C3" w:rsidRPr="00C824CB">
        <w:rPr>
          <w:rFonts w:ascii="Arial" w:hAnsi="Arial" w:cs="Arial"/>
        </w:rPr>
        <w:t xml:space="preserve">restricted </w:t>
      </w:r>
      <w:r w:rsidR="00236BEB" w:rsidRPr="00C824CB">
        <w:rPr>
          <w:rFonts w:ascii="Arial" w:hAnsi="Arial" w:cs="Arial"/>
        </w:rPr>
        <w:t xml:space="preserve">mobility </w:t>
      </w:r>
      <w:r w:rsidR="00516528" w:rsidRPr="00C824CB">
        <w:rPr>
          <w:rFonts w:ascii="Arial" w:hAnsi="Arial" w:cs="Arial"/>
        </w:rPr>
        <w:t xml:space="preserve">and </w:t>
      </w:r>
      <w:r w:rsidR="005909D0" w:rsidRPr="00C824CB">
        <w:rPr>
          <w:rFonts w:ascii="Arial" w:hAnsi="Arial" w:cs="Arial"/>
        </w:rPr>
        <w:t>IADL</w:t>
      </w:r>
      <w:r w:rsidR="008F67EC" w:rsidRPr="00C824CB">
        <w:rPr>
          <w:rFonts w:ascii="Arial" w:hAnsi="Arial" w:cs="Arial"/>
        </w:rPr>
        <w:t xml:space="preserve"> limitations</w:t>
      </w:r>
      <w:r w:rsidR="00516528" w:rsidRPr="00C824CB">
        <w:rPr>
          <w:rFonts w:ascii="Arial" w:hAnsi="Arial" w:cs="Arial"/>
        </w:rPr>
        <w:t xml:space="preserve"> </w:t>
      </w:r>
      <w:r w:rsidR="00236BEB" w:rsidRPr="00C824CB">
        <w:rPr>
          <w:rFonts w:ascii="Arial" w:hAnsi="Arial" w:cs="Arial"/>
        </w:rPr>
        <w:t xml:space="preserve">in men and of </w:t>
      </w:r>
      <w:r w:rsidR="008F67EC" w:rsidRPr="00C824CB">
        <w:rPr>
          <w:rFonts w:ascii="Arial" w:hAnsi="Arial" w:cs="Arial"/>
        </w:rPr>
        <w:t xml:space="preserve">ADL </w:t>
      </w:r>
      <w:r w:rsidR="00236BEB" w:rsidRPr="00C824CB">
        <w:rPr>
          <w:rFonts w:ascii="Arial" w:hAnsi="Arial" w:cs="Arial"/>
        </w:rPr>
        <w:t xml:space="preserve">limitations in women </w:t>
      </w:r>
      <w:r w:rsidR="00236BEB" w:rsidRPr="00C824CB">
        <w:rPr>
          <w:rFonts w:ascii="Arial" w:hAnsi="Arial" w:cs="Arial"/>
        </w:rPr>
        <w:fldChar w:fldCharType="begin"/>
      </w:r>
      <w:r w:rsidR="006B0C8A" w:rsidRPr="00C824CB">
        <w:rPr>
          <w:rFonts w:ascii="Arial" w:hAnsi="Arial" w:cs="Arial"/>
        </w:rPr>
        <w:instrText xml:space="preserve"> ADDIN ZOTERO_ITEM CSL_CITATION {"citationID":"qZkg0XYP","properties":{"formattedCitation":"[38]","plainCitation":"[38]","noteIndex":0},"citationItems":[{"id":"e7jhjSDh/v4Dog2FY","uris":["http://zotero.org/users/local/9MIp3rtp/items/5I2Z7TCL"],"uri":["http://zotero.org/users/local/9MIp3rtp/items/5I2Z7TCL"],"itemData":{"id":193,"type":"article-journal","title":"Dietary patterns and risk of self-reported activity limitation in older adults from the Three-City Bordeaux Study","container-title":"The British Journal of Nutrition","page":"549-556","volume":"120","issue":"5","source":"PubMed","abstract":"Few studies have been interested in the relationship between dietary patterns and activity limitation in older adults yet. We analysed the association between dietary patterns and the risk of self-reported activity limitation - that is mobility restriction, limitation in instrumental activities in daily living (IADL) and in activities in daily living (ADL) - in community-dwellers aged 67+ years initially free of activity limitation in 2001-2002 and re-examined at least once over 10 years - that is 583 participants for mobility restriction, 1114 for IADL limitation and 1267 for ADL limitation. At baseline, five sex-specific dietary clusters were derived by hybrid clustering method from weekly frequency of intake of twenty food and beverage items. Self-reported mobility restriction, limitations in IADL and in ADL were assessed using the Rosow-Breslau, the Lawton-Brody and the Katz scales, respectively. Associations between dietary clusters and the risk of each activity limitation were assessed using Cox proportional hazard models. In models adjusted for socio-demographic and health-related covariates, compared with the 'Healthy' cluster the 'Biscuits and snacking' cluster was associated with a higher risk of mobility restriction (hazard ratio (HR)=3·0; 95 % CI 1·6, 5·8) and limitation in IADL (HR=2·1; 95 % CI 1·1, 4·2) in men and limitation in ADL in women (HR=2·3; 95 % CI 1·3, 4·0). In this French cohort of community-dwellers aged 67+ years, some unhealthy dietary patterns may increase the risk of activity limitation all along the disablement process in older adults.","DOI":"10.1017/S0007114518001654","ISSN":"1475-2662","note":"PMID: 29987992","journalAbbreviation":"Br. J. Nutr.","language":"eng","author":[{"family":"Pilleron","given":"Sophie"},{"family":"Pérès","given":"Karine"},{"family":"Jutand","given":"Marthe-Aline"},{"family":"Helmer","given":"Catherine"},{"family":"Dartigues","given":"Jean-François"},{"family":"Samieri","given":"Cécilia"},{"family":"Féart","given":"Catherine"}],"issued":{"date-parts":[["2018",9]]}}}],"schema":"https://github.com/citation-style-language/schema/raw/master/csl-citation.json"} </w:instrText>
      </w:r>
      <w:r w:rsidR="00236BEB" w:rsidRPr="00C824CB">
        <w:rPr>
          <w:rFonts w:ascii="Arial" w:hAnsi="Arial" w:cs="Arial"/>
        </w:rPr>
        <w:fldChar w:fldCharType="separate"/>
      </w:r>
      <w:r w:rsidR="00714EA9" w:rsidRPr="00C824CB">
        <w:rPr>
          <w:rFonts w:ascii="Arial" w:hAnsi="Arial" w:cs="Arial"/>
        </w:rPr>
        <w:t>[38]</w:t>
      </w:r>
      <w:r w:rsidR="00236BEB" w:rsidRPr="00C824CB">
        <w:rPr>
          <w:rFonts w:ascii="Arial" w:hAnsi="Arial" w:cs="Arial"/>
        </w:rPr>
        <w:fldChar w:fldCharType="end"/>
      </w:r>
      <w:r w:rsidR="00236BEB" w:rsidRPr="00C824CB">
        <w:rPr>
          <w:rFonts w:ascii="Arial" w:hAnsi="Arial" w:cs="Arial"/>
        </w:rPr>
        <w:t xml:space="preserve">. Regarding physical activity, </w:t>
      </w:r>
      <w:r w:rsidR="00236BEB" w:rsidRPr="00C824CB">
        <w:rPr>
          <w:rFonts w:ascii="Arial" w:hAnsi="Arial" w:cs="Arial"/>
        </w:rPr>
        <w:lastRenderedPageBreak/>
        <w:t xml:space="preserve">another longitudinal study with approximately 5300 participants found that there was a positive relationship between youth IQ and moderate cardiovascular activity and strength training at middle age </w:t>
      </w:r>
      <w:r w:rsidR="00236BEB" w:rsidRPr="00C824CB">
        <w:rPr>
          <w:rFonts w:ascii="Arial" w:hAnsi="Arial" w:cs="Arial"/>
        </w:rPr>
        <w:fldChar w:fldCharType="begin"/>
      </w:r>
      <w:r w:rsidR="006B0C8A" w:rsidRPr="00C824CB">
        <w:rPr>
          <w:rFonts w:ascii="Arial" w:hAnsi="Arial" w:cs="Arial"/>
        </w:rPr>
        <w:instrText xml:space="preserve"> ADDIN ZOTERO_ITEM CSL_CITATION {"citationID":"rGyP6RbH","properties":{"formattedCitation":"[39]","plainCitation":"[39]","noteIndex":0},"citationItems":[{"id":"e7jhjSDh/VNYl17hn","uris":["http://zotero.org/users/local/9MIp3rtp/items/WSWRXW4G"],"uri":["http://zotero.org/users/local/9MIp3rtp/items/WSWRXW4G"],"itemData":{"id":197,"type":"article-journal","title":"Intelligence in youth and health behaviours in middle age","container-title":"Intelligence","page":"71-86","volume":"69","source":"PubMed","abstract":"Objective: We investigated the association between intelligence in youth and a range of health-related behaviours in middle age.\nMethod: Participants were the 5347 men and women who responded to the National Longitudinal Survey of Youth 1979 (NLSY-79) 2012 survey. IQ was recorded with the Armed Forces Qualification Test (AFQT) when participants were aged 15 to 23 years of age. Self-reports on exercise (moderate activity, vigorous activity, and strength training), dietary, smoking, drinking, and oral health behaviours were recorded when participants were in middle age (mean age = 51.7 years). A series of regression analyses tested for an association between IQ in youth and the different health related behaviours in middle age, while adjusting for childhood socio-economic status (SES) and adult SES.\nResults: Higher IQ in youth was significantly associated with the following behaviours that are beneficial to health: being more likely to be able to do moderate cardiovascular activity (Odds Ratio, 95% CI) (1.72, 1.35 to 2.20, p &lt; .001) and strength training (1.61, 1.37 to 1.90, p &lt; .001); being less likely to have had a sugary drink in the previous week (0.75, 0.71 to 0.80, p &lt; .001); a lower likelihood of drinking alcohol heavily (0.67, 0.61 to 0.74, p &lt; .001); being less likely to smoke (0.60, 0.56 to 0.65, p &lt; .001); being more likely to floss (1.47, 1.35 to 1.59, p &lt; .001); and being more likely to say they \"often\" read the nutritional information (1.20, 1.09 to 1.31, p &lt; .001) and ingredients (1.24, 1.12 to 1.36, p &lt; .001) on food packaging compared to always reading them. Higher IQ was also linked with dietary behaviours that may or may not be linked with poorer health outcomes (i.e. being more likely to have skipped a meal (1.10, 1.03 to 1.17, p = .005) and snacked between meals (1.37, 1.26 to 1.50, p &lt; .001) in the previous week). An inverted u-shaped association was also found between IQ and the number of meals skipped per week. Higher IQ was also linked with behaviours that are known to be linked with poorer health (i.e. a higher likelihood of drinking alcohol compared to being abstinent from drinking alcohol (1.58, 1.47 to 1.69, p &lt; .001)). A u-shaped association was found between IQ and the amount of alcohol consumed per week and an inverted u-shaped association was found between IQ and the number of cigarettes smoked a day. Across all outcomes, adjusting for childhood SES tended to attenuate the estimated effect size only slightly. Adjusting for adult SES led to more marked attenuation but statistical significance was maintained in most cases.\nConclusion: In the present study, a higher IQ in adolescence was associated with a number of healthier behaviours in middle age. In contrast to these results, a few associations were also identified between higher intelligence and behaviours that may or may not be linked with poor health (i.e. skipping meals and snacking between meals) and with behaviours that are known to be linked with poor health (i.e. drinking alcohol and the number of cigarettes smoked). To explore mechanisms of association, future studies could test for a range of health behaviours as potential mediators between IQ and morbidity or mortality in later life.","DOI":"10.1016/j.intell.2018.04.005","ISSN":"0160-2896","note":"PMID: 30100645\nPMCID: PMC6075942","journalAbbreviation":"Intelligence","language":"eng","author":[{"family":"Wraw","given":"Christina"},{"family":"Der","given":"Geoff"},{"family":"Gale","given":"Catharine R."},{"family":"Deary","given":"Ian J."}],"issued":{"date-parts":[["2018",8]]}}}],"schema":"https://github.com/citation-style-language/schema/raw/master/csl-citation.json"} </w:instrText>
      </w:r>
      <w:r w:rsidR="00236BEB" w:rsidRPr="00C824CB">
        <w:rPr>
          <w:rFonts w:ascii="Arial" w:hAnsi="Arial" w:cs="Arial"/>
        </w:rPr>
        <w:fldChar w:fldCharType="separate"/>
      </w:r>
      <w:r w:rsidR="00714EA9" w:rsidRPr="00C824CB">
        <w:rPr>
          <w:rFonts w:ascii="Arial" w:hAnsi="Arial" w:cs="Arial"/>
        </w:rPr>
        <w:t>[39]</w:t>
      </w:r>
      <w:r w:rsidR="00236BEB" w:rsidRPr="00C824CB">
        <w:rPr>
          <w:rFonts w:ascii="Arial" w:hAnsi="Arial" w:cs="Arial"/>
        </w:rPr>
        <w:fldChar w:fldCharType="end"/>
      </w:r>
      <w:r w:rsidR="00236BEB" w:rsidRPr="00C824CB">
        <w:rPr>
          <w:rFonts w:ascii="Arial" w:hAnsi="Arial" w:cs="Arial"/>
        </w:rPr>
        <w:t xml:space="preserve">, while doing exercise or playing sports protected against the risk for </w:t>
      </w:r>
      <w:r w:rsidR="00781B30" w:rsidRPr="00C824CB">
        <w:rPr>
          <w:rFonts w:ascii="Arial" w:hAnsi="Arial" w:cs="Arial"/>
        </w:rPr>
        <w:t>ADL</w:t>
      </w:r>
      <w:r w:rsidR="00236BEB" w:rsidRPr="00C824CB">
        <w:rPr>
          <w:rFonts w:ascii="Arial" w:hAnsi="Arial" w:cs="Arial"/>
        </w:rPr>
        <w:t xml:space="preserve"> </w:t>
      </w:r>
      <w:r w:rsidR="00537A3F" w:rsidRPr="00C824CB">
        <w:rPr>
          <w:rFonts w:ascii="Arial" w:hAnsi="Arial" w:cs="Arial"/>
        </w:rPr>
        <w:t xml:space="preserve">difficulties </w:t>
      </w:r>
      <w:r w:rsidR="00236BEB" w:rsidRPr="00C824CB">
        <w:rPr>
          <w:rFonts w:ascii="Arial" w:hAnsi="Arial" w:cs="Arial"/>
        </w:rPr>
        <w:t xml:space="preserve">in a five-year survey conducted in Japan </w:t>
      </w:r>
      <w:r w:rsidR="00236BEB" w:rsidRPr="00C824CB">
        <w:rPr>
          <w:rFonts w:ascii="Arial" w:hAnsi="Arial" w:cs="Arial"/>
        </w:rPr>
        <w:fldChar w:fldCharType="begin"/>
      </w:r>
      <w:r w:rsidR="006B0C8A" w:rsidRPr="00C824CB">
        <w:rPr>
          <w:rFonts w:ascii="Arial" w:hAnsi="Arial" w:cs="Arial"/>
        </w:rPr>
        <w:instrText xml:space="preserve"> ADDIN ZOTERO_ITEM CSL_CITATION {"citationID":"Ec0yTaNI","properties":{"formattedCitation":"[40]","plainCitation":"[40]","noteIndex":0},"citationItems":[{"id":"e7jhjSDh/Q96uYOmK","uris":["http://zotero.org/users/local/9MIp3rtp/items/P954FNX9"],"uri":["http://zotero.org/users/local/9MIp3rtp/items/P954FNX9"],"itemData":{"id":202,"type":"article-journal","title":"The Impact of Leisure and Social Activities on Activities of Daily Living of Middle-Aged Adults: Evidence from a National Longitudinal Survey in Japan","container-title":"PLOS ONE","page":"e0165106","volume":"11","issue":"10","source":"PLoS Journals","abstract":"This study investigated the effects of leisure and social activities on the ability of middle-aged adults to maintain activities of daily living (ADL), and whether performing these activities alone or with others contributed to the ability to perform ADL. The study used nationally representative longitudinal data of 22,770 adults in Japan, aged 50–59 years, who did not have limitations in performing ADL at the beginning of the 5-year survey period. The study considered six activity categories: two leisure activities (“hobbies or cultural activities” and “exercise or sports”) and four social activities (“community events,” “support for children,” “support for elderly individuals,” and “other social activities”). Multiple logistic regression analysis was used to examine the relation between participation in these categories at baseline and difficulties in ADL at the 5-year follow-up. The association between the extent of social interaction during these activities (“by oneself,” “with others,” or “both”) and difficulties in ADL was also investigated. The analysis yielded significant negative correlations between “exercise or sports” and difficulties in ADL for both men and women, and between “hobbies or cultural activities” and difficulties in ADL for women. However, these significant relationships occurred only when activities were conducted “with others.” The present findings might help prevent deterioration in middle-aged adults’ performance of ADL in Japan.","DOI":"10.1371/journal.pone.0165106","ISSN":"1932-6203","shortTitle":"The Impact of Leisure and Social Activities on Activities of Daily Living of Middle-Aged Adults","journalAbbreviation":"PLOS ONE","language":"en","author":[{"family":"Monma","given":"Takafumi"},{"family":"Takeda","given":"Fumi"},{"family":"Noguchi","given":"Haruko"},{"family":"Takahashi","given":"Hideto"},{"family":"Tamiya","given":"Nanako"}],"issued":{"date-parts":[["2016",10,27]]}}}],"schema":"https://github.com/citation-style-language/schema/raw/master/csl-citation.json"} </w:instrText>
      </w:r>
      <w:r w:rsidR="00236BEB" w:rsidRPr="00C824CB">
        <w:rPr>
          <w:rFonts w:ascii="Arial" w:hAnsi="Arial" w:cs="Arial"/>
        </w:rPr>
        <w:fldChar w:fldCharType="separate"/>
      </w:r>
      <w:r w:rsidR="00714EA9" w:rsidRPr="00C824CB">
        <w:rPr>
          <w:rFonts w:ascii="Arial" w:hAnsi="Arial" w:cs="Arial"/>
        </w:rPr>
        <w:t>[40]</w:t>
      </w:r>
      <w:r w:rsidR="00236BEB" w:rsidRPr="00C824CB">
        <w:rPr>
          <w:rFonts w:ascii="Arial" w:hAnsi="Arial" w:cs="Arial"/>
        </w:rPr>
        <w:fldChar w:fldCharType="end"/>
      </w:r>
      <w:r w:rsidR="00236BEB" w:rsidRPr="00C824CB">
        <w:rPr>
          <w:rFonts w:ascii="Arial" w:hAnsi="Arial" w:cs="Arial"/>
        </w:rPr>
        <w:t>.</w:t>
      </w:r>
    </w:p>
    <w:p w14:paraId="4C18D4AA" w14:textId="77777777" w:rsidR="00236BEB" w:rsidRPr="00C824CB" w:rsidRDefault="00236BEB" w:rsidP="00236BEB">
      <w:pPr>
        <w:spacing w:line="480" w:lineRule="auto"/>
        <w:jc w:val="both"/>
        <w:rPr>
          <w:rFonts w:ascii="Arial" w:hAnsi="Arial" w:cs="Arial"/>
        </w:rPr>
      </w:pPr>
    </w:p>
    <w:p w14:paraId="330BD189" w14:textId="726D0AA5" w:rsidR="0098414F" w:rsidRPr="00C824CB" w:rsidRDefault="00236BEB" w:rsidP="00236BEB">
      <w:pPr>
        <w:spacing w:line="480" w:lineRule="auto"/>
        <w:jc w:val="both"/>
        <w:rPr>
          <w:rFonts w:ascii="Arial" w:hAnsi="Arial" w:cs="Arial"/>
          <w:i/>
        </w:rPr>
      </w:pPr>
      <w:r w:rsidRPr="00C824CB">
        <w:rPr>
          <w:rFonts w:ascii="Arial" w:hAnsi="Arial" w:cs="Arial"/>
          <w:i/>
        </w:rPr>
        <w:t>Clinical implications and directions for future research</w:t>
      </w:r>
    </w:p>
    <w:p w14:paraId="691C51FA" w14:textId="790E2005" w:rsidR="00236BEB" w:rsidRPr="00C824CB" w:rsidRDefault="0098414F" w:rsidP="00236BEB">
      <w:pPr>
        <w:spacing w:line="480" w:lineRule="auto"/>
        <w:jc w:val="both"/>
        <w:rPr>
          <w:rFonts w:ascii="Arial" w:hAnsi="Arial" w:cs="Arial"/>
        </w:rPr>
      </w:pPr>
      <w:r w:rsidRPr="00C824CB">
        <w:rPr>
          <w:rFonts w:ascii="Arial" w:hAnsi="Arial" w:cs="Arial"/>
        </w:rPr>
        <w:t xml:space="preserve">We found that </w:t>
      </w:r>
      <w:r w:rsidR="00236BEB" w:rsidRPr="00C824CB">
        <w:rPr>
          <w:rFonts w:ascii="Arial" w:hAnsi="Arial" w:cs="Arial"/>
        </w:rPr>
        <w:t xml:space="preserve">people with low IQ </w:t>
      </w:r>
      <w:r w:rsidRPr="00C824CB">
        <w:rPr>
          <w:rFonts w:ascii="Arial" w:hAnsi="Arial" w:cs="Arial"/>
        </w:rPr>
        <w:t>may be</w:t>
      </w:r>
      <w:r w:rsidR="00236BEB" w:rsidRPr="00C824CB">
        <w:rPr>
          <w:rFonts w:ascii="Arial" w:hAnsi="Arial" w:cs="Arial"/>
        </w:rPr>
        <w:t xml:space="preserve"> </w:t>
      </w:r>
      <w:r w:rsidR="00342B6D" w:rsidRPr="00C824CB">
        <w:rPr>
          <w:rFonts w:ascii="Arial" w:hAnsi="Arial" w:cs="Arial"/>
        </w:rPr>
        <w:t xml:space="preserve">at </w:t>
      </w:r>
      <w:r w:rsidR="00236BEB" w:rsidRPr="00C824CB">
        <w:rPr>
          <w:rFonts w:ascii="Arial" w:hAnsi="Arial" w:cs="Arial"/>
        </w:rPr>
        <w:t xml:space="preserve">a particular risk for disability and </w:t>
      </w:r>
      <w:r w:rsidR="00781B30" w:rsidRPr="00C824CB">
        <w:rPr>
          <w:rFonts w:ascii="Arial" w:hAnsi="Arial" w:cs="Arial"/>
        </w:rPr>
        <w:t>ADL</w:t>
      </w:r>
      <w:r w:rsidR="004261A0" w:rsidRPr="00C824CB">
        <w:rPr>
          <w:rFonts w:ascii="Arial" w:hAnsi="Arial" w:cs="Arial"/>
        </w:rPr>
        <w:t xml:space="preserve"> and </w:t>
      </w:r>
      <w:r w:rsidR="00781B30" w:rsidRPr="00C824CB">
        <w:rPr>
          <w:rFonts w:ascii="Arial" w:hAnsi="Arial" w:cs="Arial"/>
        </w:rPr>
        <w:t>IADL</w:t>
      </w:r>
      <w:r w:rsidR="007B0D96" w:rsidRPr="00C824CB">
        <w:rPr>
          <w:rFonts w:ascii="Arial" w:hAnsi="Arial" w:cs="Arial"/>
        </w:rPr>
        <w:t xml:space="preserve"> limitations</w:t>
      </w:r>
      <w:r w:rsidR="00236BEB" w:rsidRPr="00C824CB">
        <w:rPr>
          <w:rFonts w:ascii="Arial" w:hAnsi="Arial" w:cs="Arial"/>
        </w:rPr>
        <w:t xml:space="preserve">. Before going further, one has to bear in mind that IQ is rarely assessed in the general </w:t>
      </w:r>
      <w:r w:rsidR="00631B01" w:rsidRPr="00C824CB">
        <w:rPr>
          <w:rFonts w:ascii="Arial" w:hAnsi="Arial" w:cs="Arial"/>
        </w:rPr>
        <w:t xml:space="preserve">adult </w:t>
      </w:r>
      <w:r w:rsidR="00236BEB" w:rsidRPr="00C824CB">
        <w:rPr>
          <w:rFonts w:ascii="Arial" w:hAnsi="Arial" w:cs="Arial"/>
        </w:rPr>
        <w:t>population. Nevertheless, this score is frequently measured in youths with developmental problems and adults affected by psychiatric conditions.</w:t>
      </w:r>
      <w:r w:rsidR="00C70C63" w:rsidRPr="00C824CB">
        <w:rPr>
          <w:rFonts w:ascii="Arial" w:hAnsi="Arial" w:cs="Arial"/>
        </w:rPr>
        <w:t xml:space="preserve"> </w:t>
      </w:r>
      <w:r w:rsidR="00853B5D" w:rsidRPr="00C824CB">
        <w:rPr>
          <w:rFonts w:ascii="Arial" w:hAnsi="Arial" w:cs="Arial"/>
        </w:rPr>
        <w:t>O</w:t>
      </w:r>
      <w:r w:rsidR="00C70C63" w:rsidRPr="00C824CB">
        <w:rPr>
          <w:rFonts w:ascii="Arial" w:hAnsi="Arial" w:cs="Arial"/>
        </w:rPr>
        <w:t xml:space="preserve">ne key measure to prevent disability in low IQ individuals is to act on education and to allow </w:t>
      </w:r>
      <w:r w:rsidR="00853B5D" w:rsidRPr="00C824CB">
        <w:rPr>
          <w:rFonts w:ascii="Arial" w:hAnsi="Arial" w:cs="Arial"/>
        </w:rPr>
        <w:t>these individuals</w:t>
      </w:r>
      <w:r w:rsidR="00C70C63" w:rsidRPr="00C824CB">
        <w:rPr>
          <w:rFonts w:ascii="Arial" w:hAnsi="Arial" w:cs="Arial"/>
        </w:rPr>
        <w:t xml:space="preserve"> to receive appropriate health</w:t>
      </w:r>
      <w:r w:rsidR="00C31CC9" w:rsidRPr="00C824CB">
        <w:rPr>
          <w:rFonts w:ascii="Arial" w:hAnsi="Arial" w:cs="Arial"/>
        </w:rPr>
        <w:t>-related</w:t>
      </w:r>
      <w:r w:rsidR="00C70C63" w:rsidRPr="00C824CB">
        <w:rPr>
          <w:rFonts w:ascii="Arial" w:hAnsi="Arial" w:cs="Arial"/>
        </w:rPr>
        <w:t xml:space="preserve"> information even if they do not attend high school or college</w:t>
      </w:r>
      <w:r w:rsidR="00853B5D" w:rsidRPr="00C824CB">
        <w:rPr>
          <w:rFonts w:ascii="Arial" w:hAnsi="Arial" w:cs="Arial"/>
        </w:rPr>
        <w:t xml:space="preserve">. </w:t>
      </w:r>
      <w:r w:rsidR="00615093" w:rsidRPr="00C824CB">
        <w:rPr>
          <w:rFonts w:ascii="Arial" w:hAnsi="Arial" w:cs="Arial"/>
        </w:rPr>
        <w:t xml:space="preserve">In addition, </w:t>
      </w:r>
      <w:r w:rsidR="001A36EB" w:rsidRPr="00C824CB">
        <w:rPr>
          <w:rFonts w:ascii="Arial" w:hAnsi="Arial" w:cs="Arial"/>
        </w:rPr>
        <w:t xml:space="preserve">people with low cognitive abilities should be offered employment suited to their skills, and </w:t>
      </w:r>
      <w:r w:rsidR="003607AC" w:rsidRPr="00C824CB">
        <w:rPr>
          <w:rFonts w:ascii="Arial" w:hAnsi="Arial" w:cs="Arial"/>
        </w:rPr>
        <w:t xml:space="preserve">they should be regularly followed by occupational physicians. </w:t>
      </w:r>
      <w:r w:rsidR="00236BEB" w:rsidRPr="00C824CB">
        <w:rPr>
          <w:rFonts w:ascii="Arial" w:hAnsi="Arial" w:cs="Arial"/>
        </w:rPr>
        <w:t xml:space="preserve">Regarding future research, studies of longitudinal design are warranted to corroborate our results. Additional analyses are also needed to investigate the potential </w:t>
      </w:r>
      <w:r w:rsidR="004D7FA6" w:rsidRPr="00C824CB">
        <w:rPr>
          <w:rFonts w:ascii="Arial" w:hAnsi="Arial" w:cs="Arial"/>
        </w:rPr>
        <w:t xml:space="preserve">influential factors </w:t>
      </w:r>
      <w:r w:rsidR="00236BEB" w:rsidRPr="00C824CB">
        <w:rPr>
          <w:rFonts w:ascii="Arial" w:hAnsi="Arial" w:cs="Arial"/>
        </w:rPr>
        <w:t xml:space="preserve">that were not </w:t>
      </w:r>
      <w:r w:rsidR="006B1E2B" w:rsidRPr="00C824CB">
        <w:rPr>
          <w:rFonts w:ascii="Arial" w:hAnsi="Arial" w:cs="Arial"/>
        </w:rPr>
        <w:t>available</w:t>
      </w:r>
      <w:r w:rsidR="00236BEB" w:rsidRPr="00C824CB">
        <w:rPr>
          <w:rFonts w:ascii="Arial" w:hAnsi="Arial" w:cs="Arial"/>
        </w:rPr>
        <w:t xml:space="preserve"> </w:t>
      </w:r>
      <w:r w:rsidR="00471B36" w:rsidRPr="00C824CB">
        <w:rPr>
          <w:rFonts w:ascii="Arial" w:hAnsi="Arial" w:cs="Arial"/>
        </w:rPr>
        <w:t xml:space="preserve">in the dataset used </w:t>
      </w:r>
      <w:r w:rsidR="00236BEB" w:rsidRPr="00C824CB">
        <w:rPr>
          <w:rFonts w:ascii="Arial" w:hAnsi="Arial" w:cs="Arial"/>
        </w:rPr>
        <w:t>in this study (e.g., physical injury, dietary behavior, physical activity).</w:t>
      </w:r>
      <w:r w:rsidR="00E87B74" w:rsidRPr="00C824CB">
        <w:rPr>
          <w:rFonts w:ascii="Arial" w:hAnsi="Arial" w:cs="Arial"/>
        </w:rPr>
        <w:t xml:space="preserve"> Finally, randomized controlled trials </w:t>
      </w:r>
      <w:r w:rsidR="00141A5D" w:rsidRPr="00C824CB">
        <w:rPr>
          <w:rFonts w:ascii="Arial" w:hAnsi="Arial" w:cs="Arial"/>
        </w:rPr>
        <w:t>should be conducted to assess the effects of educational interventions on the risk of disability</w:t>
      </w:r>
      <w:r w:rsidR="00EC1911" w:rsidRPr="00C824CB">
        <w:rPr>
          <w:rFonts w:ascii="Arial" w:hAnsi="Arial" w:cs="Arial"/>
        </w:rPr>
        <w:t xml:space="preserve"> in people with low IQ</w:t>
      </w:r>
      <w:r w:rsidR="00141A5D" w:rsidRPr="00C824CB">
        <w:rPr>
          <w:rFonts w:ascii="Arial" w:hAnsi="Arial" w:cs="Arial"/>
        </w:rPr>
        <w:t>.</w:t>
      </w:r>
      <w:r w:rsidR="00EC1911" w:rsidRPr="00C824CB">
        <w:rPr>
          <w:rFonts w:ascii="Arial" w:hAnsi="Arial" w:cs="Arial"/>
        </w:rPr>
        <w:t xml:space="preserve"> These educational interventions</w:t>
      </w:r>
      <w:r w:rsidR="007F579D" w:rsidRPr="00C824CB">
        <w:rPr>
          <w:rFonts w:ascii="Arial" w:hAnsi="Arial" w:cs="Arial"/>
        </w:rPr>
        <w:t xml:space="preserve"> may be implemented at different levels (e.g., individual, community), while these programs may rely on various channels (e.g., booklets, face-to-face, internet)</w:t>
      </w:r>
      <w:r w:rsidR="00795721" w:rsidRPr="00C824CB">
        <w:rPr>
          <w:rFonts w:ascii="Arial" w:hAnsi="Arial" w:cs="Arial"/>
        </w:rPr>
        <w:t xml:space="preserve"> </w:t>
      </w:r>
      <w:r w:rsidR="00795721" w:rsidRPr="00C824CB">
        <w:rPr>
          <w:rFonts w:ascii="Arial" w:hAnsi="Arial" w:cs="Arial"/>
        </w:rPr>
        <w:fldChar w:fldCharType="begin"/>
      </w:r>
      <w:r w:rsidR="00795721" w:rsidRPr="00C824CB">
        <w:rPr>
          <w:rFonts w:ascii="Arial" w:hAnsi="Arial" w:cs="Arial"/>
        </w:rPr>
        <w:instrText xml:space="preserve"> ADDIN ZOTERO_ITEM CSL_CITATION {"citationID":"WABeJ8qb","properties":{"formattedCitation":"[41]","plainCitation":"[41]","noteIndex":0},"citationItems":[{"id":2117,"uris":["http://zotero.org/users/local/hhPVnw6l/items/HK4SHASW"],"uri":["http://zotero.org/users/local/hhPVnw6l/items/HK4SHASW"],"itemData":{"id":2117,"type":"article-journal","title":"Impact of educational interventions on primary prevention of cardiovascular disease: A systematic review with a focus on physical activity","container-title":"The European Journal of General Practice","page":"59-68","volume":"23","issue":"1","source":"PubMed Central","abstract":"Background: Evidence from epidemiological and experimental studies illustrates the beneficial impact of healthy lifestyle behaviours on cardiovascular risk., Objectives: To assess the effectiveness of primary care health education interventions designed to promote healthy lifestyles on physical activity levels and cardiovascular risk., Methods: A computer-aided search on PubMed and Scopus was performed to identify relevant studies published from January 2000 to October 2016. Two authors independently selected studies for inclusion and extracted data, including intervention characteristics and outcome measures, namely physical activity and cardiovascular risk or risk factors., Results: Of the 212 identified studies, 15 met the inclusion criteria. The 15 studies enrolled 6727 participants; the sample size varied between 74 and 878 adults. Fourteen studies assessed physical activity by questionnaire and only one study used accelerometry. Eight of the 15 studies showed improvements in the physical activity levels after the intervention, ranging from 5% to 26% in those where significant changes between groups were detected. Most studies reported significant positive effects of the health education interventions on cardiovascular risk factors, mainly on lipid profile, blood pressure and cardiovascular risk score., Conclusion: The health education interventions, in primary care, seem to improve daily physical activity, cardiovascular risk factors and risk score.","DOI":"10.1080/13814788.2017.1284791","ISSN":"1381-4788","note":"PMID: 28271920\nPMCID: PMC5774278","title-short":"Impact of educational interventions on primary prevention of cardiovascular disease","journalAbbreviation":"Eur J Gen Pract","author":[{"family":"Ramôa Castro","given":"Ana"},{"family":"Oliveira","given":"Nórton L."},{"family":"Ribeiro","given":"Fernando"},{"family":"Oliveira","given":"José"}],"issued":{"date-parts":[["2017",3,8]]}}}],"schema":"https://github.com/citation-style-language/schema/raw/master/csl-citation.json"} </w:instrText>
      </w:r>
      <w:r w:rsidR="00795721" w:rsidRPr="00C824CB">
        <w:rPr>
          <w:rFonts w:ascii="Arial" w:hAnsi="Arial" w:cs="Arial"/>
        </w:rPr>
        <w:fldChar w:fldCharType="separate"/>
      </w:r>
      <w:r w:rsidR="00795721" w:rsidRPr="00C824CB">
        <w:rPr>
          <w:rFonts w:ascii="Arial" w:hAnsi="Arial" w:cs="Arial"/>
          <w:noProof/>
        </w:rPr>
        <w:t>[41]</w:t>
      </w:r>
      <w:r w:rsidR="00795721" w:rsidRPr="00C824CB">
        <w:rPr>
          <w:rFonts w:ascii="Arial" w:hAnsi="Arial" w:cs="Arial"/>
        </w:rPr>
        <w:fldChar w:fldCharType="end"/>
      </w:r>
      <w:r w:rsidR="007F579D" w:rsidRPr="00C824CB">
        <w:rPr>
          <w:rFonts w:ascii="Arial" w:hAnsi="Arial" w:cs="Arial"/>
        </w:rPr>
        <w:t>.</w:t>
      </w:r>
    </w:p>
    <w:p w14:paraId="6E60FA49" w14:textId="196EA4FA" w:rsidR="00BC0AA8" w:rsidRPr="00C824CB" w:rsidRDefault="00BC0AA8" w:rsidP="00D429F4">
      <w:pPr>
        <w:spacing w:line="480" w:lineRule="auto"/>
        <w:jc w:val="both"/>
        <w:rPr>
          <w:rFonts w:ascii="Arial" w:hAnsi="Arial" w:cs="Arial"/>
        </w:rPr>
      </w:pPr>
    </w:p>
    <w:p w14:paraId="75688E46" w14:textId="53B0D7DF" w:rsidR="00BC0AA8" w:rsidRPr="00C824CB" w:rsidRDefault="00A7443B" w:rsidP="00BC0AA8">
      <w:pPr>
        <w:spacing w:line="480" w:lineRule="auto"/>
        <w:jc w:val="both"/>
        <w:rPr>
          <w:rFonts w:ascii="Arial" w:hAnsi="Arial" w:cs="Arial"/>
          <w:i/>
        </w:rPr>
      </w:pPr>
      <w:r w:rsidRPr="00C824CB">
        <w:rPr>
          <w:rFonts w:ascii="Arial" w:hAnsi="Arial" w:cs="Arial"/>
          <w:i/>
        </w:rPr>
        <w:t>Strengths and l</w:t>
      </w:r>
      <w:r w:rsidR="00BC0AA8" w:rsidRPr="00C824CB">
        <w:rPr>
          <w:rFonts w:ascii="Arial" w:hAnsi="Arial" w:cs="Arial"/>
          <w:i/>
        </w:rPr>
        <w:t>imitations</w:t>
      </w:r>
    </w:p>
    <w:p w14:paraId="4727047F" w14:textId="511B49BB" w:rsidR="00BC0AA8" w:rsidRPr="00C824CB" w:rsidRDefault="00A7443B" w:rsidP="00BC0AA8">
      <w:pPr>
        <w:spacing w:line="480" w:lineRule="auto"/>
        <w:jc w:val="both"/>
        <w:rPr>
          <w:rFonts w:ascii="Arial" w:hAnsi="Arial" w:cs="Arial"/>
        </w:rPr>
      </w:pPr>
      <w:r w:rsidRPr="00C824CB">
        <w:rPr>
          <w:rFonts w:ascii="Arial" w:hAnsi="Arial" w:cs="Arial"/>
        </w:rPr>
        <w:lastRenderedPageBreak/>
        <w:t xml:space="preserve">The use of nationally representative data and the large sample size are two strengths of this study. </w:t>
      </w:r>
      <w:r w:rsidR="00AF2A15" w:rsidRPr="00C824CB">
        <w:rPr>
          <w:rFonts w:ascii="Arial" w:hAnsi="Arial" w:cs="Arial"/>
        </w:rPr>
        <w:t>However, a</w:t>
      </w:r>
      <w:r w:rsidR="00BC0AA8" w:rsidRPr="00C824CB">
        <w:rPr>
          <w:rFonts w:ascii="Arial" w:hAnsi="Arial" w:cs="Arial"/>
        </w:rPr>
        <w:t xml:space="preserve">lthough </w:t>
      </w:r>
      <w:r w:rsidRPr="00C824CB">
        <w:rPr>
          <w:rFonts w:ascii="Arial" w:hAnsi="Arial" w:cs="Arial"/>
        </w:rPr>
        <w:t>these findings are</w:t>
      </w:r>
      <w:r w:rsidR="00BC0AA8" w:rsidRPr="00C824CB">
        <w:rPr>
          <w:rFonts w:ascii="Arial" w:hAnsi="Arial" w:cs="Arial"/>
        </w:rPr>
        <w:t xml:space="preserve"> of particular interest, there are several limitations that should be acknowledged. First, </w:t>
      </w:r>
      <w:r w:rsidR="002F7C86" w:rsidRPr="00C824CB">
        <w:rPr>
          <w:rFonts w:ascii="Arial" w:hAnsi="Arial" w:cs="Arial"/>
        </w:rPr>
        <w:t xml:space="preserve">verbal </w:t>
      </w:r>
      <w:r w:rsidR="00BC0AA8" w:rsidRPr="00C824CB">
        <w:rPr>
          <w:rFonts w:ascii="Arial" w:hAnsi="Arial" w:cs="Arial"/>
        </w:rPr>
        <w:t>IQ</w:t>
      </w:r>
      <w:r w:rsidR="002F7C86" w:rsidRPr="00C824CB">
        <w:rPr>
          <w:rFonts w:ascii="Arial" w:hAnsi="Arial" w:cs="Arial"/>
        </w:rPr>
        <w:t>, which was</w:t>
      </w:r>
      <w:r w:rsidR="00BC0AA8" w:rsidRPr="00C824CB">
        <w:rPr>
          <w:rFonts w:ascii="Arial" w:hAnsi="Arial" w:cs="Arial"/>
        </w:rPr>
        <w:t xml:space="preserve"> measured with the NART</w:t>
      </w:r>
      <w:r w:rsidR="002F7C86" w:rsidRPr="00C824CB">
        <w:rPr>
          <w:rFonts w:ascii="Arial" w:hAnsi="Arial" w:cs="Arial"/>
        </w:rPr>
        <w:t>, was used as a proxy of intelligence,</w:t>
      </w:r>
      <w:r w:rsidR="002F7CCF" w:rsidRPr="00C824CB">
        <w:rPr>
          <w:rFonts w:ascii="Arial" w:hAnsi="Arial" w:cs="Arial"/>
        </w:rPr>
        <w:t xml:space="preserve"> </w:t>
      </w:r>
      <w:r w:rsidR="00BC0AA8" w:rsidRPr="00C824CB">
        <w:rPr>
          <w:rFonts w:ascii="Arial" w:hAnsi="Arial" w:cs="Arial"/>
        </w:rPr>
        <w:t>and</w:t>
      </w:r>
      <w:r w:rsidR="002F7CCF" w:rsidRPr="00C824CB">
        <w:rPr>
          <w:rFonts w:ascii="Arial" w:hAnsi="Arial" w:cs="Arial"/>
        </w:rPr>
        <w:t xml:space="preserve"> other </w:t>
      </w:r>
      <w:r w:rsidR="002F7C86" w:rsidRPr="00C824CB">
        <w:rPr>
          <w:rFonts w:ascii="Arial" w:hAnsi="Arial" w:cs="Arial"/>
        </w:rPr>
        <w:t>components</w:t>
      </w:r>
      <w:r w:rsidR="002F7CCF" w:rsidRPr="00C824CB">
        <w:rPr>
          <w:rFonts w:ascii="Arial" w:hAnsi="Arial" w:cs="Arial"/>
        </w:rPr>
        <w:t xml:space="preserve"> (e.g., numerical, spatial, logical)</w:t>
      </w:r>
      <w:r w:rsidR="002F7C86" w:rsidRPr="00C824CB">
        <w:rPr>
          <w:rFonts w:ascii="Arial" w:hAnsi="Arial" w:cs="Arial"/>
        </w:rPr>
        <w:t xml:space="preserve"> were not investigated</w:t>
      </w:r>
      <w:r w:rsidR="002F7CCF" w:rsidRPr="00C824CB">
        <w:rPr>
          <w:rFonts w:ascii="Arial" w:hAnsi="Arial" w:cs="Arial"/>
        </w:rPr>
        <w:t xml:space="preserve">. </w:t>
      </w:r>
      <w:r w:rsidR="00BC0AA8" w:rsidRPr="00C824CB">
        <w:rPr>
          <w:rFonts w:ascii="Arial" w:hAnsi="Arial" w:cs="Arial"/>
        </w:rPr>
        <w:t xml:space="preserve">Second, disability was assessed with seven questions on ADL and IADL only, and there was no data on the type or the severity of disability. More detailed </w:t>
      </w:r>
      <w:r w:rsidRPr="00C824CB">
        <w:rPr>
          <w:rFonts w:ascii="Arial" w:hAnsi="Arial" w:cs="Arial"/>
        </w:rPr>
        <w:t>information</w:t>
      </w:r>
      <w:r w:rsidR="00BC0AA8" w:rsidRPr="00C824CB">
        <w:rPr>
          <w:rFonts w:ascii="Arial" w:hAnsi="Arial" w:cs="Arial"/>
        </w:rPr>
        <w:t xml:space="preserve"> would have allowed a better estimation of the association between IQ and disability.</w:t>
      </w:r>
      <w:r w:rsidR="004D7FA6" w:rsidRPr="00C824CB">
        <w:rPr>
          <w:rFonts w:ascii="Arial" w:hAnsi="Arial" w:cs="Arial"/>
        </w:rPr>
        <w:t xml:space="preserve"> </w:t>
      </w:r>
      <w:r w:rsidR="002F7C86" w:rsidRPr="00C824CB">
        <w:rPr>
          <w:rFonts w:ascii="Arial" w:hAnsi="Arial" w:cs="Arial"/>
        </w:rPr>
        <w:t>Third</w:t>
      </w:r>
      <w:r w:rsidR="00BC0AA8" w:rsidRPr="00C824CB">
        <w:rPr>
          <w:rFonts w:ascii="Arial" w:hAnsi="Arial" w:cs="Arial"/>
        </w:rPr>
        <w:t xml:space="preserve">, </w:t>
      </w:r>
      <w:r w:rsidR="004D7FA6" w:rsidRPr="00C824CB">
        <w:rPr>
          <w:rFonts w:ascii="Arial" w:hAnsi="Arial" w:cs="Arial"/>
        </w:rPr>
        <w:t xml:space="preserve">since </w:t>
      </w:r>
      <w:r w:rsidR="00BC0AA8" w:rsidRPr="00C824CB">
        <w:rPr>
          <w:rFonts w:ascii="Arial" w:hAnsi="Arial" w:cs="Arial"/>
        </w:rPr>
        <w:t>this was a cross-sectional study, it was not possible to determine causality or the temporal</w:t>
      </w:r>
      <w:r w:rsidR="004D7FA6" w:rsidRPr="00C824CB">
        <w:rPr>
          <w:rFonts w:ascii="Arial" w:hAnsi="Arial" w:cs="Arial"/>
        </w:rPr>
        <w:t xml:space="preserve"> association</w:t>
      </w:r>
      <w:r w:rsidR="00BC0AA8" w:rsidRPr="00C824CB">
        <w:rPr>
          <w:rFonts w:ascii="Arial" w:hAnsi="Arial" w:cs="Arial"/>
        </w:rPr>
        <w:t xml:space="preserve"> of the IQ-disability relationship.</w:t>
      </w:r>
      <w:r w:rsidR="007B4CAC" w:rsidRPr="00C824CB">
        <w:rPr>
          <w:rFonts w:ascii="Arial" w:hAnsi="Arial" w:cs="Arial"/>
        </w:rPr>
        <w:t xml:space="preserve"> Of note</w:t>
      </w:r>
      <w:r w:rsidR="00F25AD7" w:rsidRPr="00C824CB">
        <w:rPr>
          <w:rFonts w:ascii="Arial" w:hAnsi="Arial" w:cs="Arial"/>
        </w:rPr>
        <w:t xml:space="preserve">, </w:t>
      </w:r>
      <w:r w:rsidR="007B4CAC" w:rsidRPr="00C824CB">
        <w:rPr>
          <w:rFonts w:ascii="Arial" w:hAnsi="Arial" w:cs="Arial"/>
        </w:rPr>
        <w:t>mediation and confounding are distinguishable only on conceptual and not on statistical grounds</w:t>
      </w:r>
      <w:r w:rsidR="00705BF9" w:rsidRPr="00C824CB">
        <w:rPr>
          <w:rFonts w:ascii="Arial" w:hAnsi="Arial" w:cs="Arial"/>
        </w:rPr>
        <w:t xml:space="preserve"> </w:t>
      </w:r>
      <w:r w:rsidR="00705BF9" w:rsidRPr="00C824CB">
        <w:rPr>
          <w:rFonts w:ascii="Arial" w:hAnsi="Arial" w:cs="Arial"/>
        </w:rPr>
        <w:fldChar w:fldCharType="begin"/>
      </w:r>
      <w:r w:rsidR="00795721" w:rsidRPr="00C824CB">
        <w:rPr>
          <w:rFonts w:ascii="Arial" w:hAnsi="Arial" w:cs="Arial"/>
        </w:rPr>
        <w:instrText xml:space="preserve"> ADDIN ZOTERO_ITEM CSL_CITATION {"citationID":"UaFSRuvt","properties":{"formattedCitation":"[42]","plainCitation":"[42]","noteIndex":0},"citationItems":[{"id":1284,"uris":["http://zotero.org/users/local/hhPVnw6l/items/NXRRTB9E"],"uri":["http://zotero.org/users/local/hhPVnw6l/items/NXRRTB9E"],"itemData":{"id":1284,"type":"article-journal","title":"Equivalence of the Mediation, Confounding and Suppression Effect","container-title":"Prevention science : the official journal of the Society for Prevention Research","page":"173","volume":"1","issue":"4","source":"PubMed Central","abstract":"This paper describes the statistical similarities among mediation, confounding, and suppression. Each is quantified by measuring the change in the relationship between an independent and a dependent variable after adding a third variable to the analysis. Mediation and confounding are identical statistically and can be distinguished only on conceptual grounds. Methods to determine the confidence intervals for confounding and suppression effects are proposed based on methods developed for mediated effects. Although the statistical estimation of effects and standard errors is the same, there are important conceptual differences among the three types of effects.","ISSN":"1389-4986","note":"PMID: 11523746\nPMCID: PMC2819361","journalAbbreviation":"Prev Sci","author":[{"family":"MacKinnon","given":"David P."},{"family":"Krull","given":"Jennifer L."},{"family":"Lockwood","given":"Chondra M."}],"issued":{"date-parts":[["2000",12]]}}}],"schema":"https://github.com/citation-style-language/schema/raw/master/csl-citation.json"} </w:instrText>
      </w:r>
      <w:r w:rsidR="00705BF9" w:rsidRPr="00C824CB">
        <w:rPr>
          <w:rFonts w:ascii="Arial" w:hAnsi="Arial" w:cs="Arial"/>
        </w:rPr>
        <w:fldChar w:fldCharType="separate"/>
      </w:r>
      <w:r w:rsidR="00795721" w:rsidRPr="00C824CB">
        <w:rPr>
          <w:rFonts w:ascii="Arial" w:hAnsi="Arial" w:cs="Arial"/>
          <w:noProof/>
        </w:rPr>
        <w:t>[42]</w:t>
      </w:r>
      <w:r w:rsidR="00705BF9" w:rsidRPr="00C824CB">
        <w:rPr>
          <w:rFonts w:ascii="Arial" w:hAnsi="Arial" w:cs="Arial"/>
        </w:rPr>
        <w:fldChar w:fldCharType="end"/>
      </w:r>
      <w:r w:rsidR="007B4CAC" w:rsidRPr="00C824CB">
        <w:rPr>
          <w:rFonts w:ascii="Arial" w:hAnsi="Arial" w:cs="Arial"/>
        </w:rPr>
        <w:t xml:space="preserve">, </w:t>
      </w:r>
      <w:r w:rsidR="006F2C0A" w:rsidRPr="00C824CB">
        <w:rPr>
          <w:rFonts w:ascii="Arial" w:hAnsi="Arial" w:cs="Arial"/>
        </w:rPr>
        <w:t xml:space="preserve">and thus it was not possible to determine if covariates </w:t>
      </w:r>
      <w:r w:rsidR="00E73A68" w:rsidRPr="00C824CB">
        <w:rPr>
          <w:rFonts w:ascii="Arial" w:hAnsi="Arial" w:cs="Arial"/>
        </w:rPr>
        <w:t>were</w:t>
      </w:r>
      <w:r w:rsidR="006F2C0A" w:rsidRPr="00C824CB">
        <w:rPr>
          <w:rFonts w:ascii="Arial" w:hAnsi="Arial" w:cs="Arial"/>
        </w:rPr>
        <w:t xml:space="preserve"> mediating or confounding factors.</w:t>
      </w:r>
    </w:p>
    <w:p w14:paraId="3EE459B9" w14:textId="77777777" w:rsidR="00BC0AA8" w:rsidRPr="00C824CB" w:rsidRDefault="00BC0AA8" w:rsidP="00BC0AA8">
      <w:pPr>
        <w:spacing w:line="480" w:lineRule="auto"/>
        <w:jc w:val="both"/>
        <w:rPr>
          <w:rFonts w:ascii="Arial" w:hAnsi="Arial" w:cs="Arial"/>
        </w:rPr>
      </w:pPr>
    </w:p>
    <w:p w14:paraId="5952E306" w14:textId="77777777" w:rsidR="00BC0AA8" w:rsidRPr="00C824CB" w:rsidRDefault="00BC0AA8" w:rsidP="00BC0AA8">
      <w:pPr>
        <w:spacing w:line="480" w:lineRule="auto"/>
        <w:jc w:val="both"/>
        <w:rPr>
          <w:rFonts w:ascii="Arial" w:hAnsi="Arial" w:cs="Arial"/>
          <w:i/>
        </w:rPr>
      </w:pPr>
      <w:r w:rsidRPr="00C824CB">
        <w:rPr>
          <w:rFonts w:ascii="Arial" w:hAnsi="Arial" w:cs="Arial"/>
          <w:i/>
        </w:rPr>
        <w:t>Conclusions</w:t>
      </w:r>
    </w:p>
    <w:p w14:paraId="6574EBFA" w14:textId="1EE86945" w:rsidR="00350C06" w:rsidRPr="00C824CB" w:rsidRDefault="00BC0AA8" w:rsidP="00350C06">
      <w:pPr>
        <w:spacing w:line="480" w:lineRule="auto"/>
        <w:jc w:val="both"/>
        <w:rPr>
          <w:rFonts w:ascii="Arial" w:hAnsi="Arial" w:cs="Arial"/>
        </w:rPr>
      </w:pPr>
      <w:r w:rsidRPr="00C824CB">
        <w:rPr>
          <w:rFonts w:ascii="Arial" w:hAnsi="Arial" w:cs="Arial"/>
        </w:rPr>
        <w:t>There was a positive association between low IQ and disability in England, and socioeconomic status explained more than one</w:t>
      </w:r>
      <w:r w:rsidR="005C6D1E" w:rsidRPr="00C824CB">
        <w:rPr>
          <w:rFonts w:ascii="Arial" w:hAnsi="Arial" w:cs="Arial"/>
        </w:rPr>
        <w:t>-</w:t>
      </w:r>
      <w:r w:rsidRPr="00C824CB">
        <w:rPr>
          <w:rFonts w:ascii="Arial" w:hAnsi="Arial" w:cs="Arial"/>
        </w:rPr>
        <w:t xml:space="preserve">third of this relationship. Studies of longitudinal design are warranted to corroborate our findings, and future research should focus on additional </w:t>
      </w:r>
      <w:r w:rsidR="006B4FA7" w:rsidRPr="00C824CB">
        <w:rPr>
          <w:rFonts w:ascii="Arial" w:hAnsi="Arial" w:cs="Arial"/>
        </w:rPr>
        <w:t xml:space="preserve">potential </w:t>
      </w:r>
      <w:r w:rsidR="004D7FA6" w:rsidRPr="00C824CB">
        <w:rPr>
          <w:rFonts w:ascii="Arial" w:hAnsi="Arial" w:cs="Arial"/>
        </w:rPr>
        <w:t xml:space="preserve">factors </w:t>
      </w:r>
      <w:r w:rsidRPr="00C824CB">
        <w:rPr>
          <w:rFonts w:ascii="Arial" w:hAnsi="Arial" w:cs="Arial"/>
        </w:rPr>
        <w:t>involved in this associatio</w:t>
      </w:r>
      <w:r w:rsidR="00350C06" w:rsidRPr="00C824CB">
        <w:rPr>
          <w:rFonts w:ascii="Arial" w:hAnsi="Arial" w:cs="Arial"/>
        </w:rPr>
        <w:t>n.</w:t>
      </w:r>
    </w:p>
    <w:p w14:paraId="10CE5B2E" w14:textId="578CAA1C" w:rsidR="00BB32FC" w:rsidRPr="00C824CB" w:rsidRDefault="00BB32FC" w:rsidP="00350C06">
      <w:pPr>
        <w:spacing w:line="480" w:lineRule="auto"/>
        <w:jc w:val="both"/>
        <w:rPr>
          <w:rFonts w:ascii="Arial" w:hAnsi="Arial" w:cs="Arial"/>
        </w:rPr>
      </w:pPr>
    </w:p>
    <w:p w14:paraId="0E55314F" w14:textId="77777777" w:rsidR="00BB3CBE" w:rsidRPr="00C824CB" w:rsidRDefault="00BB3CBE" w:rsidP="00BB3C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b/>
        </w:rPr>
      </w:pPr>
      <w:r w:rsidRPr="00C824CB">
        <w:rPr>
          <w:rFonts w:ascii="Arial" w:hAnsi="Arial" w:cs="Arial"/>
          <w:b/>
        </w:rPr>
        <w:t>Acknowledgements</w:t>
      </w:r>
    </w:p>
    <w:p w14:paraId="75515CA4" w14:textId="77777777" w:rsidR="00BB3CBE" w:rsidRPr="00C824CB" w:rsidRDefault="00BB3CBE" w:rsidP="00BB3CBE">
      <w:pPr>
        <w:spacing w:line="480" w:lineRule="auto"/>
        <w:jc w:val="both"/>
        <w:rPr>
          <w:rFonts w:ascii="Arial" w:hAnsi="Arial" w:cs="Arial"/>
        </w:rPr>
      </w:pPr>
      <w:r w:rsidRPr="00C824CB">
        <w:rPr>
          <w:rFonts w:ascii="Arial" w:hAnsi="Arial" w:cs="Arial"/>
        </w:rPr>
        <w:t xml:space="preserve">We would like to thank the National Center for Social Research and the University of Leicester who were the Principal Investigators of this survey. In addition, we would also like to thank the UK Data Archive, the National Center for Social Research, and </w:t>
      </w:r>
      <w:r w:rsidRPr="00C824CB">
        <w:rPr>
          <w:rFonts w:ascii="Arial" w:hAnsi="Arial" w:cs="Arial"/>
        </w:rPr>
        <w:lastRenderedPageBreak/>
        <w:t>other relevant bodies for making these data publically available. They bear no responsibility for this analysis or interpretation of this publically available dataset.</w:t>
      </w:r>
    </w:p>
    <w:p w14:paraId="4D5C0194" w14:textId="77777777" w:rsidR="00BB3CBE" w:rsidRPr="00C824CB" w:rsidRDefault="00BB3CBE" w:rsidP="00BB3CBE">
      <w:pPr>
        <w:spacing w:line="480" w:lineRule="auto"/>
        <w:jc w:val="both"/>
        <w:rPr>
          <w:rFonts w:ascii="Arial" w:hAnsi="Arial" w:cs="Arial"/>
        </w:rPr>
      </w:pPr>
    </w:p>
    <w:p w14:paraId="5DB56A4C" w14:textId="77777777" w:rsidR="00BB3CBE" w:rsidRPr="00C824CB" w:rsidRDefault="00BB3CBE" w:rsidP="00BB3CBE">
      <w:pPr>
        <w:spacing w:line="480" w:lineRule="auto"/>
        <w:jc w:val="both"/>
        <w:rPr>
          <w:rFonts w:ascii="Arial" w:hAnsi="Arial" w:cs="Arial"/>
          <w:b/>
        </w:rPr>
      </w:pPr>
      <w:r w:rsidRPr="00C824CB">
        <w:rPr>
          <w:rFonts w:ascii="Arial" w:hAnsi="Arial" w:cs="Arial"/>
          <w:b/>
        </w:rPr>
        <w:t>Data availability statement</w:t>
      </w:r>
    </w:p>
    <w:p w14:paraId="13BBD628" w14:textId="77777777" w:rsidR="00BB3CBE" w:rsidRPr="00C824CB" w:rsidRDefault="00BB3CBE" w:rsidP="00BB3CBE">
      <w:pPr>
        <w:spacing w:line="480" w:lineRule="auto"/>
        <w:jc w:val="both"/>
        <w:rPr>
          <w:rFonts w:ascii="Arial" w:hAnsi="Arial" w:cs="Arial"/>
        </w:rPr>
      </w:pPr>
      <w:r w:rsidRPr="00C824CB">
        <w:rPr>
          <w:rFonts w:ascii="Arial" w:hAnsi="Arial" w:cs="Arial"/>
        </w:rPr>
        <w:t>The dataset on which the present study was based is publicly available to all interested researchers but they must make a formal request to the UK data service data repository (https://www.ukdataservice.ac.uk/) where the dataset is stored.</w:t>
      </w:r>
    </w:p>
    <w:p w14:paraId="28136944" w14:textId="77777777" w:rsidR="00BB3CBE" w:rsidRPr="00C824CB" w:rsidRDefault="00BB3CBE" w:rsidP="00BB3CBE">
      <w:pPr>
        <w:spacing w:line="480" w:lineRule="auto"/>
        <w:jc w:val="both"/>
        <w:rPr>
          <w:rFonts w:ascii="Arial" w:hAnsi="Arial" w:cs="Arial"/>
        </w:rPr>
      </w:pPr>
    </w:p>
    <w:p w14:paraId="0BBA1A0B" w14:textId="77777777" w:rsidR="00BB3CBE" w:rsidRPr="00C824CB" w:rsidRDefault="00BB3CBE" w:rsidP="00BB3CBE">
      <w:pPr>
        <w:spacing w:line="480" w:lineRule="auto"/>
        <w:jc w:val="both"/>
        <w:rPr>
          <w:rFonts w:ascii="Arial" w:hAnsi="Arial" w:cs="Arial"/>
          <w:b/>
        </w:rPr>
      </w:pPr>
      <w:r w:rsidRPr="00C824CB">
        <w:rPr>
          <w:rFonts w:ascii="Arial" w:hAnsi="Arial" w:cs="Arial"/>
          <w:b/>
        </w:rPr>
        <w:t>Conflict of interests</w:t>
      </w:r>
    </w:p>
    <w:p w14:paraId="0EE1C965" w14:textId="1AE017EB" w:rsidR="00BB3CBE" w:rsidRPr="00C824CB" w:rsidRDefault="00BB3CBE" w:rsidP="00BB3CBE">
      <w:pPr>
        <w:spacing w:line="480" w:lineRule="auto"/>
        <w:jc w:val="both"/>
        <w:rPr>
          <w:rFonts w:ascii="Arial" w:hAnsi="Arial" w:cs="Arial"/>
        </w:rPr>
      </w:pPr>
      <w:r w:rsidRPr="00C824CB">
        <w:rPr>
          <w:rFonts w:ascii="Arial" w:hAnsi="Arial" w:cs="Arial"/>
        </w:rPr>
        <w:t xml:space="preserve">We have no </w:t>
      </w:r>
      <w:r w:rsidR="00A742C5" w:rsidRPr="00C824CB">
        <w:rPr>
          <w:rFonts w:ascii="Arial" w:hAnsi="Arial" w:cs="Arial"/>
        </w:rPr>
        <w:t>c</w:t>
      </w:r>
      <w:r w:rsidRPr="00C824CB">
        <w:rPr>
          <w:rFonts w:ascii="Arial" w:hAnsi="Arial" w:cs="Arial"/>
        </w:rPr>
        <w:t xml:space="preserve">onflict of </w:t>
      </w:r>
      <w:r w:rsidR="00A742C5" w:rsidRPr="00C824CB">
        <w:rPr>
          <w:rFonts w:ascii="Arial" w:hAnsi="Arial" w:cs="Arial"/>
        </w:rPr>
        <w:t>i</w:t>
      </w:r>
      <w:r w:rsidRPr="00C824CB">
        <w:rPr>
          <w:rFonts w:ascii="Arial" w:hAnsi="Arial" w:cs="Arial"/>
        </w:rPr>
        <w:t>nterest.</w:t>
      </w:r>
    </w:p>
    <w:p w14:paraId="7CF39375" w14:textId="77777777" w:rsidR="00BB3CBE" w:rsidRPr="00C824CB" w:rsidRDefault="00BB3CBE" w:rsidP="00BB3CBE">
      <w:pPr>
        <w:spacing w:line="480" w:lineRule="auto"/>
        <w:jc w:val="both"/>
        <w:rPr>
          <w:rFonts w:ascii="Arial" w:hAnsi="Arial" w:cs="Arial"/>
          <w:b/>
        </w:rPr>
      </w:pPr>
    </w:p>
    <w:p w14:paraId="06F7D746" w14:textId="77777777" w:rsidR="00BB3CBE" w:rsidRPr="00C824CB" w:rsidRDefault="00BB3CBE" w:rsidP="00BB3CBE">
      <w:pPr>
        <w:spacing w:line="480" w:lineRule="auto"/>
        <w:jc w:val="both"/>
        <w:rPr>
          <w:rFonts w:ascii="Arial" w:hAnsi="Arial" w:cs="Arial"/>
          <w:b/>
        </w:rPr>
      </w:pPr>
      <w:r w:rsidRPr="00C824CB">
        <w:rPr>
          <w:rFonts w:ascii="Arial" w:hAnsi="Arial" w:cs="Arial"/>
          <w:b/>
        </w:rPr>
        <w:t>Funding</w:t>
      </w:r>
    </w:p>
    <w:p w14:paraId="6D0A5904" w14:textId="77777777" w:rsidR="00BB3CBE" w:rsidRPr="00C824CB" w:rsidRDefault="00BB3CBE" w:rsidP="00BB3CBE">
      <w:pPr>
        <w:spacing w:line="480" w:lineRule="auto"/>
        <w:jc w:val="both"/>
        <w:rPr>
          <w:rFonts w:ascii="Arial" w:hAnsi="Arial" w:cs="Arial"/>
        </w:rPr>
      </w:pPr>
      <w:r w:rsidRPr="00C824CB">
        <w:rPr>
          <w:rFonts w:ascii="Arial" w:hAnsi="Arial" w:cs="Arial"/>
        </w:rPr>
        <w:t>None.</w:t>
      </w:r>
    </w:p>
    <w:p w14:paraId="4105DE52" w14:textId="77777777" w:rsidR="00BB3CBE" w:rsidRPr="00C824CB" w:rsidRDefault="00BB3CBE" w:rsidP="00BB3CBE">
      <w:pPr>
        <w:spacing w:line="480" w:lineRule="auto"/>
        <w:jc w:val="both"/>
        <w:rPr>
          <w:rFonts w:ascii="Arial" w:hAnsi="Arial" w:cs="Arial"/>
        </w:rPr>
      </w:pPr>
    </w:p>
    <w:p w14:paraId="192ED0F9" w14:textId="77777777" w:rsidR="00BB3CBE" w:rsidRPr="00C824CB" w:rsidRDefault="00BB3CBE" w:rsidP="00BB3CBE">
      <w:pPr>
        <w:spacing w:line="480" w:lineRule="auto"/>
        <w:jc w:val="both"/>
        <w:rPr>
          <w:rFonts w:ascii="Arial" w:hAnsi="Arial" w:cs="Arial"/>
          <w:b/>
        </w:rPr>
      </w:pPr>
      <w:r w:rsidRPr="00C824CB">
        <w:rPr>
          <w:rFonts w:ascii="Arial" w:hAnsi="Arial" w:cs="Arial"/>
          <w:b/>
        </w:rPr>
        <w:t>Contributors</w:t>
      </w:r>
    </w:p>
    <w:p w14:paraId="3413AA7D" w14:textId="77777777" w:rsidR="00BB3CBE" w:rsidRPr="00C824CB" w:rsidRDefault="00BB3CBE" w:rsidP="00BB3CBE">
      <w:pPr>
        <w:spacing w:line="480" w:lineRule="auto"/>
        <w:jc w:val="both"/>
        <w:rPr>
          <w:rFonts w:ascii="Arial" w:hAnsi="Arial" w:cs="Arial"/>
        </w:rPr>
      </w:pPr>
      <w:r w:rsidRPr="00C824CB">
        <w:rPr>
          <w:rFonts w:ascii="Arial" w:hAnsi="Arial" w:cs="Arial"/>
        </w:rPr>
        <w:t>Louis Jacob and Ai Koyanagi designed the study, managed the literature search, undertook the statistical analysis, and wrote the first draft of the manuscript. Lee Smith, Philippe Thoumie, Josep Maria Haro, and Andrew Stickley contributed to the design of the study and the intellectual content. All authors contributed to and have approved the final manuscript.</w:t>
      </w:r>
    </w:p>
    <w:p w14:paraId="05D3AADA" w14:textId="77777777" w:rsidR="00BB32FC" w:rsidRPr="00C824CB" w:rsidRDefault="00BB32FC">
      <w:pPr>
        <w:rPr>
          <w:rFonts w:ascii="Arial" w:hAnsi="Arial" w:cs="Arial"/>
          <w:b/>
        </w:rPr>
      </w:pPr>
      <w:r w:rsidRPr="00C824CB">
        <w:rPr>
          <w:rFonts w:ascii="Arial" w:hAnsi="Arial" w:cs="Arial"/>
          <w:b/>
        </w:rPr>
        <w:br w:type="page"/>
      </w:r>
    </w:p>
    <w:p w14:paraId="4A66C911" w14:textId="09D685B2" w:rsidR="00BB32FC" w:rsidRPr="00C824CB" w:rsidRDefault="00BB32FC" w:rsidP="00D342D9">
      <w:pPr>
        <w:spacing w:line="480" w:lineRule="auto"/>
        <w:jc w:val="both"/>
        <w:rPr>
          <w:rFonts w:ascii="Arial" w:hAnsi="Arial" w:cs="Arial"/>
          <w:b/>
        </w:rPr>
      </w:pPr>
      <w:r w:rsidRPr="00C824CB">
        <w:rPr>
          <w:rFonts w:ascii="Arial" w:hAnsi="Arial" w:cs="Arial"/>
          <w:b/>
        </w:rPr>
        <w:lastRenderedPageBreak/>
        <w:t>References</w:t>
      </w:r>
    </w:p>
    <w:p w14:paraId="43B356DC" w14:textId="5217FF80" w:rsidR="00350C06" w:rsidRPr="00C824CB" w:rsidRDefault="00350C06" w:rsidP="00D342D9">
      <w:pPr>
        <w:spacing w:line="480" w:lineRule="auto"/>
        <w:jc w:val="both"/>
        <w:rPr>
          <w:rFonts w:ascii="Arial" w:hAnsi="Arial" w:cs="Arial"/>
        </w:rPr>
      </w:pPr>
    </w:p>
    <w:p w14:paraId="4A828806" w14:textId="77777777" w:rsidR="00795721" w:rsidRPr="00C824CB" w:rsidRDefault="00CC5A15" w:rsidP="00D342D9">
      <w:pPr>
        <w:widowControl w:val="0"/>
        <w:autoSpaceDE w:val="0"/>
        <w:autoSpaceDN w:val="0"/>
        <w:adjustRightInd w:val="0"/>
        <w:spacing w:line="480" w:lineRule="auto"/>
        <w:jc w:val="both"/>
        <w:rPr>
          <w:rFonts w:ascii="Arial" w:hAnsi="Arial" w:cs="Arial"/>
        </w:rPr>
      </w:pPr>
      <w:r w:rsidRPr="00C824CB">
        <w:rPr>
          <w:rFonts w:ascii="Arial" w:hAnsi="Arial" w:cs="Arial"/>
        </w:rPr>
        <w:fldChar w:fldCharType="begin"/>
      </w:r>
      <w:r w:rsidR="00714EA9" w:rsidRPr="00C824CB">
        <w:rPr>
          <w:rFonts w:ascii="Arial" w:hAnsi="Arial" w:cs="Arial"/>
        </w:rPr>
        <w:instrText xml:space="preserve"> ADDIN ZOTERO_BIBL {"uncited":[],"omitted":[],"custom":[]} CSL_BIBLIOGRAPHY </w:instrText>
      </w:r>
      <w:r w:rsidRPr="00C824CB">
        <w:rPr>
          <w:rFonts w:ascii="Arial" w:hAnsi="Arial" w:cs="Arial"/>
        </w:rPr>
        <w:fldChar w:fldCharType="separate"/>
      </w:r>
      <w:r w:rsidR="00795721" w:rsidRPr="00C824CB">
        <w:rPr>
          <w:rFonts w:ascii="Arial" w:hAnsi="Arial" w:cs="Arial"/>
        </w:rPr>
        <w:t>[1]</w:t>
      </w:r>
      <w:r w:rsidR="00795721" w:rsidRPr="00C824CB">
        <w:rPr>
          <w:rFonts w:ascii="Arial" w:hAnsi="Arial" w:cs="Arial"/>
        </w:rPr>
        <w:tab/>
        <w:t>World Health Organization. Disability and health 2018. https://www.who.int/news-room/fact-sheets/detail/disability-and-health (accessed March 2, 2019).</w:t>
      </w:r>
    </w:p>
    <w:p w14:paraId="0CA92DF1"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[2]</w:t>
      </w:r>
      <w:r w:rsidRPr="00C824CB">
        <w:rPr>
          <w:rFonts w:ascii="Arial" w:hAnsi="Arial" w:cs="Arial"/>
        </w:rPr>
        <w:tab/>
        <w:t>McColl MA, Jarzynowska A, Shortt SED. Unmet health care needs of people with disabilities: population level evidence. Disabil Soc 2010;25:205–18. doi:10.1080/09687590903537406.</w:t>
      </w:r>
    </w:p>
    <w:p w14:paraId="51542F45"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[3]</w:t>
      </w:r>
      <w:r w:rsidRPr="00C824CB">
        <w:rPr>
          <w:rFonts w:ascii="Arial" w:hAnsi="Arial" w:cs="Arial"/>
        </w:rPr>
        <w:tab/>
        <w:t>Wynia K, Middel B, van Dijk JP, De Keyser JHA, Reijneveld SA. The impact of disabilities on quality of life in people with multiple sclerosis. Mult Scler Houndmills Basingstoke Engl 2008;14:972–80. doi:10.1177/1352458508091260.</w:t>
      </w:r>
    </w:p>
    <w:p w14:paraId="25A6572A"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[4]</w:t>
      </w:r>
      <w:r w:rsidRPr="00C824CB">
        <w:rPr>
          <w:rFonts w:ascii="Arial" w:hAnsi="Arial" w:cs="Arial"/>
        </w:rPr>
        <w:tab/>
        <w:t>Majer IM, Nusselder WJ, Mackenbach JP, Klijs B, van Baal PHM. Mortality Risk Associated With Disability: A Population-Based Record Linkage Study. Am J Public Health 2011;101:e9–15. doi:10.2105/AJPH.2011.300361.</w:t>
      </w:r>
    </w:p>
    <w:p w14:paraId="796AABB7"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[5]</w:t>
      </w:r>
      <w:r w:rsidRPr="00C824CB">
        <w:rPr>
          <w:rFonts w:ascii="Arial" w:hAnsi="Arial" w:cs="Arial"/>
        </w:rPr>
        <w:tab/>
        <w:t>Jokela M, Elovainio M, Singh-Manoux A, Kivimäki M. IQ, socioeconomic status, and early death: The US National Longitudinal Survey of Youth. Psychosom Med 2009;71:322–8. doi:10.1097/PSY.0b013e31819b69f6.</w:t>
      </w:r>
    </w:p>
    <w:p w14:paraId="0C4A73EF"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[6]</w:t>
      </w:r>
      <w:r w:rsidRPr="00C824CB">
        <w:rPr>
          <w:rFonts w:ascii="Arial" w:hAnsi="Arial" w:cs="Arial"/>
        </w:rPr>
        <w:tab/>
        <w:t>Starr JM, Deary IJ, Lemmon H, Whalley LJ. Mental ability age 11 years and health status age 77 years. Age Ageing 2000;29:523–8.</w:t>
      </w:r>
    </w:p>
    <w:p w14:paraId="1F4E5365"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[7]</w:t>
      </w:r>
      <w:r w:rsidRPr="00C824CB">
        <w:rPr>
          <w:rFonts w:ascii="Arial" w:hAnsi="Arial" w:cs="Arial"/>
        </w:rPr>
        <w:tab/>
        <w:t>Seymour DG, Starr JM, Fox HC, Lemmon HA, Deary IJ, Prescott GJ, et al. Quality of life and its correlates in octogenarians. Use of the SEIQoL-DW in Wave 5 of the Aberdeen Birth Cohort 1921 Study (ABC1921). Qual Life Res Int J Qual Life Asp Treat Care Rehabil 2008;17:11–20. doi:10.1007/s11136-007-9291-4.</w:t>
      </w:r>
    </w:p>
    <w:p w14:paraId="1AE20CAE"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[8]</w:t>
      </w:r>
      <w:r w:rsidRPr="00C824CB">
        <w:rPr>
          <w:rFonts w:ascii="Arial" w:hAnsi="Arial" w:cs="Arial"/>
        </w:rPr>
        <w:tab/>
        <w:t xml:space="preserve">Kilgour AHM, Starr JM, Whalley LJ. Associations between childhood intelligence (IQ), adult morbidity and mortality. Maturitas 2010;65:98–105. </w:t>
      </w:r>
      <w:r w:rsidRPr="00C824CB">
        <w:rPr>
          <w:rFonts w:ascii="Arial" w:hAnsi="Arial" w:cs="Arial"/>
        </w:rPr>
        <w:lastRenderedPageBreak/>
        <w:t>doi:10.1016/j.maturitas.2009.09.021.</w:t>
      </w:r>
    </w:p>
    <w:p w14:paraId="6D0D3185"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[9]</w:t>
      </w:r>
      <w:r w:rsidRPr="00C824CB">
        <w:rPr>
          <w:rFonts w:ascii="Arial" w:hAnsi="Arial" w:cs="Arial"/>
        </w:rPr>
        <w:tab/>
        <w:t>Irwing P, Lynn R. The relation between childhood IQ and income in middle age. J Soc Polit Econ Stud 2006;31:191–6.</w:t>
      </w:r>
    </w:p>
    <w:p w14:paraId="2E31B201"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[10]</w:t>
      </w:r>
      <w:r w:rsidRPr="00C824CB">
        <w:rPr>
          <w:rFonts w:ascii="Arial" w:hAnsi="Arial" w:cs="Arial"/>
        </w:rPr>
        <w:tab/>
        <w:t>Seto J, Davis J, Taira DA. Examining the Association Between Different Aspects of Socioeconomic Status, Race, and Disability in Hawaii. J Racial Ethn Health Disparities 2018;5:1247–53. doi:10.1007/s40615-018-0471-4.</w:t>
      </w:r>
    </w:p>
    <w:p w14:paraId="43869F6A"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[11]</w:t>
      </w:r>
      <w:r w:rsidRPr="00C824CB">
        <w:rPr>
          <w:rFonts w:ascii="Arial" w:hAnsi="Arial" w:cs="Arial"/>
        </w:rPr>
        <w:tab/>
        <w:t>Clark CD, Gist NP. Intelligence as a Factor in Occupational Choice. Am Sociol Rev 1938;3:683–94. doi:10.2307/2084687.</w:t>
      </w:r>
    </w:p>
    <w:p w14:paraId="1E9E7130"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[12]</w:t>
      </w:r>
      <w:r w:rsidRPr="00C824CB">
        <w:rPr>
          <w:rFonts w:ascii="Arial" w:hAnsi="Arial" w:cs="Arial"/>
        </w:rPr>
        <w:tab/>
        <w:t>Ramsay SE, Whincup PH, Morris RW, Lennon LT, Wannamethee SG. Extent of Social Inequalities in Disability in the Elderly: Results From a Population-based Study of British Men. Ann Epidemiol 2008;18:896–903. doi:10.1016/j.annepidem.2008.09.006.</w:t>
      </w:r>
    </w:p>
    <w:p w14:paraId="3F690372"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[13]</w:t>
      </w:r>
      <w:r w:rsidRPr="00C824CB">
        <w:rPr>
          <w:rFonts w:ascii="Arial" w:hAnsi="Arial" w:cs="Arial"/>
        </w:rPr>
        <w:tab/>
        <w:t>Deary IJ, Strand S, Smith P, Fernandes C. Intelligence and educational achievement. Intelligence 2007;35:13–21. doi:10.1016/j.intell.2006.02.001.</w:t>
      </w:r>
    </w:p>
    <w:p w14:paraId="3AB6116B"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[14]</w:t>
      </w:r>
      <w:r w:rsidRPr="00C824CB">
        <w:rPr>
          <w:rFonts w:ascii="Arial" w:hAnsi="Arial" w:cs="Arial"/>
        </w:rPr>
        <w:tab/>
        <w:t>Guzman-Castillo M, Ahmadi-Abhari S, Bandosz P, Capewell S, Steptoe A, Singh-Manoux A, et al. Forecasted trends in disability and life expectancy in England and Wales up to 2025: a modelling study. Lancet Public Health 2017;2:e307–13. doi:10.1016/S2468-2667(17)30091-9.</w:t>
      </w:r>
    </w:p>
    <w:p w14:paraId="75C70A03"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[15]</w:t>
      </w:r>
      <w:r w:rsidRPr="00C824CB">
        <w:rPr>
          <w:rFonts w:ascii="Arial" w:hAnsi="Arial" w:cs="Arial"/>
        </w:rPr>
        <w:tab/>
        <w:t>Jenkins R, Meltzer H, Bebbington P, Brugha T, Farrell M, McManus S, et al. The British Mental Health Survey Programme: achievements and latest findings. Soc Psychiatry Psychiatr Epidemiol 2009;44:899–904. doi:10.1007/s00127-009-0112-7.</w:t>
      </w:r>
    </w:p>
    <w:p w14:paraId="6FD8149D"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[16]</w:t>
      </w:r>
      <w:r w:rsidRPr="00C824CB">
        <w:rPr>
          <w:rFonts w:ascii="Arial" w:hAnsi="Arial" w:cs="Arial"/>
        </w:rPr>
        <w:tab/>
        <w:t>McManus S, Meltzer H, Brugha T, Bebbington P, Jenkins R. Adult Psychiatric Morbidity in England, 2007: Results of a Household Survey. London: The NHS Information Centre for Health and Social Care; 2009.</w:t>
      </w:r>
    </w:p>
    <w:p w14:paraId="4F9BD13B"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[17]</w:t>
      </w:r>
      <w:r w:rsidRPr="00C824CB">
        <w:rPr>
          <w:rFonts w:ascii="Arial" w:hAnsi="Arial" w:cs="Arial"/>
        </w:rPr>
        <w:tab/>
        <w:t xml:space="preserve">Jacob L, Haro JM, Koyanagi A. Association between intelligence quotient and </w:t>
      </w:r>
      <w:r w:rsidRPr="00C824CB">
        <w:rPr>
          <w:rFonts w:ascii="Arial" w:hAnsi="Arial" w:cs="Arial"/>
        </w:rPr>
        <w:lastRenderedPageBreak/>
        <w:t>violence perpetration in the English general population. Psychol Med 2018:1–8. doi:10.1017/S0033291718001939.</w:t>
      </w:r>
    </w:p>
    <w:p w14:paraId="27B6AA90"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[18]</w:t>
      </w:r>
      <w:r w:rsidRPr="00C824CB">
        <w:rPr>
          <w:rFonts w:ascii="Arial" w:hAnsi="Arial" w:cs="Arial"/>
        </w:rPr>
        <w:tab/>
        <w:t>Jiang J, Tang Z, Meng XJ, Futatsuka M. Demographic determinants for change in activities of daily living: a cohort study of the elderly people in Beijing. J Epidemiol 2002;12:280–6.</w:t>
      </w:r>
    </w:p>
    <w:p w14:paraId="25BA1FE5"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[19]</w:t>
      </w:r>
      <w:r w:rsidRPr="00C824CB">
        <w:rPr>
          <w:rFonts w:ascii="Arial" w:hAnsi="Arial" w:cs="Arial"/>
        </w:rPr>
        <w:tab/>
        <w:t>Moore AA, Endo JO, Carter MK. Is there a relationship between excessive drinking and functional impairment in older persons? J Am Geriatr Soc 2003;51:44–9.</w:t>
      </w:r>
    </w:p>
    <w:p w14:paraId="706655E7"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[20]</w:t>
      </w:r>
      <w:r w:rsidRPr="00C824CB">
        <w:rPr>
          <w:rFonts w:ascii="Arial" w:hAnsi="Arial" w:cs="Arial"/>
        </w:rPr>
        <w:tab/>
        <w:t>Taylor MD, Hart CL, Smith GD, Whalley LJ, Hole DJ, Wilson V, et al. Childhood IQ and marriage by mid-life: the Scottish Mental Survey 1932 and the Midspan studies. Personal Individ Differ 2005;38:1621–30. doi:10.1016/j.paid.2004.09.021.</w:t>
      </w:r>
    </w:p>
    <w:p w14:paraId="20FA6439"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[21]</w:t>
      </w:r>
      <w:r w:rsidRPr="00C824CB">
        <w:rPr>
          <w:rFonts w:ascii="Arial" w:hAnsi="Arial" w:cs="Arial"/>
        </w:rPr>
        <w:tab/>
        <w:t>Lippold T, Burns J. Social support and intellectual disabilities: a comparison between social networks of adults with intellectual disability and those with physical disability. J Intellect Disabil Res JIDR 2009;53:463–73. doi:10.1111/j.1365-2788.2009.01170.x.</w:t>
      </w:r>
    </w:p>
    <w:p w14:paraId="40E3A85D"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[22]</w:t>
      </w:r>
      <w:r w:rsidRPr="00C824CB">
        <w:rPr>
          <w:rFonts w:ascii="Arial" w:hAnsi="Arial" w:cs="Arial"/>
        </w:rPr>
        <w:tab/>
        <w:t>Henry BL, Minassian A, Perry W. Effect of methamphetamine dependence on everyday functional ability. Addict Behav 2010;35:593–8. doi:10.1016/j.addbeh.2010.01.013.</w:t>
      </w:r>
    </w:p>
    <w:p w14:paraId="78BEC076"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[23]</w:t>
      </w:r>
      <w:r w:rsidRPr="00C824CB">
        <w:rPr>
          <w:rFonts w:ascii="Arial" w:hAnsi="Arial" w:cs="Arial"/>
        </w:rPr>
        <w:tab/>
        <w:t>Takashima N, Miura K, Hozawa A, Okamura T, Hayakawa T, Okuda N, et al. Cigarette smoking in middle age and a long-term risk of impaired activities of daily living: NIPPON DATA80. Nicotine Tob Res Off J Soc Res Nicotine Tob 2010;12:944–9. doi:10.1093/ntr/ntq121.</w:t>
      </w:r>
    </w:p>
    <w:p w14:paraId="48EA766A"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[24]</w:t>
      </w:r>
      <w:r w:rsidRPr="00C824CB">
        <w:rPr>
          <w:rFonts w:ascii="Arial" w:hAnsi="Arial" w:cs="Arial"/>
        </w:rPr>
        <w:tab/>
        <w:t xml:space="preserve">Wennerstad KM, Silventoinen K, Tynelius P, Bergman L, Kaprio J, Rasmussen F. Associations between IQ and cigarette smoking among Swedish </w:t>
      </w:r>
      <w:r w:rsidRPr="00C824CB">
        <w:rPr>
          <w:rFonts w:ascii="Arial" w:hAnsi="Arial" w:cs="Arial"/>
        </w:rPr>
        <w:lastRenderedPageBreak/>
        <w:t>male twins. Soc Sci Med 1982 2010;70:575–81. doi:10.1016/j.socscimed.2009.10.050.</w:t>
      </w:r>
    </w:p>
    <w:p w14:paraId="65CD8A9C"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[25]</w:t>
      </w:r>
      <w:r w:rsidRPr="00C824CB">
        <w:rPr>
          <w:rFonts w:ascii="Arial" w:hAnsi="Arial" w:cs="Arial"/>
        </w:rPr>
        <w:tab/>
        <w:t>Backholer K, Wong E, Freak-Poli R, Walls HL, Peeters A. Increasing body weight and risk of limitations in activities of daily living: a systematic review and meta-analysis. Obes Rev Off J Int Assoc Study Obes 2012;13:456–68. doi:10.1111/j.1467-789X.2011.00970.x.</w:t>
      </w:r>
    </w:p>
    <w:p w14:paraId="194B752A"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[26]</w:t>
      </w:r>
      <w:r w:rsidRPr="00C824CB">
        <w:rPr>
          <w:rFonts w:ascii="Arial" w:hAnsi="Arial" w:cs="Arial"/>
        </w:rPr>
        <w:tab/>
        <w:t>White J, Mortensen LH, Batty GD. Cognitive ability in early adulthood as a predictor of habitual drug use during later military service and civilian life: the Vietnam Experience Study. Drug Alcohol Depend 2012;125:164–8. doi:10.1016/j.drugalcdep.2012.03.024.</w:t>
      </w:r>
    </w:p>
    <w:p w14:paraId="7EDA94B6"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[27]</w:t>
      </w:r>
      <w:r w:rsidRPr="00C824CB">
        <w:rPr>
          <w:rFonts w:ascii="Arial" w:hAnsi="Arial" w:cs="Arial"/>
        </w:rPr>
        <w:tab/>
        <w:t>Kanazawa S. Childhood intelligence and adult obesity. Obesity 2013;21:434–40. doi:10.1002/oby.20018.</w:t>
      </w:r>
    </w:p>
    <w:p w14:paraId="2287FCC2"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[28]</w:t>
      </w:r>
      <w:r w:rsidRPr="00C824CB">
        <w:rPr>
          <w:rFonts w:ascii="Arial" w:hAnsi="Arial" w:cs="Arial"/>
        </w:rPr>
        <w:tab/>
        <w:t>Torres JL, Dias RC, Ferreira FR, Macinko J, Lima-Costa MF, Torres JL, et al. Functional performance and social relations among the elderly in Greater Metropolitan Belo Horizonte, Minas Gerais State, Brazil: a population-based epidemiological study. Cad Saúde Pública 2014;30:1018–28. doi:10.1590/0102-311X00102013.</w:t>
      </w:r>
    </w:p>
    <w:p w14:paraId="55F87505"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[29]</w:t>
      </w:r>
      <w:r w:rsidRPr="00C824CB">
        <w:rPr>
          <w:rFonts w:ascii="Arial" w:hAnsi="Arial" w:cs="Arial"/>
        </w:rPr>
        <w:tab/>
        <w:t>Sjölund S, Hemmingsson T, Allebeck P. IQ and Level of Alcohol Consumption—Findings from a National Survey of Swedish Conscripts. Alcohol Clin Exp Res 2015;39:548–55. doi:10.1111/acer.12656.</w:t>
      </w:r>
    </w:p>
    <w:p w14:paraId="37AE12CA"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[30]</w:t>
      </w:r>
      <w:r w:rsidRPr="00C824CB">
        <w:rPr>
          <w:rFonts w:ascii="Arial" w:hAnsi="Arial" w:cs="Arial"/>
        </w:rPr>
        <w:tab/>
        <w:t>Calvin CM, Deary IJ, Fenton C, Roberts BA, Der G, Leckenby N, et al. Intelligence in youth and all-cause-mortality: systematic review with meta-analysis. Int J Epidemiol 2011;40:626–44. doi:10.1093/ije/dyq190.</w:t>
      </w:r>
    </w:p>
    <w:p w14:paraId="2C139E49"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[31]</w:t>
      </w:r>
      <w:r w:rsidRPr="00C824CB">
        <w:rPr>
          <w:rFonts w:ascii="Arial" w:hAnsi="Arial" w:cs="Arial"/>
        </w:rPr>
        <w:tab/>
        <w:t xml:space="preserve">Wrulich M, Brunner M, Stadler G, Schalke D, Keller U, Chmiel M, et al. Childhood intelligence and adult health: The mediating roles of education and </w:t>
      </w:r>
      <w:r w:rsidRPr="00C824CB">
        <w:rPr>
          <w:rFonts w:ascii="Arial" w:hAnsi="Arial" w:cs="Arial"/>
        </w:rPr>
        <w:lastRenderedPageBreak/>
        <w:t>socioeconomic status. Intelligence 2013;41:490–500. doi:10.1016/j.intell.2013.06.015.</w:t>
      </w:r>
    </w:p>
    <w:p w14:paraId="07AC1444"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[32]</w:t>
      </w:r>
      <w:r w:rsidRPr="00C824CB">
        <w:rPr>
          <w:rFonts w:ascii="Arial" w:hAnsi="Arial" w:cs="Arial"/>
        </w:rPr>
        <w:tab/>
        <w:t>Batty GD, Deary IJ, Schoon I, Gale CR. Childhood mental ability in relation to food intake and physical activity in adulthood: the 1970 British Cohort Study. Pediatrics 2007;119:e38-45. doi:10.1542/peds.2006-1831.</w:t>
      </w:r>
    </w:p>
    <w:p w14:paraId="6F921B97" w14:textId="77777777" w:rsidR="00795721" w:rsidRPr="00C824CB" w:rsidRDefault="00795721" w:rsidP="00D342D9">
      <w:pPr>
        <w:widowControl w:val="0"/>
        <w:autoSpaceDE w:val="0"/>
        <w:autoSpaceDN w:val="0"/>
        <w:adjustRightInd w:val="0"/>
        <w:spacing w:line="480" w:lineRule="auto"/>
        <w:jc w:val="both"/>
        <w:rPr>
          <w:rFonts w:ascii="Arial" w:hAnsi="Arial" w:cs="Arial"/>
          <w:lang w:val="fr-FR"/>
        </w:rPr>
      </w:pPr>
      <w:r w:rsidRPr="00C824CB">
        <w:rPr>
          <w:rFonts w:ascii="Arial" w:hAnsi="Arial" w:cs="Arial"/>
        </w:rPr>
        <w:t>[33]</w:t>
      </w:r>
      <w:r w:rsidRPr="00C824CB">
        <w:rPr>
          <w:rFonts w:ascii="Arial" w:hAnsi="Arial" w:cs="Arial"/>
        </w:rPr>
        <w:tab/>
        <w:t xml:space="preserve">Spengler M, Brunner M, Damian RI, Lüdtke O, Martin R, Roberts BW. Student characteristics and behaviors at age 12 predict occupational success 40 years later over and above childhood IQ and parental socioeconomic status. </w:t>
      </w:r>
      <w:r w:rsidRPr="00C824CB">
        <w:rPr>
          <w:rFonts w:ascii="Arial" w:hAnsi="Arial" w:cs="Arial"/>
          <w:lang w:val="fr-FR"/>
        </w:rPr>
        <w:t>Dev Psychol 2015;51:1329–40. doi:10.1037/dev0000025.</w:t>
      </w:r>
    </w:p>
    <w:p w14:paraId="5339541C"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lang w:val="fr-FR"/>
        </w:rPr>
        <w:t>[34]</w:t>
      </w:r>
      <w:r w:rsidRPr="00C824CB">
        <w:rPr>
          <w:rFonts w:ascii="Arial" w:hAnsi="Arial" w:cs="Arial"/>
          <w:lang w:val="fr-FR"/>
        </w:rPr>
        <w:tab/>
        <w:t xml:space="preserve">Lie SA, Tveito TH, Reme SE, Eriksen HR. </w:t>
      </w:r>
      <w:r w:rsidRPr="00C824CB">
        <w:rPr>
          <w:rFonts w:ascii="Arial" w:hAnsi="Arial" w:cs="Arial"/>
        </w:rPr>
        <w:t>IQ and mental health are vital predictors of work drop out and early mortality. Multi-state analyses of Norwegian male conscripts. PloS One 2017;12:e0180737. doi:10.1371/journal.pone.0180737.</w:t>
      </w:r>
    </w:p>
    <w:p w14:paraId="595C9182"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[35]</w:t>
      </w:r>
      <w:r w:rsidRPr="00C824CB">
        <w:rPr>
          <w:rFonts w:ascii="Arial" w:hAnsi="Arial" w:cs="Arial"/>
        </w:rPr>
        <w:tab/>
        <w:t>Chen H, Hu H. The relationship and mechanism between education and functional health status transition among older persons in China. BMC Geriatr 2018;18:89. doi:10.1186/s12877-018-0785-4.</w:t>
      </w:r>
    </w:p>
    <w:p w14:paraId="4F47122D"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[36]</w:t>
      </w:r>
      <w:r w:rsidRPr="00C824CB">
        <w:rPr>
          <w:rFonts w:ascii="Arial" w:hAnsi="Arial" w:cs="Arial"/>
        </w:rPr>
        <w:tab/>
        <w:t>Whitley E, Batty GD, Gale CR, Deary IJ, Tynelius P, Rasmussen F. Intelligence in early adulthood and subsequent risk of unintentional injury over two decades: cohort study of 1,109,475 Swedish men. J Epidemiol Community Health 2010;64:419–25. doi:10.1136/jech.2009.100669.</w:t>
      </w:r>
    </w:p>
    <w:p w14:paraId="74911C0A" w14:textId="77777777" w:rsidR="00795721" w:rsidRPr="00C824CB" w:rsidRDefault="00795721" w:rsidP="00D342D9">
      <w:pPr>
        <w:widowControl w:val="0"/>
        <w:autoSpaceDE w:val="0"/>
        <w:autoSpaceDN w:val="0"/>
        <w:adjustRightInd w:val="0"/>
        <w:spacing w:line="480" w:lineRule="auto"/>
        <w:jc w:val="both"/>
        <w:rPr>
          <w:rFonts w:ascii="Arial" w:hAnsi="Arial" w:cs="Arial"/>
          <w:lang w:val="fr-FR"/>
        </w:rPr>
      </w:pPr>
      <w:r w:rsidRPr="00C824CB">
        <w:rPr>
          <w:rFonts w:ascii="Arial" w:hAnsi="Arial" w:cs="Arial"/>
        </w:rPr>
        <w:t>[37]</w:t>
      </w:r>
      <w:r w:rsidRPr="00C824CB">
        <w:rPr>
          <w:rFonts w:ascii="Arial" w:hAnsi="Arial" w:cs="Arial"/>
        </w:rPr>
        <w:tab/>
        <w:t xml:space="preserve">Anke AG, Stanghelle JK, Finset A, Roaldsen KS, Pillgram-Larsen J, Fugl-Meyer AR. Long-term prevalence of impairments and disabilities after multiple trauma. </w:t>
      </w:r>
      <w:r w:rsidRPr="00C824CB">
        <w:rPr>
          <w:rFonts w:ascii="Arial" w:hAnsi="Arial" w:cs="Arial"/>
          <w:lang w:val="fr-FR"/>
        </w:rPr>
        <w:t>J Trauma 1997;42:54–61.</w:t>
      </w:r>
    </w:p>
    <w:p w14:paraId="7DEDA7B6"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lang w:val="fr-FR"/>
        </w:rPr>
        <w:t>[38]</w:t>
      </w:r>
      <w:r w:rsidRPr="00C824CB">
        <w:rPr>
          <w:rFonts w:ascii="Arial" w:hAnsi="Arial" w:cs="Arial"/>
          <w:lang w:val="fr-FR"/>
        </w:rPr>
        <w:tab/>
        <w:t xml:space="preserve">Pilleron S, Pérès K, Jutand M-A, Helmer C, Dartigues J-F, Samieri C, et al. </w:t>
      </w:r>
      <w:r w:rsidRPr="00C824CB">
        <w:rPr>
          <w:rFonts w:ascii="Arial" w:hAnsi="Arial" w:cs="Arial"/>
        </w:rPr>
        <w:t xml:space="preserve">Dietary patterns and risk of self-reported activity limitation in older adults from the Three-City Bordeaux Study. Br J Nutr 2018;120:549–56. </w:t>
      </w:r>
      <w:r w:rsidRPr="00C824CB">
        <w:rPr>
          <w:rFonts w:ascii="Arial" w:hAnsi="Arial" w:cs="Arial"/>
        </w:rPr>
        <w:lastRenderedPageBreak/>
        <w:t>doi:10.1017/S0007114518001654.</w:t>
      </w:r>
    </w:p>
    <w:p w14:paraId="2147E987"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[39]</w:t>
      </w:r>
      <w:r w:rsidRPr="00C824CB">
        <w:rPr>
          <w:rFonts w:ascii="Arial" w:hAnsi="Arial" w:cs="Arial"/>
        </w:rPr>
        <w:tab/>
        <w:t>Wraw C, Der G, Gale CR, Deary IJ. Intelligence in youth and health behaviours in middle age. Intelligence 2018;69:71–86. doi:10.1016/j.intell.2018.04.005.</w:t>
      </w:r>
    </w:p>
    <w:p w14:paraId="5ED6B5FC"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[40]</w:t>
      </w:r>
      <w:r w:rsidRPr="00C824CB">
        <w:rPr>
          <w:rFonts w:ascii="Arial" w:hAnsi="Arial" w:cs="Arial"/>
        </w:rPr>
        <w:tab/>
        <w:t>Monma T, Takeda F, Noguchi H, Takahashi H, Tamiya N. The Impact of Leisure and Social Activities on Activities of Daily Living of Middle-Aged Adults: Evidence from a National Longitudinal Survey in Japan. PLOS ONE 2016;11:e0165106. doi:10.1371/journal.pone.0165106.</w:t>
      </w:r>
    </w:p>
    <w:p w14:paraId="6E106B7F" w14:textId="77777777" w:rsidR="00795721" w:rsidRPr="00C824CB" w:rsidRDefault="00795721" w:rsidP="00D342D9">
      <w:pPr>
        <w:widowControl w:val="0"/>
        <w:autoSpaceDE w:val="0"/>
        <w:autoSpaceDN w:val="0"/>
        <w:adjustRightInd w:val="0"/>
        <w:spacing w:line="480" w:lineRule="auto"/>
        <w:jc w:val="both"/>
        <w:rPr>
          <w:rFonts w:ascii="Arial" w:hAnsi="Arial" w:cs="Arial"/>
        </w:rPr>
      </w:pPr>
      <w:r w:rsidRPr="00C824CB">
        <w:rPr>
          <w:rFonts w:ascii="Arial" w:hAnsi="Arial" w:cs="Arial"/>
        </w:rPr>
        <w:t>[41]</w:t>
      </w:r>
      <w:r w:rsidRPr="00C824CB">
        <w:rPr>
          <w:rFonts w:ascii="Arial" w:hAnsi="Arial" w:cs="Arial"/>
        </w:rPr>
        <w:tab/>
        <w:t>Ramôa Castro A, Oliveira NL, Ribeiro F, Oliveira J. Impact of educational interventions on primary prevention of cardiovascular disease: A systematic review with a focus on physical activity. Eur J Gen Pract 2017;23:59–68. doi:10.1080/13814788.2017.1284791.</w:t>
      </w:r>
    </w:p>
    <w:p w14:paraId="6537ADEE" w14:textId="77777777" w:rsidR="00C824CB" w:rsidRPr="00C824CB" w:rsidRDefault="00795721" w:rsidP="00D342D9">
      <w:pPr>
        <w:widowControl w:val="0"/>
        <w:autoSpaceDE w:val="0"/>
        <w:autoSpaceDN w:val="0"/>
        <w:adjustRightInd w:val="0"/>
        <w:spacing w:line="480" w:lineRule="auto"/>
        <w:jc w:val="both"/>
        <w:rPr>
          <w:rFonts w:ascii="Arial" w:hAnsi="Arial" w:cs="Arial"/>
        </w:rPr>
        <w:sectPr w:rsidR="00C824CB" w:rsidRPr="00C824CB" w:rsidSect="0041731C">
          <w:footerReference w:type="even" r:id="rId7"/>
          <w:footerReference w:type="default" r:id="rId8"/>
          <w:pgSz w:w="11900" w:h="16840"/>
          <w:pgMar w:top="1440" w:right="1440" w:bottom="1440" w:left="1440" w:header="720" w:footer="720" w:gutter="0"/>
          <w:cols w:space="720"/>
          <w:docGrid w:linePitch="360"/>
        </w:sectPr>
      </w:pPr>
      <w:r w:rsidRPr="00C824CB">
        <w:rPr>
          <w:rFonts w:ascii="Arial" w:hAnsi="Arial" w:cs="Arial"/>
        </w:rPr>
        <w:t>[42]</w:t>
      </w:r>
      <w:r w:rsidRPr="00C824CB">
        <w:rPr>
          <w:rFonts w:ascii="Arial" w:hAnsi="Arial" w:cs="Arial"/>
        </w:rPr>
        <w:tab/>
        <w:t xml:space="preserve">MacKinnon DP, Krull JL, Lockwood CM. Equivalence of the Mediation, Confounding and Suppression Effect. Prev Sci Off J Soc </w:t>
      </w:r>
      <w:proofErr w:type="spellStart"/>
      <w:r w:rsidRPr="00C824CB">
        <w:rPr>
          <w:rFonts w:ascii="Arial" w:hAnsi="Arial" w:cs="Arial"/>
        </w:rPr>
        <w:t>Prev</w:t>
      </w:r>
      <w:proofErr w:type="spellEnd"/>
      <w:r w:rsidRPr="00C824CB">
        <w:rPr>
          <w:rFonts w:ascii="Arial" w:hAnsi="Arial" w:cs="Arial"/>
        </w:rPr>
        <w:t xml:space="preserve"> Res 2000;1:173.</w:t>
      </w:r>
    </w:p>
    <w:p w14:paraId="00011DB5" w14:textId="09EE50E9" w:rsidR="00C824CB" w:rsidRPr="00C824CB" w:rsidRDefault="00C824CB" w:rsidP="00C824CB">
      <w:pPr>
        <w:spacing w:line="360" w:lineRule="auto"/>
        <w:rPr>
          <w:rFonts w:ascii="Arial" w:hAnsi="Arial"/>
          <w:lang w:eastAsia="ja-JP"/>
        </w:rPr>
      </w:pPr>
      <w:r w:rsidRPr="00C824CB">
        <w:rPr>
          <w:rFonts w:ascii="Arial" w:hAnsi="Arial"/>
          <w:b/>
          <w:lang w:eastAsia="ja-JP"/>
        </w:rPr>
        <w:lastRenderedPageBreak/>
        <w:t>Table 1.</w:t>
      </w:r>
      <w:r w:rsidRPr="00C824CB">
        <w:rPr>
          <w:rFonts w:ascii="Arial" w:hAnsi="Arial"/>
          <w:lang w:eastAsia="ja-JP"/>
        </w:rPr>
        <w:t xml:space="preserve"> Sample characteristics (overall, by disability, and by intelligence quotient)</w:t>
      </w:r>
    </w:p>
    <w:p w14:paraId="45DD4C0C" w14:textId="77777777" w:rsidR="00C824CB" w:rsidRPr="00C824CB" w:rsidRDefault="00C824CB" w:rsidP="00C824CB">
      <w:pPr>
        <w:jc w:val="both"/>
        <w:rPr>
          <w:rFonts w:ascii="Arial" w:hAnsi="Arial" w:cs="Arial"/>
          <w:sz w:val="18"/>
          <w:szCs w:val="18"/>
          <w:lang w:eastAsia="ja-JP"/>
        </w:rPr>
      </w:pPr>
    </w:p>
    <w:p w14:paraId="55BB310A" w14:textId="77777777" w:rsidR="00C824CB" w:rsidRPr="00C824CB" w:rsidRDefault="00C824CB" w:rsidP="00C824CB">
      <w:pPr>
        <w:jc w:val="both"/>
        <w:rPr>
          <w:rFonts w:ascii="Arial" w:hAnsi="Arial" w:cs="Arial"/>
          <w:sz w:val="18"/>
          <w:szCs w:val="18"/>
          <w:lang w:eastAsia="ja-JP"/>
        </w:rPr>
      </w:pPr>
    </w:p>
    <w:p w14:paraId="09553BAE" w14:textId="77777777" w:rsidR="00C824CB" w:rsidRPr="00C824CB" w:rsidRDefault="00C824CB" w:rsidP="00C824CB">
      <w:pPr>
        <w:jc w:val="both"/>
        <w:rPr>
          <w:rFonts w:ascii="Arial" w:hAnsi="Arial" w:cs="Arial"/>
          <w:sz w:val="18"/>
          <w:szCs w:val="18"/>
          <w:lang w:eastAsia="ja-JP"/>
        </w:rPr>
      </w:pPr>
    </w:p>
    <w:tbl>
      <w:tblPr>
        <w:tblStyle w:val="TableGrid"/>
        <w:tblpPr w:leftFromText="180" w:rightFromText="180" w:vertAnchor="text" w:horzAnchor="page" w:tblpX="1549" w:tblpY="448"/>
        <w:tblW w:w="0" w:type="auto"/>
        <w:tblLook w:val="04A0" w:firstRow="1" w:lastRow="0" w:firstColumn="1" w:lastColumn="0" w:noHBand="0" w:noVBand="1"/>
      </w:tblPr>
      <w:tblGrid>
        <w:gridCol w:w="1823"/>
        <w:gridCol w:w="3563"/>
        <w:gridCol w:w="1184"/>
        <w:gridCol w:w="1184"/>
        <w:gridCol w:w="1184"/>
        <w:gridCol w:w="967"/>
        <w:gridCol w:w="1184"/>
        <w:gridCol w:w="1184"/>
        <w:gridCol w:w="967"/>
      </w:tblGrid>
      <w:tr w:rsidR="00C824CB" w:rsidRPr="00C824CB" w14:paraId="42303586" w14:textId="77777777" w:rsidTr="001A09CA">
        <w:tc>
          <w:tcPr>
            <w:tcW w:w="1823" w:type="dxa"/>
            <w:vAlign w:val="center"/>
          </w:tcPr>
          <w:p w14:paraId="0ED0EC35" w14:textId="77777777" w:rsidR="00C824CB" w:rsidRPr="00C824CB" w:rsidRDefault="00C824CB" w:rsidP="00C824CB">
            <w:pPr>
              <w:rPr>
                <w:rFonts w:ascii="Arial" w:hAnsi="Arial" w:cs="Arial"/>
                <w:sz w:val="20"/>
                <w:szCs w:val="20"/>
                <w:lang w:eastAsia="ja-JP"/>
              </w:rPr>
            </w:pPr>
          </w:p>
        </w:tc>
        <w:tc>
          <w:tcPr>
            <w:tcW w:w="0" w:type="auto"/>
            <w:vAlign w:val="center"/>
          </w:tcPr>
          <w:p w14:paraId="0002757D" w14:textId="77777777" w:rsidR="00C824CB" w:rsidRPr="00C824CB" w:rsidRDefault="00C824CB" w:rsidP="00C824CB">
            <w:pPr>
              <w:rPr>
                <w:rFonts w:ascii="Arial" w:hAnsi="Arial" w:cs="Arial"/>
                <w:sz w:val="20"/>
                <w:szCs w:val="20"/>
                <w:lang w:eastAsia="ja-JP"/>
              </w:rPr>
            </w:pPr>
          </w:p>
        </w:tc>
        <w:tc>
          <w:tcPr>
            <w:tcW w:w="0" w:type="auto"/>
            <w:vAlign w:val="center"/>
          </w:tcPr>
          <w:p w14:paraId="7961F3C7" w14:textId="77777777" w:rsidR="00C824CB" w:rsidRPr="00C824CB" w:rsidRDefault="00C824CB" w:rsidP="00C824CB">
            <w:pPr>
              <w:rPr>
                <w:rFonts w:ascii="Arial" w:hAnsi="Arial" w:cs="Arial"/>
                <w:sz w:val="20"/>
                <w:szCs w:val="20"/>
                <w:lang w:eastAsia="ja-JP"/>
              </w:rPr>
            </w:pPr>
          </w:p>
        </w:tc>
        <w:tc>
          <w:tcPr>
            <w:tcW w:w="0" w:type="auto"/>
            <w:gridSpan w:val="3"/>
            <w:vAlign w:val="center"/>
          </w:tcPr>
          <w:p w14:paraId="3DD2226A" w14:textId="77777777" w:rsidR="00C824CB" w:rsidRPr="00C824CB" w:rsidRDefault="00C824CB" w:rsidP="00C824CB">
            <w:pPr>
              <w:rPr>
                <w:rFonts w:ascii="Arial" w:hAnsi="Arial" w:cs="Arial"/>
                <w:sz w:val="20"/>
                <w:szCs w:val="20"/>
                <w:lang w:eastAsia="ja-JP"/>
              </w:rPr>
            </w:pPr>
            <w:proofErr w:type="spellStart"/>
            <w:r w:rsidRPr="00C824CB">
              <w:rPr>
                <w:rFonts w:ascii="Arial" w:hAnsi="Arial" w:cs="Arial"/>
                <w:sz w:val="20"/>
                <w:szCs w:val="20"/>
                <w:lang w:eastAsia="ja-JP"/>
              </w:rPr>
              <w:t>Disability</w:t>
            </w:r>
            <w:proofErr w:type="spellEnd"/>
          </w:p>
        </w:tc>
        <w:tc>
          <w:tcPr>
            <w:tcW w:w="0" w:type="auto"/>
            <w:gridSpan w:val="3"/>
            <w:vAlign w:val="center"/>
          </w:tcPr>
          <w:p w14:paraId="417F0D5B"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 xml:space="preserve">Intelligence </w:t>
            </w:r>
            <w:proofErr w:type="spellStart"/>
            <w:r w:rsidRPr="00C824CB">
              <w:rPr>
                <w:rFonts w:ascii="Arial" w:hAnsi="Arial" w:cs="Arial"/>
                <w:sz w:val="20"/>
                <w:szCs w:val="20"/>
                <w:lang w:eastAsia="ja-JP"/>
              </w:rPr>
              <w:t>quotient</w:t>
            </w:r>
            <w:r w:rsidRPr="00C824CB">
              <w:rPr>
                <w:rFonts w:ascii="Arial" w:hAnsi="Arial" w:cs="Arial"/>
                <w:sz w:val="20"/>
                <w:szCs w:val="20"/>
                <w:vertAlign w:val="superscript"/>
                <w:lang w:eastAsia="ja-JP"/>
              </w:rPr>
              <w:t>a</w:t>
            </w:r>
            <w:proofErr w:type="spellEnd"/>
          </w:p>
        </w:tc>
      </w:tr>
      <w:tr w:rsidR="00C824CB" w:rsidRPr="00C824CB" w14:paraId="2F9CFE34" w14:textId="77777777" w:rsidTr="001A09CA">
        <w:tc>
          <w:tcPr>
            <w:tcW w:w="1823" w:type="dxa"/>
            <w:vAlign w:val="center"/>
          </w:tcPr>
          <w:p w14:paraId="4E822ADF" w14:textId="77777777" w:rsidR="00C824CB" w:rsidRPr="00C824CB" w:rsidRDefault="00C824CB" w:rsidP="00C824CB">
            <w:pPr>
              <w:rPr>
                <w:rFonts w:ascii="Arial" w:hAnsi="Arial" w:cs="Arial"/>
                <w:sz w:val="20"/>
                <w:szCs w:val="20"/>
                <w:lang w:eastAsia="ja-JP"/>
              </w:rPr>
            </w:pPr>
            <w:proofErr w:type="spellStart"/>
            <w:r w:rsidRPr="00C824CB">
              <w:rPr>
                <w:rFonts w:ascii="Arial" w:eastAsia="Times New Roman" w:hAnsi="Arial" w:cs="Arial"/>
                <w:sz w:val="20"/>
                <w:szCs w:val="20"/>
                <w:lang w:eastAsia="ja-JP"/>
              </w:rPr>
              <w:t>Characteristics</w:t>
            </w:r>
            <w:proofErr w:type="spellEnd"/>
          </w:p>
        </w:tc>
        <w:tc>
          <w:tcPr>
            <w:tcW w:w="0" w:type="auto"/>
            <w:vAlign w:val="center"/>
          </w:tcPr>
          <w:p w14:paraId="72B39B01" w14:textId="77777777" w:rsidR="00C824CB" w:rsidRPr="00C824CB" w:rsidRDefault="00C824CB" w:rsidP="00C824CB">
            <w:pPr>
              <w:rPr>
                <w:rFonts w:ascii="Arial" w:hAnsi="Arial" w:cs="Arial"/>
                <w:sz w:val="20"/>
                <w:szCs w:val="20"/>
                <w:lang w:eastAsia="ja-JP"/>
              </w:rPr>
            </w:pPr>
            <w:proofErr w:type="spellStart"/>
            <w:r w:rsidRPr="00C824CB">
              <w:rPr>
                <w:rFonts w:ascii="Arial" w:eastAsia="Times New Roman" w:hAnsi="Arial" w:cs="Arial"/>
                <w:sz w:val="20"/>
                <w:szCs w:val="20"/>
                <w:lang w:eastAsia="ja-JP"/>
              </w:rPr>
              <w:t>Category</w:t>
            </w:r>
            <w:proofErr w:type="spellEnd"/>
          </w:p>
        </w:tc>
        <w:tc>
          <w:tcPr>
            <w:tcW w:w="0" w:type="auto"/>
            <w:vAlign w:val="center"/>
          </w:tcPr>
          <w:p w14:paraId="6F4E6813" w14:textId="77777777" w:rsidR="00C824CB" w:rsidRPr="00C824CB" w:rsidRDefault="00C824CB" w:rsidP="00C824CB">
            <w:pPr>
              <w:rPr>
                <w:rFonts w:ascii="Arial" w:hAnsi="Arial" w:cs="Arial"/>
                <w:sz w:val="20"/>
                <w:szCs w:val="20"/>
                <w:lang w:eastAsia="ja-JP"/>
              </w:rPr>
            </w:pPr>
            <w:proofErr w:type="spellStart"/>
            <w:r w:rsidRPr="00C824CB">
              <w:rPr>
                <w:rFonts w:ascii="Arial" w:eastAsia="Times New Roman" w:hAnsi="Arial" w:cs="Arial"/>
                <w:sz w:val="20"/>
                <w:szCs w:val="20"/>
                <w:lang w:eastAsia="ja-JP"/>
              </w:rPr>
              <w:t>Overall</w:t>
            </w:r>
            <w:proofErr w:type="spellEnd"/>
          </w:p>
        </w:tc>
        <w:tc>
          <w:tcPr>
            <w:tcW w:w="0" w:type="auto"/>
            <w:vAlign w:val="center"/>
          </w:tcPr>
          <w:p w14:paraId="2DFBA4B4" w14:textId="77777777" w:rsidR="00C824CB" w:rsidRPr="00C824CB" w:rsidRDefault="00C824CB" w:rsidP="00C824CB">
            <w:pPr>
              <w:rPr>
                <w:rFonts w:ascii="Arial" w:hAnsi="Arial" w:cs="Arial"/>
                <w:sz w:val="20"/>
                <w:szCs w:val="20"/>
                <w:lang w:eastAsia="ja-JP"/>
              </w:rPr>
            </w:pPr>
            <w:r w:rsidRPr="00C824CB">
              <w:rPr>
                <w:rFonts w:ascii="Arial" w:eastAsia="Times New Roman" w:hAnsi="Arial" w:cs="Arial"/>
                <w:sz w:val="20"/>
                <w:szCs w:val="20"/>
                <w:lang w:eastAsia="ja-JP"/>
              </w:rPr>
              <w:t>Absent</w:t>
            </w:r>
          </w:p>
        </w:tc>
        <w:tc>
          <w:tcPr>
            <w:tcW w:w="0" w:type="auto"/>
            <w:vAlign w:val="center"/>
          </w:tcPr>
          <w:p w14:paraId="29EA5459" w14:textId="77777777" w:rsidR="00C824CB" w:rsidRPr="00C824CB" w:rsidRDefault="00C824CB" w:rsidP="00C824CB">
            <w:pPr>
              <w:rPr>
                <w:rFonts w:ascii="Arial" w:hAnsi="Arial" w:cs="Arial"/>
                <w:sz w:val="20"/>
                <w:szCs w:val="20"/>
                <w:lang w:eastAsia="ja-JP"/>
              </w:rPr>
            </w:pPr>
            <w:proofErr w:type="spellStart"/>
            <w:r w:rsidRPr="00C824CB">
              <w:rPr>
                <w:rFonts w:ascii="Arial" w:eastAsia="Times New Roman" w:hAnsi="Arial" w:cs="Arial"/>
                <w:sz w:val="20"/>
                <w:szCs w:val="20"/>
                <w:lang w:eastAsia="ja-JP"/>
              </w:rPr>
              <w:t>Present</w:t>
            </w:r>
            <w:proofErr w:type="spellEnd"/>
          </w:p>
        </w:tc>
        <w:tc>
          <w:tcPr>
            <w:tcW w:w="0" w:type="auto"/>
            <w:vAlign w:val="center"/>
          </w:tcPr>
          <w:p w14:paraId="1DB2B4B3" w14:textId="77777777" w:rsidR="00C824CB" w:rsidRPr="00C824CB" w:rsidRDefault="00C824CB" w:rsidP="00C824CB">
            <w:pPr>
              <w:rPr>
                <w:rFonts w:ascii="Arial" w:hAnsi="Arial" w:cs="Arial"/>
                <w:sz w:val="20"/>
                <w:szCs w:val="20"/>
                <w:lang w:eastAsia="ja-JP"/>
              </w:rPr>
            </w:pPr>
            <w:r w:rsidRPr="00C824CB">
              <w:rPr>
                <w:rFonts w:ascii="Arial" w:eastAsia="Times New Roman" w:hAnsi="Arial" w:cs="Arial"/>
                <w:sz w:val="20"/>
                <w:szCs w:val="20"/>
                <w:lang w:eastAsia="ja-JP"/>
              </w:rPr>
              <w:t>P-</w:t>
            </w:r>
            <w:proofErr w:type="spellStart"/>
            <w:r w:rsidRPr="00C824CB">
              <w:rPr>
                <w:rFonts w:ascii="Arial" w:eastAsia="Times New Roman" w:hAnsi="Arial" w:cs="Arial"/>
                <w:sz w:val="20"/>
                <w:szCs w:val="20"/>
                <w:lang w:eastAsia="ja-JP"/>
              </w:rPr>
              <w:t>value</w:t>
            </w:r>
            <w:r w:rsidRPr="00C824CB">
              <w:rPr>
                <w:rFonts w:ascii="Arial" w:eastAsia="Times New Roman" w:hAnsi="Arial" w:cs="Arial"/>
                <w:sz w:val="20"/>
                <w:szCs w:val="20"/>
                <w:vertAlign w:val="superscript"/>
                <w:lang w:eastAsia="ja-JP"/>
              </w:rPr>
              <w:t>b</w:t>
            </w:r>
            <w:proofErr w:type="spellEnd"/>
          </w:p>
        </w:tc>
        <w:tc>
          <w:tcPr>
            <w:tcW w:w="0" w:type="auto"/>
            <w:vAlign w:val="center"/>
          </w:tcPr>
          <w:p w14:paraId="6BCAECC0" w14:textId="77777777" w:rsidR="00C824CB" w:rsidRPr="00C824CB" w:rsidRDefault="00C824CB" w:rsidP="00C824CB">
            <w:pPr>
              <w:rPr>
                <w:rFonts w:ascii="Arial" w:eastAsia="Times New Roman" w:hAnsi="Arial" w:cs="Arial"/>
                <w:sz w:val="20"/>
                <w:szCs w:val="20"/>
                <w:lang w:eastAsia="ja-JP"/>
              </w:rPr>
            </w:pPr>
            <w:r w:rsidRPr="00C824CB">
              <w:rPr>
                <w:rFonts w:ascii="Arial" w:eastAsia="Times New Roman" w:hAnsi="Arial" w:cs="Arial"/>
                <w:sz w:val="20"/>
                <w:szCs w:val="20"/>
                <w:lang w:eastAsia="ja-JP"/>
              </w:rPr>
              <w:t>≤102.5</w:t>
            </w:r>
          </w:p>
        </w:tc>
        <w:tc>
          <w:tcPr>
            <w:tcW w:w="0" w:type="auto"/>
            <w:vAlign w:val="center"/>
          </w:tcPr>
          <w:p w14:paraId="62E964A7" w14:textId="77777777" w:rsidR="00C824CB" w:rsidRPr="00C824CB" w:rsidRDefault="00C824CB" w:rsidP="00C824CB">
            <w:pPr>
              <w:rPr>
                <w:rFonts w:ascii="Arial" w:eastAsia="Times New Roman" w:hAnsi="Arial" w:cs="Arial"/>
                <w:sz w:val="20"/>
                <w:szCs w:val="20"/>
                <w:lang w:eastAsia="ja-JP"/>
              </w:rPr>
            </w:pPr>
            <w:r w:rsidRPr="00C824CB">
              <w:rPr>
                <w:rFonts w:ascii="Arial" w:eastAsia="Times New Roman" w:hAnsi="Arial" w:cs="Arial"/>
                <w:sz w:val="20"/>
                <w:szCs w:val="20"/>
                <w:lang w:eastAsia="ja-JP"/>
              </w:rPr>
              <w:t>&gt;102.5</w:t>
            </w:r>
          </w:p>
        </w:tc>
        <w:tc>
          <w:tcPr>
            <w:tcW w:w="0" w:type="auto"/>
            <w:vAlign w:val="center"/>
          </w:tcPr>
          <w:p w14:paraId="2EC751E1" w14:textId="77777777" w:rsidR="00C824CB" w:rsidRPr="00C824CB" w:rsidRDefault="00C824CB" w:rsidP="00C824CB">
            <w:pPr>
              <w:rPr>
                <w:rFonts w:ascii="Arial" w:eastAsia="Times New Roman" w:hAnsi="Arial" w:cs="Arial"/>
                <w:sz w:val="20"/>
                <w:szCs w:val="20"/>
                <w:lang w:eastAsia="ja-JP"/>
              </w:rPr>
            </w:pPr>
            <w:r w:rsidRPr="00C824CB">
              <w:rPr>
                <w:rFonts w:ascii="Arial" w:eastAsia="Times New Roman" w:hAnsi="Arial" w:cs="Arial"/>
                <w:sz w:val="20"/>
                <w:szCs w:val="20"/>
                <w:lang w:eastAsia="ja-JP"/>
              </w:rPr>
              <w:t>P-</w:t>
            </w:r>
            <w:proofErr w:type="spellStart"/>
            <w:r w:rsidRPr="00C824CB">
              <w:rPr>
                <w:rFonts w:ascii="Arial" w:eastAsia="Times New Roman" w:hAnsi="Arial" w:cs="Arial"/>
                <w:sz w:val="20"/>
                <w:szCs w:val="20"/>
                <w:lang w:eastAsia="ja-JP"/>
              </w:rPr>
              <w:t>value</w:t>
            </w:r>
            <w:r w:rsidRPr="00C824CB">
              <w:rPr>
                <w:rFonts w:ascii="Arial" w:eastAsia="Times New Roman" w:hAnsi="Arial" w:cs="Arial"/>
                <w:sz w:val="20"/>
                <w:szCs w:val="20"/>
                <w:vertAlign w:val="superscript"/>
                <w:lang w:eastAsia="ja-JP"/>
              </w:rPr>
              <w:t>b</w:t>
            </w:r>
            <w:proofErr w:type="spellEnd"/>
          </w:p>
        </w:tc>
      </w:tr>
      <w:tr w:rsidR="00C824CB" w:rsidRPr="00C824CB" w14:paraId="198D7483" w14:textId="77777777" w:rsidTr="001A09CA">
        <w:tc>
          <w:tcPr>
            <w:tcW w:w="1823" w:type="dxa"/>
            <w:vMerge w:val="restart"/>
            <w:vAlign w:val="center"/>
          </w:tcPr>
          <w:p w14:paraId="34D0E616" w14:textId="77777777" w:rsidR="00C824CB" w:rsidRPr="00C824CB" w:rsidRDefault="00C824CB" w:rsidP="00C824CB">
            <w:pPr>
              <w:rPr>
                <w:rFonts w:ascii="Arial" w:hAnsi="Arial" w:cs="Arial"/>
                <w:sz w:val="20"/>
                <w:szCs w:val="20"/>
                <w:lang w:eastAsia="ja-JP"/>
              </w:rPr>
            </w:pPr>
            <w:proofErr w:type="spellStart"/>
            <w:r w:rsidRPr="00C824CB">
              <w:rPr>
                <w:rFonts w:ascii="Arial" w:eastAsia="Times New Roman" w:hAnsi="Arial" w:cs="Arial"/>
                <w:sz w:val="20"/>
                <w:szCs w:val="20"/>
                <w:lang w:eastAsia="ja-JP"/>
              </w:rPr>
              <w:t>Sex</w:t>
            </w:r>
            <w:proofErr w:type="spellEnd"/>
          </w:p>
        </w:tc>
        <w:tc>
          <w:tcPr>
            <w:tcW w:w="0" w:type="auto"/>
            <w:vAlign w:val="center"/>
          </w:tcPr>
          <w:p w14:paraId="4D17A1A0" w14:textId="77777777" w:rsidR="00C824CB" w:rsidRPr="00C824CB" w:rsidRDefault="00C824CB" w:rsidP="00C824CB">
            <w:pPr>
              <w:rPr>
                <w:rFonts w:ascii="Arial" w:hAnsi="Arial" w:cs="Arial"/>
                <w:sz w:val="20"/>
                <w:szCs w:val="20"/>
                <w:lang w:eastAsia="ja-JP"/>
              </w:rPr>
            </w:pPr>
            <w:r w:rsidRPr="00C824CB">
              <w:rPr>
                <w:rFonts w:ascii="Arial" w:eastAsia="Times New Roman" w:hAnsi="Arial" w:cs="Arial"/>
                <w:sz w:val="20"/>
                <w:szCs w:val="20"/>
                <w:lang w:eastAsia="ja-JP"/>
              </w:rPr>
              <w:t>Male</w:t>
            </w:r>
          </w:p>
        </w:tc>
        <w:tc>
          <w:tcPr>
            <w:tcW w:w="0" w:type="auto"/>
            <w:vAlign w:val="center"/>
          </w:tcPr>
          <w:p w14:paraId="1EA0437B"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48.2</w:t>
            </w:r>
          </w:p>
        </w:tc>
        <w:tc>
          <w:tcPr>
            <w:tcW w:w="0" w:type="auto"/>
            <w:vAlign w:val="center"/>
          </w:tcPr>
          <w:p w14:paraId="05497CAF"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49.2</w:t>
            </w:r>
          </w:p>
        </w:tc>
        <w:tc>
          <w:tcPr>
            <w:tcW w:w="0" w:type="auto"/>
            <w:vAlign w:val="center"/>
          </w:tcPr>
          <w:p w14:paraId="6F41057C"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46.0</w:t>
            </w:r>
          </w:p>
        </w:tc>
        <w:tc>
          <w:tcPr>
            <w:tcW w:w="0" w:type="auto"/>
            <w:vMerge w:val="restart"/>
            <w:vAlign w:val="center"/>
          </w:tcPr>
          <w:p w14:paraId="2C7C63EE"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0.019</w:t>
            </w:r>
          </w:p>
        </w:tc>
        <w:tc>
          <w:tcPr>
            <w:tcW w:w="0" w:type="auto"/>
            <w:vAlign w:val="center"/>
          </w:tcPr>
          <w:p w14:paraId="3B125AEE"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48.7</w:t>
            </w:r>
          </w:p>
        </w:tc>
        <w:tc>
          <w:tcPr>
            <w:tcW w:w="0" w:type="auto"/>
            <w:vAlign w:val="center"/>
          </w:tcPr>
          <w:p w14:paraId="4A374283"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47.7</w:t>
            </w:r>
          </w:p>
        </w:tc>
        <w:tc>
          <w:tcPr>
            <w:tcW w:w="0" w:type="auto"/>
            <w:vMerge w:val="restart"/>
            <w:vAlign w:val="center"/>
          </w:tcPr>
          <w:p w14:paraId="44FF8490"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0.452</w:t>
            </w:r>
          </w:p>
        </w:tc>
      </w:tr>
      <w:tr w:rsidR="00C824CB" w:rsidRPr="00C824CB" w14:paraId="3817C06A" w14:textId="77777777" w:rsidTr="001A09CA">
        <w:tc>
          <w:tcPr>
            <w:tcW w:w="1823" w:type="dxa"/>
            <w:vMerge/>
            <w:vAlign w:val="center"/>
          </w:tcPr>
          <w:p w14:paraId="62BB8427" w14:textId="77777777" w:rsidR="00C824CB" w:rsidRPr="00C824CB" w:rsidRDefault="00C824CB" w:rsidP="00C824CB">
            <w:pPr>
              <w:rPr>
                <w:rFonts w:ascii="Arial" w:hAnsi="Arial" w:cs="Arial"/>
                <w:sz w:val="20"/>
                <w:szCs w:val="20"/>
                <w:lang w:eastAsia="ja-JP"/>
              </w:rPr>
            </w:pPr>
          </w:p>
        </w:tc>
        <w:tc>
          <w:tcPr>
            <w:tcW w:w="0" w:type="auto"/>
            <w:vAlign w:val="center"/>
          </w:tcPr>
          <w:p w14:paraId="4EC9BFB5" w14:textId="77777777" w:rsidR="00C824CB" w:rsidRPr="00C824CB" w:rsidRDefault="00C824CB" w:rsidP="00C824CB">
            <w:pPr>
              <w:rPr>
                <w:rFonts w:ascii="Arial" w:hAnsi="Arial" w:cs="Arial"/>
                <w:sz w:val="20"/>
                <w:szCs w:val="20"/>
                <w:lang w:eastAsia="ja-JP"/>
              </w:rPr>
            </w:pPr>
            <w:proofErr w:type="spellStart"/>
            <w:r w:rsidRPr="00C824CB">
              <w:rPr>
                <w:rFonts w:ascii="Arial" w:eastAsia="Times New Roman" w:hAnsi="Arial" w:cs="Arial"/>
                <w:sz w:val="20"/>
                <w:szCs w:val="20"/>
                <w:lang w:eastAsia="ja-JP"/>
              </w:rPr>
              <w:t>Female</w:t>
            </w:r>
            <w:proofErr w:type="spellEnd"/>
          </w:p>
        </w:tc>
        <w:tc>
          <w:tcPr>
            <w:tcW w:w="0" w:type="auto"/>
            <w:vAlign w:val="center"/>
          </w:tcPr>
          <w:p w14:paraId="2CCC600B"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51.8</w:t>
            </w:r>
          </w:p>
        </w:tc>
        <w:tc>
          <w:tcPr>
            <w:tcW w:w="0" w:type="auto"/>
            <w:vAlign w:val="center"/>
          </w:tcPr>
          <w:p w14:paraId="378D3EF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50.8</w:t>
            </w:r>
          </w:p>
        </w:tc>
        <w:tc>
          <w:tcPr>
            <w:tcW w:w="0" w:type="auto"/>
            <w:vAlign w:val="center"/>
          </w:tcPr>
          <w:p w14:paraId="40B47F30"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54.0</w:t>
            </w:r>
          </w:p>
        </w:tc>
        <w:tc>
          <w:tcPr>
            <w:tcW w:w="0" w:type="auto"/>
            <w:vMerge/>
            <w:vAlign w:val="center"/>
          </w:tcPr>
          <w:p w14:paraId="678033E5" w14:textId="77777777" w:rsidR="00C824CB" w:rsidRPr="00C824CB" w:rsidRDefault="00C824CB" w:rsidP="00C824CB">
            <w:pPr>
              <w:rPr>
                <w:rFonts w:ascii="Arial" w:hAnsi="Arial" w:cs="Arial"/>
                <w:sz w:val="20"/>
                <w:szCs w:val="20"/>
                <w:lang w:eastAsia="ja-JP"/>
              </w:rPr>
            </w:pPr>
          </w:p>
        </w:tc>
        <w:tc>
          <w:tcPr>
            <w:tcW w:w="0" w:type="auto"/>
            <w:vAlign w:val="center"/>
          </w:tcPr>
          <w:p w14:paraId="3C53C1C4"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51.3</w:t>
            </w:r>
          </w:p>
        </w:tc>
        <w:tc>
          <w:tcPr>
            <w:tcW w:w="0" w:type="auto"/>
            <w:vAlign w:val="center"/>
          </w:tcPr>
          <w:p w14:paraId="743D536B"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52.3</w:t>
            </w:r>
          </w:p>
        </w:tc>
        <w:tc>
          <w:tcPr>
            <w:tcW w:w="0" w:type="auto"/>
            <w:vMerge/>
            <w:vAlign w:val="center"/>
          </w:tcPr>
          <w:p w14:paraId="6FB61A31" w14:textId="77777777" w:rsidR="00C824CB" w:rsidRPr="00C824CB" w:rsidRDefault="00C824CB" w:rsidP="00C824CB">
            <w:pPr>
              <w:rPr>
                <w:rFonts w:ascii="Arial" w:hAnsi="Arial" w:cs="Arial"/>
                <w:sz w:val="20"/>
                <w:szCs w:val="20"/>
                <w:lang w:eastAsia="ja-JP"/>
              </w:rPr>
            </w:pPr>
          </w:p>
        </w:tc>
      </w:tr>
      <w:tr w:rsidR="00C824CB" w:rsidRPr="00C824CB" w14:paraId="7444E23E" w14:textId="77777777" w:rsidTr="001A09CA">
        <w:tc>
          <w:tcPr>
            <w:tcW w:w="1823" w:type="dxa"/>
            <w:vAlign w:val="center"/>
          </w:tcPr>
          <w:p w14:paraId="023D6AAB"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Age (</w:t>
            </w:r>
            <w:proofErr w:type="spellStart"/>
            <w:r w:rsidRPr="00C824CB">
              <w:rPr>
                <w:rFonts w:ascii="Arial" w:hAnsi="Arial" w:cs="Arial"/>
                <w:sz w:val="20"/>
                <w:szCs w:val="20"/>
                <w:lang w:eastAsia="ja-JP"/>
              </w:rPr>
              <w:t>years</w:t>
            </w:r>
            <w:proofErr w:type="spellEnd"/>
            <w:r w:rsidRPr="00C824CB">
              <w:rPr>
                <w:rFonts w:ascii="Arial" w:hAnsi="Arial" w:cs="Arial"/>
                <w:sz w:val="20"/>
                <w:szCs w:val="20"/>
                <w:lang w:eastAsia="ja-JP"/>
              </w:rPr>
              <w:t>)</w:t>
            </w:r>
          </w:p>
        </w:tc>
        <w:tc>
          <w:tcPr>
            <w:tcW w:w="0" w:type="auto"/>
            <w:vAlign w:val="center"/>
          </w:tcPr>
          <w:p w14:paraId="0931D287" w14:textId="77777777" w:rsidR="00C824CB" w:rsidRPr="00C824CB" w:rsidRDefault="00C824CB" w:rsidP="00C824CB">
            <w:pPr>
              <w:rPr>
                <w:rFonts w:ascii="Arial" w:hAnsi="Arial" w:cs="Arial"/>
                <w:sz w:val="20"/>
                <w:szCs w:val="20"/>
                <w:lang w:eastAsia="ja-JP"/>
              </w:rPr>
            </w:pPr>
            <w:proofErr w:type="spellStart"/>
            <w:r w:rsidRPr="00C824CB">
              <w:rPr>
                <w:rFonts w:ascii="Arial" w:eastAsia="Times New Roman" w:hAnsi="Arial" w:cs="Arial"/>
                <w:sz w:val="20"/>
                <w:szCs w:val="20"/>
                <w:lang w:eastAsia="ja-JP"/>
              </w:rPr>
              <w:t>Mean</w:t>
            </w:r>
            <w:proofErr w:type="spellEnd"/>
            <w:r w:rsidRPr="00C824CB">
              <w:rPr>
                <w:rFonts w:ascii="Arial" w:eastAsia="Times New Roman" w:hAnsi="Arial" w:cs="Arial"/>
                <w:sz w:val="20"/>
                <w:szCs w:val="20"/>
                <w:lang w:eastAsia="ja-JP"/>
              </w:rPr>
              <w:t xml:space="preserve"> (SD)</w:t>
            </w:r>
          </w:p>
        </w:tc>
        <w:tc>
          <w:tcPr>
            <w:tcW w:w="0" w:type="auto"/>
            <w:vAlign w:val="center"/>
          </w:tcPr>
          <w:p w14:paraId="5766458F"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46.9 (18.9)</w:t>
            </w:r>
          </w:p>
        </w:tc>
        <w:tc>
          <w:tcPr>
            <w:tcW w:w="0" w:type="auto"/>
            <w:vAlign w:val="center"/>
          </w:tcPr>
          <w:p w14:paraId="0987587C"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43.0 (16.4)</w:t>
            </w:r>
          </w:p>
        </w:tc>
        <w:tc>
          <w:tcPr>
            <w:tcW w:w="0" w:type="auto"/>
            <w:vAlign w:val="center"/>
          </w:tcPr>
          <w:p w14:paraId="285A3390"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55.0 (21.2)</w:t>
            </w:r>
          </w:p>
        </w:tc>
        <w:tc>
          <w:tcPr>
            <w:tcW w:w="0" w:type="auto"/>
            <w:vAlign w:val="center"/>
          </w:tcPr>
          <w:p w14:paraId="2778DCBA"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62B89500"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43.8 (19.6)</w:t>
            </w:r>
          </w:p>
        </w:tc>
        <w:tc>
          <w:tcPr>
            <w:tcW w:w="0" w:type="auto"/>
            <w:vAlign w:val="center"/>
          </w:tcPr>
          <w:p w14:paraId="5E38FB23"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49.7 (17.6)</w:t>
            </w:r>
          </w:p>
        </w:tc>
        <w:tc>
          <w:tcPr>
            <w:tcW w:w="0" w:type="auto"/>
            <w:vAlign w:val="center"/>
          </w:tcPr>
          <w:p w14:paraId="4B075B42"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r>
      <w:tr w:rsidR="00C824CB" w:rsidRPr="00C824CB" w14:paraId="7C5D5B97" w14:textId="77777777" w:rsidTr="001A09CA">
        <w:tc>
          <w:tcPr>
            <w:tcW w:w="1823" w:type="dxa"/>
            <w:vMerge w:val="restart"/>
            <w:vAlign w:val="center"/>
          </w:tcPr>
          <w:p w14:paraId="11A85A9D" w14:textId="77777777" w:rsidR="00C824CB" w:rsidRPr="00C824CB" w:rsidRDefault="00C824CB" w:rsidP="00C824CB">
            <w:pPr>
              <w:rPr>
                <w:rFonts w:ascii="Arial" w:hAnsi="Arial" w:cs="Arial"/>
                <w:sz w:val="20"/>
                <w:szCs w:val="20"/>
                <w:lang w:eastAsia="ja-JP"/>
              </w:rPr>
            </w:pPr>
            <w:r w:rsidRPr="00C824CB">
              <w:rPr>
                <w:rFonts w:ascii="Arial" w:eastAsia="Times New Roman" w:hAnsi="Arial" w:cs="Arial"/>
                <w:sz w:val="20"/>
                <w:szCs w:val="20"/>
                <w:lang w:eastAsia="ja-JP"/>
              </w:rPr>
              <w:t>British White</w:t>
            </w:r>
          </w:p>
        </w:tc>
        <w:tc>
          <w:tcPr>
            <w:tcW w:w="0" w:type="auto"/>
            <w:vAlign w:val="center"/>
          </w:tcPr>
          <w:p w14:paraId="02A8F6B5" w14:textId="77777777" w:rsidR="00C824CB" w:rsidRPr="00C824CB" w:rsidRDefault="00C824CB" w:rsidP="00C824CB">
            <w:pPr>
              <w:rPr>
                <w:rFonts w:ascii="Arial" w:hAnsi="Arial" w:cs="Arial"/>
                <w:sz w:val="20"/>
                <w:szCs w:val="20"/>
                <w:lang w:eastAsia="ja-JP"/>
              </w:rPr>
            </w:pPr>
            <w:r w:rsidRPr="00C824CB">
              <w:rPr>
                <w:rFonts w:ascii="Arial" w:eastAsia="Times New Roman" w:hAnsi="Arial" w:cs="Arial"/>
                <w:sz w:val="20"/>
                <w:szCs w:val="20"/>
                <w:lang w:eastAsia="ja-JP"/>
              </w:rPr>
              <w:t>No</w:t>
            </w:r>
          </w:p>
        </w:tc>
        <w:tc>
          <w:tcPr>
            <w:tcW w:w="0" w:type="auto"/>
            <w:vAlign w:val="center"/>
          </w:tcPr>
          <w:p w14:paraId="270D1DAD"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8.2</w:t>
            </w:r>
          </w:p>
        </w:tc>
        <w:tc>
          <w:tcPr>
            <w:tcW w:w="0" w:type="auto"/>
            <w:vAlign w:val="center"/>
          </w:tcPr>
          <w:p w14:paraId="3D3837DD"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9.0</w:t>
            </w:r>
          </w:p>
        </w:tc>
        <w:tc>
          <w:tcPr>
            <w:tcW w:w="0" w:type="auto"/>
            <w:vAlign w:val="center"/>
          </w:tcPr>
          <w:p w14:paraId="30C3E4BD"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6.7</w:t>
            </w:r>
          </w:p>
        </w:tc>
        <w:tc>
          <w:tcPr>
            <w:tcW w:w="0" w:type="auto"/>
            <w:vMerge w:val="restart"/>
            <w:vAlign w:val="center"/>
          </w:tcPr>
          <w:p w14:paraId="662AFD20"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0.003</w:t>
            </w:r>
          </w:p>
        </w:tc>
        <w:tc>
          <w:tcPr>
            <w:tcW w:w="0" w:type="auto"/>
            <w:vAlign w:val="center"/>
          </w:tcPr>
          <w:p w14:paraId="1A3DA5FE"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10.5</w:t>
            </w:r>
          </w:p>
        </w:tc>
        <w:tc>
          <w:tcPr>
            <w:tcW w:w="0" w:type="auto"/>
            <w:vAlign w:val="center"/>
          </w:tcPr>
          <w:p w14:paraId="4A15D44B"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6.2</w:t>
            </w:r>
          </w:p>
        </w:tc>
        <w:tc>
          <w:tcPr>
            <w:tcW w:w="0" w:type="auto"/>
            <w:vMerge w:val="restart"/>
            <w:vAlign w:val="center"/>
          </w:tcPr>
          <w:p w14:paraId="427E24FA"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r>
      <w:tr w:rsidR="00C824CB" w:rsidRPr="00C824CB" w14:paraId="29EDD336" w14:textId="77777777" w:rsidTr="001A09CA">
        <w:tc>
          <w:tcPr>
            <w:tcW w:w="1823" w:type="dxa"/>
            <w:vMerge/>
            <w:vAlign w:val="center"/>
          </w:tcPr>
          <w:p w14:paraId="248FA8B8" w14:textId="77777777" w:rsidR="00C824CB" w:rsidRPr="00C824CB" w:rsidRDefault="00C824CB" w:rsidP="00C824CB">
            <w:pPr>
              <w:rPr>
                <w:rFonts w:ascii="Arial" w:hAnsi="Arial" w:cs="Arial"/>
                <w:sz w:val="20"/>
                <w:szCs w:val="20"/>
                <w:lang w:eastAsia="ja-JP"/>
              </w:rPr>
            </w:pPr>
          </w:p>
        </w:tc>
        <w:tc>
          <w:tcPr>
            <w:tcW w:w="0" w:type="auto"/>
            <w:vAlign w:val="center"/>
          </w:tcPr>
          <w:p w14:paraId="36484DDF" w14:textId="77777777" w:rsidR="00C824CB" w:rsidRPr="00C824CB" w:rsidRDefault="00C824CB" w:rsidP="00C824CB">
            <w:pPr>
              <w:rPr>
                <w:rFonts w:ascii="Arial" w:hAnsi="Arial" w:cs="Arial"/>
                <w:sz w:val="20"/>
                <w:szCs w:val="20"/>
                <w:lang w:eastAsia="ja-JP"/>
              </w:rPr>
            </w:pPr>
            <w:r w:rsidRPr="00C824CB">
              <w:rPr>
                <w:rFonts w:ascii="Arial" w:eastAsia="Times New Roman" w:hAnsi="Arial" w:cs="Arial"/>
                <w:sz w:val="20"/>
                <w:szCs w:val="20"/>
                <w:lang w:eastAsia="ja-JP"/>
              </w:rPr>
              <w:t>Yes</w:t>
            </w:r>
          </w:p>
        </w:tc>
        <w:tc>
          <w:tcPr>
            <w:tcW w:w="0" w:type="auto"/>
            <w:vAlign w:val="center"/>
          </w:tcPr>
          <w:p w14:paraId="0EE0323D"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91.8</w:t>
            </w:r>
          </w:p>
        </w:tc>
        <w:tc>
          <w:tcPr>
            <w:tcW w:w="0" w:type="auto"/>
            <w:vAlign w:val="center"/>
          </w:tcPr>
          <w:p w14:paraId="49F419EA"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91.0</w:t>
            </w:r>
          </w:p>
        </w:tc>
        <w:tc>
          <w:tcPr>
            <w:tcW w:w="0" w:type="auto"/>
            <w:vAlign w:val="center"/>
          </w:tcPr>
          <w:p w14:paraId="3492F1FC"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93.3</w:t>
            </w:r>
          </w:p>
        </w:tc>
        <w:tc>
          <w:tcPr>
            <w:tcW w:w="0" w:type="auto"/>
            <w:vMerge/>
            <w:vAlign w:val="center"/>
          </w:tcPr>
          <w:p w14:paraId="045A316F" w14:textId="77777777" w:rsidR="00C824CB" w:rsidRPr="00C824CB" w:rsidRDefault="00C824CB" w:rsidP="00C824CB">
            <w:pPr>
              <w:rPr>
                <w:rFonts w:ascii="Arial" w:hAnsi="Arial" w:cs="Arial"/>
                <w:sz w:val="20"/>
                <w:szCs w:val="20"/>
                <w:lang w:eastAsia="ja-JP"/>
              </w:rPr>
            </w:pPr>
          </w:p>
        </w:tc>
        <w:tc>
          <w:tcPr>
            <w:tcW w:w="0" w:type="auto"/>
            <w:vAlign w:val="center"/>
          </w:tcPr>
          <w:p w14:paraId="13271D7C"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89.5</w:t>
            </w:r>
          </w:p>
        </w:tc>
        <w:tc>
          <w:tcPr>
            <w:tcW w:w="0" w:type="auto"/>
            <w:vAlign w:val="center"/>
          </w:tcPr>
          <w:p w14:paraId="5EA2CD53"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93.8</w:t>
            </w:r>
          </w:p>
        </w:tc>
        <w:tc>
          <w:tcPr>
            <w:tcW w:w="0" w:type="auto"/>
            <w:vMerge/>
            <w:vAlign w:val="center"/>
          </w:tcPr>
          <w:p w14:paraId="26ABDA98" w14:textId="77777777" w:rsidR="00C824CB" w:rsidRPr="00C824CB" w:rsidRDefault="00C824CB" w:rsidP="00C824CB">
            <w:pPr>
              <w:rPr>
                <w:rFonts w:ascii="Arial" w:hAnsi="Arial" w:cs="Arial"/>
                <w:sz w:val="20"/>
                <w:szCs w:val="20"/>
                <w:lang w:eastAsia="ja-JP"/>
              </w:rPr>
            </w:pPr>
          </w:p>
        </w:tc>
      </w:tr>
      <w:tr w:rsidR="00C824CB" w:rsidRPr="00C824CB" w14:paraId="1CFE4B50" w14:textId="77777777" w:rsidTr="001A09CA">
        <w:tc>
          <w:tcPr>
            <w:tcW w:w="1823" w:type="dxa"/>
            <w:vMerge w:val="restart"/>
            <w:vAlign w:val="center"/>
          </w:tcPr>
          <w:p w14:paraId="23CC77DD"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 xml:space="preserve">Marital </w:t>
            </w:r>
            <w:proofErr w:type="spellStart"/>
            <w:r w:rsidRPr="00C824CB">
              <w:rPr>
                <w:rFonts w:ascii="Arial" w:hAnsi="Arial" w:cs="Arial"/>
                <w:sz w:val="20"/>
                <w:szCs w:val="20"/>
                <w:lang w:eastAsia="ja-JP"/>
              </w:rPr>
              <w:t>status</w:t>
            </w:r>
            <w:proofErr w:type="spellEnd"/>
          </w:p>
        </w:tc>
        <w:tc>
          <w:tcPr>
            <w:tcW w:w="0" w:type="auto"/>
            <w:vAlign w:val="center"/>
          </w:tcPr>
          <w:p w14:paraId="761F2A6E" w14:textId="77777777" w:rsidR="00C824CB" w:rsidRPr="00C824CB" w:rsidRDefault="00C824CB" w:rsidP="00C824CB">
            <w:pPr>
              <w:rPr>
                <w:rFonts w:ascii="Arial" w:eastAsia="Times New Roman" w:hAnsi="Arial" w:cs="Arial"/>
                <w:sz w:val="20"/>
                <w:szCs w:val="20"/>
                <w:lang w:eastAsia="ja-JP"/>
              </w:rPr>
            </w:pPr>
            <w:r w:rsidRPr="00C824CB">
              <w:rPr>
                <w:rFonts w:ascii="Arial" w:eastAsia="Times New Roman" w:hAnsi="Arial" w:cs="Arial"/>
                <w:sz w:val="20"/>
                <w:szCs w:val="20"/>
                <w:lang w:eastAsia="ja-JP"/>
              </w:rPr>
              <w:t>Single/</w:t>
            </w:r>
            <w:proofErr w:type="spellStart"/>
            <w:r w:rsidRPr="00C824CB">
              <w:rPr>
                <w:rFonts w:ascii="Arial" w:eastAsia="Times New Roman" w:hAnsi="Arial" w:cs="Arial"/>
                <w:sz w:val="20"/>
                <w:szCs w:val="20"/>
                <w:lang w:eastAsia="ja-JP"/>
              </w:rPr>
              <w:t>widowed</w:t>
            </w:r>
            <w:proofErr w:type="spellEnd"/>
            <w:r w:rsidRPr="00C824CB">
              <w:rPr>
                <w:rFonts w:ascii="Arial" w:eastAsia="Times New Roman" w:hAnsi="Arial" w:cs="Arial"/>
                <w:sz w:val="20"/>
                <w:szCs w:val="20"/>
                <w:lang w:eastAsia="ja-JP"/>
              </w:rPr>
              <w:t>/</w:t>
            </w:r>
            <w:proofErr w:type="spellStart"/>
            <w:r w:rsidRPr="00C824CB">
              <w:rPr>
                <w:rFonts w:ascii="Arial" w:eastAsia="Times New Roman" w:hAnsi="Arial" w:cs="Arial"/>
                <w:sz w:val="20"/>
                <w:szCs w:val="20"/>
                <w:lang w:eastAsia="ja-JP"/>
              </w:rPr>
              <w:t>divorced</w:t>
            </w:r>
            <w:proofErr w:type="spellEnd"/>
            <w:r w:rsidRPr="00C824CB">
              <w:rPr>
                <w:rFonts w:ascii="Arial" w:eastAsia="Times New Roman" w:hAnsi="Arial" w:cs="Arial"/>
                <w:sz w:val="20"/>
                <w:szCs w:val="20"/>
                <w:lang w:eastAsia="ja-JP"/>
              </w:rPr>
              <w:t>/</w:t>
            </w:r>
            <w:proofErr w:type="spellStart"/>
            <w:r w:rsidRPr="00C824CB">
              <w:rPr>
                <w:rFonts w:ascii="Arial" w:eastAsia="Times New Roman" w:hAnsi="Arial" w:cs="Arial"/>
                <w:sz w:val="20"/>
                <w:szCs w:val="20"/>
                <w:lang w:eastAsia="ja-JP"/>
              </w:rPr>
              <w:t>separated</w:t>
            </w:r>
            <w:proofErr w:type="spellEnd"/>
          </w:p>
        </w:tc>
        <w:tc>
          <w:tcPr>
            <w:tcW w:w="0" w:type="auto"/>
            <w:vAlign w:val="center"/>
          </w:tcPr>
          <w:p w14:paraId="24ABB34D"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36.9</w:t>
            </w:r>
          </w:p>
        </w:tc>
        <w:tc>
          <w:tcPr>
            <w:tcW w:w="0" w:type="auto"/>
            <w:vAlign w:val="center"/>
          </w:tcPr>
          <w:p w14:paraId="6A0A55D4"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33.9</w:t>
            </w:r>
          </w:p>
        </w:tc>
        <w:tc>
          <w:tcPr>
            <w:tcW w:w="0" w:type="auto"/>
            <w:vAlign w:val="center"/>
          </w:tcPr>
          <w:p w14:paraId="298BA373"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43.2</w:t>
            </w:r>
          </w:p>
        </w:tc>
        <w:tc>
          <w:tcPr>
            <w:tcW w:w="0" w:type="auto"/>
            <w:vMerge w:val="restart"/>
            <w:vAlign w:val="center"/>
          </w:tcPr>
          <w:p w14:paraId="6D0A28CC"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39CC18E4"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43.9</w:t>
            </w:r>
          </w:p>
        </w:tc>
        <w:tc>
          <w:tcPr>
            <w:tcW w:w="0" w:type="auto"/>
            <w:vAlign w:val="center"/>
          </w:tcPr>
          <w:p w14:paraId="65E3A33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30.5</w:t>
            </w:r>
          </w:p>
        </w:tc>
        <w:tc>
          <w:tcPr>
            <w:tcW w:w="0" w:type="auto"/>
            <w:vMerge w:val="restart"/>
            <w:vAlign w:val="center"/>
          </w:tcPr>
          <w:p w14:paraId="68F869C3"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r>
      <w:tr w:rsidR="00C824CB" w:rsidRPr="00C824CB" w14:paraId="6EA67D3C" w14:textId="77777777" w:rsidTr="001A09CA">
        <w:tc>
          <w:tcPr>
            <w:tcW w:w="1823" w:type="dxa"/>
            <w:vMerge/>
            <w:vAlign w:val="center"/>
          </w:tcPr>
          <w:p w14:paraId="629BFDFF" w14:textId="77777777" w:rsidR="00C824CB" w:rsidRPr="00C824CB" w:rsidRDefault="00C824CB" w:rsidP="00C824CB">
            <w:pPr>
              <w:rPr>
                <w:rFonts w:ascii="Arial" w:hAnsi="Arial" w:cs="Arial"/>
                <w:sz w:val="20"/>
                <w:szCs w:val="20"/>
                <w:lang w:eastAsia="ja-JP"/>
              </w:rPr>
            </w:pPr>
          </w:p>
        </w:tc>
        <w:tc>
          <w:tcPr>
            <w:tcW w:w="0" w:type="auto"/>
            <w:vAlign w:val="center"/>
          </w:tcPr>
          <w:p w14:paraId="156C19D9" w14:textId="77777777" w:rsidR="00C824CB" w:rsidRPr="00C824CB" w:rsidRDefault="00C824CB" w:rsidP="00C824CB">
            <w:pPr>
              <w:rPr>
                <w:rFonts w:ascii="Arial" w:eastAsia="Times New Roman" w:hAnsi="Arial" w:cs="Arial"/>
                <w:sz w:val="20"/>
                <w:szCs w:val="20"/>
                <w:lang w:eastAsia="ja-JP"/>
              </w:rPr>
            </w:pPr>
            <w:r w:rsidRPr="00C824CB">
              <w:rPr>
                <w:rFonts w:ascii="Arial" w:eastAsia="Times New Roman" w:hAnsi="Arial" w:cs="Arial"/>
                <w:sz w:val="20"/>
                <w:szCs w:val="20"/>
                <w:lang w:eastAsia="ja-JP"/>
              </w:rPr>
              <w:t>Married/</w:t>
            </w:r>
            <w:proofErr w:type="spellStart"/>
            <w:r w:rsidRPr="00C824CB">
              <w:rPr>
                <w:rFonts w:ascii="Arial" w:eastAsia="Times New Roman" w:hAnsi="Arial" w:cs="Arial"/>
                <w:sz w:val="20"/>
                <w:szCs w:val="20"/>
                <w:lang w:eastAsia="ja-JP"/>
              </w:rPr>
              <w:t>cohabiting</w:t>
            </w:r>
            <w:proofErr w:type="spellEnd"/>
          </w:p>
        </w:tc>
        <w:tc>
          <w:tcPr>
            <w:tcW w:w="0" w:type="auto"/>
            <w:vAlign w:val="center"/>
          </w:tcPr>
          <w:p w14:paraId="6F28571F"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63.1</w:t>
            </w:r>
          </w:p>
        </w:tc>
        <w:tc>
          <w:tcPr>
            <w:tcW w:w="0" w:type="auto"/>
            <w:vAlign w:val="center"/>
          </w:tcPr>
          <w:p w14:paraId="79A3306D"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66.1</w:t>
            </w:r>
          </w:p>
        </w:tc>
        <w:tc>
          <w:tcPr>
            <w:tcW w:w="0" w:type="auto"/>
            <w:vAlign w:val="center"/>
          </w:tcPr>
          <w:p w14:paraId="0485C2A8"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56.8</w:t>
            </w:r>
          </w:p>
        </w:tc>
        <w:tc>
          <w:tcPr>
            <w:tcW w:w="0" w:type="auto"/>
            <w:vMerge/>
            <w:vAlign w:val="center"/>
          </w:tcPr>
          <w:p w14:paraId="1A8960A7" w14:textId="77777777" w:rsidR="00C824CB" w:rsidRPr="00C824CB" w:rsidRDefault="00C824CB" w:rsidP="00C824CB">
            <w:pPr>
              <w:rPr>
                <w:rFonts w:ascii="Arial" w:hAnsi="Arial" w:cs="Arial"/>
                <w:sz w:val="20"/>
                <w:szCs w:val="20"/>
                <w:lang w:eastAsia="ja-JP"/>
              </w:rPr>
            </w:pPr>
          </w:p>
        </w:tc>
        <w:tc>
          <w:tcPr>
            <w:tcW w:w="0" w:type="auto"/>
            <w:vAlign w:val="center"/>
          </w:tcPr>
          <w:p w14:paraId="234DB44C"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56.1</w:t>
            </w:r>
          </w:p>
        </w:tc>
        <w:tc>
          <w:tcPr>
            <w:tcW w:w="0" w:type="auto"/>
            <w:vAlign w:val="center"/>
          </w:tcPr>
          <w:p w14:paraId="770A81FA"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69.5</w:t>
            </w:r>
          </w:p>
        </w:tc>
        <w:tc>
          <w:tcPr>
            <w:tcW w:w="0" w:type="auto"/>
            <w:vMerge/>
            <w:vAlign w:val="center"/>
          </w:tcPr>
          <w:p w14:paraId="692940C4" w14:textId="77777777" w:rsidR="00C824CB" w:rsidRPr="00C824CB" w:rsidRDefault="00C824CB" w:rsidP="00C824CB">
            <w:pPr>
              <w:rPr>
                <w:rFonts w:ascii="Arial" w:hAnsi="Arial" w:cs="Arial"/>
                <w:sz w:val="20"/>
                <w:szCs w:val="20"/>
                <w:lang w:eastAsia="ja-JP"/>
              </w:rPr>
            </w:pPr>
          </w:p>
        </w:tc>
      </w:tr>
      <w:tr w:rsidR="00C824CB" w:rsidRPr="00C824CB" w14:paraId="4699F57E" w14:textId="77777777" w:rsidTr="001A09CA">
        <w:tc>
          <w:tcPr>
            <w:tcW w:w="1823" w:type="dxa"/>
            <w:vMerge w:val="restart"/>
            <w:vAlign w:val="center"/>
          </w:tcPr>
          <w:p w14:paraId="041F656E"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Qualification</w:t>
            </w:r>
          </w:p>
        </w:tc>
        <w:tc>
          <w:tcPr>
            <w:tcW w:w="0" w:type="auto"/>
            <w:vAlign w:val="center"/>
          </w:tcPr>
          <w:p w14:paraId="4382DF8A" w14:textId="77777777" w:rsidR="00C824CB" w:rsidRPr="00C824CB" w:rsidRDefault="00C824CB" w:rsidP="00C824CB">
            <w:pPr>
              <w:rPr>
                <w:rFonts w:ascii="Arial" w:eastAsia="Times New Roman" w:hAnsi="Arial" w:cs="Arial"/>
                <w:sz w:val="20"/>
                <w:szCs w:val="20"/>
                <w:lang w:eastAsia="ja-JP"/>
              </w:rPr>
            </w:pPr>
            <w:r w:rsidRPr="00C824CB">
              <w:rPr>
                <w:rFonts w:ascii="Arial" w:eastAsia="Times New Roman" w:hAnsi="Arial" w:cs="Arial"/>
                <w:sz w:val="20"/>
                <w:szCs w:val="20"/>
                <w:lang w:eastAsia="ja-JP"/>
              </w:rPr>
              <w:t>No</w:t>
            </w:r>
          </w:p>
        </w:tc>
        <w:tc>
          <w:tcPr>
            <w:tcW w:w="0" w:type="auto"/>
            <w:vAlign w:val="center"/>
          </w:tcPr>
          <w:p w14:paraId="0EC67BEA"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23.7</w:t>
            </w:r>
          </w:p>
        </w:tc>
        <w:tc>
          <w:tcPr>
            <w:tcW w:w="0" w:type="auto"/>
            <w:vAlign w:val="center"/>
          </w:tcPr>
          <w:p w14:paraId="6F8C7E1F"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16.7</w:t>
            </w:r>
          </w:p>
        </w:tc>
        <w:tc>
          <w:tcPr>
            <w:tcW w:w="0" w:type="auto"/>
            <w:vAlign w:val="center"/>
          </w:tcPr>
          <w:p w14:paraId="7BCF5B5A"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38.2</w:t>
            </w:r>
          </w:p>
        </w:tc>
        <w:tc>
          <w:tcPr>
            <w:tcW w:w="0" w:type="auto"/>
            <w:vMerge w:val="restart"/>
            <w:vAlign w:val="center"/>
          </w:tcPr>
          <w:p w14:paraId="5CF081B5"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11ACD9E5"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33.9</w:t>
            </w:r>
          </w:p>
        </w:tc>
        <w:tc>
          <w:tcPr>
            <w:tcW w:w="0" w:type="auto"/>
            <w:vAlign w:val="center"/>
          </w:tcPr>
          <w:p w14:paraId="2F2FD134"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14.4</w:t>
            </w:r>
          </w:p>
        </w:tc>
        <w:tc>
          <w:tcPr>
            <w:tcW w:w="0" w:type="auto"/>
            <w:vMerge w:val="restart"/>
            <w:vAlign w:val="center"/>
          </w:tcPr>
          <w:p w14:paraId="58797568"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r>
      <w:tr w:rsidR="00C824CB" w:rsidRPr="00C824CB" w14:paraId="6C9F8273" w14:textId="77777777" w:rsidTr="001A09CA">
        <w:tc>
          <w:tcPr>
            <w:tcW w:w="1823" w:type="dxa"/>
            <w:vMerge/>
            <w:vAlign w:val="center"/>
          </w:tcPr>
          <w:p w14:paraId="1B6BAD08" w14:textId="77777777" w:rsidR="00C824CB" w:rsidRPr="00C824CB" w:rsidRDefault="00C824CB" w:rsidP="00C824CB">
            <w:pPr>
              <w:rPr>
                <w:rFonts w:ascii="Arial" w:hAnsi="Arial" w:cs="Arial"/>
                <w:sz w:val="20"/>
                <w:szCs w:val="20"/>
                <w:lang w:eastAsia="ja-JP"/>
              </w:rPr>
            </w:pPr>
          </w:p>
        </w:tc>
        <w:tc>
          <w:tcPr>
            <w:tcW w:w="0" w:type="auto"/>
            <w:vAlign w:val="center"/>
          </w:tcPr>
          <w:p w14:paraId="0CD9BF9C" w14:textId="77777777" w:rsidR="00C824CB" w:rsidRPr="00C824CB" w:rsidRDefault="00C824CB" w:rsidP="00C824CB">
            <w:pPr>
              <w:rPr>
                <w:rFonts w:ascii="Arial" w:eastAsia="Times New Roman" w:hAnsi="Arial" w:cs="Arial"/>
                <w:sz w:val="20"/>
                <w:szCs w:val="20"/>
                <w:lang w:eastAsia="ja-JP"/>
              </w:rPr>
            </w:pPr>
            <w:r w:rsidRPr="00C824CB">
              <w:rPr>
                <w:rFonts w:ascii="Arial" w:eastAsia="Times New Roman" w:hAnsi="Arial" w:cs="Arial"/>
                <w:sz w:val="20"/>
                <w:szCs w:val="20"/>
                <w:lang w:eastAsia="ja-JP"/>
              </w:rPr>
              <w:t>Yes</w:t>
            </w:r>
          </w:p>
        </w:tc>
        <w:tc>
          <w:tcPr>
            <w:tcW w:w="0" w:type="auto"/>
            <w:vAlign w:val="center"/>
          </w:tcPr>
          <w:p w14:paraId="189883E3"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76.3</w:t>
            </w:r>
          </w:p>
        </w:tc>
        <w:tc>
          <w:tcPr>
            <w:tcW w:w="0" w:type="auto"/>
            <w:vAlign w:val="center"/>
          </w:tcPr>
          <w:p w14:paraId="2E08687E"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83.3</w:t>
            </w:r>
          </w:p>
        </w:tc>
        <w:tc>
          <w:tcPr>
            <w:tcW w:w="0" w:type="auto"/>
            <w:vAlign w:val="center"/>
          </w:tcPr>
          <w:p w14:paraId="139D7920"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61.8</w:t>
            </w:r>
          </w:p>
        </w:tc>
        <w:tc>
          <w:tcPr>
            <w:tcW w:w="0" w:type="auto"/>
            <w:vMerge/>
            <w:vAlign w:val="center"/>
          </w:tcPr>
          <w:p w14:paraId="1B3C81D1" w14:textId="77777777" w:rsidR="00C824CB" w:rsidRPr="00C824CB" w:rsidRDefault="00C824CB" w:rsidP="00C824CB">
            <w:pPr>
              <w:rPr>
                <w:rFonts w:ascii="Arial" w:hAnsi="Arial" w:cs="Arial"/>
                <w:sz w:val="20"/>
                <w:szCs w:val="20"/>
                <w:lang w:eastAsia="ja-JP"/>
              </w:rPr>
            </w:pPr>
          </w:p>
        </w:tc>
        <w:tc>
          <w:tcPr>
            <w:tcW w:w="0" w:type="auto"/>
            <w:vAlign w:val="center"/>
          </w:tcPr>
          <w:p w14:paraId="7B4CE372"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66.1</w:t>
            </w:r>
          </w:p>
        </w:tc>
        <w:tc>
          <w:tcPr>
            <w:tcW w:w="0" w:type="auto"/>
            <w:vAlign w:val="center"/>
          </w:tcPr>
          <w:p w14:paraId="4FBE9947"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85.6</w:t>
            </w:r>
          </w:p>
        </w:tc>
        <w:tc>
          <w:tcPr>
            <w:tcW w:w="0" w:type="auto"/>
            <w:vMerge/>
            <w:vAlign w:val="center"/>
          </w:tcPr>
          <w:p w14:paraId="5E0B2536" w14:textId="77777777" w:rsidR="00C824CB" w:rsidRPr="00C824CB" w:rsidRDefault="00C824CB" w:rsidP="00C824CB">
            <w:pPr>
              <w:rPr>
                <w:rFonts w:ascii="Arial" w:hAnsi="Arial" w:cs="Arial"/>
                <w:sz w:val="20"/>
                <w:szCs w:val="20"/>
                <w:lang w:eastAsia="ja-JP"/>
              </w:rPr>
            </w:pPr>
          </w:p>
        </w:tc>
      </w:tr>
      <w:tr w:rsidR="00C824CB" w:rsidRPr="00C824CB" w14:paraId="31C099C4" w14:textId="77777777" w:rsidTr="001A09CA">
        <w:tc>
          <w:tcPr>
            <w:tcW w:w="1823" w:type="dxa"/>
            <w:vMerge w:val="restart"/>
            <w:vAlign w:val="center"/>
          </w:tcPr>
          <w:p w14:paraId="3E5C5CF4"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Social class</w:t>
            </w:r>
          </w:p>
        </w:tc>
        <w:tc>
          <w:tcPr>
            <w:tcW w:w="0" w:type="auto"/>
            <w:vAlign w:val="center"/>
          </w:tcPr>
          <w:p w14:paraId="7866DB1F" w14:textId="77777777" w:rsidR="00C824CB" w:rsidRPr="00C824CB" w:rsidRDefault="00C824CB" w:rsidP="00C824CB">
            <w:pPr>
              <w:rPr>
                <w:rFonts w:ascii="Arial" w:eastAsia="Times New Roman" w:hAnsi="Arial" w:cs="Arial"/>
                <w:sz w:val="20"/>
                <w:szCs w:val="20"/>
                <w:lang w:eastAsia="ja-JP"/>
              </w:rPr>
            </w:pPr>
            <w:r w:rsidRPr="00C824CB">
              <w:rPr>
                <w:rFonts w:ascii="Arial" w:eastAsia="Times New Roman" w:hAnsi="Arial" w:cs="Arial"/>
                <w:sz w:val="20"/>
                <w:szCs w:val="20"/>
                <w:lang w:eastAsia="ja-JP"/>
              </w:rPr>
              <w:t>Professional occupations</w:t>
            </w:r>
          </w:p>
        </w:tc>
        <w:tc>
          <w:tcPr>
            <w:tcW w:w="0" w:type="auto"/>
            <w:vAlign w:val="center"/>
          </w:tcPr>
          <w:p w14:paraId="1CF13657"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5.0</w:t>
            </w:r>
          </w:p>
        </w:tc>
        <w:tc>
          <w:tcPr>
            <w:tcW w:w="0" w:type="auto"/>
            <w:vAlign w:val="center"/>
          </w:tcPr>
          <w:p w14:paraId="6CBE67AB"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6.1</w:t>
            </w:r>
          </w:p>
        </w:tc>
        <w:tc>
          <w:tcPr>
            <w:tcW w:w="0" w:type="auto"/>
            <w:vAlign w:val="center"/>
          </w:tcPr>
          <w:p w14:paraId="5F9BF093"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2.8</w:t>
            </w:r>
          </w:p>
        </w:tc>
        <w:tc>
          <w:tcPr>
            <w:tcW w:w="0" w:type="auto"/>
            <w:vMerge w:val="restart"/>
            <w:vAlign w:val="center"/>
          </w:tcPr>
          <w:p w14:paraId="7C690F24"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6576CCD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2.3</w:t>
            </w:r>
          </w:p>
        </w:tc>
        <w:tc>
          <w:tcPr>
            <w:tcW w:w="0" w:type="auto"/>
            <w:vAlign w:val="center"/>
          </w:tcPr>
          <w:p w14:paraId="199C47C4"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7.5</w:t>
            </w:r>
          </w:p>
        </w:tc>
        <w:tc>
          <w:tcPr>
            <w:tcW w:w="0" w:type="auto"/>
            <w:vMerge w:val="restart"/>
            <w:vAlign w:val="center"/>
          </w:tcPr>
          <w:p w14:paraId="1B79FBE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r>
      <w:tr w:rsidR="00C824CB" w:rsidRPr="00C824CB" w14:paraId="10C4FAA4" w14:textId="77777777" w:rsidTr="001A09CA">
        <w:tc>
          <w:tcPr>
            <w:tcW w:w="1823" w:type="dxa"/>
            <w:vMerge/>
            <w:vAlign w:val="center"/>
          </w:tcPr>
          <w:p w14:paraId="44D7C26E" w14:textId="77777777" w:rsidR="00C824CB" w:rsidRPr="00C824CB" w:rsidRDefault="00C824CB" w:rsidP="00C824CB">
            <w:pPr>
              <w:rPr>
                <w:rFonts w:ascii="Arial" w:hAnsi="Arial" w:cs="Arial"/>
                <w:sz w:val="20"/>
                <w:szCs w:val="20"/>
                <w:lang w:eastAsia="ja-JP"/>
              </w:rPr>
            </w:pPr>
          </w:p>
        </w:tc>
        <w:tc>
          <w:tcPr>
            <w:tcW w:w="0" w:type="auto"/>
            <w:vAlign w:val="center"/>
          </w:tcPr>
          <w:p w14:paraId="244AC1B7" w14:textId="77777777" w:rsidR="00C824CB" w:rsidRPr="00C824CB" w:rsidRDefault="00C824CB" w:rsidP="00C824CB">
            <w:pPr>
              <w:rPr>
                <w:rFonts w:ascii="Arial" w:eastAsia="Times New Roman" w:hAnsi="Arial" w:cs="Arial"/>
                <w:sz w:val="20"/>
                <w:szCs w:val="20"/>
                <w:lang w:eastAsia="ja-JP"/>
              </w:rPr>
            </w:pPr>
            <w:proofErr w:type="spellStart"/>
            <w:r w:rsidRPr="00C824CB">
              <w:rPr>
                <w:rFonts w:ascii="Arial" w:eastAsia="Times New Roman" w:hAnsi="Arial" w:cs="Arial"/>
                <w:sz w:val="20"/>
                <w:szCs w:val="20"/>
                <w:lang w:eastAsia="ja-JP"/>
              </w:rPr>
              <w:t>Managerial</w:t>
            </w:r>
            <w:proofErr w:type="spellEnd"/>
            <w:r w:rsidRPr="00C824CB">
              <w:rPr>
                <w:rFonts w:ascii="Arial" w:eastAsia="Times New Roman" w:hAnsi="Arial" w:cs="Arial"/>
                <w:sz w:val="20"/>
                <w:szCs w:val="20"/>
                <w:lang w:eastAsia="ja-JP"/>
              </w:rPr>
              <w:t xml:space="preserve"> and </w:t>
            </w:r>
            <w:proofErr w:type="spellStart"/>
            <w:r w:rsidRPr="00C824CB">
              <w:rPr>
                <w:rFonts w:ascii="Arial" w:eastAsia="Times New Roman" w:hAnsi="Arial" w:cs="Arial"/>
                <w:sz w:val="20"/>
                <w:szCs w:val="20"/>
                <w:lang w:eastAsia="ja-JP"/>
              </w:rPr>
              <w:t>technical</w:t>
            </w:r>
            <w:proofErr w:type="spellEnd"/>
            <w:r w:rsidRPr="00C824CB">
              <w:rPr>
                <w:rFonts w:ascii="Arial" w:eastAsia="Times New Roman" w:hAnsi="Arial" w:cs="Arial"/>
                <w:sz w:val="20"/>
                <w:szCs w:val="20"/>
                <w:lang w:eastAsia="ja-JP"/>
              </w:rPr>
              <w:t xml:space="preserve"> occupations</w:t>
            </w:r>
          </w:p>
        </w:tc>
        <w:tc>
          <w:tcPr>
            <w:tcW w:w="0" w:type="auto"/>
            <w:vAlign w:val="center"/>
          </w:tcPr>
          <w:p w14:paraId="62F65575"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31.6</w:t>
            </w:r>
          </w:p>
        </w:tc>
        <w:tc>
          <w:tcPr>
            <w:tcW w:w="0" w:type="auto"/>
            <w:vAlign w:val="center"/>
          </w:tcPr>
          <w:p w14:paraId="1F394A63"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35.0</w:t>
            </w:r>
          </w:p>
        </w:tc>
        <w:tc>
          <w:tcPr>
            <w:tcW w:w="0" w:type="auto"/>
            <w:vAlign w:val="center"/>
          </w:tcPr>
          <w:p w14:paraId="73E78C7B"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24.6</w:t>
            </w:r>
          </w:p>
        </w:tc>
        <w:tc>
          <w:tcPr>
            <w:tcW w:w="0" w:type="auto"/>
            <w:vMerge/>
            <w:vAlign w:val="center"/>
          </w:tcPr>
          <w:p w14:paraId="150546B1" w14:textId="77777777" w:rsidR="00C824CB" w:rsidRPr="00C824CB" w:rsidRDefault="00C824CB" w:rsidP="00C824CB">
            <w:pPr>
              <w:rPr>
                <w:rFonts w:ascii="Arial" w:hAnsi="Arial" w:cs="Arial"/>
                <w:sz w:val="20"/>
                <w:szCs w:val="20"/>
                <w:lang w:eastAsia="ja-JP"/>
              </w:rPr>
            </w:pPr>
          </w:p>
        </w:tc>
        <w:tc>
          <w:tcPr>
            <w:tcW w:w="0" w:type="auto"/>
            <w:vAlign w:val="center"/>
          </w:tcPr>
          <w:p w14:paraId="0675BF75"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20.1</w:t>
            </w:r>
          </w:p>
        </w:tc>
        <w:tc>
          <w:tcPr>
            <w:tcW w:w="0" w:type="auto"/>
            <w:vAlign w:val="center"/>
          </w:tcPr>
          <w:p w14:paraId="6E3EA618"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42.2</w:t>
            </w:r>
          </w:p>
        </w:tc>
        <w:tc>
          <w:tcPr>
            <w:tcW w:w="0" w:type="auto"/>
            <w:vMerge/>
            <w:vAlign w:val="center"/>
          </w:tcPr>
          <w:p w14:paraId="7476E891" w14:textId="77777777" w:rsidR="00C824CB" w:rsidRPr="00C824CB" w:rsidRDefault="00C824CB" w:rsidP="00C824CB">
            <w:pPr>
              <w:rPr>
                <w:rFonts w:ascii="Arial" w:hAnsi="Arial" w:cs="Arial"/>
                <w:sz w:val="20"/>
                <w:szCs w:val="20"/>
                <w:lang w:eastAsia="ja-JP"/>
              </w:rPr>
            </w:pPr>
          </w:p>
        </w:tc>
      </w:tr>
      <w:tr w:rsidR="00C824CB" w:rsidRPr="00C824CB" w14:paraId="0A72E035" w14:textId="77777777" w:rsidTr="001A09CA">
        <w:tc>
          <w:tcPr>
            <w:tcW w:w="1823" w:type="dxa"/>
            <w:vMerge/>
            <w:vAlign w:val="center"/>
          </w:tcPr>
          <w:p w14:paraId="6FD011B5" w14:textId="77777777" w:rsidR="00C824CB" w:rsidRPr="00C824CB" w:rsidRDefault="00C824CB" w:rsidP="00C824CB">
            <w:pPr>
              <w:rPr>
                <w:rFonts w:ascii="Arial" w:hAnsi="Arial" w:cs="Arial"/>
                <w:sz w:val="20"/>
                <w:szCs w:val="20"/>
                <w:lang w:eastAsia="ja-JP"/>
              </w:rPr>
            </w:pPr>
          </w:p>
        </w:tc>
        <w:tc>
          <w:tcPr>
            <w:tcW w:w="0" w:type="auto"/>
            <w:vAlign w:val="center"/>
          </w:tcPr>
          <w:p w14:paraId="1C444C6F" w14:textId="77777777" w:rsidR="00C824CB" w:rsidRPr="00C824CB" w:rsidRDefault="00C824CB" w:rsidP="00C824CB">
            <w:pPr>
              <w:rPr>
                <w:rFonts w:ascii="Arial" w:eastAsia="Times New Roman" w:hAnsi="Arial" w:cs="Arial"/>
                <w:sz w:val="20"/>
                <w:szCs w:val="20"/>
                <w:lang w:eastAsia="ja-JP"/>
              </w:rPr>
            </w:pPr>
            <w:proofErr w:type="spellStart"/>
            <w:r w:rsidRPr="00C824CB">
              <w:rPr>
                <w:rFonts w:ascii="Arial" w:eastAsia="Times New Roman" w:hAnsi="Arial" w:cs="Arial"/>
                <w:sz w:val="20"/>
                <w:szCs w:val="20"/>
                <w:lang w:eastAsia="ja-JP"/>
              </w:rPr>
              <w:t>Skilled</w:t>
            </w:r>
            <w:proofErr w:type="spellEnd"/>
            <w:r w:rsidRPr="00C824CB">
              <w:rPr>
                <w:rFonts w:ascii="Arial" w:eastAsia="Times New Roman" w:hAnsi="Arial" w:cs="Arial"/>
                <w:sz w:val="20"/>
                <w:szCs w:val="20"/>
                <w:lang w:eastAsia="ja-JP"/>
              </w:rPr>
              <w:t xml:space="preserve"> occupations – non-</w:t>
            </w:r>
            <w:proofErr w:type="spellStart"/>
            <w:r w:rsidRPr="00C824CB">
              <w:rPr>
                <w:rFonts w:ascii="Arial" w:eastAsia="Times New Roman" w:hAnsi="Arial" w:cs="Arial"/>
                <w:sz w:val="20"/>
                <w:szCs w:val="20"/>
                <w:lang w:eastAsia="ja-JP"/>
              </w:rPr>
              <w:t>manual</w:t>
            </w:r>
            <w:proofErr w:type="spellEnd"/>
          </w:p>
        </w:tc>
        <w:tc>
          <w:tcPr>
            <w:tcW w:w="0" w:type="auto"/>
            <w:vAlign w:val="center"/>
          </w:tcPr>
          <w:p w14:paraId="03350596"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21.5</w:t>
            </w:r>
          </w:p>
        </w:tc>
        <w:tc>
          <w:tcPr>
            <w:tcW w:w="0" w:type="auto"/>
            <w:vAlign w:val="center"/>
          </w:tcPr>
          <w:p w14:paraId="2423F50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21.7</w:t>
            </w:r>
          </w:p>
        </w:tc>
        <w:tc>
          <w:tcPr>
            <w:tcW w:w="0" w:type="auto"/>
            <w:vAlign w:val="center"/>
          </w:tcPr>
          <w:p w14:paraId="127AF2F9"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21.2</w:t>
            </w:r>
          </w:p>
        </w:tc>
        <w:tc>
          <w:tcPr>
            <w:tcW w:w="0" w:type="auto"/>
            <w:vMerge/>
            <w:vAlign w:val="center"/>
          </w:tcPr>
          <w:p w14:paraId="11C7E924" w14:textId="77777777" w:rsidR="00C824CB" w:rsidRPr="00C824CB" w:rsidRDefault="00C824CB" w:rsidP="00C824CB">
            <w:pPr>
              <w:rPr>
                <w:rFonts w:ascii="Arial" w:hAnsi="Arial" w:cs="Arial"/>
                <w:sz w:val="20"/>
                <w:szCs w:val="20"/>
                <w:lang w:eastAsia="ja-JP"/>
              </w:rPr>
            </w:pPr>
          </w:p>
        </w:tc>
        <w:tc>
          <w:tcPr>
            <w:tcW w:w="0" w:type="auto"/>
            <w:vAlign w:val="center"/>
          </w:tcPr>
          <w:p w14:paraId="3D47C3C6"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20.6</w:t>
            </w:r>
          </w:p>
        </w:tc>
        <w:tc>
          <w:tcPr>
            <w:tcW w:w="0" w:type="auto"/>
            <w:vAlign w:val="center"/>
          </w:tcPr>
          <w:p w14:paraId="052E5787"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22.4</w:t>
            </w:r>
          </w:p>
        </w:tc>
        <w:tc>
          <w:tcPr>
            <w:tcW w:w="0" w:type="auto"/>
            <w:vMerge/>
            <w:vAlign w:val="center"/>
          </w:tcPr>
          <w:p w14:paraId="5DE08C4A" w14:textId="77777777" w:rsidR="00C824CB" w:rsidRPr="00C824CB" w:rsidRDefault="00C824CB" w:rsidP="00C824CB">
            <w:pPr>
              <w:rPr>
                <w:rFonts w:ascii="Arial" w:hAnsi="Arial" w:cs="Arial"/>
                <w:sz w:val="20"/>
                <w:szCs w:val="20"/>
                <w:lang w:eastAsia="ja-JP"/>
              </w:rPr>
            </w:pPr>
          </w:p>
        </w:tc>
      </w:tr>
      <w:tr w:rsidR="00C824CB" w:rsidRPr="00C824CB" w14:paraId="0CB390B8" w14:textId="77777777" w:rsidTr="001A09CA">
        <w:tc>
          <w:tcPr>
            <w:tcW w:w="1823" w:type="dxa"/>
            <w:vMerge/>
            <w:vAlign w:val="center"/>
          </w:tcPr>
          <w:p w14:paraId="74100540" w14:textId="77777777" w:rsidR="00C824CB" w:rsidRPr="00C824CB" w:rsidRDefault="00C824CB" w:rsidP="00C824CB">
            <w:pPr>
              <w:rPr>
                <w:rFonts w:ascii="Arial" w:hAnsi="Arial" w:cs="Arial"/>
                <w:sz w:val="20"/>
                <w:szCs w:val="20"/>
                <w:lang w:eastAsia="ja-JP"/>
              </w:rPr>
            </w:pPr>
          </w:p>
        </w:tc>
        <w:tc>
          <w:tcPr>
            <w:tcW w:w="0" w:type="auto"/>
            <w:vAlign w:val="center"/>
          </w:tcPr>
          <w:p w14:paraId="25A66AB4" w14:textId="77777777" w:rsidR="00C824CB" w:rsidRPr="00C824CB" w:rsidRDefault="00C824CB" w:rsidP="00C824CB">
            <w:pPr>
              <w:rPr>
                <w:rFonts w:ascii="Arial" w:eastAsia="Times New Roman" w:hAnsi="Arial" w:cs="Arial"/>
                <w:sz w:val="20"/>
                <w:szCs w:val="20"/>
                <w:lang w:eastAsia="ja-JP"/>
              </w:rPr>
            </w:pPr>
            <w:proofErr w:type="spellStart"/>
            <w:r w:rsidRPr="00C824CB">
              <w:rPr>
                <w:rFonts w:ascii="Arial" w:eastAsia="Times New Roman" w:hAnsi="Arial" w:cs="Arial"/>
                <w:sz w:val="20"/>
                <w:szCs w:val="20"/>
                <w:lang w:eastAsia="ja-JP"/>
              </w:rPr>
              <w:t>Skilled</w:t>
            </w:r>
            <w:proofErr w:type="spellEnd"/>
            <w:r w:rsidRPr="00C824CB">
              <w:rPr>
                <w:rFonts w:ascii="Arial" w:eastAsia="Times New Roman" w:hAnsi="Arial" w:cs="Arial"/>
                <w:sz w:val="20"/>
                <w:szCs w:val="20"/>
                <w:lang w:eastAsia="ja-JP"/>
              </w:rPr>
              <w:t xml:space="preserve"> occupations – </w:t>
            </w:r>
            <w:proofErr w:type="spellStart"/>
            <w:r w:rsidRPr="00C824CB">
              <w:rPr>
                <w:rFonts w:ascii="Arial" w:eastAsia="Times New Roman" w:hAnsi="Arial" w:cs="Arial"/>
                <w:sz w:val="20"/>
                <w:szCs w:val="20"/>
                <w:lang w:eastAsia="ja-JP"/>
              </w:rPr>
              <w:t>manual</w:t>
            </w:r>
            <w:proofErr w:type="spellEnd"/>
          </w:p>
        </w:tc>
        <w:tc>
          <w:tcPr>
            <w:tcW w:w="0" w:type="auto"/>
            <w:vAlign w:val="center"/>
          </w:tcPr>
          <w:p w14:paraId="7C58380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17.2</w:t>
            </w:r>
          </w:p>
        </w:tc>
        <w:tc>
          <w:tcPr>
            <w:tcW w:w="0" w:type="auto"/>
            <w:vAlign w:val="center"/>
          </w:tcPr>
          <w:p w14:paraId="5F697C8A"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14.8</w:t>
            </w:r>
          </w:p>
        </w:tc>
        <w:tc>
          <w:tcPr>
            <w:tcW w:w="0" w:type="auto"/>
            <w:vAlign w:val="center"/>
          </w:tcPr>
          <w:p w14:paraId="6CDBB5D6"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22.2</w:t>
            </w:r>
          </w:p>
        </w:tc>
        <w:tc>
          <w:tcPr>
            <w:tcW w:w="0" w:type="auto"/>
            <w:vMerge/>
            <w:vAlign w:val="center"/>
          </w:tcPr>
          <w:p w14:paraId="43DBCEAC" w14:textId="77777777" w:rsidR="00C824CB" w:rsidRPr="00C824CB" w:rsidRDefault="00C824CB" w:rsidP="00C824CB">
            <w:pPr>
              <w:rPr>
                <w:rFonts w:ascii="Arial" w:hAnsi="Arial" w:cs="Arial"/>
                <w:sz w:val="20"/>
                <w:szCs w:val="20"/>
                <w:lang w:eastAsia="ja-JP"/>
              </w:rPr>
            </w:pPr>
          </w:p>
        </w:tc>
        <w:tc>
          <w:tcPr>
            <w:tcW w:w="0" w:type="auto"/>
            <w:vAlign w:val="center"/>
          </w:tcPr>
          <w:p w14:paraId="6294871B"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22.6</w:t>
            </w:r>
          </w:p>
        </w:tc>
        <w:tc>
          <w:tcPr>
            <w:tcW w:w="0" w:type="auto"/>
            <w:vAlign w:val="center"/>
          </w:tcPr>
          <w:p w14:paraId="771002DA"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12.3</w:t>
            </w:r>
          </w:p>
        </w:tc>
        <w:tc>
          <w:tcPr>
            <w:tcW w:w="0" w:type="auto"/>
            <w:vMerge/>
            <w:vAlign w:val="center"/>
          </w:tcPr>
          <w:p w14:paraId="3C4A628D" w14:textId="77777777" w:rsidR="00C824CB" w:rsidRPr="00C824CB" w:rsidRDefault="00C824CB" w:rsidP="00C824CB">
            <w:pPr>
              <w:rPr>
                <w:rFonts w:ascii="Arial" w:hAnsi="Arial" w:cs="Arial"/>
                <w:sz w:val="20"/>
                <w:szCs w:val="20"/>
                <w:lang w:eastAsia="ja-JP"/>
              </w:rPr>
            </w:pPr>
          </w:p>
        </w:tc>
      </w:tr>
      <w:tr w:rsidR="00C824CB" w:rsidRPr="00C824CB" w14:paraId="00668E52" w14:textId="77777777" w:rsidTr="001A09CA">
        <w:tc>
          <w:tcPr>
            <w:tcW w:w="1823" w:type="dxa"/>
            <w:vMerge/>
            <w:vAlign w:val="center"/>
          </w:tcPr>
          <w:p w14:paraId="5FC39FFC" w14:textId="77777777" w:rsidR="00C824CB" w:rsidRPr="00C824CB" w:rsidRDefault="00C824CB" w:rsidP="00C824CB">
            <w:pPr>
              <w:rPr>
                <w:rFonts w:ascii="Arial" w:hAnsi="Arial" w:cs="Arial"/>
                <w:sz w:val="20"/>
                <w:szCs w:val="20"/>
                <w:lang w:eastAsia="ja-JP"/>
              </w:rPr>
            </w:pPr>
          </w:p>
        </w:tc>
        <w:tc>
          <w:tcPr>
            <w:tcW w:w="0" w:type="auto"/>
            <w:vAlign w:val="center"/>
          </w:tcPr>
          <w:p w14:paraId="6EDD68C6" w14:textId="77777777" w:rsidR="00C824CB" w:rsidRPr="00C824CB" w:rsidRDefault="00C824CB" w:rsidP="00C824CB">
            <w:pPr>
              <w:rPr>
                <w:rFonts w:ascii="Arial" w:eastAsia="Times New Roman" w:hAnsi="Arial" w:cs="Arial"/>
                <w:sz w:val="20"/>
                <w:szCs w:val="20"/>
                <w:lang w:eastAsia="ja-JP"/>
              </w:rPr>
            </w:pPr>
            <w:proofErr w:type="spellStart"/>
            <w:r w:rsidRPr="00C824CB">
              <w:rPr>
                <w:rFonts w:ascii="Arial" w:eastAsia="Times New Roman" w:hAnsi="Arial" w:cs="Arial"/>
                <w:sz w:val="20"/>
                <w:szCs w:val="20"/>
                <w:lang w:eastAsia="ja-JP"/>
              </w:rPr>
              <w:t>Partly</w:t>
            </w:r>
            <w:proofErr w:type="spellEnd"/>
            <w:r w:rsidRPr="00C824CB">
              <w:rPr>
                <w:rFonts w:ascii="Arial" w:eastAsia="Times New Roman" w:hAnsi="Arial" w:cs="Arial"/>
                <w:sz w:val="20"/>
                <w:szCs w:val="20"/>
                <w:lang w:eastAsia="ja-JP"/>
              </w:rPr>
              <w:t xml:space="preserve"> </w:t>
            </w:r>
            <w:proofErr w:type="spellStart"/>
            <w:r w:rsidRPr="00C824CB">
              <w:rPr>
                <w:rFonts w:ascii="Arial" w:eastAsia="Times New Roman" w:hAnsi="Arial" w:cs="Arial"/>
                <w:sz w:val="20"/>
                <w:szCs w:val="20"/>
                <w:lang w:eastAsia="ja-JP"/>
              </w:rPr>
              <w:t>skilled</w:t>
            </w:r>
            <w:proofErr w:type="spellEnd"/>
            <w:r w:rsidRPr="00C824CB">
              <w:rPr>
                <w:rFonts w:ascii="Arial" w:eastAsia="Times New Roman" w:hAnsi="Arial" w:cs="Arial"/>
                <w:sz w:val="20"/>
                <w:szCs w:val="20"/>
                <w:lang w:eastAsia="ja-JP"/>
              </w:rPr>
              <w:t xml:space="preserve"> occupations</w:t>
            </w:r>
          </w:p>
        </w:tc>
        <w:tc>
          <w:tcPr>
            <w:tcW w:w="0" w:type="auto"/>
            <w:vAlign w:val="center"/>
          </w:tcPr>
          <w:p w14:paraId="3F097927"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15.0</w:t>
            </w:r>
          </w:p>
        </w:tc>
        <w:tc>
          <w:tcPr>
            <w:tcW w:w="0" w:type="auto"/>
            <w:vAlign w:val="center"/>
          </w:tcPr>
          <w:p w14:paraId="6979A582"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13.8</w:t>
            </w:r>
          </w:p>
        </w:tc>
        <w:tc>
          <w:tcPr>
            <w:tcW w:w="0" w:type="auto"/>
            <w:vAlign w:val="center"/>
          </w:tcPr>
          <w:p w14:paraId="7ACF4BFB"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17.6</w:t>
            </w:r>
          </w:p>
        </w:tc>
        <w:tc>
          <w:tcPr>
            <w:tcW w:w="0" w:type="auto"/>
            <w:vMerge/>
            <w:vAlign w:val="center"/>
          </w:tcPr>
          <w:p w14:paraId="7DA2E1A1" w14:textId="77777777" w:rsidR="00C824CB" w:rsidRPr="00C824CB" w:rsidRDefault="00C824CB" w:rsidP="00C824CB">
            <w:pPr>
              <w:rPr>
                <w:rFonts w:ascii="Arial" w:hAnsi="Arial" w:cs="Arial"/>
                <w:sz w:val="20"/>
                <w:szCs w:val="20"/>
                <w:lang w:eastAsia="ja-JP"/>
              </w:rPr>
            </w:pPr>
          </w:p>
        </w:tc>
        <w:tc>
          <w:tcPr>
            <w:tcW w:w="0" w:type="auto"/>
            <w:vAlign w:val="center"/>
          </w:tcPr>
          <w:p w14:paraId="6CB6CAA8"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20.1</w:t>
            </w:r>
          </w:p>
        </w:tc>
        <w:tc>
          <w:tcPr>
            <w:tcW w:w="0" w:type="auto"/>
            <w:vAlign w:val="center"/>
          </w:tcPr>
          <w:p w14:paraId="3B8981E6"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10.3</w:t>
            </w:r>
          </w:p>
        </w:tc>
        <w:tc>
          <w:tcPr>
            <w:tcW w:w="0" w:type="auto"/>
            <w:vMerge/>
            <w:vAlign w:val="center"/>
          </w:tcPr>
          <w:p w14:paraId="25491991" w14:textId="77777777" w:rsidR="00C824CB" w:rsidRPr="00C824CB" w:rsidRDefault="00C824CB" w:rsidP="00C824CB">
            <w:pPr>
              <w:rPr>
                <w:rFonts w:ascii="Arial" w:hAnsi="Arial" w:cs="Arial"/>
                <w:sz w:val="20"/>
                <w:szCs w:val="20"/>
                <w:lang w:eastAsia="ja-JP"/>
              </w:rPr>
            </w:pPr>
          </w:p>
        </w:tc>
      </w:tr>
      <w:tr w:rsidR="00C824CB" w:rsidRPr="00C824CB" w14:paraId="31F9A7B2" w14:textId="77777777" w:rsidTr="001A09CA">
        <w:tc>
          <w:tcPr>
            <w:tcW w:w="1823" w:type="dxa"/>
            <w:vMerge/>
            <w:vAlign w:val="center"/>
          </w:tcPr>
          <w:p w14:paraId="796E8D91" w14:textId="77777777" w:rsidR="00C824CB" w:rsidRPr="00C824CB" w:rsidRDefault="00C824CB" w:rsidP="00C824CB">
            <w:pPr>
              <w:rPr>
                <w:rFonts w:ascii="Arial" w:hAnsi="Arial" w:cs="Arial"/>
                <w:sz w:val="20"/>
                <w:szCs w:val="20"/>
                <w:lang w:eastAsia="ja-JP"/>
              </w:rPr>
            </w:pPr>
          </w:p>
        </w:tc>
        <w:tc>
          <w:tcPr>
            <w:tcW w:w="0" w:type="auto"/>
            <w:vAlign w:val="center"/>
          </w:tcPr>
          <w:p w14:paraId="2139F335" w14:textId="77777777" w:rsidR="00C824CB" w:rsidRPr="00C824CB" w:rsidRDefault="00C824CB" w:rsidP="00C824CB">
            <w:pPr>
              <w:rPr>
                <w:rFonts w:ascii="Arial" w:eastAsia="Times New Roman" w:hAnsi="Arial" w:cs="Arial"/>
                <w:sz w:val="20"/>
                <w:szCs w:val="20"/>
                <w:lang w:eastAsia="ja-JP"/>
              </w:rPr>
            </w:pPr>
            <w:proofErr w:type="spellStart"/>
            <w:r w:rsidRPr="00C824CB">
              <w:rPr>
                <w:rFonts w:ascii="Arial" w:eastAsia="Times New Roman" w:hAnsi="Arial" w:cs="Arial"/>
                <w:sz w:val="20"/>
                <w:szCs w:val="20"/>
                <w:lang w:eastAsia="ja-JP"/>
              </w:rPr>
              <w:t>Unskilled</w:t>
            </w:r>
            <w:proofErr w:type="spellEnd"/>
            <w:r w:rsidRPr="00C824CB">
              <w:rPr>
                <w:rFonts w:ascii="Arial" w:eastAsia="Times New Roman" w:hAnsi="Arial" w:cs="Arial"/>
                <w:sz w:val="20"/>
                <w:szCs w:val="20"/>
                <w:lang w:eastAsia="ja-JP"/>
              </w:rPr>
              <w:t xml:space="preserve"> occupations</w:t>
            </w:r>
          </w:p>
        </w:tc>
        <w:tc>
          <w:tcPr>
            <w:tcW w:w="0" w:type="auto"/>
            <w:vAlign w:val="center"/>
          </w:tcPr>
          <w:p w14:paraId="4733FFF6"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4.2</w:t>
            </w:r>
          </w:p>
        </w:tc>
        <w:tc>
          <w:tcPr>
            <w:tcW w:w="0" w:type="auto"/>
            <w:vAlign w:val="center"/>
          </w:tcPr>
          <w:p w14:paraId="30EF53B0"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3.2</w:t>
            </w:r>
          </w:p>
        </w:tc>
        <w:tc>
          <w:tcPr>
            <w:tcW w:w="0" w:type="auto"/>
            <w:vAlign w:val="center"/>
          </w:tcPr>
          <w:p w14:paraId="686A602D"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6.2</w:t>
            </w:r>
          </w:p>
        </w:tc>
        <w:tc>
          <w:tcPr>
            <w:tcW w:w="0" w:type="auto"/>
            <w:vMerge/>
            <w:vAlign w:val="center"/>
          </w:tcPr>
          <w:p w14:paraId="53F88500" w14:textId="77777777" w:rsidR="00C824CB" w:rsidRPr="00C824CB" w:rsidRDefault="00C824CB" w:rsidP="00C824CB">
            <w:pPr>
              <w:rPr>
                <w:rFonts w:ascii="Arial" w:hAnsi="Arial" w:cs="Arial"/>
                <w:sz w:val="20"/>
                <w:szCs w:val="20"/>
                <w:lang w:eastAsia="ja-JP"/>
              </w:rPr>
            </w:pPr>
          </w:p>
        </w:tc>
        <w:tc>
          <w:tcPr>
            <w:tcW w:w="0" w:type="auto"/>
            <w:vAlign w:val="center"/>
          </w:tcPr>
          <w:p w14:paraId="00132500"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6.9</w:t>
            </w:r>
          </w:p>
        </w:tc>
        <w:tc>
          <w:tcPr>
            <w:tcW w:w="0" w:type="auto"/>
            <w:vAlign w:val="center"/>
          </w:tcPr>
          <w:p w14:paraId="797F15DD"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1.7</w:t>
            </w:r>
          </w:p>
        </w:tc>
        <w:tc>
          <w:tcPr>
            <w:tcW w:w="0" w:type="auto"/>
            <w:vMerge/>
            <w:vAlign w:val="center"/>
          </w:tcPr>
          <w:p w14:paraId="1B76A737" w14:textId="77777777" w:rsidR="00C824CB" w:rsidRPr="00C824CB" w:rsidRDefault="00C824CB" w:rsidP="00C824CB">
            <w:pPr>
              <w:rPr>
                <w:rFonts w:ascii="Arial" w:hAnsi="Arial" w:cs="Arial"/>
                <w:sz w:val="20"/>
                <w:szCs w:val="20"/>
                <w:lang w:eastAsia="ja-JP"/>
              </w:rPr>
            </w:pPr>
          </w:p>
        </w:tc>
      </w:tr>
      <w:tr w:rsidR="00C824CB" w:rsidRPr="00C824CB" w14:paraId="4F83BBAA" w14:textId="77777777" w:rsidTr="001A09CA">
        <w:tc>
          <w:tcPr>
            <w:tcW w:w="1823" w:type="dxa"/>
            <w:vMerge/>
            <w:vAlign w:val="center"/>
          </w:tcPr>
          <w:p w14:paraId="51A332C7" w14:textId="77777777" w:rsidR="00C824CB" w:rsidRPr="00C824CB" w:rsidRDefault="00C824CB" w:rsidP="00C824CB">
            <w:pPr>
              <w:rPr>
                <w:rFonts w:ascii="Arial" w:hAnsi="Arial" w:cs="Arial"/>
                <w:sz w:val="20"/>
                <w:szCs w:val="20"/>
                <w:lang w:eastAsia="ja-JP"/>
              </w:rPr>
            </w:pPr>
          </w:p>
        </w:tc>
        <w:tc>
          <w:tcPr>
            <w:tcW w:w="0" w:type="auto"/>
            <w:vAlign w:val="center"/>
          </w:tcPr>
          <w:p w14:paraId="7CDFD155" w14:textId="77777777" w:rsidR="00C824CB" w:rsidRPr="00C824CB" w:rsidRDefault="00C824CB" w:rsidP="00C824CB">
            <w:pPr>
              <w:rPr>
                <w:rFonts w:ascii="Arial" w:eastAsia="Times New Roman" w:hAnsi="Arial" w:cs="Arial"/>
                <w:sz w:val="20"/>
                <w:szCs w:val="20"/>
                <w:lang w:eastAsia="ja-JP"/>
              </w:rPr>
            </w:pPr>
            <w:proofErr w:type="spellStart"/>
            <w:r w:rsidRPr="00C824CB">
              <w:rPr>
                <w:rFonts w:ascii="Arial" w:eastAsia="Times New Roman" w:hAnsi="Arial" w:cs="Arial"/>
                <w:sz w:val="20"/>
                <w:szCs w:val="20"/>
                <w:lang w:eastAsia="ja-JP"/>
              </w:rPr>
              <w:t>Armed</w:t>
            </w:r>
            <w:proofErr w:type="spellEnd"/>
            <w:r w:rsidRPr="00C824CB">
              <w:rPr>
                <w:rFonts w:ascii="Arial" w:eastAsia="Times New Roman" w:hAnsi="Arial" w:cs="Arial"/>
                <w:sz w:val="20"/>
                <w:szCs w:val="20"/>
                <w:lang w:eastAsia="ja-JP"/>
              </w:rPr>
              <w:t xml:space="preserve"> forces</w:t>
            </w:r>
          </w:p>
        </w:tc>
        <w:tc>
          <w:tcPr>
            <w:tcW w:w="0" w:type="auto"/>
            <w:vAlign w:val="center"/>
          </w:tcPr>
          <w:p w14:paraId="316EB04D"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0.3</w:t>
            </w:r>
          </w:p>
        </w:tc>
        <w:tc>
          <w:tcPr>
            <w:tcW w:w="0" w:type="auto"/>
            <w:vAlign w:val="center"/>
          </w:tcPr>
          <w:p w14:paraId="7E6E4EB7"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0.3</w:t>
            </w:r>
          </w:p>
        </w:tc>
        <w:tc>
          <w:tcPr>
            <w:tcW w:w="0" w:type="auto"/>
            <w:vAlign w:val="center"/>
          </w:tcPr>
          <w:p w14:paraId="68CEAD07"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0.1</w:t>
            </w:r>
          </w:p>
        </w:tc>
        <w:tc>
          <w:tcPr>
            <w:tcW w:w="0" w:type="auto"/>
            <w:vMerge/>
            <w:vAlign w:val="center"/>
          </w:tcPr>
          <w:p w14:paraId="5BD0CAC5" w14:textId="77777777" w:rsidR="00C824CB" w:rsidRPr="00C824CB" w:rsidRDefault="00C824CB" w:rsidP="00C824CB">
            <w:pPr>
              <w:rPr>
                <w:rFonts w:ascii="Arial" w:hAnsi="Arial" w:cs="Arial"/>
                <w:sz w:val="20"/>
                <w:szCs w:val="20"/>
                <w:lang w:eastAsia="ja-JP"/>
              </w:rPr>
            </w:pPr>
          </w:p>
        </w:tc>
        <w:tc>
          <w:tcPr>
            <w:tcW w:w="0" w:type="auto"/>
            <w:vAlign w:val="center"/>
          </w:tcPr>
          <w:p w14:paraId="73FFD09D"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0.2</w:t>
            </w:r>
          </w:p>
        </w:tc>
        <w:tc>
          <w:tcPr>
            <w:tcW w:w="0" w:type="auto"/>
            <w:vAlign w:val="center"/>
          </w:tcPr>
          <w:p w14:paraId="37F30A33"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0.3</w:t>
            </w:r>
          </w:p>
        </w:tc>
        <w:tc>
          <w:tcPr>
            <w:tcW w:w="0" w:type="auto"/>
            <w:vMerge/>
            <w:vAlign w:val="center"/>
          </w:tcPr>
          <w:p w14:paraId="01DB276A" w14:textId="77777777" w:rsidR="00C824CB" w:rsidRPr="00C824CB" w:rsidRDefault="00C824CB" w:rsidP="00C824CB">
            <w:pPr>
              <w:rPr>
                <w:rFonts w:ascii="Arial" w:hAnsi="Arial" w:cs="Arial"/>
                <w:sz w:val="20"/>
                <w:szCs w:val="20"/>
                <w:lang w:eastAsia="ja-JP"/>
              </w:rPr>
            </w:pPr>
          </w:p>
        </w:tc>
      </w:tr>
      <w:tr w:rsidR="00C824CB" w:rsidRPr="00C824CB" w14:paraId="1BA68AB2" w14:textId="77777777" w:rsidTr="001A09CA">
        <w:tc>
          <w:tcPr>
            <w:tcW w:w="1823" w:type="dxa"/>
            <w:vMerge/>
            <w:vAlign w:val="center"/>
          </w:tcPr>
          <w:p w14:paraId="0BC33E68" w14:textId="77777777" w:rsidR="00C824CB" w:rsidRPr="00C824CB" w:rsidRDefault="00C824CB" w:rsidP="00C824CB">
            <w:pPr>
              <w:rPr>
                <w:rFonts w:ascii="Arial" w:hAnsi="Arial" w:cs="Arial"/>
                <w:sz w:val="20"/>
                <w:szCs w:val="20"/>
                <w:lang w:eastAsia="ja-JP"/>
              </w:rPr>
            </w:pPr>
          </w:p>
        </w:tc>
        <w:tc>
          <w:tcPr>
            <w:tcW w:w="0" w:type="auto"/>
            <w:vAlign w:val="center"/>
          </w:tcPr>
          <w:p w14:paraId="5C3DD77F" w14:textId="77777777" w:rsidR="00C824CB" w:rsidRPr="00C824CB" w:rsidRDefault="00C824CB" w:rsidP="00C824CB">
            <w:pPr>
              <w:rPr>
                <w:rFonts w:ascii="Arial" w:eastAsia="Times New Roman" w:hAnsi="Arial" w:cs="Arial"/>
                <w:sz w:val="20"/>
                <w:szCs w:val="20"/>
                <w:lang w:eastAsia="ja-JP"/>
              </w:rPr>
            </w:pPr>
            <w:r w:rsidRPr="00C824CB">
              <w:rPr>
                <w:rFonts w:ascii="Arial" w:eastAsia="Times New Roman" w:hAnsi="Arial" w:cs="Arial"/>
                <w:sz w:val="20"/>
                <w:szCs w:val="20"/>
                <w:lang w:eastAsia="ja-JP"/>
              </w:rPr>
              <w:t>Not applicable</w:t>
            </w:r>
          </w:p>
        </w:tc>
        <w:tc>
          <w:tcPr>
            <w:tcW w:w="0" w:type="auto"/>
            <w:vAlign w:val="center"/>
          </w:tcPr>
          <w:p w14:paraId="4B811A6C"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5.1</w:t>
            </w:r>
          </w:p>
        </w:tc>
        <w:tc>
          <w:tcPr>
            <w:tcW w:w="0" w:type="auto"/>
            <w:vAlign w:val="center"/>
          </w:tcPr>
          <w:p w14:paraId="32DF81AB"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5.1</w:t>
            </w:r>
          </w:p>
        </w:tc>
        <w:tc>
          <w:tcPr>
            <w:tcW w:w="0" w:type="auto"/>
            <w:vAlign w:val="center"/>
          </w:tcPr>
          <w:p w14:paraId="437E4E32"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5.2</w:t>
            </w:r>
          </w:p>
        </w:tc>
        <w:tc>
          <w:tcPr>
            <w:tcW w:w="0" w:type="auto"/>
            <w:vMerge/>
            <w:vAlign w:val="center"/>
          </w:tcPr>
          <w:p w14:paraId="5F8A9C2B" w14:textId="77777777" w:rsidR="00C824CB" w:rsidRPr="00C824CB" w:rsidRDefault="00C824CB" w:rsidP="00C824CB">
            <w:pPr>
              <w:rPr>
                <w:rFonts w:ascii="Arial" w:hAnsi="Arial" w:cs="Arial"/>
                <w:sz w:val="20"/>
                <w:szCs w:val="20"/>
                <w:lang w:eastAsia="ja-JP"/>
              </w:rPr>
            </w:pPr>
          </w:p>
        </w:tc>
        <w:tc>
          <w:tcPr>
            <w:tcW w:w="0" w:type="auto"/>
            <w:vAlign w:val="center"/>
          </w:tcPr>
          <w:p w14:paraId="63960CD0"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7.2</w:t>
            </w:r>
          </w:p>
        </w:tc>
        <w:tc>
          <w:tcPr>
            <w:tcW w:w="0" w:type="auto"/>
            <w:vAlign w:val="center"/>
          </w:tcPr>
          <w:p w14:paraId="0E7676AF"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3.2</w:t>
            </w:r>
          </w:p>
        </w:tc>
        <w:tc>
          <w:tcPr>
            <w:tcW w:w="0" w:type="auto"/>
            <w:vMerge/>
            <w:vAlign w:val="center"/>
          </w:tcPr>
          <w:p w14:paraId="71B3D95C" w14:textId="77777777" w:rsidR="00C824CB" w:rsidRPr="00C824CB" w:rsidRDefault="00C824CB" w:rsidP="00C824CB">
            <w:pPr>
              <w:rPr>
                <w:rFonts w:ascii="Arial" w:hAnsi="Arial" w:cs="Arial"/>
                <w:sz w:val="20"/>
                <w:szCs w:val="20"/>
                <w:lang w:eastAsia="ja-JP"/>
              </w:rPr>
            </w:pPr>
          </w:p>
        </w:tc>
      </w:tr>
      <w:tr w:rsidR="00C824CB" w:rsidRPr="00C824CB" w14:paraId="408A7779" w14:textId="77777777" w:rsidTr="001A09CA">
        <w:tc>
          <w:tcPr>
            <w:tcW w:w="1823" w:type="dxa"/>
            <w:vMerge w:val="restart"/>
            <w:vAlign w:val="center"/>
          </w:tcPr>
          <w:p w14:paraId="5F239445" w14:textId="77777777" w:rsidR="00C824CB" w:rsidRPr="00C824CB" w:rsidRDefault="00C824CB" w:rsidP="00C824CB">
            <w:pPr>
              <w:rPr>
                <w:rFonts w:ascii="Arial" w:hAnsi="Arial" w:cs="Arial"/>
                <w:sz w:val="20"/>
                <w:szCs w:val="20"/>
                <w:lang w:eastAsia="ja-JP"/>
              </w:rPr>
            </w:pPr>
            <w:proofErr w:type="spellStart"/>
            <w:r w:rsidRPr="00C824CB">
              <w:rPr>
                <w:rFonts w:ascii="Arial" w:hAnsi="Arial" w:cs="Arial"/>
                <w:sz w:val="20"/>
                <w:szCs w:val="20"/>
                <w:lang w:eastAsia="ja-JP"/>
              </w:rPr>
              <w:t>Income</w:t>
            </w:r>
            <w:proofErr w:type="spellEnd"/>
          </w:p>
        </w:tc>
        <w:tc>
          <w:tcPr>
            <w:tcW w:w="0" w:type="auto"/>
            <w:vAlign w:val="center"/>
          </w:tcPr>
          <w:p w14:paraId="72FC1173" w14:textId="77777777" w:rsidR="00C824CB" w:rsidRPr="00C824CB" w:rsidRDefault="00C824CB" w:rsidP="00C824CB">
            <w:pPr>
              <w:rPr>
                <w:rFonts w:ascii="Arial" w:eastAsia="Times New Roman" w:hAnsi="Arial" w:cs="Arial"/>
                <w:sz w:val="20"/>
                <w:szCs w:val="20"/>
                <w:lang w:eastAsia="ja-JP"/>
              </w:rPr>
            </w:pPr>
            <w:proofErr w:type="spellStart"/>
            <w:r w:rsidRPr="00C824CB">
              <w:rPr>
                <w:rFonts w:ascii="Arial" w:eastAsia="Times New Roman" w:hAnsi="Arial" w:cs="Arial"/>
                <w:sz w:val="20"/>
                <w:szCs w:val="20"/>
                <w:lang w:eastAsia="ja-JP"/>
              </w:rPr>
              <w:t>Highest</w:t>
            </w:r>
            <w:proofErr w:type="spellEnd"/>
          </w:p>
        </w:tc>
        <w:tc>
          <w:tcPr>
            <w:tcW w:w="0" w:type="auto"/>
            <w:vAlign w:val="center"/>
          </w:tcPr>
          <w:p w14:paraId="4B3668AE"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36.8</w:t>
            </w:r>
          </w:p>
        </w:tc>
        <w:tc>
          <w:tcPr>
            <w:tcW w:w="0" w:type="auto"/>
            <w:vAlign w:val="center"/>
          </w:tcPr>
          <w:p w14:paraId="015AB774"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43.3</w:t>
            </w:r>
          </w:p>
        </w:tc>
        <w:tc>
          <w:tcPr>
            <w:tcW w:w="0" w:type="auto"/>
            <w:vAlign w:val="center"/>
          </w:tcPr>
          <w:p w14:paraId="103C8142"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23.2</w:t>
            </w:r>
          </w:p>
        </w:tc>
        <w:tc>
          <w:tcPr>
            <w:tcW w:w="0" w:type="auto"/>
            <w:vMerge w:val="restart"/>
            <w:vAlign w:val="center"/>
          </w:tcPr>
          <w:p w14:paraId="7C378994"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79A5FED7"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24.8</w:t>
            </w:r>
          </w:p>
        </w:tc>
        <w:tc>
          <w:tcPr>
            <w:tcW w:w="0" w:type="auto"/>
            <w:vAlign w:val="center"/>
          </w:tcPr>
          <w:p w14:paraId="702E814D"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47.0</w:t>
            </w:r>
          </w:p>
        </w:tc>
        <w:tc>
          <w:tcPr>
            <w:tcW w:w="0" w:type="auto"/>
            <w:vMerge w:val="restart"/>
            <w:vAlign w:val="center"/>
          </w:tcPr>
          <w:p w14:paraId="43236946"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r>
      <w:tr w:rsidR="00C824CB" w:rsidRPr="00C824CB" w14:paraId="188781BF" w14:textId="77777777" w:rsidTr="001A09CA">
        <w:tc>
          <w:tcPr>
            <w:tcW w:w="1823" w:type="dxa"/>
            <w:vMerge/>
            <w:vAlign w:val="center"/>
          </w:tcPr>
          <w:p w14:paraId="1B163D05" w14:textId="77777777" w:rsidR="00C824CB" w:rsidRPr="00C824CB" w:rsidRDefault="00C824CB" w:rsidP="00C824CB">
            <w:pPr>
              <w:rPr>
                <w:rFonts w:ascii="Arial" w:hAnsi="Arial" w:cs="Arial"/>
                <w:sz w:val="20"/>
                <w:szCs w:val="20"/>
                <w:lang w:eastAsia="ja-JP"/>
              </w:rPr>
            </w:pPr>
          </w:p>
        </w:tc>
        <w:tc>
          <w:tcPr>
            <w:tcW w:w="0" w:type="auto"/>
            <w:vAlign w:val="center"/>
          </w:tcPr>
          <w:p w14:paraId="3F2F970C" w14:textId="77777777" w:rsidR="00C824CB" w:rsidRPr="00C824CB" w:rsidRDefault="00C824CB" w:rsidP="00C824CB">
            <w:pPr>
              <w:rPr>
                <w:rFonts w:ascii="Arial" w:eastAsia="Times New Roman" w:hAnsi="Arial" w:cs="Arial"/>
                <w:sz w:val="20"/>
                <w:szCs w:val="20"/>
                <w:lang w:eastAsia="ja-JP"/>
              </w:rPr>
            </w:pPr>
            <w:r w:rsidRPr="00C824CB">
              <w:rPr>
                <w:rFonts w:ascii="Arial" w:eastAsia="Times New Roman" w:hAnsi="Arial" w:cs="Arial"/>
                <w:sz w:val="20"/>
                <w:szCs w:val="20"/>
                <w:lang w:eastAsia="ja-JP"/>
              </w:rPr>
              <w:t>Middle</w:t>
            </w:r>
          </w:p>
        </w:tc>
        <w:tc>
          <w:tcPr>
            <w:tcW w:w="0" w:type="auto"/>
            <w:vAlign w:val="center"/>
          </w:tcPr>
          <w:p w14:paraId="1FC283F9"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32.8</w:t>
            </w:r>
          </w:p>
        </w:tc>
        <w:tc>
          <w:tcPr>
            <w:tcW w:w="0" w:type="auto"/>
            <w:vAlign w:val="center"/>
          </w:tcPr>
          <w:p w14:paraId="044DAE6B"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33.0</w:t>
            </w:r>
          </w:p>
        </w:tc>
        <w:tc>
          <w:tcPr>
            <w:tcW w:w="0" w:type="auto"/>
            <w:vAlign w:val="center"/>
          </w:tcPr>
          <w:p w14:paraId="3328F2DF"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32.3</w:t>
            </w:r>
          </w:p>
        </w:tc>
        <w:tc>
          <w:tcPr>
            <w:tcW w:w="0" w:type="auto"/>
            <w:vMerge/>
            <w:vAlign w:val="center"/>
          </w:tcPr>
          <w:p w14:paraId="44FA3119" w14:textId="77777777" w:rsidR="00C824CB" w:rsidRPr="00C824CB" w:rsidRDefault="00C824CB" w:rsidP="00C824CB">
            <w:pPr>
              <w:rPr>
                <w:rFonts w:ascii="Arial" w:hAnsi="Arial" w:cs="Arial"/>
                <w:sz w:val="20"/>
                <w:szCs w:val="20"/>
                <w:lang w:eastAsia="ja-JP"/>
              </w:rPr>
            </w:pPr>
          </w:p>
        </w:tc>
        <w:tc>
          <w:tcPr>
            <w:tcW w:w="0" w:type="auto"/>
            <w:vAlign w:val="center"/>
          </w:tcPr>
          <w:p w14:paraId="4D3A6EFD"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33.8</w:t>
            </w:r>
          </w:p>
        </w:tc>
        <w:tc>
          <w:tcPr>
            <w:tcW w:w="0" w:type="auto"/>
            <w:vAlign w:val="center"/>
          </w:tcPr>
          <w:p w14:paraId="55C0B0C2"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31.9</w:t>
            </w:r>
          </w:p>
        </w:tc>
        <w:tc>
          <w:tcPr>
            <w:tcW w:w="0" w:type="auto"/>
            <w:vMerge/>
            <w:vAlign w:val="center"/>
          </w:tcPr>
          <w:p w14:paraId="5C49DBF1" w14:textId="77777777" w:rsidR="00C824CB" w:rsidRPr="00C824CB" w:rsidRDefault="00C824CB" w:rsidP="00C824CB">
            <w:pPr>
              <w:rPr>
                <w:rFonts w:ascii="Arial" w:hAnsi="Arial" w:cs="Arial"/>
                <w:sz w:val="20"/>
                <w:szCs w:val="20"/>
                <w:lang w:eastAsia="ja-JP"/>
              </w:rPr>
            </w:pPr>
          </w:p>
        </w:tc>
      </w:tr>
      <w:tr w:rsidR="00C824CB" w:rsidRPr="00C824CB" w14:paraId="59BAC778" w14:textId="77777777" w:rsidTr="001A09CA">
        <w:tc>
          <w:tcPr>
            <w:tcW w:w="1823" w:type="dxa"/>
            <w:vMerge/>
            <w:vAlign w:val="center"/>
          </w:tcPr>
          <w:p w14:paraId="21894405" w14:textId="77777777" w:rsidR="00C824CB" w:rsidRPr="00C824CB" w:rsidRDefault="00C824CB" w:rsidP="00C824CB">
            <w:pPr>
              <w:rPr>
                <w:rFonts w:ascii="Arial" w:hAnsi="Arial" w:cs="Arial"/>
                <w:sz w:val="20"/>
                <w:szCs w:val="20"/>
                <w:lang w:eastAsia="ja-JP"/>
              </w:rPr>
            </w:pPr>
          </w:p>
        </w:tc>
        <w:tc>
          <w:tcPr>
            <w:tcW w:w="0" w:type="auto"/>
            <w:vAlign w:val="center"/>
          </w:tcPr>
          <w:p w14:paraId="2A03402C" w14:textId="77777777" w:rsidR="00C824CB" w:rsidRPr="00C824CB" w:rsidRDefault="00C824CB" w:rsidP="00C824CB">
            <w:pPr>
              <w:rPr>
                <w:rFonts w:ascii="Arial" w:eastAsia="Times New Roman" w:hAnsi="Arial" w:cs="Arial"/>
                <w:sz w:val="20"/>
                <w:szCs w:val="20"/>
                <w:lang w:eastAsia="ja-JP"/>
              </w:rPr>
            </w:pPr>
            <w:proofErr w:type="spellStart"/>
            <w:r w:rsidRPr="00C824CB">
              <w:rPr>
                <w:rFonts w:ascii="Arial" w:eastAsia="Times New Roman" w:hAnsi="Arial" w:cs="Arial"/>
                <w:sz w:val="20"/>
                <w:szCs w:val="20"/>
                <w:lang w:eastAsia="ja-JP"/>
              </w:rPr>
              <w:t>Lowest</w:t>
            </w:r>
            <w:proofErr w:type="spellEnd"/>
          </w:p>
        </w:tc>
        <w:tc>
          <w:tcPr>
            <w:tcW w:w="0" w:type="auto"/>
            <w:vAlign w:val="center"/>
          </w:tcPr>
          <w:p w14:paraId="59C18EFB"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30.4</w:t>
            </w:r>
          </w:p>
        </w:tc>
        <w:tc>
          <w:tcPr>
            <w:tcW w:w="0" w:type="auto"/>
            <w:vAlign w:val="center"/>
          </w:tcPr>
          <w:p w14:paraId="71971975"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23.7</w:t>
            </w:r>
          </w:p>
        </w:tc>
        <w:tc>
          <w:tcPr>
            <w:tcW w:w="0" w:type="auto"/>
            <w:vAlign w:val="center"/>
          </w:tcPr>
          <w:p w14:paraId="4CB89B62"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44.6</w:t>
            </w:r>
          </w:p>
        </w:tc>
        <w:tc>
          <w:tcPr>
            <w:tcW w:w="0" w:type="auto"/>
            <w:vMerge/>
            <w:vAlign w:val="center"/>
          </w:tcPr>
          <w:p w14:paraId="612DDE6F" w14:textId="77777777" w:rsidR="00C824CB" w:rsidRPr="00C824CB" w:rsidRDefault="00C824CB" w:rsidP="00C824CB">
            <w:pPr>
              <w:rPr>
                <w:rFonts w:ascii="Arial" w:hAnsi="Arial" w:cs="Arial"/>
                <w:sz w:val="20"/>
                <w:szCs w:val="20"/>
                <w:lang w:eastAsia="ja-JP"/>
              </w:rPr>
            </w:pPr>
          </w:p>
        </w:tc>
        <w:tc>
          <w:tcPr>
            <w:tcW w:w="0" w:type="auto"/>
            <w:vAlign w:val="center"/>
          </w:tcPr>
          <w:p w14:paraId="37BB2E6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41.4</w:t>
            </w:r>
          </w:p>
        </w:tc>
        <w:tc>
          <w:tcPr>
            <w:tcW w:w="0" w:type="auto"/>
            <w:vAlign w:val="center"/>
          </w:tcPr>
          <w:p w14:paraId="22EF01DA"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21.2</w:t>
            </w:r>
          </w:p>
        </w:tc>
        <w:tc>
          <w:tcPr>
            <w:tcW w:w="0" w:type="auto"/>
            <w:vMerge/>
            <w:vAlign w:val="center"/>
          </w:tcPr>
          <w:p w14:paraId="4626CE07" w14:textId="77777777" w:rsidR="00C824CB" w:rsidRPr="00C824CB" w:rsidRDefault="00C824CB" w:rsidP="00C824CB">
            <w:pPr>
              <w:rPr>
                <w:rFonts w:ascii="Arial" w:hAnsi="Arial" w:cs="Arial"/>
                <w:sz w:val="20"/>
                <w:szCs w:val="20"/>
                <w:lang w:eastAsia="ja-JP"/>
              </w:rPr>
            </w:pPr>
          </w:p>
        </w:tc>
      </w:tr>
      <w:tr w:rsidR="00C824CB" w:rsidRPr="00C824CB" w14:paraId="47FAB6DD" w14:textId="77777777" w:rsidTr="001A09CA">
        <w:tc>
          <w:tcPr>
            <w:tcW w:w="1823" w:type="dxa"/>
            <w:vMerge w:val="restart"/>
            <w:vAlign w:val="center"/>
          </w:tcPr>
          <w:p w14:paraId="6D833A21" w14:textId="77777777" w:rsidR="00C824CB" w:rsidRPr="00C824CB" w:rsidRDefault="00C824CB" w:rsidP="00C824CB">
            <w:pPr>
              <w:rPr>
                <w:rFonts w:ascii="Arial" w:hAnsi="Arial" w:cs="Arial"/>
                <w:sz w:val="20"/>
                <w:szCs w:val="20"/>
                <w:lang w:eastAsia="ja-JP"/>
              </w:rPr>
            </w:pPr>
            <w:proofErr w:type="spellStart"/>
            <w:r w:rsidRPr="00C824CB">
              <w:rPr>
                <w:rFonts w:ascii="Arial" w:hAnsi="Arial" w:cs="Arial"/>
                <w:sz w:val="20"/>
                <w:szCs w:val="20"/>
                <w:lang w:eastAsia="ja-JP"/>
              </w:rPr>
              <w:t>Obesity</w:t>
            </w:r>
            <w:proofErr w:type="spellEnd"/>
          </w:p>
        </w:tc>
        <w:tc>
          <w:tcPr>
            <w:tcW w:w="0" w:type="auto"/>
            <w:vAlign w:val="center"/>
          </w:tcPr>
          <w:p w14:paraId="5E5A07A3" w14:textId="77777777" w:rsidR="00C824CB" w:rsidRPr="00C824CB" w:rsidRDefault="00C824CB" w:rsidP="00C824CB">
            <w:pPr>
              <w:rPr>
                <w:rFonts w:ascii="Arial" w:eastAsia="Times New Roman" w:hAnsi="Arial" w:cs="Arial"/>
                <w:sz w:val="20"/>
                <w:szCs w:val="20"/>
                <w:lang w:eastAsia="ja-JP"/>
              </w:rPr>
            </w:pPr>
            <w:r w:rsidRPr="00C824CB">
              <w:rPr>
                <w:rFonts w:ascii="Arial" w:eastAsia="Times New Roman" w:hAnsi="Arial" w:cs="Arial"/>
                <w:sz w:val="20"/>
                <w:szCs w:val="20"/>
                <w:lang w:eastAsia="ja-JP"/>
              </w:rPr>
              <w:t>No</w:t>
            </w:r>
          </w:p>
        </w:tc>
        <w:tc>
          <w:tcPr>
            <w:tcW w:w="0" w:type="auto"/>
            <w:vAlign w:val="center"/>
          </w:tcPr>
          <w:p w14:paraId="3EE3D799"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82.2</w:t>
            </w:r>
          </w:p>
        </w:tc>
        <w:tc>
          <w:tcPr>
            <w:tcW w:w="0" w:type="auto"/>
            <w:vAlign w:val="center"/>
          </w:tcPr>
          <w:p w14:paraId="45D2EB30"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84.9</w:t>
            </w:r>
          </w:p>
        </w:tc>
        <w:tc>
          <w:tcPr>
            <w:tcW w:w="0" w:type="auto"/>
            <w:vAlign w:val="center"/>
          </w:tcPr>
          <w:p w14:paraId="47956BC6"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76.6</w:t>
            </w:r>
          </w:p>
        </w:tc>
        <w:tc>
          <w:tcPr>
            <w:tcW w:w="0" w:type="auto"/>
            <w:vMerge w:val="restart"/>
            <w:vAlign w:val="center"/>
          </w:tcPr>
          <w:p w14:paraId="4A5474E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2514AF6F"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80.8</w:t>
            </w:r>
          </w:p>
        </w:tc>
        <w:tc>
          <w:tcPr>
            <w:tcW w:w="0" w:type="auto"/>
            <w:vAlign w:val="center"/>
          </w:tcPr>
          <w:p w14:paraId="259B0B0B"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83.5</w:t>
            </w:r>
          </w:p>
        </w:tc>
        <w:tc>
          <w:tcPr>
            <w:tcW w:w="0" w:type="auto"/>
            <w:vMerge w:val="restart"/>
            <w:vAlign w:val="center"/>
          </w:tcPr>
          <w:p w14:paraId="4803770B"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0.008</w:t>
            </w:r>
          </w:p>
        </w:tc>
      </w:tr>
      <w:tr w:rsidR="00C824CB" w:rsidRPr="00C824CB" w14:paraId="44A6C781" w14:textId="77777777" w:rsidTr="001A09CA">
        <w:tc>
          <w:tcPr>
            <w:tcW w:w="1823" w:type="dxa"/>
            <w:vMerge/>
            <w:vAlign w:val="center"/>
          </w:tcPr>
          <w:p w14:paraId="78461C44" w14:textId="77777777" w:rsidR="00C824CB" w:rsidRPr="00C824CB" w:rsidRDefault="00C824CB" w:rsidP="00C824CB">
            <w:pPr>
              <w:rPr>
                <w:rFonts w:ascii="Arial" w:hAnsi="Arial" w:cs="Arial"/>
                <w:sz w:val="20"/>
                <w:szCs w:val="20"/>
                <w:lang w:eastAsia="ja-JP"/>
              </w:rPr>
            </w:pPr>
          </w:p>
        </w:tc>
        <w:tc>
          <w:tcPr>
            <w:tcW w:w="0" w:type="auto"/>
            <w:vAlign w:val="center"/>
          </w:tcPr>
          <w:p w14:paraId="34B750B1" w14:textId="77777777" w:rsidR="00C824CB" w:rsidRPr="00C824CB" w:rsidRDefault="00C824CB" w:rsidP="00C824CB">
            <w:pPr>
              <w:rPr>
                <w:rFonts w:ascii="Arial" w:eastAsia="Times New Roman" w:hAnsi="Arial" w:cs="Arial"/>
                <w:sz w:val="20"/>
                <w:szCs w:val="20"/>
                <w:lang w:eastAsia="ja-JP"/>
              </w:rPr>
            </w:pPr>
            <w:r w:rsidRPr="00C824CB">
              <w:rPr>
                <w:rFonts w:ascii="Arial" w:eastAsia="Times New Roman" w:hAnsi="Arial" w:cs="Arial"/>
                <w:sz w:val="20"/>
                <w:szCs w:val="20"/>
                <w:lang w:eastAsia="ja-JP"/>
              </w:rPr>
              <w:t>Yes</w:t>
            </w:r>
          </w:p>
        </w:tc>
        <w:tc>
          <w:tcPr>
            <w:tcW w:w="0" w:type="auto"/>
            <w:vAlign w:val="center"/>
          </w:tcPr>
          <w:p w14:paraId="779F7708"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17.8</w:t>
            </w:r>
          </w:p>
        </w:tc>
        <w:tc>
          <w:tcPr>
            <w:tcW w:w="0" w:type="auto"/>
            <w:vAlign w:val="center"/>
          </w:tcPr>
          <w:p w14:paraId="3BA65ADA"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15.1</w:t>
            </w:r>
          </w:p>
        </w:tc>
        <w:tc>
          <w:tcPr>
            <w:tcW w:w="0" w:type="auto"/>
            <w:vAlign w:val="center"/>
          </w:tcPr>
          <w:p w14:paraId="77F83B3A"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23.4</w:t>
            </w:r>
          </w:p>
        </w:tc>
        <w:tc>
          <w:tcPr>
            <w:tcW w:w="0" w:type="auto"/>
            <w:vMerge/>
            <w:vAlign w:val="center"/>
          </w:tcPr>
          <w:p w14:paraId="09051EB4" w14:textId="77777777" w:rsidR="00C824CB" w:rsidRPr="00C824CB" w:rsidRDefault="00C824CB" w:rsidP="00C824CB">
            <w:pPr>
              <w:rPr>
                <w:rFonts w:ascii="Arial" w:hAnsi="Arial" w:cs="Arial"/>
                <w:sz w:val="20"/>
                <w:szCs w:val="20"/>
                <w:lang w:eastAsia="ja-JP"/>
              </w:rPr>
            </w:pPr>
          </w:p>
        </w:tc>
        <w:tc>
          <w:tcPr>
            <w:tcW w:w="0" w:type="auto"/>
            <w:vAlign w:val="center"/>
          </w:tcPr>
          <w:p w14:paraId="247791F8"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19.2</w:t>
            </w:r>
          </w:p>
        </w:tc>
        <w:tc>
          <w:tcPr>
            <w:tcW w:w="0" w:type="auto"/>
            <w:vAlign w:val="center"/>
          </w:tcPr>
          <w:p w14:paraId="1A27A1E0"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16.5</w:t>
            </w:r>
          </w:p>
        </w:tc>
        <w:tc>
          <w:tcPr>
            <w:tcW w:w="0" w:type="auto"/>
            <w:vMerge/>
            <w:vAlign w:val="center"/>
          </w:tcPr>
          <w:p w14:paraId="7D79CC7D" w14:textId="77777777" w:rsidR="00C824CB" w:rsidRPr="00C824CB" w:rsidRDefault="00C824CB" w:rsidP="00C824CB">
            <w:pPr>
              <w:rPr>
                <w:rFonts w:ascii="Arial" w:hAnsi="Arial" w:cs="Arial"/>
                <w:sz w:val="20"/>
                <w:szCs w:val="20"/>
                <w:lang w:eastAsia="ja-JP"/>
              </w:rPr>
            </w:pPr>
          </w:p>
        </w:tc>
      </w:tr>
      <w:tr w:rsidR="00C824CB" w:rsidRPr="00C824CB" w14:paraId="37D400E9" w14:textId="77777777" w:rsidTr="001A09CA">
        <w:tc>
          <w:tcPr>
            <w:tcW w:w="1823" w:type="dxa"/>
            <w:vMerge w:val="restart"/>
            <w:vAlign w:val="center"/>
          </w:tcPr>
          <w:p w14:paraId="4D406F83"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 xml:space="preserve">Smoking </w:t>
            </w:r>
            <w:proofErr w:type="spellStart"/>
            <w:r w:rsidRPr="00C824CB">
              <w:rPr>
                <w:rFonts w:ascii="Arial" w:hAnsi="Arial" w:cs="Arial"/>
                <w:sz w:val="20"/>
                <w:szCs w:val="20"/>
                <w:lang w:eastAsia="ja-JP"/>
              </w:rPr>
              <w:t>status</w:t>
            </w:r>
            <w:proofErr w:type="spellEnd"/>
          </w:p>
        </w:tc>
        <w:tc>
          <w:tcPr>
            <w:tcW w:w="0" w:type="auto"/>
            <w:vAlign w:val="center"/>
          </w:tcPr>
          <w:p w14:paraId="3C02D1A7" w14:textId="77777777" w:rsidR="00C824CB" w:rsidRPr="00C824CB" w:rsidRDefault="00C824CB" w:rsidP="00C824CB">
            <w:pPr>
              <w:rPr>
                <w:rFonts w:ascii="Arial" w:eastAsia="Times New Roman" w:hAnsi="Arial" w:cs="Arial"/>
                <w:sz w:val="20"/>
                <w:szCs w:val="20"/>
                <w:lang w:eastAsia="ja-JP"/>
              </w:rPr>
            </w:pPr>
            <w:r w:rsidRPr="00C824CB">
              <w:rPr>
                <w:rFonts w:ascii="Arial" w:eastAsia="Times New Roman" w:hAnsi="Arial" w:cs="Arial"/>
                <w:sz w:val="20"/>
                <w:szCs w:val="20"/>
                <w:lang w:eastAsia="ja-JP"/>
              </w:rPr>
              <w:t>Never</w:t>
            </w:r>
          </w:p>
        </w:tc>
        <w:tc>
          <w:tcPr>
            <w:tcW w:w="0" w:type="auto"/>
            <w:vAlign w:val="center"/>
          </w:tcPr>
          <w:p w14:paraId="5331BE12"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33.2</w:t>
            </w:r>
          </w:p>
        </w:tc>
        <w:tc>
          <w:tcPr>
            <w:tcW w:w="0" w:type="auto"/>
            <w:vAlign w:val="center"/>
          </w:tcPr>
          <w:p w14:paraId="3655A08A"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35.6</w:t>
            </w:r>
          </w:p>
        </w:tc>
        <w:tc>
          <w:tcPr>
            <w:tcW w:w="0" w:type="auto"/>
            <w:vAlign w:val="center"/>
          </w:tcPr>
          <w:p w14:paraId="0DFCAC79"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28.3</w:t>
            </w:r>
          </w:p>
        </w:tc>
        <w:tc>
          <w:tcPr>
            <w:tcW w:w="0" w:type="auto"/>
            <w:vMerge w:val="restart"/>
            <w:vAlign w:val="center"/>
          </w:tcPr>
          <w:p w14:paraId="3171455F"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617F15D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31.2</w:t>
            </w:r>
          </w:p>
        </w:tc>
        <w:tc>
          <w:tcPr>
            <w:tcW w:w="0" w:type="auto"/>
            <w:vAlign w:val="center"/>
          </w:tcPr>
          <w:p w14:paraId="6374D7A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35.1</w:t>
            </w:r>
          </w:p>
        </w:tc>
        <w:tc>
          <w:tcPr>
            <w:tcW w:w="0" w:type="auto"/>
            <w:vMerge w:val="restart"/>
            <w:vAlign w:val="center"/>
          </w:tcPr>
          <w:p w14:paraId="14811A20"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0.004</w:t>
            </w:r>
          </w:p>
        </w:tc>
      </w:tr>
      <w:tr w:rsidR="00C824CB" w:rsidRPr="00C824CB" w14:paraId="7846D8E5" w14:textId="77777777" w:rsidTr="001A09CA">
        <w:tc>
          <w:tcPr>
            <w:tcW w:w="1823" w:type="dxa"/>
            <w:vMerge/>
            <w:vAlign w:val="center"/>
          </w:tcPr>
          <w:p w14:paraId="5B33C8D4" w14:textId="77777777" w:rsidR="00C824CB" w:rsidRPr="00C824CB" w:rsidRDefault="00C824CB" w:rsidP="00C824CB">
            <w:pPr>
              <w:rPr>
                <w:rFonts w:ascii="Arial" w:hAnsi="Arial" w:cs="Arial"/>
                <w:sz w:val="20"/>
                <w:szCs w:val="20"/>
                <w:lang w:eastAsia="ja-JP"/>
              </w:rPr>
            </w:pPr>
          </w:p>
        </w:tc>
        <w:tc>
          <w:tcPr>
            <w:tcW w:w="0" w:type="auto"/>
            <w:vAlign w:val="center"/>
          </w:tcPr>
          <w:p w14:paraId="6CAC5337" w14:textId="77777777" w:rsidR="00C824CB" w:rsidRPr="00C824CB" w:rsidRDefault="00C824CB" w:rsidP="00C824CB">
            <w:pPr>
              <w:rPr>
                <w:rFonts w:ascii="Arial" w:eastAsia="Times New Roman" w:hAnsi="Arial" w:cs="Arial"/>
                <w:sz w:val="20"/>
                <w:szCs w:val="20"/>
                <w:lang w:eastAsia="ja-JP"/>
              </w:rPr>
            </w:pPr>
            <w:proofErr w:type="spellStart"/>
            <w:r w:rsidRPr="00C824CB">
              <w:rPr>
                <w:rFonts w:ascii="Arial" w:eastAsia="Times New Roman" w:hAnsi="Arial" w:cs="Arial"/>
                <w:sz w:val="20"/>
                <w:szCs w:val="20"/>
                <w:lang w:eastAsia="ja-JP"/>
              </w:rPr>
              <w:t>Quit</w:t>
            </w:r>
            <w:proofErr w:type="spellEnd"/>
            <w:r w:rsidRPr="00C824CB">
              <w:rPr>
                <w:rFonts w:ascii="Arial" w:eastAsia="Times New Roman" w:hAnsi="Arial" w:cs="Arial"/>
                <w:sz w:val="20"/>
                <w:szCs w:val="20"/>
                <w:lang w:eastAsia="ja-JP"/>
              </w:rPr>
              <w:t>/</w:t>
            </w:r>
            <w:proofErr w:type="spellStart"/>
            <w:r w:rsidRPr="00C824CB">
              <w:rPr>
                <w:rFonts w:ascii="Arial" w:eastAsia="Times New Roman" w:hAnsi="Arial" w:cs="Arial"/>
                <w:sz w:val="20"/>
                <w:szCs w:val="20"/>
                <w:lang w:eastAsia="ja-JP"/>
              </w:rPr>
              <w:t>Current</w:t>
            </w:r>
            <w:proofErr w:type="spellEnd"/>
          </w:p>
        </w:tc>
        <w:tc>
          <w:tcPr>
            <w:tcW w:w="0" w:type="auto"/>
            <w:vAlign w:val="center"/>
          </w:tcPr>
          <w:p w14:paraId="2A015BE5"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66.8</w:t>
            </w:r>
          </w:p>
        </w:tc>
        <w:tc>
          <w:tcPr>
            <w:tcW w:w="0" w:type="auto"/>
            <w:vAlign w:val="center"/>
          </w:tcPr>
          <w:p w14:paraId="112F1DDC"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64.4</w:t>
            </w:r>
          </w:p>
        </w:tc>
        <w:tc>
          <w:tcPr>
            <w:tcW w:w="0" w:type="auto"/>
            <w:vAlign w:val="center"/>
          </w:tcPr>
          <w:p w14:paraId="57994734"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71.7</w:t>
            </w:r>
          </w:p>
        </w:tc>
        <w:tc>
          <w:tcPr>
            <w:tcW w:w="0" w:type="auto"/>
            <w:vMerge/>
            <w:vAlign w:val="center"/>
          </w:tcPr>
          <w:p w14:paraId="2E4D7E44" w14:textId="77777777" w:rsidR="00C824CB" w:rsidRPr="00C824CB" w:rsidRDefault="00C824CB" w:rsidP="00C824CB">
            <w:pPr>
              <w:rPr>
                <w:rFonts w:ascii="Arial" w:hAnsi="Arial" w:cs="Arial"/>
                <w:sz w:val="20"/>
                <w:szCs w:val="20"/>
                <w:lang w:eastAsia="ja-JP"/>
              </w:rPr>
            </w:pPr>
          </w:p>
        </w:tc>
        <w:tc>
          <w:tcPr>
            <w:tcW w:w="0" w:type="auto"/>
            <w:vAlign w:val="center"/>
          </w:tcPr>
          <w:p w14:paraId="6DF1D184"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68.8</w:t>
            </w:r>
          </w:p>
        </w:tc>
        <w:tc>
          <w:tcPr>
            <w:tcW w:w="0" w:type="auto"/>
            <w:vAlign w:val="center"/>
          </w:tcPr>
          <w:p w14:paraId="70FF947C"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64.9</w:t>
            </w:r>
          </w:p>
        </w:tc>
        <w:tc>
          <w:tcPr>
            <w:tcW w:w="0" w:type="auto"/>
            <w:vMerge/>
            <w:vAlign w:val="center"/>
          </w:tcPr>
          <w:p w14:paraId="17F049AB" w14:textId="77777777" w:rsidR="00C824CB" w:rsidRPr="00C824CB" w:rsidRDefault="00C824CB" w:rsidP="00C824CB">
            <w:pPr>
              <w:rPr>
                <w:rFonts w:ascii="Arial" w:hAnsi="Arial" w:cs="Arial"/>
                <w:sz w:val="20"/>
                <w:szCs w:val="20"/>
                <w:lang w:eastAsia="ja-JP"/>
              </w:rPr>
            </w:pPr>
          </w:p>
        </w:tc>
      </w:tr>
      <w:tr w:rsidR="00C824CB" w:rsidRPr="00C824CB" w14:paraId="2D2EBA76" w14:textId="77777777" w:rsidTr="001A09CA">
        <w:tc>
          <w:tcPr>
            <w:tcW w:w="1823" w:type="dxa"/>
            <w:vMerge w:val="restart"/>
            <w:vAlign w:val="center"/>
          </w:tcPr>
          <w:p w14:paraId="50FBB6BC" w14:textId="77777777" w:rsidR="00C824CB" w:rsidRPr="00C824CB" w:rsidRDefault="00C824CB" w:rsidP="00C824CB">
            <w:pPr>
              <w:rPr>
                <w:rFonts w:ascii="Arial" w:hAnsi="Arial" w:cs="Arial"/>
                <w:sz w:val="20"/>
                <w:szCs w:val="20"/>
                <w:lang w:eastAsia="ja-JP"/>
              </w:rPr>
            </w:pPr>
            <w:proofErr w:type="spellStart"/>
            <w:r w:rsidRPr="00C824CB">
              <w:rPr>
                <w:rFonts w:ascii="Arial" w:hAnsi="Arial" w:cs="Arial"/>
                <w:sz w:val="20"/>
                <w:szCs w:val="20"/>
                <w:lang w:eastAsia="ja-JP"/>
              </w:rPr>
              <w:t>Alcohol</w:t>
            </w:r>
            <w:proofErr w:type="spellEnd"/>
            <w:r w:rsidRPr="00C824CB">
              <w:rPr>
                <w:rFonts w:ascii="Arial" w:hAnsi="Arial" w:cs="Arial"/>
                <w:sz w:val="20"/>
                <w:szCs w:val="20"/>
                <w:lang w:eastAsia="ja-JP"/>
              </w:rPr>
              <w:t xml:space="preserve"> </w:t>
            </w:r>
            <w:proofErr w:type="spellStart"/>
            <w:r w:rsidRPr="00C824CB">
              <w:rPr>
                <w:rFonts w:ascii="Arial" w:hAnsi="Arial" w:cs="Arial"/>
                <w:sz w:val="20"/>
                <w:szCs w:val="20"/>
                <w:lang w:eastAsia="ja-JP"/>
              </w:rPr>
              <w:t>dependence</w:t>
            </w:r>
            <w:proofErr w:type="spellEnd"/>
          </w:p>
        </w:tc>
        <w:tc>
          <w:tcPr>
            <w:tcW w:w="0" w:type="auto"/>
            <w:vAlign w:val="center"/>
          </w:tcPr>
          <w:p w14:paraId="639E39B7" w14:textId="77777777" w:rsidR="00C824CB" w:rsidRPr="00C824CB" w:rsidRDefault="00C824CB" w:rsidP="00C824CB">
            <w:pPr>
              <w:rPr>
                <w:rFonts w:ascii="Arial" w:eastAsia="Times New Roman" w:hAnsi="Arial" w:cs="Arial"/>
                <w:sz w:val="20"/>
                <w:szCs w:val="20"/>
                <w:lang w:eastAsia="ja-JP"/>
              </w:rPr>
            </w:pPr>
            <w:r w:rsidRPr="00C824CB">
              <w:rPr>
                <w:rFonts w:ascii="Arial" w:eastAsia="Times New Roman" w:hAnsi="Arial" w:cs="Arial"/>
                <w:sz w:val="20"/>
                <w:szCs w:val="20"/>
                <w:lang w:eastAsia="ja-JP"/>
              </w:rPr>
              <w:t>No</w:t>
            </w:r>
          </w:p>
        </w:tc>
        <w:tc>
          <w:tcPr>
            <w:tcW w:w="0" w:type="auto"/>
            <w:vAlign w:val="center"/>
          </w:tcPr>
          <w:p w14:paraId="4818FF24"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91.9</w:t>
            </w:r>
          </w:p>
        </w:tc>
        <w:tc>
          <w:tcPr>
            <w:tcW w:w="0" w:type="auto"/>
            <w:vAlign w:val="center"/>
          </w:tcPr>
          <w:p w14:paraId="0200E3DF"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91.9</w:t>
            </w:r>
          </w:p>
        </w:tc>
        <w:tc>
          <w:tcPr>
            <w:tcW w:w="0" w:type="auto"/>
            <w:vAlign w:val="center"/>
          </w:tcPr>
          <w:p w14:paraId="773282AD"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92.0</w:t>
            </w:r>
          </w:p>
        </w:tc>
        <w:tc>
          <w:tcPr>
            <w:tcW w:w="0" w:type="auto"/>
            <w:vMerge w:val="restart"/>
            <w:vAlign w:val="center"/>
          </w:tcPr>
          <w:p w14:paraId="67CC2E8B"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0.975</w:t>
            </w:r>
          </w:p>
        </w:tc>
        <w:tc>
          <w:tcPr>
            <w:tcW w:w="0" w:type="auto"/>
            <w:vAlign w:val="center"/>
          </w:tcPr>
          <w:p w14:paraId="1F227978"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91.0</w:t>
            </w:r>
          </w:p>
        </w:tc>
        <w:tc>
          <w:tcPr>
            <w:tcW w:w="0" w:type="auto"/>
            <w:vAlign w:val="center"/>
          </w:tcPr>
          <w:p w14:paraId="089AA473"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92.8</w:t>
            </w:r>
          </w:p>
        </w:tc>
        <w:tc>
          <w:tcPr>
            <w:tcW w:w="0" w:type="auto"/>
            <w:vMerge w:val="restart"/>
            <w:vAlign w:val="center"/>
          </w:tcPr>
          <w:p w14:paraId="2FA3779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0.021</w:t>
            </w:r>
          </w:p>
        </w:tc>
      </w:tr>
      <w:tr w:rsidR="00C824CB" w:rsidRPr="00C824CB" w14:paraId="5ED41841" w14:textId="77777777" w:rsidTr="001A09CA">
        <w:tc>
          <w:tcPr>
            <w:tcW w:w="1823" w:type="dxa"/>
            <w:vMerge/>
            <w:vAlign w:val="center"/>
          </w:tcPr>
          <w:p w14:paraId="74B410F6" w14:textId="77777777" w:rsidR="00C824CB" w:rsidRPr="00C824CB" w:rsidRDefault="00C824CB" w:rsidP="00C824CB">
            <w:pPr>
              <w:rPr>
                <w:rFonts w:ascii="Arial" w:hAnsi="Arial" w:cs="Arial"/>
                <w:sz w:val="20"/>
                <w:szCs w:val="20"/>
                <w:lang w:eastAsia="ja-JP"/>
              </w:rPr>
            </w:pPr>
          </w:p>
        </w:tc>
        <w:tc>
          <w:tcPr>
            <w:tcW w:w="0" w:type="auto"/>
            <w:vAlign w:val="center"/>
          </w:tcPr>
          <w:p w14:paraId="3AFBB43D" w14:textId="77777777" w:rsidR="00C824CB" w:rsidRPr="00C824CB" w:rsidRDefault="00C824CB" w:rsidP="00C824CB">
            <w:pPr>
              <w:rPr>
                <w:rFonts w:ascii="Arial" w:eastAsia="Times New Roman" w:hAnsi="Arial" w:cs="Arial"/>
                <w:sz w:val="20"/>
                <w:szCs w:val="20"/>
                <w:lang w:eastAsia="ja-JP"/>
              </w:rPr>
            </w:pPr>
            <w:r w:rsidRPr="00C824CB">
              <w:rPr>
                <w:rFonts w:ascii="Arial" w:eastAsia="Times New Roman" w:hAnsi="Arial" w:cs="Arial"/>
                <w:sz w:val="20"/>
                <w:szCs w:val="20"/>
                <w:lang w:eastAsia="ja-JP"/>
              </w:rPr>
              <w:t>Yes</w:t>
            </w:r>
          </w:p>
        </w:tc>
        <w:tc>
          <w:tcPr>
            <w:tcW w:w="0" w:type="auto"/>
            <w:vAlign w:val="center"/>
          </w:tcPr>
          <w:p w14:paraId="653E6033"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8.1</w:t>
            </w:r>
          </w:p>
        </w:tc>
        <w:tc>
          <w:tcPr>
            <w:tcW w:w="0" w:type="auto"/>
            <w:vAlign w:val="center"/>
          </w:tcPr>
          <w:p w14:paraId="24FD6EC7"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8.1</w:t>
            </w:r>
          </w:p>
        </w:tc>
        <w:tc>
          <w:tcPr>
            <w:tcW w:w="0" w:type="auto"/>
            <w:vAlign w:val="center"/>
          </w:tcPr>
          <w:p w14:paraId="298F9180"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8.0</w:t>
            </w:r>
          </w:p>
        </w:tc>
        <w:tc>
          <w:tcPr>
            <w:tcW w:w="0" w:type="auto"/>
            <w:vMerge/>
            <w:vAlign w:val="center"/>
          </w:tcPr>
          <w:p w14:paraId="03CDA0BD" w14:textId="77777777" w:rsidR="00C824CB" w:rsidRPr="00C824CB" w:rsidRDefault="00C824CB" w:rsidP="00C824CB">
            <w:pPr>
              <w:rPr>
                <w:rFonts w:ascii="Arial" w:hAnsi="Arial" w:cs="Arial"/>
                <w:sz w:val="20"/>
                <w:szCs w:val="20"/>
                <w:lang w:eastAsia="ja-JP"/>
              </w:rPr>
            </w:pPr>
          </w:p>
        </w:tc>
        <w:tc>
          <w:tcPr>
            <w:tcW w:w="0" w:type="auto"/>
            <w:vAlign w:val="center"/>
          </w:tcPr>
          <w:p w14:paraId="029C1FD9"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9.0</w:t>
            </w:r>
          </w:p>
        </w:tc>
        <w:tc>
          <w:tcPr>
            <w:tcW w:w="0" w:type="auto"/>
            <w:vAlign w:val="center"/>
          </w:tcPr>
          <w:p w14:paraId="3A7E6940"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7.2</w:t>
            </w:r>
          </w:p>
        </w:tc>
        <w:tc>
          <w:tcPr>
            <w:tcW w:w="0" w:type="auto"/>
            <w:vMerge/>
            <w:vAlign w:val="center"/>
          </w:tcPr>
          <w:p w14:paraId="1E98968B" w14:textId="77777777" w:rsidR="00C824CB" w:rsidRPr="00C824CB" w:rsidRDefault="00C824CB" w:rsidP="00C824CB">
            <w:pPr>
              <w:rPr>
                <w:rFonts w:ascii="Arial" w:hAnsi="Arial" w:cs="Arial"/>
                <w:sz w:val="20"/>
                <w:szCs w:val="20"/>
                <w:lang w:eastAsia="ja-JP"/>
              </w:rPr>
            </w:pPr>
          </w:p>
        </w:tc>
      </w:tr>
      <w:tr w:rsidR="00C824CB" w:rsidRPr="00C824CB" w14:paraId="6B10CE55" w14:textId="77777777" w:rsidTr="001A09CA">
        <w:tc>
          <w:tcPr>
            <w:tcW w:w="1823" w:type="dxa"/>
            <w:vMerge w:val="restart"/>
            <w:vAlign w:val="center"/>
          </w:tcPr>
          <w:p w14:paraId="09B35394"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Drug use</w:t>
            </w:r>
          </w:p>
        </w:tc>
        <w:tc>
          <w:tcPr>
            <w:tcW w:w="0" w:type="auto"/>
            <w:vAlign w:val="center"/>
          </w:tcPr>
          <w:p w14:paraId="3F99FFB3" w14:textId="77777777" w:rsidR="00C824CB" w:rsidRPr="00C824CB" w:rsidRDefault="00C824CB" w:rsidP="00C824CB">
            <w:pPr>
              <w:rPr>
                <w:rFonts w:ascii="Arial" w:eastAsia="Times New Roman" w:hAnsi="Arial" w:cs="Arial"/>
                <w:sz w:val="20"/>
                <w:szCs w:val="20"/>
                <w:lang w:eastAsia="ja-JP"/>
              </w:rPr>
            </w:pPr>
            <w:r w:rsidRPr="00C824CB">
              <w:rPr>
                <w:rFonts w:ascii="Arial" w:eastAsia="Times New Roman" w:hAnsi="Arial" w:cs="Arial"/>
                <w:sz w:val="20"/>
                <w:szCs w:val="20"/>
                <w:lang w:eastAsia="ja-JP"/>
              </w:rPr>
              <w:t>No</w:t>
            </w:r>
          </w:p>
        </w:tc>
        <w:tc>
          <w:tcPr>
            <w:tcW w:w="0" w:type="auto"/>
            <w:vAlign w:val="center"/>
          </w:tcPr>
          <w:p w14:paraId="11F352F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90.5</w:t>
            </w:r>
          </w:p>
        </w:tc>
        <w:tc>
          <w:tcPr>
            <w:tcW w:w="0" w:type="auto"/>
            <w:vAlign w:val="center"/>
          </w:tcPr>
          <w:p w14:paraId="3EC1A405"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90.6</w:t>
            </w:r>
          </w:p>
        </w:tc>
        <w:tc>
          <w:tcPr>
            <w:tcW w:w="0" w:type="auto"/>
            <w:vAlign w:val="center"/>
          </w:tcPr>
          <w:p w14:paraId="25BE1DB3"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90.1</w:t>
            </w:r>
          </w:p>
        </w:tc>
        <w:tc>
          <w:tcPr>
            <w:tcW w:w="0" w:type="auto"/>
            <w:vMerge w:val="restart"/>
            <w:vAlign w:val="center"/>
          </w:tcPr>
          <w:p w14:paraId="0986134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0.528</w:t>
            </w:r>
          </w:p>
        </w:tc>
        <w:tc>
          <w:tcPr>
            <w:tcW w:w="0" w:type="auto"/>
            <w:vAlign w:val="center"/>
          </w:tcPr>
          <w:p w14:paraId="779D531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88.7</w:t>
            </w:r>
          </w:p>
        </w:tc>
        <w:tc>
          <w:tcPr>
            <w:tcW w:w="0" w:type="auto"/>
            <w:vAlign w:val="center"/>
          </w:tcPr>
          <w:p w14:paraId="6988A4B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92.0</w:t>
            </w:r>
          </w:p>
        </w:tc>
        <w:tc>
          <w:tcPr>
            <w:tcW w:w="0" w:type="auto"/>
            <w:vMerge w:val="restart"/>
            <w:vAlign w:val="center"/>
          </w:tcPr>
          <w:p w14:paraId="3A22FB55"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r>
      <w:tr w:rsidR="00C824CB" w:rsidRPr="00C824CB" w14:paraId="1A0459E4" w14:textId="77777777" w:rsidTr="001A09CA">
        <w:tc>
          <w:tcPr>
            <w:tcW w:w="1823" w:type="dxa"/>
            <w:vMerge/>
            <w:vAlign w:val="center"/>
          </w:tcPr>
          <w:p w14:paraId="7EC886A4" w14:textId="77777777" w:rsidR="00C824CB" w:rsidRPr="00C824CB" w:rsidRDefault="00C824CB" w:rsidP="00C824CB">
            <w:pPr>
              <w:rPr>
                <w:rFonts w:ascii="Arial" w:hAnsi="Arial" w:cs="Arial"/>
                <w:sz w:val="20"/>
                <w:szCs w:val="20"/>
                <w:lang w:eastAsia="ja-JP"/>
              </w:rPr>
            </w:pPr>
          </w:p>
        </w:tc>
        <w:tc>
          <w:tcPr>
            <w:tcW w:w="0" w:type="auto"/>
            <w:vAlign w:val="center"/>
          </w:tcPr>
          <w:p w14:paraId="6DE233D7" w14:textId="77777777" w:rsidR="00C824CB" w:rsidRPr="00C824CB" w:rsidRDefault="00C824CB" w:rsidP="00C824CB">
            <w:pPr>
              <w:rPr>
                <w:rFonts w:ascii="Arial" w:eastAsia="Times New Roman" w:hAnsi="Arial" w:cs="Arial"/>
                <w:sz w:val="20"/>
                <w:szCs w:val="20"/>
                <w:lang w:eastAsia="ja-JP"/>
              </w:rPr>
            </w:pPr>
            <w:r w:rsidRPr="00C824CB">
              <w:rPr>
                <w:rFonts w:ascii="Arial" w:eastAsia="Times New Roman" w:hAnsi="Arial" w:cs="Arial"/>
                <w:sz w:val="20"/>
                <w:szCs w:val="20"/>
                <w:lang w:eastAsia="ja-JP"/>
              </w:rPr>
              <w:t>Yes</w:t>
            </w:r>
          </w:p>
        </w:tc>
        <w:tc>
          <w:tcPr>
            <w:tcW w:w="0" w:type="auto"/>
            <w:vAlign w:val="center"/>
          </w:tcPr>
          <w:p w14:paraId="19EBBF76"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9.5</w:t>
            </w:r>
          </w:p>
        </w:tc>
        <w:tc>
          <w:tcPr>
            <w:tcW w:w="0" w:type="auto"/>
            <w:vAlign w:val="center"/>
          </w:tcPr>
          <w:p w14:paraId="041CCB3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9.4</w:t>
            </w:r>
          </w:p>
        </w:tc>
        <w:tc>
          <w:tcPr>
            <w:tcW w:w="0" w:type="auto"/>
            <w:vAlign w:val="center"/>
          </w:tcPr>
          <w:p w14:paraId="5FABC88D"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9.9</w:t>
            </w:r>
          </w:p>
        </w:tc>
        <w:tc>
          <w:tcPr>
            <w:tcW w:w="0" w:type="auto"/>
            <w:vMerge/>
            <w:vAlign w:val="center"/>
          </w:tcPr>
          <w:p w14:paraId="5C39BA70" w14:textId="77777777" w:rsidR="00C824CB" w:rsidRPr="00C824CB" w:rsidRDefault="00C824CB" w:rsidP="00C824CB">
            <w:pPr>
              <w:rPr>
                <w:rFonts w:ascii="Arial" w:hAnsi="Arial" w:cs="Arial"/>
                <w:sz w:val="20"/>
                <w:szCs w:val="20"/>
                <w:lang w:eastAsia="ja-JP"/>
              </w:rPr>
            </w:pPr>
          </w:p>
        </w:tc>
        <w:tc>
          <w:tcPr>
            <w:tcW w:w="0" w:type="auto"/>
            <w:vAlign w:val="center"/>
          </w:tcPr>
          <w:p w14:paraId="2DB24623"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11.3</w:t>
            </w:r>
          </w:p>
        </w:tc>
        <w:tc>
          <w:tcPr>
            <w:tcW w:w="0" w:type="auto"/>
            <w:vAlign w:val="center"/>
          </w:tcPr>
          <w:p w14:paraId="2B397253"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8.0</w:t>
            </w:r>
          </w:p>
        </w:tc>
        <w:tc>
          <w:tcPr>
            <w:tcW w:w="0" w:type="auto"/>
            <w:vMerge/>
            <w:vAlign w:val="center"/>
          </w:tcPr>
          <w:p w14:paraId="55E3AA2D" w14:textId="77777777" w:rsidR="00C824CB" w:rsidRPr="00C824CB" w:rsidRDefault="00C824CB" w:rsidP="00C824CB">
            <w:pPr>
              <w:rPr>
                <w:rFonts w:ascii="Arial" w:hAnsi="Arial" w:cs="Arial"/>
                <w:sz w:val="20"/>
                <w:szCs w:val="20"/>
                <w:lang w:eastAsia="ja-JP"/>
              </w:rPr>
            </w:pPr>
          </w:p>
        </w:tc>
      </w:tr>
      <w:tr w:rsidR="00C824CB" w:rsidRPr="00C824CB" w14:paraId="40190788" w14:textId="77777777" w:rsidTr="001A09CA">
        <w:tc>
          <w:tcPr>
            <w:tcW w:w="1823" w:type="dxa"/>
            <w:vAlign w:val="center"/>
          </w:tcPr>
          <w:p w14:paraId="33F935A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 xml:space="preserve">Social </w:t>
            </w:r>
            <w:proofErr w:type="spellStart"/>
            <w:r w:rsidRPr="00C824CB">
              <w:rPr>
                <w:rFonts w:ascii="Arial" w:hAnsi="Arial" w:cs="Arial"/>
                <w:sz w:val="20"/>
                <w:szCs w:val="20"/>
                <w:lang w:eastAsia="ja-JP"/>
              </w:rPr>
              <w:t>support</w:t>
            </w:r>
            <w:r w:rsidRPr="00C824CB">
              <w:rPr>
                <w:rFonts w:ascii="Arial" w:hAnsi="Arial" w:cs="Arial"/>
                <w:sz w:val="20"/>
                <w:szCs w:val="20"/>
                <w:vertAlign w:val="superscript"/>
                <w:lang w:eastAsia="ja-JP"/>
              </w:rPr>
              <w:t>c</w:t>
            </w:r>
            <w:proofErr w:type="spellEnd"/>
          </w:p>
        </w:tc>
        <w:tc>
          <w:tcPr>
            <w:tcW w:w="0" w:type="auto"/>
            <w:vAlign w:val="center"/>
          </w:tcPr>
          <w:p w14:paraId="7A8B24FF" w14:textId="77777777" w:rsidR="00C824CB" w:rsidRPr="00C824CB" w:rsidRDefault="00C824CB" w:rsidP="00C824CB">
            <w:pPr>
              <w:rPr>
                <w:rFonts w:ascii="Arial" w:eastAsia="Times New Roman" w:hAnsi="Arial" w:cs="Arial"/>
                <w:sz w:val="20"/>
                <w:szCs w:val="20"/>
                <w:lang w:eastAsia="ja-JP"/>
              </w:rPr>
            </w:pPr>
            <w:proofErr w:type="spellStart"/>
            <w:r w:rsidRPr="00C824CB">
              <w:rPr>
                <w:rFonts w:ascii="Arial" w:eastAsia="Times New Roman" w:hAnsi="Arial" w:cs="Arial"/>
                <w:sz w:val="20"/>
                <w:szCs w:val="20"/>
                <w:lang w:eastAsia="ja-JP"/>
              </w:rPr>
              <w:t>Mean</w:t>
            </w:r>
            <w:proofErr w:type="spellEnd"/>
            <w:r w:rsidRPr="00C824CB">
              <w:rPr>
                <w:rFonts w:ascii="Arial" w:eastAsia="Times New Roman" w:hAnsi="Arial" w:cs="Arial"/>
                <w:sz w:val="20"/>
                <w:szCs w:val="20"/>
                <w:lang w:eastAsia="ja-JP"/>
              </w:rPr>
              <w:t xml:space="preserve"> (SD)</w:t>
            </w:r>
          </w:p>
        </w:tc>
        <w:tc>
          <w:tcPr>
            <w:tcW w:w="0" w:type="auto"/>
            <w:vAlign w:val="center"/>
          </w:tcPr>
          <w:p w14:paraId="47173DBA"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13.2 (1.9)</w:t>
            </w:r>
          </w:p>
        </w:tc>
        <w:tc>
          <w:tcPr>
            <w:tcW w:w="0" w:type="auto"/>
            <w:vAlign w:val="center"/>
          </w:tcPr>
          <w:p w14:paraId="61A7E268"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13.4 (1.6)</w:t>
            </w:r>
          </w:p>
        </w:tc>
        <w:tc>
          <w:tcPr>
            <w:tcW w:w="0" w:type="auto"/>
            <w:vAlign w:val="center"/>
          </w:tcPr>
          <w:p w14:paraId="00A5A7D2"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12.9 (2.4)</w:t>
            </w:r>
          </w:p>
        </w:tc>
        <w:tc>
          <w:tcPr>
            <w:tcW w:w="0" w:type="auto"/>
            <w:vAlign w:val="center"/>
          </w:tcPr>
          <w:p w14:paraId="6E23D650"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6FE1AFA6"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13.0 (2.1)</w:t>
            </w:r>
          </w:p>
        </w:tc>
        <w:tc>
          <w:tcPr>
            <w:tcW w:w="0" w:type="auto"/>
            <w:vAlign w:val="center"/>
          </w:tcPr>
          <w:p w14:paraId="401C70F6"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13.4 (1.6)</w:t>
            </w:r>
          </w:p>
        </w:tc>
        <w:tc>
          <w:tcPr>
            <w:tcW w:w="0" w:type="auto"/>
            <w:vAlign w:val="center"/>
          </w:tcPr>
          <w:p w14:paraId="1E26585F"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r>
    </w:tbl>
    <w:p w14:paraId="25DF3D08" w14:textId="77777777" w:rsidR="00C824CB" w:rsidRPr="00C824CB" w:rsidRDefault="00C824CB" w:rsidP="00C824CB">
      <w:pPr>
        <w:jc w:val="both"/>
        <w:rPr>
          <w:rFonts w:ascii="Arial" w:hAnsi="Arial" w:cs="Arial"/>
          <w:sz w:val="18"/>
          <w:szCs w:val="18"/>
          <w:lang w:eastAsia="ja-JP"/>
        </w:rPr>
      </w:pPr>
    </w:p>
    <w:p w14:paraId="003525F1" w14:textId="77777777" w:rsidR="00C824CB" w:rsidRPr="00C824CB" w:rsidRDefault="00C824CB" w:rsidP="00C824CB">
      <w:pPr>
        <w:jc w:val="both"/>
        <w:rPr>
          <w:rFonts w:ascii="Arial" w:hAnsi="Arial" w:cs="Arial"/>
          <w:sz w:val="18"/>
          <w:szCs w:val="18"/>
          <w:lang w:eastAsia="ja-JP"/>
        </w:rPr>
      </w:pPr>
    </w:p>
    <w:p w14:paraId="11FD2D59" w14:textId="77777777" w:rsidR="00C824CB" w:rsidRPr="00C824CB" w:rsidRDefault="00C824CB" w:rsidP="00C824CB">
      <w:pPr>
        <w:jc w:val="both"/>
        <w:rPr>
          <w:rFonts w:ascii="Arial" w:hAnsi="Arial" w:cs="Arial"/>
          <w:sz w:val="18"/>
          <w:szCs w:val="18"/>
          <w:lang w:eastAsia="ja-JP"/>
        </w:rPr>
      </w:pPr>
    </w:p>
    <w:p w14:paraId="38C17BE9" w14:textId="77777777" w:rsidR="00C824CB" w:rsidRPr="00C824CB" w:rsidRDefault="00C824CB" w:rsidP="00C824CB">
      <w:pPr>
        <w:jc w:val="both"/>
        <w:rPr>
          <w:rFonts w:ascii="Arial" w:hAnsi="Arial" w:cs="Arial"/>
          <w:sz w:val="18"/>
          <w:szCs w:val="18"/>
          <w:lang w:eastAsia="ja-JP"/>
        </w:rPr>
      </w:pPr>
    </w:p>
    <w:p w14:paraId="71BB73E9" w14:textId="77777777" w:rsidR="00C824CB" w:rsidRPr="00C824CB" w:rsidRDefault="00C824CB" w:rsidP="00C824CB">
      <w:pPr>
        <w:jc w:val="both"/>
        <w:rPr>
          <w:rFonts w:ascii="Arial" w:hAnsi="Arial" w:cs="Arial"/>
          <w:sz w:val="18"/>
          <w:szCs w:val="18"/>
          <w:lang w:eastAsia="ja-JP"/>
        </w:rPr>
      </w:pPr>
    </w:p>
    <w:p w14:paraId="3F5AB4FF" w14:textId="77777777" w:rsidR="00C824CB" w:rsidRPr="00C824CB" w:rsidRDefault="00C824CB" w:rsidP="00C824CB">
      <w:pPr>
        <w:jc w:val="both"/>
        <w:rPr>
          <w:rFonts w:ascii="Arial" w:hAnsi="Arial" w:cs="Arial"/>
          <w:sz w:val="18"/>
          <w:szCs w:val="18"/>
          <w:lang w:eastAsia="ja-JP"/>
        </w:rPr>
      </w:pPr>
    </w:p>
    <w:p w14:paraId="15DE5E26" w14:textId="77777777" w:rsidR="00C824CB" w:rsidRPr="00C824CB" w:rsidRDefault="00C824CB" w:rsidP="00C824CB">
      <w:pPr>
        <w:jc w:val="both"/>
        <w:rPr>
          <w:rFonts w:ascii="Arial" w:hAnsi="Arial" w:cs="Arial"/>
          <w:sz w:val="18"/>
          <w:szCs w:val="18"/>
          <w:lang w:eastAsia="ja-JP"/>
        </w:rPr>
      </w:pPr>
    </w:p>
    <w:p w14:paraId="0ECEA489" w14:textId="77777777" w:rsidR="00C824CB" w:rsidRPr="00C824CB" w:rsidRDefault="00C824CB" w:rsidP="00C824CB">
      <w:pPr>
        <w:jc w:val="both"/>
        <w:rPr>
          <w:rFonts w:ascii="Arial" w:hAnsi="Arial" w:cs="Arial"/>
          <w:sz w:val="18"/>
          <w:szCs w:val="18"/>
          <w:lang w:eastAsia="ja-JP"/>
        </w:rPr>
      </w:pPr>
    </w:p>
    <w:p w14:paraId="288ACF3F" w14:textId="77777777" w:rsidR="00C824CB" w:rsidRPr="00C824CB" w:rsidRDefault="00C824CB" w:rsidP="00C824CB">
      <w:pPr>
        <w:jc w:val="both"/>
        <w:rPr>
          <w:rFonts w:ascii="Arial" w:hAnsi="Arial" w:cs="Arial"/>
          <w:sz w:val="18"/>
          <w:szCs w:val="18"/>
          <w:lang w:eastAsia="ja-JP"/>
        </w:rPr>
      </w:pPr>
    </w:p>
    <w:p w14:paraId="703D758E" w14:textId="77777777" w:rsidR="00C824CB" w:rsidRPr="00C824CB" w:rsidRDefault="00C824CB" w:rsidP="00C824CB">
      <w:pPr>
        <w:jc w:val="both"/>
        <w:rPr>
          <w:rFonts w:ascii="Arial" w:hAnsi="Arial" w:cs="Arial"/>
          <w:sz w:val="18"/>
          <w:szCs w:val="18"/>
          <w:lang w:eastAsia="ja-JP"/>
        </w:rPr>
      </w:pPr>
    </w:p>
    <w:p w14:paraId="00D3C858" w14:textId="77777777" w:rsidR="00C824CB" w:rsidRPr="00C824CB" w:rsidRDefault="00C824CB" w:rsidP="00C824CB">
      <w:pPr>
        <w:jc w:val="both"/>
        <w:rPr>
          <w:rFonts w:ascii="Arial" w:hAnsi="Arial" w:cs="Arial"/>
          <w:sz w:val="18"/>
          <w:szCs w:val="18"/>
          <w:lang w:eastAsia="ja-JP"/>
        </w:rPr>
      </w:pPr>
    </w:p>
    <w:p w14:paraId="57B97FE8" w14:textId="77777777" w:rsidR="00C824CB" w:rsidRPr="00C824CB" w:rsidRDefault="00C824CB" w:rsidP="00C824CB">
      <w:pPr>
        <w:jc w:val="both"/>
        <w:rPr>
          <w:rFonts w:ascii="Arial" w:hAnsi="Arial" w:cs="Arial"/>
          <w:sz w:val="18"/>
          <w:szCs w:val="18"/>
          <w:lang w:eastAsia="ja-JP"/>
        </w:rPr>
      </w:pPr>
    </w:p>
    <w:p w14:paraId="026CBA02" w14:textId="77777777" w:rsidR="00C824CB" w:rsidRPr="00C824CB" w:rsidRDefault="00C824CB" w:rsidP="00C824CB">
      <w:pPr>
        <w:jc w:val="both"/>
        <w:rPr>
          <w:rFonts w:ascii="Arial" w:hAnsi="Arial" w:cs="Arial"/>
          <w:sz w:val="18"/>
          <w:szCs w:val="18"/>
          <w:lang w:eastAsia="ja-JP"/>
        </w:rPr>
      </w:pPr>
    </w:p>
    <w:p w14:paraId="20288BB0" w14:textId="77777777" w:rsidR="00C824CB" w:rsidRPr="00C824CB" w:rsidRDefault="00C824CB" w:rsidP="00C824CB">
      <w:pPr>
        <w:jc w:val="both"/>
        <w:rPr>
          <w:rFonts w:ascii="Arial" w:hAnsi="Arial" w:cs="Arial"/>
          <w:sz w:val="18"/>
          <w:szCs w:val="18"/>
          <w:lang w:eastAsia="ja-JP"/>
        </w:rPr>
      </w:pPr>
    </w:p>
    <w:p w14:paraId="4E8391D1" w14:textId="77777777" w:rsidR="00C824CB" w:rsidRPr="00C824CB" w:rsidRDefault="00C824CB" w:rsidP="00C824CB">
      <w:pPr>
        <w:jc w:val="both"/>
        <w:rPr>
          <w:rFonts w:ascii="Arial" w:hAnsi="Arial" w:cs="Arial"/>
          <w:sz w:val="18"/>
          <w:szCs w:val="18"/>
          <w:lang w:eastAsia="ja-JP"/>
        </w:rPr>
      </w:pPr>
    </w:p>
    <w:p w14:paraId="287DD638" w14:textId="77777777" w:rsidR="00C824CB" w:rsidRPr="00C824CB" w:rsidRDefault="00C824CB" w:rsidP="00C824CB">
      <w:pPr>
        <w:jc w:val="both"/>
        <w:rPr>
          <w:rFonts w:ascii="Arial" w:hAnsi="Arial" w:cs="Arial"/>
          <w:sz w:val="18"/>
          <w:szCs w:val="18"/>
          <w:lang w:eastAsia="ja-JP"/>
        </w:rPr>
      </w:pPr>
    </w:p>
    <w:p w14:paraId="7E8FED45" w14:textId="77777777" w:rsidR="00C824CB" w:rsidRPr="00C824CB" w:rsidRDefault="00C824CB" w:rsidP="00C824CB">
      <w:pPr>
        <w:jc w:val="both"/>
        <w:rPr>
          <w:rFonts w:ascii="Arial" w:hAnsi="Arial" w:cs="Arial"/>
          <w:sz w:val="18"/>
          <w:szCs w:val="18"/>
          <w:lang w:eastAsia="ja-JP"/>
        </w:rPr>
      </w:pPr>
    </w:p>
    <w:p w14:paraId="728E627B" w14:textId="77777777" w:rsidR="00C824CB" w:rsidRPr="00C824CB" w:rsidRDefault="00C824CB" w:rsidP="00C824CB">
      <w:pPr>
        <w:jc w:val="both"/>
        <w:rPr>
          <w:rFonts w:ascii="Arial" w:hAnsi="Arial" w:cs="Arial"/>
          <w:sz w:val="18"/>
          <w:szCs w:val="18"/>
          <w:lang w:eastAsia="ja-JP"/>
        </w:rPr>
      </w:pPr>
    </w:p>
    <w:p w14:paraId="5B64F09C" w14:textId="77777777" w:rsidR="00C824CB" w:rsidRPr="00C824CB" w:rsidRDefault="00C824CB" w:rsidP="00C824CB">
      <w:pPr>
        <w:jc w:val="both"/>
        <w:rPr>
          <w:rFonts w:ascii="Arial" w:hAnsi="Arial" w:cs="Arial"/>
          <w:sz w:val="18"/>
          <w:szCs w:val="18"/>
          <w:lang w:eastAsia="ja-JP"/>
        </w:rPr>
      </w:pPr>
    </w:p>
    <w:p w14:paraId="4A6F681D" w14:textId="77777777" w:rsidR="00C824CB" w:rsidRPr="00C824CB" w:rsidRDefault="00C824CB" w:rsidP="00C824CB">
      <w:pPr>
        <w:jc w:val="both"/>
        <w:rPr>
          <w:rFonts w:ascii="Arial" w:hAnsi="Arial" w:cs="Arial"/>
          <w:sz w:val="18"/>
          <w:szCs w:val="18"/>
          <w:lang w:eastAsia="ja-JP"/>
        </w:rPr>
      </w:pPr>
    </w:p>
    <w:p w14:paraId="2EF9F967" w14:textId="77777777" w:rsidR="00C824CB" w:rsidRPr="00C824CB" w:rsidRDefault="00C824CB" w:rsidP="00C824CB">
      <w:pPr>
        <w:jc w:val="both"/>
        <w:rPr>
          <w:rFonts w:ascii="Arial" w:hAnsi="Arial" w:cs="Arial"/>
          <w:sz w:val="18"/>
          <w:szCs w:val="18"/>
          <w:lang w:eastAsia="ja-JP"/>
        </w:rPr>
      </w:pPr>
    </w:p>
    <w:p w14:paraId="46E1A83A" w14:textId="77777777" w:rsidR="00C824CB" w:rsidRPr="00C824CB" w:rsidRDefault="00C824CB" w:rsidP="00C824CB">
      <w:pPr>
        <w:jc w:val="both"/>
        <w:rPr>
          <w:rFonts w:ascii="Arial" w:hAnsi="Arial" w:cs="Arial"/>
          <w:sz w:val="18"/>
          <w:szCs w:val="18"/>
          <w:lang w:eastAsia="ja-JP"/>
        </w:rPr>
      </w:pPr>
    </w:p>
    <w:p w14:paraId="59FFA1AB" w14:textId="77777777" w:rsidR="00C824CB" w:rsidRPr="00C824CB" w:rsidRDefault="00C824CB" w:rsidP="00C824CB">
      <w:pPr>
        <w:jc w:val="both"/>
        <w:rPr>
          <w:rFonts w:ascii="Arial" w:hAnsi="Arial" w:cs="Arial"/>
          <w:sz w:val="18"/>
          <w:szCs w:val="18"/>
          <w:lang w:eastAsia="ja-JP"/>
        </w:rPr>
      </w:pPr>
    </w:p>
    <w:p w14:paraId="3EEA0CD7" w14:textId="77777777" w:rsidR="00C824CB" w:rsidRPr="00C824CB" w:rsidRDefault="00C824CB" w:rsidP="00C824CB">
      <w:pPr>
        <w:jc w:val="both"/>
        <w:rPr>
          <w:rFonts w:ascii="Arial" w:hAnsi="Arial" w:cs="Arial"/>
          <w:sz w:val="18"/>
          <w:szCs w:val="18"/>
          <w:lang w:eastAsia="ja-JP"/>
        </w:rPr>
      </w:pPr>
    </w:p>
    <w:p w14:paraId="33FB6747" w14:textId="77777777" w:rsidR="00C824CB" w:rsidRPr="00C824CB" w:rsidRDefault="00C824CB" w:rsidP="00C824CB">
      <w:pPr>
        <w:jc w:val="both"/>
        <w:rPr>
          <w:rFonts w:ascii="Arial" w:hAnsi="Arial" w:cs="Arial"/>
          <w:sz w:val="18"/>
          <w:szCs w:val="18"/>
          <w:lang w:eastAsia="ja-JP"/>
        </w:rPr>
      </w:pPr>
    </w:p>
    <w:p w14:paraId="4EB5DA18" w14:textId="77777777" w:rsidR="00C824CB" w:rsidRPr="00C824CB" w:rsidRDefault="00C824CB" w:rsidP="00C824CB">
      <w:pPr>
        <w:jc w:val="both"/>
        <w:rPr>
          <w:rFonts w:ascii="Arial" w:hAnsi="Arial" w:cs="Arial"/>
          <w:sz w:val="18"/>
          <w:szCs w:val="18"/>
          <w:lang w:eastAsia="ja-JP"/>
        </w:rPr>
      </w:pPr>
    </w:p>
    <w:p w14:paraId="317CB99D" w14:textId="77777777" w:rsidR="00C824CB" w:rsidRPr="00C824CB" w:rsidRDefault="00C824CB" w:rsidP="00C824CB">
      <w:pPr>
        <w:jc w:val="both"/>
        <w:rPr>
          <w:rFonts w:ascii="Arial" w:hAnsi="Arial" w:cs="Arial"/>
          <w:sz w:val="18"/>
          <w:szCs w:val="18"/>
          <w:lang w:eastAsia="ja-JP"/>
        </w:rPr>
      </w:pPr>
    </w:p>
    <w:p w14:paraId="18E98F48" w14:textId="77777777" w:rsidR="00C824CB" w:rsidRPr="00C824CB" w:rsidRDefault="00C824CB" w:rsidP="00C824CB">
      <w:pPr>
        <w:jc w:val="both"/>
        <w:rPr>
          <w:rFonts w:ascii="Arial" w:hAnsi="Arial" w:cs="Arial"/>
          <w:sz w:val="18"/>
          <w:szCs w:val="18"/>
          <w:lang w:eastAsia="ja-JP"/>
        </w:rPr>
      </w:pPr>
    </w:p>
    <w:p w14:paraId="532A8F6D" w14:textId="77777777" w:rsidR="00C824CB" w:rsidRPr="00C824CB" w:rsidRDefault="00C824CB" w:rsidP="00C824CB">
      <w:pPr>
        <w:jc w:val="both"/>
        <w:rPr>
          <w:rFonts w:ascii="Arial" w:hAnsi="Arial" w:cs="Arial"/>
          <w:sz w:val="18"/>
          <w:szCs w:val="18"/>
          <w:lang w:eastAsia="ja-JP"/>
        </w:rPr>
      </w:pPr>
    </w:p>
    <w:p w14:paraId="22CD335F" w14:textId="77777777" w:rsidR="00C824CB" w:rsidRPr="00C824CB" w:rsidRDefault="00C824CB" w:rsidP="00C824CB">
      <w:pPr>
        <w:jc w:val="both"/>
        <w:rPr>
          <w:rFonts w:ascii="Arial" w:hAnsi="Arial" w:cs="Arial"/>
          <w:sz w:val="18"/>
          <w:szCs w:val="18"/>
          <w:lang w:eastAsia="ja-JP"/>
        </w:rPr>
      </w:pPr>
    </w:p>
    <w:p w14:paraId="35389722" w14:textId="77777777" w:rsidR="00C824CB" w:rsidRPr="00C824CB" w:rsidRDefault="00C824CB" w:rsidP="00C824CB">
      <w:pPr>
        <w:jc w:val="both"/>
        <w:rPr>
          <w:rFonts w:ascii="Arial" w:hAnsi="Arial" w:cs="Arial"/>
          <w:sz w:val="18"/>
          <w:szCs w:val="18"/>
          <w:lang w:eastAsia="ja-JP"/>
        </w:rPr>
      </w:pPr>
    </w:p>
    <w:p w14:paraId="570AC21A" w14:textId="77777777" w:rsidR="00C824CB" w:rsidRPr="00C824CB" w:rsidRDefault="00C824CB" w:rsidP="00C824CB">
      <w:pPr>
        <w:jc w:val="both"/>
        <w:rPr>
          <w:rFonts w:ascii="Arial" w:hAnsi="Arial" w:cs="Arial"/>
          <w:sz w:val="18"/>
          <w:szCs w:val="18"/>
          <w:lang w:eastAsia="ja-JP"/>
        </w:rPr>
      </w:pPr>
    </w:p>
    <w:p w14:paraId="52C5359D" w14:textId="77777777" w:rsidR="00C824CB" w:rsidRPr="00C824CB" w:rsidRDefault="00C824CB" w:rsidP="00C824CB">
      <w:pPr>
        <w:jc w:val="both"/>
        <w:rPr>
          <w:rFonts w:ascii="Arial" w:hAnsi="Arial" w:cs="Arial"/>
          <w:sz w:val="18"/>
          <w:szCs w:val="18"/>
          <w:lang w:eastAsia="ja-JP"/>
        </w:rPr>
      </w:pPr>
    </w:p>
    <w:p w14:paraId="72A69D87" w14:textId="77777777" w:rsidR="00C824CB" w:rsidRPr="00C824CB" w:rsidRDefault="00C824CB" w:rsidP="00C824CB">
      <w:pPr>
        <w:jc w:val="both"/>
        <w:rPr>
          <w:rFonts w:ascii="Arial" w:hAnsi="Arial" w:cs="Arial"/>
          <w:sz w:val="18"/>
          <w:szCs w:val="18"/>
          <w:lang w:eastAsia="ja-JP"/>
        </w:rPr>
      </w:pPr>
    </w:p>
    <w:p w14:paraId="7CF6278B" w14:textId="77777777" w:rsidR="00C824CB" w:rsidRPr="00C824CB" w:rsidRDefault="00C824CB" w:rsidP="00C824CB">
      <w:pPr>
        <w:rPr>
          <w:rFonts w:ascii="Arial" w:hAnsi="Arial" w:cs="Arial"/>
          <w:sz w:val="18"/>
          <w:szCs w:val="18"/>
          <w:lang w:eastAsia="ja-JP"/>
        </w:rPr>
      </w:pPr>
    </w:p>
    <w:p w14:paraId="0A580818" w14:textId="77777777" w:rsidR="00C824CB" w:rsidRPr="00C824CB" w:rsidRDefault="00C824CB" w:rsidP="00C824CB">
      <w:pPr>
        <w:jc w:val="both"/>
        <w:rPr>
          <w:rFonts w:ascii="Arial" w:hAnsi="Arial" w:cs="Arial"/>
          <w:sz w:val="18"/>
          <w:szCs w:val="18"/>
          <w:lang w:eastAsia="ja-JP"/>
        </w:rPr>
      </w:pPr>
      <w:r w:rsidRPr="00C824CB">
        <w:rPr>
          <w:rFonts w:ascii="Arial" w:hAnsi="Arial" w:cs="Arial"/>
          <w:sz w:val="18"/>
          <w:szCs w:val="18"/>
          <w:lang w:eastAsia="ja-JP"/>
        </w:rPr>
        <w:t xml:space="preserve">Disability was </w:t>
      </w:r>
      <w:r w:rsidRPr="00C824CB">
        <w:rPr>
          <w:rFonts w:ascii="Arial" w:hAnsi="Arial" w:cs="Arial"/>
          <w:sz w:val="18"/>
          <w:szCs w:val="18"/>
          <w:lang w:eastAsia="ja-JP"/>
        </w:rPr>
        <w:lastRenderedPageBreak/>
        <w:t>assessed with seven questions about difficulties in activities of daily living (ADL) and instrumental activities of daily living (IADL) and referred to having difficulty in at least one of the seven items.</w:t>
      </w:r>
    </w:p>
    <w:p w14:paraId="6E3B394A" w14:textId="77777777" w:rsidR="00C824CB" w:rsidRPr="00C824CB" w:rsidRDefault="00C824CB" w:rsidP="00C824CB">
      <w:pPr>
        <w:rPr>
          <w:rFonts w:ascii="Arial" w:hAnsi="Arial" w:cs="Arial"/>
          <w:sz w:val="18"/>
          <w:szCs w:val="18"/>
          <w:lang w:eastAsia="ja-JP"/>
        </w:rPr>
      </w:pPr>
      <w:proofErr w:type="spellStart"/>
      <w:proofErr w:type="gramStart"/>
      <w:r w:rsidRPr="00C824CB">
        <w:rPr>
          <w:rFonts w:ascii="Arial" w:hAnsi="Arial" w:cs="Arial"/>
          <w:sz w:val="18"/>
          <w:szCs w:val="18"/>
          <w:vertAlign w:val="superscript"/>
          <w:lang w:eastAsia="ja-JP"/>
        </w:rPr>
        <w:t>a</w:t>
      </w:r>
      <w:proofErr w:type="spellEnd"/>
      <w:proofErr w:type="gramEnd"/>
      <w:r w:rsidRPr="00C824CB">
        <w:rPr>
          <w:rFonts w:ascii="Arial" w:hAnsi="Arial" w:cs="Arial"/>
          <w:sz w:val="18"/>
          <w:szCs w:val="18"/>
          <w:vertAlign w:val="superscript"/>
          <w:lang w:eastAsia="ja-JP"/>
        </w:rPr>
        <w:t xml:space="preserve"> </w:t>
      </w:r>
      <w:r w:rsidRPr="00C824CB">
        <w:rPr>
          <w:rFonts w:ascii="Arial" w:hAnsi="Arial" w:cs="Arial"/>
          <w:sz w:val="18"/>
          <w:szCs w:val="18"/>
          <w:lang w:eastAsia="ja-JP"/>
        </w:rPr>
        <w:t>Intelligence quotient (IQ) scores were dichotomized based on the mean IQ of the weight sample (≤102.5 versus &gt;102.5).</w:t>
      </w:r>
    </w:p>
    <w:p w14:paraId="7111AB0A" w14:textId="77777777" w:rsidR="00C824CB" w:rsidRPr="00C824CB" w:rsidRDefault="00C824CB" w:rsidP="00C824CB">
      <w:pPr>
        <w:rPr>
          <w:rFonts w:ascii="Arial" w:hAnsi="Arial" w:cs="Arial"/>
          <w:sz w:val="18"/>
          <w:szCs w:val="18"/>
          <w:lang w:eastAsia="ja-JP"/>
        </w:rPr>
      </w:pPr>
      <w:r w:rsidRPr="00C824CB">
        <w:rPr>
          <w:rFonts w:ascii="Arial" w:hAnsi="Arial" w:cs="Arial"/>
          <w:sz w:val="18"/>
          <w:szCs w:val="18"/>
          <w:vertAlign w:val="superscript"/>
          <w:lang w:eastAsia="ja-JP"/>
        </w:rPr>
        <w:t xml:space="preserve">b </w:t>
      </w:r>
      <w:r w:rsidRPr="00C824CB">
        <w:rPr>
          <w:rFonts w:ascii="Arial" w:hAnsi="Arial" w:cs="Arial"/>
          <w:sz w:val="18"/>
          <w:szCs w:val="18"/>
          <w:lang w:eastAsia="ja-JP"/>
        </w:rPr>
        <w:t>P-values were based on Chi-squared tests except for age and social support (t-tests).</w:t>
      </w:r>
    </w:p>
    <w:p w14:paraId="4DDB92D9" w14:textId="77777777" w:rsidR="00C824CB" w:rsidRPr="00C824CB" w:rsidRDefault="00C824CB" w:rsidP="00C824CB">
      <w:pPr>
        <w:rPr>
          <w:rFonts w:ascii="Arial" w:hAnsi="Arial" w:cs="Arial"/>
          <w:sz w:val="18"/>
          <w:szCs w:val="18"/>
          <w:lang w:eastAsia="ja-JP"/>
        </w:rPr>
      </w:pPr>
      <w:r w:rsidRPr="00C824CB">
        <w:rPr>
          <w:rFonts w:ascii="Arial" w:hAnsi="Arial" w:cs="Arial"/>
          <w:sz w:val="18"/>
          <w:szCs w:val="18"/>
          <w:vertAlign w:val="superscript"/>
          <w:lang w:eastAsia="ja-JP"/>
        </w:rPr>
        <w:t xml:space="preserve">c </w:t>
      </w:r>
      <w:proofErr w:type="gramStart"/>
      <w:r w:rsidRPr="00C824CB">
        <w:rPr>
          <w:rFonts w:ascii="Arial" w:hAnsi="Arial" w:cs="Arial"/>
          <w:sz w:val="18"/>
          <w:szCs w:val="18"/>
          <w:lang w:eastAsia="ja-JP"/>
        </w:rPr>
        <w:t>The</w:t>
      </w:r>
      <w:proofErr w:type="gramEnd"/>
      <w:r w:rsidRPr="00C824CB">
        <w:rPr>
          <w:rFonts w:ascii="Arial" w:hAnsi="Arial" w:cs="Arial"/>
          <w:sz w:val="18"/>
          <w:szCs w:val="18"/>
          <w:lang w:eastAsia="ja-JP"/>
        </w:rPr>
        <w:t xml:space="preserve"> variable on social support ranged from 0 to 14, with higher scores representing higher levels of social support.</w:t>
      </w:r>
    </w:p>
    <w:p w14:paraId="7B9D5E2E" w14:textId="77777777" w:rsidR="00C824CB" w:rsidRPr="00C824CB" w:rsidRDefault="00C824CB" w:rsidP="00C824CB">
      <w:pPr>
        <w:rPr>
          <w:rFonts w:ascii="Arial" w:hAnsi="Arial" w:cs="Arial"/>
          <w:sz w:val="18"/>
          <w:szCs w:val="18"/>
          <w:lang w:eastAsia="ja-JP"/>
        </w:rPr>
      </w:pPr>
    </w:p>
    <w:p w14:paraId="5F32F243" w14:textId="77777777" w:rsidR="00C824CB" w:rsidRPr="00C824CB" w:rsidRDefault="00C824CB" w:rsidP="00C824CB">
      <w:pPr>
        <w:rPr>
          <w:rFonts w:ascii="Arial" w:hAnsi="Arial" w:cs="Arial"/>
          <w:sz w:val="18"/>
          <w:szCs w:val="18"/>
          <w:lang w:eastAsia="ja-JP"/>
        </w:rPr>
        <w:sectPr w:rsidR="00C824CB" w:rsidRPr="00C824CB" w:rsidSect="009A1E79">
          <w:footerReference w:type="even" r:id="rId9"/>
          <w:footerReference w:type="default" r:id="rId10"/>
          <w:pgSz w:w="16840" w:h="11900" w:orient="landscape"/>
          <w:pgMar w:top="1440" w:right="1440" w:bottom="1440" w:left="1440" w:header="708" w:footer="708" w:gutter="0"/>
          <w:cols w:space="708"/>
          <w:docGrid w:linePitch="360"/>
        </w:sectPr>
      </w:pPr>
    </w:p>
    <w:p w14:paraId="4084CF61" w14:textId="77777777" w:rsidR="00C824CB" w:rsidRPr="00C824CB" w:rsidRDefault="00C824CB" w:rsidP="00C824CB">
      <w:pPr>
        <w:spacing w:line="360" w:lineRule="auto"/>
        <w:rPr>
          <w:rFonts w:ascii="Arial" w:hAnsi="Arial"/>
          <w:lang w:eastAsia="ja-JP"/>
        </w:rPr>
      </w:pPr>
      <w:r w:rsidRPr="00C824CB">
        <w:rPr>
          <w:rFonts w:ascii="Arial" w:hAnsi="Arial" w:cs="Arial"/>
          <w:b/>
          <w:lang w:eastAsia="ja-JP"/>
        </w:rPr>
        <w:lastRenderedPageBreak/>
        <w:t>Table 2.</w:t>
      </w:r>
      <w:r w:rsidRPr="00C824CB">
        <w:rPr>
          <w:rFonts w:ascii="Arial" w:hAnsi="Arial" w:cs="Arial"/>
          <w:lang w:eastAsia="ja-JP"/>
        </w:rPr>
        <w:t xml:space="preserve"> Influential factors in the association between intelligence quotient</w:t>
      </w:r>
      <w:r w:rsidRPr="00C824CB">
        <w:rPr>
          <w:rFonts w:ascii="Arial" w:hAnsi="Arial"/>
          <w:lang w:eastAsia="ja-JP"/>
        </w:rPr>
        <w:t xml:space="preserve"> (independent variable) and disability (dependent variable)</w:t>
      </w:r>
    </w:p>
    <w:tbl>
      <w:tblPr>
        <w:tblStyle w:val="TableGrid"/>
        <w:tblW w:w="0" w:type="auto"/>
        <w:tblLook w:val="04A0" w:firstRow="1" w:lastRow="0" w:firstColumn="1" w:lastColumn="0" w:noHBand="0" w:noVBand="1"/>
      </w:tblPr>
      <w:tblGrid>
        <w:gridCol w:w="2410"/>
        <w:gridCol w:w="1607"/>
        <w:gridCol w:w="895"/>
        <w:gridCol w:w="1607"/>
        <w:gridCol w:w="895"/>
        <w:gridCol w:w="1607"/>
        <w:gridCol w:w="895"/>
        <w:gridCol w:w="1217"/>
      </w:tblGrid>
      <w:tr w:rsidR="00C824CB" w:rsidRPr="00C824CB" w14:paraId="57828D35" w14:textId="77777777" w:rsidTr="001A09CA">
        <w:tc>
          <w:tcPr>
            <w:tcW w:w="2410" w:type="dxa"/>
            <w:vAlign w:val="center"/>
          </w:tcPr>
          <w:p w14:paraId="42148A50" w14:textId="77777777" w:rsidR="00C824CB" w:rsidRPr="00C824CB" w:rsidRDefault="00C824CB" w:rsidP="00C824CB">
            <w:pPr>
              <w:rPr>
                <w:rFonts w:ascii="Arial" w:hAnsi="Arial" w:cs="Arial"/>
                <w:sz w:val="20"/>
                <w:szCs w:val="20"/>
                <w:lang w:eastAsia="ja-JP"/>
              </w:rPr>
            </w:pPr>
          </w:p>
        </w:tc>
        <w:tc>
          <w:tcPr>
            <w:tcW w:w="0" w:type="auto"/>
            <w:gridSpan w:val="2"/>
            <w:vAlign w:val="center"/>
          </w:tcPr>
          <w:p w14:paraId="290B033E" w14:textId="77777777" w:rsidR="00C824CB" w:rsidRPr="00C824CB" w:rsidRDefault="00C824CB" w:rsidP="00C824CB">
            <w:pPr>
              <w:rPr>
                <w:rFonts w:ascii="Arial" w:hAnsi="Arial" w:cs="Arial"/>
                <w:sz w:val="20"/>
                <w:szCs w:val="20"/>
                <w:lang w:eastAsia="ja-JP"/>
              </w:rPr>
            </w:pPr>
            <w:r w:rsidRPr="00C824CB">
              <w:rPr>
                <w:rFonts w:ascii="Arial" w:eastAsia="Times New Roman" w:hAnsi="Arial" w:cs="Arial"/>
                <w:sz w:val="20"/>
                <w:szCs w:val="20"/>
                <w:lang w:eastAsia="ja-JP"/>
              </w:rPr>
              <w:t xml:space="preserve">Total </w:t>
            </w:r>
            <w:proofErr w:type="spellStart"/>
            <w:r w:rsidRPr="00C824CB">
              <w:rPr>
                <w:rFonts w:ascii="Arial" w:eastAsia="Times New Roman" w:hAnsi="Arial" w:cs="Arial"/>
                <w:sz w:val="20"/>
                <w:szCs w:val="20"/>
                <w:lang w:eastAsia="ja-JP"/>
              </w:rPr>
              <w:t>effect</w:t>
            </w:r>
            <w:proofErr w:type="spellEnd"/>
          </w:p>
        </w:tc>
        <w:tc>
          <w:tcPr>
            <w:tcW w:w="0" w:type="auto"/>
            <w:gridSpan w:val="2"/>
            <w:vAlign w:val="center"/>
          </w:tcPr>
          <w:p w14:paraId="268835BF" w14:textId="77777777" w:rsidR="00C824CB" w:rsidRPr="00C824CB" w:rsidRDefault="00C824CB" w:rsidP="00C824CB">
            <w:pPr>
              <w:rPr>
                <w:rFonts w:ascii="Arial" w:hAnsi="Arial" w:cs="Arial"/>
                <w:sz w:val="20"/>
                <w:szCs w:val="20"/>
                <w:lang w:eastAsia="ja-JP"/>
              </w:rPr>
            </w:pPr>
            <w:r w:rsidRPr="00C824CB">
              <w:rPr>
                <w:rFonts w:ascii="Arial" w:eastAsia="Times New Roman" w:hAnsi="Arial" w:cs="Arial"/>
                <w:sz w:val="20"/>
                <w:szCs w:val="20"/>
                <w:lang w:eastAsia="ja-JP"/>
              </w:rPr>
              <w:t xml:space="preserve">Direct </w:t>
            </w:r>
            <w:proofErr w:type="spellStart"/>
            <w:r w:rsidRPr="00C824CB">
              <w:rPr>
                <w:rFonts w:ascii="Arial" w:eastAsia="Times New Roman" w:hAnsi="Arial" w:cs="Arial"/>
                <w:sz w:val="20"/>
                <w:szCs w:val="20"/>
                <w:lang w:eastAsia="ja-JP"/>
              </w:rPr>
              <w:t>effect</w:t>
            </w:r>
            <w:proofErr w:type="spellEnd"/>
          </w:p>
        </w:tc>
        <w:tc>
          <w:tcPr>
            <w:tcW w:w="0" w:type="auto"/>
            <w:gridSpan w:val="2"/>
            <w:vAlign w:val="center"/>
          </w:tcPr>
          <w:p w14:paraId="52829A28" w14:textId="77777777" w:rsidR="00C824CB" w:rsidRPr="00C824CB" w:rsidRDefault="00C824CB" w:rsidP="00C824CB">
            <w:pPr>
              <w:rPr>
                <w:rFonts w:ascii="Arial" w:hAnsi="Arial" w:cs="Arial"/>
                <w:sz w:val="20"/>
                <w:szCs w:val="20"/>
                <w:lang w:eastAsia="ja-JP"/>
              </w:rPr>
            </w:pPr>
            <w:r w:rsidRPr="00C824CB">
              <w:rPr>
                <w:rFonts w:ascii="Arial" w:eastAsia="Times New Roman" w:hAnsi="Arial" w:cs="Arial"/>
                <w:sz w:val="20"/>
                <w:szCs w:val="20"/>
                <w:lang w:eastAsia="ja-JP"/>
              </w:rPr>
              <w:t xml:space="preserve">Indirect </w:t>
            </w:r>
            <w:proofErr w:type="spellStart"/>
            <w:r w:rsidRPr="00C824CB">
              <w:rPr>
                <w:rFonts w:ascii="Arial" w:eastAsia="Times New Roman" w:hAnsi="Arial" w:cs="Arial"/>
                <w:sz w:val="20"/>
                <w:szCs w:val="20"/>
                <w:lang w:eastAsia="ja-JP"/>
              </w:rPr>
              <w:t>effect</w:t>
            </w:r>
            <w:proofErr w:type="spellEnd"/>
          </w:p>
        </w:tc>
        <w:tc>
          <w:tcPr>
            <w:tcW w:w="0" w:type="auto"/>
            <w:vAlign w:val="center"/>
          </w:tcPr>
          <w:p w14:paraId="7760CC17" w14:textId="77777777" w:rsidR="00C824CB" w:rsidRPr="00C824CB" w:rsidRDefault="00C824CB" w:rsidP="00C824CB">
            <w:pPr>
              <w:jc w:val="center"/>
              <w:rPr>
                <w:rFonts w:ascii="Arial" w:hAnsi="Arial" w:cs="Arial"/>
                <w:sz w:val="20"/>
                <w:szCs w:val="20"/>
                <w:lang w:eastAsia="ja-JP"/>
              </w:rPr>
            </w:pPr>
          </w:p>
        </w:tc>
      </w:tr>
      <w:tr w:rsidR="00C824CB" w:rsidRPr="00C824CB" w14:paraId="7014EC59" w14:textId="77777777" w:rsidTr="001A09CA">
        <w:tc>
          <w:tcPr>
            <w:tcW w:w="2410" w:type="dxa"/>
            <w:vAlign w:val="center"/>
          </w:tcPr>
          <w:p w14:paraId="46701806" w14:textId="77777777" w:rsidR="00C824CB" w:rsidRPr="00C824CB" w:rsidRDefault="00C824CB" w:rsidP="00C824CB">
            <w:pPr>
              <w:rPr>
                <w:rFonts w:ascii="Arial" w:hAnsi="Arial" w:cs="Arial"/>
                <w:sz w:val="20"/>
                <w:szCs w:val="20"/>
                <w:lang w:eastAsia="ja-JP"/>
              </w:rPr>
            </w:pPr>
          </w:p>
        </w:tc>
        <w:tc>
          <w:tcPr>
            <w:tcW w:w="0" w:type="auto"/>
            <w:vAlign w:val="center"/>
          </w:tcPr>
          <w:p w14:paraId="55567BFD" w14:textId="77777777" w:rsidR="00C824CB" w:rsidRPr="00C824CB" w:rsidRDefault="00C824CB" w:rsidP="00C824CB">
            <w:pPr>
              <w:rPr>
                <w:rFonts w:ascii="Arial" w:hAnsi="Arial" w:cs="Arial"/>
                <w:sz w:val="20"/>
                <w:szCs w:val="20"/>
                <w:lang w:eastAsia="ja-JP"/>
              </w:rPr>
            </w:pPr>
            <w:r w:rsidRPr="00C824CB">
              <w:rPr>
                <w:rFonts w:ascii="Arial" w:eastAsia="Times New Roman" w:hAnsi="Arial" w:cs="Arial"/>
                <w:sz w:val="20"/>
                <w:szCs w:val="20"/>
                <w:lang w:eastAsia="ja-JP"/>
              </w:rPr>
              <w:t>OR [95%CI]</w:t>
            </w:r>
          </w:p>
        </w:tc>
        <w:tc>
          <w:tcPr>
            <w:tcW w:w="0" w:type="auto"/>
            <w:vAlign w:val="center"/>
          </w:tcPr>
          <w:p w14:paraId="71DF82A2" w14:textId="77777777" w:rsidR="00C824CB" w:rsidRPr="00C824CB" w:rsidRDefault="00C824CB" w:rsidP="00C824CB">
            <w:pPr>
              <w:rPr>
                <w:rFonts w:ascii="Arial" w:hAnsi="Arial" w:cs="Arial"/>
                <w:sz w:val="20"/>
                <w:szCs w:val="20"/>
                <w:lang w:eastAsia="ja-JP"/>
              </w:rPr>
            </w:pPr>
            <w:r w:rsidRPr="00C824CB">
              <w:rPr>
                <w:rFonts w:ascii="Arial" w:eastAsia="Times New Roman" w:hAnsi="Arial" w:cs="Arial"/>
                <w:sz w:val="20"/>
                <w:szCs w:val="20"/>
                <w:lang w:eastAsia="ja-JP"/>
              </w:rPr>
              <w:t>P-value</w:t>
            </w:r>
          </w:p>
        </w:tc>
        <w:tc>
          <w:tcPr>
            <w:tcW w:w="0" w:type="auto"/>
            <w:vAlign w:val="center"/>
          </w:tcPr>
          <w:p w14:paraId="26A36602" w14:textId="77777777" w:rsidR="00C824CB" w:rsidRPr="00C824CB" w:rsidRDefault="00C824CB" w:rsidP="00C824CB">
            <w:pPr>
              <w:rPr>
                <w:rFonts w:ascii="Arial" w:hAnsi="Arial" w:cs="Arial"/>
                <w:sz w:val="20"/>
                <w:szCs w:val="20"/>
                <w:lang w:eastAsia="ja-JP"/>
              </w:rPr>
            </w:pPr>
            <w:r w:rsidRPr="00C824CB">
              <w:rPr>
                <w:rFonts w:ascii="Arial" w:eastAsia="Times New Roman" w:hAnsi="Arial" w:cs="Arial"/>
                <w:sz w:val="20"/>
                <w:szCs w:val="20"/>
                <w:lang w:eastAsia="ja-JP"/>
              </w:rPr>
              <w:t>OR [95%CI]</w:t>
            </w:r>
          </w:p>
        </w:tc>
        <w:tc>
          <w:tcPr>
            <w:tcW w:w="0" w:type="auto"/>
            <w:vAlign w:val="center"/>
          </w:tcPr>
          <w:p w14:paraId="658D1698" w14:textId="77777777" w:rsidR="00C824CB" w:rsidRPr="00C824CB" w:rsidRDefault="00C824CB" w:rsidP="00C824CB">
            <w:pPr>
              <w:rPr>
                <w:rFonts w:ascii="Arial" w:hAnsi="Arial" w:cs="Arial"/>
                <w:sz w:val="20"/>
                <w:szCs w:val="20"/>
                <w:lang w:eastAsia="ja-JP"/>
              </w:rPr>
            </w:pPr>
            <w:r w:rsidRPr="00C824CB">
              <w:rPr>
                <w:rFonts w:ascii="Arial" w:eastAsia="Times New Roman" w:hAnsi="Arial" w:cs="Arial"/>
                <w:sz w:val="20"/>
                <w:szCs w:val="20"/>
                <w:lang w:eastAsia="ja-JP"/>
              </w:rPr>
              <w:t>P-value</w:t>
            </w:r>
          </w:p>
        </w:tc>
        <w:tc>
          <w:tcPr>
            <w:tcW w:w="0" w:type="auto"/>
            <w:vAlign w:val="center"/>
          </w:tcPr>
          <w:p w14:paraId="70A8A413" w14:textId="77777777" w:rsidR="00C824CB" w:rsidRPr="00C824CB" w:rsidRDefault="00C824CB" w:rsidP="00C824CB">
            <w:pPr>
              <w:rPr>
                <w:rFonts w:ascii="Arial" w:hAnsi="Arial" w:cs="Arial"/>
                <w:sz w:val="20"/>
                <w:szCs w:val="20"/>
                <w:lang w:eastAsia="ja-JP"/>
              </w:rPr>
            </w:pPr>
            <w:r w:rsidRPr="00C824CB">
              <w:rPr>
                <w:rFonts w:ascii="Arial" w:eastAsia="Times New Roman" w:hAnsi="Arial" w:cs="Arial"/>
                <w:sz w:val="20"/>
                <w:szCs w:val="20"/>
                <w:lang w:eastAsia="ja-JP"/>
              </w:rPr>
              <w:t>OR [95%CI]</w:t>
            </w:r>
          </w:p>
        </w:tc>
        <w:tc>
          <w:tcPr>
            <w:tcW w:w="0" w:type="auto"/>
            <w:vAlign w:val="center"/>
          </w:tcPr>
          <w:p w14:paraId="10AB6B76" w14:textId="77777777" w:rsidR="00C824CB" w:rsidRPr="00C824CB" w:rsidRDefault="00C824CB" w:rsidP="00C824CB">
            <w:pPr>
              <w:rPr>
                <w:rFonts w:ascii="Arial" w:hAnsi="Arial" w:cs="Arial"/>
                <w:sz w:val="20"/>
                <w:szCs w:val="20"/>
                <w:lang w:eastAsia="ja-JP"/>
              </w:rPr>
            </w:pPr>
            <w:r w:rsidRPr="00C824CB">
              <w:rPr>
                <w:rFonts w:ascii="Arial" w:eastAsia="Times New Roman" w:hAnsi="Arial" w:cs="Arial"/>
                <w:sz w:val="20"/>
                <w:szCs w:val="20"/>
                <w:lang w:eastAsia="ja-JP"/>
              </w:rPr>
              <w:t>P-value</w:t>
            </w:r>
          </w:p>
        </w:tc>
        <w:tc>
          <w:tcPr>
            <w:tcW w:w="0" w:type="auto"/>
            <w:vAlign w:val="center"/>
          </w:tcPr>
          <w:p w14:paraId="1B463967" w14:textId="77777777" w:rsidR="00C824CB" w:rsidRPr="00C824CB" w:rsidRDefault="00C824CB" w:rsidP="00C824CB">
            <w:pPr>
              <w:rPr>
                <w:rFonts w:ascii="Arial" w:hAnsi="Arial" w:cs="Arial"/>
                <w:sz w:val="20"/>
                <w:szCs w:val="20"/>
                <w:lang w:eastAsia="ja-JP"/>
              </w:rPr>
            </w:pPr>
            <w:r w:rsidRPr="00C824CB">
              <w:rPr>
                <w:rFonts w:ascii="Arial" w:eastAsia="Times New Roman" w:hAnsi="Arial" w:cs="Arial"/>
                <w:sz w:val="20"/>
                <w:szCs w:val="20"/>
                <w:lang w:eastAsia="ja-JP"/>
              </w:rPr>
              <w:t>%</w:t>
            </w:r>
            <w:proofErr w:type="spellStart"/>
            <w:r w:rsidRPr="00C824CB">
              <w:rPr>
                <w:rFonts w:ascii="Arial" w:eastAsia="Times New Roman" w:hAnsi="Arial" w:cs="Arial"/>
                <w:sz w:val="20"/>
                <w:szCs w:val="20"/>
                <w:lang w:eastAsia="ja-JP"/>
              </w:rPr>
              <w:t>Mediated</w:t>
            </w:r>
            <w:proofErr w:type="spellEnd"/>
          </w:p>
        </w:tc>
      </w:tr>
      <w:tr w:rsidR="00C824CB" w:rsidRPr="00C824CB" w14:paraId="691A0B9F" w14:textId="77777777" w:rsidTr="001A09CA">
        <w:tc>
          <w:tcPr>
            <w:tcW w:w="2410" w:type="dxa"/>
            <w:vAlign w:val="center"/>
          </w:tcPr>
          <w:p w14:paraId="6DBBFA8E"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 xml:space="preserve">Marital </w:t>
            </w:r>
            <w:proofErr w:type="spellStart"/>
            <w:r w:rsidRPr="00C824CB">
              <w:rPr>
                <w:rFonts w:ascii="Arial" w:hAnsi="Arial" w:cs="Arial"/>
                <w:sz w:val="20"/>
                <w:szCs w:val="20"/>
                <w:lang w:eastAsia="ja-JP"/>
              </w:rPr>
              <w:t>status</w:t>
            </w:r>
            <w:proofErr w:type="spellEnd"/>
          </w:p>
        </w:tc>
        <w:tc>
          <w:tcPr>
            <w:tcW w:w="0" w:type="auto"/>
            <w:vAlign w:val="center"/>
          </w:tcPr>
          <w:p w14:paraId="5F880CE6"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1.54 [1.44,1.64]</w:t>
            </w:r>
          </w:p>
        </w:tc>
        <w:tc>
          <w:tcPr>
            <w:tcW w:w="0" w:type="auto"/>
            <w:vAlign w:val="center"/>
          </w:tcPr>
          <w:p w14:paraId="0163C26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6B24A926"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1.49 [1.39,1.58]</w:t>
            </w:r>
          </w:p>
        </w:tc>
        <w:tc>
          <w:tcPr>
            <w:tcW w:w="0" w:type="auto"/>
            <w:vAlign w:val="center"/>
          </w:tcPr>
          <w:p w14:paraId="787A138F"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7E4D4AF5"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1.04 [1.03,1.05]</w:t>
            </w:r>
          </w:p>
        </w:tc>
        <w:tc>
          <w:tcPr>
            <w:tcW w:w="0" w:type="auto"/>
            <w:vAlign w:val="center"/>
          </w:tcPr>
          <w:p w14:paraId="76419C80"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4E1DD24F"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8.4</w:t>
            </w:r>
          </w:p>
        </w:tc>
      </w:tr>
      <w:tr w:rsidR="00C824CB" w:rsidRPr="00C824CB" w14:paraId="41BFB674" w14:textId="77777777" w:rsidTr="001A09CA">
        <w:tc>
          <w:tcPr>
            <w:tcW w:w="2410" w:type="dxa"/>
            <w:vAlign w:val="center"/>
          </w:tcPr>
          <w:p w14:paraId="273CB452"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Qualification</w:t>
            </w:r>
          </w:p>
        </w:tc>
        <w:tc>
          <w:tcPr>
            <w:tcW w:w="0" w:type="auto"/>
            <w:vAlign w:val="center"/>
          </w:tcPr>
          <w:p w14:paraId="5EDE744C"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1.52 [1.43,1.63]</w:t>
            </w:r>
          </w:p>
        </w:tc>
        <w:tc>
          <w:tcPr>
            <w:tcW w:w="0" w:type="auto"/>
            <w:vAlign w:val="center"/>
          </w:tcPr>
          <w:p w14:paraId="17205E87"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4FD72F7E"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1.45 [1.35,1.56]</w:t>
            </w:r>
          </w:p>
        </w:tc>
        <w:tc>
          <w:tcPr>
            <w:tcW w:w="0" w:type="auto"/>
            <w:vAlign w:val="center"/>
          </w:tcPr>
          <w:p w14:paraId="0D45D56F"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4B19C2F0"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1.05 [1.03,1.08]</w:t>
            </w:r>
          </w:p>
        </w:tc>
        <w:tc>
          <w:tcPr>
            <w:tcW w:w="0" w:type="auto"/>
            <w:vAlign w:val="center"/>
          </w:tcPr>
          <w:p w14:paraId="36585332"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757C6F1E"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11.6</w:t>
            </w:r>
          </w:p>
        </w:tc>
      </w:tr>
      <w:tr w:rsidR="00C824CB" w:rsidRPr="00C824CB" w14:paraId="1678A8FA" w14:textId="77777777" w:rsidTr="001A09CA">
        <w:tc>
          <w:tcPr>
            <w:tcW w:w="2410" w:type="dxa"/>
            <w:vAlign w:val="center"/>
          </w:tcPr>
          <w:p w14:paraId="72C750FC"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Social class</w:t>
            </w:r>
          </w:p>
        </w:tc>
        <w:tc>
          <w:tcPr>
            <w:tcW w:w="0" w:type="auto"/>
            <w:vAlign w:val="center"/>
          </w:tcPr>
          <w:p w14:paraId="637AD35F"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1.53 [1.43,1.63]</w:t>
            </w:r>
          </w:p>
        </w:tc>
        <w:tc>
          <w:tcPr>
            <w:tcW w:w="0" w:type="auto"/>
            <w:vAlign w:val="center"/>
          </w:tcPr>
          <w:p w14:paraId="7A0BDF37"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347F3CEA"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1.42 [1.32,1.52]</w:t>
            </w:r>
          </w:p>
        </w:tc>
        <w:tc>
          <w:tcPr>
            <w:tcW w:w="0" w:type="auto"/>
            <w:vAlign w:val="center"/>
          </w:tcPr>
          <w:p w14:paraId="1050A145"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004799C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1.08 [1.05,1.10]</w:t>
            </w:r>
          </w:p>
        </w:tc>
        <w:tc>
          <w:tcPr>
            <w:tcW w:w="0" w:type="auto"/>
            <w:vAlign w:val="center"/>
          </w:tcPr>
          <w:p w14:paraId="55E231BE"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619B1B7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18.0</w:t>
            </w:r>
          </w:p>
        </w:tc>
      </w:tr>
      <w:tr w:rsidR="00C824CB" w:rsidRPr="00C824CB" w14:paraId="5CDEB2DA" w14:textId="77777777" w:rsidTr="001A09CA">
        <w:tc>
          <w:tcPr>
            <w:tcW w:w="2410" w:type="dxa"/>
            <w:vAlign w:val="center"/>
          </w:tcPr>
          <w:p w14:paraId="2DF73A04" w14:textId="77777777" w:rsidR="00C824CB" w:rsidRPr="00C824CB" w:rsidRDefault="00C824CB" w:rsidP="00C824CB">
            <w:pPr>
              <w:rPr>
                <w:rFonts w:ascii="Arial" w:hAnsi="Arial" w:cs="Arial"/>
                <w:sz w:val="20"/>
                <w:szCs w:val="20"/>
                <w:lang w:eastAsia="ja-JP"/>
              </w:rPr>
            </w:pPr>
            <w:proofErr w:type="spellStart"/>
            <w:r w:rsidRPr="00C824CB">
              <w:rPr>
                <w:rFonts w:ascii="Arial" w:hAnsi="Arial" w:cs="Arial"/>
                <w:sz w:val="20"/>
                <w:szCs w:val="20"/>
                <w:lang w:eastAsia="ja-JP"/>
              </w:rPr>
              <w:t>Income</w:t>
            </w:r>
            <w:proofErr w:type="spellEnd"/>
          </w:p>
        </w:tc>
        <w:tc>
          <w:tcPr>
            <w:tcW w:w="0" w:type="auto"/>
            <w:vAlign w:val="center"/>
          </w:tcPr>
          <w:p w14:paraId="007971F7"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1.56 [1.45,1.68]</w:t>
            </w:r>
          </w:p>
        </w:tc>
        <w:tc>
          <w:tcPr>
            <w:tcW w:w="0" w:type="auto"/>
            <w:vAlign w:val="center"/>
          </w:tcPr>
          <w:p w14:paraId="4E15C149"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33A4DBF9"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1.39 [1.28,1.49]</w:t>
            </w:r>
          </w:p>
        </w:tc>
        <w:tc>
          <w:tcPr>
            <w:tcW w:w="0" w:type="auto"/>
            <w:vAlign w:val="center"/>
          </w:tcPr>
          <w:p w14:paraId="5697A537"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12AA0CF2"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1.13 [1.10,1.16]</w:t>
            </w:r>
          </w:p>
        </w:tc>
        <w:tc>
          <w:tcPr>
            <w:tcW w:w="0" w:type="auto"/>
            <w:vAlign w:val="center"/>
          </w:tcPr>
          <w:p w14:paraId="20BF4ADA"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65A743BE"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26.9</w:t>
            </w:r>
          </w:p>
        </w:tc>
      </w:tr>
      <w:tr w:rsidR="00C824CB" w:rsidRPr="00C824CB" w14:paraId="71F956A2" w14:textId="77777777" w:rsidTr="001A09CA">
        <w:tc>
          <w:tcPr>
            <w:tcW w:w="2410" w:type="dxa"/>
            <w:vAlign w:val="center"/>
          </w:tcPr>
          <w:p w14:paraId="66804570" w14:textId="77777777" w:rsidR="00C824CB" w:rsidRPr="00C824CB" w:rsidRDefault="00C824CB" w:rsidP="00C824CB">
            <w:pPr>
              <w:rPr>
                <w:rFonts w:ascii="Arial" w:hAnsi="Arial" w:cs="Arial"/>
                <w:sz w:val="20"/>
                <w:szCs w:val="20"/>
                <w:lang w:eastAsia="ja-JP"/>
              </w:rPr>
            </w:pPr>
            <w:proofErr w:type="spellStart"/>
            <w:r w:rsidRPr="00C824CB">
              <w:rPr>
                <w:rFonts w:ascii="Arial" w:hAnsi="Arial" w:cs="Arial"/>
                <w:sz w:val="20"/>
                <w:szCs w:val="20"/>
                <w:lang w:eastAsia="ja-JP"/>
              </w:rPr>
              <w:t>Obesity</w:t>
            </w:r>
            <w:proofErr w:type="spellEnd"/>
          </w:p>
        </w:tc>
        <w:tc>
          <w:tcPr>
            <w:tcW w:w="0" w:type="auto"/>
            <w:vAlign w:val="center"/>
          </w:tcPr>
          <w:p w14:paraId="61F4B745"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1.52 [1.42,1.63]</w:t>
            </w:r>
          </w:p>
        </w:tc>
        <w:tc>
          <w:tcPr>
            <w:tcW w:w="0" w:type="auto"/>
            <w:vAlign w:val="center"/>
          </w:tcPr>
          <w:p w14:paraId="0427CD4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05F9DB68"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1.51 [1.41,1.61]</w:t>
            </w:r>
          </w:p>
        </w:tc>
        <w:tc>
          <w:tcPr>
            <w:tcW w:w="0" w:type="auto"/>
            <w:vAlign w:val="center"/>
          </w:tcPr>
          <w:p w14:paraId="5D62DF60"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3520415D"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1.01 [1.00,1.02]</w:t>
            </w:r>
          </w:p>
        </w:tc>
        <w:tc>
          <w:tcPr>
            <w:tcW w:w="0" w:type="auto"/>
            <w:vAlign w:val="center"/>
          </w:tcPr>
          <w:p w14:paraId="31785E4F"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71C6C826"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2.4</w:t>
            </w:r>
          </w:p>
        </w:tc>
      </w:tr>
      <w:tr w:rsidR="00C824CB" w:rsidRPr="00C824CB" w14:paraId="68ADD64B" w14:textId="77777777" w:rsidTr="001A09CA">
        <w:tc>
          <w:tcPr>
            <w:tcW w:w="2410" w:type="dxa"/>
            <w:vAlign w:val="center"/>
          </w:tcPr>
          <w:p w14:paraId="057D765F"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 xml:space="preserve">Smoking </w:t>
            </w:r>
            <w:proofErr w:type="spellStart"/>
            <w:r w:rsidRPr="00C824CB">
              <w:rPr>
                <w:rFonts w:ascii="Arial" w:hAnsi="Arial" w:cs="Arial"/>
                <w:sz w:val="20"/>
                <w:szCs w:val="20"/>
                <w:lang w:eastAsia="ja-JP"/>
              </w:rPr>
              <w:t>status</w:t>
            </w:r>
            <w:proofErr w:type="spellEnd"/>
          </w:p>
        </w:tc>
        <w:tc>
          <w:tcPr>
            <w:tcW w:w="0" w:type="auto"/>
            <w:vAlign w:val="center"/>
          </w:tcPr>
          <w:p w14:paraId="3932D52E"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1.53 [1.44,1.63]</w:t>
            </w:r>
          </w:p>
        </w:tc>
        <w:tc>
          <w:tcPr>
            <w:tcW w:w="0" w:type="auto"/>
            <w:vAlign w:val="center"/>
          </w:tcPr>
          <w:p w14:paraId="6E29282A"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3BF6C706"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1.52 [1.43,1.62]</w:t>
            </w:r>
          </w:p>
        </w:tc>
        <w:tc>
          <w:tcPr>
            <w:tcW w:w="0" w:type="auto"/>
            <w:vAlign w:val="center"/>
          </w:tcPr>
          <w:p w14:paraId="053DFD16"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3622E88B"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1.01 [1.00,1.01]</w:t>
            </w:r>
          </w:p>
        </w:tc>
        <w:tc>
          <w:tcPr>
            <w:tcW w:w="0" w:type="auto"/>
            <w:vAlign w:val="center"/>
          </w:tcPr>
          <w:p w14:paraId="743FF522"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0.008</w:t>
            </w:r>
          </w:p>
        </w:tc>
        <w:tc>
          <w:tcPr>
            <w:tcW w:w="0" w:type="auto"/>
            <w:vAlign w:val="center"/>
          </w:tcPr>
          <w:p w14:paraId="54AC14FB"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1.4</w:t>
            </w:r>
          </w:p>
        </w:tc>
      </w:tr>
      <w:tr w:rsidR="00C824CB" w:rsidRPr="00C824CB" w14:paraId="0D5BB3D0" w14:textId="77777777" w:rsidTr="001A09CA">
        <w:tc>
          <w:tcPr>
            <w:tcW w:w="2410" w:type="dxa"/>
            <w:vAlign w:val="center"/>
          </w:tcPr>
          <w:p w14:paraId="7002F7C6" w14:textId="77777777" w:rsidR="00C824CB" w:rsidRPr="00C824CB" w:rsidRDefault="00C824CB" w:rsidP="00C824CB">
            <w:pPr>
              <w:rPr>
                <w:rFonts w:ascii="Arial" w:hAnsi="Arial" w:cs="Arial"/>
                <w:sz w:val="20"/>
                <w:szCs w:val="20"/>
                <w:lang w:eastAsia="ja-JP"/>
              </w:rPr>
            </w:pPr>
            <w:proofErr w:type="spellStart"/>
            <w:r w:rsidRPr="00C824CB">
              <w:rPr>
                <w:rFonts w:ascii="Arial" w:hAnsi="Arial" w:cs="Arial"/>
                <w:sz w:val="20"/>
                <w:szCs w:val="20"/>
                <w:lang w:eastAsia="ja-JP"/>
              </w:rPr>
              <w:t>Alcohol</w:t>
            </w:r>
            <w:proofErr w:type="spellEnd"/>
            <w:r w:rsidRPr="00C824CB">
              <w:rPr>
                <w:rFonts w:ascii="Arial" w:hAnsi="Arial" w:cs="Arial"/>
                <w:sz w:val="20"/>
                <w:szCs w:val="20"/>
                <w:lang w:eastAsia="ja-JP"/>
              </w:rPr>
              <w:t xml:space="preserve"> </w:t>
            </w:r>
            <w:proofErr w:type="spellStart"/>
            <w:r w:rsidRPr="00C824CB">
              <w:rPr>
                <w:rFonts w:ascii="Arial" w:hAnsi="Arial" w:cs="Arial"/>
                <w:sz w:val="20"/>
                <w:szCs w:val="20"/>
                <w:lang w:eastAsia="ja-JP"/>
              </w:rPr>
              <w:t>dependence</w:t>
            </w:r>
            <w:proofErr w:type="spellEnd"/>
          </w:p>
        </w:tc>
        <w:tc>
          <w:tcPr>
            <w:tcW w:w="0" w:type="auto"/>
            <w:vAlign w:val="center"/>
          </w:tcPr>
          <w:p w14:paraId="3CE862C9"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1.53 [1.43,1.63]</w:t>
            </w:r>
          </w:p>
        </w:tc>
        <w:tc>
          <w:tcPr>
            <w:tcW w:w="0" w:type="auto"/>
            <w:vAlign w:val="center"/>
          </w:tcPr>
          <w:p w14:paraId="3A229C9A"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5CDE82C8"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1.53 [1.43,1.63]</w:t>
            </w:r>
          </w:p>
        </w:tc>
        <w:tc>
          <w:tcPr>
            <w:tcW w:w="0" w:type="auto"/>
            <w:vAlign w:val="center"/>
          </w:tcPr>
          <w:p w14:paraId="5F4C0D65"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03AAB443"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1.00 [1.00,1.00]</w:t>
            </w:r>
          </w:p>
        </w:tc>
        <w:tc>
          <w:tcPr>
            <w:tcW w:w="0" w:type="auto"/>
            <w:vAlign w:val="center"/>
          </w:tcPr>
          <w:p w14:paraId="46D21647"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0.828</w:t>
            </w:r>
          </w:p>
        </w:tc>
        <w:tc>
          <w:tcPr>
            <w:tcW w:w="0" w:type="auto"/>
            <w:vAlign w:val="center"/>
          </w:tcPr>
          <w:p w14:paraId="04AD7485" w14:textId="77777777" w:rsidR="00C824CB" w:rsidRPr="00C824CB" w:rsidRDefault="00C824CB" w:rsidP="00C824CB">
            <w:pPr>
              <w:rPr>
                <w:rFonts w:ascii="Arial" w:hAnsi="Arial" w:cs="Arial"/>
                <w:sz w:val="20"/>
                <w:szCs w:val="20"/>
                <w:lang w:eastAsia="ja-JP"/>
              </w:rPr>
            </w:pPr>
            <w:proofErr w:type="spellStart"/>
            <w:r w:rsidRPr="00C824CB">
              <w:rPr>
                <w:rFonts w:ascii="Arial" w:hAnsi="Arial" w:cs="Arial"/>
                <w:sz w:val="20"/>
                <w:szCs w:val="20"/>
                <w:lang w:eastAsia="ja-JP"/>
              </w:rPr>
              <w:t>NA</w:t>
            </w:r>
            <w:r w:rsidRPr="00C824CB">
              <w:rPr>
                <w:rFonts w:ascii="Arial" w:hAnsi="Arial" w:cs="Arial"/>
                <w:sz w:val="20"/>
                <w:szCs w:val="20"/>
                <w:vertAlign w:val="superscript"/>
                <w:lang w:eastAsia="ja-JP"/>
              </w:rPr>
              <w:t>a</w:t>
            </w:r>
            <w:proofErr w:type="spellEnd"/>
          </w:p>
        </w:tc>
      </w:tr>
      <w:tr w:rsidR="00C824CB" w:rsidRPr="00C824CB" w14:paraId="1E47BEB3" w14:textId="77777777" w:rsidTr="001A09CA">
        <w:tc>
          <w:tcPr>
            <w:tcW w:w="2410" w:type="dxa"/>
            <w:vAlign w:val="center"/>
          </w:tcPr>
          <w:p w14:paraId="120DED76"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Drug use</w:t>
            </w:r>
          </w:p>
        </w:tc>
        <w:tc>
          <w:tcPr>
            <w:tcW w:w="0" w:type="auto"/>
            <w:vAlign w:val="center"/>
          </w:tcPr>
          <w:p w14:paraId="3B5B728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1.54 [1.44,1.64]</w:t>
            </w:r>
          </w:p>
        </w:tc>
        <w:tc>
          <w:tcPr>
            <w:tcW w:w="0" w:type="auto"/>
            <w:vAlign w:val="center"/>
          </w:tcPr>
          <w:p w14:paraId="3E447FE7"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64EB8DDE"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1.54 [1.44,1.64]</w:t>
            </w:r>
          </w:p>
        </w:tc>
        <w:tc>
          <w:tcPr>
            <w:tcW w:w="0" w:type="auto"/>
            <w:vAlign w:val="center"/>
          </w:tcPr>
          <w:p w14:paraId="3BAE6C65"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2D812400"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1.00 [0.99,1.01]</w:t>
            </w:r>
          </w:p>
        </w:tc>
        <w:tc>
          <w:tcPr>
            <w:tcW w:w="0" w:type="auto"/>
            <w:vAlign w:val="center"/>
          </w:tcPr>
          <w:p w14:paraId="4E4EEE83"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0.922</w:t>
            </w:r>
          </w:p>
        </w:tc>
        <w:tc>
          <w:tcPr>
            <w:tcW w:w="0" w:type="auto"/>
            <w:vAlign w:val="center"/>
          </w:tcPr>
          <w:p w14:paraId="4521019D" w14:textId="77777777" w:rsidR="00C824CB" w:rsidRPr="00C824CB" w:rsidRDefault="00C824CB" w:rsidP="00C824CB">
            <w:pPr>
              <w:rPr>
                <w:rFonts w:ascii="Arial" w:hAnsi="Arial" w:cs="Arial"/>
                <w:sz w:val="20"/>
                <w:szCs w:val="20"/>
                <w:lang w:eastAsia="ja-JP"/>
              </w:rPr>
            </w:pPr>
            <w:proofErr w:type="spellStart"/>
            <w:r w:rsidRPr="00C824CB">
              <w:rPr>
                <w:rFonts w:ascii="Arial" w:hAnsi="Arial" w:cs="Arial"/>
                <w:sz w:val="20"/>
                <w:szCs w:val="20"/>
                <w:lang w:eastAsia="ja-JP"/>
              </w:rPr>
              <w:t>NA</w:t>
            </w:r>
            <w:r w:rsidRPr="00C824CB">
              <w:rPr>
                <w:rFonts w:ascii="Arial" w:hAnsi="Arial" w:cs="Arial"/>
                <w:sz w:val="20"/>
                <w:szCs w:val="20"/>
                <w:vertAlign w:val="superscript"/>
                <w:lang w:eastAsia="ja-JP"/>
              </w:rPr>
              <w:t>a</w:t>
            </w:r>
            <w:proofErr w:type="spellEnd"/>
          </w:p>
        </w:tc>
      </w:tr>
      <w:tr w:rsidR="00C824CB" w:rsidRPr="00C824CB" w14:paraId="0AF4D449" w14:textId="77777777" w:rsidTr="001A09CA">
        <w:tc>
          <w:tcPr>
            <w:tcW w:w="2410" w:type="dxa"/>
            <w:vAlign w:val="center"/>
          </w:tcPr>
          <w:p w14:paraId="416BAAA0"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Social support</w:t>
            </w:r>
          </w:p>
        </w:tc>
        <w:tc>
          <w:tcPr>
            <w:tcW w:w="0" w:type="auto"/>
            <w:vAlign w:val="center"/>
          </w:tcPr>
          <w:p w14:paraId="5A7D8E8B"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1.53 [1.44,1.64]</w:t>
            </w:r>
          </w:p>
        </w:tc>
        <w:tc>
          <w:tcPr>
            <w:tcW w:w="0" w:type="auto"/>
            <w:vAlign w:val="center"/>
          </w:tcPr>
          <w:p w14:paraId="1DD26335"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2B34B3A2"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1.49 [1.40,1.59]</w:t>
            </w:r>
          </w:p>
        </w:tc>
        <w:tc>
          <w:tcPr>
            <w:tcW w:w="0" w:type="auto"/>
            <w:vAlign w:val="center"/>
          </w:tcPr>
          <w:p w14:paraId="1FDC1D5A"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5A5ED4D1"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1.03 [1.02,1.04]</w:t>
            </w:r>
          </w:p>
        </w:tc>
        <w:tc>
          <w:tcPr>
            <w:tcW w:w="0" w:type="auto"/>
            <w:vAlign w:val="center"/>
          </w:tcPr>
          <w:p w14:paraId="03174EF0"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&lt;0.001</w:t>
            </w:r>
          </w:p>
        </w:tc>
        <w:tc>
          <w:tcPr>
            <w:tcW w:w="0" w:type="auto"/>
            <w:vAlign w:val="center"/>
          </w:tcPr>
          <w:p w14:paraId="303C0E14" w14:textId="77777777" w:rsidR="00C824CB" w:rsidRPr="00C824CB" w:rsidRDefault="00C824CB" w:rsidP="00C824CB">
            <w:pPr>
              <w:rPr>
                <w:rFonts w:ascii="Arial" w:hAnsi="Arial" w:cs="Arial"/>
                <w:sz w:val="20"/>
                <w:szCs w:val="20"/>
                <w:lang w:eastAsia="ja-JP"/>
              </w:rPr>
            </w:pPr>
            <w:r w:rsidRPr="00C824CB">
              <w:rPr>
                <w:rFonts w:ascii="Arial" w:hAnsi="Arial" w:cs="Arial"/>
                <w:sz w:val="20"/>
                <w:szCs w:val="20"/>
                <w:lang w:eastAsia="ja-JP"/>
              </w:rPr>
              <w:t>6.1</w:t>
            </w:r>
          </w:p>
        </w:tc>
      </w:tr>
    </w:tbl>
    <w:p w14:paraId="6D80B5C8" w14:textId="77777777" w:rsidR="00C824CB" w:rsidRPr="00C824CB" w:rsidRDefault="00C824CB" w:rsidP="00C824CB">
      <w:pPr>
        <w:jc w:val="both"/>
        <w:rPr>
          <w:rFonts w:ascii="Arial" w:hAnsi="Arial" w:cs="Arial"/>
          <w:sz w:val="18"/>
          <w:szCs w:val="18"/>
          <w:lang w:eastAsia="ja-JP"/>
        </w:rPr>
      </w:pPr>
      <w:r w:rsidRPr="00C824CB">
        <w:rPr>
          <w:rFonts w:ascii="Arial" w:hAnsi="Arial" w:cs="Arial"/>
          <w:sz w:val="18"/>
          <w:szCs w:val="18"/>
          <w:lang w:eastAsia="ja-JP"/>
        </w:rPr>
        <w:t>Abbreviations: OR Odds ratio; CI Confidence interval.</w:t>
      </w:r>
    </w:p>
    <w:p w14:paraId="7DCA9B82" w14:textId="77777777" w:rsidR="00C824CB" w:rsidRPr="00C824CB" w:rsidRDefault="00C824CB" w:rsidP="00C824CB">
      <w:pPr>
        <w:jc w:val="both"/>
        <w:rPr>
          <w:rFonts w:ascii="Arial" w:hAnsi="Arial" w:cs="Arial"/>
          <w:sz w:val="18"/>
          <w:szCs w:val="18"/>
          <w:lang w:eastAsia="ja-JP"/>
        </w:rPr>
      </w:pPr>
      <w:r w:rsidRPr="00C824CB">
        <w:rPr>
          <w:rFonts w:ascii="Arial" w:hAnsi="Arial" w:cs="Arial"/>
          <w:sz w:val="18"/>
          <w:szCs w:val="18"/>
          <w:lang w:eastAsia="ja-JP"/>
        </w:rPr>
        <w:t>Intelligence quotient (IQ) was assessed using the National Adult Reading Test (NART). The standardized continuous IQ variable was used as the exposure variable. Thus, the OR represents the change in OR associated with a 1 standard deviation decrease in IQ scores.</w:t>
      </w:r>
    </w:p>
    <w:p w14:paraId="60BCD31E" w14:textId="77777777" w:rsidR="00C824CB" w:rsidRPr="00C824CB" w:rsidRDefault="00C824CB" w:rsidP="00C824CB">
      <w:pPr>
        <w:jc w:val="both"/>
        <w:rPr>
          <w:rFonts w:ascii="Arial" w:hAnsi="Arial" w:cs="Arial"/>
          <w:sz w:val="18"/>
          <w:szCs w:val="18"/>
          <w:lang w:eastAsia="ja-JP"/>
        </w:rPr>
      </w:pPr>
      <w:r w:rsidRPr="00C824CB">
        <w:rPr>
          <w:rFonts w:ascii="Arial" w:hAnsi="Arial" w:cs="Arial"/>
          <w:sz w:val="18"/>
          <w:szCs w:val="18"/>
          <w:lang w:eastAsia="ja-JP"/>
        </w:rPr>
        <w:t>Disability was assessed with seven questions about difficulties in activities of daily living (ADL) and instrumental activities of daily living (IADL) and referred to having difficulty in at least one of the seven items.</w:t>
      </w:r>
    </w:p>
    <w:p w14:paraId="46FC20B5" w14:textId="77777777" w:rsidR="00C824CB" w:rsidRPr="00C824CB" w:rsidRDefault="00C824CB" w:rsidP="00C824CB">
      <w:pPr>
        <w:jc w:val="both"/>
        <w:rPr>
          <w:rFonts w:ascii="Arial" w:hAnsi="Arial" w:cs="Arial"/>
          <w:sz w:val="18"/>
          <w:szCs w:val="18"/>
          <w:lang w:eastAsia="ja-JP"/>
        </w:rPr>
      </w:pPr>
      <w:r w:rsidRPr="00C824CB">
        <w:rPr>
          <w:rFonts w:ascii="Arial" w:hAnsi="Arial" w:cs="Arial"/>
          <w:sz w:val="18"/>
          <w:szCs w:val="18"/>
          <w:lang w:eastAsia="ja-JP"/>
        </w:rPr>
        <w:t>Model was adjusted for sex, age and ethnicity.</w:t>
      </w:r>
    </w:p>
    <w:p w14:paraId="517F8E6E" w14:textId="77777777" w:rsidR="00C824CB" w:rsidRPr="00C824CB" w:rsidRDefault="00C824CB" w:rsidP="00C824CB">
      <w:pPr>
        <w:jc w:val="both"/>
        <w:rPr>
          <w:rFonts w:ascii="Arial" w:hAnsi="Arial" w:cs="Arial"/>
          <w:sz w:val="18"/>
          <w:szCs w:val="18"/>
          <w:lang w:eastAsia="ja-JP"/>
        </w:rPr>
      </w:pPr>
      <w:r w:rsidRPr="00C824CB">
        <w:rPr>
          <w:rFonts w:ascii="Arial" w:hAnsi="Arial" w:cs="Arial"/>
          <w:sz w:val="18"/>
          <w:szCs w:val="18"/>
          <w:vertAlign w:val="superscript"/>
          <w:lang w:eastAsia="ja-JP"/>
        </w:rPr>
        <w:t>a</w:t>
      </w:r>
      <w:r w:rsidRPr="00C824CB">
        <w:rPr>
          <w:rFonts w:ascii="Arial" w:hAnsi="Arial" w:cs="Arial"/>
          <w:sz w:val="18"/>
          <w:szCs w:val="18"/>
          <w:lang w:eastAsia="ja-JP"/>
        </w:rPr>
        <w:t xml:space="preserve"> Mediated percentage was only calculated when the indirect effect was significant (P&lt;0.05).</w:t>
      </w:r>
    </w:p>
    <w:p w14:paraId="06F8D702" w14:textId="03761CB3" w:rsidR="00795721" w:rsidRPr="00C824CB" w:rsidRDefault="00795721" w:rsidP="00D342D9">
      <w:pPr>
        <w:widowControl w:val="0"/>
        <w:autoSpaceDE w:val="0"/>
        <w:autoSpaceDN w:val="0"/>
        <w:adjustRightInd w:val="0"/>
        <w:spacing w:line="480" w:lineRule="auto"/>
        <w:jc w:val="both"/>
        <w:rPr>
          <w:rFonts w:ascii="Arial" w:hAnsi="Arial" w:cs="Arial"/>
        </w:rPr>
      </w:pPr>
    </w:p>
    <w:p w14:paraId="7DB1B992" w14:textId="355A1AEA" w:rsidR="00350C06" w:rsidRPr="00C824CB" w:rsidRDefault="00CC5A15" w:rsidP="00D342D9">
      <w:pPr>
        <w:spacing w:line="480" w:lineRule="auto"/>
        <w:jc w:val="both"/>
        <w:rPr>
          <w:rFonts w:ascii="Arial" w:hAnsi="Arial" w:cs="Arial"/>
        </w:rPr>
      </w:pPr>
      <w:r w:rsidRPr="00C824CB">
        <w:rPr>
          <w:rFonts w:ascii="Arial" w:hAnsi="Arial" w:cs="Arial"/>
        </w:rPr>
        <w:fldChar w:fldCharType="end"/>
      </w:r>
    </w:p>
    <w:p w14:paraId="5CC75727" w14:textId="66674C55" w:rsidR="00C824CB" w:rsidRPr="00C824CB" w:rsidRDefault="00C824CB" w:rsidP="00D342D9">
      <w:pPr>
        <w:spacing w:line="480" w:lineRule="auto"/>
        <w:jc w:val="both"/>
        <w:rPr>
          <w:rFonts w:ascii="Arial" w:hAnsi="Arial" w:cs="Arial"/>
        </w:rPr>
      </w:pPr>
    </w:p>
    <w:p w14:paraId="23E83890" w14:textId="1ECEC46E" w:rsidR="00C824CB" w:rsidRPr="00C824CB" w:rsidRDefault="00C824CB" w:rsidP="00D342D9">
      <w:pPr>
        <w:spacing w:line="480" w:lineRule="auto"/>
        <w:jc w:val="both"/>
        <w:rPr>
          <w:rFonts w:ascii="Arial" w:hAnsi="Arial" w:cs="Arial"/>
        </w:rPr>
      </w:pPr>
    </w:p>
    <w:p w14:paraId="580243F1" w14:textId="77777777" w:rsidR="00C824CB" w:rsidRPr="00C824CB" w:rsidRDefault="00C824CB" w:rsidP="00D342D9">
      <w:pPr>
        <w:spacing w:line="480" w:lineRule="auto"/>
        <w:jc w:val="both"/>
        <w:rPr>
          <w:rFonts w:ascii="Arial" w:hAnsi="Arial" w:cs="Arial"/>
        </w:rPr>
        <w:sectPr w:rsidR="00C824CB" w:rsidRPr="00C824CB" w:rsidSect="00C824CB">
          <w:pgSz w:w="16840" w:h="11900" w:orient="landscape"/>
          <w:pgMar w:top="1440" w:right="1440" w:bottom="1440" w:left="1440" w:header="720" w:footer="720" w:gutter="0"/>
          <w:cols w:space="720"/>
          <w:docGrid w:linePitch="360"/>
        </w:sectPr>
      </w:pPr>
    </w:p>
    <w:p w14:paraId="69F5543B" w14:textId="77777777" w:rsidR="00C824CB" w:rsidRPr="00C824CB" w:rsidRDefault="00C824CB" w:rsidP="00C824CB">
      <w:pPr>
        <w:rPr>
          <w:rFonts w:asciiTheme="minorHAnsi" w:hAnsiTheme="minorHAnsi"/>
        </w:rPr>
      </w:pPr>
      <w:r w:rsidRPr="00C824CB">
        <w:rPr>
          <w:rFonts w:asciiTheme="minorHAnsi" w:hAnsiTheme="minorHAnsi"/>
          <w:noProof/>
        </w:rPr>
        <w:lastRenderedPageBreak/>
        <w:drawing>
          <wp:inline distT="0" distB="0" distL="0" distR="0" wp14:anchorId="54E49AA0" wp14:editId="610CCC7B">
            <wp:extent cx="5652000" cy="3537732"/>
            <wp:effectExtent l="0" t="0" r="12700" b="18415"/>
            <wp:docPr id="1" name="Graphique 1">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AD59EB" w14:textId="77777777" w:rsidR="00C824CB" w:rsidRPr="00C824CB" w:rsidRDefault="00C824CB" w:rsidP="00C824CB">
      <w:pPr>
        <w:spacing w:line="360" w:lineRule="auto"/>
        <w:jc w:val="both"/>
        <w:rPr>
          <w:rFonts w:ascii="Arial" w:hAnsi="Arial"/>
        </w:rPr>
      </w:pPr>
      <w:r w:rsidRPr="00C824CB">
        <w:rPr>
          <w:rFonts w:ascii="Arial" w:hAnsi="Arial"/>
          <w:b/>
        </w:rPr>
        <w:t>Figure 1.</w:t>
      </w:r>
      <w:r w:rsidRPr="00C824CB">
        <w:rPr>
          <w:rFonts w:ascii="Arial" w:hAnsi="Arial"/>
        </w:rPr>
        <w:t xml:space="preserve"> Prevalence of disability by intelligence quotient (IQ) score. </w:t>
      </w:r>
    </w:p>
    <w:p w14:paraId="2C5F30DD" w14:textId="77777777" w:rsidR="00C824CB" w:rsidRPr="00C824CB" w:rsidRDefault="00C824CB" w:rsidP="00C824CB">
      <w:pPr>
        <w:jc w:val="both"/>
        <w:rPr>
          <w:rFonts w:ascii="Arial" w:hAnsi="Arial" w:cs="Arial"/>
          <w:sz w:val="18"/>
          <w:szCs w:val="18"/>
        </w:rPr>
      </w:pPr>
      <w:r w:rsidRPr="00C824CB">
        <w:rPr>
          <w:rFonts w:ascii="Arial" w:hAnsi="Arial" w:cs="Arial"/>
          <w:sz w:val="18"/>
          <w:szCs w:val="18"/>
        </w:rPr>
        <w:t xml:space="preserve">IQ was assessed using the National Adult Reading Test (NART). </w:t>
      </w:r>
    </w:p>
    <w:p w14:paraId="5AE2535E" w14:textId="77777777" w:rsidR="00C824CB" w:rsidRPr="00C824CB" w:rsidRDefault="00C824CB" w:rsidP="00C824CB">
      <w:pPr>
        <w:jc w:val="both"/>
        <w:rPr>
          <w:rFonts w:ascii="Arial" w:hAnsi="Arial" w:cs="Arial"/>
          <w:sz w:val="18"/>
          <w:szCs w:val="18"/>
        </w:rPr>
      </w:pPr>
      <w:r w:rsidRPr="00C824CB">
        <w:rPr>
          <w:rFonts w:ascii="Arial" w:hAnsi="Arial" w:cs="Arial"/>
          <w:sz w:val="18"/>
          <w:szCs w:val="18"/>
        </w:rPr>
        <w:t>Disability was assessed with seven questions about difficulties in activities of daily living (ADL) and instrumental activities of daily living (IADL) and referred to having difficulty in at least one of the seven items.</w:t>
      </w:r>
    </w:p>
    <w:p w14:paraId="37A5291F" w14:textId="77777777" w:rsidR="00C824CB" w:rsidRPr="00C824CB" w:rsidRDefault="00C824CB" w:rsidP="00C824CB">
      <w:pPr>
        <w:rPr>
          <w:rFonts w:ascii="Arial" w:hAnsi="Arial"/>
        </w:rPr>
      </w:pPr>
      <w:r w:rsidRPr="00C824CB">
        <w:rPr>
          <w:rFonts w:ascii="Arial" w:hAnsi="Arial"/>
        </w:rPr>
        <w:br w:type="page"/>
      </w:r>
    </w:p>
    <w:p w14:paraId="56275A49" w14:textId="77777777" w:rsidR="00C824CB" w:rsidRPr="00C824CB" w:rsidRDefault="00C824CB" w:rsidP="00C824CB">
      <w:pPr>
        <w:jc w:val="both"/>
        <w:rPr>
          <w:rFonts w:ascii="Arial" w:hAnsi="Arial"/>
        </w:rPr>
      </w:pPr>
      <w:r w:rsidRPr="00C824CB">
        <w:rPr>
          <w:rFonts w:ascii="Arial" w:hAnsi="Arial"/>
          <w:noProof/>
        </w:rPr>
        <w:lastRenderedPageBreak/>
        <w:drawing>
          <wp:inline distT="0" distB="0" distL="0" distR="0" wp14:anchorId="430D7B27" wp14:editId="773A534B">
            <wp:extent cx="5270500" cy="37274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2.jpg"/>
                    <pic:cNvPicPr/>
                  </pic:nvPicPr>
                  <pic:blipFill>
                    <a:blip r:embed="rId12"/>
                    <a:stretch>
                      <a:fillRect/>
                    </a:stretch>
                  </pic:blipFill>
                  <pic:spPr>
                    <a:xfrm>
                      <a:off x="0" y="0"/>
                      <a:ext cx="5270500" cy="3727450"/>
                    </a:xfrm>
                    <a:prstGeom prst="rect">
                      <a:avLst/>
                    </a:prstGeom>
                  </pic:spPr>
                </pic:pic>
              </a:graphicData>
            </a:graphic>
          </wp:inline>
        </w:drawing>
      </w:r>
    </w:p>
    <w:p w14:paraId="3EBF7C0F" w14:textId="77777777" w:rsidR="00C824CB" w:rsidRPr="00C824CB" w:rsidRDefault="00C824CB" w:rsidP="00C824CB">
      <w:pPr>
        <w:spacing w:after="120"/>
        <w:jc w:val="both"/>
        <w:rPr>
          <w:rFonts w:ascii="Arial" w:hAnsi="Arial"/>
        </w:rPr>
      </w:pPr>
      <w:r w:rsidRPr="00C824CB">
        <w:rPr>
          <w:rFonts w:ascii="Arial" w:hAnsi="Arial"/>
          <w:b/>
        </w:rPr>
        <w:t>Figure 2.</w:t>
      </w:r>
      <w:r w:rsidRPr="00C824CB">
        <w:rPr>
          <w:rFonts w:ascii="Arial" w:hAnsi="Arial"/>
        </w:rPr>
        <w:t xml:space="preserve"> Association between intelligence quotient (IQ) and disability estimated by adjusted logistic regression. </w:t>
      </w:r>
    </w:p>
    <w:p w14:paraId="5307279C" w14:textId="77777777" w:rsidR="00C824CB" w:rsidRPr="00C824CB" w:rsidRDefault="00C824CB" w:rsidP="00C824CB">
      <w:pPr>
        <w:jc w:val="both"/>
        <w:rPr>
          <w:rFonts w:ascii="Arial" w:hAnsi="Arial"/>
          <w:sz w:val="18"/>
          <w:szCs w:val="18"/>
        </w:rPr>
      </w:pPr>
      <w:r w:rsidRPr="00C824CB">
        <w:rPr>
          <w:rFonts w:ascii="Arial" w:hAnsi="Arial"/>
          <w:sz w:val="18"/>
          <w:szCs w:val="18"/>
        </w:rPr>
        <w:t xml:space="preserve">Abbreviations: OR, odds ratio; CI, confidence interval. </w:t>
      </w:r>
    </w:p>
    <w:p w14:paraId="5487758B" w14:textId="77777777" w:rsidR="00C824CB" w:rsidRPr="00C824CB" w:rsidRDefault="00C824CB" w:rsidP="00C824CB">
      <w:pPr>
        <w:jc w:val="both"/>
        <w:rPr>
          <w:rFonts w:ascii="Arial" w:hAnsi="Arial"/>
          <w:sz w:val="18"/>
          <w:szCs w:val="18"/>
        </w:rPr>
      </w:pPr>
      <w:r w:rsidRPr="00C824CB">
        <w:rPr>
          <w:rFonts w:ascii="Arial" w:hAnsi="Arial" w:cs="Arial"/>
          <w:sz w:val="18"/>
          <w:szCs w:val="18"/>
        </w:rPr>
        <w:t xml:space="preserve">IQ was assessed using the National Adult Reading Test (NART). </w:t>
      </w:r>
      <w:r w:rsidRPr="00C824CB">
        <w:rPr>
          <w:rFonts w:ascii="Arial" w:hAnsi="Arial"/>
          <w:sz w:val="18"/>
          <w:szCs w:val="18"/>
        </w:rPr>
        <w:t xml:space="preserve">Reference category is IQ 120-129. </w:t>
      </w:r>
    </w:p>
    <w:p w14:paraId="6BB54895" w14:textId="77777777" w:rsidR="00C824CB" w:rsidRPr="00C824CB" w:rsidRDefault="00C824CB" w:rsidP="00C824CB">
      <w:pPr>
        <w:jc w:val="both"/>
        <w:rPr>
          <w:rFonts w:ascii="Arial" w:hAnsi="Arial" w:cs="Arial"/>
          <w:sz w:val="18"/>
          <w:szCs w:val="18"/>
        </w:rPr>
      </w:pPr>
      <w:r w:rsidRPr="00C824CB">
        <w:rPr>
          <w:rFonts w:ascii="Arial" w:hAnsi="Arial" w:cs="Arial"/>
          <w:sz w:val="18"/>
          <w:szCs w:val="18"/>
        </w:rPr>
        <w:t xml:space="preserve">Disability was assessed with seven questions about difficulties in activities of daily living (ADL) and instrumental activities of daily living (IADL). Disability was used as a binary variable (“0” coded as “0” and “≥1” coded as “1”). </w:t>
      </w:r>
    </w:p>
    <w:p w14:paraId="24AE7C55" w14:textId="77777777" w:rsidR="00C824CB" w:rsidRPr="00C824CB" w:rsidRDefault="00C824CB" w:rsidP="00C824CB">
      <w:pPr>
        <w:jc w:val="both"/>
        <w:rPr>
          <w:rFonts w:ascii="Arial" w:hAnsi="Arial" w:cs="Arial"/>
          <w:sz w:val="18"/>
          <w:szCs w:val="18"/>
        </w:rPr>
      </w:pPr>
      <w:r w:rsidRPr="00C824CB">
        <w:rPr>
          <w:rFonts w:ascii="Arial" w:hAnsi="Arial" w:cs="Arial"/>
          <w:sz w:val="18"/>
          <w:szCs w:val="18"/>
        </w:rPr>
        <w:t>The model was adjusted for sex, age and ethnicity.</w:t>
      </w:r>
      <w:bookmarkStart w:id="0" w:name="_GoBack"/>
      <w:bookmarkEnd w:id="0"/>
    </w:p>
    <w:p w14:paraId="7D527AD0" w14:textId="6ECA0A83" w:rsidR="00C824CB" w:rsidRDefault="00C824CB" w:rsidP="00D342D9">
      <w:pPr>
        <w:spacing w:line="480" w:lineRule="auto"/>
        <w:jc w:val="both"/>
        <w:rPr>
          <w:rFonts w:ascii="Arial" w:hAnsi="Arial" w:cs="Arial"/>
        </w:rPr>
      </w:pPr>
    </w:p>
    <w:p w14:paraId="554F5DD9" w14:textId="60D02BCA" w:rsidR="00C824CB" w:rsidRDefault="00C824CB" w:rsidP="00D342D9">
      <w:pPr>
        <w:spacing w:line="480" w:lineRule="auto"/>
        <w:jc w:val="both"/>
        <w:rPr>
          <w:rFonts w:ascii="Arial" w:hAnsi="Arial" w:cs="Arial"/>
        </w:rPr>
      </w:pPr>
    </w:p>
    <w:p w14:paraId="2D2CDC0B" w14:textId="2D026EE9" w:rsidR="00C824CB" w:rsidRDefault="00C824CB" w:rsidP="00D342D9">
      <w:pPr>
        <w:spacing w:line="480" w:lineRule="auto"/>
        <w:jc w:val="both"/>
        <w:rPr>
          <w:rFonts w:ascii="Arial" w:hAnsi="Arial" w:cs="Arial"/>
        </w:rPr>
      </w:pPr>
    </w:p>
    <w:p w14:paraId="51659D1C" w14:textId="42492B6A" w:rsidR="00C824CB" w:rsidRDefault="00C824CB" w:rsidP="00D342D9">
      <w:pPr>
        <w:spacing w:line="480" w:lineRule="auto"/>
        <w:jc w:val="both"/>
        <w:rPr>
          <w:rFonts w:ascii="Arial" w:hAnsi="Arial" w:cs="Arial"/>
        </w:rPr>
      </w:pPr>
    </w:p>
    <w:p w14:paraId="0C135F19" w14:textId="5E33F089" w:rsidR="00C824CB" w:rsidRDefault="00C824CB" w:rsidP="00D342D9">
      <w:pPr>
        <w:spacing w:line="480" w:lineRule="auto"/>
        <w:jc w:val="both"/>
        <w:rPr>
          <w:rFonts w:ascii="Arial" w:hAnsi="Arial" w:cs="Arial"/>
        </w:rPr>
      </w:pPr>
    </w:p>
    <w:p w14:paraId="099FA94A" w14:textId="4D2E367A" w:rsidR="00C824CB" w:rsidRDefault="00C824CB" w:rsidP="00D342D9">
      <w:pPr>
        <w:spacing w:line="480" w:lineRule="auto"/>
        <w:jc w:val="both"/>
        <w:rPr>
          <w:rFonts w:ascii="Arial" w:hAnsi="Arial" w:cs="Arial"/>
        </w:rPr>
      </w:pPr>
    </w:p>
    <w:p w14:paraId="00ECC1D0" w14:textId="15D3F3B9" w:rsidR="00C824CB" w:rsidRDefault="00C824CB" w:rsidP="00D342D9">
      <w:pPr>
        <w:spacing w:line="480" w:lineRule="auto"/>
        <w:jc w:val="both"/>
        <w:rPr>
          <w:rFonts w:ascii="Arial" w:hAnsi="Arial" w:cs="Arial"/>
        </w:rPr>
      </w:pPr>
    </w:p>
    <w:p w14:paraId="7F39CBA8" w14:textId="6746F45C" w:rsidR="00C824CB" w:rsidRDefault="00C824CB" w:rsidP="00D342D9">
      <w:pPr>
        <w:spacing w:line="480" w:lineRule="auto"/>
        <w:jc w:val="both"/>
        <w:rPr>
          <w:rFonts w:ascii="Arial" w:hAnsi="Arial" w:cs="Arial"/>
        </w:rPr>
      </w:pPr>
    </w:p>
    <w:p w14:paraId="28196D7A" w14:textId="77777777" w:rsidR="00C824CB" w:rsidRPr="00265EC1" w:rsidRDefault="00C824CB" w:rsidP="00D342D9">
      <w:pPr>
        <w:spacing w:line="480" w:lineRule="auto"/>
        <w:jc w:val="both"/>
        <w:rPr>
          <w:rFonts w:ascii="Arial" w:hAnsi="Arial" w:cs="Arial"/>
        </w:rPr>
      </w:pPr>
    </w:p>
    <w:sectPr w:rsidR="00C824CB" w:rsidRPr="00265EC1" w:rsidSect="00C824C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59E7B" w14:textId="77777777" w:rsidR="00710DAE" w:rsidRDefault="00710DAE" w:rsidP="009D60A5">
      <w:r>
        <w:separator/>
      </w:r>
    </w:p>
  </w:endnote>
  <w:endnote w:type="continuationSeparator" w:id="0">
    <w:p w14:paraId="660E556C" w14:textId="77777777" w:rsidR="00710DAE" w:rsidRDefault="00710DAE" w:rsidP="009D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9928983"/>
      <w:docPartObj>
        <w:docPartGallery w:val="Page Numbers (Bottom of Page)"/>
        <w:docPartUnique/>
      </w:docPartObj>
    </w:sdtPr>
    <w:sdtEndPr>
      <w:rPr>
        <w:rStyle w:val="PageNumber"/>
      </w:rPr>
    </w:sdtEndPr>
    <w:sdtContent>
      <w:p w14:paraId="1D2041D3" w14:textId="3EEEF0E6" w:rsidR="0024079D" w:rsidRDefault="0024079D" w:rsidP="004B7C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79A79E" w14:textId="77777777" w:rsidR="0024079D" w:rsidRDefault="00240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1494140"/>
      <w:docPartObj>
        <w:docPartGallery w:val="Page Numbers (Bottom of Page)"/>
        <w:docPartUnique/>
      </w:docPartObj>
    </w:sdtPr>
    <w:sdtEndPr>
      <w:rPr>
        <w:rStyle w:val="PageNumber"/>
        <w:rFonts w:ascii="Arial" w:hAnsi="Arial" w:cs="Arial"/>
      </w:rPr>
    </w:sdtEndPr>
    <w:sdtContent>
      <w:p w14:paraId="7234E216" w14:textId="072856A0" w:rsidR="0024079D" w:rsidRDefault="0024079D" w:rsidP="004B7C66">
        <w:pPr>
          <w:pStyle w:val="Footer"/>
          <w:framePr w:wrap="none" w:vAnchor="text" w:hAnchor="margin" w:xAlign="center" w:y="1"/>
          <w:rPr>
            <w:rStyle w:val="PageNumber"/>
          </w:rPr>
        </w:pPr>
        <w:r w:rsidRPr="00C21714">
          <w:rPr>
            <w:rStyle w:val="PageNumber"/>
            <w:rFonts w:ascii="Arial" w:hAnsi="Arial" w:cs="Arial"/>
          </w:rPr>
          <w:fldChar w:fldCharType="begin"/>
        </w:r>
        <w:r w:rsidRPr="00C21714">
          <w:rPr>
            <w:rStyle w:val="PageNumber"/>
            <w:rFonts w:ascii="Arial" w:hAnsi="Arial" w:cs="Arial"/>
          </w:rPr>
          <w:instrText xml:space="preserve"> PAGE </w:instrText>
        </w:r>
        <w:r w:rsidRPr="00C21714">
          <w:rPr>
            <w:rStyle w:val="PageNumber"/>
            <w:rFonts w:ascii="Arial" w:hAnsi="Arial" w:cs="Arial"/>
          </w:rPr>
          <w:fldChar w:fldCharType="separate"/>
        </w:r>
        <w:r w:rsidR="004D7FA6">
          <w:rPr>
            <w:rStyle w:val="PageNumber"/>
            <w:rFonts w:ascii="Arial" w:hAnsi="Arial" w:cs="Arial"/>
            <w:noProof/>
          </w:rPr>
          <w:t>15</w:t>
        </w:r>
        <w:r w:rsidRPr="00C21714">
          <w:rPr>
            <w:rStyle w:val="PageNumber"/>
            <w:rFonts w:ascii="Arial" w:hAnsi="Arial" w:cs="Arial"/>
          </w:rPr>
          <w:fldChar w:fldCharType="end"/>
        </w:r>
      </w:p>
    </w:sdtContent>
  </w:sdt>
  <w:p w14:paraId="325B4362" w14:textId="77777777" w:rsidR="0024079D" w:rsidRDefault="002407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E129" w14:textId="77777777" w:rsidR="00C824CB" w:rsidRDefault="00C824CB" w:rsidP="007861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D5BB82" w14:textId="77777777" w:rsidR="00C824CB" w:rsidRDefault="00C824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F81CF" w14:textId="77777777" w:rsidR="00C824CB" w:rsidRPr="00710D4F" w:rsidRDefault="00C824CB" w:rsidP="007861AB">
    <w:pPr>
      <w:pStyle w:val="Footer"/>
      <w:framePr w:wrap="around" w:vAnchor="text" w:hAnchor="margin" w:xAlign="center" w:y="1"/>
      <w:rPr>
        <w:rStyle w:val="PageNumber"/>
        <w:rFonts w:ascii="Arial" w:hAnsi="Arial" w:cs="Arial"/>
      </w:rPr>
    </w:pPr>
    <w:r w:rsidRPr="00710D4F">
      <w:rPr>
        <w:rStyle w:val="PageNumber"/>
        <w:rFonts w:ascii="Arial" w:hAnsi="Arial" w:cs="Arial"/>
      </w:rPr>
      <w:fldChar w:fldCharType="begin"/>
    </w:r>
    <w:r w:rsidRPr="00710D4F">
      <w:rPr>
        <w:rStyle w:val="PageNumber"/>
        <w:rFonts w:ascii="Arial" w:hAnsi="Arial" w:cs="Arial"/>
      </w:rPr>
      <w:instrText xml:space="preserve">PAGE  </w:instrText>
    </w:r>
    <w:r w:rsidRPr="00710D4F">
      <w:rPr>
        <w:rStyle w:val="PageNumber"/>
        <w:rFonts w:ascii="Arial" w:hAnsi="Arial" w:cs="Arial"/>
      </w:rPr>
      <w:fldChar w:fldCharType="separate"/>
    </w:r>
    <w:r>
      <w:rPr>
        <w:rStyle w:val="PageNumber"/>
        <w:rFonts w:ascii="Arial" w:hAnsi="Arial" w:cs="Arial"/>
        <w:noProof/>
      </w:rPr>
      <w:t>1</w:t>
    </w:r>
    <w:r w:rsidRPr="00710D4F">
      <w:rPr>
        <w:rStyle w:val="PageNumber"/>
        <w:rFonts w:ascii="Arial" w:hAnsi="Arial" w:cs="Arial"/>
      </w:rPr>
      <w:fldChar w:fldCharType="end"/>
    </w:r>
  </w:p>
  <w:p w14:paraId="5F13D5AA" w14:textId="77777777" w:rsidR="00C824CB" w:rsidRDefault="00C82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CB35A" w14:textId="77777777" w:rsidR="00710DAE" w:rsidRDefault="00710DAE" w:rsidP="009D60A5">
      <w:r>
        <w:separator/>
      </w:r>
    </w:p>
  </w:footnote>
  <w:footnote w:type="continuationSeparator" w:id="0">
    <w:p w14:paraId="66EE30DE" w14:textId="77777777" w:rsidR="00710DAE" w:rsidRDefault="00710DAE" w:rsidP="009D6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Intl J Obesit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z5xwrr4s255jexte2pwr2czrta9p02zs9t&quot;&gt;Endnote27Dec2017&lt;record-ids&gt;&lt;item&gt;2413&lt;/item&gt;&lt;item&gt;5136&lt;/item&gt;&lt;item&gt;8038&lt;/item&gt;&lt;item&gt;8707&lt;/item&gt;&lt;item&gt;9051&lt;/item&gt;&lt;item&gt;9190&lt;/item&gt;&lt;/record-ids&gt;&lt;/item&gt;&lt;/Libraries&gt;"/>
  </w:docVars>
  <w:rsids>
    <w:rsidRoot w:val="00F710B8"/>
    <w:rsid w:val="00001BDE"/>
    <w:rsid w:val="000069DC"/>
    <w:rsid w:val="0001021F"/>
    <w:rsid w:val="000126C5"/>
    <w:rsid w:val="00013CC7"/>
    <w:rsid w:val="00016940"/>
    <w:rsid w:val="00026ACA"/>
    <w:rsid w:val="00026D18"/>
    <w:rsid w:val="000310CE"/>
    <w:rsid w:val="00031F4B"/>
    <w:rsid w:val="0003357F"/>
    <w:rsid w:val="00033A8F"/>
    <w:rsid w:val="00033FCB"/>
    <w:rsid w:val="00035155"/>
    <w:rsid w:val="00035EF5"/>
    <w:rsid w:val="00037D67"/>
    <w:rsid w:val="000412CE"/>
    <w:rsid w:val="000416C7"/>
    <w:rsid w:val="00043121"/>
    <w:rsid w:val="000432C2"/>
    <w:rsid w:val="00044957"/>
    <w:rsid w:val="000475BE"/>
    <w:rsid w:val="000527AE"/>
    <w:rsid w:val="000576C0"/>
    <w:rsid w:val="00057975"/>
    <w:rsid w:val="000632AF"/>
    <w:rsid w:val="00063417"/>
    <w:rsid w:val="00063A43"/>
    <w:rsid w:val="000647B5"/>
    <w:rsid w:val="00064D9A"/>
    <w:rsid w:val="00067329"/>
    <w:rsid w:val="0007020F"/>
    <w:rsid w:val="00071E1F"/>
    <w:rsid w:val="00073702"/>
    <w:rsid w:val="000739AC"/>
    <w:rsid w:val="00073C40"/>
    <w:rsid w:val="000744E7"/>
    <w:rsid w:val="00074BE3"/>
    <w:rsid w:val="00083ED0"/>
    <w:rsid w:val="00083FF5"/>
    <w:rsid w:val="00087E75"/>
    <w:rsid w:val="00090F18"/>
    <w:rsid w:val="00092EB2"/>
    <w:rsid w:val="00097AE6"/>
    <w:rsid w:val="000A4672"/>
    <w:rsid w:val="000A5807"/>
    <w:rsid w:val="000A6E98"/>
    <w:rsid w:val="000B5436"/>
    <w:rsid w:val="000B64DC"/>
    <w:rsid w:val="000C6CC4"/>
    <w:rsid w:val="000C780C"/>
    <w:rsid w:val="000D0AB2"/>
    <w:rsid w:val="000D1158"/>
    <w:rsid w:val="000D118F"/>
    <w:rsid w:val="000D39A7"/>
    <w:rsid w:val="000D5833"/>
    <w:rsid w:val="000D6E23"/>
    <w:rsid w:val="000D719D"/>
    <w:rsid w:val="000D73B4"/>
    <w:rsid w:val="000D7A80"/>
    <w:rsid w:val="000E15C1"/>
    <w:rsid w:val="000E3CBB"/>
    <w:rsid w:val="000E6281"/>
    <w:rsid w:val="000E697E"/>
    <w:rsid w:val="000F01E2"/>
    <w:rsid w:val="000F27D0"/>
    <w:rsid w:val="000F3D70"/>
    <w:rsid w:val="000F6998"/>
    <w:rsid w:val="00102C37"/>
    <w:rsid w:val="00104DAE"/>
    <w:rsid w:val="001060E4"/>
    <w:rsid w:val="0011088B"/>
    <w:rsid w:val="0011497A"/>
    <w:rsid w:val="00116124"/>
    <w:rsid w:val="00120671"/>
    <w:rsid w:val="001215F7"/>
    <w:rsid w:val="00123E96"/>
    <w:rsid w:val="00126820"/>
    <w:rsid w:val="00130875"/>
    <w:rsid w:val="00132145"/>
    <w:rsid w:val="00133618"/>
    <w:rsid w:val="0013545D"/>
    <w:rsid w:val="00136F76"/>
    <w:rsid w:val="00137578"/>
    <w:rsid w:val="00140E05"/>
    <w:rsid w:val="00141250"/>
    <w:rsid w:val="00141A5D"/>
    <w:rsid w:val="00144EF2"/>
    <w:rsid w:val="001504C9"/>
    <w:rsid w:val="00151042"/>
    <w:rsid w:val="00152122"/>
    <w:rsid w:val="0016124F"/>
    <w:rsid w:val="00161F44"/>
    <w:rsid w:val="00165737"/>
    <w:rsid w:val="00171CF3"/>
    <w:rsid w:val="00172A74"/>
    <w:rsid w:val="00177B2F"/>
    <w:rsid w:val="00180A24"/>
    <w:rsid w:val="001854D8"/>
    <w:rsid w:val="00185AA7"/>
    <w:rsid w:val="001872C8"/>
    <w:rsid w:val="001878F8"/>
    <w:rsid w:val="00190EB3"/>
    <w:rsid w:val="00191605"/>
    <w:rsid w:val="00195102"/>
    <w:rsid w:val="0019599E"/>
    <w:rsid w:val="00197B93"/>
    <w:rsid w:val="001A040F"/>
    <w:rsid w:val="001A2C08"/>
    <w:rsid w:val="001A36EB"/>
    <w:rsid w:val="001A3A2F"/>
    <w:rsid w:val="001A4223"/>
    <w:rsid w:val="001A49A4"/>
    <w:rsid w:val="001A7353"/>
    <w:rsid w:val="001B160C"/>
    <w:rsid w:val="001B1A18"/>
    <w:rsid w:val="001B50D8"/>
    <w:rsid w:val="001B7E76"/>
    <w:rsid w:val="001C4067"/>
    <w:rsid w:val="001C4846"/>
    <w:rsid w:val="001C50C4"/>
    <w:rsid w:val="001C569E"/>
    <w:rsid w:val="001C62B3"/>
    <w:rsid w:val="001C7394"/>
    <w:rsid w:val="001D0B96"/>
    <w:rsid w:val="001D1EAF"/>
    <w:rsid w:val="001D29B3"/>
    <w:rsid w:val="001D5236"/>
    <w:rsid w:val="001D54F3"/>
    <w:rsid w:val="001D5621"/>
    <w:rsid w:val="001D5FA2"/>
    <w:rsid w:val="001D6184"/>
    <w:rsid w:val="001D7F4A"/>
    <w:rsid w:val="001E38DF"/>
    <w:rsid w:val="001E3A4F"/>
    <w:rsid w:val="001E424D"/>
    <w:rsid w:val="001E585A"/>
    <w:rsid w:val="001E6850"/>
    <w:rsid w:val="001F0097"/>
    <w:rsid w:val="001F0A0B"/>
    <w:rsid w:val="001F5C02"/>
    <w:rsid w:val="001F5DD0"/>
    <w:rsid w:val="002002B6"/>
    <w:rsid w:val="002008A3"/>
    <w:rsid w:val="0020100E"/>
    <w:rsid w:val="00203312"/>
    <w:rsid w:val="00203901"/>
    <w:rsid w:val="00204433"/>
    <w:rsid w:val="00204D07"/>
    <w:rsid w:val="002063F7"/>
    <w:rsid w:val="00206523"/>
    <w:rsid w:val="00207CF0"/>
    <w:rsid w:val="00207DD8"/>
    <w:rsid w:val="00214E8C"/>
    <w:rsid w:val="00214EC6"/>
    <w:rsid w:val="00217559"/>
    <w:rsid w:val="0022662B"/>
    <w:rsid w:val="002301DB"/>
    <w:rsid w:val="002323E7"/>
    <w:rsid w:val="00234F62"/>
    <w:rsid w:val="0023580D"/>
    <w:rsid w:val="00235876"/>
    <w:rsid w:val="002367B9"/>
    <w:rsid w:val="00236BEB"/>
    <w:rsid w:val="00237BCD"/>
    <w:rsid w:val="0024037E"/>
    <w:rsid w:val="0024079D"/>
    <w:rsid w:val="00240A47"/>
    <w:rsid w:val="00240F51"/>
    <w:rsid w:val="00242147"/>
    <w:rsid w:val="00242A14"/>
    <w:rsid w:val="0024509E"/>
    <w:rsid w:val="0024616C"/>
    <w:rsid w:val="00251188"/>
    <w:rsid w:val="00253C07"/>
    <w:rsid w:val="0025437B"/>
    <w:rsid w:val="00255568"/>
    <w:rsid w:val="002568D5"/>
    <w:rsid w:val="00260A46"/>
    <w:rsid w:val="002628B1"/>
    <w:rsid w:val="00262FC7"/>
    <w:rsid w:val="00262FEB"/>
    <w:rsid w:val="00264AA7"/>
    <w:rsid w:val="00265092"/>
    <w:rsid w:val="0026518E"/>
    <w:rsid w:val="00265EC1"/>
    <w:rsid w:val="00266565"/>
    <w:rsid w:val="002742D3"/>
    <w:rsid w:val="00275DCC"/>
    <w:rsid w:val="00276AD9"/>
    <w:rsid w:val="00277185"/>
    <w:rsid w:val="00280FFE"/>
    <w:rsid w:val="002813B5"/>
    <w:rsid w:val="00282C23"/>
    <w:rsid w:val="002909CF"/>
    <w:rsid w:val="002926C0"/>
    <w:rsid w:val="002956E7"/>
    <w:rsid w:val="00296392"/>
    <w:rsid w:val="00296F07"/>
    <w:rsid w:val="00297ABE"/>
    <w:rsid w:val="002A32CB"/>
    <w:rsid w:val="002A363E"/>
    <w:rsid w:val="002A4683"/>
    <w:rsid w:val="002A5284"/>
    <w:rsid w:val="002A682E"/>
    <w:rsid w:val="002A70EA"/>
    <w:rsid w:val="002B2E70"/>
    <w:rsid w:val="002B306A"/>
    <w:rsid w:val="002B4B19"/>
    <w:rsid w:val="002B7F30"/>
    <w:rsid w:val="002C5B33"/>
    <w:rsid w:val="002C6783"/>
    <w:rsid w:val="002C7960"/>
    <w:rsid w:val="002D2136"/>
    <w:rsid w:val="002D4E86"/>
    <w:rsid w:val="002D5601"/>
    <w:rsid w:val="002D6188"/>
    <w:rsid w:val="002E3C33"/>
    <w:rsid w:val="002E5020"/>
    <w:rsid w:val="002E5ED1"/>
    <w:rsid w:val="002E61C1"/>
    <w:rsid w:val="002F3472"/>
    <w:rsid w:val="002F37B4"/>
    <w:rsid w:val="002F449C"/>
    <w:rsid w:val="002F7C86"/>
    <w:rsid w:val="002F7CCF"/>
    <w:rsid w:val="003054CD"/>
    <w:rsid w:val="00307294"/>
    <w:rsid w:val="00311B78"/>
    <w:rsid w:val="00313F6E"/>
    <w:rsid w:val="00314443"/>
    <w:rsid w:val="00314FF6"/>
    <w:rsid w:val="00326233"/>
    <w:rsid w:val="003270BE"/>
    <w:rsid w:val="00330981"/>
    <w:rsid w:val="00330C13"/>
    <w:rsid w:val="00331FA9"/>
    <w:rsid w:val="00332AC7"/>
    <w:rsid w:val="003371AD"/>
    <w:rsid w:val="0033720E"/>
    <w:rsid w:val="00342868"/>
    <w:rsid w:val="00342B6D"/>
    <w:rsid w:val="00350811"/>
    <w:rsid w:val="00350C06"/>
    <w:rsid w:val="00352B28"/>
    <w:rsid w:val="00355F92"/>
    <w:rsid w:val="00357831"/>
    <w:rsid w:val="003607AC"/>
    <w:rsid w:val="00362B82"/>
    <w:rsid w:val="003639E2"/>
    <w:rsid w:val="0036463A"/>
    <w:rsid w:val="003661EC"/>
    <w:rsid w:val="00367CCA"/>
    <w:rsid w:val="00370661"/>
    <w:rsid w:val="003724B6"/>
    <w:rsid w:val="00373B8E"/>
    <w:rsid w:val="00373FF7"/>
    <w:rsid w:val="00376ADE"/>
    <w:rsid w:val="00381203"/>
    <w:rsid w:val="0038182A"/>
    <w:rsid w:val="003829E8"/>
    <w:rsid w:val="003850C2"/>
    <w:rsid w:val="00385A41"/>
    <w:rsid w:val="00387A4F"/>
    <w:rsid w:val="00392E9A"/>
    <w:rsid w:val="003A17DA"/>
    <w:rsid w:val="003A3535"/>
    <w:rsid w:val="003A3B8F"/>
    <w:rsid w:val="003A4774"/>
    <w:rsid w:val="003B7076"/>
    <w:rsid w:val="003C04C7"/>
    <w:rsid w:val="003C10CD"/>
    <w:rsid w:val="003C22DA"/>
    <w:rsid w:val="003C4B65"/>
    <w:rsid w:val="003C78CB"/>
    <w:rsid w:val="003D0B91"/>
    <w:rsid w:val="003D2153"/>
    <w:rsid w:val="003D2315"/>
    <w:rsid w:val="003D46E1"/>
    <w:rsid w:val="003D4C5C"/>
    <w:rsid w:val="003E2D40"/>
    <w:rsid w:val="003E3F8C"/>
    <w:rsid w:val="003E6ECF"/>
    <w:rsid w:val="003E7D1C"/>
    <w:rsid w:val="003E7ED1"/>
    <w:rsid w:val="003F067A"/>
    <w:rsid w:val="003F0B0E"/>
    <w:rsid w:val="003F220D"/>
    <w:rsid w:val="003F3156"/>
    <w:rsid w:val="003F3298"/>
    <w:rsid w:val="003F3E54"/>
    <w:rsid w:val="003F49D9"/>
    <w:rsid w:val="003F66EB"/>
    <w:rsid w:val="003F7933"/>
    <w:rsid w:val="004003A8"/>
    <w:rsid w:val="00400985"/>
    <w:rsid w:val="00400E9D"/>
    <w:rsid w:val="00401927"/>
    <w:rsid w:val="00404668"/>
    <w:rsid w:val="00404AF7"/>
    <w:rsid w:val="0040663B"/>
    <w:rsid w:val="0041258A"/>
    <w:rsid w:val="00412E82"/>
    <w:rsid w:val="0041508F"/>
    <w:rsid w:val="0041731C"/>
    <w:rsid w:val="00421290"/>
    <w:rsid w:val="00421E42"/>
    <w:rsid w:val="00425937"/>
    <w:rsid w:val="00425C46"/>
    <w:rsid w:val="004261A0"/>
    <w:rsid w:val="004269AA"/>
    <w:rsid w:val="00426BD8"/>
    <w:rsid w:val="00431247"/>
    <w:rsid w:val="004359D6"/>
    <w:rsid w:val="00435B7C"/>
    <w:rsid w:val="004370A8"/>
    <w:rsid w:val="0043782A"/>
    <w:rsid w:val="00441D25"/>
    <w:rsid w:val="00442F35"/>
    <w:rsid w:val="004435C5"/>
    <w:rsid w:val="00444C8B"/>
    <w:rsid w:val="0044633A"/>
    <w:rsid w:val="00446C1C"/>
    <w:rsid w:val="00447043"/>
    <w:rsid w:val="0044729F"/>
    <w:rsid w:val="00451EAB"/>
    <w:rsid w:val="00452ED4"/>
    <w:rsid w:val="004566C0"/>
    <w:rsid w:val="004567D5"/>
    <w:rsid w:val="0045780C"/>
    <w:rsid w:val="00460E49"/>
    <w:rsid w:val="00461816"/>
    <w:rsid w:val="00465994"/>
    <w:rsid w:val="0046601E"/>
    <w:rsid w:val="004717E9"/>
    <w:rsid w:val="00471B0D"/>
    <w:rsid w:val="00471B36"/>
    <w:rsid w:val="00472EED"/>
    <w:rsid w:val="004740B0"/>
    <w:rsid w:val="004740FA"/>
    <w:rsid w:val="00476B99"/>
    <w:rsid w:val="00477DAE"/>
    <w:rsid w:val="00482003"/>
    <w:rsid w:val="00482B75"/>
    <w:rsid w:val="00482B7B"/>
    <w:rsid w:val="0048364A"/>
    <w:rsid w:val="00483D1C"/>
    <w:rsid w:val="00484760"/>
    <w:rsid w:val="0048543C"/>
    <w:rsid w:val="004854F8"/>
    <w:rsid w:val="00487080"/>
    <w:rsid w:val="00493389"/>
    <w:rsid w:val="00494533"/>
    <w:rsid w:val="00494FB3"/>
    <w:rsid w:val="004975B1"/>
    <w:rsid w:val="004A0A0C"/>
    <w:rsid w:val="004A2BD2"/>
    <w:rsid w:val="004A33D5"/>
    <w:rsid w:val="004A34F0"/>
    <w:rsid w:val="004A3EEB"/>
    <w:rsid w:val="004B193F"/>
    <w:rsid w:val="004B4674"/>
    <w:rsid w:val="004B5270"/>
    <w:rsid w:val="004B6ECD"/>
    <w:rsid w:val="004B7C66"/>
    <w:rsid w:val="004C2521"/>
    <w:rsid w:val="004C38E6"/>
    <w:rsid w:val="004C6134"/>
    <w:rsid w:val="004D0C10"/>
    <w:rsid w:val="004D2532"/>
    <w:rsid w:val="004D2938"/>
    <w:rsid w:val="004D417D"/>
    <w:rsid w:val="004D7E9B"/>
    <w:rsid w:val="004D7FA6"/>
    <w:rsid w:val="004E0B37"/>
    <w:rsid w:val="004E1EC9"/>
    <w:rsid w:val="004E4EE2"/>
    <w:rsid w:val="004E62EB"/>
    <w:rsid w:val="004E7F45"/>
    <w:rsid w:val="004F09CC"/>
    <w:rsid w:val="004F0DCA"/>
    <w:rsid w:val="004F0F8B"/>
    <w:rsid w:val="004F195F"/>
    <w:rsid w:val="004F2E23"/>
    <w:rsid w:val="004F39B1"/>
    <w:rsid w:val="004F3F12"/>
    <w:rsid w:val="004F4BB3"/>
    <w:rsid w:val="004F682B"/>
    <w:rsid w:val="004F6CD5"/>
    <w:rsid w:val="004F6E02"/>
    <w:rsid w:val="005009D9"/>
    <w:rsid w:val="005028B6"/>
    <w:rsid w:val="00505BA2"/>
    <w:rsid w:val="00506C7B"/>
    <w:rsid w:val="0050739E"/>
    <w:rsid w:val="00511FA6"/>
    <w:rsid w:val="005133A7"/>
    <w:rsid w:val="00513E44"/>
    <w:rsid w:val="00513EBB"/>
    <w:rsid w:val="00515001"/>
    <w:rsid w:val="00515D39"/>
    <w:rsid w:val="005161D1"/>
    <w:rsid w:val="00516528"/>
    <w:rsid w:val="0052069C"/>
    <w:rsid w:val="005213E2"/>
    <w:rsid w:val="00523E97"/>
    <w:rsid w:val="005256D5"/>
    <w:rsid w:val="00526C5A"/>
    <w:rsid w:val="00526D0A"/>
    <w:rsid w:val="0053099E"/>
    <w:rsid w:val="005351C2"/>
    <w:rsid w:val="0053767E"/>
    <w:rsid w:val="00537A3F"/>
    <w:rsid w:val="00542F67"/>
    <w:rsid w:val="005467B0"/>
    <w:rsid w:val="0054743C"/>
    <w:rsid w:val="00547EA6"/>
    <w:rsid w:val="005516EB"/>
    <w:rsid w:val="0055420C"/>
    <w:rsid w:val="00555D28"/>
    <w:rsid w:val="0055626C"/>
    <w:rsid w:val="00561C89"/>
    <w:rsid w:val="00565A31"/>
    <w:rsid w:val="00572F66"/>
    <w:rsid w:val="00574DD5"/>
    <w:rsid w:val="005760C3"/>
    <w:rsid w:val="00576256"/>
    <w:rsid w:val="00581BBF"/>
    <w:rsid w:val="00582DF6"/>
    <w:rsid w:val="00583B45"/>
    <w:rsid w:val="0058438E"/>
    <w:rsid w:val="0058624C"/>
    <w:rsid w:val="00587A1E"/>
    <w:rsid w:val="005909D0"/>
    <w:rsid w:val="00591C9B"/>
    <w:rsid w:val="00592DC1"/>
    <w:rsid w:val="00594EB7"/>
    <w:rsid w:val="00595010"/>
    <w:rsid w:val="005954B3"/>
    <w:rsid w:val="00595618"/>
    <w:rsid w:val="005A7F9A"/>
    <w:rsid w:val="005B264E"/>
    <w:rsid w:val="005B313E"/>
    <w:rsid w:val="005B57B8"/>
    <w:rsid w:val="005B5AEB"/>
    <w:rsid w:val="005C0B6A"/>
    <w:rsid w:val="005C12CE"/>
    <w:rsid w:val="005C1BB5"/>
    <w:rsid w:val="005C2813"/>
    <w:rsid w:val="005C2C2A"/>
    <w:rsid w:val="005C4C6E"/>
    <w:rsid w:val="005C6C19"/>
    <w:rsid w:val="005C6D1E"/>
    <w:rsid w:val="005D1F45"/>
    <w:rsid w:val="005D4121"/>
    <w:rsid w:val="005D44DA"/>
    <w:rsid w:val="005D6812"/>
    <w:rsid w:val="005D7A04"/>
    <w:rsid w:val="005D7C8B"/>
    <w:rsid w:val="005E0AC6"/>
    <w:rsid w:val="005E273D"/>
    <w:rsid w:val="005E30EF"/>
    <w:rsid w:val="005E4969"/>
    <w:rsid w:val="005E4DE9"/>
    <w:rsid w:val="005E5F51"/>
    <w:rsid w:val="005E6D8F"/>
    <w:rsid w:val="005E7EB3"/>
    <w:rsid w:val="005F1982"/>
    <w:rsid w:val="005F22EC"/>
    <w:rsid w:val="005F3D0B"/>
    <w:rsid w:val="005F464F"/>
    <w:rsid w:val="005F7E3F"/>
    <w:rsid w:val="006001CA"/>
    <w:rsid w:val="00601A5E"/>
    <w:rsid w:val="00602645"/>
    <w:rsid w:val="00604FA7"/>
    <w:rsid w:val="00605071"/>
    <w:rsid w:val="00615093"/>
    <w:rsid w:val="00620AC3"/>
    <w:rsid w:val="00621FBF"/>
    <w:rsid w:val="006224A0"/>
    <w:rsid w:val="0062269A"/>
    <w:rsid w:val="0062380D"/>
    <w:rsid w:val="00625714"/>
    <w:rsid w:val="00626101"/>
    <w:rsid w:val="00631B01"/>
    <w:rsid w:val="006344A4"/>
    <w:rsid w:val="0063618E"/>
    <w:rsid w:val="006371AA"/>
    <w:rsid w:val="00641FB6"/>
    <w:rsid w:val="00642763"/>
    <w:rsid w:val="00647CA8"/>
    <w:rsid w:val="0065437A"/>
    <w:rsid w:val="006578A3"/>
    <w:rsid w:val="006632BB"/>
    <w:rsid w:val="0066596F"/>
    <w:rsid w:val="006726D1"/>
    <w:rsid w:val="0067713D"/>
    <w:rsid w:val="00680EBE"/>
    <w:rsid w:val="00682897"/>
    <w:rsid w:val="00683F39"/>
    <w:rsid w:val="00684418"/>
    <w:rsid w:val="006844B4"/>
    <w:rsid w:val="00685069"/>
    <w:rsid w:val="00685C48"/>
    <w:rsid w:val="00687D66"/>
    <w:rsid w:val="00690164"/>
    <w:rsid w:val="006A0F50"/>
    <w:rsid w:val="006A1605"/>
    <w:rsid w:val="006A45D4"/>
    <w:rsid w:val="006A5B97"/>
    <w:rsid w:val="006B0C8A"/>
    <w:rsid w:val="006B1994"/>
    <w:rsid w:val="006B1E2B"/>
    <w:rsid w:val="006B4FA7"/>
    <w:rsid w:val="006B6047"/>
    <w:rsid w:val="006B61B5"/>
    <w:rsid w:val="006C2A16"/>
    <w:rsid w:val="006C309C"/>
    <w:rsid w:val="006C4A60"/>
    <w:rsid w:val="006C6BA8"/>
    <w:rsid w:val="006D034E"/>
    <w:rsid w:val="006D29E6"/>
    <w:rsid w:val="006D2A14"/>
    <w:rsid w:val="006D367D"/>
    <w:rsid w:val="006D4D9D"/>
    <w:rsid w:val="006D5DAD"/>
    <w:rsid w:val="006D6111"/>
    <w:rsid w:val="006D61E4"/>
    <w:rsid w:val="006E0612"/>
    <w:rsid w:val="006E38A1"/>
    <w:rsid w:val="006E6DC1"/>
    <w:rsid w:val="006F18A1"/>
    <w:rsid w:val="006F1B5F"/>
    <w:rsid w:val="006F2009"/>
    <w:rsid w:val="006F2C0A"/>
    <w:rsid w:val="006F6079"/>
    <w:rsid w:val="006F6149"/>
    <w:rsid w:val="006F69D5"/>
    <w:rsid w:val="006F7676"/>
    <w:rsid w:val="0070034D"/>
    <w:rsid w:val="007003BA"/>
    <w:rsid w:val="0070059C"/>
    <w:rsid w:val="0070338A"/>
    <w:rsid w:val="0070417A"/>
    <w:rsid w:val="0070560C"/>
    <w:rsid w:val="0070564E"/>
    <w:rsid w:val="00705BF9"/>
    <w:rsid w:val="0070743B"/>
    <w:rsid w:val="00710583"/>
    <w:rsid w:val="00710DAE"/>
    <w:rsid w:val="00711941"/>
    <w:rsid w:val="00711988"/>
    <w:rsid w:val="00712703"/>
    <w:rsid w:val="00714EA9"/>
    <w:rsid w:val="007165E6"/>
    <w:rsid w:val="00716B66"/>
    <w:rsid w:val="00717E7F"/>
    <w:rsid w:val="00724708"/>
    <w:rsid w:val="0072712F"/>
    <w:rsid w:val="0073074B"/>
    <w:rsid w:val="00730DFB"/>
    <w:rsid w:val="0073102F"/>
    <w:rsid w:val="00735357"/>
    <w:rsid w:val="00736AD0"/>
    <w:rsid w:val="00737048"/>
    <w:rsid w:val="007407F9"/>
    <w:rsid w:val="0074242F"/>
    <w:rsid w:val="007458A1"/>
    <w:rsid w:val="0074698B"/>
    <w:rsid w:val="00746DFB"/>
    <w:rsid w:val="007519FF"/>
    <w:rsid w:val="00751E63"/>
    <w:rsid w:val="007524B5"/>
    <w:rsid w:val="00752E0B"/>
    <w:rsid w:val="007536F6"/>
    <w:rsid w:val="00753CC9"/>
    <w:rsid w:val="0075491E"/>
    <w:rsid w:val="00756C10"/>
    <w:rsid w:val="00757E11"/>
    <w:rsid w:val="007600FD"/>
    <w:rsid w:val="0076099E"/>
    <w:rsid w:val="007625E6"/>
    <w:rsid w:val="00764FF0"/>
    <w:rsid w:val="00767D50"/>
    <w:rsid w:val="007736B2"/>
    <w:rsid w:val="00781B30"/>
    <w:rsid w:val="00781CC3"/>
    <w:rsid w:val="007835F4"/>
    <w:rsid w:val="00784AAD"/>
    <w:rsid w:val="00786F51"/>
    <w:rsid w:val="00792701"/>
    <w:rsid w:val="007929F3"/>
    <w:rsid w:val="007936FF"/>
    <w:rsid w:val="00795721"/>
    <w:rsid w:val="00796415"/>
    <w:rsid w:val="00796C7E"/>
    <w:rsid w:val="007A0E02"/>
    <w:rsid w:val="007A0EC1"/>
    <w:rsid w:val="007A28CD"/>
    <w:rsid w:val="007A42E4"/>
    <w:rsid w:val="007B04F6"/>
    <w:rsid w:val="007B0D96"/>
    <w:rsid w:val="007B4296"/>
    <w:rsid w:val="007B4CAC"/>
    <w:rsid w:val="007C0974"/>
    <w:rsid w:val="007C74DC"/>
    <w:rsid w:val="007D28A2"/>
    <w:rsid w:val="007E0367"/>
    <w:rsid w:val="007E0FFE"/>
    <w:rsid w:val="007E19B4"/>
    <w:rsid w:val="007F3B04"/>
    <w:rsid w:val="007F579D"/>
    <w:rsid w:val="007F627B"/>
    <w:rsid w:val="0080072D"/>
    <w:rsid w:val="00804233"/>
    <w:rsid w:val="0080508D"/>
    <w:rsid w:val="008052CF"/>
    <w:rsid w:val="0080549C"/>
    <w:rsid w:val="008111C9"/>
    <w:rsid w:val="00814C34"/>
    <w:rsid w:val="00815859"/>
    <w:rsid w:val="00816448"/>
    <w:rsid w:val="0082017F"/>
    <w:rsid w:val="00820A53"/>
    <w:rsid w:val="0082676B"/>
    <w:rsid w:val="00827542"/>
    <w:rsid w:val="00832289"/>
    <w:rsid w:val="0083294E"/>
    <w:rsid w:val="00833FB1"/>
    <w:rsid w:val="00841457"/>
    <w:rsid w:val="008420A9"/>
    <w:rsid w:val="00844525"/>
    <w:rsid w:val="008447DE"/>
    <w:rsid w:val="00844C55"/>
    <w:rsid w:val="00846E5A"/>
    <w:rsid w:val="0085191D"/>
    <w:rsid w:val="00853B5D"/>
    <w:rsid w:val="00855B9F"/>
    <w:rsid w:val="00855BFD"/>
    <w:rsid w:val="00856BF6"/>
    <w:rsid w:val="00863C23"/>
    <w:rsid w:val="00863EF6"/>
    <w:rsid w:val="0086730F"/>
    <w:rsid w:val="008676AF"/>
    <w:rsid w:val="00867759"/>
    <w:rsid w:val="00870730"/>
    <w:rsid w:val="00875B99"/>
    <w:rsid w:val="00875ED9"/>
    <w:rsid w:val="00876EDC"/>
    <w:rsid w:val="00877CAA"/>
    <w:rsid w:val="00881B40"/>
    <w:rsid w:val="00882A2E"/>
    <w:rsid w:val="008855E2"/>
    <w:rsid w:val="00886086"/>
    <w:rsid w:val="0088798D"/>
    <w:rsid w:val="008910AD"/>
    <w:rsid w:val="00891142"/>
    <w:rsid w:val="008A1399"/>
    <w:rsid w:val="008A5100"/>
    <w:rsid w:val="008A61EB"/>
    <w:rsid w:val="008B3AAF"/>
    <w:rsid w:val="008C1D18"/>
    <w:rsid w:val="008C612D"/>
    <w:rsid w:val="008C7A70"/>
    <w:rsid w:val="008D1F17"/>
    <w:rsid w:val="008D31AF"/>
    <w:rsid w:val="008D412D"/>
    <w:rsid w:val="008E2C3C"/>
    <w:rsid w:val="008E3C70"/>
    <w:rsid w:val="008E6243"/>
    <w:rsid w:val="008E7D8F"/>
    <w:rsid w:val="008F2F80"/>
    <w:rsid w:val="008F3104"/>
    <w:rsid w:val="008F67EC"/>
    <w:rsid w:val="0090096F"/>
    <w:rsid w:val="00901B33"/>
    <w:rsid w:val="00903368"/>
    <w:rsid w:val="00903C50"/>
    <w:rsid w:val="009048B4"/>
    <w:rsid w:val="00905D53"/>
    <w:rsid w:val="009124A1"/>
    <w:rsid w:val="0091380A"/>
    <w:rsid w:val="00913B1B"/>
    <w:rsid w:val="00916F41"/>
    <w:rsid w:val="009170B9"/>
    <w:rsid w:val="00920562"/>
    <w:rsid w:val="0092125E"/>
    <w:rsid w:val="00921E10"/>
    <w:rsid w:val="009222AE"/>
    <w:rsid w:val="00922A52"/>
    <w:rsid w:val="00922C6A"/>
    <w:rsid w:val="009241B4"/>
    <w:rsid w:val="00926AA1"/>
    <w:rsid w:val="00930D21"/>
    <w:rsid w:val="00935266"/>
    <w:rsid w:val="0093590A"/>
    <w:rsid w:val="0093729A"/>
    <w:rsid w:val="00941C9F"/>
    <w:rsid w:val="00942838"/>
    <w:rsid w:val="00943766"/>
    <w:rsid w:val="009465B2"/>
    <w:rsid w:val="00946676"/>
    <w:rsid w:val="00947237"/>
    <w:rsid w:val="00950252"/>
    <w:rsid w:val="00953CA5"/>
    <w:rsid w:val="009540A3"/>
    <w:rsid w:val="00955031"/>
    <w:rsid w:val="00957617"/>
    <w:rsid w:val="009607A4"/>
    <w:rsid w:val="00962D21"/>
    <w:rsid w:val="0096424B"/>
    <w:rsid w:val="0096491F"/>
    <w:rsid w:val="009679DD"/>
    <w:rsid w:val="00972F69"/>
    <w:rsid w:val="00973297"/>
    <w:rsid w:val="00973474"/>
    <w:rsid w:val="00974EDD"/>
    <w:rsid w:val="009763DF"/>
    <w:rsid w:val="00976F51"/>
    <w:rsid w:val="00983981"/>
    <w:rsid w:val="0098414F"/>
    <w:rsid w:val="009914D4"/>
    <w:rsid w:val="0099167E"/>
    <w:rsid w:val="0099170F"/>
    <w:rsid w:val="009963C1"/>
    <w:rsid w:val="009966DD"/>
    <w:rsid w:val="009A6D54"/>
    <w:rsid w:val="009B306F"/>
    <w:rsid w:val="009C0E04"/>
    <w:rsid w:val="009C1C7D"/>
    <w:rsid w:val="009C38E4"/>
    <w:rsid w:val="009C3952"/>
    <w:rsid w:val="009C5BCB"/>
    <w:rsid w:val="009C6E5F"/>
    <w:rsid w:val="009D0166"/>
    <w:rsid w:val="009D13D4"/>
    <w:rsid w:val="009D23DB"/>
    <w:rsid w:val="009D2450"/>
    <w:rsid w:val="009D40C5"/>
    <w:rsid w:val="009D4E6A"/>
    <w:rsid w:val="009D510C"/>
    <w:rsid w:val="009D60A5"/>
    <w:rsid w:val="009D619B"/>
    <w:rsid w:val="009D7074"/>
    <w:rsid w:val="009E0599"/>
    <w:rsid w:val="009E1885"/>
    <w:rsid w:val="009E190E"/>
    <w:rsid w:val="009E1A9F"/>
    <w:rsid w:val="009E2920"/>
    <w:rsid w:val="009E7D5D"/>
    <w:rsid w:val="009F22F7"/>
    <w:rsid w:val="009F3463"/>
    <w:rsid w:val="009F364E"/>
    <w:rsid w:val="009F3B05"/>
    <w:rsid w:val="009F3E01"/>
    <w:rsid w:val="009F6D4E"/>
    <w:rsid w:val="00A01479"/>
    <w:rsid w:val="00A05B86"/>
    <w:rsid w:val="00A06AA7"/>
    <w:rsid w:val="00A0720E"/>
    <w:rsid w:val="00A074F1"/>
    <w:rsid w:val="00A10FC5"/>
    <w:rsid w:val="00A12F89"/>
    <w:rsid w:val="00A14821"/>
    <w:rsid w:val="00A153B1"/>
    <w:rsid w:val="00A1697F"/>
    <w:rsid w:val="00A16A4B"/>
    <w:rsid w:val="00A23008"/>
    <w:rsid w:val="00A243E7"/>
    <w:rsid w:val="00A25116"/>
    <w:rsid w:val="00A2630F"/>
    <w:rsid w:val="00A26C3E"/>
    <w:rsid w:val="00A27968"/>
    <w:rsid w:val="00A3029A"/>
    <w:rsid w:val="00A33ED6"/>
    <w:rsid w:val="00A3684B"/>
    <w:rsid w:val="00A41ED4"/>
    <w:rsid w:val="00A42BF7"/>
    <w:rsid w:val="00A434D7"/>
    <w:rsid w:val="00A46CFC"/>
    <w:rsid w:val="00A50B67"/>
    <w:rsid w:val="00A52632"/>
    <w:rsid w:val="00A62106"/>
    <w:rsid w:val="00A631B9"/>
    <w:rsid w:val="00A67992"/>
    <w:rsid w:val="00A72613"/>
    <w:rsid w:val="00A742C5"/>
    <w:rsid w:val="00A7443B"/>
    <w:rsid w:val="00A759DC"/>
    <w:rsid w:val="00A76FD8"/>
    <w:rsid w:val="00A7726C"/>
    <w:rsid w:val="00A80202"/>
    <w:rsid w:val="00A81CBC"/>
    <w:rsid w:val="00A9318C"/>
    <w:rsid w:val="00A93549"/>
    <w:rsid w:val="00A940C8"/>
    <w:rsid w:val="00A9496E"/>
    <w:rsid w:val="00A95C67"/>
    <w:rsid w:val="00AA16F1"/>
    <w:rsid w:val="00AA1993"/>
    <w:rsid w:val="00AA2048"/>
    <w:rsid w:val="00AA2572"/>
    <w:rsid w:val="00AA25C1"/>
    <w:rsid w:val="00AA2CEE"/>
    <w:rsid w:val="00AA2EAF"/>
    <w:rsid w:val="00AA4652"/>
    <w:rsid w:val="00AA4FA8"/>
    <w:rsid w:val="00AA6BE1"/>
    <w:rsid w:val="00AA6DFD"/>
    <w:rsid w:val="00AA7578"/>
    <w:rsid w:val="00AB07AF"/>
    <w:rsid w:val="00AB58DD"/>
    <w:rsid w:val="00AB7D15"/>
    <w:rsid w:val="00AC110B"/>
    <w:rsid w:val="00AC1B26"/>
    <w:rsid w:val="00AC5128"/>
    <w:rsid w:val="00AC6B51"/>
    <w:rsid w:val="00AC7073"/>
    <w:rsid w:val="00AC7DF5"/>
    <w:rsid w:val="00AD2AD7"/>
    <w:rsid w:val="00AD2FE0"/>
    <w:rsid w:val="00AE060F"/>
    <w:rsid w:val="00AE0763"/>
    <w:rsid w:val="00AE5D69"/>
    <w:rsid w:val="00AF2A15"/>
    <w:rsid w:val="00AF2A26"/>
    <w:rsid w:val="00AF7D1B"/>
    <w:rsid w:val="00B000FD"/>
    <w:rsid w:val="00B04E3A"/>
    <w:rsid w:val="00B06B1B"/>
    <w:rsid w:val="00B121F5"/>
    <w:rsid w:val="00B1260B"/>
    <w:rsid w:val="00B13933"/>
    <w:rsid w:val="00B141AC"/>
    <w:rsid w:val="00B16341"/>
    <w:rsid w:val="00B1723A"/>
    <w:rsid w:val="00B201F1"/>
    <w:rsid w:val="00B21293"/>
    <w:rsid w:val="00B21625"/>
    <w:rsid w:val="00B21951"/>
    <w:rsid w:val="00B22A7B"/>
    <w:rsid w:val="00B25F1A"/>
    <w:rsid w:val="00B3091F"/>
    <w:rsid w:val="00B502EB"/>
    <w:rsid w:val="00B50929"/>
    <w:rsid w:val="00B522C9"/>
    <w:rsid w:val="00B52353"/>
    <w:rsid w:val="00B5721E"/>
    <w:rsid w:val="00B611B8"/>
    <w:rsid w:val="00B6443D"/>
    <w:rsid w:val="00B646B4"/>
    <w:rsid w:val="00B64B7E"/>
    <w:rsid w:val="00B66914"/>
    <w:rsid w:val="00B67BE9"/>
    <w:rsid w:val="00B67ECD"/>
    <w:rsid w:val="00B7123B"/>
    <w:rsid w:val="00B7124F"/>
    <w:rsid w:val="00B72AD5"/>
    <w:rsid w:val="00B745CD"/>
    <w:rsid w:val="00B80DCA"/>
    <w:rsid w:val="00B836E2"/>
    <w:rsid w:val="00B840B7"/>
    <w:rsid w:val="00B84622"/>
    <w:rsid w:val="00B849D0"/>
    <w:rsid w:val="00B87208"/>
    <w:rsid w:val="00B91D60"/>
    <w:rsid w:val="00B927F1"/>
    <w:rsid w:val="00B9301F"/>
    <w:rsid w:val="00B93293"/>
    <w:rsid w:val="00B96021"/>
    <w:rsid w:val="00B97802"/>
    <w:rsid w:val="00BA14A8"/>
    <w:rsid w:val="00BA2E72"/>
    <w:rsid w:val="00BA4928"/>
    <w:rsid w:val="00BB0BD5"/>
    <w:rsid w:val="00BB1414"/>
    <w:rsid w:val="00BB1B5B"/>
    <w:rsid w:val="00BB2249"/>
    <w:rsid w:val="00BB2373"/>
    <w:rsid w:val="00BB32FC"/>
    <w:rsid w:val="00BB3CBE"/>
    <w:rsid w:val="00BB4089"/>
    <w:rsid w:val="00BB4860"/>
    <w:rsid w:val="00BB65C1"/>
    <w:rsid w:val="00BC0AA8"/>
    <w:rsid w:val="00BC20F2"/>
    <w:rsid w:val="00BC2DE6"/>
    <w:rsid w:val="00BC4C67"/>
    <w:rsid w:val="00BC62CE"/>
    <w:rsid w:val="00BD1358"/>
    <w:rsid w:val="00BD3642"/>
    <w:rsid w:val="00BD41E3"/>
    <w:rsid w:val="00BE59F0"/>
    <w:rsid w:val="00BE6FF3"/>
    <w:rsid w:val="00BE7B4C"/>
    <w:rsid w:val="00BF1F23"/>
    <w:rsid w:val="00BF5628"/>
    <w:rsid w:val="00BF6AE9"/>
    <w:rsid w:val="00C00E45"/>
    <w:rsid w:val="00C01BD4"/>
    <w:rsid w:val="00C01C94"/>
    <w:rsid w:val="00C02B21"/>
    <w:rsid w:val="00C0747F"/>
    <w:rsid w:val="00C07D98"/>
    <w:rsid w:val="00C129E5"/>
    <w:rsid w:val="00C13C5D"/>
    <w:rsid w:val="00C14DD4"/>
    <w:rsid w:val="00C20051"/>
    <w:rsid w:val="00C21714"/>
    <w:rsid w:val="00C22D94"/>
    <w:rsid w:val="00C239F8"/>
    <w:rsid w:val="00C24D96"/>
    <w:rsid w:val="00C25E1C"/>
    <w:rsid w:val="00C26093"/>
    <w:rsid w:val="00C274F8"/>
    <w:rsid w:val="00C300CB"/>
    <w:rsid w:val="00C31CC9"/>
    <w:rsid w:val="00C33F1C"/>
    <w:rsid w:val="00C34F26"/>
    <w:rsid w:val="00C351E0"/>
    <w:rsid w:val="00C35694"/>
    <w:rsid w:val="00C35F8B"/>
    <w:rsid w:val="00C36041"/>
    <w:rsid w:val="00C36762"/>
    <w:rsid w:val="00C36A07"/>
    <w:rsid w:val="00C36E62"/>
    <w:rsid w:val="00C4284B"/>
    <w:rsid w:val="00C43CA3"/>
    <w:rsid w:val="00C43ED3"/>
    <w:rsid w:val="00C46EB1"/>
    <w:rsid w:val="00C5035A"/>
    <w:rsid w:val="00C507E4"/>
    <w:rsid w:val="00C538C0"/>
    <w:rsid w:val="00C545C5"/>
    <w:rsid w:val="00C5655D"/>
    <w:rsid w:val="00C60BC4"/>
    <w:rsid w:val="00C647ED"/>
    <w:rsid w:val="00C70A7E"/>
    <w:rsid w:val="00C70C63"/>
    <w:rsid w:val="00C71EC4"/>
    <w:rsid w:val="00C80E6C"/>
    <w:rsid w:val="00C81594"/>
    <w:rsid w:val="00C824CB"/>
    <w:rsid w:val="00C8350A"/>
    <w:rsid w:val="00C84BD1"/>
    <w:rsid w:val="00C8620E"/>
    <w:rsid w:val="00C907A7"/>
    <w:rsid w:val="00C90F33"/>
    <w:rsid w:val="00C92D4E"/>
    <w:rsid w:val="00C93B96"/>
    <w:rsid w:val="00C947C2"/>
    <w:rsid w:val="00C94B8A"/>
    <w:rsid w:val="00C978FD"/>
    <w:rsid w:val="00CA3F7E"/>
    <w:rsid w:val="00CA425A"/>
    <w:rsid w:val="00CA4D28"/>
    <w:rsid w:val="00CB0E14"/>
    <w:rsid w:val="00CB148E"/>
    <w:rsid w:val="00CB3B16"/>
    <w:rsid w:val="00CB7DF2"/>
    <w:rsid w:val="00CC2D93"/>
    <w:rsid w:val="00CC4738"/>
    <w:rsid w:val="00CC5A15"/>
    <w:rsid w:val="00CD15DB"/>
    <w:rsid w:val="00CD4A54"/>
    <w:rsid w:val="00CD6A19"/>
    <w:rsid w:val="00CE06B8"/>
    <w:rsid w:val="00CE1C02"/>
    <w:rsid w:val="00CE43BC"/>
    <w:rsid w:val="00CE46C9"/>
    <w:rsid w:val="00CF2316"/>
    <w:rsid w:val="00CF2AC5"/>
    <w:rsid w:val="00CF4B63"/>
    <w:rsid w:val="00CF5E96"/>
    <w:rsid w:val="00CF6932"/>
    <w:rsid w:val="00CF7294"/>
    <w:rsid w:val="00D02D56"/>
    <w:rsid w:val="00D038C7"/>
    <w:rsid w:val="00D05CAF"/>
    <w:rsid w:val="00D064CA"/>
    <w:rsid w:val="00D06589"/>
    <w:rsid w:val="00D06EC5"/>
    <w:rsid w:val="00D0791D"/>
    <w:rsid w:val="00D105EE"/>
    <w:rsid w:val="00D1136D"/>
    <w:rsid w:val="00D1255B"/>
    <w:rsid w:val="00D138D7"/>
    <w:rsid w:val="00D14F87"/>
    <w:rsid w:val="00D16BC3"/>
    <w:rsid w:val="00D23D3F"/>
    <w:rsid w:val="00D23E6D"/>
    <w:rsid w:val="00D24C33"/>
    <w:rsid w:val="00D3127C"/>
    <w:rsid w:val="00D31928"/>
    <w:rsid w:val="00D342D9"/>
    <w:rsid w:val="00D350AB"/>
    <w:rsid w:val="00D36DD6"/>
    <w:rsid w:val="00D37C17"/>
    <w:rsid w:val="00D415D1"/>
    <w:rsid w:val="00D41CC5"/>
    <w:rsid w:val="00D429F4"/>
    <w:rsid w:val="00D46D3A"/>
    <w:rsid w:val="00D50E94"/>
    <w:rsid w:val="00D5107E"/>
    <w:rsid w:val="00D56803"/>
    <w:rsid w:val="00D5686A"/>
    <w:rsid w:val="00D64D1B"/>
    <w:rsid w:val="00D67091"/>
    <w:rsid w:val="00D704A9"/>
    <w:rsid w:val="00D74CF0"/>
    <w:rsid w:val="00D77A35"/>
    <w:rsid w:val="00D82162"/>
    <w:rsid w:val="00D82BE4"/>
    <w:rsid w:val="00D82E96"/>
    <w:rsid w:val="00D83A8C"/>
    <w:rsid w:val="00D844F8"/>
    <w:rsid w:val="00D866F7"/>
    <w:rsid w:val="00D9006B"/>
    <w:rsid w:val="00D90A23"/>
    <w:rsid w:val="00D91FBB"/>
    <w:rsid w:val="00D92F46"/>
    <w:rsid w:val="00D9625E"/>
    <w:rsid w:val="00D962B3"/>
    <w:rsid w:val="00D97F29"/>
    <w:rsid w:val="00DA050D"/>
    <w:rsid w:val="00DA1297"/>
    <w:rsid w:val="00DA12D6"/>
    <w:rsid w:val="00DA1AD5"/>
    <w:rsid w:val="00DA361E"/>
    <w:rsid w:val="00DA3A92"/>
    <w:rsid w:val="00DA5015"/>
    <w:rsid w:val="00DA5C0C"/>
    <w:rsid w:val="00DA5FC6"/>
    <w:rsid w:val="00DA62E2"/>
    <w:rsid w:val="00DA6A55"/>
    <w:rsid w:val="00DA6B31"/>
    <w:rsid w:val="00DA7119"/>
    <w:rsid w:val="00DB2404"/>
    <w:rsid w:val="00DB2A2F"/>
    <w:rsid w:val="00DB3BB7"/>
    <w:rsid w:val="00DB40B7"/>
    <w:rsid w:val="00DB4396"/>
    <w:rsid w:val="00DB5ADB"/>
    <w:rsid w:val="00DB7F72"/>
    <w:rsid w:val="00DC05A9"/>
    <w:rsid w:val="00DC224C"/>
    <w:rsid w:val="00DC35CE"/>
    <w:rsid w:val="00DC5C45"/>
    <w:rsid w:val="00DC783E"/>
    <w:rsid w:val="00DC7966"/>
    <w:rsid w:val="00DC7ACB"/>
    <w:rsid w:val="00DD3644"/>
    <w:rsid w:val="00DD3E7C"/>
    <w:rsid w:val="00DD43AC"/>
    <w:rsid w:val="00DD6398"/>
    <w:rsid w:val="00DE14B9"/>
    <w:rsid w:val="00DE47E0"/>
    <w:rsid w:val="00DE4DA1"/>
    <w:rsid w:val="00DE52C0"/>
    <w:rsid w:val="00DE5414"/>
    <w:rsid w:val="00DE559B"/>
    <w:rsid w:val="00DE7CC0"/>
    <w:rsid w:val="00DF18FF"/>
    <w:rsid w:val="00E01103"/>
    <w:rsid w:val="00E05B14"/>
    <w:rsid w:val="00E0606B"/>
    <w:rsid w:val="00E07118"/>
    <w:rsid w:val="00E1139A"/>
    <w:rsid w:val="00E1575E"/>
    <w:rsid w:val="00E157EC"/>
    <w:rsid w:val="00E20591"/>
    <w:rsid w:val="00E223EC"/>
    <w:rsid w:val="00E22C48"/>
    <w:rsid w:val="00E26492"/>
    <w:rsid w:val="00E27AA8"/>
    <w:rsid w:val="00E30555"/>
    <w:rsid w:val="00E31641"/>
    <w:rsid w:val="00E32A09"/>
    <w:rsid w:val="00E33142"/>
    <w:rsid w:val="00E355C8"/>
    <w:rsid w:val="00E37082"/>
    <w:rsid w:val="00E426DB"/>
    <w:rsid w:val="00E44F58"/>
    <w:rsid w:val="00E451D7"/>
    <w:rsid w:val="00E535A9"/>
    <w:rsid w:val="00E535C5"/>
    <w:rsid w:val="00E538DF"/>
    <w:rsid w:val="00E57585"/>
    <w:rsid w:val="00E601FD"/>
    <w:rsid w:val="00E60894"/>
    <w:rsid w:val="00E66D37"/>
    <w:rsid w:val="00E730A9"/>
    <w:rsid w:val="00E73412"/>
    <w:rsid w:val="00E73A68"/>
    <w:rsid w:val="00E73D45"/>
    <w:rsid w:val="00E76690"/>
    <w:rsid w:val="00E815C6"/>
    <w:rsid w:val="00E822D5"/>
    <w:rsid w:val="00E833D8"/>
    <w:rsid w:val="00E8373E"/>
    <w:rsid w:val="00E83993"/>
    <w:rsid w:val="00E84468"/>
    <w:rsid w:val="00E87B74"/>
    <w:rsid w:val="00E91008"/>
    <w:rsid w:val="00E92ECC"/>
    <w:rsid w:val="00EA1989"/>
    <w:rsid w:val="00EA1A7C"/>
    <w:rsid w:val="00EA2957"/>
    <w:rsid w:val="00EA2FAD"/>
    <w:rsid w:val="00EA3D92"/>
    <w:rsid w:val="00EA697A"/>
    <w:rsid w:val="00EB29DB"/>
    <w:rsid w:val="00EB5216"/>
    <w:rsid w:val="00EC1911"/>
    <w:rsid w:val="00EC206D"/>
    <w:rsid w:val="00EC294A"/>
    <w:rsid w:val="00EC679A"/>
    <w:rsid w:val="00EE27DA"/>
    <w:rsid w:val="00EE287B"/>
    <w:rsid w:val="00EE4F7B"/>
    <w:rsid w:val="00EE51AA"/>
    <w:rsid w:val="00EE57B4"/>
    <w:rsid w:val="00EE799B"/>
    <w:rsid w:val="00EF0216"/>
    <w:rsid w:val="00EF09C1"/>
    <w:rsid w:val="00EF1CB5"/>
    <w:rsid w:val="00EF2276"/>
    <w:rsid w:val="00EF513C"/>
    <w:rsid w:val="00EF56FB"/>
    <w:rsid w:val="00F02C28"/>
    <w:rsid w:val="00F03F88"/>
    <w:rsid w:val="00F06BFD"/>
    <w:rsid w:val="00F10EF6"/>
    <w:rsid w:val="00F1174D"/>
    <w:rsid w:val="00F125F4"/>
    <w:rsid w:val="00F12AE5"/>
    <w:rsid w:val="00F14BC2"/>
    <w:rsid w:val="00F15ADA"/>
    <w:rsid w:val="00F167B0"/>
    <w:rsid w:val="00F2029C"/>
    <w:rsid w:val="00F20516"/>
    <w:rsid w:val="00F24E7D"/>
    <w:rsid w:val="00F25A3C"/>
    <w:rsid w:val="00F25AD7"/>
    <w:rsid w:val="00F3111B"/>
    <w:rsid w:val="00F320BA"/>
    <w:rsid w:val="00F33519"/>
    <w:rsid w:val="00F33A88"/>
    <w:rsid w:val="00F340E4"/>
    <w:rsid w:val="00F347FE"/>
    <w:rsid w:val="00F36011"/>
    <w:rsid w:val="00F4186F"/>
    <w:rsid w:val="00F41941"/>
    <w:rsid w:val="00F459A6"/>
    <w:rsid w:val="00F47542"/>
    <w:rsid w:val="00F4788F"/>
    <w:rsid w:val="00F516E3"/>
    <w:rsid w:val="00F51C55"/>
    <w:rsid w:val="00F54425"/>
    <w:rsid w:val="00F55F33"/>
    <w:rsid w:val="00F57486"/>
    <w:rsid w:val="00F61DCE"/>
    <w:rsid w:val="00F62125"/>
    <w:rsid w:val="00F63BAC"/>
    <w:rsid w:val="00F63DDA"/>
    <w:rsid w:val="00F669A3"/>
    <w:rsid w:val="00F67D59"/>
    <w:rsid w:val="00F710B8"/>
    <w:rsid w:val="00F71A37"/>
    <w:rsid w:val="00F7496D"/>
    <w:rsid w:val="00F774C2"/>
    <w:rsid w:val="00F822BC"/>
    <w:rsid w:val="00F829D4"/>
    <w:rsid w:val="00F8325C"/>
    <w:rsid w:val="00F90499"/>
    <w:rsid w:val="00F926C2"/>
    <w:rsid w:val="00F930D3"/>
    <w:rsid w:val="00F97793"/>
    <w:rsid w:val="00FA0E6F"/>
    <w:rsid w:val="00FA2711"/>
    <w:rsid w:val="00FA36E2"/>
    <w:rsid w:val="00FA51E4"/>
    <w:rsid w:val="00FB18B5"/>
    <w:rsid w:val="00FB2054"/>
    <w:rsid w:val="00FB5231"/>
    <w:rsid w:val="00FB7213"/>
    <w:rsid w:val="00FB74A2"/>
    <w:rsid w:val="00FC3027"/>
    <w:rsid w:val="00FC4395"/>
    <w:rsid w:val="00FC50F2"/>
    <w:rsid w:val="00FC5607"/>
    <w:rsid w:val="00FC74BB"/>
    <w:rsid w:val="00FD3D6F"/>
    <w:rsid w:val="00FD5FAE"/>
    <w:rsid w:val="00FE0C5E"/>
    <w:rsid w:val="00FE213B"/>
    <w:rsid w:val="00FE24DA"/>
    <w:rsid w:val="00FE288B"/>
    <w:rsid w:val="00FE2B89"/>
    <w:rsid w:val="00FE48E7"/>
    <w:rsid w:val="00FE48FD"/>
    <w:rsid w:val="00FE5E99"/>
    <w:rsid w:val="00FE6760"/>
    <w:rsid w:val="00FE78CC"/>
    <w:rsid w:val="00FF156E"/>
    <w:rsid w:val="00FF1C35"/>
    <w:rsid w:val="00FF233F"/>
    <w:rsid w:val="00FF358E"/>
    <w:rsid w:val="00FF3799"/>
    <w:rsid w:val="00FF4291"/>
    <w:rsid w:val="00FF4AEF"/>
    <w:rsid w:val="00FF4C3B"/>
    <w:rsid w:val="00FF55F0"/>
    <w:rsid w:val="00FF7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3CCFB94"/>
  <w14:defaultImageDpi w14:val="300"/>
  <w15:docId w15:val="{52040D93-884E-A747-8CCB-5045D5F5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373"/>
    <w:rPr>
      <w:rFonts w:ascii="Lucida Grande" w:hAnsi="Lucida Grande"/>
      <w:sz w:val="18"/>
      <w:szCs w:val="18"/>
    </w:rPr>
  </w:style>
  <w:style w:type="character" w:customStyle="1" w:styleId="BalloonTextChar">
    <w:name w:val="Balloon Text Char"/>
    <w:basedOn w:val="DefaultParagraphFont"/>
    <w:link w:val="BalloonText"/>
    <w:uiPriority w:val="99"/>
    <w:semiHidden/>
    <w:rsid w:val="00BB2373"/>
    <w:rPr>
      <w:rFonts w:ascii="Lucida Grande" w:hAnsi="Lucida Grande"/>
      <w:sz w:val="18"/>
      <w:szCs w:val="18"/>
    </w:rPr>
  </w:style>
  <w:style w:type="character" w:customStyle="1" w:styleId="highlight">
    <w:name w:val="highlight"/>
    <w:basedOn w:val="DefaultParagraphFont"/>
    <w:rsid w:val="00D82BE4"/>
  </w:style>
  <w:style w:type="paragraph" w:customStyle="1" w:styleId="EndNoteBibliographyTitle">
    <w:name w:val="EndNote Bibliography Title"/>
    <w:basedOn w:val="Normal"/>
    <w:rsid w:val="00A940C8"/>
    <w:pPr>
      <w:jc w:val="center"/>
    </w:pPr>
    <w:rPr>
      <w:rFonts w:cs="Times New Roman"/>
    </w:rPr>
  </w:style>
  <w:style w:type="paragraph" w:customStyle="1" w:styleId="EndNoteBibliography">
    <w:name w:val="EndNote Bibliography"/>
    <w:basedOn w:val="Normal"/>
    <w:rsid w:val="00A940C8"/>
    <w:rPr>
      <w:rFonts w:cs="Times New Roman"/>
    </w:rPr>
  </w:style>
  <w:style w:type="character" w:styleId="CommentReference">
    <w:name w:val="annotation reference"/>
    <w:basedOn w:val="DefaultParagraphFont"/>
    <w:uiPriority w:val="99"/>
    <w:semiHidden/>
    <w:unhideWhenUsed/>
    <w:rsid w:val="007B04F6"/>
    <w:rPr>
      <w:sz w:val="18"/>
      <w:szCs w:val="18"/>
    </w:rPr>
  </w:style>
  <w:style w:type="paragraph" w:styleId="CommentText">
    <w:name w:val="annotation text"/>
    <w:basedOn w:val="Normal"/>
    <w:link w:val="CommentTextChar"/>
    <w:uiPriority w:val="99"/>
    <w:unhideWhenUsed/>
    <w:rsid w:val="007B04F6"/>
  </w:style>
  <w:style w:type="character" w:customStyle="1" w:styleId="CommentTextChar">
    <w:name w:val="Comment Text Char"/>
    <w:basedOn w:val="DefaultParagraphFont"/>
    <w:link w:val="CommentText"/>
    <w:uiPriority w:val="99"/>
    <w:rsid w:val="007B04F6"/>
  </w:style>
  <w:style w:type="paragraph" w:styleId="CommentSubject">
    <w:name w:val="annotation subject"/>
    <w:basedOn w:val="CommentText"/>
    <w:next w:val="CommentText"/>
    <w:link w:val="CommentSubjectChar"/>
    <w:uiPriority w:val="99"/>
    <w:semiHidden/>
    <w:unhideWhenUsed/>
    <w:rsid w:val="007B04F6"/>
    <w:rPr>
      <w:b/>
      <w:bCs/>
      <w:sz w:val="20"/>
      <w:szCs w:val="20"/>
    </w:rPr>
  </w:style>
  <w:style w:type="character" w:customStyle="1" w:styleId="CommentSubjectChar">
    <w:name w:val="Comment Subject Char"/>
    <w:basedOn w:val="CommentTextChar"/>
    <w:link w:val="CommentSubject"/>
    <w:uiPriority w:val="99"/>
    <w:semiHidden/>
    <w:rsid w:val="007B04F6"/>
    <w:rPr>
      <w:b/>
      <w:bCs/>
      <w:sz w:val="20"/>
      <w:szCs w:val="20"/>
    </w:rPr>
  </w:style>
  <w:style w:type="paragraph" w:styleId="Title">
    <w:name w:val="Title"/>
    <w:aliases w:val="title"/>
    <w:basedOn w:val="Normal"/>
    <w:link w:val="TitleChar"/>
    <w:uiPriority w:val="10"/>
    <w:qFormat/>
    <w:rsid w:val="007B04F6"/>
    <w:pPr>
      <w:spacing w:before="100" w:beforeAutospacing="1" w:after="100" w:afterAutospacing="1"/>
    </w:pPr>
    <w:rPr>
      <w:rFonts w:ascii="Times" w:hAnsi="Times"/>
      <w:sz w:val="20"/>
      <w:szCs w:val="20"/>
      <w:lang w:val="en-GB"/>
    </w:rPr>
  </w:style>
  <w:style w:type="character" w:customStyle="1" w:styleId="TitleChar">
    <w:name w:val="Title Char"/>
    <w:aliases w:val="title Char"/>
    <w:basedOn w:val="DefaultParagraphFont"/>
    <w:link w:val="Title"/>
    <w:uiPriority w:val="10"/>
    <w:rsid w:val="007B04F6"/>
    <w:rPr>
      <w:rFonts w:ascii="Times" w:hAnsi="Times"/>
      <w:sz w:val="20"/>
      <w:szCs w:val="20"/>
      <w:lang w:val="en-GB"/>
    </w:rPr>
  </w:style>
  <w:style w:type="character" w:styleId="Hyperlink">
    <w:name w:val="Hyperlink"/>
    <w:basedOn w:val="DefaultParagraphFont"/>
    <w:uiPriority w:val="99"/>
    <w:unhideWhenUsed/>
    <w:rsid w:val="007B04F6"/>
    <w:rPr>
      <w:color w:val="0000FF"/>
      <w:u w:val="single"/>
    </w:rPr>
  </w:style>
  <w:style w:type="paragraph" w:customStyle="1" w:styleId="desc">
    <w:name w:val="desc"/>
    <w:basedOn w:val="Normal"/>
    <w:rsid w:val="007B04F6"/>
    <w:pPr>
      <w:spacing w:before="100" w:beforeAutospacing="1" w:after="100" w:afterAutospacing="1"/>
    </w:pPr>
    <w:rPr>
      <w:rFonts w:ascii="Times" w:hAnsi="Times"/>
      <w:sz w:val="20"/>
      <w:szCs w:val="20"/>
      <w:lang w:val="en-GB"/>
    </w:rPr>
  </w:style>
  <w:style w:type="paragraph" w:customStyle="1" w:styleId="details">
    <w:name w:val="details"/>
    <w:basedOn w:val="Normal"/>
    <w:rsid w:val="007B04F6"/>
    <w:pPr>
      <w:spacing w:before="100" w:beforeAutospacing="1" w:after="100" w:afterAutospacing="1"/>
    </w:pPr>
    <w:rPr>
      <w:rFonts w:ascii="Times" w:hAnsi="Times"/>
      <w:sz w:val="20"/>
      <w:szCs w:val="20"/>
      <w:lang w:val="en-GB"/>
    </w:rPr>
  </w:style>
  <w:style w:type="character" w:customStyle="1" w:styleId="jrnl">
    <w:name w:val="jrnl"/>
    <w:basedOn w:val="DefaultParagraphFont"/>
    <w:rsid w:val="007B04F6"/>
  </w:style>
  <w:style w:type="paragraph" w:styleId="Bibliography">
    <w:name w:val="Bibliography"/>
    <w:basedOn w:val="Normal"/>
    <w:next w:val="Normal"/>
    <w:uiPriority w:val="37"/>
    <w:unhideWhenUsed/>
    <w:rsid w:val="00B7124F"/>
    <w:pPr>
      <w:tabs>
        <w:tab w:val="left" w:pos="384"/>
      </w:tabs>
      <w:spacing w:after="240"/>
      <w:ind w:left="384" w:hanging="384"/>
    </w:pPr>
  </w:style>
  <w:style w:type="paragraph" w:styleId="Revision">
    <w:name w:val="Revision"/>
    <w:hidden/>
    <w:uiPriority w:val="99"/>
    <w:semiHidden/>
    <w:rsid w:val="00B64B7E"/>
  </w:style>
  <w:style w:type="paragraph" w:styleId="Header">
    <w:name w:val="header"/>
    <w:basedOn w:val="Normal"/>
    <w:link w:val="HeaderChar"/>
    <w:uiPriority w:val="99"/>
    <w:unhideWhenUsed/>
    <w:rsid w:val="009D60A5"/>
    <w:pPr>
      <w:tabs>
        <w:tab w:val="center" w:pos="4536"/>
        <w:tab w:val="right" w:pos="9072"/>
      </w:tabs>
    </w:pPr>
  </w:style>
  <w:style w:type="character" w:customStyle="1" w:styleId="HeaderChar">
    <w:name w:val="Header Char"/>
    <w:basedOn w:val="DefaultParagraphFont"/>
    <w:link w:val="Header"/>
    <w:uiPriority w:val="99"/>
    <w:rsid w:val="009D60A5"/>
  </w:style>
  <w:style w:type="paragraph" w:styleId="Footer">
    <w:name w:val="footer"/>
    <w:basedOn w:val="Normal"/>
    <w:link w:val="FooterChar"/>
    <w:uiPriority w:val="99"/>
    <w:unhideWhenUsed/>
    <w:rsid w:val="009D60A5"/>
    <w:pPr>
      <w:tabs>
        <w:tab w:val="center" w:pos="4536"/>
        <w:tab w:val="right" w:pos="9072"/>
      </w:tabs>
    </w:pPr>
  </w:style>
  <w:style w:type="character" w:customStyle="1" w:styleId="FooterChar">
    <w:name w:val="Footer Char"/>
    <w:basedOn w:val="DefaultParagraphFont"/>
    <w:link w:val="Footer"/>
    <w:uiPriority w:val="99"/>
    <w:rsid w:val="009D60A5"/>
  </w:style>
  <w:style w:type="character" w:styleId="FollowedHyperlink">
    <w:name w:val="FollowedHyperlink"/>
    <w:basedOn w:val="DefaultParagraphFont"/>
    <w:uiPriority w:val="99"/>
    <w:semiHidden/>
    <w:unhideWhenUsed/>
    <w:rsid w:val="0070564E"/>
    <w:rPr>
      <w:color w:val="800080" w:themeColor="followedHyperlink"/>
      <w:u w:val="single"/>
    </w:rPr>
  </w:style>
  <w:style w:type="paragraph" w:styleId="NormalWeb">
    <w:name w:val="Normal (Web)"/>
    <w:basedOn w:val="Normal"/>
    <w:uiPriority w:val="99"/>
    <w:unhideWhenUsed/>
    <w:rsid w:val="00CD4A54"/>
    <w:pPr>
      <w:spacing w:before="100" w:beforeAutospacing="1" w:after="100" w:afterAutospacing="1"/>
    </w:pPr>
    <w:rPr>
      <w:rFonts w:eastAsia="Times New Roman" w:cs="Times New Roman"/>
      <w:lang w:val="fr-FR" w:eastAsia="fr-FR"/>
    </w:rPr>
  </w:style>
  <w:style w:type="character" w:styleId="PageNumber">
    <w:name w:val="page number"/>
    <w:basedOn w:val="DefaultParagraphFont"/>
    <w:uiPriority w:val="99"/>
    <w:semiHidden/>
    <w:unhideWhenUsed/>
    <w:rsid w:val="00C21714"/>
  </w:style>
  <w:style w:type="paragraph" w:customStyle="1" w:styleId="Bibliographie1">
    <w:name w:val="Bibliographie1"/>
    <w:basedOn w:val="Normal"/>
    <w:link w:val="BibliographyCar"/>
    <w:rsid w:val="00BB2249"/>
    <w:pPr>
      <w:tabs>
        <w:tab w:val="left" w:pos="0"/>
        <w:tab w:val="left" w:pos="500"/>
      </w:tabs>
      <w:spacing w:after="240"/>
      <w:ind w:left="504" w:hanging="504"/>
      <w:jc w:val="both"/>
    </w:pPr>
    <w:rPr>
      <w:rFonts w:ascii="Arial" w:hAnsi="Arial" w:cs="Arial"/>
    </w:rPr>
  </w:style>
  <w:style w:type="character" w:customStyle="1" w:styleId="BibliographyCar">
    <w:name w:val="Bibliography Car"/>
    <w:basedOn w:val="DefaultParagraphFont"/>
    <w:link w:val="Bibliographie1"/>
    <w:rsid w:val="00BB2249"/>
    <w:rPr>
      <w:rFonts w:ascii="Arial" w:hAnsi="Arial" w:cs="Arial"/>
    </w:rPr>
  </w:style>
  <w:style w:type="paragraph" w:customStyle="1" w:styleId="Bibliographie2">
    <w:name w:val="Bibliographie2"/>
    <w:basedOn w:val="Normal"/>
    <w:link w:val="BibliographyCar1"/>
    <w:rsid w:val="0070743B"/>
    <w:pPr>
      <w:tabs>
        <w:tab w:val="left" w:pos="0"/>
        <w:tab w:val="left" w:pos="500"/>
      </w:tabs>
      <w:spacing w:after="240"/>
      <w:ind w:left="504" w:hanging="504"/>
      <w:jc w:val="both"/>
    </w:pPr>
    <w:rPr>
      <w:rFonts w:ascii="Arial" w:hAnsi="Arial" w:cs="Arial"/>
    </w:rPr>
  </w:style>
  <w:style w:type="character" w:customStyle="1" w:styleId="BibliographyCar1">
    <w:name w:val="Bibliography Car1"/>
    <w:basedOn w:val="DefaultParagraphFont"/>
    <w:link w:val="Bibliographie2"/>
    <w:rsid w:val="0070743B"/>
    <w:rPr>
      <w:rFonts w:ascii="Arial" w:hAnsi="Arial" w:cs="Arial"/>
    </w:rPr>
  </w:style>
  <w:style w:type="paragraph" w:customStyle="1" w:styleId="Bibliographie3">
    <w:name w:val="Bibliographie3"/>
    <w:basedOn w:val="Normal"/>
    <w:link w:val="BibliographyCar2"/>
    <w:rsid w:val="006B61B5"/>
    <w:pPr>
      <w:tabs>
        <w:tab w:val="left" w:pos="0"/>
        <w:tab w:val="left" w:pos="500"/>
      </w:tabs>
      <w:spacing w:after="240"/>
      <w:ind w:left="504" w:hanging="504"/>
      <w:jc w:val="both"/>
    </w:pPr>
    <w:rPr>
      <w:rFonts w:ascii="Arial" w:hAnsi="Arial" w:cs="Arial"/>
    </w:rPr>
  </w:style>
  <w:style w:type="character" w:customStyle="1" w:styleId="BibliographyCar2">
    <w:name w:val="Bibliography Car2"/>
    <w:basedOn w:val="DefaultParagraphFont"/>
    <w:link w:val="Bibliographie3"/>
    <w:rsid w:val="006B61B5"/>
    <w:rPr>
      <w:rFonts w:ascii="Arial" w:hAnsi="Arial" w:cs="Arial"/>
    </w:rPr>
  </w:style>
  <w:style w:type="paragraph" w:customStyle="1" w:styleId="Bibliography1">
    <w:name w:val="Bibliography1"/>
    <w:basedOn w:val="Normal"/>
    <w:link w:val="BibliographyCar3"/>
    <w:rsid w:val="004D2938"/>
    <w:pPr>
      <w:tabs>
        <w:tab w:val="left" w:pos="500"/>
      </w:tabs>
      <w:ind w:left="504" w:hanging="504"/>
      <w:jc w:val="both"/>
    </w:pPr>
    <w:rPr>
      <w:rFonts w:ascii="Arial" w:hAnsi="Arial" w:cs="Arial"/>
    </w:rPr>
  </w:style>
  <w:style w:type="character" w:customStyle="1" w:styleId="BibliographyCar3">
    <w:name w:val="Bibliography Car3"/>
    <w:basedOn w:val="DefaultParagraphFont"/>
    <w:link w:val="Bibliography1"/>
    <w:rsid w:val="004D2938"/>
    <w:rPr>
      <w:rFonts w:ascii="Arial" w:hAnsi="Arial" w:cs="Arial"/>
    </w:rPr>
  </w:style>
  <w:style w:type="table" w:styleId="TableGrid">
    <w:name w:val="Table Grid"/>
    <w:basedOn w:val="TableNormal"/>
    <w:uiPriority w:val="59"/>
    <w:rsid w:val="00C824CB"/>
    <w:rPr>
      <w:rFonts w:asciiTheme="minorHAnsi" w:hAnsiTheme="minorHAns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8288">
      <w:bodyDiv w:val="1"/>
      <w:marLeft w:val="0"/>
      <w:marRight w:val="0"/>
      <w:marTop w:val="0"/>
      <w:marBottom w:val="0"/>
      <w:divBdr>
        <w:top w:val="none" w:sz="0" w:space="0" w:color="auto"/>
        <w:left w:val="none" w:sz="0" w:space="0" w:color="auto"/>
        <w:bottom w:val="none" w:sz="0" w:space="0" w:color="auto"/>
        <w:right w:val="none" w:sz="0" w:space="0" w:color="auto"/>
      </w:divBdr>
      <w:divsChild>
        <w:div w:id="1693847149">
          <w:marLeft w:val="0"/>
          <w:marRight w:val="0"/>
          <w:marTop w:val="0"/>
          <w:marBottom w:val="0"/>
          <w:divBdr>
            <w:top w:val="none" w:sz="0" w:space="0" w:color="auto"/>
            <w:left w:val="none" w:sz="0" w:space="0" w:color="auto"/>
            <w:bottom w:val="none" w:sz="0" w:space="0" w:color="auto"/>
            <w:right w:val="none" w:sz="0" w:space="0" w:color="auto"/>
          </w:divBdr>
          <w:divsChild>
            <w:div w:id="444806994">
              <w:marLeft w:val="0"/>
              <w:marRight w:val="0"/>
              <w:marTop w:val="0"/>
              <w:marBottom w:val="0"/>
              <w:divBdr>
                <w:top w:val="none" w:sz="0" w:space="0" w:color="auto"/>
                <w:left w:val="none" w:sz="0" w:space="0" w:color="auto"/>
                <w:bottom w:val="none" w:sz="0" w:space="0" w:color="auto"/>
                <w:right w:val="none" w:sz="0" w:space="0" w:color="auto"/>
              </w:divBdr>
              <w:divsChild>
                <w:div w:id="16108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0192">
      <w:bodyDiv w:val="1"/>
      <w:marLeft w:val="0"/>
      <w:marRight w:val="0"/>
      <w:marTop w:val="0"/>
      <w:marBottom w:val="0"/>
      <w:divBdr>
        <w:top w:val="none" w:sz="0" w:space="0" w:color="auto"/>
        <w:left w:val="none" w:sz="0" w:space="0" w:color="auto"/>
        <w:bottom w:val="none" w:sz="0" w:space="0" w:color="auto"/>
        <w:right w:val="none" w:sz="0" w:space="0" w:color="auto"/>
      </w:divBdr>
    </w:div>
    <w:div w:id="424881651">
      <w:bodyDiv w:val="1"/>
      <w:marLeft w:val="0"/>
      <w:marRight w:val="0"/>
      <w:marTop w:val="0"/>
      <w:marBottom w:val="0"/>
      <w:divBdr>
        <w:top w:val="none" w:sz="0" w:space="0" w:color="auto"/>
        <w:left w:val="none" w:sz="0" w:space="0" w:color="auto"/>
        <w:bottom w:val="none" w:sz="0" w:space="0" w:color="auto"/>
        <w:right w:val="none" w:sz="0" w:space="0" w:color="auto"/>
      </w:divBdr>
      <w:divsChild>
        <w:div w:id="1580285066">
          <w:marLeft w:val="0"/>
          <w:marRight w:val="0"/>
          <w:marTop w:val="0"/>
          <w:marBottom w:val="0"/>
          <w:divBdr>
            <w:top w:val="none" w:sz="0" w:space="0" w:color="auto"/>
            <w:left w:val="none" w:sz="0" w:space="0" w:color="auto"/>
            <w:bottom w:val="none" w:sz="0" w:space="0" w:color="auto"/>
            <w:right w:val="none" w:sz="0" w:space="0" w:color="auto"/>
          </w:divBdr>
          <w:divsChild>
            <w:div w:id="673340969">
              <w:marLeft w:val="0"/>
              <w:marRight w:val="0"/>
              <w:marTop w:val="0"/>
              <w:marBottom w:val="0"/>
              <w:divBdr>
                <w:top w:val="none" w:sz="0" w:space="0" w:color="auto"/>
                <w:left w:val="none" w:sz="0" w:space="0" w:color="auto"/>
                <w:bottom w:val="none" w:sz="0" w:space="0" w:color="auto"/>
                <w:right w:val="none" w:sz="0" w:space="0" w:color="auto"/>
              </w:divBdr>
              <w:divsChild>
                <w:div w:id="11285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42740">
      <w:bodyDiv w:val="1"/>
      <w:marLeft w:val="0"/>
      <w:marRight w:val="0"/>
      <w:marTop w:val="0"/>
      <w:marBottom w:val="0"/>
      <w:divBdr>
        <w:top w:val="none" w:sz="0" w:space="0" w:color="auto"/>
        <w:left w:val="none" w:sz="0" w:space="0" w:color="auto"/>
        <w:bottom w:val="none" w:sz="0" w:space="0" w:color="auto"/>
        <w:right w:val="none" w:sz="0" w:space="0" w:color="auto"/>
      </w:divBdr>
      <w:divsChild>
        <w:div w:id="924531440">
          <w:marLeft w:val="0"/>
          <w:marRight w:val="0"/>
          <w:marTop w:val="0"/>
          <w:marBottom w:val="0"/>
          <w:divBdr>
            <w:top w:val="none" w:sz="0" w:space="0" w:color="auto"/>
            <w:left w:val="none" w:sz="0" w:space="0" w:color="auto"/>
            <w:bottom w:val="none" w:sz="0" w:space="0" w:color="auto"/>
            <w:right w:val="none" w:sz="0" w:space="0" w:color="auto"/>
          </w:divBdr>
          <w:divsChild>
            <w:div w:id="1968782055">
              <w:marLeft w:val="0"/>
              <w:marRight w:val="0"/>
              <w:marTop w:val="0"/>
              <w:marBottom w:val="0"/>
              <w:divBdr>
                <w:top w:val="none" w:sz="0" w:space="0" w:color="auto"/>
                <w:left w:val="none" w:sz="0" w:space="0" w:color="auto"/>
                <w:bottom w:val="none" w:sz="0" w:space="0" w:color="auto"/>
                <w:right w:val="none" w:sz="0" w:space="0" w:color="auto"/>
              </w:divBdr>
              <w:divsChild>
                <w:div w:id="889537016">
                  <w:marLeft w:val="0"/>
                  <w:marRight w:val="0"/>
                  <w:marTop w:val="0"/>
                  <w:marBottom w:val="0"/>
                  <w:divBdr>
                    <w:top w:val="none" w:sz="0" w:space="0" w:color="auto"/>
                    <w:left w:val="none" w:sz="0" w:space="0" w:color="auto"/>
                    <w:bottom w:val="none" w:sz="0" w:space="0" w:color="auto"/>
                    <w:right w:val="none" w:sz="0" w:space="0" w:color="auto"/>
                  </w:divBdr>
                  <w:divsChild>
                    <w:div w:id="3736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68959">
      <w:bodyDiv w:val="1"/>
      <w:marLeft w:val="0"/>
      <w:marRight w:val="0"/>
      <w:marTop w:val="0"/>
      <w:marBottom w:val="0"/>
      <w:divBdr>
        <w:top w:val="none" w:sz="0" w:space="0" w:color="auto"/>
        <w:left w:val="none" w:sz="0" w:space="0" w:color="auto"/>
        <w:bottom w:val="none" w:sz="0" w:space="0" w:color="auto"/>
        <w:right w:val="none" w:sz="0" w:space="0" w:color="auto"/>
      </w:divBdr>
      <w:divsChild>
        <w:div w:id="175578103">
          <w:marLeft w:val="0"/>
          <w:marRight w:val="0"/>
          <w:marTop w:val="0"/>
          <w:marBottom w:val="0"/>
          <w:divBdr>
            <w:top w:val="none" w:sz="0" w:space="0" w:color="auto"/>
            <w:left w:val="none" w:sz="0" w:space="0" w:color="auto"/>
            <w:bottom w:val="none" w:sz="0" w:space="0" w:color="auto"/>
            <w:right w:val="none" w:sz="0" w:space="0" w:color="auto"/>
          </w:divBdr>
        </w:div>
        <w:div w:id="1492019945">
          <w:marLeft w:val="0"/>
          <w:marRight w:val="0"/>
          <w:marTop w:val="0"/>
          <w:marBottom w:val="0"/>
          <w:divBdr>
            <w:top w:val="none" w:sz="0" w:space="0" w:color="auto"/>
            <w:left w:val="none" w:sz="0" w:space="0" w:color="auto"/>
            <w:bottom w:val="none" w:sz="0" w:space="0" w:color="auto"/>
            <w:right w:val="none" w:sz="0" w:space="0" w:color="auto"/>
          </w:divBdr>
        </w:div>
        <w:div w:id="407963802">
          <w:marLeft w:val="0"/>
          <w:marRight w:val="0"/>
          <w:marTop w:val="0"/>
          <w:marBottom w:val="0"/>
          <w:divBdr>
            <w:top w:val="none" w:sz="0" w:space="0" w:color="auto"/>
            <w:left w:val="none" w:sz="0" w:space="0" w:color="auto"/>
            <w:bottom w:val="none" w:sz="0" w:space="0" w:color="auto"/>
            <w:right w:val="none" w:sz="0" w:space="0" w:color="auto"/>
          </w:divBdr>
        </w:div>
        <w:div w:id="345641905">
          <w:marLeft w:val="0"/>
          <w:marRight w:val="0"/>
          <w:marTop w:val="0"/>
          <w:marBottom w:val="0"/>
          <w:divBdr>
            <w:top w:val="none" w:sz="0" w:space="0" w:color="auto"/>
            <w:left w:val="none" w:sz="0" w:space="0" w:color="auto"/>
            <w:bottom w:val="none" w:sz="0" w:space="0" w:color="auto"/>
            <w:right w:val="none" w:sz="0" w:space="0" w:color="auto"/>
          </w:divBdr>
        </w:div>
        <w:div w:id="1999262561">
          <w:marLeft w:val="0"/>
          <w:marRight w:val="0"/>
          <w:marTop w:val="0"/>
          <w:marBottom w:val="0"/>
          <w:divBdr>
            <w:top w:val="none" w:sz="0" w:space="0" w:color="auto"/>
            <w:left w:val="none" w:sz="0" w:space="0" w:color="auto"/>
            <w:bottom w:val="none" w:sz="0" w:space="0" w:color="auto"/>
            <w:right w:val="none" w:sz="0" w:space="0" w:color="auto"/>
          </w:divBdr>
        </w:div>
        <w:div w:id="1175923931">
          <w:marLeft w:val="0"/>
          <w:marRight w:val="0"/>
          <w:marTop w:val="0"/>
          <w:marBottom w:val="0"/>
          <w:divBdr>
            <w:top w:val="none" w:sz="0" w:space="0" w:color="auto"/>
            <w:left w:val="none" w:sz="0" w:space="0" w:color="auto"/>
            <w:bottom w:val="none" w:sz="0" w:space="0" w:color="auto"/>
            <w:right w:val="none" w:sz="0" w:space="0" w:color="auto"/>
          </w:divBdr>
        </w:div>
        <w:div w:id="1393239241">
          <w:marLeft w:val="0"/>
          <w:marRight w:val="0"/>
          <w:marTop w:val="0"/>
          <w:marBottom w:val="0"/>
          <w:divBdr>
            <w:top w:val="none" w:sz="0" w:space="0" w:color="auto"/>
            <w:left w:val="none" w:sz="0" w:space="0" w:color="auto"/>
            <w:bottom w:val="none" w:sz="0" w:space="0" w:color="auto"/>
            <w:right w:val="none" w:sz="0" w:space="0" w:color="auto"/>
          </w:divBdr>
        </w:div>
        <w:div w:id="1052579648">
          <w:marLeft w:val="0"/>
          <w:marRight w:val="0"/>
          <w:marTop w:val="0"/>
          <w:marBottom w:val="0"/>
          <w:divBdr>
            <w:top w:val="none" w:sz="0" w:space="0" w:color="auto"/>
            <w:left w:val="none" w:sz="0" w:space="0" w:color="auto"/>
            <w:bottom w:val="none" w:sz="0" w:space="0" w:color="auto"/>
            <w:right w:val="none" w:sz="0" w:space="0" w:color="auto"/>
          </w:divBdr>
        </w:div>
        <w:div w:id="91558084">
          <w:marLeft w:val="0"/>
          <w:marRight w:val="0"/>
          <w:marTop w:val="0"/>
          <w:marBottom w:val="0"/>
          <w:divBdr>
            <w:top w:val="none" w:sz="0" w:space="0" w:color="auto"/>
            <w:left w:val="none" w:sz="0" w:space="0" w:color="auto"/>
            <w:bottom w:val="none" w:sz="0" w:space="0" w:color="auto"/>
            <w:right w:val="none" w:sz="0" w:space="0" w:color="auto"/>
          </w:divBdr>
        </w:div>
      </w:divsChild>
    </w:div>
    <w:div w:id="702632521">
      <w:bodyDiv w:val="1"/>
      <w:marLeft w:val="0"/>
      <w:marRight w:val="0"/>
      <w:marTop w:val="0"/>
      <w:marBottom w:val="0"/>
      <w:divBdr>
        <w:top w:val="none" w:sz="0" w:space="0" w:color="auto"/>
        <w:left w:val="none" w:sz="0" w:space="0" w:color="auto"/>
        <w:bottom w:val="none" w:sz="0" w:space="0" w:color="auto"/>
        <w:right w:val="none" w:sz="0" w:space="0" w:color="auto"/>
      </w:divBdr>
      <w:divsChild>
        <w:div w:id="235671160">
          <w:marLeft w:val="0"/>
          <w:marRight w:val="0"/>
          <w:marTop w:val="0"/>
          <w:marBottom w:val="0"/>
          <w:divBdr>
            <w:top w:val="none" w:sz="0" w:space="0" w:color="auto"/>
            <w:left w:val="none" w:sz="0" w:space="0" w:color="auto"/>
            <w:bottom w:val="none" w:sz="0" w:space="0" w:color="auto"/>
            <w:right w:val="none" w:sz="0" w:space="0" w:color="auto"/>
          </w:divBdr>
          <w:divsChild>
            <w:div w:id="1469399225">
              <w:marLeft w:val="0"/>
              <w:marRight w:val="0"/>
              <w:marTop w:val="0"/>
              <w:marBottom w:val="0"/>
              <w:divBdr>
                <w:top w:val="none" w:sz="0" w:space="0" w:color="auto"/>
                <w:left w:val="none" w:sz="0" w:space="0" w:color="auto"/>
                <w:bottom w:val="none" w:sz="0" w:space="0" w:color="auto"/>
                <w:right w:val="none" w:sz="0" w:space="0" w:color="auto"/>
              </w:divBdr>
              <w:divsChild>
                <w:div w:id="17925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7420">
      <w:bodyDiv w:val="1"/>
      <w:marLeft w:val="0"/>
      <w:marRight w:val="0"/>
      <w:marTop w:val="0"/>
      <w:marBottom w:val="0"/>
      <w:divBdr>
        <w:top w:val="none" w:sz="0" w:space="0" w:color="auto"/>
        <w:left w:val="none" w:sz="0" w:space="0" w:color="auto"/>
        <w:bottom w:val="none" w:sz="0" w:space="0" w:color="auto"/>
        <w:right w:val="none" w:sz="0" w:space="0" w:color="auto"/>
      </w:divBdr>
      <w:divsChild>
        <w:div w:id="770054410">
          <w:marLeft w:val="0"/>
          <w:marRight w:val="0"/>
          <w:marTop w:val="0"/>
          <w:marBottom w:val="0"/>
          <w:divBdr>
            <w:top w:val="none" w:sz="0" w:space="0" w:color="auto"/>
            <w:left w:val="none" w:sz="0" w:space="0" w:color="auto"/>
            <w:bottom w:val="none" w:sz="0" w:space="0" w:color="auto"/>
            <w:right w:val="none" w:sz="0" w:space="0" w:color="auto"/>
          </w:divBdr>
          <w:divsChild>
            <w:div w:id="880021012">
              <w:marLeft w:val="0"/>
              <w:marRight w:val="0"/>
              <w:marTop w:val="0"/>
              <w:marBottom w:val="0"/>
              <w:divBdr>
                <w:top w:val="none" w:sz="0" w:space="0" w:color="auto"/>
                <w:left w:val="none" w:sz="0" w:space="0" w:color="auto"/>
                <w:bottom w:val="none" w:sz="0" w:space="0" w:color="auto"/>
                <w:right w:val="none" w:sz="0" w:space="0" w:color="auto"/>
              </w:divBdr>
              <w:divsChild>
                <w:div w:id="13069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6757">
      <w:bodyDiv w:val="1"/>
      <w:marLeft w:val="0"/>
      <w:marRight w:val="0"/>
      <w:marTop w:val="0"/>
      <w:marBottom w:val="0"/>
      <w:divBdr>
        <w:top w:val="none" w:sz="0" w:space="0" w:color="auto"/>
        <w:left w:val="none" w:sz="0" w:space="0" w:color="auto"/>
        <w:bottom w:val="none" w:sz="0" w:space="0" w:color="auto"/>
        <w:right w:val="none" w:sz="0" w:space="0" w:color="auto"/>
      </w:divBdr>
      <w:divsChild>
        <w:div w:id="456070413">
          <w:marLeft w:val="0"/>
          <w:marRight w:val="0"/>
          <w:marTop w:val="0"/>
          <w:marBottom w:val="0"/>
          <w:divBdr>
            <w:top w:val="none" w:sz="0" w:space="0" w:color="auto"/>
            <w:left w:val="none" w:sz="0" w:space="0" w:color="auto"/>
            <w:bottom w:val="none" w:sz="0" w:space="0" w:color="auto"/>
            <w:right w:val="none" w:sz="0" w:space="0" w:color="auto"/>
          </w:divBdr>
        </w:div>
      </w:divsChild>
    </w:div>
    <w:div w:id="887648476">
      <w:bodyDiv w:val="1"/>
      <w:marLeft w:val="0"/>
      <w:marRight w:val="0"/>
      <w:marTop w:val="0"/>
      <w:marBottom w:val="0"/>
      <w:divBdr>
        <w:top w:val="none" w:sz="0" w:space="0" w:color="auto"/>
        <w:left w:val="none" w:sz="0" w:space="0" w:color="auto"/>
        <w:bottom w:val="none" w:sz="0" w:space="0" w:color="auto"/>
        <w:right w:val="none" w:sz="0" w:space="0" w:color="auto"/>
      </w:divBdr>
    </w:div>
    <w:div w:id="945697666">
      <w:bodyDiv w:val="1"/>
      <w:marLeft w:val="0"/>
      <w:marRight w:val="0"/>
      <w:marTop w:val="0"/>
      <w:marBottom w:val="0"/>
      <w:divBdr>
        <w:top w:val="none" w:sz="0" w:space="0" w:color="auto"/>
        <w:left w:val="none" w:sz="0" w:space="0" w:color="auto"/>
        <w:bottom w:val="none" w:sz="0" w:space="0" w:color="auto"/>
        <w:right w:val="none" w:sz="0" w:space="0" w:color="auto"/>
      </w:divBdr>
      <w:divsChild>
        <w:div w:id="1811899644">
          <w:marLeft w:val="0"/>
          <w:marRight w:val="0"/>
          <w:marTop w:val="0"/>
          <w:marBottom w:val="0"/>
          <w:divBdr>
            <w:top w:val="none" w:sz="0" w:space="0" w:color="auto"/>
            <w:left w:val="none" w:sz="0" w:space="0" w:color="auto"/>
            <w:bottom w:val="none" w:sz="0" w:space="0" w:color="auto"/>
            <w:right w:val="none" w:sz="0" w:space="0" w:color="auto"/>
          </w:divBdr>
          <w:divsChild>
            <w:div w:id="1976064863">
              <w:marLeft w:val="0"/>
              <w:marRight w:val="0"/>
              <w:marTop w:val="0"/>
              <w:marBottom w:val="0"/>
              <w:divBdr>
                <w:top w:val="none" w:sz="0" w:space="0" w:color="auto"/>
                <w:left w:val="none" w:sz="0" w:space="0" w:color="auto"/>
                <w:bottom w:val="none" w:sz="0" w:space="0" w:color="auto"/>
                <w:right w:val="none" w:sz="0" w:space="0" w:color="auto"/>
              </w:divBdr>
              <w:divsChild>
                <w:div w:id="7132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90703">
      <w:bodyDiv w:val="1"/>
      <w:marLeft w:val="0"/>
      <w:marRight w:val="0"/>
      <w:marTop w:val="0"/>
      <w:marBottom w:val="0"/>
      <w:divBdr>
        <w:top w:val="none" w:sz="0" w:space="0" w:color="auto"/>
        <w:left w:val="none" w:sz="0" w:space="0" w:color="auto"/>
        <w:bottom w:val="none" w:sz="0" w:space="0" w:color="auto"/>
        <w:right w:val="none" w:sz="0" w:space="0" w:color="auto"/>
      </w:divBdr>
    </w:div>
    <w:div w:id="1387340655">
      <w:bodyDiv w:val="1"/>
      <w:marLeft w:val="0"/>
      <w:marRight w:val="0"/>
      <w:marTop w:val="0"/>
      <w:marBottom w:val="0"/>
      <w:divBdr>
        <w:top w:val="none" w:sz="0" w:space="0" w:color="auto"/>
        <w:left w:val="none" w:sz="0" w:space="0" w:color="auto"/>
        <w:bottom w:val="none" w:sz="0" w:space="0" w:color="auto"/>
        <w:right w:val="none" w:sz="0" w:space="0" w:color="auto"/>
      </w:divBdr>
      <w:divsChild>
        <w:div w:id="1963995685">
          <w:marLeft w:val="0"/>
          <w:marRight w:val="0"/>
          <w:marTop w:val="0"/>
          <w:marBottom w:val="0"/>
          <w:divBdr>
            <w:top w:val="none" w:sz="0" w:space="0" w:color="auto"/>
            <w:left w:val="none" w:sz="0" w:space="0" w:color="auto"/>
            <w:bottom w:val="none" w:sz="0" w:space="0" w:color="auto"/>
            <w:right w:val="none" w:sz="0" w:space="0" w:color="auto"/>
          </w:divBdr>
          <w:divsChild>
            <w:div w:id="440225030">
              <w:marLeft w:val="0"/>
              <w:marRight w:val="0"/>
              <w:marTop w:val="0"/>
              <w:marBottom w:val="0"/>
              <w:divBdr>
                <w:top w:val="none" w:sz="0" w:space="0" w:color="auto"/>
                <w:left w:val="none" w:sz="0" w:space="0" w:color="auto"/>
                <w:bottom w:val="none" w:sz="0" w:space="0" w:color="auto"/>
                <w:right w:val="none" w:sz="0" w:space="0" w:color="auto"/>
              </w:divBdr>
              <w:divsChild>
                <w:div w:id="6842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3911">
      <w:bodyDiv w:val="1"/>
      <w:marLeft w:val="0"/>
      <w:marRight w:val="0"/>
      <w:marTop w:val="0"/>
      <w:marBottom w:val="0"/>
      <w:divBdr>
        <w:top w:val="none" w:sz="0" w:space="0" w:color="auto"/>
        <w:left w:val="none" w:sz="0" w:space="0" w:color="auto"/>
        <w:bottom w:val="none" w:sz="0" w:space="0" w:color="auto"/>
        <w:right w:val="none" w:sz="0" w:space="0" w:color="auto"/>
      </w:divBdr>
      <w:divsChild>
        <w:div w:id="554315444">
          <w:marLeft w:val="0"/>
          <w:marRight w:val="0"/>
          <w:marTop w:val="0"/>
          <w:marBottom w:val="0"/>
          <w:divBdr>
            <w:top w:val="none" w:sz="0" w:space="0" w:color="auto"/>
            <w:left w:val="none" w:sz="0" w:space="0" w:color="auto"/>
            <w:bottom w:val="none" w:sz="0" w:space="0" w:color="auto"/>
            <w:right w:val="none" w:sz="0" w:space="0" w:color="auto"/>
          </w:divBdr>
          <w:divsChild>
            <w:div w:id="660276916">
              <w:marLeft w:val="0"/>
              <w:marRight w:val="0"/>
              <w:marTop w:val="0"/>
              <w:marBottom w:val="0"/>
              <w:divBdr>
                <w:top w:val="none" w:sz="0" w:space="0" w:color="auto"/>
                <w:left w:val="none" w:sz="0" w:space="0" w:color="auto"/>
                <w:bottom w:val="none" w:sz="0" w:space="0" w:color="auto"/>
                <w:right w:val="none" w:sz="0" w:space="0" w:color="auto"/>
              </w:divBdr>
              <w:divsChild>
                <w:div w:id="19923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9374">
      <w:bodyDiv w:val="1"/>
      <w:marLeft w:val="0"/>
      <w:marRight w:val="0"/>
      <w:marTop w:val="0"/>
      <w:marBottom w:val="0"/>
      <w:divBdr>
        <w:top w:val="none" w:sz="0" w:space="0" w:color="auto"/>
        <w:left w:val="none" w:sz="0" w:space="0" w:color="auto"/>
        <w:bottom w:val="none" w:sz="0" w:space="0" w:color="auto"/>
        <w:right w:val="none" w:sz="0" w:space="0" w:color="auto"/>
      </w:divBdr>
    </w:div>
    <w:div w:id="1704402588">
      <w:bodyDiv w:val="1"/>
      <w:marLeft w:val="0"/>
      <w:marRight w:val="0"/>
      <w:marTop w:val="0"/>
      <w:marBottom w:val="0"/>
      <w:divBdr>
        <w:top w:val="none" w:sz="0" w:space="0" w:color="auto"/>
        <w:left w:val="none" w:sz="0" w:space="0" w:color="auto"/>
        <w:bottom w:val="none" w:sz="0" w:space="0" w:color="auto"/>
        <w:right w:val="none" w:sz="0" w:space="0" w:color="auto"/>
      </w:divBdr>
      <w:divsChild>
        <w:div w:id="2023586367">
          <w:marLeft w:val="0"/>
          <w:marRight w:val="0"/>
          <w:marTop w:val="0"/>
          <w:marBottom w:val="0"/>
          <w:divBdr>
            <w:top w:val="none" w:sz="0" w:space="0" w:color="auto"/>
            <w:left w:val="none" w:sz="0" w:space="0" w:color="auto"/>
            <w:bottom w:val="none" w:sz="0" w:space="0" w:color="auto"/>
            <w:right w:val="none" w:sz="0" w:space="0" w:color="auto"/>
          </w:divBdr>
          <w:divsChild>
            <w:div w:id="1665861485">
              <w:marLeft w:val="0"/>
              <w:marRight w:val="0"/>
              <w:marTop w:val="0"/>
              <w:marBottom w:val="0"/>
              <w:divBdr>
                <w:top w:val="none" w:sz="0" w:space="0" w:color="auto"/>
                <w:left w:val="none" w:sz="0" w:space="0" w:color="auto"/>
                <w:bottom w:val="none" w:sz="0" w:space="0" w:color="auto"/>
                <w:right w:val="none" w:sz="0" w:space="0" w:color="auto"/>
              </w:divBdr>
              <w:divsChild>
                <w:div w:id="11868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22002">
      <w:bodyDiv w:val="1"/>
      <w:marLeft w:val="0"/>
      <w:marRight w:val="0"/>
      <w:marTop w:val="0"/>
      <w:marBottom w:val="0"/>
      <w:divBdr>
        <w:top w:val="none" w:sz="0" w:space="0" w:color="auto"/>
        <w:left w:val="none" w:sz="0" w:space="0" w:color="auto"/>
        <w:bottom w:val="none" w:sz="0" w:space="0" w:color="auto"/>
        <w:right w:val="none" w:sz="0" w:space="0" w:color="auto"/>
      </w:divBdr>
      <w:divsChild>
        <w:div w:id="703285629">
          <w:marLeft w:val="0"/>
          <w:marRight w:val="0"/>
          <w:marTop w:val="0"/>
          <w:marBottom w:val="0"/>
          <w:divBdr>
            <w:top w:val="none" w:sz="0" w:space="0" w:color="auto"/>
            <w:left w:val="none" w:sz="0" w:space="0" w:color="auto"/>
            <w:bottom w:val="none" w:sz="0" w:space="0" w:color="auto"/>
            <w:right w:val="none" w:sz="0" w:space="0" w:color="auto"/>
          </w:divBdr>
        </w:div>
      </w:divsChild>
    </w:div>
    <w:div w:id="1771967451">
      <w:bodyDiv w:val="1"/>
      <w:marLeft w:val="0"/>
      <w:marRight w:val="0"/>
      <w:marTop w:val="0"/>
      <w:marBottom w:val="0"/>
      <w:divBdr>
        <w:top w:val="none" w:sz="0" w:space="0" w:color="auto"/>
        <w:left w:val="none" w:sz="0" w:space="0" w:color="auto"/>
        <w:bottom w:val="none" w:sz="0" w:space="0" w:color="auto"/>
        <w:right w:val="none" w:sz="0" w:space="0" w:color="auto"/>
      </w:divBdr>
    </w:div>
    <w:div w:id="1857885297">
      <w:bodyDiv w:val="1"/>
      <w:marLeft w:val="0"/>
      <w:marRight w:val="0"/>
      <w:marTop w:val="0"/>
      <w:marBottom w:val="0"/>
      <w:divBdr>
        <w:top w:val="none" w:sz="0" w:space="0" w:color="auto"/>
        <w:left w:val="none" w:sz="0" w:space="0" w:color="auto"/>
        <w:bottom w:val="none" w:sz="0" w:space="0" w:color="auto"/>
        <w:right w:val="none" w:sz="0" w:space="0" w:color="auto"/>
      </w:divBdr>
      <w:divsChild>
        <w:div w:id="2054844236">
          <w:marLeft w:val="0"/>
          <w:marRight w:val="0"/>
          <w:marTop w:val="0"/>
          <w:marBottom w:val="0"/>
          <w:divBdr>
            <w:top w:val="none" w:sz="0" w:space="0" w:color="auto"/>
            <w:left w:val="none" w:sz="0" w:space="0" w:color="auto"/>
            <w:bottom w:val="none" w:sz="0" w:space="0" w:color="auto"/>
            <w:right w:val="none" w:sz="0" w:space="0" w:color="auto"/>
          </w:divBdr>
          <w:divsChild>
            <w:div w:id="599293577">
              <w:marLeft w:val="0"/>
              <w:marRight w:val="0"/>
              <w:marTop w:val="0"/>
              <w:marBottom w:val="0"/>
              <w:divBdr>
                <w:top w:val="none" w:sz="0" w:space="0" w:color="auto"/>
                <w:left w:val="none" w:sz="0" w:space="0" w:color="auto"/>
                <w:bottom w:val="none" w:sz="0" w:space="0" w:color="auto"/>
                <w:right w:val="none" w:sz="0" w:space="0" w:color="auto"/>
              </w:divBdr>
              <w:divsChild>
                <w:div w:id="2100829764">
                  <w:marLeft w:val="0"/>
                  <w:marRight w:val="0"/>
                  <w:marTop w:val="0"/>
                  <w:marBottom w:val="0"/>
                  <w:divBdr>
                    <w:top w:val="none" w:sz="0" w:space="0" w:color="auto"/>
                    <w:left w:val="none" w:sz="0" w:space="0" w:color="auto"/>
                    <w:bottom w:val="none" w:sz="0" w:space="0" w:color="auto"/>
                    <w:right w:val="none" w:sz="0" w:space="0" w:color="auto"/>
                  </w:divBdr>
                  <w:divsChild>
                    <w:div w:id="19768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75575">
      <w:bodyDiv w:val="1"/>
      <w:marLeft w:val="0"/>
      <w:marRight w:val="0"/>
      <w:marTop w:val="0"/>
      <w:marBottom w:val="0"/>
      <w:divBdr>
        <w:top w:val="none" w:sz="0" w:space="0" w:color="auto"/>
        <w:left w:val="none" w:sz="0" w:space="0" w:color="auto"/>
        <w:bottom w:val="none" w:sz="0" w:space="0" w:color="auto"/>
        <w:right w:val="none" w:sz="0" w:space="0" w:color="auto"/>
      </w:divBdr>
      <w:divsChild>
        <w:div w:id="1914772275">
          <w:marLeft w:val="0"/>
          <w:marRight w:val="0"/>
          <w:marTop w:val="0"/>
          <w:marBottom w:val="0"/>
          <w:divBdr>
            <w:top w:val="none" w:sz="0" w:space="0" w:color="auto"/>
            <w:left w:val="none" w:sz="0" w:space="0" w:color="auto"/>
            <w:bottom w:val="none" w:sz="0" w:space="0" w:color="auto"/>
            <w:right w:val="none" w:sz="0" w:space="0" w:color="auto"/>
          </w:divBdr>
          <w:divsChild>
            <w:div w:id="1005279051">
              <w:marLeft w:val="0"/>
              <w:marRight w:val="0"/>
              <w:marTop w:val="0"/>
              <w:marBottom w:val="0"/>
              <w:divBdr>
                <w:top w:val="none" w:sz="0" w:space="0" w:color="auto"/>
                <w:left w:val="none" w:sz="0" w:space="0" w:color="auto"/>
                <w:bottom w:val="none" w:sz="0" w:space="0" w:color="auto"/>
                <w:right w:val="none" w:sz="0" w:space="0" w:color="auto"/>
              </w:divBdr>
              <w:divsChild>
                <w:div w:id="33057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6352">
      <w:bodyDiv w:val="1"/>
      <w:marLeft w:val="0"/>
      <w:marRight w:val="0"/>
      <w:marTop w:val="0"/>
      <w:marBottom w:val="0"/>
      <w:divBdr>
        <w:top w:val="none" w:sz="0" w:space="0" w:color="auto"/>
        <w:left w:val="none" w:sz="0" w:space="0" w:color="auto"/>
        <w:bottom w:val="none" w:sz="0" w:space="0" w:color="auto"/>
        <w:right w:val="none" w:sz="0" w:space="0" w:color="auto"/>
      </w:divBdr>
      <w:divsChild>
        <w:div w:id="1556696443">
          <w:marLeft w:val="0"/>
          <w:marRight w:val="0"/>
          <w:marTop w:val="0"/>
          <w:marBottom w:val="0"/>
          <w:divBdr>
            <w:top w:val="none" w:sz="0" w:space="0" w:color="auto"/>
            <w:left w:val="none" w:sz="0" w:space="0" w:color="auto"/>
            <w:bottom w:val="none" w:sz="0" w:space="0" w:color="auto"/>
            <w:right w:val="none" w:sz="0" w:space="0" w:color="auto"/>
          </w:divBdr>
          <w:divsChild>
            <w:div w:id="880674929">
              <w:marLeft w:val="0"/>
              <w:marRight w:val="0"/>
              <w:marTop w:val="0"/>
              <w:marBottom w:val="0"/>
              <w:divBdr>
                <w:top w:val="none" w:sz="0" w:space="0" w:color="auto"/>
                <w:left w:val="none" w:sz="0" w:space="0" w:color="auto"/>
                <w:bottom w:val="none" w:sz="0" w:space="0" w:color="auto"/>
                <w:right w:val="none" w:sz="0" w:space="0" w:color="auto"/>
              </w:divBdr>
              <w:divsChild>
                <w:div w:id="105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57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Users\louisjacob\Documents\Recherche\Barcelona\IQ_Disability\Results\Figur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 (2)'!$B$1</c:f>
              <c:strCache>
                <c:ptCount val="1"/>
                <c:pt idx="0">
                  <c:v>Prevalence of disability</c:v>
                </c:pt>
              </c:strCache>
            </c:strRef>
          </c:tx>
          <c:spPr>
            <a:solidFill>
              <a:schemeClr val="bg1">
                <a:lumMod val="75000"/>
              </a:schemeClr>
            </a:solidFill>
          </c:spPr>
          <c:invertIfNegative val="0"/>
          <c:dLbls>
            <c:spPr>
              <a:noFill/>
              <a:ln>
                <a:noFill/>
              </a:ln>
              <a:effectLst/>
            </c:spPr>
            <c:txPr>
              <a:bodyPr wrap="square" lIns="38100" tIns="19050" rIns="38100" bIns="19050" anchor="ctr" anchorCtr="0">
                <a:spAutoFit/>
              </a:bodyPr>
              <a:lstStyle/>
              <a:p>
                <a:pPr>
                  <a:defRPr>
                    <a:latin typeface="Arial" panose="020B0604020202020204" pitchFamily="34" charset="0"/>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plus"/>
            <c:errValType val="cust"/>
            <c:noEndCap val="0"/>
            <c:plus>
              <c:numRef>
                <c:f>'Sheet2 (2)'!$B$8:$B$13</c:f>
                <c:numCache>
                  <c:formatCode>General</c:formatCode>
                  <c:ptCount val="6"/>
                  <c:pt idx="0">
                    <c:v>5</c:v>
                  </c:pt>
                  <c:pt idx="1">
                    <c:v>3.7</c:v>
                  </c:pt>
                  <c:pt idx="2">
                    <c:v>2.8</c:v>
                  </c:pt>
                  <c:pt idx="3">
                    <c:v>2.7</c:v>
                  </c:pt>
                  <c:pt idx="4">
                    <c:v>2.2999999999999998</c:v>
                  </c:pt>
                  <c:pt idx="5">
                    <c:v>2.9</c:v>
                  </c:pt>
                </c:numCache>
              </c:numRef>
            </c:plus>
            <c:minus>
              <c:numLit>
                <c:formatCode>General</c:formatCode>
                <c:ptCount val="1"/>
                <c:pt idx="0">
                  <c:v>1</c:v>
                </c:pt>
              </c:numLit>
            </c:minus>
          </c:errBars>
          <c:cat>
            <c:strRef>
              <c:f>'Sheet2 (2)'!$A$2:$A$7</c:f>
              <c:strCache>
                <c:ptCount val="6"/>
                <c:pt idx="0">
                  <c:v>70-79</c:v>
                </c:pt>
                <c:pt idx="1">
                  <c:v>80-89</c:v>
                </c:pt>
                <c:pt idx="2">
                  <c:v>90-99</c:v>
                </c:pt>
                <c:pt idx="3">
                  <c:v>100-109</c:v>
                </c:pt>
                <c:pt idx="4">
                  <c:v>110-119</c:v>
                </c:pt>
                <c:pt idx="5">
                  <c:v>120-129</c:v>
                </c:pt>
              </c:strCache>
            </c:strRef>
          </c:cat>
          <c:val>
            <c:numRef>
              <c:f>'Sheet2 (2)'!$B$2:$B$7</c:f>
              <c:numCache>
                <c:formatCode>0.0</c:formatCode>
                <c:ptCount val="6"/>
                <c:pt idx="0">
                  <c:v>51</c:v>
                </c:pt>
                <c:pt idx="1">
                  <c:v>37.300000000000011</c:v>
                </c:pt>
                <c:pt idx="2">
                  <c:v>32.300000000000011</c:v>
                </c:pt>
                <c:pt idx="3">
                  <c:v>30.2</c:v>
                </c:pt>
                <c:pt idx="4">
                  <c:v>28.2</c:v>
                </c:pt>
                <c:pt idx="5">
                  <c:v>27.7</c:v>
                </c:pt>
              </c:numCache>
            </c:numRef>
          </c:val>
          <c:extLst>
            <c:ext xmlns:c16="http://schemas.microsoft.com/office/drawing/2014/chart" uri="{C3380CC4-5D6E-409C-BE32-E72D297353CC}">
              <c16:uniqueId val="{00000000-9770-4D36-8948-9F3B393ECBD1}"/>
            </c:ext>
          </c:extLst>
        </c:ser>
        <c:dLbls>
          <c:showLegendKey val="0"/>
          <c:showVal val="0"/>
          <c:showCatName val="0"/>
          <c:showSerName val="0"/>
          <c:showPercent val="0"/>
          <c:showBubbleSize val="0"/>
        </c:dLbls>
        <c:gapWidth val="150"/>
        <c:axId val="2020088392"/>
        <c:axId val="2065773832"/>
      </c:barChart>
      <c:catAx>
        <c:axId val="2020088392"/>
        <c:scaling>
          <c:orientation val="minMax"/>
        </c:scaling>
        <c:delete val="0"/>
        <c:axPos val="b"/>
        <c:title>
          <c:tx>
            <c:rich>
              <a:bodyPr/>
              <a:lstStyle/>
              <a:p>
                <a:pPr>
                  <a:defRPr>
                    <a:latin typeface="Arial"/>
                    <a:cs typeface="Arial"/>
                  </a:defRPr>
                </a:pPr>
                <a:r>
                  <a:rPr lang="en-US">
                    <a:latin typeface="Arial"/>
                    <a:cs typeface="Arial"/>
                  </a:rPr>
                  <a:t>IQ group</a:t>
                </a:r>
              </a:p>
            </c:rich>
          </c:tx>
          <c:layout>
            <c:manualLayout>
              <c:xMode val="edge"/>
              <c:yMode val="edge"/>
              <c:x val="0.476316553127488"/>
              <c:y val="0.90167331668355699"/>
            </c:manualLayout>
          </c:layout>
          <c:overlay val="0"/>
        </c:title>
        <c:numFmt formatCode="General" sourceLinked="0"/>
        <c:majorTickMark val="out"/>
        <c:minorTickMark val="none"/>
        <c:tickLblPos val="nextTo"/>
        <c:txPr>
          <a:bodyPr/>
          <a:lstStyle/>
          <a:p>
            <a:pPr>
              <a:defRPr>
                <a:latin typeface="Arial"/>
                <a:cs typeface="Arial"/>
              </a:defRPr>
            </a:pPr>
            <a:endParaRPr lang="en-US"/>
          </a:p>
        </c:txPr>
        <c:crossAx val="2065773832"/>
        <c:crosses val="autoZero"/>
        <c:auto val="1"/>
        <c:lblAlgn val="ctr"/>
        <c:lblOffset val="100"/>
        <c:noMultiLvlLbl val="0"/>
      </c:catAx>
      <c:valAx>
        <c:axId val="2065773832"/>
        <c:scaling>
          <c:orientation val="minMax"/>
        </c:scaling>
        <c:delete val="0"/>
        <c:axPos val="l"/>
        <c:title>
          <c:tx>
            <c:rich>
              <a:bodyPr rot="-5400000" vert="horz"/>
              <a:lstStyle/>
              <a:p>
                <a:pPr>
                  <a:defRPr>
                    <a:latin typeface="Arial"/>
                    <a:cs typeface="Arial"/>
                  </a:defRPr>
                </a:pPr>
                <a:r>
                  <a:rPr lang="en-US">
                    <a:latin typeface="Arial"/>
                    <a:cs typeface="Arial"/>
                  </a:rPr>
                  <a:t>Prevalence</a:t>
                </a:r>
                <a:r>
                  <a:rPr lang="en-US" baseline="0">
                    <a:latin typeface="Arial"/>
                    <a:cs typeface="Arial"/>
                  </a:rPr>
                  <a:t> of disability (%)</a:t>
                </a:r>
                <a:endParaRPr lang="en-US">
                  <a:latin typeface="Arial"/>
                  <a:cs typeface="Arial"/>
                </a:endParaRPr>
              </a:p>
            </c:rich>
          </c:tx>
          <c:overlay val="0"/>
        </c:title>
        <c:numFmt formatCode="0" sourceLinked="0"/>
        <c:majorTickMark val="out"/>
        <c:minorTickMark val="none"/>
        <c:tickLblPos val="nextTo"/>
        <c:txPr>
          <a:bodyPr/>
          <a:lstStyle/>
          <a:p>
            <a:pPr>
              <a:defRPr>
                <a:latin typeface="Arial"/>
                <a:cs typeface="Arial"/>
              </a:defRPr>
            </a:pPr>
            <a:endParaRPr lang="en-US"/>
          </a:p>
        </c:txPr>
        <c:crossAx val="2020088392"/>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8DA2E-8065-44F5-8332-70387A06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23807</Words>
  <Characters>135705</Characters>
  <Application>Microsoft Office Word</Application>
  <DocSecurity>0</DocSecurity>
  <Lines>1130</Lines>
  <Paragraphs>318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APHP</Company>
  <LinksUpToDate>false</LinksUpToDate>
  <CharactersWithSpaces>159194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 Koyanagi</dc:creator>
  <cp:lastModifiedBy>Lee Smith</cp:lastModifiedBy>
  <cp:revision>2</cp:revision>
  <cp:lastPrinted>2019-02-28T02:36:00Z</cp:lastPrinted>
  <dcterms:created xsi:type="dcterms:W3CDTF">2019-07-31T13:05:00Z</dcterms:created>
  <dcterms:modified xsi:type="dcterms:W3CDTF">2019-07-31T13:05:00Z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id="e7jhjSDh"/&gt;&lt;style id="http://www.zotero.org/styles/annals-of-physical-and-rehabilitation-medicine" hasBibliography="1" bibliographyStyleHasBeenSet="1"/&gt;&lt;prefs&gt;&lt;pref name="fieldType" value="Field"</vt:lpwstr>
  </property>
  <property fmtid="{D5CDD505-2E9C-101B-9397-08002B2CF9AE}" pid="3" name="ZOTERO_PREF_2">
    <vt:lpwstr>/&gt;&lt;pref name="automaticJournalAbbreviations" value="true"/&gt;&lt;/prefs&gt;&lt;/data&gt;</vt:lpwstr>
  </property>
</Properties>
</file>