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ACCDB" w14:textId="3DBF4440" w:rsidR="00F562BF" w:rsidRPr="0033593D" w:rsidRDefault="00F81FF4" w:rsidP="00700B20">
      <w:pPr>
        <w:pStyle w:val="Heading1"/>
        <w:spacing w:afterLines="0" w:after="160"/>
        <w:jc w:val="left"/>
        <w:rPr>
          <w:lang w:val="en-US"/>
        </w:rPr>
      </w:pPr>
      <w:bookmarkStart w:id="0" w:name="_GoBack"/>
      <w:bookmarkEnd w:id="0"/>
      <w:r w:rsidRPr="0033593D">
        <w:rPr>
          <w:lang w:val="en-US"/>
        </w:rPr>
        <w:t xml:space="preserve">Title: </w:t>
      </w:r>
      <w:r w:rsidR="005C367C" w:rsidRPr="0033593D">
        <w:rPr>
          <w:lang w:val="en-US"/>
        </w:rPr>
        <w:t>Is there a relationship between</w:t>
      </w:r>
      <w:r w:rsidR="00EA436E" w:rsidRPr="0033593D">
        <w:rPr>
          <w:lang w:val="en-US"/>
        </w:rPr>
        <w:t xml:space="preserve"> c</w:t>
      </w:r>
      <w:r w:rsidR="00F562BF" w:rsidRPr="0033593D">
        <w:rPr>
          <w:lang w:val="en-US"/>
        </w:rPr>
        <w:t>hocolate consumption and symptoms of depression</w:t>
      </w:r>
      <w:r w:rsidR="005C367C" w:rsidRPr="0033593D">
        <w:rPr>
          <w:lang w:val="en-US"/>
        </w:rPr>
        <w:t>? A</w:t>
      </w:r>
      <w:r w:rsidR="00F562BF" w:rsidRPr="0033593D">
        <w:rPr>
          <w:lang w:val="en-US"/>
        </w:rPr>
        <w:t xml:space="preserve"> cross-sectional survey of </w:t>
      </w:r>
      <w:r w:rsidR="001C783F" w:rsidRPr="0033593D">
        <w:rPr>
          <w:lang w:val="en-US"/>
        </w:rPr>
        <w:t>13,626</w:t>
      </w:r>
      <w:r w:rsidR="00F562BF" w:rsidRPr="0033593D">
        <w:rPr>
          <w:lang w:val="en-US"/>
        </w:rPr>
        <w:t xml:space="preserve"> US adults</w:t>
      </w:r>
    </w:p>
    <w:p w14:paraId="6DAA1307" w14:textId="60A12981" w:rsidR="00F81FF4" w:rsidRPr="0033593D" w:rsidRDefault="00F81FF4" w:rsidP="00700B20">
      <w:pPr>
        <w:spacing w:afterLines="0" w:after="160"/>
        <w:rPr>
          <w:lang w:val="en-US"/>
        </w:rPr>
      </w:pPr>
      <w:r w:rsidRPr="0033593D">
        <w:rPr>
          <w:b/>
          <w:lang w:val="en-US"/>
        </w:rPr>
        <w:t>Running title</w:t>
      </w:r>
      <w:r w:rsidRPr="0033593D">
        <w:rPr>
          <w:lang w:val="en-US"/>
        </w:rPr>
        <w:t>: Chocolate consumption and depressive symptoms</w:t>
      </w:r>
    </w:p>
    <w:p w14:paraId="0AB7D083" w14:textId="390715AB" w:rsidR="00EA436E" w:rsidRPr="0033593D" w:rsidRDefault="00EA436E" w:rsidP="00700B20">
      <w:pPr>
        <w:spacing w:afterLines="0" w:after="160"/>
        <w:rPr>
          <w:lang w:val="en-US"/>
        </w:rPr>
      </w:pPr>
      <w:r w:rsidRPr="0033593D">
        <w:rPr>
          <w:lang w:val="en-US"/>
        </w:rPr>
        <w:t>Sarah E Jackson</w:t>
      </w:r>
      <w:r w:rsidR="000552A6" w:rsidRPr="0033593D">
        <w:rPr>
          <w:vertAlign w:val="superscript"/>
          <w:lang w:val="en-US"/>
        </w:rPr>
        <w:t>1</w:t>
      </w:r>
      <w:r w:rsidRPr="0033593D">
        <w:rPr>
          <w:lang w:val="en-US"/>
        </w:rPr>
        <w:t>, Lee Smith</w:t>
      </w:r>
      <w:r w:rsidR="000552A6" w:rsidRPr="0033593D">
        <w:rPr>
          <w:vertAlign w:val="superscript"/>
          <w:lang w:val="en-US"/>
        </w:rPr>
        <w:t>2</w:t>
      </w:r>
      <w:r w:rsidRPr="0033593D">
        <w:rPr>
          <w:lang w:val="en-US"/>
        </w:rPr>
        <w:t>, Joseph Firth</w:t>
      </w:r>
      <w:r w:rsidR="000552A6" w:rsidRPr="0033593D">
        <w:rPr>
          <w:vertAlign w:val="superscript"/>
          <w:lang w:val="en-US"/>
        </w:rPr>
        <w:t>3</w:t>
      </w:r>
      <w:r w:rsidRPr="0033593D">
        <w:rPr>
          <w:lang w:val="en-US"/>
        </w:rPr>
        <w:t>, Igor Grabovac</w:t>
      </w:r>
      <w:r w:rsidR="007B3939" w:rsidRPr="0033593D">
        <w:rPr>
          <w:vertAlign w:val="superscript"/>
          <w:lang w:val="en-US"/>
        </w:rPr>
        <w:t>4</w:t>
      </w:r>
      <w:r w:rsidRPr="0033593D">
        <w:rPr>
          <w:lang w:val="en-US"/>
        </w:rPr>
        <w:t xml:space="preserve">, </w:t>
      </w:r>
      <w:r w:rsidR="00FC60E9" w:rsidRPr="0033593D">
        <w:rPr>
          <w:lang w:val="en-US"/>
        </w:rPr>
        <w:t>Pinar Soysal</w:t>
      </w:r>
      <w:r w:rsidR="007B3939" w:rsidRPr="0033593D">
        <w:rPr>
          <w:vertAlign w:val="superscript"/>
          <w:lang w:val="en-US"/>
        </w:rPr>
        <w:t>5</w:t>
      </w:r>
      <w:r w:rsidR="00FC60E9" w:rsidRPr="0033593D">
        <w:rPr>
          <w:lang w:val="en-US"/>
        </w:rPr>
        <w:t>, Ai Koyanagi</w:t>
      </w:r>
      <w:r w:rsidR="007B3939" w:rsidRPr="0033593D">
        <w:rPr>
          <w:vertAlign w:val="superscript"/>
          <w:lang w:val="en-US"/>
        </w:rPr>
        <w:t>6</w:t>
      </w:r>
      <w:r w:rsidR="00FC60E9" w:rsidRPr="0033593D">
        <w:rPr>
          <w:lang w:val="en-US"/>
        </w:rPr>
        <w:t xml:space="preserve">, </w:t>
      </w:r>
      <w:r w:rsidR="00296DAA" w:rsidRPr="0033593D">
        <w:rPr>
          <w:lang w:val="en-US"/>
        </w:rPr>
        <w:t>Liang Hu</w:t>
      </w:r>
      <w:r w:rsidR="007B3939" w:rsidRPr="0033593D">
        <w:rPr>
          <w:vertAlign w:val="superscript"/>
          <w:lang w:val="en-US"/>
        </w:rPr>
        <w:t>7</w:t>
      </w:r>
      <w:r w:rsidR="00296DAA" w:rsidRPr="0033593D">
        <w:rPr>
          <w:lang w:val="en-US"/>
        </w:rPr>
        <w:t xml:space="preserve">, </w:t>
      </w:r>
      <w:r w:rsidRPr="0033593D">
        <w:rPr>
          <w:lang w:val="en-US"/>
        </w:rPr>
        <w:t>Brendon Stubbs</w:t>
      </w:r>
      <w:r w:rsidR="007B3939" w:rsidRPr="0033593D">
        <w:rPr>
          <w:vertAlign w:val="superscript"/>
          <w:lang w:val="en-US"/>
        </w:rPr>
        <w:t>8</w:t>
      </w:r>
      <w:r w:rsidRPr="0033593D">
        <w:rPr>
          <w:lang w:val="en-US"/>
        </w:rPr>
        <w:t>,</w:t>
      </w:r>
      <w:r w:rsidR="00E169E9" w:rsidRPr="0033593D">
        <w:rPr>
          <w:lang w:val="en-US"/>
        </w:rPr>
        <w:t xml:space="preserve"> Jacopo Demurtas</w:t>
      </w:r>
      <w:r w:rsidR="00E169E9" w:rsidRPr="0033593D">
        <w:rPr>
          <w:vertAlign w:val="superscript"/>
          <w:lang w:val="en-US"/>
        </w:rPr>
        <w:t>9</w:t>
      </w:r>
      <w:r w:rsidR="00E169E9" w:rsidRPr="0033593D">
        <w:rPr>
          <w:lang w:val="en-US"/>
        </w:rPr>
        <w:t xml:space="preserve">, </w:t>
      </w:r>
      <w:r w:rsidRPr="0033593D">
        <w:rPr>
          <w:lang w:val="en-US"/>
        </w:rPr>
        <w:t>Nicola Veronese</w:t>
      </w:r>
      <w:r w:rsidR="00E169E9" w:rsidRPr="0033593D">
        <w:rPr>
          <w:vertAlign w:val="superscript"/>
          <w:lang w:val="en-US"/>
        </w:rPr>
        <w:t>10</w:t>
      </w:r>
      <w:r w:rsidRPr="0033593D">
        <w:rPr>
          <w:lang w:val="en-US"/>
        </w:rPr>
        <w:t xml:space="preserve">, </w:t>
      </w:r>
      <w:r w:rsidR="00ED2384" w:rsidRPr="0033593D">
        <w:rPr>
          <w:lang w:val="en-US"/>
        </w:rPr>
        <w:t>Xiangzhu Zhu</w:t>
      </w:r>
      <w:r w:rsidR="00700B20" w:rsidRPr="0033593D">
        <w:rPr>
          <w:lang w:val="en-US"/>
        </w:rPr>
        <w:t>*</w:t>
      </w:r>
      <w:r w:rsidR="007B3939" w:rsidRPr="0033593D">
        <w:rPr>
          <w:vertAlign w:val="superscript"/>
          <w:lang w:val="en-US"/>
        </w:rPr>
        <w:t>1</w:t>
      </w:r>
      <w:r w:rsidR="00E169E9" w:rsidRPr="0033593D">
        <w:rPr>
          <w:vertAlign w:val="superscript"/>
          <w:lang w:val="en-US"/>
        </w:rPr>
        <w:t>1</w:t>
      </w:r>
      <w:r w:rsidR="00ED2384" w:rsidRPr="0033593D">
        <w:rPr>
          <w:lang w:val="en-US"/>
        </w:rPr>
        <w:t xml:space="preserve">, </w:t>
      </w:r>
      <w:r w:rsidRPr="0033593D">
        <w:rPr>
          <w:lang w:val="en-US"/>
        </w:rPr>
        <w:t>Lin Yang</w:t>
      </w:r>
      <w:r w:rsidR="00700B20" w:rsidRPr="0033593D">
        <w:rPr>
          <w:lang w:val="en-US"/>
        </w:rPr>
        <w:t>*</w:t>
      </w:r>
      <w:r w:rsidR="000552A6" w:rsidRPr="0033593D">
        <w:rPr>
          <w:vertAlign w:val="superscript"/>
          <w:lang w:val="en-US"/>
        </w:rPr>
        <w:t>1</w:t>
      </w:r>
      <w:r w:rsidR="00E169E9" w:rsidRPr="0033593D">
        <w:rPr>
          <w:vertAlign w:val="superscript"/>
          <w:lang w:val="en-US"/>
        </w:rPr>
        <w:t>2</w:t>
      </w:r>
    </w:p>
    <w:p w14:paraId="1A8C515A" w14:textId="3CCFC1F6" w:rsidR="00367D9C" w:rsidRPr="0033593D" w:rsidRDefault="000552A6" w:rsidP="00700B20">
      <w:pPr>
        <w:spacing w:afterLines="0" w:after="160"/>
        <w:rPr>
          <w:lang w:val="en-US"/>
        </w:rPr>
      </w:pPr>
      <w:r w:rsidRPr="0033593D">
        <w:rPr>
          <w:vertAlign w:val="superscript"/>
          <w:lang w:val="en-US"/>
        </w:rPr>
        <w:t>1</w:t>
      </w:r>
      <w:r w:rsidRPr="0033593D">
        <w:rPr>
          <w:lang w:val="en-US"/>
        </w:rPr>
        <w:t xml:space="preserve">Department of </w:t>
      </w:r>
      <w:proofErr w:type="spellStart"/>
      <w:r w:rsidRPr="0033593D">
        <w:rPr>
          <w:lang w:val="en-US"/>
        </w:rPr>
        <w:t>Behavioural</w:t>
      </w:r>
      <w:proofErr w:type="spellEnd"/>
      <w:r w:rsidRPr="0033593D">
        <w:rPr>
          <w:lang w:val="en-US"/>
        </w:rPr>
        <w:t xml:space="preserve"> Science and Health, University College London, London, UK</w:t>
      </w:r>
    </w:p>
    <w:p w14:paraId="7DC15D39" w14:textId="4AF1F9B7" w:rsidR="000552A6" w:rsidRPr="0033593D" w:rsidRDefault="000552A6" w:rsidP="00700B20">
      <w:pPr>
        <w:spacing w:afterLines="0" w:after="160"/>
        <w:rPr>
          <w:lang w:val="en-US"/>
        </w:rPr>
      </w:pPr>
      <w:r w:rsidRPr="0033593D">
        <w:rPr>
          <w:vertAlign w:val="superscript"/>
          <w:lang w:val="en-US"/>
        </w:rPr>
        <w:t>2</w:t>
      </w:r>
      <w:r w:rsidRPr="0033593D">
        <w:rPr>
          <w:lang w:val="en-US"/>
        </w:rPr>
        <w:t>Cambridge Center for Exercise Science, Anglia Ruskin University, Cambridge, UK</w:t>
      </w:r>
    </w:p>
    <w:p w14:paraId="08435849" w14:textId="432EF2A6" w:rsidR="00F81FF4" w:rsidRPr="0033593D" w:rsidRDefault="007B3939" w:rsidP="00700B20">
      <w:pPr>
        <w:spacing w:afterLines="0" w:after="160"/>
        <w:rPr>
          <w:lang w:val="en-US"/>
        </w:rPr>
      </w:pPr>
      <w:r w:rsidRPr="0033593D">
        <w:rPr>
          <w:vertAlign w:val="superscript"/>
          <w:lang w:val="en-US"/>
        </w:rPr>
        <w:t xml:space="preserve">3 </w:t>
      </w:r>
      <w:r w:rsidR="00F81FF4" w:rsidRPr="0033593D">
        <w:rPr>
          <w:lang w:val="en-US"/>
        </w:rPr>
        <w:t xml:space="preserve">NICM Health Research Institute, Western Sydney University, </w:t>
      </w:r>
      <w:proofErr w:type="spellStart"/>
      <w:r w:rsidR="00F81FF4" w:rsidRPr="0033593D">
        <w:rPr>
          <w:lang w:val="en-US"/>
        </w:rPr>
        <w:t>Westmead</w:t>
      </w:r>
      <w:proofErr w:type="spellEnd"/>
      <w:r w:rsidR="00F81FF4" w:rsidRPr="0033593D">
        <w:rPr>
          <w:lang w:val="en-US"/>
        </w:rPr>
        <w:t>, Australia</w:t>
      </w:r>
      <w:r w:rsidRPr="0033593D">
        <w:rPr>
          <w:lang w:val="en-US"/>
        </w:rPr>
        <w:t xml:space="preserve">; </w:t>
      </w:r>
      <w:r w:rsidR="00F81FF4" w:rsidRPr="0033593D">
        <w:rPr>
          <w:lang w:val="en-US"/>
        </w:rPr>
        <w:t>Division of Psychology and Mental Health, University of Manchester, Manchester, UK</w:t>
      </w:r>
      <w:r w:rsidRPr="0033593D">
        <w:rPr>
          <w:lang w:val="en-US"/>
        </w:rPr>
        <w:t>; C</w:t>
      </w:r>
      <w:r w:rsidR="00F81FF4" w:rsidRPr="0033593D">
        <w:rPr>
          <w:lang w:val="en-US"/>
        </w:rPr>
        <w:t>entre for Youth Mental Health, University of Melbourne, Melbourne, Australia</w:t>
      </w:r>
    </w:p>
    <w:p w14:paraId="7FDDDF20" w14:textId="051491B5" w:rsidR="000552A6" w:rsidRPr="0033593D" w:rsidRDefault="007B3939" w:rsidP="00700B20">
      <w:pPr>
        <w:spacing w:afterLines="0" w:after="160"/>
        <w:rPr>
          <w:lang w:val="en-US"/>
        </w:rPr>
      </w:pPr>
      <w:r w:rsidRPr="0033593D">
        <w:rPr>
          <w:vertAlign w:val="superscript"/>
          <w:lang w:val="en-US"/>
        </w:rPr>
        <w:t xml:space="preserve">4 </w:t>
      </w:r>
      <w:r w:rsidR="007B53F7" w:rsidRPr="0033593D">
        <w:rPr>
          <w:lang w:val="en-US"/>
        </w:rPr>
        <w:t>Department of Social and Preventive Medicine, Center for Public Health, Medical University of Vienna, Vienna, Austria</w:t>
      </w:r>
    </w:p>
    <w:p w14:paraId="26C59077" w14:textId="3D6E24F8" w:rsidR="007B3939" w:rsidRPr="0033593D" w:rsidRDefault="007B3939" w:rsidP="00700B20">
      <w:pPr>
        <w:spacing w:afterLines="0" w:after="160"/>
        <w:rPr>
          <w:vertAlign w:val="superscript"/>
          <w:lang w:val="en-US"/>
        </w:rPr>
      </w:pPr>
      <w:r w:rsidRPr="0033593D">
        <w:rPr>
          <w:vertAlign w:val="superscript"/>
          <w:lang w:val="en-US"/>
        </w:rPr>
        <w:t xml:space="preserve">5 </w:t>
      </w:r>
      <w:r w:rsidRPr="0033593D">
        <w:rPr>
          <w:lang w:val="en-US"/>
        </w:rPr>
        <w:t xml:space="preserve">Department of Geriatric Medicine, </w:t>
      </w:r>
      <w:proofErr w:type="spellStart"/>
      <w:r w:rsidRPr="0033593D">
        <w:rPr>
          <w:lang w:val="en-US"/>
        </w:rPr>
        <w:t>Bezmialem</w:t>
      </w:r>
      <w:proofErr w:type="spellEnd"/>
      <w:r w:rsidRPr="0033593D">
        <w:rPr>
          <w:lang w:val="en-US"/>
        </w:rPr>
        <w:t xml:space="preserve"> </w:t>
      </w:r>
      <w:proofErr w:type="spellStart"/>
      <w:r w:rsidRPr="0033593D">
        <w:rPr>
          <w:lang w:val="en-US"/>
        </w:rPr>
        <w:t>Vakif</w:t>
      </w:r>
      <w:proofErr w:type="spellEnd"/>
      <w:r w:rsidRPr="0033593D">
        <w:rPr>
          <w:lang w:val="en-US"/>
        </w:rPr>
        <w:t xml:space="preserve"> University, Faculty of Medicine, Istanbul, Turkey</w:t>
      </w:r>
    </w:p>
    <w:p w14:paraId="750C4609" w14:textId="4E46E6B4" w:rsidR="00123863" w:rsidRPr="0033593D" w:rsidRDefault="007B3939" w:rsidP="00700B20">
      <w:pPr>
        <w:widowControl w:val="0"/>
        <w:autoSpaceDE w:val="0"/>
        <w:autoSpaceDN w:val="0"/>
        <w:snapToGrid/>
        <w:spacing w:afterLines="0" w:after="160"/>
        <w:rPr>
          <w:rFonts w:eastAsiaTheme="minorEastAsia"/>
          <w:bCs w:val="0"/>
          <w:lang w:val="en-US" w:eastAsia="en-US"/>
        </w:rPr>
      </w:pPr>
      <w:r w:rsidRPr="0033593D">
        <w:rPr>
          <w:vertAlign w:val="superscript"/>
          <w:lang w:val="en-US"/>
        </w:rPr>
        <w:t>6</w:t>
      </w:r>
      <w:r w:rsidR="00123863" w:rsidRPr="0033593D">
        <w:rPr>
          <w:vertAlign w:val="superscript"/>
          <w:lang w:val="en-US"/>
        </w:rPr>
        <w:t xml:space="preserve"> </w:t>
      </w:r>
      <w:r w:rsidR="00123863" w:rsidRPr="0033593D">
        <w:rPr>
          <w:rFonts w:eastAsiaTheme="minorEastAsia"/>
          <w:bCs w:val="0"/>
          <w:lang w:val="en-US" w:eastAsia="en-US"/>
        </w:rPr>
        <w:t xml:space="preserve">Research and Development Unit, Parc </w:t>
      </w:r>
      <w:proofErr w:type="spellStart"/>
      <w:r w:rsidR="00123863" w:rsidRPr="0033593D">
        <w:rPr>
          <w:rFonts w:eastAsiaTheme="minorEastAsia"/>
          <w:bCs w:val="0"/>
          <w:lang w:val="en-US" w:eastAsia="en-US"/>
        </w:rPr>
        <w:t>Sanitari</w:t>
      </w:r>
      <w:proofErr w:type="spellEnd"/>
      <w:r w:rsidR="00123863" w:rsidRPr="0033593D">
        <w:rPr>
          <w:rFonts w:eastAsiaTheme="minorEastAsia"/>
          <w:bCs w:val="0"/>
          <w:lang w:val="en-US" w:eastAsia="en-US"/>
        </w:rPr>
        <w:t xml:space="preserve"> Sant Joan de </w:t>
      </w:r>
      <w:proofErr w:type="spellStart"/>
      <w:r w:rsidR="00123863" w:rsidRPr="0033593D">
        <w:rPr>
          <w:rFonts w:eastAsiaTheme="minorEastAsia"/>
          <w:bCs w:val="0"/>
          <w:lang w:val="en-US" w:eastAsia="en-US"/>
        </w:rPr>
        <w:t>Déu</w:t>
      </w:r>
      <w:proofErr w:type="spellEnd"/>
      <w:r w:rsidR="00123863" w:rsidRPr="0033593D">
        <w:rPr>
          <w:rFonts w:eastAsiaTheme="minorEastAsia"/>
          <w:bCs w:val="0"/>
          <w:lang w:val="en-US" w:eastAsia="en-US"/>
        </w:rPr>
        <w:t xml:space="preserve">, CIBERSAM, Barcelona, Spain; ICREA, Pg. </w:t>
      </w:r>
      <w:proofErr w:type="spellStart"/>
      <w:r w:rsidR="00123863" w:rsidRPr="0033593D">
        <w:rPr>
          <w:rFonts w:eastAsiaTheme="minorEastAsia"/>
          <w:bCs w:val="0"/>
          <w:lang w:val="en-US" w:eastAsia="en-US"/>
        </w:rPr>
        <w:t>Lluis</w:t>
      </w:r>
      <w:proofErr w:type="spellEnd"/>
      <w:r w:rsidR="00123863" w:rsidRPr="0033593D">
        <w:rPr>
          <w:rFonts w:eastAsiaTheme="minorEastAsia"/>
          <w:bCs w:val="0"/>
          <w:lang w:val="en-US" w:eastAsia="en-US"/>
        </w:rPr>
        <w:t xml:space="preserve"> </w:t>
      </w:r>
      <w:proofErr w:type="spellStart"/>
      <w:r w:rsidR="00123863" w:rsidRPr="0033593D">
        <w:rPr>
          <w:rFonts w:eastAsiaTheme="minorEastAsia"/>
          <w:bCs w:val="0"/>
          <w:lang w:val="en-US" w:eastAsia="en-US"/>
        </w:rPr>
        <w:t>Companys</w:t>
      </w:r>
      <w:proofErr w:type="spellEnd"/>
      <w:r w:rsidR="00123863" w:rsidRPr="0033593D">
        <w:rPr>
          <w:rFonts w:eastAsiaTheme="minorEastAsia"/>
          <w:bCs w:val="0"/>
          <w:lang w:val="en-US" w:eastAsia="en-US"/>
        </w:rPr>
        <w:t xml:space="preserve"> 23, Barcelona, Spain</w:t>
      </w:r>
    </w:p>
    <w:p w14:paraId="7B62B50B" w14:textId="4C23A5E7" w:rsidR="000552A6" w:rsidRPr="0033593D" w:rsidRDefault="007B3939" w:rsidP="00700B20">
      <w:pPr>
        <w:spacing w:afterLines="0" w:after="160"/>
        <w:rPr>
          <w:vertAlign w:val="superscript"/>
          <w:lang w:val="en-US"/>
        </w:rPr>
      </w:pPr>
      <w:r w:rsidRPr="0033593D">
        <w:rPr>
          <w:vertAlign w:val="superscript"/>
          <w:lang w:val="en-US"/>
        </w:rPr>
        <w:t>7</w:t>
      </w:r>
      <w:r w:rsidRPr="0033593D">
        <w:rPr>
          <w:lang w:val="en-US"/>
        </w:rPr>
        <w:t xml:space="preserve"> Department of Sport and Exercise Science, Zhejiang University, Hangzhou, China</w:t>
      </w:r>
    </w:p>
    <w:p w14:paraId="640425B0" w14:textId="7F90105E" w:rsidR="000552A6" w:rsidRPr="0033593D" w:rsidRDefault="00A26EF3" w:rsidP="00700B20">
      <w:pPr>
        <w:spacing w:afterLines="0" w:after="160"/>
        <w:rPr>
          <w:vertAlign w:val="superscript"/>
          <w:lang w:val="en-US"/>
        </w:rPr>
      </w:pPr>
      <w:r w:rsidRPr="0033593D">
        <w:rPr>
          <w:vertAlign w:val="superscript"/>
          <w:lang w:val="en-US"/>
        </w:rPr>
        <w:t>8</w:t>
      </w:r>
      <w:r w:rsidR="009756CF" w:rsidRPr="0033593D">
        <w:rPr>
          <w:vertAlign w:val="superscript"/>
          <w:lang w:val="en-US"/>
        </w:rPr>
        <w:t xml:space="preserve"> </w:t>
      </w:r>
      <w:r w:rsidR="009756CF" w:rsidRPr="0033593D">
        <w:rPr>
          <w:shd w:val="clear" w:color="auto" w:fill="FFFFFF"/>
          <w:lang w:val="en-US"/>
        </w:rPr>
        <w:t xml:space="preserve">Physiotherapy Department, South London and Maudsley NHS Foundation Trust, Denmark Hill, London, UK; Department of Psychological Medicine, Institute of Psychiatry, Psychology and Neuroscience, King's College London, De </w:t>
      </w:r>
      <w:proofErr w:type="spellStart"/>
      <w:r w:rsidR="009756CF" w:rsidRPr="0033593D">
        <w:rPr>
          <w:shd w:val="clear" w:color="auto" w:fill="FFFFFF"/>
          <w:lang w:val="en-US"/>
        </w:rPr>
        <w:t>Crespigny</w:t>
      </w:r>
      <w:proofErr w:type="spellEnd"/>
      <w:r w:rsidR="009756CF" w:rsidRPr="0033593D">
        <w:rPr>
          <w:shd w:val="clear" w:color="auto" w:fill="FFFFFF"/>
          <w:lang w:val="en-US"/>
        </w:rPr>
        <w:t xml:space="preserve"> Park, London, United Kingdom.</w:t>
      </w:r>
    </w:p>
    <w:p w14:paraId="7CCB352C" w14:textId="77777777" w:rsidR="00E169E9" w:rsidRPr="0033593D" w:rsidRDefault="00A26EF3" w:rsidP="00700B20">
      <w:pPr>
        <w:spacing w:afterLines="0" w:after="160"/>
        <w:rPr>
          <w:lang w:val="en-US"/>
        </w:rPr>
      </w:pPr>
      <w:r w:rsidRPr="0033593D">
        <w:rPr>
          <w:vertAlign w:val="superscript"/>
          <w:lang w:val="en-US"/>
        </w:rPr>
        <w:t>9</w:t>
      </w:r>
      <w:r w:rsidR="007B3939" w:rsidRPr="0033593D">
        <w:rPr>
          <w:lang w:val="en-US"/>
        </w:rPr>
        <w:t xml:space="preserve"> </w:t>
      </w:r>
      <w:r w:rsidR="00E169E9" w:rsidRPr="0033593D">
        <w:rPr>
          <w:lang w:val="en-US"/>
        </w:rPr>
        <w:t xml:space="preserve">Primary Care Department </w:t>
      </w:r>
      <w:proofErr w:type="spellStart"/>
      <w:r w:rsidR="00E169E9" w:rsidRPr="0033593D">
        <w:rPr>
          <w:lang w:val="en-US"/>
        </w:rPr>
        <w:t>Azienda</w:t>
      </w:r>
      <w:proofErr w:type="spellEnd"/>
      <w:r w:rsidR="00E169E9" w:rsidRPr="0033593D">
        <w:rPr>
          <w:lang w:val="en-US"/>
        </w:rPr>
        <w:t xml:space="preserve"> USL Toscana Sue Est, 58100 Grosseto, Italy.</w:t>
      </w:r>
    </w:p>
    <w:p w14:paraId="72464274" w14:textId="220004E3" w:rsidR="00A26EF3" w:rsidRPr="0033593D" w:rsidRDefault="00E169E9" w:rsidP="00700B20">
      <w:pPr>
        <w:spacing w:afterLines="0" w:after="160"/>
        <w:rPr>
          <w:vertAlign w:val="superscript"/>
          <w:lang w:val="en-US"/>
        </w:rPr>
      </w:pPr>
      <w:r w:rsidRPr="0033593D">
        <w:rPr>
          <w:vertAlign w:val="superscript"/>
          <w:lang w:val="en-US"/>
        </w:rPr>
        <w:t xml:space="preserve">10 </w:t>
      </w:r>
      <w:r w:rsidR="007B3939" w:rsidRPr="0033593D">
        <w:rPr>
          <w:lang w:val="en-US"/>
        </w:rPr>
        <w:t>National Research Council, Neuroscience Institute, Aging Branch, Padova, Italy.</w:t>
      </w:r>
    </w:p>
    <w:p w14:paraId="0C7060B1" w14:textId="5FD7133E" w:rsidR="00A26EF3" w:rsidRPr="0033593D" w:rsidRDefault="00A26EF3" w:rsidP="00700B20">
      <w:pPr>
        <w:spacing w:afterLines="0" w:after="160"/>
        <w:rPr>
          <w:vertAlign w:val="superscript"/>
          <w:lang w:val="en-US"/>
        </w:rPr>
      </w:pPr>
      <w:r w:rsidRPr="0033593D">
        <w:rPr>
          <w:vertAlign w:val="superscript"/>
          <w:lang w:val="en-US"/>
        </w:rPr>
        <w:lastRenderedPageBreak/>
        <w:t>1</w:t>
      </w:r>
      <w:r w:rsidR="00E169E9" w:rsidRPr="0033593D">
        <w:rPr>
          <w:vertAlign w:val="superscript"/>
          <w:lang w:val="en-US"/>
        </w:rPr>
        <w:t>1</w:t>
      </w:r>
      <w:r w:rsidR="007B3939" w:rsidRPr="0033593D">
        <w:rPr>
          <w:sz w:val="20"/>
          <w:szCs w:val="20"/>
          <w:shd w:val="clear" w:color="auto" w:fill="FFFFFF"/>
          <w:lang w:val="en-US"/>
        </w:rPr>
        <w:t xml:space="preserve"> </w:t>
      </w:r>
      <w:r w:rsidR="007B3939" w:rsidRPr="0033593D">
        <w:rPr>
          <w:shd w:val="clear" w:color="auto" w:fill="FFFFFF"/>
          <w:lang w:val="en-US"/>
        </w:rPr>
        <w:t>Division of Epidemiology, Department of Medicine, Vanderbilt University</w:t>
      </w:r>
      <w:r w:rsidR="00700B20" w:rsidRPr="0033593D">
        <w:rPr>
          <w:shd w:val="clear" w:color="auto" w:fill="FFFFFF"/>
          <w:lang w:val="en-US"/>
        </w:rPr>
        <w:t xml:space="preserve"> Medical Center, Nashville, </w:t>
      </w:r>
      <w:r w:rsidR="007B3939" w:rsidRPr="0033593D">
        <w:rPr>
          <w:shd w:val="clear" w:color="auto" w:fill="FFFFFF"/>
          <w:lang w:val="en-US"/>
        </w:rPr>
        <w:t>USA; Vanderbilt Ingram Cancer Center, Vanderbilt University School of Medicine, Nashville, USA.</w:t>
      </w:r>
    </w:p>
    <w:p w14:paraId="0F215369" w14:textId="71D5BB48" w:rsidR="00A26EF3" w:rsidRPr="0033593D" w:rsidRDefault="00A26EF3" w:rsidP="00700B20">
      <w:pPr>
        <w:spacing w:afterLines="0" w:after="160"/>
        <w:rPr>
          <w:lang w:val="en-US"/>
        </w:rPr>
      </w:pPr>
      <w:r w:rsidRPr="0033593D">
        <w:rPr>
          <w:vertAlign w:val="superscript"/>
          <w:lang w:val="en-US"/>
        </w:rPr>
        <w:t>1</w:t>
      </w:r>
      <w:r w:rsidR="00E169E9" w:rsidRPr="0033593D">
        <w:rPr>
          <w:vertAlign w:val="superscript"/>
          <w:lang w:val="en-US"/>
        </w:rPr>
        <w:t>2</w:t>
      </w:r>
      <w:r w:rsidRPr="0033593D">
        <w:rPr>
          <w:vertAlign w:val="superscript"/>
          <w:lang w:val="en-US"/>
        </w:rPr>
        <w:t xml:space="preserve"> </w:t>
      </w:r>
      <w:r w:rsidRPr="0033593D">
        <w:rPr>
          <w:lang w:val="en-US"/>
        </w:rPr>
        <w:t>Cancer Epidemiology and Prevention Research, Alberta Health Services, Calgary, Alberta, Canada; Departments of  Oncology and Community Health Sciences, Cumming School of Medicine, University of Calgary, Calgary, Alberta, Canada</w:t>
      </w:r>
    </w:p>
    <w:p w14:paraId="2BCFA4C1" w14:textId="77777777" w:rsidR="00700B20" w:rsidRPr="0033593D" w:rsidRDefault="00700B20" w:rsidP="00700B20">
      <w:pPr>
        <w:rPr>
          <w:lang w:val="en-US"/>
        </w:rPr>
      </w:pPr>
      <w:r w:rsidRPr="0033593D">
        <w:rPr>
          <w:lang w:val="en-US"/>
        </w:rPr>
        <w:t>* These authors contribute equally to this work.</w:t>
      </w:r>
    </w:p>
    <w:p w14:paraId="41624E0D" w14:textId="797634FA" w:rsidR="000552A6" w:rsidRPr="0033593D" w:rsidRDefault="00700B20" w:rsidP="00700B20">
      <w:pPr>
        <w:rPr>
          <w:rStyle w:val="Hyperlink"/>
          <w:color w:val="auto"/>
          <w:lang w:val="en-US"/>
        </w:rPr>
      </w:pPr>
      <w:r w:rsidRPr="0033593D">
        <w:rPr>
          <w:b/>
          <w:lang w:val="en-US"/>
        </w:rPr>
        <w:t>Corresponding author</w:t>
      </w:r>
      <w:r w:rsidR="00DB2170" w:rsidRPr="0033593D">
        <w:rPr>
          <w:b/>
          <w:lang w:val="en-US"/>
        </w:rPr>
        <w:t>s</w:t>
      </w:r>
      <w:r w:rsidRPr="0033593D">
        <w:rPr>
          <w:lang w:val="en-US"/>
        </w:rPr>
        <w:t xml:space="preserve">: </w:t>
      </w:r>
      <w:r w:rsidR="00DB2170" w:rsidRPr="0033593D">
        <w:rPr>
          <w:lang w:val="en-US"/>
        </w:rPr>
        <w:t xml:space="preserve">Sarah E Jackson, </w:t>
      </w:r>
      <w:proofErr w:type="spellStart"/>
      <w:r w:rsidR="00DB2170" w:rsidRPr="0033593D">
        <w:rPr>
          <w:lang w:val="en-US"/>
        </w:rPr>
        <w:t>Ph.D</w:t>
      </w:r>
      <w:proofErr w:type="spellEnd"/>
      <w:r w:rsidR="00DB2170" w:rsidRPr="0033593D">
        <w:rPr>
          <w:lang w:val="en-US"/>
        </w:rPr>
        <w:t xml:space="preserve">, </w:t>
      </w:r>
      <w:r w:rsidR="00531775" w:rsidRPr="0033593D">
        <w:rPr>
          <w:lang w:val="en-US"/>
        </w:rPr>
        <w:t>s.e.jackson@ucl.ac.uk</w:t>
      </w:r>
      <w:r w:rsidR="00DB2170" w:rsidRPr="0033593D">
        <w:rPr>
          <w:lang w:val="en-US"/>
        </w:rPr>
        <w:t xml:space="preserve">; </w:t>
      </w:r>
      <w:r w:rsidRPr="0033593D">
        <w:rPr>
          <w:lang w:val="en-US"/>
        </w:rPr>
        <w:t xml:space="preserve">Lin Yang, </w:t>
      </w:r>
      <w:proofErr w:type="spellStart"/>
      <w:r w:rsidRPr="0033593D">
        <w:rPr>
          <w:lang w:val="en-US"/>
        </w:rPr>
        <w:t>Ph.D</w:t>
      </w:r>
      <w:proofErr w:type="spellEnd"/>
      <w:r w:rsidRPr="0033593D">
        <w:rPr>
          <w:lang w:val="en-US"/>
        </w:rPr>
        <w:t>, lin.yang@ahs.ca</w:t>
      </w:r>
    </w:p>
    <w:p w14:paraId="10108EAB" w14:textId="1AFCFD57" w:rsidR="00DB2170" w:rsidRPr="0033593D" w:rsidRDefault="00DB2170" w:rsidP="00700B20">
      <w:pPr>
        <w:rPr>
          <w:lang w:val="en-US"/>
        </w:rPr>
      </w:pPr>
      <w:r w:rsidRPr="0033593D">
        <w:rPr>
          <w:b/>
          <w:lang w:val="en-US"/>
        </w:rPr>
        <w:t>Acknowledgement</w:t>
      </w:r>
      <w:r w:rsidRPr="0033593D">
        <w:rPr>
          <w:lang w:val="en-US"/>
        </w:rPr>
        <w:t>: The authors received no financial support for the research, authorship, and publication of this article.</w:t>
      </w:r>
    </w:p>
    <w:p w14:paraId="1F566C0A" w14:textId="2FA444CF" w:rsidR="007D662A" w:rsidRPr="0033593D" w:rsidRDefault="007D662A" w:rsidP="00700B20">
      <w:pPr>
        <w:rPr>
          <w:lang w:val="en-US"/>
        </w:rPr>
      </w:pPr>
      <w:r w:rsidRPr="0033593D">
        <w:rPr>
          <w:b/>
          <w:lang w:val="en-US"/>
        </w:rPr>
        <w:t>Conflict of Interest Statement</w:t>
      </w:r>
      <w:r w:rsidRPr="0033593D">
        <w:rPr>
          <w:lang w:val="en-US"/>
        </w:rPr>
        <w:t xml:space="preserve">: The authors have no conflict of interest to declare. </w:t>
      </w:r>
    </w:p>
    <w:p w14:paraId="36FD6240" w14:textId="3AB511B6" w:rsidR="00700B20" w:rsidRPr="0033593D" w:rsidRDefault="00700B20">
      <w:pPr>
        <w:adjustRightInd/>
        <w:snapToGrid/>
        <w:spacing w:afterLines="0" w:after="200" w:line="276" w:lineRule="auto"/>
        <w:rPr>
          <w:lang w:val="en-US"/>
        </w:rPr>
      </w:pPr>
      <w:r w:rsidRPr="0033593D">
        <w:rPr>
          <w:lang w:val="en-US"/>
        </w:rPr>
        <w:br w:type="page"/>
      </w:r>
    </w:p>
    <w:p w14:paraId="0FD6A18E" w14:textId="79453812" w:rsidR="0060090E" w:rsidRPr="0033593D" w:rsidRDefault="00EA7ACF" w:rsidP="0060090E">
      <w:pPr>
        <w:pStyle w:val="Heading2"/>
        <w:rPr>
          <w:lang w:val="en-US"/>
        </w:rPr>
      </w:pPr>
      <w:r w:rsidRPr="0033593D">
        <w:rPr>
          <w:lang w:val="en-US"/>
        </w:rPr>
        <w:lastRenderedPageBreak/>
        <w:t>Abstract</w:t>
      </w:r>
    </w:p>
    <w:p w14:paraId="45CAE9E1" w14:textId="6A64B7BF" w:rsidR="0060090E" w:rsidRPr="0033593D" w:rsidRDefault="000440E9" w:rsidP="0060090E">
      <w:pPr>
        <w:rPr>
          <w:lang w:val="en-US"/>
        </w:rPr>
      </w:pPr>
      <w:r>
        <w:rPr>
          <w:b/>
          <w:lang w:val="en-US"/>
        </w:rPr>
        <w:t>Objective</w:t>
      </w:r>
      <w:r w:rsidR="0060090E" w:rsidRPr="0033593D">
        <w:rPr>
          <w:b/>
          <w:lang w:val="en-US"/>
        </w:rPr>
        <w:t>:</w:t>
      </w:r>
      <w:r w:rsidR="001A4497" w:rsidRPr="0033593D">
        <w:rPr>
          <w:lang w:val="en-US"/>
        </w:rPr>
        <w:t xml:space="preserve"> To examine associations between chocolate consumption and depressive symptoms in a large, representative sample of US adults.</w:t>
      </w:r>
    </w:p>
    <w:p w14:paraId="239A6896" w14:textId="428EA468" w:rsidR="0060090E" w:rsidRPr="0033593D" w:rsidRDefault="0060090E" w:rsidP="0060090E">
      <w:pPr>
        <w:rPr>
          <w:lang w:val="en-US"/>
        </w:rPr>
      </w:pPr>
      <w:r w:rsidRPr="0033593D">
        <w:rPr>
          <w:b/>
          <w:lang w:val="en-US"/>
        </w:rPr>
        <w:t>Method</w:t>
      </w:r>
      <w:r w:rsidR="00E25A54" w:rsidRPr="0033593D">
        <w:rPr>
          <w:b/>
          <w:lang w:val="en-US"/>
        </w:rPr>
        <w:t>s</w:t>
      </w:r>
      <w:r w:rsidRPr="0033593D">
        <w:rPr>
          <w:b/>
          <w:lang w:val="en-US"/>
        </w:rPr>
        <w:t>:</w:t>
      </w:r>
      <w:r w:rsidRPr="0033593D">
        <w:rPr>
          <w:lang w:val="en-US"/>
        </w:rPr>
        <w:t xml:space="preserve"> </w:t>
      </w:r>
      <w:r w:rsidR="001A4497" w:rsidRPr="0033593D">
        <w:rPr>
          <w:lang w:val="en-US"/>
        </w:rPr>
        <w:t xml:space="preserve">Data were used from </w:t>
      </w:r>
      <w:r w:rsidR="00E67112" w:rsidRPr="0033593D">
        <w:rPr>
          <w:lang w:val="en-US"/>
        </w:rPr>
        <w:t>13,626</w:t>
      </w:r>
      <w:r w:rsidR="001A4497" w:rsidRPr="0033593D">
        <w:rPr>
          <w:lang w:val="en-US"/>
        </w:rPr>
        <w:t xml:space="preserve"> adults (≥20y) participating in the National Health and Nutrition Examination Survey between 2007-08 and 2013-14. </w:t>
      </w:r>
      <w:r w:rsidR="00A02314">
        <w:rPr>
          <w:lang w:val="en-US"/>
        </w:rPr>
        <w:t>Daily c</w:t>
      </w:r>
      <w:r w:rsidR="001A4497" w:rsidRPr="0033593D">
        <w:rPr>
          <w:lang w:val="en-US"/>
        </w:rPr>
        <w:t xml:space="preserve">hocolate consumption was </w:t>
      </w:r>
      <w:r w:rsidR="00A02314">
        <w:rPr>
          <w:lang w:val="en-US"/>
        </w:rPr>
        <w:t>derived from</w:t>
      </w:r>
      <w:r w:rsidR="001A4497" w:rsidRPr="0033593D">
        <w:rPr>
          <w:lang w:val="en-US"/>
        </w:rPr>
        <w:t xml:space="preserve"> two 24-hour dietary recalls. Depressive symptoms were assessed using the Patient Health Questionnaire (PHQ-9), with score</w:t>
      </w:r>
      <w:r w:rsidR="00A02314">
        <w:rPr>
          <w:lang w:val="en-US"/>
        </w:rPr>
        <w:t>s</w:t>
      </w:r>
      <w:r w:rsidR="001A4497" w:rsidRPr="0033593D">
        <w:rPr>
          <w:lang w:val="en-US"/>
        </w:rPr>
        <w:t xml:space="preserve"> ≥10 indicating the presence of clinically relevant symptoms. We used multivariable logistic regression to test associations </w:t>
      </w:r>
      <w:r w:rsidR="003D4CD1" w:rsidRPr="0033593D">
        <w:rPr>
          <w:lang w:val="en-US"/>
        </w:rPr>
        <w:t>of</w:t>
      </w:r>
      <w:r w:rsidR="001A4497" w:rsidRPr="0033593D">
        <w:rPr>
          <w:lang w:val="en-US"/>
        </w:rPr>
        <w:t xml:space="preserve"> </w:t>
      </w:r>
      <w:r w:rsidR="003D4CD1" w:rsidRPr="0033593D">
        <w:rPr>
          <w:lang w:val="en-US"/>
        </w:rPr>
        <w:t>chocolate consumption (</w:t>
      </w:r>
      <w:r w:rsidR="0078485B" w:rsidRPr="0033593D">
        <w:rPr>
          <w:lang w:val="en-US"/>
        </w:rPr>
        <w:t>no</w:t>
      </w:r>
      <w:r w:rsidR="00927862" w:rsidRPr="0033593D">
        <w:rPr>
          <w:lang w:val="en-US"/>
        </w:rPr>
        <w:t xml:space="preserve"> chocolate</w:t>
      </w:r>
      <w:r w:rsidR="0078485B" w:rsidRPr="0033593D">
        <w:rPr>
          <w:lang w:val="en-US"/>
        </w:rPr>
        <w:t>, non-dark chocolate, dark chocolate</w:t>
      </w:r>
      <w:r w:rsidR="003D4CD1" w:rsidRPr="0033593D">
        <w:rPr>
          <w:lang w:val="en-US"/>
        </w:rPr>
        <w:t>) and amount of chocolate consumption (g</w:t>
      </w:r>
      <w:r w:rsidR="003B6FB8" w:rsidRPr="0033593D">
        <w:rPr>
          <w:lang w:val="en-US"/>
        </w:rPr>
        <w:t>ram</w:t>
      </w:r>
      <w:r w:rsidR="005B1C25">
        <w:rPr>
          <w:lang w:val="en-US"/>
        </w:rPr>
        <w:t>s</w:t>
      </w:r>
      <w:r w:rsidR="003D4CD1" w:rsidRPr="0033593D">
        <w:rPr>
          <w:lang w:val="en-US"/>
        </w:rPr>
        <w:t xml:space="preserve">/day, in quartiles) with clinically relevant depressive symptoms. </w:t>
      </w:r>
      <w:r w:rsidR="0078485B" w:rsidRPr="0033593D">
        <w:rPr>
          <w:lang w:val="en-US"/>
        </w:rPr>
        <w:t>Adults with diabetes were excluded and m</w:t>
      </w:r>
      <w:r w:rsidR="003D4CD1" w:rsidRPr="0033593D">
        <w:rPr>
          <w:lang w:val="en-US"/>
        </w:rPr>
        <w:t>odels controlled for relevant sociodemographic, lifestyle, health-related, and dietary covariates.</w:t>
      </w:r>
    </w:p>
    <w:p w14:paraId="134FD101" w14:textId="0422BA60" w:rsidR="003D4CD1" w:rsidRPr="0033593D" w:rsidRDefault="0060090E" w:rsidP="002F1E90">
      <w:pPr>
        <w:rPr>
          <w:lang w:val="en-US"/>
        </w:rPr>
      </w:pPr>
      <w:r w:rsidRPr="0033593D">
        <w:rPr>
          <w:b/>
          <w:lang w:val="en-US"/>
        </w:rPr>
        <w:t>Results:</w:t>
      </w:r>
      <w:r w:rsidR="000B1FD7" w:rsidRPr="0033593D">
        <w:rPr>
          <w:b/>
          <w:lang w:val="en-US"/>
        </w:rPr>
        <w:t xml:space="preserve"> </w:t>
      </w:r>
      <w:r w:rsidR="0078485B" w:rsidRPr="0033593D">
        <w:rPr>
          <w:lang w:val="en-US"/>
        </w:rPr>
        <w:t xml:space="preserve">Overall, </w:t>
      </w:r>
      <w:r w:rsidR="00E67112" w:rsidRPr="0033593D">
        <w:rPr>
          <w:lang w:val="en-US"/>
        </w:rPr>
        <w:t>11.1</w:t>
      </w:r>
      <w:r w:rsidR="0078485B" w:rsidRPr="0033593D">
        <w:rPr>
          <w:lang w:val="en-US"/>
        </w:rPr>
        <w:t xml:space="preserve">% of the population reported </w:t>
      </w:r>
      <w:r w:rsidR="000440E9">
        <w:rPr>
          <w:lang w:val="en-US"/>
        </w:rPr>
        <w:t xml:space="preserve">any </w:t>
      </w:r>
      <w:r w:rsidR="0078485B" w:rsidRPr="0033593D">
        <w:rPr>
          <w:lang w:val="en-US"/>
        </w:rPr>
        <w:t xml:space="preserve">chocolate </w:t>
      </w:r>
      <w:r w:rsidR="001C783F" w:rsidRPr="0033593D">
        <w:rPr>
          <w:lang w:val="en-US"/>
        </w:rPr>
        <w:t>con</w:t>
      </w:r>
      <w:r w:rsidR="0078485B" w:rsidRPr="0033593D">
        <w:rPr>
          <w:lang w:val="en-US"/>
        </w:rPr>
        <w:t>sumption, with 1</w:t>
      </w:r>
      <w:r w:rsidR="00E67112" w:rsidRPr="0033593D">
        <w:rPr>
          <w:lang w:val="en-US"/>
        </w:rPr>
        <w:t>.4</w:t>
      </w:r>
      <w:r w:rsidR="0078485B" w:rsidRPr="0033593D">
        <w:rPr>
          <w:lang w:val="en-US"/>
        </w:rPr>
        <w:t>% report</w:t>
      </w:r>
      <w:r w:rsidR="001C783F" w:rsidRPr="0033593D">
        <w:rPr>
          <w:lang w:val="en-US"/>
        </w:rPr>
        <w:t>ing</w:t>
      </w:r>
      <w:r w:rsidR="0078485B" w:rsidRPr="0033593D">
        <w:rPr>
          <w:lang w:val="en-US"/>
        </w:rPr>
        <w:t xml:space="preserve"> dark chocolate</w:t>
      </w:r>
      <w:r w:rsidR="001C783F" w:rsidRPr="0033593D">
        <w:rPr>
          <w:lang w:val="en-US"/>
        </w:rPr>
        <w:t xml:space="preserve"> consumption</w:t>
      </w:r>
      <w:r w:rsidR="0078485B" w:rsidRPr="0033593D">
        <w:rPr>
          <w:lang w:val="en-US"/>
        </w:rPr>
        <w:t xml:space="preserve">. Although non-dark chocolate </w:t>
      </w:r>
      <w:r w:rsidR="008C6B40" w:rsidRPr="0033593D">
        <w:rPr>
          <w:lang w:val="en-US"/>
        </w:rPr>
        <w:t>consumption</w:t>
      </w:r>
      <w:r w:rsidR="0078485B" w:rsidRPr="0033593D">
        <w:rPr>
          <w:lang w:val="en-US"/>
        </w:rPr>
        <w:t xml:space="preserve"> was not </w:t>
      </w:r>
      <w:r w:rsidR="000440E9">
        <w:rPr>
          <w:lang w:val="en-US"/>
        </w:rPr>
        <w:t xml:space="preserve">significantly </w:t>
      </w:r>
      <w:r w:rsidR="0078485B" w:rsidRPr="0033593D">
        <w:rPr>
          <w:lang w:val="en-US"/>
        </w:rPr>
        <w:t>associated with clinically relevant depressi</w:t>
      </w:r>
      <w:r w:rsidR="00A02314">
        <w:rPr>
          <w:lang w:val="en-US"/>
        </w:rPr>
        <w:t>ve</w:t>
      </w:r>
      <w:r w:rsidR="0078485B" w:rsidRPr="0033593D">
        <w:rPr>
          <w:lang w:val="en-US"/>
        </w:rPr>
        <w:t xml:space="preserve"> symptoms,</w:t>
      </w:r>
      <w:r w:rsidR="000B1FD7" w:rsidRPr="0033593D">
        <w:rPr>
          <w:lang w:val="en-US"/>
        </w:rPr>
        <w:t xml:space="preserve"> </w:t>
      </w:r>
      <w:r w:rsidR="003D4CD1" w:rsidRPr="0033593D">
        <w:rPr>
          <w:lang w:val="en-US"/>
        </w:rPr>
        <w:t>significantly lower odds of clinically relevant depressive symptoms (OR=0.</w:t>
      </w:r>
      <w:r w:rsidR="00E67112" w:rsidRPr="0033593D">
        <w:rPr>
          <w:lang w:val="en-US"/>
        </w:rPr>
        <w:t>30</w:t>
      </w:r>
      <w:r w:rsidR="003D4CD1" w:rsidRPr="0033593D">
        <w:rPr>
          <w:lang w:val="en-US"/>
        </w:rPr>
        <w:t>, 95%CI 0.</w:t>
      </w:r>
      <w:r w:rsidR="00E67112" w:rsidRPr="0033593D">
        <w:rPr>
          <w:lang w:val="en-US"/>
        </w:rPr>
        <w:t>21</w:t>
      </w:r>
      <w:r w:rsidR="003D4CD1" w:rsidRPr="0033593D">
        <w:rPr>
          <w:lang w:val="en-US"/>
        </w:rPr>
        <w:t>-0.</w:t>
      </w:r>
      <w:r w:rsidR="00E67112" w:rsidRPr="0033593D">
        <w:rPr>
          <w:lang w:val="en-US"/>
        </w:rPr>
        <w:t>72</w:t>
      </w:r>
      <w:r w:rsidR="003D4CD1" w:rsidRPr="0033593D">
        <w:rPr>
          <w:lang w:val="en-US"/>
        </w:rPr>
        <w:t>)</w:t>
      </w:r>
      <w:r w:rsidR="0078485B" w:rsidRPr="0033593D">
        <w:rPr>
          <w:lang w:val="en-US"/>
        </w:rPr>
        <w:t xml:space="preserve"> were observed among those </w:t>
      </w:r>
      <w:r w:rsidR="000440E9">
        <w:rPr>
          <w:lang w:val="en-US"/>
        </w:rPr>
        <w:t xml:space="preserve">who </w:t>
      </w:r>
      <w:r w:rsidR="0078485B" w:rsidRPr="0033593D">
        <w:rPr>
          <w:lang w:val="en-US"/>
        </w:rPr>
        <w:t>reported consuming dark chocolate.</w:t>
      </w:r>
      <w:r w:rsidR="000B1FD7" w:rsidRPr="0033593D">
        <w:rPr>
          <w:lang w:val="en-US"/>
        </w:rPr>
        <w:t xml:space="preserve"> </w:t>
      </w:r>
      <w:r w:rsidR="000440E9">
        <w:rPr>
          <w:lang w:val="en-US"/>
        </w:rPr>
        <w:t>Analyses stratified by amount of chocolate consumption showed participants reporting chocolate consumption in</w:t>
      </w:r>
      <w:r w:rsidR="00E67112" w:rsidRPr="0033593D">
        <w:rPr>
          <w:lang w:val="en-US"/>
        </w:rPr>
        <w:t xml:space="preserve"> the highest quartile</w:t>
      </w:r>
      <w:r w:rsidR="00813459">
        <w:rPr>
          <w:lang w:val="en-US"/>
        </w:rPr>
        <w:t xml:space="preserve"> (104-454g/day)</w:t>
      </w:r>
      <w:r w:rsidR="00E67112" w:rsidRPr="0033593D">
        <w:rPr>
          <w:lang w:val="en-US"/>
        </w:rPr>
        <w:t xml:space="preserve"> </w:t>
      </w:r>
      <w:r w:rsidR="000440E9">
        <w:rPr>
          <w:lang w:val="en-US"/>
        </w:rPr>
        <w:t>had</w:t>
      </w:r>
      <w:r w:rsidR="00813459">
        <w:rPr>
          <w:lang w:val="en-US"/>
        </w:rPr>
        <w:t xml:space="preserve"> 5</w:t>
      </w:r>
      <w:r w:rsidR="005B1C25">
        <w:rPr>
          <w:lang w:val="en-US"/>
        </w:rPr>
        <w:t>7</w:t>
      </w:r>
      <w:r w:rsidR="00813459">
        <w:rPr>
          <w:lang w:val="en-US"/>
        </w:rPr>
        <w:t>% lower odds</w:t>
      </w:r>
      <w:r w:rsidR="00BF1423" w:rsidRPr="0033593D">
        <w:rPr>
          <w:lang w:val="en-US"/>
        </w:rPr>
        <w:t xml:space="preserve"> depressive symptoms</w:t>
      </w:r>
      <w:r w:rsidR="00813459">
        <w:rPr>
          <w:lang w:val="en-US"/>
        </w:rPr>
        <w:t xml:space="preserve"> than those who reported no chocolate consumption</w:t>
      </w:r>
      <w:r w:rsidR="00BF1423" w:rsidRPr="0033593D">
        <w:rPr>
          <w:lang w:val="en-US"/>
        </w:rPr>
        <w:t xml:space="preserve"> </w:t>
      </w:r>
      <w:r w:rsidR="0078485B" w:rsidRPr="0033593D">
        <w:rPr>
          <w:lang w:val="en-US"/>
        </w:rPr>
        <w:t>(</w:t>
      </w:r>
      <w:r w:rsidR="00E67112" w:rsidRPr="0033593D">
        <w:rPr>
          <w:lang w:val="en-US"/>
        </w:rPr>
        <w:t>OR=0.43, 95%CI 0.19</w:t>
      </w:r>
      <w:r w:rsidR="005B1C25">
        <w:rPr>
          <w:lang w:val="en-US"/>
        </w:rPr>
        <w:t>-</w:t>
      </w:r>
      <w:r w:rsidR="00E67112" w:rsidRPr="0033593D">
        <w:rPr>
          <w:lang w:val="en-US"/>
        </w:rPr>
        <w:t>0.96</w:t>
      </w:r>
      <w:r w:rsidR="0078485B" w:rsidRPr="0033593D">
        <w:rPr>
          <w:lang w:val="en-US"/>
        </w:rPr>
        <w:t xml:space="preserve">) after adjusting for </w:t>
      </w:r>
      <w:r w:rsidR="00E10C17" w:rsidRPr="0033593D">
        <w:rPr>
          <w:lang w:val="en-US"/>
        </w:rPr>
        <w:t>dark chocolate consumption</w:t>
      </w:r>
      <w:r w:rsidR="0078485B" w:rsidRPr="0033593D">
        <w:rPr>
          <w:lang w:val="en-US"/>
        </w:rPr>
        <w:t>.</w:t>
      </w:r>
      <w:r w:rsidR="00E10C17" w:rsidRPr="0033593D">
        <w:rPr>
          <w:lang w:val="en-US"/>
        </w:rPr>
        <w:t xml:space="preserve"> </w:t>
      </w:r>
    </w:p>
    <w:p w14:paraId="4A1CB60C" w14:textId="4354A966" w:rsidR="0060090E" w:rsidRPr="0033593D" w:rsidRDefault="0060090E" w:rsidP="00C720C1">
      <w:pPr>
        <w:rPr>
          <w:b/>
          <w:lang w:val="en-US"/>
        </w:rPr>
      </w:pPr>
      <w:r w:rsidRPr="0033593D">
        <w:rPr>
          <w:b/>
          <w:lang w:val="en-US"/>
        </w:rPr>
        <w:t>Conclusions:</w:t>
      </w:r>
      <w:r w:rsidR="003D4CD1" w:rsidRPr="0033593D">
        <w:rPr>
          <w:b/>
          <w:lang w:val="en-US"/>
        </w:rPr>
        <w:t xml:space="preserve"> </w:t>
      </w:r>
      <w:r w:rsidR="003D4CD1" w:rsidRPr="0033593D">
        <w:rPr>
          <w:lang w:val="en-US"/>
        </w:rPr>
        <w:t>The</w:t>
      </w:r>
      <w:r w:rsidR="005B1C25">
        <w:rPr>
          <w:lang w:val="en-US"/>
        </w:rPr>
        <w:t>se</w:t>
      </w:r>
      <w:r w:rsidR="003D4CD1" w:rsidRPr="0033593D">
        <w:rPr>
          <w:lang w:val="en-US"/>
        </w:rPr>
        <w:t xml:space="preserve"> results </w:t>
      </w:r>
      <w:r w:rsidR="002F1E90" w:rsidRPr="0033593D">
        <w:rPr>
          <w:lang w:val="en-US"/>
        </w:rPr>
        <w:t>provide some evidence</w:t>
      </w:r>
      <w:r w:rsidR="003D4CD1" w:rsidRPr="0033593D">
        <w:rPr>
          <w:lang w:val="en-US"/>
        </w:rPr>
        <w:t xml:space="preserve"> that consumption of chocolate, particularly dark chocolate, </w:t>
      </w:r>
      <w:r w:rsidR="002F1E90" w:rsidRPr="0033593D">
        <w:rPr>
          <w:lang w:val="en-US"/>
        </w:rPr>
        <w:t>may be</w:t>
      </w:r>
      <w:r w:rsidR="003D4CD1" w:rsidRPr="0033593D">
        <w:rPr>
          <w:lang w:val="en-US"/>
        </w:rPr>
        <w:t xml:space="preserve"> associated with reduced odds of clinically relevant depressive symptoms. Further research </w:t>
      </w:r>
      <w:r w:rsidR="00C720C1" w:rsidRPr="0033593D">
        <w:rPr>
          <w:lang w:val="en-US"/>
        </w:rPr>
        <w:t>capturing long-term chocolate consumption and using a longitudinal design are required to confirm these findings and clarify the direction of causation.</w:t>
      </w:r>
    </w:p>
    <w:p w14:paraId="3A109F54" w14:textId="390AFA47" w:rsidR="0022275A" w:rsidRPr="0033593D" w:rsidRDefault="00F46205" w:rsidP="00EA436E">
      <w:pPr>
        <w:rPr>
          <w:lang w:val="en-US"/>
        </w:rPr>
      </w:pPr>
      <w:r w:rsidRPr="0033593D">
        <w:rPr>
          <w:b/>
          <w:lang w:val="en-US"/>
        </w:rPr>
        <w:lastRenderedPageBreak/>
        <w:t>Key</w:t>
      </w:r>
      <w:r w:rsidR="00134C88" w:rsidRPr="0033593D">
        <w:rPr>
          <w:b/>
          <w:lang w:val="en-US"/>
        </w:rPr>
        <w:t>word</w:t>
      </w:r>
      <w:r w:rsidRPr="0033593D">
        <w:rPr>
          <w:b/>
          <w:lang w:val="en-US"/>
        </w:rPr>
        <w:t>s</w:t>
      </w:r>
      <w:r w:rsidR="00134C88" w:rsidRPr="0033593D">
        <w:rPr>
          <w:lang w:val="en-US"/>
        </w:rPr>
        <w:t xml:space="preserve">: Chocolate, dark chocolate, depressive symptoms, </w:t>
      </w:r>
      <w:r w:rsidRPr="0033593D">
        <w:rPr>
          <w:lang w:val="en-US"/>
        </w:rPr>
        <w:t xml:space="preserve">Epidemiology, </w:t>
      </w:r>
      <w:r w:rsidR="00134C88" w:rsidRPr="0033593D">
        <w:rPr>
          <w:lang w:val="en-US"/>
        </w:rPr>
        <w:t>NHANES</w:t>
      </w:r>
    </w:p>
    <w:p w14:paraId="1ED9F8B1" w14:textId="522CFC96" w:rsidR="00642546" w:rsidRPr="0033593D" w:rsidRDefault="00EA7ACF" w:rsidP="00EA436E">
      <w:pPr>
        <w:pStyle w:val="Heading2"/>
        <w:rPr>
          <w:lang w:val="en-US"/>
        </w:rPr>
      </w:pPr>
      <w:r w:rsidRPr="0033593D">
        <w:rPr>
          <w:lang w:val="en-US"/>
        </w:rPr>
        <w:t>Introduction</w:t>
      </w:r>
    </w:p>
    <w:p w14:paraId="664FFD6C" w14:textId="505C51F4" w:rsidR="00652ED7" w:rsidRPr="0033593D" w:rsidRDefault="00663A45" w:rsidP="00536224">
      <w:pPr>
        <w:rPr>
          <w:shd w:val="clear" w:color="auto" w:fill="FFFFFF"/>
          <w:lang w:val="en-US"/>
        </w:rPr>
      </w:pPr>
      <w:r w:rsidRPr="0033593D">
        <w:rPr>
          <w:shd w:val="clear" w:color="auto" w:fill="FFFFFF"/>
          <w:lang w:val="en-US"/>
        </w:rPr>
        <w:t xml:space="preserve">Depression is a serious, common, and recurring disorder that </w:t>
      </w:r>
      <w:r w:rsidR="00AE6183" w:rsidRPr="0033593D">
        <w:rPr>
          <w:shd w:val="clear" w:color="auto" w:fill="FFFFFF"/>
          <w:lang w:val="en-US"/>
        </w:rPr>
        <w:t xml:space="preserve">currently </w:t>
      </w:r>
      <w:r w:rsidRPr="0033593D">
        <w:rPr>
          <w:shd w:val="clear" w:color="auto" w:fill="FFFFFF"/>
          <w:lang w:val="en-US"/>
        </w:rPr>
        <w:t xml:space="preserve">affects more than 300 million people worldwide </w:t>
      </w:r>
      <w:r w:rsidR="00AE6183" w:rsidRPr="0033593D">
        <w:rPr>
          <w:noProof/>
          <w:shd w:val="clear" w:color="auto" w:fill="FFFFFF"/>
          <w:lang w:val="en-US"/>
        </w:rPr>
        <w:t>(World Health Organization</w:t>
      </w:r>
      <w:r w:rsidR="00B30186" w:rsidRPr="0033593D">
        <w:rPr>
          <w:noProof/>
          <w:shd w:val="clear" w:color="auto" w:fill="FFFFFF"/>
          <w:lang w:val="en-US"/>
        </w:rPr>
        <w:t>, 2018</w:t>
      </w:r>
      <w:r w:rsidR="00AE6183" w:rsidRPr="0033593D">
        <w:rPr>
          <w:noProof/>
          <w:shd w:val="clear" w:color="auto" w:fill="FFFFFF"/>
          <w:lang w:val="en-US"/>
        </w:rPr>
        <w:t>)</w:t>
      </w:r>
      <w:r w:rsidRPr="0033593D">
        <w:rPr>
          <w:shd w:val="clear" w:color="auto" w:fill="FFFFFF"/>
          <w:lang w:val="en-US"/>
        </w:rPr>
        <w:t>.</w:t>
      </w:r>
      <w:r w:rsidR="001F18AF" w:rsidRPr="0033593D">
        <w:rPr>
          <w:shd w:val="clear" w:color="auto" w:fill="FFFFFF"/>
          <w:lang w:val="en-US"/>
        </w:rPr>
        <w:t xml:space="preserve"> </w:t>
      </w:r>
      <w:r w:rsidR="00F733E0" w:rsidRPr="0033593D">
        <w:rPr>
          <w:shd w:val="clear" w:color="auto" w:fill="FFFFFF"/>
          <w:lang w:val="en-US"/>
        </w:rPr>
        <w:t>It is the leading cause of disability and the fourth leading cause of global disease burden</w:t>
      </w:r>
      <w:r w:rsidR="000D5A8E" w:rsidRPr="0033593D">
        <w:rPr>
          <w:shd w:val="clear" w:color="auto" w:fill="FFFFFF"/>
          <w:lang w:val="en-US"/>
        </w:rPr>
        <w:t xml:space="preserve"> </w:t>
      </w:r>
      <w:r w:rsidR="000D5A8E" w:rsidRPr="0033593D">
        <w:rPr>
          <w:noProof/>
          <w:shd w:val="clear" w:color="auto" w:fill="FFFFFF"/>
          <w:lang w:val="en-US"/>
        </w:rPr>
        <w:t>(</w:t>
      </w:r>
      <w:r w:rsidR="0076143F" w:rsidRPr="0033593D">
        <w:rPr>
          <w:noProof/>
          <w:shd w:val="clear" w:color="auto" w:fill="FFFFFF"/>
          <w:lang w:val="en-US"/>
        </w:rPr>
        <w:t>Ustun, Ayuso-Mateos, Chatterji, Mathers, &amp; Murray, 2004</w:t>
      </w:r>
      <w:r w:rsidR="000D5A8E" w:rsidRPr="0033593D">
        <w:rPr>
          <w:noProof/>
          <w:shd w:val="clear" w:color="auto" w:fill="FFFFFF"/>
          <w:lang w:val="en-US"/>
        </w:rPr>
        <w:t>)</w:t>
      </w:r>
      <w:r w:rsidR="00F733E0" w:rsidRPr="0033593D">
        <w:rPr>
          <w:shd w:val="clear" w:color="auto" w:fill="FFFFFF"/>
          <w:lang w:val="en-US"/>
        </w:rPr>
        <w:t>.</w:t>
      </w:r>
      <w:r w:rsidR="00D4518C" w:rsidRPr="0033593D">
        <w:rPr>
          <w:shd w:val="clear" w:color="auto" w:fill="FFFFFF"/>
          <w:lang w:val="en-US"/>
        </w:rPr>
        <w:t xml:space="preserve"> </w:t>
      </w:r>
      <w:r w:rsidR="00803953" w:rsidRPr="0033593D">
        <w:rPr>
          <w:shd w:val="clear" w:color="auto" w:fill="FFFFFF"/>
          <w:lang w:val="en-US"/>
        </w:rPr>
        <w:t>T</w:t>
      </w:r>
      <w:r w:rsidR="00652ED7" w:rsidRPr="0033593D">
        <w:rPr>
          <w:shd w:val="clear" w:color="auto" w:fill="FFFFFF"/>
          <w:lang w:val="en-US"/>
        </w:rPr>
        <w:t xml:space="preserve">wo main treatment options for depression have been shown to be effective in reducing symptoms: antidepressant medications and short-term psychotherapies, such as cognitive </w:t>
      </w:r>
      <w:proofErr w:type="spellStart"/>
      <w:r w:rsidR="00652ED7" w:rsidRPr="0033593D">
        <w:rPr>
          <w:shd w:val="clear" w:color="auto" w:fill="FFFFFF"/>
          <w:lang w:val="en-US"/>
        </w:rPr>
        <w:t>behavioural</w:t>
      </w:r>
      <w:proofErr w:type="spellEnd"/>
      <w:r w:rsidR="00652ED7" w:rsidRPr="0033593D">
        <w:rPr>
          <w:shd w:val="clear" w:color="auto" w:fill="FFFFFF"/>
          <w:lang w:val="en-US"/>
        </w:rPr>
        <w:t xml:space="preserve"> therapy, interpersonal psychotherapy, or problem-solving therapy</w:t>
      </w:r>
      <w:r w:rsidR="000D5A8E" w:rsidRPr="0033593D">
        <w:rPr>
          <w:shd w:val="clear" w:color="auto" w:fill="FFFFFF"/>
          <w:lang w:val="en-US"/>
        </w:rPr>
        <w:t xml:space="preserve"> </w:t>
      </w:r>
      <w:r w:rsidR="000D5A8E" w:rsidRPr="0033593D">
        <w:rPr>
          <w:noProof/>
          <w:shd w:val="clear" w:color="auto" w:fill="FFFFFF"/>
          <w:lang w:val="en-US"/>
        </w:rPr>
        <w:t>(</w:t>
      </w:r>
      <w:r w:rsidR="0076143F" w:rsidRPr="0033593D">
        <w:rPr>
          <w:noProof/>
          <w:shd w:val="clear" w:color="auto" w:fill="FFFFFF"/>
          <w:lang w:val="en-US"/>
        </w:rPr>
        <w:t>Mynors-Wallis, Gath, Day, &amp; Baker, 2000</w:t>
      </w:r>
      <w:r w:rsidR="000D5A8E" w:rsidRPr="0033593D">
        <w:rPr>
          <w:noProof/>
          <w:shd w:val="clear" w:color="auto" w:fill="FFFFFF"/>
          <w:lang w:val="en-US"/>
        </w:rPr>
        <w:t xml:space="preserve">; </w:t>
      </w:r>
      <w:r w:rsidR="0076143F" w:rsidRPr="0033593D">
        <w:rPr>
          <w:noProof/>
          <w:shd w:val="clear" w:color="auto" w:fill="FFFFFF"/>
          <w:lang w:val="en-US"/>
        </w:rPr>
        <w:t>Schulberg et al., 1996</w:t>
      </w:r>
      <w:r w:rsidR="000D5A8E" w:rsidRPr="0033593D">
        <w:rPr>
          <w:noProof/>
          <w:shd w:val="clear" w:color="auto" w:fill="FFFFFF"/>
          <w:lang w:val="en-US"/>
        </w:rPr>
        <w:t xml:space="preserve">; </w:t>
      </w:r>
      <w:r w:rsidR="0076143F" w:rsidRPr="0033593D">
        <w:rPr>
          <w:noProof/>
          <w:shd w:val="clear" w:color="auto" w:fill="FFFFFF"/>
          <w:lang w:val="en-US"/>
        </w:rPr>
        <w:t>Ward et al., 2000</w:t>
      </w:r>
      <w:r w:rsidR="000D5A8E" w:rsidRPr="0033593D">
        <w:rPr>
          <w:noProof/>
          <w:shd w:val="clear" w:color="auto" w:fill="FFFFFF"/>
          <w:lang w:val="en-US"/>
        </w:rPr>
        <w:t>)</w:t>
      </w:r>
      <w:r w:rsidR="00652ED7" w:rsidRPr="0033593D">
        <w:rPr>
          <w:shd w:val="clear" w:color="auto" w:fill="FFFFFF"/>
          <w:lang w:val="en-US"/>
        </w:rPr>
        <w:t>. Due to limited availability of psychotherapy services, antidepressants are generally the most commonly prescribed treatment for depression in primary care</w:t>
      </w:r>
      <w:r w:rsidR="006D08DC" w:rsidRPr="0033593D">
        <w:rPr>
          <w:shd w:val="clear" w:color="auto" w:fill="FFFFFF"/>
          <w:lang w:val="en-US"/>
        </w:rPr>
        <w:t xml:space="preserve"> </w:t>
      </w:r>
      <w:r w:rsidR="00B30186" w:rsidRPr="0033593D">
        <w:rPr>
          <w:shd w:val="clear" w:color="auto" w:fill="FFFFFF"/>
          <w:lang w:val="en-US"/>
        </w:rPr>
        <w:t xml:space="preserve">(van </w:t>
      </w:r>
      <w:proofErr w:type="spellStart"/>
      <w:r w:rsidR="00B30186" w:rsidRPr="0033593D">
        <w:rPr>
          <w:shd w:val="clear" w:color="auto" w:fill="FFFFFF"/>
          <w:lang w:val="en-US"/>
        </w:rPr>
        <w:t>marwijk</w:t>
      </w:r>
      <w:proofErr w:type="spellEnd"/>
      <w:r w:rsidR="00B30186" w:rsidRPr="0033593D">
        <w:rPr>
          <w:shd w:val="clear" w:color="auto" w:fill="FFFFFF"/>
          <w:lang w:val="en-US"/>
        </w:rPr>
        <w:t xml:space="preserve">, Bijl, </w:t>
      </w:r>
      <w:proofErr w:type="spellStart"/>
      <w:r w:rsidR="00B30186" w:rsidRPr="0033593D">
        <w:rPr>
          <w:shd w:val="clear" w:color="auto" w:fill="FFFFFF"/>
          <w:lang w:val="en-US"/>
        </w:rPr>
        <w:t>Ader</w:t>
      </w:r>
      <w:proofErr w:type="spellEnd"/>
      <w:r w:rsidR="00B30186" w:rsidRPr="0033593D">
        <w:rPr>
          <w:shd w:val="clear" w:color="auto" w:fill="FFFFFF"/>
          <w:lang w:val="en-US"/>
        </w:rPr>
        <w:t xml:space="preserve">, &amp; de </w:t>
      </w:r>
      <w:proofErr w:type="spellStart"/>
      <w:r w:rsidR="00B30186" w:rsidRPr="0033593D">
        <w:rPr>
          <w:shd w:val="clear" w:color="auto" w:fill="FFFFFF"/>
          <w:lang w:val="en-US"/>
        </w:rPr>
        <w:t>Haan</w:t>
      </w:r>
      <w:proofErr w:type="spellEnd"/>
      <w:r w:rsidR="00B30186" w:rsidRPr="0033593D">
        <w:rPr>
          <w:shd w:val="clear" w:color="auto" w:fill="FFFFFF"/>
          <w:lang w:val="en-US"/>
        </w:rPr>
        <w:t>, 2001)</w:t>
      </w:r>
      <w:r w:rsidR="00652ED7" w:rsidRPr="0033593D">
        <w:rPr>
          <w:shd w:val="clear" w:color="auto" w:fill="FFFFFF"/>
          <w:lang w:val="en-US"/>
        </w:rPr>
        <w:t>.</w:t>
      </w:r>
      <w:r w:rsidR="006C05A3" w:rsidRPr="0033593D">
        <w:rPr>
          <w:shd w:val="clear" w:color="auto" w:fill="FFFFFF"/>
          <w:lang w:val="en-US"/>
        </w:rPr>
        <w:t xml:space="preserve"> However, patient adherence is relatively low, with as many as half of patients prescribed these medications discontinuing their use within six weeks of starting treatment</w:t>
      </w:r>
      <w:r w:rsidR="000D5A8E" w:rsidRPr="0033593D">
        <w:rPr>
          <w:shd w:val="clear" w:color="auto" w:fill="FFFFFF"/>
          <w:lang w:val="en-US"/>
        </w:rPr>
        <w:t xml:space="preserve"> </w:t>
      </w:r>
      <w:r w:rsidR="000D5A8E" w:rsidRPr="0033593D">
        <w:rPr>
          <w:noProof/>
          <w:shd w:val="clear" w:color="auto" w:fill="FFFFFF"/>
          <w:lang w:val="en-US"/>
        </w:rPr>
        <w:t>(</w:t>
      </w:r>
      <w:r w:rsidR="0076143F" w:rsidRPr="0033593D">
        <w:rPr>
          <w:noProof/>
          <w:shd w:val="clear" w:color="auto" w:fill="FFFFFF"/>
          <w:lang w:val="en-US"/>
        </w:rPr>
        <w:t>Lawrenson, Tyrer, Newson, &amp; Farmer, 2000</w:t>
      </w:r>
      <w:r w:rsidR="000D5A8E" w:rsidRPr="0033593D">
        <w:rPr>
          <w:noProof/>
          <w:shd w:val="clear" w:color="auto" w:fill="FFFFFF"/>
          <w:lang w:val="en-US"/>
        </w:rPr>
        <w:t>)</w:t>
      </w:r>
      <w:r w:rsidR="006C05A3" w:rsidRPr="0033593D">
        <w:rPr>
          <w:shd w:val="clear" w:color="auto" w:fill="FFFFFF"/>
          <w:lang w:val="en-US"/>
        </w:rPr>
        <w:t>.</w:t>
      </w:r>
    </w:p>
    <w:p w14:paraId="5B55F556" w14:textId="375E8741" w:rsidR="00FE43DB" w:rsidRPr="0033593D" w:rsidRDefault="004116E9" w:rsidP="00EA436E">
      <w:pPr>
        <w:rPr>
          <w:shd w:val="clear" w:color="auto" w:fill="FFFFFF"/>
          <w:lang w:val="en-US"/>
        </w:rPr>
      </w:pPr>
      <w:r w:rsidRPr="0033593D">
        <w:rPr>
          <w:shd w:val="clear" w:color="auto" w:fill="FFFFFF"/>
          <w:lang w:val="en-US"/>
        </w:rPr>
        <w:t xml:space="preserve">The potential to control depressive symptoms via lifestyle changes may provide an attractive option to patients </w:t>
      </w:r>
      <w:r w:rsidR="00FC60E9" w:rsidRPr="0033593D">
        <w:rPr>
          <w:shd w:val="clear" w:color="auto" w:fill="FFFFFF"/>
          <w:lang w:val="en-US"/>
        </w:rPr>
        <w:t xml:space="preserve">for </w:t>
      </w:r>
      <w:r w:rsidRPr="0033593D">
        <w:rPr>
          <w:shd w:val="clear" w:color="auto" w:fill="FFFFFF"/>
          <w:lang w:val="en-US"/>
        </w:rPr>
        <w:t>who</w:t>
      </w:r>
      <w:r w:rsidR="001C4179" w:rsidRPr="0033593D">
        <w:rPr>
          <w:shd w:val="clear" w:color="auto" w:fill="FFFFFF"/>
          <w:lang w:val="en-US"/>
        </w:rPr>
        <w:t>m</w:t>
      </w:r>
      <w:r w:rsidRPr="0033593D">
        <w:rPr>
          <w:shd w:val="clear" w:color="auto" w:fill="FFFFFF"/>
          <w:lang w:val="en-US"/>
        </w:rPr>
        <w:t xml:space="preserve"> conventional treatments</w:t>
      </w:r>
      <w:r w:rsidR="00FC60E9" w:rsidRPr="0033593D">
        <w:rPr>
          <w:shd w:val="clear" w:color="auto" w:fill="FFFFFF"/>
          <w:lang w:val="en-US"/>
        </w:rPr>
        <w:t xml:space="preserve"> are not</w:t>
      </w:r>
      <w:r w:rsidR="00EB6472" w:rsidRPr="0033593D">
        <w:rPr>
          <w:shd w:val="clear" w:color="auto" w:fill="FFFFFF"/>
          <w:lang w:val="en-US"/>
        </w:rPr>
        <w:t xml:space="preserve"> an effective option and</w:t>
      </w:r>
      <w:r w:rsidRPr="0033593D">
        <w:rPr>
          <w:shd w:val="clear" w:color="auto" w:fill="FFFFFF"/>
          <w:lang w:val="en-US"/>
        </w:rPr>
        <w:t xml:space="preserve"> individuals with subclinical depressive symptoms</w:t>
      </w:r>
      <w:r w:rsidR="00401534" w:rsidRPr="0033593D">
        <w:rPr>
          <w:shd w:val="clear" w:color="auto" w:fill="FFFFFF"/>
          <w:lang w:val="en-US"/>
        </w:rPr>
        <w:t xml:space="preserve"> who are not eligible for formal treatment</w:t>
      </w:r>
      <w:r w:rsidRPr="0033593D">
        <w:rPr>
          <w:shd w:val="clear" w:color="auto" w:fill="FFFFFF"/>
          <w:lang w:val="en-US"/>
        </w:rPr>
        <w:t>.</w:t>
      </w:r>
      <w:r w:rsidR="009A2F81" w:rsidRPr="0033593D">
        <w:rPr>
          <w:shd w:val="clear" w:color="auto" w:fill="FFFFFF"/>
          <w:lang w:val="en-US"/>
        </w:rPr>
        <w:t xml:space="preserve"> </w:t>
      </w:r>
      <w:r w:rsidR="00AB0CF5" w:rsidRPr="0033593D">
        <w:rPr>
          <w:shd w:val="clear" w:color="auto" w:fill="FFFFFF"/>
          <w:lang w:val="en-US"/>
        </w:rPr>
        <w:t>Benefits of physical activity are well documented</w:t>
      </w:r>
      <w:r w:rsidR="000D5A8E" w:rsidRPr="0033593D">
        <w:rPr>
          <w:shd w:val="clear" w:color="auto" w:fill="FFFFFF"/>
          <w:lang w:val="en-US"/>
        </w:rPr>
        <w:t xml:space="preserve"> </w:t>
      </w:r>
      <w:r w:rsidR="00B30186" w:rsidRPr="0033593D">
        <w:rPr>
          <w:lang w:val="en-US"/>
        </w:rPr>
        <w:t>(</w:t>
      </w:r>
      <w:proofErr w:type="spellStart"/>
      <w:r w:rsidR="00B30186" w:rsidRPr="0033593D">
        <w:rPr>
          <w:lang w:val="en-US"/>
        </w:rPr>
        <w:t>Schuch</w:t>
      </w:r>
      <w:proofErr w:type="spellEnd"/>
      <w:r w:rsidR="00B30186" w:rsidRPr="0033593D">
        <w:rPr>
          <w:lang w:val="en-US"/>
        </w:rPr>
        <w:t xml:space="preserve"> et al., 2018; Stubbs et al., 2018; </w:t>
      </w:r>
      <w:proofErr w:type="spellStart"/>
      <w:r w:rsidR="00B30186" w:rsidRPr="0033593D">
        <w:rPr>
          <w:lang w:val="en-US"/>
        </w:rPr>
        <w:t>Teychenne</w:t>
      </w:r>
      <w:proofErr w:type="spellEnd"/>
      <w:r w:rsidR="00B30186" w:rsidRPr="0033593D">
        <w:rPr>
          <w:lang w:val="en-US"/>
        </w:rPr>
        <w:t>, Ball, &amp; Salmon, 2008)</w:t>
      </w:r>
      <w:r w:rsidR="000D5A8E" w:rsidRPr="0033593D">
        <w:rPr>
          <w:shd w:val="clear" w:color="auto" w:fill="FFFFFF"/>
          <w:lang w:val="en-US"/>
        </w:rPr>
        <w:t>.</w:t>
      </w:r>
      <w:r w:rsidR="00AB0CF5" w:rsidRPr="0033593D">
        <w:rPr>
          <w:shd w:val="clear" w:color="auto" w:fill="FFFFFF"/>
          <w:lang w:val="en-US"/>
        </w:rPr>
        <w:t xml:space="preserve"> In addition, </w:t>
      </w:r>
      <w:r w:rsidR="00803953" w:rsidRPr="0033593D">
        <w:rPr>
          <w:shd w:val="clear" w:color="auto" w:fill="FFFFFF"/>
          <w:lang w:val="en-US"/>
        </w:rPr>
        <w:t>a</w:t>
      </w:r>
      <w:r w:rsidR="00D4518C" w:rsidRPr="0033593D">
        <w:rPr>
          <w:shd w:val="clear" w:color="auto" w:fill="FFFFFF"/>
          <w:lang w:val="en-US"/>
        </w:rPr>
        <w:t xml:space="preserve"> growing body of evidence h</w:t>
      </w:r>
      <w:r w:rsidR="00216B1D" w:rsidRPr="0033593D">
        <w:rPr>
          <w:shd w:val="clear" w:color="auto" w:fill="FFFFFF"/>
          <w:lang w:val="en-US"/>
        </w:rPr>
        <w:t xml:space="preserve">as </w:t>
      </w:r>
      <w:r w:rsidR="00587B26" w:rsidRPr="0033593D">
        <w:rPr>
          <w:shd w:val="clear" w:color="auto" w:fill="FFFFFF"/>
          <w:lang w:val="en-US"/>
        </w:rPr>
        <w:t xml:space="preserve">highlighted the </w:t>
      </w:r>
      <w:r w:rsidR="00760250" w:rsidRPr="0033593D">
        <w:rPr>
          <w:shd w:val="clear" w:color="auto" w:fill="FFFFFF"/>
          <w:lang w:val="en-US"/>
        </w:rPr>
        <w:t>influence of dietary factors on symptoms of depression</w:t>
      </w:r>
      <w:r w:rsidR="000D5A8E" w:rsidRPr="0033593D">
        <w:rPr>
          <w:shd w:val="clear" w:color="auto" w:fill="FFFFFF"/>
          <w:lang w:val="en-US"/>
        </w:rPr>
        <w:t xml:space="preserve"> </w:t>
      </w:r>
      <w:r w:rsidR="000D5A8E" w:rsidRPr="0033593D">
        <w:rPr>
          <w:noProof/>
          <w:shd w:val="clear" w:color="auto" w:fill="FFFFFF"/>
          <w:lang w:val="en-US"/>
        </w:rPr>
        <w:t>(</w:t>
      </w:r>
      <w:r w:rsidR="0076143F" w:rsidRPr="0033593D">
        <w:rPr>
          <w:noProof/>
          <w:shd w:val="clear" w:color="auto" w:fill="FFFFFF"/>
          <w:lang w:val="en-US"/>
        </w:rPr>
        <w:t>Molendijk, Molero, Ortuno Sanchez-Pedreno, Van der Does, &amp; Angel Martinez-Gonzalez, 2018</w:t>
      </w:r>
      <w:r w:rsidR="000D5A8E" w:rsidRPr="0033593D">
        <w:rPr>
          <w:noProof/>
          <w:shd w:val="clear" w:color="auto" w:fill="FFFFFF"/>
          <w:lang w:val="en-US"/>
        </w:rPr>
        <w:t>)</w:t>
      </w:r>
      <w:r w:rsidR="00D4518C" w:rsidRPr="0033593D">
        <w:rPr>
          <w:shd w:val="clear" w:color="auto" w:fill="FFFFFF"/>
          <w:lang w:val="en-US"/>
        </w:rPr>
        <w:t>.</w:t>
      </w:r>
      <w:r w:rsidR="00D8192B" w:rsidRPr="0033593D">
        <w:rPr>
          <w:shd w:val="clear" w:color="auto" w:fill="FFFFFF"/>
          <w:lang w:val="en-US"/>
        </w:rPr>
        <w:t xml:space="preserve"> </w:t>
      </w:r>
      <w:r w:rsidR="00CA7158" w:rsidRPr="0033593D">
        <w:rPr>
          <w:shd w:val="clear" w:color="auto" w:fill="FFFFFF"/>
          <w:lang w:val="en-US"/>
        </w:rPr>
        <w:t>O</w:t>
      </w:r>
      <w:r w:rsidR="00550D28" w:rsidRPr="0033593D">
        <w:rPr>
          <w:shd w:val="clear" w:color="auto" w:fill="FFFFFF"/>
          <w:lang w:val="en-US"/>
        </w:rPr>
        <w:t xml:space="preserve">ne </w:t>
      </w:r>
      <w:r w:rsidR="005C367C" w:rsidRPr="0033593D">
        <w:rPr>
          <w:shd w:val="clear" w:color="auto" w:fill="FFFFFF"/>
          <w:lang w:val="en-US"/>
        </w:rPr>
        <w:t>commonly consumed food</w:t>
      </w:r>
      <w:r w:rsidR="00803953" w:rsidRPr="0033593D">
        <w:rPr>
          <w:shd w:val="clear" w:color="auto" w:fill="FFFFFF"/>
          <w:lang w:val="en-US"/>
        </w:rPr>
        <w:t>stuff</w:t>
      </w:r>
      <w:r w:rsidR="00811A9E" w:rsidRPr="0033593D">
        <w:rPr>
          <w:shd w:val="clear" w:color="auto" w:fill="FFFFFF"/>
          <w:lang w:val="en-US"/>
        </w:rPr>
        <w:t xml:space="preserve"> </w:t>
      </w:r>
      <w:r w:rsidR="005C367C" w:rsidRPr="0033593D">
        <w:rPr>
          <w:shd w:val="clear" w:color="auto" w:fill="FFFFFF"/>
          <w:lang w:val="en-US"/>
        </w:rPr>
        <w:t xml:space="preserve">postulated to have </w:t>
      </w:r>
      <w:r w:rsidR="002B5250" w:rsidRPr="0033593D">
        <w:rPr>
          <w:shd w:val="clear" w:color="auto" w:fill="FFFFFF"/>
          <w:lang w:val="en-US"/>
        </w:rPr>
        <w:t>mood-enhancing properties is chocolate.</w:t>
      </w:r>
      <w:r w:rsidR="00081F3B" w:rsidRPr="0033593D">
        <w:rPr>
          <w:shd w:val="clear" w:color="auto" w:fill="FFFFFF"/>
          <w:lang w:val="en-US"/>
        </w:rPr>
        <w:t xml:space="preserve"> </w:t>
      </w:r>
      <w:r w:rsidR="00307E3D" w:rsidRPr="0033593D">
        <w:rPr>
          <w:shd w:val="clear" w:color="auto" w:fill="FFFFFF"/>
          <w:lang w:val="en-US"/>
        </w:rPr>
        <w:t xml:space="preserve">Several mechanisms for a relationship between chocolate and mood have been proposed, including chocolate’s </w:t>
      </w:r>
      <w:proofErr w:type="spellStart"/>
      <w:r w:rsidR="00307E3D" w:rsidRPr="0033593D">
        <w:rPr>
          <w:shd w:val="clear" w:color="auto" w:fill="FFFFFF"/>
          <w:lang w:val="en-US"/>
        </w:rPr>
        <w:t>orosensory</w:t>
      </w:r>
      <w:proofErr w:type="spellEnd"/>
      <w:r w:rsidR="00307E3D" w:rsidRPr="0033593D">
        <w:rPr>
          <w:shd w:val="clear" w:color="auto" w:fill="FFFFFF"/>
          <w:lang w:val="en-US"/>
        </w:rPr>
        <w:t xml:space="preserve"> properties, psychoactive ingredients, and activation of neural reward pathways</w:t>
      </w:r>
      <w:r w:rsidR="000D5A8E" w:rsidRPr="0033593D">
        <w:rPr>
          <w:shd w:val="clear" w:color="auto" w:fill="FFFFFF"/>
          <w:lang w:val="en-US"/>
        </w:rPr>
        <w:t xml:space="preserve"> </w:t>
      </w:r>
      <w:r w:rsidR="000D5A8E" w:rsidRPr="0033593D">
        <w:rPr>
          <w:noProof/>
          <w:shd w:val="clear" w:color="auto" w:fill="FFFFFF"/>
          <w:lang w:val="en-US"/>
        </w:rPr>
        <w:t>(</w:t>
      </w:r>
      <w:r w:rsidR="0076143F" w:rsidRPr="0033593D">
        <w:rPr>
          <w:noProof/>
          <w:shd w:val="clear" w:color="auto" w:fill="FFFFFF"/>
          <w:lang w:val="en-US"/>
        </w:rPr>
        <w:t>Bruinsma &amp; Taren, 1999</w:t>
      </w:r>
      <w:r w:rsidR="000D5A8E" w:rsidRPr="0033593D">
        <w:rPr>
          <w:noProof/>
          <w:shd w:val="clear" w:color="auto" w:fill="FFFFFF"/>
          <w:lang w:val="en-US"/>
        </w:rPr>
        <w:t xml:space="preserve">; </w:t>
      </w:r>
      <w:r w:rsidR="0076143F" w:rsidRPr="0033593D">
        <w:rPr>
          <w:noProof/>
          <w:shd w:val="clear" w:color="auto" w:fill="FFFFFF"/>
          <w:lang w:val="en-US"/>
        </w:rPr>
        <w:t>Hurst, Martin, &amp; Zoumas, 1982</w:t>
      </w:r>
      <w:r w:rsidR="000D5A8E" w:rsidRPr="0033593D">
        <w:rPr>
          <w:noProof/>
          <w:shd w:val="clear" w:color="auto" w:fill="FFFFFF"/>
          <w:lang w:val="en-US"/>
        </w:rPr>
        <w:t xml:space="preserve">; </w:t>
      </w:r>
      <w:r w:rsidR="0076143F" w:rsidRPr="0033593D">
        <w:rPr>
          <w:noProof/>
          <w:shd w:val="clear" w:color="auto" w:fill="FFFFFF"/>
          <w:lang w:val="en-US"/>
        </w:rPr>
        <w:t>Parker, Parker, &amp; Brotchie, 2006</w:t>
      </w:r>
      <w:r w:rsidR="000D5A8E" w:rsidRPr="0033593D">
        <w:rPr>
          <w:noProof/>
          <w:shd w:val="clear" w:color="auto" w:fill="FFFFFF"/>
          <w:lang w:val="en-US"/>
        </w:rPr>
        <w:t>)</w:t>
      </w:r>
      <w:r w:rsidR="00081F3B" w:rsidRPr="0033593D">
        <w:rPr>
          <w:lang w:val="en-US"/>
        </w:rPr>
        <w:t>.</w:t>
      </w:r>
      <w:r w:rsidR="00961DF6" w:rsidRPr="0033593D">
        <w:rPr>
          <w:shd w:val="clear" w:color="auto" w:fill="FFFFFF"/>
          <w:lang w:val="en-US"/>
        </w:rPr>
        <w:t xml:space="preserve"> </w:t>
      </w:r>
      <w:r w:rsidR="007A26AF" w:rsidRPr="0033593D">
        <w:rPr>
          <w:shd w:val="clear" w:color="auto" w:fill="FFFFFF"/>
          <w:lang w:val="en-US"/>
        </w:rPr>
        <w:t xml:space="preserve">However, there </w:t>
      </w:r>
      <w:r w:rsidR="00517961" w:rsidRPr="0033593D">
        <w:rPr>
          <w:shd w:val="clear" w:color="auto" w:fill="FFFFFF"/>
          <w:lang w:val="en-US"/>
        </w:rPr>
        <w:t xml:space="preserve">is a lack of high-quality scientific evidence </w:t>
      </w:r>
      <w:r w:rsidR="007C64B8" w:rsidRPr="0033593D">
        <w:rPr>
          <w:shd w:val="clear" w:color="auto" w:fill="FFFFFF"/>
          <w:lang w:val="en-US"/>
        </w:rPr>
        <w:t xml:space="preserve">to support </w:t>
      </w:r>
      <w:r w:rsidR="00960050" w:rsidRPr="0033593D">
        <w:rPr>
          <w:shd w:val="clear" w:color="auto" w:fill="FFFFFF"/>
          <w:lang w:val="en-US"/>
        </w:rPr>
        <w:t>such an association</w:t>
      </w:r>
      <w:r w:rsidR="00517961" w:rsidRPr="0033593D">
        <w:rPr>
          <w:shd w:val="clear" w:color="auto" w:fill="FFFFFF"/>
          <w:lang w:val="en-US"/>
        </w:rPr>
        <w:t>.</w:t>
      </w:r>
      <w:r w:rsidR="009D4B67" w:rsidRPr="0033593D">
        <w:rPr>
          <w:shd w:val="clear" w:color="auto" w:fill="FFFFFF"/>
          <w:lang w:val="en-US"/>
        </w:rPr>
        <w:t xml:space="preserve"> </w:t>
      </w:r>
      <w:r w:rsidR="005C367C" w:rsidRPr="0033593D">
        <w:rPr>
          <w:shd w:val="clear" w:color="auto" w:fill="FFFFFF"/>
          <w:lang w:val="en-US"/>
        </w:rPr>
        <w:t xml:space="preserve">Only a small number of </w:t>
      </w:r>
      <w:r w:rsidR="009D4B67" w:rsidRPr="0033593D">
        <w:rPr>
          <w:shd w:val="clear" w:color="auto" w:fill="FFFFFF"/>
          <w:lang w:val="en-US"/>
        </w:rPr>
        <w:t xml:space="preserve">studies have </w:t>
      </w:r>
      <w:proofErr w:type="spellStart"/>
      <w:r w:rsidR="009D4B67" w:rsidRPr="0033593D">
        <w:rPr>
          <w:shd w:val="clear" w:color="auto" w:fill="FFFFFF"/>
          <w:lang w:val="en-US"/>
        </w:rPr>
        <w:t>analysed</w:t>
      </w:r>
      <w:proofErr w:type="spellEnd"/>
      <w:r w:rsidR="009D4B67" w:rsidRPr="0033593D">
        <w:rPr>
          <w:shd w:val="clear" w:color="auto" w:fill="FFFFFF"/>
          <w:lang w:val="en-US"/>
        </w:rPr>
        <w:t xml:space="preserve"> associations between chocolate consumption and depressive symptoms, with </w:t>
      </w:r>
      <w:r w:rsidR="00DC5B49" w:rsidRPr="0033593D">
        <w:rPr>
          <w:shd w:val="clear" w:color="auto" w:fill="FFFFFF"/>
          <w:lang w:val="en-US"/>
        </w:rPr>
        <w:t>mixed</w:t>
      </w:r>
      <w:r w:rsidR="009D4B67" w:rsidRPr="0033593D">
        <w:rPr>
          <w:shd w:val="clear" w:color="auto" w:fill="FFFFFF"/>
          <w:lang w:val="en-US"/>
        </w:rPr>
        <w:t xml:space="preserve"> findings.</w:t>
      </w:r>
      <w:r w:rsidR="00A44A39" w:rsidRPr="0033593D">
        <w:rPr>
          <w:shd w:val="clear" w:color="auto" w:fill="FFFFFF"/>
          <w:lang w:val="en-US"/>
        </w:rPr>
        <w:t xml:space="preserve"> A 2013 systematic review of </w:t>
      </w:r>
      <w:r w:rsidR="00707E66" w:rsidRPr="0033593D">
        <w:rPr>
          <w:shd w:val="clear" w:color="auto" w:fill="FFFFFF"/>
          <w:lang w:val="en-US"/>
        </w:rPr>
        <w:t xml:space="preserve">experimental </w:t>
      </w:r>
      <w:r w:rsidR="00D65B50" w:rsidRPr="0033593D">
        <w:rPr>
          <w:shd w:val="clear" w:color="auto" w:fill="FFFFFF"/>
          <w:lang w:val="en-US"/>
        </w:rPr>
        <w:lastRenderedPageBreak/>
        <w:t>research</w:t>
      </w:r>
      <w:r w:rsidR="00707E66" w:rsidRPr="0033593D">
        <w:rPr>
          <w:shd w:val="clear" w:color="auto" w:fill="FFFFFF"/>
          <w:lang w:val="en-US"/>
        </w:rPr>
        <w:t xml:space="preserve"> on </w:t>
      </w:r>
      <w:r w:rsidR="00A44A39" w:rsidRPr="0033593D">
        <w:rPr>
          <w:shd w:val="clear" w:color="auto" w:fill="FFFFFF"/>
          <w:lang w:val="en-US"/>
        </w:rPr>
        <w:t xml:space="preserve">the effects of chocolate or its components on mood identified eight </w:t>
      </w:r>
      <w:r w:rsidR="00D65B50" w:rsidRPr="0033593D">
        <w:rPr>
          <w:shd w:val="clear" w:color="auto" w:fill="FFFFFF"/>
          <w:lang w:val="en-US"/>
        </w:rPr>
        <w:t xml:space="preserve">small </w:t>
      </w:r>
      <w:r w:rsidR="00A44A39" w:rsidRPr="0033593D">
        <w:rPr>
          <w:shd w:val="clear" w:color="auto" w:fill="FFFFFF"/>
          <w:lang w:val="en-US"/>
        </w:rPr>
        <w:t>studies</w:t>
      </w:r>
      <w:r w:rsidR="00D65B50" w:rsidRPr="0033593D">
        <w:rPr>
          <w:shd w:val="clear" w:color="auto" w:fill="FFFFFF"/>
          <w:lang w:val="en-US"/>
        </w:rPr>
        <w:t xml:space="preserve"> (</w:t>
      </w:r>
      <w:r w:rsidR="00D65B50" w:rsidRPr="0033593D">
        <w:rPr>
          <w:i/>
          <w:shd w:val="clear" w:color="auto" w:fill="FFFFFF"/>
          <w:lang w:val="en-US"/>
        </w:rPr>
        <w:t>n</w:t>
      </w:r>
      <w:r w:rsidR="00D65B50" w:rsidRPr="0033593D">
        <w:rPr>
          <w:shd w:val="clear" w:color="auto" w:fill="FFFFFF"/>
          <w:lang w:val="en-US"/>
        </w:rPr>
        <w:t>≤1</w:t>
      </w:r>
      <w:r w:rsidR="00E230F2" w:rsidRPr="0033593D">
        <w:rPr>
          <w:shd w:val="clear" w:color="auto" w:fill="FFFFFF"/>
          <w:lang w:val="en-US"/>
        </w:rPr>
        <w:t>13</w:t>
      </w:r>
      <w:r w:rsidR="00D65B50" w:rsidRPr="0033593D">
        <w:rPr>
          <w:shd w:val="clear" w:color="auto" w:fill="FFFFFF"/>
          <w:lang w:val="en-US"/>
        </w:rPr>
        <w:t>)</w:t>
      </w:r>
      <w:r w:rsidR="00A44A39" w:rsidRPr="0033593D">
        <w:rPr>
          <w:shd w:val="clear" w:color="auto" w:fill="FFFFFF"/>
          <w:lang w:val="en-US"/>
        </w:rPr>
        <w:t>, of which five reported either an improvement in mood state or an attenuation of negative mood</w:t>
      </w:r>
      <w:r w:rsidR="000D5A8E" w:rsidRPr="0033593D">
        <w:rPr>
          <w:shd w:val="clear" w:color="auto" w:fill="FFFFFF"/>
          <w:lang w:val="en-US"/>
        </w:rPr>
        <w:t xml:space="preserve"> </w:t>
      </w:r>
      <w:r w:rsidR="000D5A8E" w:rsidRPr="0033593D">
        <w:rPr>
          <w:noProof/>
          <w:shd w:val="clear" w:color="auto" w:fill="FFFFFF"/>
          <w:lang w:val="en-US"/>
        </w:rPr>
        <w:t>(</w:t>
      </w:r>
      <w:r w:rsidR="0076143F" w:rsidRPr="0033593D">
        <w:rPr>
          <w:noProof/>
          <w:shd w:val="clear" w:color="auto" w:fill="FFFFFF"/>
          <w:lang w:val="en-US"/>
        </w:rPr>
        <w:t>Scholey &amp; Owen, 2013</w:t>
      </w:r>
      <w:r w:rsidR="000D5A8E" w:rsidRPr="0033593D">
        <w:rPr>
          <w:noProof/>
          <w:shd w:val="clear" w:color="auto" w:fill="FFFFFF"/>
          <w:lang w:val="en-US"/>
        </w:rPr>
        <w:t>)</w:t>
      </w:r>
      <w:r w:rsidR="00A44A39" w:rsidRPr="0033593D">
        <w:rPr>
          <w:shd w:val="clear" w:color="auto" w:fill="FFFFFF"/>
          <w:lang w:val="en-US"/>
        </w:rPr>
        <w:t>.</w:t>
      </w:r>
      <w:r w:rsidR="009D4B67" w:rsidRPr="0033593D">
        <w:rPr>
          <w:shd w:val="clear" w:color="auto" w:fill="FFFFFF"/>
          <w:lang w:val="en-US"/>
        </w:rPr>
        <w:t xml:space="preserve"> </w:t>
      </w:r>
      <w:r w:rsidR="00CC6914" w:rsidRPr="0033593D">
        <w:rPr>
          <w:shd w:val="clear" w:color="auto" w:fill="FFFFFF"/>
          <w:lang w:val="en-US"/>
        </w:rPr>
        <w:t>A</w:t>
      </w:r>
      <w:r w:rsidR="005E2F1E" w:rsidRPr="0033593D">
        <w:rPr>
          <w:shd w:val="clear" w:color="auto" w:fill="FFFFFF"/>
          <w:lang w:val="en-US"/>
        </w:rPr>
        <w:t xml:space="preserve"> recent umbrella review on chocolate consumption and all health outcomes concluded based on existing evidence that chocolate consumption has no impact on depression</w:t>
      </w:r>
      <w:r w:rsidR="000D5A8E" w:rsidRPr="0033593D">
        <w:rPr>
          <w:shd w:val="clear" w:color="auto" w:fill="FFFFFF"/>
          <w:lang w:val="en-US"/>
        </w:rPr>
        <w:t xml:space="preserve"> </w:t>
      </w:r>
      <w:r w:rsidR="000D5A8E" w:rsidRPr="0033593D">
        <w:rPr>
          <w:noProof/>
          <w:shd w:val="clear" w:color="auto" w:fill="FFFFFF"/>
          <w:lang w:val="en-US"/>
        </w:rPr>
        <w:t>(</w:t>
      </w:r>
      <w:r w:rsidR="0076143F" w:rsidRPr="0033593D">
        <w:rPr>
          <w:noProof/>
          <w:shd w:val="clear" w:color="auto" w:fill="FFFFFF"/>
          <w:lang w:val="en-US"/>
        </w:rPr>
        <w:t>Veronese et al., 2018</w:t>
      </w:r>
      <w:r w:rsidR="000D5A8E" w:rsidRPr="0033593D">
        <w:rPr>
          <w:noProof/>
          <w:shd w:val="clear" w:color="auto" w:fill="FFFFFF"/>
          <w:lang w:val="en-US"/>
        </w:rPr>
        <w:t>)</w:t>
      </w:r>
      <w:r w:rsidR="005E2F1E" w:rsidRPr="0033593D">
        <w:rPr>
          <w:shd w:val="clear" w:color="auto" w:fill="FFFFFF"/>
          <w:lang w:val="en-US"/>
        </w:rPr>
        <w:t xml:space="preserve">. </w:t>
      </w:r>
      <w:r w:rsidR="00E8365B" w:rsidRPr="0033593D">
        <w:rPr>
          <w:shd w:val="clear" w:color="auto" w:fill="FFFFFF"/>
          <w:lang w:val="en-US"/>
        </w:rPr>
        <w:t>A cross-sectional survey of 931 adults without diabetes or known coronary artery disease</w:t>
      </w:r>
      <w:r w:rsidR="0058381A" w:rsidRPr="0033593D">
        <w:rPr>
          <w:shd w:val="clear" w:color="auto" w:fill="FFFFFF"/>
          <w:lang w:val="en-US"/>
        </w:rPr>
        <w:t xml:space="preserve"> found</w:t>
      </w:r>
      <w:r w:rsidR="00E8365B" w:rsidRPr="0033593D">
        <w:rPr>
          <w:shd w:val="clear" w:color="auto" w:fill="FFFFFF"/>
          <w:lang w:val="en-US"/>
        </w:rPr>
        <w:t xml:space="preserve"> higher depressive symptom scores were associated with greater chocola</w:t>
      </w:r>
      <w:r w:rsidR="0014643B" w:rsidRPr="0033593D">
        <w:rPr>
          <w:shd w:val="clear" w:color="auto" w:fill="FFFFFF"/>
          <w:lang w:val="en-US"/>
        </w:rPr>
        <w:t xml:space="preserve">te consumption in </w:t>
      </w:r>
      <w:r w:rsidR="001A6CAF" w:rsidRPr="0033593D">
        <w:rPr>
          <w:shd w:val="clear" w:color="auto" w:fill="FFFFFF"/>
          <w:lang w:val="en-US"/>
        </w:rPr>
        <w:t xml:space="preserve">both </w:t>
      </w:r>
      <w:r w:rsidR="0014643B" w:rsidRPr="0033593D">
        <w:rPr>
          <w:shd w:val="clear" w:color="auto" w:fill="FFFFFF"/>
          <w:lang w:val="en-US"/>
        </w:rPr>
        <w:t>men and women</w:t>
      </w:r>
      <w:r w:rsidR="000D5A8E" w:rsidRPr="0033593D">
        <w:rPr>
          <w:shd w:val="clear" w:color="auto" w:fill="FFFFFF"/>
          <w:lang w:val="en-US"/>
        </w:rPr>
        <w:t xml:space="preserve"> </w:t>
      </w:r>
      <w:r w:rsidR="000D5A8E" w:rsidRPr="0033593D">
        <w:rPr>
          <w:noProof/>
          <w:shd w:val="clear" w:color="auto" w:fill="FFFFFF"/>
          <w:lang w:val="en-US"/>
        </w:rPr>
        <w:t>(</w:t>
      </w:r>
      <w:r w:rsidR="0076143F" w:rsidRPr="0033593D">
        <w:rPr>
          <w:noProof/>
          <w:shd w:val="clear" w:color="auto" w:fill="FFFFFF"/>
          <w:lang w:val="en-US"/>
        </w:rPr>
        <w:t>Rose, Koperski, &amp; Golomb, 2010</w:t>
      </w:r>
      <w:r w:rsidR="000D5A8E" w:rsidRPr="0033593D">
        <w:rPr>
          <w:noProof/>
          <w:shd w:val="clear" w:color="auto" w:fill="FFFFFF"/>
          <w:lang w:val="en-US"/>
        </w:rPr>
        <w:t>)</w:t>
      </w:r>
      <w:r w:rsidR="0014643B" w:rsidRPr="0033593D">
        <w:rPr>
          <w:shd w:val="clear" w:color="auto" w:fill="FFFFFF"/>
          <w:lang w:val="en-US"/>
        </w:rPr>
        <w:t>.</w:t>
      </w:r>
      <w:r w:rsidR="00EE0CE2" w:rsidRPr="0033593D">
        <w:rPr>
          <w:shd w:val="clear" w:color="auto" w:fill="FFFFFF"/>
          <w:lang w:val="en-US"/>
        </w:rPr>
        <w:t xml:space="preserve"> </w:t>
      </w:r>
      <w:r w:rsidR="00D7575F" w:rsidRPr="0033593D">
        <w:rPr>
          <w:shd w:val="clear" w:color="auto" w:fill="FFFFFF"/>
          <w:lang w:val="en-US"/>
        </w:rPr>
        <w:t>Likewise, another study of 362 women observed a positive correlation between reported chocolate consumption and scores on a measure of psychiatric symptomology</w:t>
      </w:r>
      <w:r w:rsidR="000D5A8E" w:rsidRPr="0033593D">
        <w:rPr>
          <w:shd w:val="clear" w:color="auto" w:fill="FFFFFF"/>
          <w:lang w:val="en-US"/>
        </w:rPr>
        <w:t xml:space="preserve"> </w:t>
      </w:r>
      <w:r w:rsidR="000D5A8E" w:rsidRPr="0033593D">
        <w:rPr>
          <w:noProof/>
          <w:shd w:val="clear" w:color="auto" w:fill="FFFFFF"/>
          <w:lang w:val="en-US"/>
        </w:rPr>
        <w:t>(</w:t>
      </w:r>
      <w:r w:rsidR="0076143F" w:rsidRPr="0033593D">
        <w:rPr>
          <w:noProof/>
          <w:shd w:val="clear" w:color="auto" w:fill="FFFFFF"/>
          <w:lang w:val="en-US"/>
        </w:rPr>
        <w:t>Barkeling et al., 2002</w:t>
      </w:r>
      <w:r w:rsidR="000D5A8E" w:rsidRPr="0033593D">
        <w:rPr>
          <w:noProof/>
          <w:shd w:val="clear" w:color="auto" w:fill="FFFFFF"/>
          <w:lang w:val="en-US"/>
        </w:rPr>
        <w:t>)</w:t>
      </w:r>
      <w:r w:rsidR="00D7575F" w:rsidRPr="0033593D">
        <w:rPr>
          <w:shd w:val="clear" w:color="auto" w:fill="FFFFFF"/>
          <w:lang w:val="en-US"/>
        </w:rPr>
        <w:t>.</w:t>
      </w:r>
      <w:r w:rsidR="000E05F7" w:rsidRPr="0033593D">
        <w:rPr>
          <w:shd w:val="clear" w:color="auto" w:fill="FFFFFF"/>
          <w:lang w:val="en-US"/>
        </w:rPr>
        <w:t xml:space="preserve"> </w:t>
      </w:r>
      <w:r w:rsidR="00EE0CE2" w:rsidRPr="0033593D">
        <w:rPr>
          <w:shd w:val="clear" w:color="auto" w:fill="FFFFFF"/>
          <w:lang w:val="en-US"/>
        </w:rPr>
        <w:t>H</w:t>
      </w:r>
      <w:r w:rsidR="009D4B67" w:rsidRPr="0033593D">
        <w:rPr>
          <w:shd w:val="clear" w:color="auto" w:fill="FFFFFF"/>
          <w:lang w:val="en-US"/>
        </w:rPr>
        <w:t xml:space="preserve">owever, </w:t>
      </w:r>
      <w:r w:rsidR="00CC6914" w:rsidRPr="0033593D">
        <w:rPr>
          <w:shd w:val="clear" w:color="auto" w:fill="FFFFFF"/>
          <w:lang w:val="en-US"/>
        </w:rPr>
        <w:t>previous</w:t>
      </w:r>
      <w:r w:rsidR="00EE0CE2" w:rsidRPr="0033593D">
        <w:rPr>
          <w:shd w:val="clear" w:color="auto" w:fill="FFFFFF"/>
          <w:lang w:val="en-US"/>
        </w:rPr>
        <w:t xml:space="preserve"> </w:t>
      </w:r>
      <w:r w:rsidR="004B5C84" w:rsidRPr="0033593D">
        <w:rPr>
          <w:shd w:val="clear" w:color="auto" w:fill="FFFFFF"/>
          <w:lang w:val="en-US"/>
        </w:rPr>
        <w:t>studies</w:t>
      </w:r>
      <w:r w:rsidR="00EE0CE2" w:rsidRPr="0033593D">
        <w:rPr>
          <w:shd w:val="clear" w:color="auto" w:fill="FFFFFF"/>
          <w:lang w:val="en-US"/>
        </w:rPr>
        <w:t xml:space="preserve"> </w:t>
      </w:r>
      <w:r w:rsidR="00CC6914" w:rsidRPr="0033593D">
        <w:rPr>
          <w:shd w:val="clear" w:color="auto" w:fill="FFFFFF"/>
          <w:lang w:val="en-US"/>
        </w:rPr>
        <w:t>have</w:t>
      </w:r>
      <w:r w:rsidR="00EE0CE2" w:rsidRPr="0033593D">
        <w:rPr>
          <w:shd w:val="clear" w:color="auto" w:fill="FFFFFF"/>
          <w:lang w:val="en-US"/>
        </w:rPr>
        <w:t xml:space="preserve"> not</w:t>
      </w:r>
      <w:r w:rsidR="009D4B67" w:rsidRPr="0033593D">
        <w:rPr>
          <w:shd w:val="clear" w:color="auto" w:fill="FFFFFF"/>
          <w:lang w:val="en-US"/>
        </w:rPr>
        <w:t xml:space="preserve"> adequately control</w:t>
      </w:r>
      <w:r w:rsidR="00CC6914" w:rsidRPr="0033593D">
        <w:rPr>
          <w:shd w:val="clear" w:color="auto" w:fill="FFFFFF"/>
          <w:lang w:val="en-US"/>
        </w:rPr>
        <w:t>led</w:t>
      </w:r>
      <w:r w:rsidR="009D4B67" w:rsidRPr="0033593D">
        <w:rPr>
          <w:shd w:val="clear" w:color="auto" w:fill="FFFFFF"/>
          <w:lang w:val="en-US"/>
        </w:rPr>
        <w:t xml:space="preserve"> for variables that may potentially confound </w:t>
      </w:r>
      <w:r w:rsidR="00045477" w:rsidRPr="0033593D">
        <w:rPr>
          <w:shd w:val="clear" w:color="auto" w:fill="FFFFFF"/>
          <w:lang w:val="en-US"/>
        </w:rPr>
        <w:t>the association between chocolate and depression</w:t>
      </w:r>
      <w:r w:rsidR="009D4B67" w:rsidRPr="0033593D">
        <w:rPr>
          <w:shd w:val="clear" w:color="auto" w:fill="FFFFFF"/>
          <w:lang w:val="en-US"/>
        </w:rPr>
        <w:t xml:space="preserve">, such as </w:t>
      </w:r>
      <w:r w:rsidR="00EE0CE2" w:rsidRPr="0033593D">
        <w:rPr>
          <w:shd w:val="clear" w:color="auto" w:fill="FFFFFF"/>
          <w:lang w:val="en-US"/>
        </w:rPr>
        <w:t>socioeconomic status</w:t>
      </w:r>
      <w:r w:rsidR="009D4B67" w:rsidRPr="0033593D">
        <w:rPr>
          <w:shd w:val="clear" w:color="auto" w:fill="FFFFFF"/>
          <w:lang w:val="en-US"/>
        </w:rPr>
        <w:t>.</w:t>
      </w:r>
    </w:p>
    <w:p w14:paraId="4B1C3AD1" w14:textId="2DA41D4B" w:rsidR="000E05F7" w:rsidRPr="0033593D" w:rsidRDefault="005E2F1E" w:rsidP="00EA436E">
      <w:pPr>
        <w:rPr>
          <w:shd w:val="clear" w:color="auto" w:fill="FFFFFF"/>
          <w:lang w:val="en-US"/>
        </w:rPr>
      </w:pPr>
      <w:r w:rsidRPr="0033593D">
        <w:rPr>
          <w:shd w:val="clear" w:color="auto" w:fill="FFFFFF"/>
          <w:lang w:val="en-US"/>
        </w:rPr>
        <w:t xml:space="preserve">Moreover, previous studies have not examined the association </w:t>
      </w:r>
      <w:r w:rsidR="00F42B64" w:rsidRPr="0033593D">
        <w:rPr>
          <w:shd w:val="clear" w:color="auto" w:fill="FFFFFF"/>
          <w:lang w:val="en-US"/>
        </w:rPr>
        <w:t>with depression according to</w:t>
      </w:r>
      <w:r w:rsidRPr="0033593D">
        <w:rPr>
          <w:shd w:val="clear" w:color="auto" w:fill="FFFFFF"/>
          <w:lang w:val="en-US"/>
        </w:rPr>
        <w:t xml:space="preserve"> </w:t>
      </w:r>
      <w:r w:rsidR="00F42B64" w:rsidRPr="0033593D">
        <w:rPr>
          <w:shd w:val="clear" w:color="auto" w:fill="FFFFFF"/>
          <w:lang w:val="en-US"/>
        </w:rPr>
        <w:t xml:space="preserve">the type of </w:t>
      </w:r>
      <w:r w:rsidRPr="0033593D">
        <w:rPr>
          <w:shd w:val="clear" w:color="auto" w:fill="FFFFFF"/>
          <w:lang w:val="en-US"/>
        </w:rPr>
        <w:t xml:space="preserve">chocolate </w:t>
      </w:r>
      <w:r w:rsidR="00F42B64" w:rsidRPr="0033593D">
        <w:rPr>
          <w:shd w:val="clear" w:color="auto" w:fill="FFFFFF"/>
          <w:lang w:val="en-US"/>
        </w:rPr>
        <w:t>consumed</w:t>
      </w:r>
      <w:r w:rsidRPr="0033593D">
        <w:rPr>
          <w:shd w:val="clear" w:color="auto" w:fill="FFFFFF"/>
          <w:lang w:val="en-US"/>
        </w:rPr>
        <w:t xml:space="preserve">. There is a large body of literature demonstrating a positive association between dark chocolate consumption and physical health outcomes </w:t>
      </w:r>
      <w:r w:rsidR="000D5A8E" w:rsidRPr="0033593D">
        <w:rPr>
          <w:noProof/>
          <w:shd w:val="clear" w:color="auto" w:fill="FFFFFF"/>
          <w:lang w:val="en-US"/>
        </w:rPr>
        <w:t>(</w:t>
      </w:r>
      <w:r w:rsidR="0076143F" w:rsidRPr="0033593D">
        <w:rPr>
          <w:noProof/>
          <w:shd w:val="clear" w:color="auto" w:fill="FFFFFF"/>
          <w:lang w:val="en-US"/>
        </w:rPr>
        <w:t>Mursu et al., 2004</w:t>
      </w:r>
      <w:r w:rsidR="000D5A8E" w:rsidRPr="0033593D">
        <w:rPr>
          <w:noProof/>
          <w:shd w:val="clear" w:color="auto" w:fill="FFFFFF"/>
          <w:lang w:val="en-US"/>
        </w:rPr>
        <w:t xml:space="preserve">; </w:t>
      </w:r>
      <w:r w:rsidR="0076143F" w:rsidRPr="0033593D">
        <w:rPr>
          <w:noProof/>
          <w:shd w:val="clear" w:color="auto" w:fill="FFFFFF"/>
          <w:lang w:val="en-US"/>
        </w:rPr>
        <w:t>Tokede, Gaziano, &amp; Djousse, 2011</w:t>
      </w:r>
      <w:r w:rsidR="000D5A8E" w:rsidRPr="0033593D">
        <w:rPr>
          <w:noProof/>
          <w:shd w:val="clear" w:color="auto" w:fill="FFFFFF"/>
          <w:lang w:val="en-US"/>
        </w:rPr>
        <w:t xml:space="preserve">; </w:t>
      </w:r>
      <w:r w:rsidR="0076143F" w:rsidRPr="0033593D">
        <w:rPr>
          <w:noProof/>
          <w:shd w:val="clear" w:color="auto" w:fill="FFFFFF"/>
          <w:lang w:val="en-US"/>
        </w:rPr>
        <w:t>Vlachopoulos et al., 2005</w:t>
      </w:r>
      <w:r w:rsidR="000D5A8E" w:rsidRPr="0033593D">
        <w:rPr>
          <w:noProof/>
          <w:shd w:val="clear" w:color="auto" w:fill="FFFFFF"/>
          <w:lang w:val="en-US"/>
        </w:rPr>
        <w:t>)</w:t>
      </w:r>
      <w:r w:rsidR="0090305C" w:rsidRPr="0033593D">
        <w:rPr>
          <w:shd w:val="clear" w:color="auto" w:fill="FFFFFF"/>
          <w:lang w:val="en-US"/>
        </w:rPr>
        <w:t xml:space="preserve">. </w:t>
      </w:r>
      <w:r w:rsidRPr="0033593D">
        <w:rPr>
          <w:shd w:val="clear" w:color="auto" w:fill="FFFFFF"/>
          <w:lang w:val="en-US"/>
        </w:rPr>
        <w:t xml:space="preserve">This beneficial effect of dark chocolate is likely owing to </w:t>
      </w:r>
      <w:r w:rsidR="00FE43DB" w:rsidRPr="0033593D">
        <w:rPr>
          <w:shd w:val="clear" w:color="auto" w:fill="FFFFFF"/>
          <w:lang w:val="en-US"/>
        </w:rPr>
        <w:t>flavonoids that have antioxidant properties and improve inflammatory profiles</w:t>
      </w:r>
      <w:r w:rsidR="000D5A8E" w:rsidRPr="0033593D">
        <w:rPr>
          <w:shd w:val="clear" w:color="auto" w:fill="FFFFFF"/>
          <w:lang w:val="en-US"/>
        </w:rPr>
        <w:t xml:space="preserve"> </w:t>
      </w:r>
      <w:r w:rsidR="000D5A8E" w:rsidRPr="0033593D">
        <w:rPr>
          <w:noProof/>
          <w:shd w:val="clear" w:color="auto" w:fill="FFFFFF"/>
          <w:lang w:val="en-US"/>
        </w:rPr>
        <w:t>(</w:t>
      </w:r>
      <w:r w:rsidR="0076143F" w:rsidRPr="0033593D">
        <w:rPr>
          <w:noProof/>
          <w:shd w:val="clear" w:color="auto" w:fill="FFFFFF"/>
          <w:lang w:val="en-US"/>
        </w:rPr>
        <w:t>Minihane et al., 2015</w:t>
      </w:r>
      <w:r w:rsidR="000D5A8E" w:rsidRPr="0033593D">
        <w:rPr>
          <w:noProof/>
          <w:shd w:val="clear" w:color="auto" w:fill="FFFFFF"/>
          <w:lang w:val="en-US"/>
        </w:rPr>
        <w:t>)</w:t>
      </w:r>
      <w:r w:rsidR="0090305C" w:rsidRPr="0033593D">
        <w:rPr>
          <w:shd w:val="clear" w:color="auto" w:fill="FFFFFF"/>
          <w:lang w:val="en-US"/>
        </w:rPr>
        <w:t>.</w:t>
      </w:r>
      <w:r w:rsidR="00FE43DB" w:rsidRPr="0033593D">
        <w:rPr>
          <w:shd w:val="clear" w:color="auto" w:fill="FFFFFF"/>
          <w:lang w:val="en-US"/>
        </w:rPr>
        <w:t xml:space="preserve"> Importantly, flavonoids </w:t>
      </w:r>
      <w:r w:rsidR="00F42B64" w:rsidRPr="0033593D">
        <w:rPr>
          <w:shd w:val="clear" w:color="auto" w:fill="FFFFFF"/>
          <w:lang w:val="en-US"/>
        </w:rPr>
        <w:t xml:space="preserve">have </w:t>
      </w:r>
      <w:r w:rsidR="00FE43DB" w:rsidRPr="0033593D">
        <w:rPr>
          <w:shd w:val="clear" w:color="auto" w:fill="FFFFFF"/>
          <w:lang w:val="en-US"/>
        </w:rPr>
        <w:t>also been shown to have a positive influence on episodic memory and cognitive decline</w:t>
      </w:r>
      <w:r w:rsidR="000D5A8E" w:rsidRPr="0033593D">
        <w:rPr>
          <w:shd w:val="clear" w:color="auto" w:fill="FFFFFF"/>
          <w:lang w:val="en-US"/>
        </w:rPr>
        <w:t xml:space="preserve"> </w:t>
      </w:r>
      <w:r w:rsidR="000D5A8E" w:rsidRPr="0033593D">
        <w:rPr>
          <w:noProof/>
          <w:shd w:val="clear" w:color="auto" w:fill="FFFFFF"/>
          <w:lang w:val="en-US"/>
        </w:rPr>
        <w:t>(</w:t>
      </w:r>
      <w:r w:rsidR="0076143F" w:rsidRPr="0033593D">
        <w:rPr>
          <w:noProof/>
          <w:shd w:val="clear" w:color="auto" w:fill="FFFFFF"/>
          <w:lang w:val="en-US"/>
        </w:rPr>
        <w:t>Minihane et al., 2015</w:t>
      </w:r>
      <w:r w:rsidR="000D5A8E" w:rsidRPr="0033593D">
        <w:rPr>
          <w:noProof/>
          <w:shd w:val="clear" w:color="auto" w:fill="FFFFFF"/>
          <w:lang w:val="en-US"/>
        </w:rPr>
        <w:t>)</w:t>
      </w:r>
      <w:r w:rsidR="0090305C" w:rsidRPr="0033593D">
        <w:rPr>
          <w:shd w:val="clear" w:color="auto" w:fill="FFFFFF"/>
          <w:lang w:val="en-US"/>
        </w:rPr>
        <w:t xml:space="preserve">. </w:t>
      </w:r>
      <w:r w:rsidR="00FE43DB" w:rsidRPr="0033593D">
        <w:rPr>
          <w:shd w:val="clear" w:color="auto" w:fill="FFFFFF"/>
          <w:lang w:val="en-US"/>
        </w:rPr>
        <w:t>It may therefore be that dark chocolate (rich in f</w:t>
      </w:r>
      <w:r w:rsidR="007578AC" w:rsidRPr="0033593D">
        <w:rPr>
          <w:shd w:val="clear" w:color="auto" w:fill="FFFFFF"/>
          <w:lang w:val="en-US"/>
        </w:rPr>
        <w:t>la</w:t>
      </w:r>
      <w:r w:rsidR="00FE43DB" w:rsidRPr="0033593D">
        <w:rPr>
          <w:shd w:val="clear" w:color="auto" w:fill="FFFFFF"/>
          <w:lang w:val="en-US"/>
        </w:rPr>
        <w:t>vonoids) has a positive effect on mental health, including depression, whereas milk chocolate (low</w:t>
      </w:r>
      <w:r w:rsidR="00E17854" w:rsidRPr="0033593D">
        <w:rPr>
          <w:shd w:val="clear" w:color="auto" w:fill="FFFFFF"/>
          <w:lang w:val="en-US"/>
        </w:rPr>
        <w:t>er</w:t>
      </w:r>
      <w:r w:rsidR="00FE43DB" w:rsidRPr="0033593D">
        <w:rPr>
          <w:shd w:val="clear" w:color="auto" w:fill="FFFFFF"/>
          <w:lang w:val="en-US"/>
        </w:rPr>
        <w:t xml:space="preserve"> in flavonoids) does not. However, to date the association between consumption of</w:t>
      </w:r>
      <w:r w:rsidR="00C97BE2" w:rsidRPr="0033593D">
        <w:rPr>
          <w:shd w:val="clear" w:color="auto" w:fill="FFFFFF"/>
          <w:lang w:val="en-US"/>
        </w:rPr>
        <w:t xml:space="preserve"> dark</w:t>
      </w:r>
      <w:r w:rsidR="00FE43DB" w:rsidRPr="0033593D">
        <w:rPr>
          <w:shd w:val="clear" w:color="auto" w:fill="FFFFFF"/>
          <w:lang w:val="en-US"/>
        </w:rPr>
        <w:t xml:space="preserve"> chocolate and depression has not been investigated.</w:t>
      </w:r>
    </w:p>
    <w:p w14:paraId="7221BF20" w14:textId="7E3ACBB1" w:rsidR="00BB298C" w:rsidRPr="0033593D" w:rsidRDefault="00BB298C" w:rsidP="00EA436E">
      <w:pPr>
        <w:rPr>
          <w:shd w:val="clear" w:color="auto" w:fill="FFFFFF"/>
          <w:lang w:val="en-US"/>
        </w:rPr>
      </w:pPr>
      <w:r w:rsidRPr="0033593D">
        <w:rPr>
          <w:lang w:val="en-US"/>
        </w:rPr>
        <w:t>The present study therefore aimed to examine the relationship between chocolate consumption and symptoms of depression in a large, nationally-representative sample of adults living in the US</w:t>
      </w:r>
      <w:r w:rsidR="009C2EFD" w:rsidRPr="0033593D">
        <w:rPr>
          <w:lang w:val="en-US"/>
        </w:rPr>
        <w:t>, with adjustment for a wide range of potential confounders</w:t>
      </w:r>
      <w:r w:rsidRPr="0033593D">
        <w:rPr>
          <w:lang w:val="en-US"/>
        </w:rPr>
        <w:t>.</w:t>
      </w:r>
      <w:r w:rsidR="00C96FB7" w:rsidRPr="0033593D">
        <w:rPr>
          <w:lang w:val="en-US"/>
        </w:rPr>
        <w:t xml:space="preserve"> Specifically, we were interested in</w:t>
      </w:r>
      <w:r w:rsidR="00BD31DC" w:rsidRPr="0033593D">
        <w:rPr>
          <w:lang w:val="en-US"/>
        </w:rPr>
        <w:t>: (</w:t>
      </w:r>
      <w:proofErr w:type="spellStart"/>
      <w:r w:rsidR="00BD31DC" w:rsidRPr="0033593D">
        <w:rPr>
          <w:lang w:val="en-US"/>
        </w:rPr>
        <w:t>i</w:t>
      </w:r>
      <w:proofErr w:type="spellEnd"/>
      <w:r w:rsidR="00BD31DC" w:rsidRPr="0033593D">
        <w:rPr>
          <w:lang w:val="en-US"/>
        </w:rPr>
        <w:t>)</w:t>
      </w:r>
      <w:r w:rsidR="00C96FB7" w:rsidRPr="0033593D">
        <w:rPr>
          <w:lang w:val="en-US"/>
        </w:rPr>
        <w:t xml:space="preserve"> the association between chocolate consumption (any</w:t>
      </w:r>
      <w:r w:rsidR="006F10CC" w:rsidRPr="0033593D">
        <w:rPr>
          <w:lang w:val="en-US"/>
        </w:rPr>
        <w:t xml:space="preserve"> dark chocolate, chocolate</w:t>
      </w:r>
      <w:r w:rsidR="001C4179" w:rsidRPr="0033593D">
        <w:rPr>
          <w:lang w:val="en-US"/>
        </w:rPr>
        <w:t xml:space="preserve"> but not dark chocolate</w:t>
      </w:r>
      <w:r w:rsidR="006F10CC" w:rsidRPr="0033593D">
        <w:rPr>
          <w:lang w:val="en-US"/>
        </w:rPr>
        <w:t>, none</w:t>
      </w:r>
      <w:r w:rsidR="00C96FB7" w:rsidRPr="0033593D">
        <w:rPr>
          <w:lang w:val="en-US"/>
        </w:rPr>
        <w:t xml:space="preserve">) and depressive symptoms among all adults, </w:t>
      </w:r>
      <w:r w:rsidR="00BD31DC" w:rsidRPr="0033593D">
        <w:rPr>
          <w:lang w:val="en-US"/>
        </w:rPr>
        <w:t>(ii)</w:t>
      </w:r>
      <w:r w:rsidR="00C96FB7" w:rsidRPr="0033593D">
        <w:rPr>
          <w:lang w:val="en-US"/>
        </w:rPr>
        <w:t xml:space="preserve"> the association between amount of chocolate consumption and depressive symptoms.</w:t>
      </w:r>
    </w:p>
    <w:p w14:paraId="3DEAF800" w14:textId="77777777" w:rsidR="00BB298C" w:rsidRPr="0033593D" w:rsidRDefault="00BB298C" w:rsidP="00EA436E">
      <w:pPr>
        <w:rPr>
          <w:lang w:val="en-US"/>
        </w:rPr>
      </w:pPr>
    </w:p>
    <w:p w14:paraId="2F64040D" w14:textId="55E9094D" w:rsidR="004139B6" w:rsidRPr="0033593D" w:rsidRDefault="00EA7ACF" w:rsidP="00EA436E">
      <w:pPr>
        <w:pStyle w:val="Heading2"/>
        <w:rPr>
          <w:lang w:val="en-US"/>
        </w:rPr>
      </w:pPr>
      <w:r w:rsidRPr="0033593D">
        <w:rPr>
          <w:lang w:val="en-US"/>
        </w:rPr>
        <w:t>Materials and methods</w:t>
      </w:r>
    </w:p>
    <w:p w14:paraId="2AFC4330" w14:textId="4FADEB4A" w:rsidR="00DD061A" w:rsidRPr="0033593D" w:rsidRDefault="00DD061A" w:rsidP="00EA436E">
      <w:pPr>
        <w:pStyle w:val="Heading3"/>
        <w:rPr>
          <w:lang w:val="en-US"/>
        </w:rPr>
      </w:pPr>
      <w:r w:rsidRPr="0033593D">
        <w:rPr>
          <w:lang w:val="en-US"/>
        </w:rPr>
        <w:t xml:space="preserve">Study </w:t>
      </w:r>
      <w:r w:rsidR="00E901B1" w:rsidRPr="0033593D">
        <w:rPr>
          <w:lang w:val="en-US"/>
        </w:rPr>
        <w:t>p</w:t>
      </w:r>
      <w:r w:rsidR="004139B6" w:rsidRPr="0033593D">
        <w:rPr>
          <w:lang w:val="en-US"/>
        </w:rPr>
        <w:t>opulation</w:t>
      </w:r>
    </w:p>
    <w:p w14:paraId="2AAA4176" w14:textId="7B7F284F" w:rsidR="003E79BC" w:rsidRPr="0033593D" w:rsidRDefault="003E79BC" w:rsidP="00EA436E">
      <w:pPr>
        <w:rPr>
          <w:lang w:val="en-US"/>
        </w:rPr>
      </w:pPr>
      <w:r w:rsidRPr="0033593D">
        <w:rPr>
          <w:lang w:val="en-US"/>
        </w:rPr>
        <w:t>The National Health and Nutrition Examination Survey (NHANES)</w:t>
      </w:r>
      <w:r w:rsidR="00D830D7" w:rsidRPr="0033593D">
        <w:rPr>
          <w:lang w:val="en-US"/>
        </w:rPr>
        <w:t>, described in detail elsewhere</w:t>
      </w:r>
      <w:r w:rsidR="00F666E3" w:rsidRPr="0033593D">
        <w:rPr>
          <w:lang w:val="en-US"/>
        </w:rPr>
        <w:t xml:space="preserve"> (Curtin et al., 2013, 2012)</w:t>
      </w:r>
      <w:r w:rsidR="00D830D7" w:rsidRPr="0033593D">
        <w:rPr>
          <w:lang w:val="en-US"/>
        </w:rPr>
        <w:t>,</w:t>
      </w:r>
      <w:r w:rsidRPr="0033593D">
        <w:rPr>
          <w:lang w:val="en-US"/>
        </w:rPr>
        <w:t xml:space="preserve"> </w:t>
      </w:r>
      <w:r w:rsidR="00300860" w:rsidRPr="0033593D">
        <w:rPr>
          <w:lang w:val="en-US"/>
        </w:rPr>
        <w:t>was designed to provide cross-sectional estimates o</w:t>
      </w:r>
      <w:r w:rsidR="00227D78" w:rsidRPr="0033593D">
        <w:rPr>
          <w:lang w:val="en-US"/>
        </w:rPr>
        <w:t>f</w:t>
      </w:r>
      <w:r w:rsidR="00300860" w:rsidRPr="0033593D">
        <w:rPr>
          <w:lang w:val="en-US"/>
        </w:rPr>
        <w:t xml:space="preserve"> the prevalence of health, nutrition, and potential risk factors</w:t>
      </w:r>
      <w:r w:rsidR="003D1B76" w:rsidRPr="0033593D">
        <w:rPr>
          <w:lang w:val="en-US"/>
        </w:rPr>
        <w:t xml:space="preserve"> among </w:t>
      </w:r>
      <w:r w:rsidR="00577286" w:rsidRPr="0033593D">
        <w:rPr>
          <w:lang w:val="en-US"/>
        </w:rPr>
        <w:t xml:space="preserve">the </w:t>
      </w:r>
      <w:r w:rsidR="003D1B76" w:rsidRPr="0033593D">
        <w:rPr>
          <w:lang w:val="en-US"/>
        </w:rPr>
        <w:t>civilian non-institutionalized US population</w:t>
      </w:r>
      <w:r w:rsidR="000D5A8E" w:rsidRPr="0033593D">
        <w:rPr>
          <w:lang w:val="en-US"/>
        </w:rPr>
        <w:t xml:space="preserve"> </w:t>
      </w:r>
      <w:r w:rsidR="000D5A8E" w:rsidRPr="0033593D">
        <w:rPr>
          <w:noProof/>
          <w:lang w:val="en-US"/>
        </w:rPr>
        <w:t>(</w:t>
      </w:r>
      <w:r w:rsidR="0076143F" w:rsidRPr="0033593D">
        <w:rPr>
          <w:noProof/>
          <w:lang w:val="en-US"/>
        </w:rPr>
        <w:t>Centers for Disease Control and Prevention</w:t>
      </w:r>
      <w:r w:rsidR="000D5A8E" w:rsidRPr="0033593D">
        <w:rPr>
          <w:noProof/>
          <w:lang w:val="en-US"/>
        </w:rPr>
        <w:t>)</w:t>
      </w:r>
      <w:r w:rsidR="00311A20" w:rsidRPr="0033593D">
        <w:rPr>
          <w:lang w:val="en-US"/>
        </w:rPr>
        <w:t>.</w:t>
      </w:r>
      <w:r w:rsidR="00300860" w:rsidRPr="0033593D">
        <w:rPr>
          <w:lang w:val="en-US"/>
        </w:rPr>
        <w:t xml:space="preserve"> </w:t>
      </w:r>
      <w:r w:rsidR="00D830D7" w:rsidRPr="0033593D">
        <w:rPr>
          <w:lang w:val="en-US"/>
        </w:rPr>
        <w:t xml:space="preserve">Since 1999, NHANES </w:t>
      </w:r>
      <w:r w:rsidR="00B3354A" w:rsidRPr="0033593D">
        <w:rPr>
          <w:lang w:val="en-US"/>
        </w:rPr>
        <w:t>has surveyed</w:t>
      </w:r>
      <w:r w:rsidR="00D830D7" w:rsidRPr="0033593D">
        <w:rPr>
          <w:lang w:val="en-US"/>
        </w:rPr>
        <w:t xml:space="preserve"> a nationally representative, complex, stratified, multistage probability sample of the US population continuously in 2-year cycles, </w:t>
      </w:r>
      <w:r w:rsidR="00B3354A" w:rsidRPr="0033593D">
        <w:rPr>
          <w:lang w:val="en-US"/>
        </w:rPr>
        <w:t xml:space="preserve">with different participants included in each wave. The assessment methods </w:t>
      </w:r>
      <w:r w:rsidR="00D830D7" w:rsidRPr="0033593D">
        <w:rPr>
          <w:lang w:val="en-US"/>
        </w:rPr>
        <w:t>includ</w:t>
      </w:r>
      <w:r w:rsidR="00B3354A" w:rsidRPr="0033593D">
        <w:rPr>
          <w:lang w:val="en-US"/>
        </w:rPr>
        <w:t>e</w:t>
      </w:r>
      <w:r w:rsidR="00D830D7" w:rsidRPr="0033593D">
        <w:rPr>
          <w:lang w:val="en-US"/>
        </w:rPr>
        <w:t xml:space="preserve"> a household interview and a physical examination in a mobile examination </w:t>
      </w:r>
      <w:proofErr w:type="spellStart"/>
      <w:r w:rsidR="00D830D7" w:rsidRPr="0033593D">
        <w:rPr>
          <w:lang w:val="en-US"/>
        </w:rPr>
        <w:t>centre</w:t>
      </w:r>
      <w:proofErr w:type="spellEnd"/>
      <w:r w:rsidR="00D830D7" w:rsidRPr="0033593D">
        <w:rPr>
          <w:lang w:val="en-US"/>
        </w:rPr>
        <w:t xml:space="preserve"> (MEC). </w:t>
      </w:r>
      <w:r w:rsidR="0014079C" w:rsidRPr="0033593D">
        <w:rPr>
          <w:lang w:val="en-US"/>
        </w:rPr>
        <w:t>For the present analyses, w</w:t>
      </w:r>
      <w:r w:rsidR="00FD1667" w:rsidRPr="0033593D">
        <w:rPr>
          <w:lang w:val="en-US"/>
        </w:rPr>
        <w:t xml:space="preserve">e </w:t>
      </w:r>
      <w:r w:rsidR="005906F4" w:rsidRPr="0033593D">
        <w:rPr>
          <w:lang w:val="en-US"/>
        </w:rPr>
        <w:t xml:space="preserve">included participants </w:t>
      </w:r>
      <w:r w:rsidR="0014079C" w:rsidRPr="0033593D">
        <w:rPr>
          <w:lang w:val="en-US"/>
        </w:rPr>
        <w:t>over five cycles from 2007-08 to 2013-14 with</w:t>
      </w:r>
      <w:r w:rsidR="00FD1667" w:rsidRPr="0033593D">
        <w:rPr>
          <w:lang w:val="en-US"/>
        </w:rPr>
        <w:t xml:space="preserve"> </w:t>
      </w:r>
      <w:r w:rsidR="003C1768" w:rsidRPr="0033593D">
        <w:rPr>
          <w:lang w:val="en-US"/>
        </w:rPr>
        <w:t xml:space="preserve">available </w:t>
      </w:r>
      <w:r w:rsidR="00FD1667" w:rsidRPr="0033593D">
        <w:rPr>
          <w:lang w:val="en-US"/>
        </w:rPr>
        <w:t xml:space="preserve">data on </w:t>
      </w:r>
      <w:r w:rsidR="00301CF0" w:rsidRPr="0033593D">
        <w:rPr>
          <w:lang w:val="en-US"/>
        </w:rPr>
        <w:t>chocolate consumption from</w:t>
      </w:r>
      <w:r w:rsidR="00FD1667" w:rsidRPr="0033593D">
        <w:rPr>
          <w:lang w:val="en-US"/>
        </w:rPr>
        <w:t xml:space="preserve"> two </w:t>
      </w:r>
      <w:r w:rsidR="0014079C" w:rsidRPr="0033593D">
        <w:rPr>
          <w:lang w:val="en-US"/>
        </w:rPr>
        <w:t>24-hour</w:t>
      </w:r>
      <w:r w:rsidR="00FD1667" w:rsidRPr="0033593D">
        <w:rPr>
          <w:lang w:val="en-US"/>
        </w:rPr>
        <w:t xml:space="preserve"> dietary recalls.</w:t>
      </w:r>
      <w:r w:rsidR="005906F4" w:rsidRPr="0033593D">
        <w:rPr>
          <w:lang w:val="en-US"/>
        </w:rPr>
        <w:t xml:space="preserve"> </w:t>
      </w:r>
      <w:r w:rsidR="0033179E" w:rsidRPr="0033593D">
        <w:rPr>
          <w:lang w:val="en-US"/>
        </w:rPr>
        <w:t xml:space="preserve">We restricted our study sample to </w:t>
      </w:r>
      <w:r w:rsidR="00384C29" w:rsidRPr="0033593D">
        <w:rPr>
          <w:lang w:val="en-US"/>
        </w:rPr>
        <w:t>adult</w:t>
      </w:r>
      <w:r w:rsidR="00280DCC" w:rsidRPr="0033593D">
        <w:rPr>
          <w:lang w:val="en-US"/>
        </w:rPr>
        <w:t>s aged</w:t>
      </w:r>
      <w:r w:rsidR="00384C29" w:rsidRPr="0033593D">
        <w:rPr>
          <w:lang w:val="en-US"/>
        </w:rPr>
        <w:t xml:space="preserve"> </w:t>
      </w:r>
      <w:r w:rsidR="002E646A" w:rsidRPr="0033593D">
        <w:rPr>
          <w:lang w:val="en-US"/>
        </w:rPr>
        <w:t>≥</w:t>
      </w:r>
      <w:r w:rsidR="00384C29" w:rsidRPr="0033593D">
        <w:rPr>
          <w:lang w:val="en-US"/>
        </w:rPr>
        <w:t xml:space="preserve">20 years </w:t>
      </w:r>
      <w:r w:rsidR="00D77866" w:rsidRPr="0033593D">
        <w:rPr>
          <w:lang w:val="en-US"/>
        </w:rPr>
        <w:t>because the assessment of depressive symptoms was only done in this age range</w:t>
      </w:r>
      <w:r w:rsidR="00384C29" w:rsidRPr="0033593D">
        <w:rPr>
          <w:lang w:val="en-US"/>
        </w:rPr>
        <w:t>.</w:t>
      </w:r>
    </w:p>
    <w:p w14:paraId="43819700" w14:textId="42115BE8" w:rsidR="0033179E" w:rsidRPr="0033593D" w:rsidRDefault="00C2575A" w:rsidP="00EA436E">
      <w:pPr>
        <w:pStyle w:val="Heading3"/>
        <w:rPr>
          <w:lang w:val="en-US"/>
        </w:rPr>
      </w:pPr>
      <w:r w:rsidRPr="0033593D">
        <w:rPr>
          <w:lang w:val="en-US"/>
        </w:rPr>
        <w:t>Measures</w:t>
      </w:r>
    </w:p>
    <w:p w14:paraId="2EFF9A9D" w14:textId="6914A958" w:rsidR="00C2575A" w:rsidRPr="0033593D" w:rsidRDefault="00C2575A" w:rsidP="00C2575A">
      <w:pPr>
        <w:pStyle w:val="Heading4"/>
        <w:rPr>
          <w:lang w:val="en-US"/>
        </w:rPr>
      </w:pPr>
      <w:r w:rsidRPr="0033593D">
        <w:rPr>
          <w:lang w:val="en-US"/>
        </w:rPr>
        <w:t>Exposure: chocolate consumption</w:t>
      </w:r>
    </w:p>
    <w:p w14:paraId="59A76377" w14:textId="3D9F08DC" w:rsidR="009B22D0" w:rsidRPr="0033593D" w:rsidRDefault="00FD1667" w:rsidP="00EA436E">
      <w:pPr>
        <w:rPr>
          <w:lang w:val="en-US"/>
        </w:rPr>
      </w:pPr>
      <w:r w:rsidRPr="0033593D">
        <w:rPr>
          <w:lang w:val="en-US"/>
        </w:rPr>
        <w:t>A key component of NHANES is dietary assessment. In brief, NHAN</w:t>
      </w:r>
      <w:r w:rsidR="001C7859" w:rsidRPr="0033593D">
        <w:rPr>
          <w:lang w:val="en-US"/>
        </w:rPr>
        <w:t>E</w:t>
      </w:r>
      <w:r w:rsidRPr="0033593D">
        <w:rPr>
          <w:lang w:val="en-US"/>
        </w:rPr>
        <w:t xml:space="preserve">S participants </w:t>
      </w:r>
      <w:r w:rsidR="001C7859" w:rsidRPr="0033593D">
        <w:rPr>
          <w:lang w:val="en-US"/>
        </w:rPr>
        <w:t>are asked to complete two 24-hour recalls of</w:t>
      </w:r>
      <w:r w:rsidRPr="0033593D">
        <w:rPr>
          <w:lang w:val="en-US"/>
        </w:rPr>
        <w:t xml:space="preserve"> dietary intake using the USDA’s Automated Multiple-Pass</w:t>
      </w:r>
      <w:r w:rsidR="0033179E" w:rsidRPr="0033593D">
        <w:rPr>
          <w:lang w:val="en-US"/>
        </w:rPr>
        <w:t xml:space="preserve"> method</w:t>
      </w:r>
      <w:r w:rsidR="000D5A8E" w:rsidRPr="0033593D">
        <w:rPr>
          <w:lang w:val="en-US"/>
        </w:rPr>
        <w:t xml:space="preserve"> </w:t>
      </w:r>
      <w:r w:rsidR="000D5A8E" w:rsidRPr="0033593D">
        <w:rPr>
          <w:noProof/>
          <w:lang w:val="en-US"/>
        </w:rPr>
        <w:t>(</w:t>
      </w:r>
      <w:r w:rsidR="0076143F" w:rsidRPr="0033593D">
        <w:rPr>
          <w:noProof/>
          <w:lang w:val="en-US"/>
        </w:rPr>
        <w:t>Ahluwalia, Dwyer, Terry, Moshfegh, &amp; Johnson, 2016</w:t>
      </w:r>
      <w:r w:rsidR="000D5A8E" w:rsidRPr="0033593D">
        <w:rPr>
          <w:noProof/>
          <w:lang w:val="en-US"/>
        </w:rPr>
        <w:t>)</w:t>
      </w:r>
      <w:r w:rsidRPr="0033593D">
        <w:rPr>
          <w:lang w:val="en-US"/>
        </w:rPr>
        <w:t xml:space="preserve">. </w:t>
      </w:r>
      <w:r w:rsidR="001C7859" w:rsidRPr="0033593D">
        <w:rPr>
          <w:lang w:val="en-US"/>
        </w:rPr>
        <w:t>For the cycles used in the present analyses, t</w:t>
      </w:r>
      <w:r w:rsidR="0033179E" w:rsidRPr="0033593D">
        <w:rPr>
          <w:lang w:val="en-US"/>
        </w:rPr>
        <w:t xml:space="preserve">he first </w:t>
      </w:r>
      <w:r w:rsidR="001C7859" w:rsidRPr="0033593D">
        <w:rPr>
          <w:lang w:val="en-US"/>
        </w:rPr>
        <w:t>24-hour</w:t>
      </w:r>
      <w:r w:rsidR="0033179E" w:rsidRPr="0033593D">
        <w:rPr>
          <w:lang w:val="en-US"/>
        </w:rPr>
        <w:t xml:space="preserve"> recall was administered </w:t>
      </w:r>
      <w:r w:rsidR="001C7859" w:rsidRPr="0033593D">
        <w:rPr>
          <w:lang w:val="en-US"/>
        </w:rPr>
        <w:t xml:space="preserve">in person </w:t>
      </w:r>
      <w:r w:rsidR="0033179E" w:rsidRPr="0033593D">
        <w:rPr>
          <w:lang w:val="en-US"/>
        </w:rPr>
        <w:t>by a trained dietary interviewer using a standardized protocol</w:t>
      </w:r>
      <w:r w:rsidRPr="0033593D">
        <w:rPr>
          <w:lang w:val="en-US"/>
        </w:rPr>
        <w:t xml:space="preserve"> </w:t>
      </w:r>
      <w:r w:rsidR="0033179E" w:rsidRPr="0033593D">
        <w:rPr>
          <w:lang w:val="en-US"/>
        </w:rPr>
        <w:t xml:space="preserve">during the physical examination in a mobile examination center. The second </w:t>
      </w:r>
      <w:r w:rsidR="001C7859" w:rsidRPr="0033593D">
        <w:rPr>
          <w:lang w:val="en-US"/>
        </w:rPr>
        <w:t xml:space="preserve">24-hour </w:t>
      </w:r>
      <w:r w:rsidR="0033179E" w:rsidRPr="0033593D">
        <w:rPr>
          <w:lang w:val="en-US"/>
        </w:rPr>
        <w:t xml:space="preserve">recall was administered via telephone </w:t>
      </w:r>
      <w:r w:rsidR="001C7859" w:rsidRPr="0033593D">
        <w:rPr>
          <w:lang w:val="en-US"/>
        </w:rPr>
        <w:t xml:space="preserve">between 3 and 10 days after </w:t>
      </w:r>
      <w:r w:rsidR="0033179E" w:rsidRPr="0033593D">
        <w:rPr>
          <w:lang w:val="en-US"/>
        </w:rPr>
        <w:t xml:space="preserve">the first recall. Nutrient intakes were calculated based on food intake using a revised nutrient database that </w:t>
      </w:r>
      <w:r w:rsidR="008E3AD5" w:rsidRPr="0033593D">
        <w:rPr>
          <w:lang w:val="en-US"/>
        </w:rPr>
        <w:t>converts</w:t>
      </w:r>
      <w:r w:rsidR="0033179E" w:rsidRPr="0033593D">
        <w:rPr>
          <w:lang w:val="en-US"/>
        </w:rPr>
        <w:t xml:space="preserve"> intakes of food items to nutrients for </w:t>
      </w:r>
      <w:proofErr w:type="gramStart"/>
      <w:r w:rsidR="0033179E" w:rsidRPr="0033593D">
        <w:rPr>
          <w:lang w:val="en-US"/>
        </w:rPr>
        <w:t>each individual</w:t>
      </w:r>
      <w:proofErr w:type="gramEnd"/>
      <w:r w:rsidR="0033179E" w:rsidRPr="0033593D">
        <w:rPr>
          <w:lang w:val="en-US"/>
        </w:rPr>
        <w:t xml:space="preserve">. </w:t>
      </w:r>
      <w:r w:rsidR="009B22D0" w:rsidRPr="0033593D">
        <w:rPr>
          <w:lang w:val="en-US"/>
        </w:rPr>
        <w:t>Daily c</w:t>
      </w:r>
      <w:r w:rsidR="00B21285" w:rsidRPr="0033593D">
        <w:rPr>
          <w:lang w:val="en-US"/>
        </w:rPr>
        <w:t>hocolate</w:t>
      </w:r>
      <w:r w:rsidR="0033179E" w:rsidRPr="0033593D">
        <w:rPr>
          <w:lang w:val="en-US"/>
        </w:rPr>
        <w:t xml:space="preserve"> </w:t>
      </w:r>
      <w:r w:rsidR="000A6951" w:rsidRPr="0033593D">
        <w:rPr>
          <w:lang w:val="en-US"/>
        </w:rPr>
        <w:lastRenderedPageBreak/>
        <w:t>consumption</w:t>
      </w:r>
      <w:r w:rsidR="00345D60" w:rsidRPr="0033593D">
        <w:rPr>
          <w:lang w:val="en-US"/>
        </w:rPr>
        <w:t xml:space="preserve"> (</w:t>
      </w:r>
      <w:r w:rsidR="00C72527" w:rsidRPr="0033593D">
        <w:rPr>
          <w:lang w:val="en-US"/>
        </w:rPr>
        <w:t>overall</w:t>
      </w:r>
      <w:r w:rsidR="00345D60" w:rsidRPr="0033593D">
        <w:rPr>
          <w:lang w:val="en-US"/>
        </w:rPr>
        <w:t xml:space="preserve"> and dark chocolate </w:t>
      </w:r>
      <w:r w:rsidR="00332DE6" w:rsidRPr="0033593D">
        <w:rPr>
          <w:lang w:val="en-US"/>
        </w:rPr>
        <w:t xml:space="preserve">[≥45% cocoa solids] </w:t>
      </w:r>
      <w:r w:rsidR="00C72527" w:rsidRPr="0033593D">
        <w:rPr>
          <w:lang w:val="en-US"/>
        </w:rPr>
        <w:t>specifically</w:t>
      </w:r>
      <w:r w:rsidR="00345D60" w:rsidRPr="0033593D">
        <w:rPr>
          <w:lang w:val="en-US"/>
        </w:rPr>
        <w:t>)</w:t>
      </w:r>
      <w:r w:rsidR="0033179E" w:rsidRPr="0033593D">
        <w:rPr>
          <w:lang w:val="en-US"/>
        </w:rPr>
        <w:t xml:space="preserve"> was calculated </w:t>
      </w:r>
      <w:r w:rsidR="009B22D0" w:rsidRPr="0033593D">
        <w:rPr>
          <w:lang w:val="en-US"/>
        </w:rPr>
        <w:t>in g</w:t>
      </w:r>
      <w:r w:rsidR="003B6FB8" w:rsidRPr="0033593D">
        <w:rPr>
          <w:lang w:val="en-US"/>
        </w:rPr>
        <w:t>ram</w:t>
      </w:r>
      <w:r w:rsidR="001C4179" w:rsidRPr="0033593D">
        <w:rPr>
          <w:lang w:val="en-US"/>
        </w:rPr>
        <w:t>s</w:t>
      </w:r>
      <w:r w:rsidR="009B22D0" w:rsidRPr="0033593D">
        <w:rPr>
          <w:lang w:val="en-US"/>
        </w:rPr>
        <w:t xml:space="preserve"> </w:t>
      </w:r>
      <w:r w:rsidR="0033179E" w:rsidRPr="0033593D">
        <w:rPr>
          <w:lang w:val="en-US"/>
        </w:rPr>
        <w:t xml:space="preserve">using the average of </w:t>
      </w:r>
      <w:r w:rsidR="008E3AD5" w:rsidRPr="0033593D">
        <w:rPr>
          <w:lang w:val="en-US"/>
        </w:rPr>
        <w:t>the two 24-hour recalls</w:t>
      </w:r>
      <w:r w:rsidR="001D1AEA" w:rsidRPr="0033593D">
        <w:rPr>
          <w:lang w:val="en-US"/>
        </w:rPr>
        <w:t xml:space="preserve">, with implausibly high intakes excluded by removing observations above </w:t>
      </w:r>
      <w:r w:rsidR="008E3AD5" w:rsidRPr="0033593D">
        <w:rPr>
          <w:lang w:val="en-US"/>
        </w:rPr>
        <w:t>the</w:t>
      </w:r>
      <w:r w:rsidR="0033179E" w:rsidRPr="0033593D">
        <w:rPr>
          <w:lang w:val="en-US"/>
        </w:rPr>
        <w:t xml:space="preserve"> 99</w:t>
      </w:r>
      <w:r w:rsidR="008E3AD5" w:rsidRPr="0033593D">
        <w:rPr>
          <w:vertAlign w:val="superscript"/>
          <w:lang w:val="en-US"/>
        </w:rPr>
        <w:t>th</w:t>
      </w:r>
      <w:r w:rsidR="008E3AD5" w:rsidRPr="0033593D">
        <w:rPr>
          <w:lang w:val="en-US"/>
        </w:rPr>
        <w:t xml:space="preserve"> centile</w:t>
      </w:r>
      <w:r w:rsidR="0033179E" w:rsidRPr="0033593D">
        <w:rPr>
          <w:lang w:val="en-US"/>
        </w:rPr>
        <w:t>.</w:t>
      </w:r>
      <w:r w:rsidR="00412338" w:rsidRPr="0033593D">
        <w:rPr>
          <w:lang w:val="en-US"/>
        </w:rPr>
        <w:t xml:space="preserve"> </w:t>
      </w:r>
      <w:r w:rsidR="009B22D0" w:rsidRPr="0033593D">
        <w:rPr>
          <w:lang w:val="en-US"/>
        </w:rPr>
        <w:t xml:space="preserve">The present analyses focus on </w:t>
      </w:r>
      <w:r w:rsidR="00E06EA1" w:rsidRPr="0033593D">
        <w:rPr>
          <w:lang w:val="en-US"/>
        </w:rPr>
        <w:t>two</w:t>
      </w:r>
      <w:r w:rsidR="009B22D0" w:rsidRPr="0033593D">
        <w:rPr>
          <w:lang w:val="en-US"/>
        </w:rPr>
        <w:t xml:space="preserve"> variables derived from this measure of chocolate consumption</w:t>
      </w:r>
      <w:r w:rsidR="00124E70" w:rsidRPr="0033593D">
        <w:rPr>
          <w:lang w:val="en-US"/>
        </w:rPr>
        <w:t xml:space="preserve">. The first was </w:t>
      </w:r>
      <w:r w:rsidR="00B34F4F" w:rsidRPr="0033593D">
        <w:rPr>
          <w:lang w:val="en-US"/>
        </w:rPr>
        <w:t xml:space="preserve">a three-level categorical measure of </w:t>
      </w:r>
      <w:r w:rsidR="00904414" w:rsidRPr="0033593D">
        <w:rPr>
          <w:lang w:val="en-US"/>
        </w:rPr>
        <w:t xml:space="preserve">chocolate consumption </w:t>
      </w:r>
      <w:r w:rsidR="00587BE3" w:rsidRPr="0033593D">
        <w:rPr>
          <w:lang w:val="en-US"/>
        </w:rPr>
        <w:t>(none</w:t>
      </w:r>
      <w:r w:rsidR="00B34F4F" w:rsidRPr="0033593D">
        <w:rPr>
          <w:lang w:val="en-US"/>
        </w:rPr>
        <w:t>, chocolate</w:t>
      </w:r>
      <w:r w:rsidR="001C4179" w:rsidRPr="0033593D">
        <w:rPr>
          <w:lang w:val="en-US"/>
        </w:rPr>
        <w:t xml:space="preserve"> but not dark chocolate</w:t>
      </w:r>
      <w:r w:rsidR="00B34F4F" w:rsidRPr="0033593D">
        <w:rPr>
          <w:lang w:val="en-US"/>
        </w:rPr>
        <w:t>, any dark chocolate</w:t>
      </w:r>
      <w:r w:rsidR="005A1817" w:rsidRPr="0033593D">
        <w:rPr>
          <w:lang w:val="en-US"/>
        </w:rPr>
        <w:t>)</w:t>
      </w:r>
      <w:r w:rsidR="00124E70" w:rsidRPr="0033593D">
        <w:rPr>
          <w:lang w:val="en-US"/>
        </w:rPr>
        <w:t>. The second was</w:t>
      </w:r>
      <w:r w:rsidR="005A1817" w:rsidRPr="0033593D">
        <w:rPr>
          <w:lang w:val="en-US"/>
        </w:rPr>
        <w:t xml:space="preserve"> </w:t>
      </w:r>
      <w:r w:rsidR="00B34F4F" w:rsidRPr="0033593D">
        <w:rPr>
          <w:lang w:val="en-US"/>
        </w:rPr>
        <w:t>a five-level measure of the</w:t>
      </w:r>
      <w:r w:rsidR="0019765D" w:rsidRPr="0033593D">
        <w:rPr>
          <w:lang w:val="en-US"/>
        </w:rPr>
        <w:t xml:space="preserve"> </w:t>
      </w:r>
      <w:r w:rsidR="00904414" w:rsidRPr="0033593D">
        <w:rPr>
          <w:lang w:val="en-US"/>
        </w:rPr>
        <w:t xml:space="preserve">amount of chocolate consumed </w:t>
      </w:r>
      <w:r w:rsidR="005A1817" w:rsidRPr="0033593D">
        <w:rPr>
          <w:lang w:val="en-US"/>
        </w:rPr>
        <w:t xml:space="preserve">(any type) in </w:t>
      </w:r>
      <w:r w:rsidR="00904414" w:rsidRPr="0033593D">
        <w:rPr>
          <w:lang w:val="en-US"/>
        </w:rPr>
        <w:t>g</w:t>
      </w:r>
      <w:r w:rsidR="003B6FB8" w:rsidRPr="0033593D">
        <w:rPr>
          <w:lang w:val="en-US"/>
        </w:rPr>
        <w:t>ram</w:t>
      </w:r>
      <w:r w:rsidR="00904414" w:rsidRPr="0033593D">
        <w:rPr>
          <w:lang w:val="en-US"/>
        </w:rPr>
        <w:t>/day</w:t>
      </w:r>
      <w:r w:rsidR="00124E70" w:rsidRPr="0033593D">
        <w:rPr>
          <w:lang w:val="en-US"/>
        </w:rPr>
        <w:t>. Individuals who reported no chocolate consumption were coded 0, and those who reported any chocolate consumption were grouped into quartiles, coded 1 through 4 from the lowest to highest chocolate consumption.</w:t>
      </w:r>
    </w:p>
    <w:p w14:paraId="2801D1D6" w14:textId="5D7F8E7F" w:rsidR="00C2575A" w:rsidRPr="0033593D" w:rsidRDefault="00C2575A" w:rsidP="00C2575A">
      <w:pPr>
        <w:pStyle w:val="Heading4"/>
        <w:rPr>
          <w:rFonts w:eastAsiaTheme="minorEastAsia"/>
          <w:lang w:val="en-US"/>
        </w:rPr>
      </w:pPr>
      <w:r w:rsidRPr="0033593D">
        <w:rPr>
          <w:lang w:val="en-US"/>
        </w:rPr>
        <w:t>Outcome: depressive symptoms</w:t>
      </w:r>
    </w:p>
    <w:p w14:paraId="68DBD146" w14:textId="2D18321A" w:rsidR="00C2575A" w:rsidRPr="0033593D" w:rsidRDefault="00C2575A" w:rsidP="00C2575A">
      <w:pPr>
        <w:rPr>
          <w:lang w:val="en-US"/>
        </w:rPr>
      </w:pPr>
      <w:r w:rsidRPr="0033593D">
        <w:rPr>
          <w:lang w:val="en-US"/>
        </w:rPr>
        <w:t xml:space="preserve">Depressive symptoms were assessed using the Patient Health Questionnaire (PHQ-9), a valid 9-item depression screener </w:t>
      </w:r>
      <w:r w:rsidR="001C32FC" w:rsidRPr="0033593D">
        <w:rPr>
          <w:lang w:val="en-US"/>
        </w:rPr>
        <w:t>that asks</w:t>
      </w:r>
      <w:r w:rsidRPr="0033593D">
        <w:rPr>
          <w:lang w:val="en-US"/>
        </w:rPr>
        <w:t xml:space="preserve"> about the frequency of symptoms of depression over the past </w:t>
      </w:r>
      <w:r w:rsidR="001C32FC" w:rsidRPr="0033593D">
        <w:rPr>
          <w:lang w:val="en-US"/>
        </w:rPr>
        <w:t>two</w:t>
      </w:r>
      <w:r w:rsidRPr="0033593D">
        <w:rPr>
          <w:lang w:val="en-US"/>
        </w:rPr>
        <w:t xml:space="preserve"> weeks</w:t>
      </w:r>
      <w:r w:rsidR="0076143F" w:rsidRPr="0033593D">
        <w:rPr>
          <w:lang w:val="en-US"/>
        </w:rPr>
        <w:t xml:space="preserve"> </w:t>
      </w:r>
      <w:r w:rsidR="0076143F" w:rsidRPr="0033593D">
        <w:rPr>
          <w:noProof/>
          <w:lang w:val="en-US"/>
        </w:rPr>
        <w:t>(Kroenke, Spitzer, &amp; Williams, 2001; Mitchell, Yadegarfar, Gill, &amp; Stubbs, 2016)</w:t>
      </w:r>
      <w:r w:rsidRPr="0033593D">
        <w:rPr>
          <w:lang w:val="en-US"/>
        </w:rPr>
        <w:t>. Each item was scored on a 0-3 scale</w:t>
      </w:r>
      <w:r w:rsidR="001C32FC" w:rsidRPr="0033593D">
        <w:rPr>
          <w:lang w:val="en-US"/>
        </w:rPr>
        <w:t>, with a</w:t>
      </w:r>
      <w:r w:rsidRPr="0033593D">
        <w:rPr>
          <w:lang w:val="en-US"/>
        </w:rPr>
        <w:t xml:space="preserve"> total score </w:t>
      </w:r>
      <w:r w:rsidR="001C32FC" w:rsidRPr="0033593D">
        <w:rPr>
          <w:lang w:val="en-US"/>
        </w:rPr>
        <w:t>ranging</w:t>
      </w:r>
      <w:r w:rsidRPr="0033593D">
        <w:rPr>
          <w:lang w:val="en-US"/>
        </w:rPr>
        <w:t xml:space="preserve"> from 0 to 27</w:t>
      </w:r>
      <w:r w:rsidR="001C32FC" w:rsidRPr="0033593D">
        <w:rPr>
          <w:lang w:val="en-US"/>
        </w:rPr>
        <w:t xml:space="preserve">. </w:t>
      </w:r>
      <w:proofErr w:type="gramStart"/>
      <w:r w:rsidR="001C32FC" w:rsidRPr="0033593D">
        <w:rPr>
          <w:lang w:val="en-US"/>
        </w:rPr>
        <w:t>On the basis of</w:t>
      </w:r>
      <w:proofErr w:type="gramEnd"/>
      <w:r w:rsidR="001C32FC" w:rsidRPr="0033593D">
        <w:rPr>
          <w:lang w:val="en-US"/>
        </w:rPr>
        <w:t xml:space="preserve"> these scores, depressive symptoms can be </w:t>
      </w:r>
      <w:proofErr w:type="spellStart"/>
      <w:r w:rsidRPr="0033593D">
        <w:rPr>
          <w:lang w:val="en-US"/>
        </w:rPr>
        <w:t>categorised</w:t>
      </w:r>
      <w:proofErr w:type="spellEnd"/>
      <w:r w:rsidRPr="0033593D">
        <w:rPr>
          <w:lang w:val="en-US"/>
        </w:rPr>
        <w:t xml:space="preserve"> as “none or minimum” (0-4), “mild” (5-9), “moderate” (10-14), “moderately severe” (15-19), and “severe” (20-27). For </w:t>
      </w:r>
      <w:r w:rsidR="001C32FC" w:rsidRPr="0033593D">
        <w:rPr>
          <w:lang w:val="en-US"/>
        </w:rPr>
        <w:t>the present</w:t>
      </w:r>
      <w:r w:rsidRPr="0033593D">
        <w:rPr>
          <w:lang w:val="en-US"/>
        </w:rPr>
        <w:t xml:space="preserve"> analyses, </w:t>
      </w:r>
      <w:r w:rsidR="00511789" w:rsidRPr="0033593D">
        <w:rPr>
          <w:lang w:val="en-US"/>
        </w:rPr>
        <w:t xml:space="preserve">the </w:t>
      </w:r>
      <w:r w:rsidR="006427E4" w:rsidRPr="0033593D">
        <w:rPr>
          <w:lang w:val="en-US"/>
        </w:rPr>
        <w:t xml:space="preserve">data </w:t>
      </w:r>
      <w:r w:rsidR="00511789" w:rsidRPr="0033593D">
        <w:rPr>
          <w:lang w:val="en-US"/>
        </w:rPr>
        <w:t xml:space="preserve">were dichotomized </w:t>
      </w:r>
      <w:r w:rsidR="006427E4" w:rsidRPr="0033593D">
        <w:rPr>
          <w:lang w:val="en-US"/>
        </w:rPr>
        <w:t>to distinguish between</w:t>
      </w:r>
      <w:r w:rsidR="001C32FC" w:rsidRPr="0033593D">
        <w:rPr>
          <w:lang w:val="en-US"/>
        </w:rPr>
        <w:t xml:space="preserve"> </w:t>
      </w:r>
      <w:r w:rsidRPr="0033593D">
        <w:rPr>
          <w:lang w:val="en-US"/>
        </w:rPr>
        <w:t xml:space="preserve">participants who scored </w:t>
      </w:r>
      <w:r w:rsidR="00402848" w:rsidRPr="0033593D">
        <w:rPr>
          <w:lang w:val="en-US"/>
        </w:rPr>
        <w:t>9 or less</w:t>
      </w:r>
      <w:r w:rsidR="00170AEC" w:rsidRPr="0033593D">
        <w:rPr>
          <w:lang w:val="en-US"/>
        </w:rPr>
        <w:t xml:space="preserve"> and those who scored </w:t>
      </w:r>
      <w:r w:rsidR="00402848" w:rsidRPr="0033593D">
        <w:rPr>
          <w:lang w:val="en-US"/>
        </w:rPr>
        <w:t>≥</w:t>
      </w:r>
      <w:r w:rsidRPr="0033593D">
        <w:rPr>
          <w:lang w:val="en-US"/>
        </w:rPr>
        <w:t>10 or more</w:t>
      </w:r>
      <w:r w:rsidR="00170AEC" w:rsidRPr="0033593D">
        <w:rPr>
          <w:lang w:val="en-US"/>
        </w:rPr>
        <w:t>; the latter indicating</w:t>
      </w:r>
      <w:r w:rsidRPr="0033593D">
        <w:rPr>
          <w:lang w:val="en-US"/>
        </w:rPr>
        <w:t xml:space="preserve"> clinically relevant depression</w:t>
      </w:r>
      <w:r w:rsidR="00170AEC" w:rsidRPr="0033593D">
        <w:rPr>
          <w:lang w:val="en-US"/>
        </w:rPr>
        <w:t>.</w:t>
      </w:r>
      <w:r w:rsidRPr="0033593D">
        <w:rPr>
          <w:lang w:val="en-US"/>
        </w:rPr>
        <w:t xml:space="preserve"> </w:t>
      </w:r>
      <w:r w:rsidR="00170AEC" w:rsidRPr="0033593D">
        <w:rPr>
          <w:lang w:val="en-US"/>
        </w:rPr>
        <w:t>This cut-off</w:t>
      </w:r>
      <w:r w:rsidRPr="0033593D">
        <w:rPr>
          <w:lang w:val="en-US"/>
        </w:rPr>
        <w:t xml:space="preserve"> </w:t>
      </w:r>
      <w:r w:rsidR="00170AEC" w:rsidRPr="0033593D">
        <w:rPr>
          <w:lang w:val="en-US"/>
        </w:rPr>
        <w:t>has previously been shown to have</w:t>
      </w:r>
      <w:r w:rsidRPr="0033593D">
        <w:rPr>
          <w:lang w:val="en-US"/>
        </w:rPr>
        <w:t xml:space="preserve"> a sensitivity of 88% and a specificity of 88% for major depression</w:t>
      </w:r>
      <w:r w:rsidR="0076143F" w:rsidRPr="0033593D">
        <w:rPr>
          <w:lang w:val="en-US"/>
        </w:rPr>
        <w:t xml:space="preserve"> </w:t>
      </w:r>
      <w:r w:rsidR="0076143F" w:rsidRPr="0033593D">
        <w:rPr>
          <w:noProof/>
          <w:lang w:val="en-US"/>
        </w:rPr>
        <w:t>(Kroenke et al., 2001; Manea, Gilbody, &amp; McMillan, 2012; Mitchell et al., 2016)</w:t>
      </w:r>
      <w:r w:rsidRPr="0033593D">
        <w:rPr>
          <w:lang w:val="en-US"/>
        </w:rPr>
        <w:t>.</w:t>
      </w:r>
    </w:p>
    <w:p w14:paraId="2662FE96" w14:textId="57173700" w:rsidR="0033179E" w:rsidRPr="0033593D" w:rsidRDefault="00C2575A" w:rsidP="00C2575A">
      <w:pPr>
        <w:pStyle w:val="Heading4"/>
        <w:rPr>
          <w:lang w:val="en-US"/>
        </w:rPr>
      </w:pPr>
      <w:r w:rsidRPr="0033593D">
        <w:rPr>
          <w:lang w:val="en-US"/>
        </w:rPr>
        <w:t>Covariates</w:t>
      </w:r>
    </w:p>
    <w:p w14:paraId="01365D01" w14:textId="050A3624" w:rsidR="0068270E" w:rsidRPr="0033593D" w:rsidRDefault="0068270E" w:rsidP="00EA436E">
      <w:pPr>
        <w:rPr>
          <w:lang w:val="en-US"/>
        </w:rPr>
      </w:pPr>
      <w:r w:rsidRPr="0033593D">
        <w:rPr>
          <w:lang w:val="en-US"/>
        </w:rPr>
        <w:t xml:space="preserve">Total energy intake and total sugar intake were derived from the mean of the two 24-hour dietary </w:t>
      </w:r>
      <w:proofErr w:type="gramStart"/>
      <w:r w:rsidRPr="0033593D">
        <w:rPr>
          <w:lang w:val="en-US"/>
        </w:rPr>
        <w:t>recalls, and</w:t>
      </w:r>
      <w:proofErr w:type="gramEnd"/>
      <w:r w:rsidRPr="0033593D">
        <w:rPr>
          <w:lang w:val="en-US"/>
        </w:rPr>
        <w:t xml:space="preserve"> categorized into quartiles. Alcohol intake was derived from two 24-hour recalls and dichotomized to no (zero intake) and yes (any intake).</w:t>
      </w:r>
    </w:p>
    <w:p w14:paraId="6A2F80C3" w14:textId="1D638196" w:rsidR="00D64E98" w:rsidRPr="0033593D" w:rsidRDefault="00D64E98" w:rsidP="00EA436E">
      <w:pPr>
        <w:rPr>
          <w:lang w:val="en-US"/>
        </w:rPr>
      </w:pPr>
      <w:r w:rsidRPr="0033593D">
        <w:rPr>
          <w:lang w:val="en-US"/>
        </w:rPr>
        <w:lastRenderedPageBreak/>
        <w:t xml:space="preserve">Weight and height were measured during </w:t>
      </w:r>
      <w:r w:rsidR="0035475D" w:rsidRPr="0033593D">
        <w:rPr>
          <w:lang w:val="en-US"/>
        </w:rPr>
        <w:t xml:space="preserve">the </w:t>
      </w:r>
      <w:r w:rsidRPr="0033593D">
        <w:rPr>
          <w:lang w:val="en-US"/>
        </w:rPr>
        <w:t xml:space="preserve">physical examination in a </w:t>
      </w:r>
      <w:r w:rsidR="0035475D" w:rsidRPr="0033593D">
        <w:rPr>
          <w:lang w:val="en-US"/>
        </w:rPr>
        <w:t>mobile examination center</w:t>
      </w:r>
      <w:r w:rsidRPr="0033593D">
        <w:rPr>
          <w:lang w:val="en-US"/>
        </w:rPr>
        <w:t xml:space="preserve"> or in the participant’s home, following standard procedures. Body mass index (BMI) was calculated as weight in </w:t>
      </w:r>
      <w:r w:rsidR="0099633B" w:rsidRPr="0033593D">
        <w:rPr>
          <w:lang w:val="en-US"/>
        </w:rPr>
        <w:t>kilograms divided by the square of height in meters</w:t>
      </w:r>
      <w:r w:rsidR="00965A73" w:rsidRPr="0033593D">
        <w:rPr>
          <w:lang w:val="en-US"/>
        </w:rPr>
        <w:t xml:space="preserve"> and categorized as</w:t>
      </w:r>
      <w:r w:rsidRPr="0033593D">
        <w:rPr>
          <w:lang w:val="en-US"/>
        </w:rPr>
        <w:t xml:space="preserve"> underweight (&lt;18.5 kg/m</w:t>
      </w:r>
      <w:r w:rsidRPr="0033593D">
        <w:rPr>
          <w:vertAlign w:val="superscript"/>
          <w:lang w:val="en-US"/>
        </w:rPr>
        <w:t>2</w:t>
      </w:r>
      <w:r w:rsidRPr="0033593D">
        <w:rPr>
          <w:lang w:val="en-US"/>
        </w:rPr>
        <w:t>), normal weight (18.5 – 24.9 kg/m</w:t>
      </w:r>
      <w:r w:rsidRPr="0033593D">
        <w:rPr>
          <w:vertAlign w:val="superscript"/>
          <w:lang w:val="en-US"/>
        </w:rPr>
        <w:t>2</w:t>
      </w:r>
      <w:r w:rsidRPr="0033593D">
        <w:rPr>
          <w:lang w:val="en-US"/>
        </w:rPr>
        <w:t>), overweight (25.0 – 29.9 kg/m</w:t>
      </w:r>
      <w:r w:rsidRPr="0033593D">
        <w:rPr>
          <w:vertAlign w:val="superscript"/>
          <w:lang w:val="en-US"/>
        </w:rPr>
        <w:t>2</w:t>
      </w:r>
      <w:r w:rsidRPr="0033593D">
        <w:rPr>
          <w:lang w:val="en-US"/>
        </w:rPr>
        <w:t xml:space="preserve">), </w:t>
      </w:r>
      <w:r w:rsidR="00965A73" w:rsidRPr="0033593D">
        <w:rPr>
          <w:lang w:val="en-US"/>
        </w:rPr>
        <w:t>or</w:t>
      </w:r>
      <w:r w:rsidRPr="0033593D">
        <w:rPr>
          <w:lang w:val="en-US"/>
        </w:rPr>
        <w:t xml:space="preserve"> </w:t>
      </w:r>
      <w:r w:rsidR="00965A73" w:rsidRPr="0033593D">
        <w:rPr>
          <w:lang w:val="en-US"/>
        </w:rPr>
        <w:t>obese</w:t>
      </w:r>
      <w:r w:rsidRPr="0033593D">
        <w:rPr>
          <w:lang w:val="en-US"/>
        </w:rPr>
        <w:t xml:space="preserve"> (≥30 kg/m</w:t>
      </w:r>
      <w:r w:rsidRPr="0033593D">
        <w:rPr>
          <w:vertAlign w:val="superscript"/>
          <w:lang w:val="en-US"/>
        </w:rPr>
        <w:t>2</w:t>
      </w:r>
      <w:r w:rsidRPr="0033593D">
        <w:rPr>
          <w:lang w:val="en-US"/>
        </w:rPr>
        <w:t>). For analytic purposes, we exclude</w:t>
      </w:r>
      <w:r w:rsidR="00965A73" w:rsidRPr="0033593D">
        <w:rPr>
          <w:lang w:val="en-US"/>
        </w:rPr>
        <w:t>d</w:t>
      </w:r>
      <w:r w:rsidRPr="0033593D">
        <w:rPr>
          <w:lang w:val="en-US"/>
        </w:rPr>
        <w:t xml:space="preserve"> those who </w:t>
      </w:r>
      <w:r w:rsidR="00965A73" w:rsidRPr="0033593D">
        <w:rPr>
          <w:lang w:val="en-US"/>
        </w:rPr>
        <w:t>with an underweight BMI</w:t>
      </w:r>
      <w:r w:rsidRPr="0033593D">
        <w:rPr>
          <w:lang w:val="en-US"/>
        </w:rPr>
        <w:t xml:space="preserve"> due to potential underlying health conditions.</w:t>
      </w:r>
    </w:p>
    <w:p w14:paraId="3ECF2E4D" w14:textId="4077A440" w:rsidR="00AE0A90" w:rsidRPr="0033593D" w:rsidRDefault="00D64E98" w:rsidP="00EA436E">
      <w:pPr>
        <w:rPr>
          <w:lang w:val="en-US"/>
        </w:rPr>
      </w:pPr>
      <w:r w:rsidRPr="0033593D">
        <w:rPr>
          <w:lang w:val="en-US"/>
        </w:rPr>
        <w:t xml:space="preserve">Self-reported socio-demographic characteristics included age, </w:t>
      </w:r>
      <w:r w:rsidR="00E17854" w:rsidRPr="0033593D">
        <w:rPr>
          <w:lang w:val="en-US"/>
        </w:rPr>
        <w:t>marital status (</w:t>
      </w:r>
      <w:r w:rsidR="005A0F09" w:rsidRPr="0033593D">
        <w:rPr>
          <w:lang w:val="en-US"/>
        </w:rPr>
        <w:t xml:space="preserve">collapsed to </w:t>
      </w:r>
      <w:r w:rsidR="00E17854" w:rsidRPr="0033593D">
        <w:rPr>
          <w:lang w:val="en-US"/>
        </w:rPr>
        <w:t>living alone</w:t>
      </w:r>
      <w:r w:rsidR="005A0F09" w:rsidRPr="0033593D">
        <w:rPr>
          <w:lang w:val="en-US"/>
        </w:rPr>
        <w:t xml:space="preserve"> [widowed, divorced, separated, never married] and</w:t>
      </w:r>
      <w:r w:rsidR="00E17854" w:rsidRPr="0033593D">
        <w:rPr>
          <w:lang w:val="en-US"/>
        </w:rPr>
        <w:t xml:space="preserve"> living with someone</w:t>
      </w:r>
      <w:r w:rsidR="005A0F09" w:rsidRPr="0033593D">
        <w:rPr>
          <w:lang w:val="en-US"/>
        </w:rPr>
        <w:t xml:space="preserve"> [married, living with partner]</w:t>
      </w:r>
      <w:r w:rsidR="00E17854" w:rsidRPr="0033593D">
        <w:rPr>
          <w:lang w:val="en-US"/>
        </w:rPr>
        <w:t>)</w:t>
      </w:r>
      <w:r w:rsidR="005A0F09" w:rsidRPr="0033593D">
        <w:rPr>
          <w:lang w:val="en-US"/>
        </w:rPr>
        <w:t>,</w:t>
      </w:r>
      <w:r w:rsidR="00E17854" w:rsidRPr="0033593D">
        <w:rPr>
          <w:lang w:val="en-US"/>
        </w:rPr>
        <w:t xml:space="preserve"> </w:t>
      </w:r>
      <w:r w:rsidR="00D11483" w:rsidRPr="0033593D">
        <w:rPr>
          <w:lang w:val="en-US"/>
        </w:rPr>
        <w:t>sex</w:t>
      </w:r>
      <w:r w:rsidR="005A0F09" w:rsidRPr="0033593D">
        <w:rPr>
          <w:lang w:val="en-US"/>
        </w:rPr>
        <w:t xml:space="preserve"> (men and women)</w:t>
      </w:r>
      <w:r w:rsidRPr="0033593D">
        <w:rPr>
          <w:lang w:val="en-US"/>
        </w:rPr>
        <w:t xml:space="preserve">, </w:t>
      </w:r>
      <w:r w:rsidR="00D57929" w:rsidRPr="0033593D">
        <w:rPr>
          <w:lang w:val="en-US"/>
        </w:rPr>
        <w:t>race (non-Hispanic white, non-Hispanic black, Hispanic, other</w:t>
      </w:r>
      <w:r w:rsidR="005A0F09" w:rsidRPr="0033593D">
        <w:rPr>
          <w:lang w:val="en-US"/>
        </w:rPr>
        <w:t xml:space="preserve"> [other than non-Hispanic white, non-Hispanic black, Hispanic, including multi-racial]</w:t>
      </w:r>
      <w:r w:rsidR="00D57929" w:rsidRPr="0033593D">
        <w:rPr>
          <w:lang w:val="en-US"/>
        </w:rPr>
        <w:t xml:space="preserve">), </w:t>
      </w:r>
      <w:r w:rsidR="0076033C" w:rsidRPr="0033593D">
        <w:rPr>
          <w:lang w:val="en-US"/>
        </w:rPr>
        <w:t>education (</w:t>
      </w:r>
      <w:r w:rsidR="005A0F09" w:rsidRPr="0033593D">
        <w:rPr>
          <w:lang w:val="en-US"/>
        </w:rPr>
        <w:t xml:space="preserve">collapsed to </w:t>
      </w:r>
      <w:r w:rsidR="0076033C" w:rsidRPr="0033593D">
        <w:rPr>
          <w:lang w:val="en-US"/>
        </w:rPr>
        <w:t>below high school</w:t>
      </w:r>
      <w:r w:rsidR="005A0F09" w:rsidRPr="0033593D">
        <w:rPr>
          <w:lang w:val="en-US"/>
        </w:rPr>
        <w:t xml:space="preserve"> [less than 9</w:t>
      </w:r>
      <w:r w:rsidR="005A0F09" w:rsidRPr="0033593D">
        <w:rPr>
          <w:vertAlign w:val="superscript"/>
          <w:lang w:val="en-US"/>
        </w:rPr>
        <w:t>th</w:t>
      </w:r>
      <w:r w:rsidR="005A0F09" w:rsidRPr="0033593D">
        <w:rPr>
          <w:lang w:val="en-US"/>
        </w:rPr>
        <w:t xml:space="preserve"> grade, 9-11</w:t>
      </w:r>
      <w:r w:rsidR="005A0F09" w:rsidRPr="0033593D">
        <w:rPr>
          <w:vertAlign w:val="superscript"/>
          <w:lang w:val="en-US"/>
        </w:rPr>
        <w:t>th</w:t>
      </w:r>
      <w:r w:rsidR="005A0F09" w:rsidRPr="0033593D">
        <w:rPr>
          <w:lang w:val="en-US"/>
        </w:rPr>
        <w:t xml:space="preserve"> grade]</w:t>
      </w:r>
      <w:r w:rsidR="0076033C" w:rsidRPr="0033593D">
        <w:rPr>
          <w:lang w:val="en-US"/>
        </w:rPr>
        <w:t>, high school</w:t>
      </w:r>
      <w:r w:rsidR="005A0F09" w:rsidRPr="0033593D">
        <w:rPr>
          <w:lang w:val="en-US"/>
        </w:rPr>
        <w:t xml:space="preserve"> [high school graduate/GED or equivalent]</w:t>
      </w:r>
      <w:r w:rsidR="0076033C" w:rsidRPr="0033593D">
        <w:rPr>
          <w:lang w:val="en-US"/>
        </w:rPr>
        <w:t>, above high school</w:t>
      </w:r>
      <w:r w:rsidR="005A0F09" w:rsidRPr="0033593D">
        <w:rPr>
          <w:lang w:val="en-US"/>
        </w:rPr>
        <w:t xml:space="preserve"> [some college or AA degree, college graduate or above]</w:t>
      </w:r>
      <w:r w:rsidR="0076033C" w:rsidRPr="0033593D">
        <w:rPr>
          <w:lang w:val="en-US"/>
        </w:rPr>
        <w:t xml:space="preserve">) </w:t>
      </w:r>
      <w:r w:rsidR="005906F4" w:rsidRPr="0033593D">
        <w:rPr>
          <w:lang w:val="en-US"/>
        </w:rPr>
        <w:t xml:space="preserve">and </w:t>
      </w:r>
      <w:r w:rsidRPr="0033593D">
        <w:rPr>
          <w:lang w:val="en-US"/>
        </w:rPr>
        <w:t>annual household income (</w:t>
      </w:r>
      <w:r w:rsidR="005A0F09" w:rsidRPr="0033593D">
        <w:rPr>
          <w:lang w:val="en-US"/>
        </w:rPr>
        <w:t>15 categories of annu</w:t>
      </w:r>
      <w:r w:rsidR="00DD522B" w:rsidRPr="0033593D">
        <w:rPr>
          <w:lang w:val="en-US"/>
        </w:rPr>
        <w:t>a</w:t>
      </w:r>
      <w:r w:rsidR="005A0F09" w:rsidRPr="0033593D">
        <w:rPr>
          <w:lang w:val="en-US"/>
        </w:rPr>
        <w:t>l household income levels collapse</w:t>
      </w:r>
      <w:r w:rsidR="00DD522B" w:rsidRPr="0033593D">
        <w:rPr>
          <w:lang w:val="en-US"/>
        </w:rPr>
        <w:t>d</w:t>
      </w:r>
      <w:r w:rsidR="005A0F09" w:rsidRPr="0033593D">
        <w:rPr>
          <w:lang w:val="en-US"/>
        </w:rPr>
        <w:t xml:space="preserve"> to </w:t>
      </w:r>
      <w:r w:rsidR="00D11483" w:rsidRPr="0033593D">
        <w:rPr>
          <w:lang w:val="en-US"/>
        </w:rPr>
        <w:t>&lt;</w:t>
      </w:r>
      <w:r w:rsidRPr="0033593D">
        <w:rPr>
          <w:lang w:val="en-US"/>
        </w:rPr>
        <w:t>$25,000, $25,000</w:t>
      </w:r>
      <w:r w:rsidR="00D11483" w:rsidRPr="0033593D">
        <w:rPr>
          <w:lang w:val="en-US"/>
        </w:rPr>
        <w:t>–</w:t>
      </w:r>
      <w:r w:rsidR="005906F4" w:rsidRPr="0033593D">
        <w:rPr>
          <w:lang w:val="en-US"/>
        </w:rPr>
        <w:t xml:space="preserve">$74,999, and </w:t>
      </w:r>
      <w:r w:rsidR="00D11483" w:rsidRPr="0033593D">
        <w:rPr>
          <w:lang w:val="en-US"/>
        </w:rPr>
        <w:t>≥</w:t>
      </w:r>
      <w:r w:rsidR="005906F4" w:rsidRPr="0033593D">
        <w:rPr>
          <w:lang w:val="en-US"/>
        </w:rPr>
        <w:t>$75,000)</w:t>
      </w:r>
      <w:r w:rsidRPr="0033593D">
        <w:rPr>
          <w:lang w:val="en-US"/>
        </w:rPr>
        <w:t xml:space="preserve">. </w:t>
      </w:r>
    </w:p>
    <w:p w14:paraId="5397F166" w14:textId="1A19A958" w:rsidR="005E4A91" w:rsidRPr="0033593D" w:rsidRDefault="00D64E98" w:rsidP="00EA436E">
      <w:pPr>
        <w:rPr>
          <w:lang w:val="en-US"/>
        </w:rPr>
      </w:pPr>
      <w:r w:rsidRPr="0033593D">
        <w:rPr>
          <w:lang w:val="en-US"/>
        </w:rPr>
        <w:t>Lifestyle characteristics included leisure</w:t>
      </w:r>
      <w:r w:rsidR="00AE0A90" w:rsidRPr="0033593D">
        <w:rPr>
          <w:lang w:val="en-US"/>
        </w:rPr>
        <w:t>-</w:t>
      </w:r>
      <w:r w:rsidRPr="0033593D">
        <w:rPr>
          <w:lang w:val="en-US"/>
        </w:rPr>
        <w:t xml:space="preserve">time physical activity and smoking status. Participants reported the number of days and minutes spent in moderate and vigorous recreational activities in a typical week. We summarized the total number of minutes for both activities and classified participants as inactive (zero </w:t>
      </w:r>
      <w:r w:rsidRPr="0033593D">
        <w:rPr>
          <w:rFonts w:eastAsiaTheme="minorEastAsia"/>
          <w:lang w:val="en-US" w:eastAsia="zh-CN"/>
        </w:rPr>
        <w:t>moderate-to-vigorous physical activity</w:t>
      </w:r>
      <w:r w:rsidRPr="0033593D">
        <w:rPr>
          <w:lang w:val="en-US"/>
        </w:rPr>
        <w:t>)</w:t>
      </w:r>
      <w:r w:rsidR="00AE0A90" w:rsidRPr="0033593D">
        <w:rPr>
          <w:lang w:val="en-US"/>
        </w:rPr>
        <w:t xml:space="preserve"> </w:t>
      </w:r>
      <w:r w:rsidR="00AE0A90" w:rsidRPr="0033593D">
        <w:rPr>
          <w:rFonts w:eastAsiaTheme="minorEastAsia"/>
          <w:lang w:val="en-US" w:eastAsia="zh-CN"/>
        </w:rPr>
        <w:t>or</w:t>
      </w:r>
      <w:r w:rsidRPr="0033593D">
        <w:rPr>
          <w:rFonts w:eastAsiaTheme="minorEastAsia"/>
          <w:lang w:val="en-US" w:eastAsia="zh-CN"/>
        </w:rPr>
        <w:t xml:space="preserve"> active (any moderate-to-vigorous physical activity</w:t>
      </w:r>
      <w:r w:rsidRPr="0033593D">
        <w:rPr>
          <w:lang w:val="en-US"/>
        </w:rPr>
        <w:t>) based on physical activity guideline</w:t>
      </w:r>
      <w:r w:rsidR="00AE0A90" w:rsidRPr="0033593D">
        <w:rPr>
          <w:lang w:val="en-US"/>
        </w:rPr>
        <w:t>s</w:t>
      </w:r>
      <w:r w:rsidR="0076143F" w:rsidRPr="0033593D">
        <w:rPr>
          <w:lang w:val="en-US"/>
        </w:rPr>
        <w:t xml:space="preserve"> </w:t>
      </w:r>
      <w:r w:rsidR="0076143F" w:rsidRPr="0033593D">
        <w:rPr>
          <w:noProof/>
          <w:lang w:val="en-US"/>
        </w:rPr>
        <w:t>(U.S. Department of Health and Human Services, 2018)</w:t>
      </w:r>
      <w:r w:rsidRPr="0033593D">
        <w:rPr>
          <w:rFonts w:eastAsiaTheme="minorEastAsia"/>
          <w:lang w:val="en-US" w:eastAsia="zh-CN"/>
        </w:rPr>
        <w:t>.</w:t>
      </w:r>
      <w:r w:rsidRPr="0033593D">
        <w:rPr>
          <w:lang w:val="en-US"/>
        </w:rPr>
        <w:t xml:space="preserve"> Smoking status was classified into: never smokers (</w:t>
      </w:r>
      <w:r w:rsidR="00AE0A90" w:rsidRPr="0033593D">
        <w:rPr>
          <w:lang w:val="en-US"/>
        </w:rPr>
        <w:t>have never smoked</w:t>
      </w:r>
      <w:r w:rsidRPr="0033593D">
        <w:rPr>
          <w:lang w:val="en-US"/>
        </w:rPr>
        <w:t xml:space="preserve"> 100 cigarettes and do not smoke now), former smokers (</w:t>
      </w:r>
      <w:r w:rsidR="00AE0A90" w:rsidRPr="0033593D">
        <w:rPr>
          <w:lang w:val="en-US"/>
        </w:rPr>
        <w:t xml:space="preserve">have </w:t>
      </w:r>
      <w:r w:rsidRPr="0033593D">
        <w:rPr>
          <w:lang w:val="en-US"/>
        </w:rPr>
        <w:t xml:space="preserve">smoked 100 cigarettes in </w:t>
      </w:r>
      <w:r w:rsidR="009D4D38" w:rsidRPr="0033593D">
        <w:rPr>
          <w:lang w:val="en-US"/>
        </w:rPr>
        <w:t>lifetime</w:t>
      </w:r>
      <w:r w:rsidRPr="0033593D">
        <w:rPr>
          <w:lang w:val="en-US"/>
        </w:rPr>
        <w:t xml:space="preserve"> and do not smoke now), and current smokers (</w:t>
      </w:r>
      <w:r w:rsidR="00AE0A90" w:rsidRPr="0033593D">
        <w:rPr>
          <w:lang w:val="en-US"/>
        </w:rPr>
        <w:t xml:space="preserve">have </w:t>
      </w:r>
      <w:r w:rsidRPr="0033593D">
        <w:rPr>
          <w:lang w:val="en-US"/>
        </w:rPr>
        <w:t xml:space="preserve">smoked 100 cigarettes in </w:t>
      </w:r>
      <w:r w:rsidR="009D4D38" w:rsidRPr="0033593D">
        <w:rPr>
          <w:lang w:val="en-US"/>
        </w:rPr>
        <w:t>lifetime</w:t>
      </w:r>
      <w:r w:rsidR="00AE0A90" w:rsidRPr="0033593D">
        <w:rPr>
          <w:lang w:val="en-US"/>
        </w:rPr>
        <w:t xml:space="preserve"> </w:t>
      </w:r>
      <w:r w:rsidRPr="0033593D">
        <w:rPr>
          <w:lang w:val="en-US"/>
        </w:rPr>
        <w:t>and smoke now).</w:t>
      </w:r>
      <w:r w:rsidR="005906F4" w:rsidRPr="0033593D">
        <w:rPr>
          <w:lang w:val="en-US"/>
        </w:rPr>
        <w:t xml:space="preserve"> </w:t>
      </w:r>
    </w:p>
    <w:p w14:paraId="3206D6F4" w14:textId="14658F82" w:rsidR="0076033C" w:rsidRPr="0033593D" w:rsidRDefault="005906F4" w:rsidP="00EA436E">
      <w:pPr>
        <w:rPr>
          <w:lang w:val="en-US"/>
        </w:rPr>
      </w:pPr>
      <w:r w:rsidRPr="0033593D">
        <w:rPr>
          <w:lang w:val="en-US"/>
        </w:rPr>
        <w:t xml:space="preserve">Information on chronic conditions that were considered suspected </w:t>
      </w:r>
      <w:r w:rsidR="0076033C" w:rsidRPr="0033593D">
        <w:rPr>
          <w:lang w:val="en-US"/>
        </w:rPr>
        <w:t>correlates</w:t>
      </w:r>
      <w:r w:rsidRPr="0033593D">
        <w:rPr>
          <w:lang w:val="en-US"/>
        </w:rPr>
        <w:t xml:space="preserve"> were extracted, including </w:t>
      </w:r>
      <w:r w:rsidR="0076033C" w:rsidRPr="0033593D">
        <w:rPr>
          <w:lang w:val="en-US"/>
        </w:rPr>
        <w:t xml:space="preserve">self-reported doctors’ </w:t>
      </w:r>
      <w:r w:rsidR="005E4A91" w:rsidRPr="0033593D">
        <w:rPr>
          <w:lang w:val="en-US"/>
        </w:rPr>
        <w:t>diagnoses</w:t>
      </w:r>
      <w:r w:rsidR="0076033C" w:rsidRPr="0033593D">
        <w:rPr>
          <w:lang w:val="en-US"/>
        </w:rPr>
        <w:t xml:space="preserve"> </w:t>
      </w:r>
      <w:r w:rsidR="00F80748" w:rsidRPr="0033593D">
        <w:rPr>
          <w:lang w:val="en-US"/>
        </w:rPr>
        <w:t xml:space="preserve">(by answering </w:t>
      </w:r>
      <w:r w:rsidR="00DD522B" w:rsidRPr="0033593D">
        <w:rPr>
          <w:lang w:val="en-US"/>
        </w:rPr>
        <w:t xml:space="preserve">the </w:t>
      </w:r>
      <w:r w:rsidR="00F80748" w:rsidRPr="0033593D">
        <w:rPr>
          <w:lang w:val="en-US"/>
        </w:rPr>
        <w:t xml:space="preserve">question “Has a doctor or other health professional ever told you that you had…” for each condition) </w:t>
      </w:r>
      <w:r w:rsidR="0076033C" w:rsidRPr="0033593D">
        <w:rPr>
          <w:lang w:val="en-US"/>
        </w:rPr>
        <w:t>of cardiovascular disease, arthritis, and cancer.</w:t>
      </w:r>
      <w:r w:rsidR="000E5168" w:rsidRPr="0033593D">
        <w:rPr>
          <w:lang w:val="en-US"/>
        </w:rPr>
        <w:t xml:space="preserve"> Participants </w:t>
      </w:r>
      <w:r w:rsidR="00AC0DBF" w:rsidRPr="0033593D">
        <w:rPr>
          <w:lang w:val="en-US"/>
        </w:rPr>
        <w:t xml:space="preserve">who </w:t>
      </w:r>
      <w:r w:rsidR="000E5168" w:rsidRPr="0033593D">
        <w:rPr>
          <w:lang w:val="en-US"/>
        </w:rPr>
        <w:t xml:space="preserve">reported diabetes mellitus were excluded from the analyses due to </w:t>
      </w:r>
      <w:r w:rsidR="00AC0DBF" w:rsidRPr="0033593D">
        <w:rPr>
          <w:lang w:val="en-US"/>
        </w:rPr>
        <w:t xml:space="preserve">potential confounding by increased </w:t>
      </w:r>
      <w:r w:rsidR="00AC0DBF" w:rsidRPr="0033593D">
        <w:rPr>
          <w:lang w:val="en-US"/>
        </w:rPr>
        <w:lastRenderedPageBreak/>
        <w:t>prevalence of depression</w:t>
      </w:r>
      <w:r w:rsidR="00784493" w:rsidRPr="0033593D">
        <w:rPr>
          <w:lang w:val="en-US"/>
        </w:rPr>
        <w:t xml:space="preserve"> </w:t>
      </w:r>
      <w:r w:rsidR="0076143F" w:rsidRPr="0033593D">
        <w:rPr>
          <w:noProof/>
          <w:lang w:val="en-US"/>
        </w:rPr>
        <w:t>(Roy &amp; Lloyd, 2012)</w:t>
      </w:r>
      <w:r w:rsidR="00AC0DBF" w:rsidRPr="0033593D">
        <w:rPr>
          <w:lang w:val="en-US"/>
        </w:rPr>
        <w:t xml:space="preserve"> and likelihood of dietary restrictions that prohibit chocolate consumption.</w:t>
      </w:r>
    </w:p>
    <w:p w14:paraId="3D2ACF96" w14:textId="4AE97931" w:rsidR="000955EB" w:rsidRPr="0033593D" w:rsidRDefault="0042228B" w:rsidP="00EA436E">
      <w:pPr>
        <w:pStyle w:val="Heading3"/>
        <w:rPr>
          <w:lang w:val="en-US"/>
        </w:rPr>
      </w:pPr>
      <w:r w:rsidRPr="0033593D">
        <w:rPr>
          <w:lang w:val="en-US"/>
        </w:rPr>
        <w:t>Statistical analyses</w:t>
      </w:r>
    </w:p>
    <w:p w14:paraId="10632B4D" w14:textId="09C561B3" w:rsidR="004E42B0" w:rsidRPr="0033593D" w:rsidRDefault="004B0951" w:rsidP="00873CE5">
      <w:pPr>
        <w:pStyle w:val="NoSpacing"/>
        <w:snapToGrid w:val="0"/>
        <w:spacing w:after="120" w:line="480" w:lineRule="auto"/>
        <w:rPr>
          <w:rFonts w:ascii="Arial" w:hAnsi="Arial" w:cs="Arial"/>
          <w:lang w:val="en-US"/>
        </w:rPr>
      </w:pPr>
      <w:r w:rsidRPr="0033593D">
        <w:rPr>
          <w:rFonts w:ascii="Arial" w:hAnsi="Arial" w:cs="Arial"/>
          <w:bCs/>
          <w:lang w:val="en-US"/>
        </w:rPr>
        <w:t xml:space="preserve">All statistical analyses were performed using </w:t>
      </w:r>
      <w:r w:rsidRPr="0033593D">
        <w:rPr>
          <w:rFonts w:ascii="Arial" w:hAnsi="Arial" w:cs="Arial"/>
          <w:lang w:val="en-US"/>
        </w:rPr>
        <w:t>S</w:t>
      </w:r>
      <w:r w:rsidR="006E6749" w:rsidRPr="0033593D">
        <w:rPr>
          <w:rFonts w:ascii="Arial" w:hAnsi="Arial" w:cs="Arial"/>
          <w:lang w:val="en-US"/>
        </w:rPr>
        <w:t xml:space="preserve">TATA </w:t>
      </w:r>
      <w:r w:rsidRPr="0033593D">
        <w:rPr>
          <w:rFonts w:ascii="Arial" w:hAnsi="Arial" w:cs="Arial"/>
          <w:lang w:val="en-US"/>
        </w:rPr>
        <w:t xml:space="preserve">version </w:t>
      </w:r>
      <w:r w:rsidR="006E6749" w:rsidRPr="0033593D">
        <w:rPr>
          <w:rFonts w:ascii="Arial" w:hAnsi="Arial" w:cs="Arial"/>
          <w:lang w:val="en-US"/>
        </w:rPr>
        <w:t>14.0</w:t>
      </w:r>
      <w:r w:rsidRPr="0033593D">
        <w:rPr>
          <w:rFonts w:ascii="Arial" w:hAnsi="Arial" w:cs="Arial"/>
          <w:lang w:val="en-US"/>
        </w:rPr>
        <w:t xml:space="preserve"> (STATA Corp., College Station, Texas, USA). Survey analysis procedure</w:t>
      </w:r>
      <w:r w:rsidR="00881C55" w:rsidRPr="0033593D">
        <w:rPr>
          <w:rFonts w:ascii="Arial" w:hAnsi="Arial" w:cs="Arial"/>
          <w:lang w:val="en-US"/>
        </w:rPr>
        <w:t>s</w:t>
      </w:r>
      <w:r w:rsidRPr="0033593D">
        <w:rPr>
          <w:rFonts w:ascii="Arial" w:hAnsi="Arial" w:cs="Arial"/>
          <w:lang w:val="en-US"/>
        </w:rPr>
        <w:t xml:space="preserve"> w</w:t>
      </w:r>
      <w:r w:rsidR="00881C55" w:rsidRPr="0033593D">
        <w:rPr>
          <w:rFonts w:ascii="Arial" w:hAnsi="Arial" w:cs="Arial"/>
          <w:lang w:val="en-US"/>
        </w:rPr>
        <w:t>ere</w:t>
      </w:r>
      <w:r w:rsidRPr="0033593D">
        <w:rPr>
          <w:rFonts w:ascii="Arial" w:hAnsi="Arial" w:cs="Arial"/>
          <w:lang w:val="en-US"/>
        </w:rPr>
        <w:t xml:space="preserve"> used to account for the sample weights, stratification, and clustering of the complex sampling design to ensure nationally representative estimates</w:t>
      </w:r>
      <w:r w:rsidR="0076143F" w:rsidRPr="0033593D">
        <w:rPr>
          <w:rFonts w:ascii="Arial" w:hAnsi="Arial" w:cs="Arial"/>
          <w:lang w:val="en-US"/>
        </w:rPr>
        <w:t xml:space="preserve"> </w:t>
      </w:r>
      <w:r w:rsidR="0076143F" w:rsidRPr="0033593D">
        <w:rPr>
          <w:rFonts w:ascii="Arial" w:hAnsi="Arial" w:cs="Arial"/>
          <w:noProof/>
          <w:lang w:val="en-US"/>
        </w:rPr>
        <w:t>(Curtin et al., 2012)</w:t>
      </w:r>
      <w:r w:rsidRPr="0033593D">
        <w:rPr>
          <w:rFonts w:ascii="Arial" w:hAnsi="Arial" w:cs="Arial"/>
          <w:lang w:val="en-US"/>
        </w:rPr>
        <w:t xml:space="preserve">. </w:t>
      </w:r>
      <w:r w:rsidR="00873CE5" w:rsidRPr="0033593D">
        <w:rPr>
          <w:rFonts w:ascii="Arial" w:hAnsi="Arial" w:cs="Arial"/>
          <w:lang w:val="en-US"/>
        </w:rPr>
        <w:t xml:space="preserve">Descriptive characteristics were </w:t>
      </w:r>
      <w:proofErr w:type="spellStart"/>
      <w:r w:rsidR="00873CE5" w:rsidRPr="0033593D">
        <w:rPr>
          <w:rFonts w:ascii="Arial" w:hAnsi="Arial" w:cs="Arial"/>
          <w:lang w:val="en-US"/>
        </w:rPr>
        <w:t>analysed</w:t>
      </w:r>
      <w:proofErr w:type="spellEnd"/>
      <w:r w:rsidR="00873CE5" w:rsidRPr="0033593D">
        <w:rPr>
          <w:rFonts w:ascii="Arial" w:hAnsi="Arial" w:cs="Arial"/>
          <w:lang w:val="en-US"/>
        </w:rPr>
        <w:t xml:space="preserve"> </w:t>
      </w:r>
      <w:r w:rsidR="00B17112" w:rsidRPr="0033593D">
        <w:rPr>
          <w:rFonts w:ascii="Arial" w:hAnsi="Arial" w:cs="Arial"/>
          <w:lang w:val="en-US"/>
        </w:rPr>
        <w:t xml:space="preserve">by summarizing </w:t>
      </w:r>
      <w:r w:rsidR="00873CE5" w:rsidRPr="0033593D">
        <w:rPr>
          <w:rFonts w:ascii="Arial" w:hAnsi="Arial" w:cs="Arial"/>
          <w:lang w:val="en-US"/>
        </w:rPr>
        <w:t>weighted means and standard errors for continuous variables</w:t>
      </w:r>
      <w:r w:rsidR="00ED3187" w:rsidRPr="0033593D">
        <w:rPr>
          <w:rFonts w:ascii="Arial" w:hAnsi="Arial" w:cs="Arial"/>
          <w:lang w:val="en-US"/>
        </w:rPr>
        <w:t xml:space="preserve"> and</w:t>
      </w:r>
      <w:r w:rsidR="00873CE5" w:rsidRPr="0033593D">
        <w:rPr>
          <w:rFonts w:ascii="Arial" w:hAnsi="Arial" w:cs="Arial"/>
          <w:lang w:val="en-US"/>
        </w:rPr>
        <w:t xml:space="preserve"> weighted proportions for categorical variables</w:t>
      </w:r>
      <w:r w:rsidR="00ED3187" w:rsidRPr="0033593D">
        <w:rPr>
          <w:rFonts w:ascii="Arial" w:hAnsi="Arial" w:cs="Arial"/>
          <w:lang w:val="en-US"/>
        </w:rPr>
        <w:t xml:space="preserve"> </w:t>
      </w:r>
      <w:r w:rsidR="00873CE5" w:rsidRPr="0033593D">
        <w:rPr>
          <w:rFonts w:ascii="Arial" w:hAnsi="Arial" w:cs="Arial"/>
          <w:lang w:val="en-US"/>
        </w:rPr>
        <w:t xml:space="preserve">by chocolate </w:t>
      </w:r>
      <w:r w:rsidR="00ED3187" w:rsidRPr="0033593D">
        <w:rPr>
          <w:rFonts w:ascii="Arial" w:hAnsi="Arial" w:cs="Arial"/>
          <w:lang w:val="en-US"/>
        </w:rPr>
        <w:t>consumption</w:t>
      </w:r>
      <w:r w:rsidR="00873CE5" w:rsidRPr="0033593D">
        <w:rPr>
          <w:rFonts w:ascii="Arial" w:hAnsi="Arial" w:cs="Arial"/>
          <w:lang w:val="en-US"/>
        </w:rPr>
        <w:t xml:space="preserve"> status (</w:t>
      </w:r>
      <w:r w:rsidR="00B013B2" w:rsidRPr="0033593D">
        <w:rPr>
          <w:rFonts w:ascii="Arial" w:hAnsi="Arial" w:cs="Arial"/>
          <w:lang w:val="en-US"/>
        </w:rPr>
        <w:t>no</w:t>
      </w:r>
      <w:r w:rsidR="0077596B" w:rsidRPr="0033593D">
        <w:rPr>
          <w:rFonts w:ascii="Arial" w:hAnsi="Arial" w:cs="Arial"/>
          <w:lang w:val="en-US"/>
        </w:rPr>
        <w:t>ne</w:t>
      </w:r>
      <w:r w:rsidR="00B013B2" w:rsidRPr="0033593D">
        <w:rPr>
          <w:rFonts w:ascii="Arial" w:hAnsi="Arial" w:cs="Arial"/>
          <w:lang w:val="en-US"/>
        </w:rPr>
        <w:t xml:space="preserve">, </w:t>
      </w:r>
      <w:r w:rsidR="0077596B" w:rsidRPr="0033593D">
        <w:rPr>
          <w:rFonts w:ascii="Arial" w:hAnsi="Arial" w:cs="Arial"/>
          <w:lang w:val="en-US"/>
        </w:rPr>
        <w:t>non-dark</w:t>
      </w:r>
      <w:r w:rsidR="00B013B2" w:rsidRPr="0033593D">
        <w:rPr>
          <w:rFonts w:ascii="Arial" w:hAnsi="Arial" w:cs="Arial"/>
          <w:lang w:val="en-US"/>
        </w:rPr>
        <w:t xml:space="preserve"> chocolate, dark chocolate</w:t>
      </w:r>
      <w:r w:rsidR="00873CE5" w:rsidRPr="0033593D">
        <w:rPr>
          <w:rFonts w:ascii="Arial" w:hAnsi="Arial" w:cs="Arial"/>
          <w:lang w:val="en-US"/>
        </w:rPr>
        <w:t>)</w:t>
      </w:r>
      <w:r w:rsidR="00ED4AEC" w:rsidRPr="0033593D">
        <w:rPr>
          <w:rFonts w:ascii="Arial" w:hAnsi="Arial" w:cs="Arial"/>
          <w:lang w:val="en-US"/>
        </w:rPr>
        <w:t xml:space="preserve"> as well as by quartiles of chocolate consumption</w:t>
      </w:r>
      <w:r w:rsidR="00873CE5" w:rsidRPr="0033593D">
        <w:rPr>
          <w:rFonts w:ascii="Arial" w:hAnsi="Arial" w:cs="Arial"/>
          <w:lang w:val="en-US"/>
        </w:rPr>
        <w:t>.</w:t>
      </w:r>
    </w:p>
    <w:p w14:paraId="7D0DD9FD" w14:textId="79FF7678" w:rsidR="009059F6" w:rsidRPr="0033593D" w:rsidRDefault="00D7232D" w:rsidP="00936810">
      <w:pPr>
        <w:pStyle w:val="NoSpacing"/>
        <w:snapToGrid w:val="0"/>
        <w:spacing w:after="120" w:line="480" w:lineRule="auto"/>
        <w:rPr>
          <w:rFonts w:ascii="Arial" w:hAnsi="Arial" w:cs="Arial"/>
          <w:lang w:val="en-US"/>
        </w:rPr>
      </w:pPr>
      <w:r w:rsidRPr="0033593D">
        <w:rPr>
          <w:rFonts w:ascii="Arial" w:hAnsi="Arial" w:cs="Arial"/>
          <w:lang w:val="en-US"/>
        </w:rPr>
        <w:t>Three</w:t>
      </w:r>
      <w:r w:rsidR="0076033C" w:rsidRPr="0033593D">
        <w:rPr>
          <w:rFonts w:ascii="Arial" w:hAnsi="Arial" w:cs="Arial"/>
          <w:lang w:val="en-US"/>
        </w:rPr>
        <w:t xml:space="preserve"> </w:t>
      </w:r>
      <w:r w:rsidR="003E07C3" w:rsidRPr="0033593D">
        <w:rPr>
          <w:rFonts w:ascii="Arial" w:hAnsi="Arial" w:cs="Arial"/>
          <w:lang w:val="en-US"/>
        </w:rPr>
        <w:t xml:space="preserve">multivariable </w:t>
      </w:r>
      <w:r w:rsidR="007831E4" w:rsidRPr="0033593D">
        <w:rPr>
          <w:rFonts w:ascii="Arial" w:hAnsi="Arial" w:cs="Arial"/>
          <w:lang w:val="en-US"/>
        </w:rPr>
        <w:t xml:space="preserve">logistic regression </w:t>
      </w:r>
      <w:r w:rsidR="0076033C" w:rsidRPr="0033593D">
        <w:rPr>
          <w:rFonts w:ascii="Arial" w:hAnsi="Arial" w:cs="Arial"/>
          <w:lang w:val="en-US"/>
        </w:rPr>
        <w:t xml:space="preserve">models </w:t>
      </w:r>
      <w:r w:rsidR="007831E4" w:rsidRPr="0033593D">
        <w:rPr>
          <w:rFonts w:ascii="Arial" w:hAnsi="Arial" w:cs="Arial"/>
          <w:lang w:val="en-US"/>
        </w:rPr>
        <w:t>were constructed to</w:t>
      </w:r>
      <w:r w:rsidR="0076033C" w:rsidRPr="0033593D">
        <w:rPr>
          <w:rFonts w:ascii="Arial" w:hAnsi="Arial" w:cs="Arial"/>
          <w:lang w:val="en-US"/>
        </w:rPr>
        <w:t xml:space="preserve"> evaluate the </w:t>
      </w:r>
      <w:r w:rsidR="00873CE5" w:rsidRPr="0033593D">
        <w:rPr>
          <w:rFonts w:ascii="Arial" w:hAnsi="Arial" w:cs="Arial"/>
          <w:lang w:val="en-US"/>
        </w:rPr>
        <w:t xml:space="preserve">association of </w:t>
      </w:r>
      <w:r w:rsidR="000A6951" w:rsidRPr="0033593D">
        <w:rPr>
          <w:rFonts w:ascii="Arial" w:hAnsi="Arial" w:cs="Arial"/>
          <w:lang w:val="en-US"/>
        </w:rPr>
        <w:t>chocolate consumption</w:t>
      </w:r>
      <w:r w:rsidR="00873CE5" w:rsidRPr="0033593D">
        <w:rPr>
          <w:rFonts w:ascii="Arial" w:hAnsi="Arial" w:cs="Arial"/>
          <w:lang w:val="en-US"/>
        </w:rPr>
        <w:t xml:space="preserve"> with clinica</w:t>
      </w:r>
      <w:r w:rsidR="007831E4" w:rsidRPr="0033593D">
        <w:rPr>
          <w:rFonts w:ascii="Arial" w:hAnsi="Arial" w:cs="Arial"/>
          <w:lang w:val="en-US"/>
        </w:rPr>
        <w:t>lly</w:t>
      </w:r>
      <w:r w:rsidR="00873CE5" w:rsidRPr="0033593D">
        <w:rPr>
          <w:rFonts w:ascii="Arial" w:hAnsi="Arial" w:cs="Arial"/>
          <w:lang w:val="en-US"/>
        </w:rPr>
        <w:t xml:space="preserve"> relevant depressive symptoms. </w:t>
      </w:r>
      <w:r w:rsidR="00B17112" w:rsidRPr="0033593D">
        <w:rPr>
          <w:rFonts w:ascii="Arial" w:hAnsi="Arial" w:cs="Arial"/>
          <w:lang w:val="en-US"/>
        </w:rPr>
        <w:t>First, we</w:t>
      </w:r>
      <w:r w:rsidR="003E07C3" w:rsidRPr="0033593D">
        <w:rPr>
          <w:rFonts w:ascii="Arial" w:hAnsi="Arial" w:cs="Arial"/>
          <w:lang w:val="en-US"/>
        </w:rPr>
        <w:t xml:space="preserve"> </w:t>
      </w:r>
      <w:r w:rsidR="0076033C" w:rsidRPr="0033593D">
        <w:rPr>
          <w:rFonts w:ascii="Arial" w:hAnsi="Arial" w:cs="Arial"/>
          <w:lang w:val="en-US"/>
        </w:rPr>
        <w:t xml:space="preserve">estimated the </w:t>
      </w:r>
      <w:r w:rsidR="00CC6A9C" w:rsidRPr="0033593D">
        <w:rPr>
          <w:rFonts w:ascii="Arial" w:hAnsi="Arial" w:cs="Arial"/>
          <w:lang w:val="en-US"/>
        </w:rPr>
        <w:t xml:space="preserve">independent </w:t>
      </w:r>
      <w:r w:rsidR="00873CE5" w:rsidRPr="0033593D">
        <w:rPr>
          <w:rFonts w:ascii="Arial" w:hAnsi="Arial" w:cs="Arial"/>
          <w:lang w:val="en-US"/>
        </w:rPr>
        <w:t xml:space="preserve">association of </w:t>
      </w:r>
      <w:r w:rsidR="000A6951" w:rsidRPr="0033593D">
        <w:rPr>
          <w:rFonts w:ascii="Arial" w:hAnsi="Arial" w:cs="Arial"/>
          <w:lang w:val="en-US"/>
        </w:rPr>
        <w:t>chocolate consumption</w:t>
      </w:r>
      <w:r w:rsidR="00873CE5" w:rsidRPr="0033593D">
        <w:rPr>
          <w:rFonts w:ascii="Arial" w:hAnsi="Arial" w:cs="Arial"/>
          <w:lang w:val="en-US"/>
        </w:rPr>
        <w:t xml:space="preserve"> (no</w:t>
      </w:r>
      <w:r w:rsidR="00BD6669" w:rsidRPr="0033593D">
        <w:rPr>
          <w:rFonts w:ascii="Arial" w:hAnsi="Arial" w:cs="Arial"/>
          <w:lang w:val="en-US"/>
        </w:rPr>
        <w:t>ne</w:t>
      </w:r>
      <w:r w:rsidR="00B17112" w:rsidRPr="0033593D">
        <w:rPr>
          <w:rFonts w:ascii="Arial" w:hAnsi="Arial" w:cs="Arial"/>
          <w:lang w:val="en-US"/>
        </w:rPr>
        <w:t xml:space="preserve">, non-dark chocolate, </w:t>
      </w:r>
      <w:r w:rsidR="003E07C3" w:rsidRPr="0033593D">
        <w:rPr>
          <w:rFonts w:ascii="Arial" w:hAnsi="Arial" w:cs="Arial"/>
          <w:lang w:val="en-US"/>
        </w:rPr>
        <w:t>and dark chocolate</w:t>
      </w:r>
      <w:r w:rsidR="00B17112" w:rsidRPr="0033593D">
        <w:rPr>
          <w:rFonts w:ascii="Arial" w:hAnsi="Arial" w:cs="Arial"/>
          <w:lang w:val="en-US"/>
        </w:rPr>
        <w:t>)</w:t>
      </w:r>
      <w:r w:rsidR="003E07C3" w:rsidRPr="0033593D">
        <w:rPr>
          <w:rFonts w:ascii="Arial" w:hAnsi="Arial" w:cs="Arial"/>
          <w:lang w:val="en-US"/>
        </w:rPr>
        <w:t xml:space="preserve"> </w:t>
      </w:r>
      <w:r w:rsidR="00873CE5" w:rsidRPr="0033593D">
        <w:rPr>
          <w:rFonts w:ascii="Arial" w:hAnsi="Arial" w:cs="Arial"/>
          <w:lang w:val="en-US"/>
        </w:rPr>
        <w:t>with clinically relevant depressive symptoms</w:t>
      </w:r>
      <w:r w:rsidR="003E07C3" w:rsidRPr="0033593D">
        <w:rPr>
          <w:rFonts w:ascii="Arial" w:hAnsi="Arial" w:cs="Arial"/>
          <w:lang w:val="en-US"/>
        </w:rPr>
        <w:t xml:space="preserve"> in the entire sample</w:t>
      </w:r>
      <w:r w:rsidR="00873CE5" w:rsidRPr="0033593D">
        <w:rPr>
          <w:rFonts w:ascii="Arial" w:hAnsi="Arial" w:cs="Arial"/>
          <w:lang w:val="en-US"/>
        </w:rPr>
        <w:t xml:space="preserve">. </w:t>
      </w:r>
      <w:r w:rsidR="00B17112" w:rsidRPr="0033593D">
        <w:rPr>
          <w:rFonts w:ascii="Arial" w:hAnsi="Arial" w:cs="Arial"/>
          <w:lang w:val="en-US"/>
        </w:rPr>
        <w:t xml:space="preserve">Secondly, we </w:t>
      </w:r>
      <w:r w:rsidR="003E07C3" w:rsidRPr="0033593D">
        <w:rPr>
          <w:rFonts w:ascii="Arial" w:hAnsi="Arial" w:cs="Arial"/>
          <w:lang w:val="en-US"/>
        </w:rPr>
        <w:t>tested whether the amount of chocolate consumption (</w:t>
      </w:r>
      <w:r w:rsidR="00E67112" w:rsidRPr="0033593D">
        <w:rPr>
          <w:rFonts w:ascii="Arial" w:hAnsi="Arial" w:cs="Arial"/>
          <w:lang w:val="en-US"/>
        </w:rPr>
        <w:t xml:space="preserve">zero for non-chocolate consumers, and </w:t>
      </w:r>
      <w:r w:rsidR="003E07C3" w:rsidRPr="0033593D">
        <w:rPr>
          <w:rFonts w:ascii="Arial" w:hAnsi="Arial" w:cs="Arial"/>
          <w:lang w:val="en-US"/>
        </w:rPr>
        <w:t>in quartiles</w:t>
      </w:r>
      <w:r w:rsidR="00E67112" w:rsidRPr="0033593D">
        <w:rPr>
          <w:rFonts w:ascii="Arial" w:hAnsi="Arial" w:cs="Arial"/>
          <w:lang w:val="en-US"/>
        </w:rPr>
        <w:t xml:space="preserve"> among chocolate consumers</w:t>
      </w:r>
      <w:r w:rsidR="003E07C3" w:rsidRPr="0033593D">
        <w:rPr>
          <w:rFonts w:ascii="Arial" w:hAnsi="Arial" w:cs="Arial"/>
          <w:lang w:val="en-US"/>
        </w:rPr>
        <w:t xml:space="preserve">) </w:t>
      </w:r>
      <w:r w:rsidR="00BD6669" w:rsidRPr="0033593D">
        <w:rPr>
          <w:rFonts w:ascii="Arial" w:hAnsi="Arial" w:cs="Arial"/>
          <w:lang w:val="en-US"/>
        </w:rPr>
        <w:t>was</w:t>
      </w:r>
      <w:r w:rsidR="003E07C3" w:rsidRPr="0033593D">
        <w:rPr>
          <w:rFonts w:ascii="Arial" w:hAnsi="Arial" w:cs="Arial"/>
          <w:lang w:val="en-US"/>
        </w:rPr>
        <w:t xml:space="preserve"> </w:t>
      </w:r>
      <w:r w:rsidR="00EF7300" w:rsidRPr="0033593D">
        <w:rPr>
          <w:rFonts w:ascii="Arial" w:hAnsi="Arial" w:cs="Arial"/>
          <w:lang w:val="en-US"/>
        </w:rPr>
        <w:t xml:space="preserve">independently </w:t>
      </w:r>
      <w:r w:rsidR="003E07C3" w:rsidRPr="0033593D">
        <w:rPr>
          <w:rFonts w:ascii="Arial" w:hAnsi="Arial" w:cs="Arial"/>
          <w:lang w:val="en-US"/>
        </w:rPr>
        <w:t>associated with clinically relevant depressive symptoms</w:t>
      </w:r>
      <w:r w:rsidR="00BD6669" w:rsidRPr="0033593D">
        <w:rPr>
          <w:rFonts w:ascii="Arial" w:hAnsi="Arial" w:cs="Arial"/>
          <w:lang w:val="en-US"/>
        </w:rPr>
        <w:t>,</w:t>
      </w:r>
      <w:r w:rsidR="00B17112" w:rsidRPr="0033593D">
        <w:rPr>
          <w:rFonts w:ascii="Arial" w:hAnsi="Arial" w:cs="Arial"/>
          <w:lang w:val="en-US"/>
        </w:rPr>
        <w:t xml:space="preserve"> </w:t>
      </w:r>
      <w:r w:rsidRPr="0033593D">
        <w:rPr>
          <w:rFonts w:ascii="Arial" w:hAnsi="Arial" w:cs="Arial"/>
          <w:lang w:val="en-US"/>
        </w:rPr>
        <w:t>with and without adjustment</w:t>
      </w:r>
      <w:r w:rsidR="00B17112" w:rsidRPr="0033593D">
        <w:rPr>
          <w:rFonts w:ascii="Arial" w:hAnsi="Arial" w:cs="Arial"/>
          <w:lang w:val="en-US"/>
        </w:rPr>
        <w:t xml:space="preserve"> for dark chocolate consumption (yes/no)</w:t>
      </w:r>
      <w:r w:rsidR="003E07C3" w:rsidRPr="0033593D">
        <w:rPr>
          <w:rFonts w:ascii="Arial" w:hAnsi="Arial" w:cs="Arial"/>
          <w:lang w:val="en-US"/>
        </w:rPr>
        <w:t xml:space="preserve">. </w:t>
      </w:r>
      <w:r w:rsidR="00677E20" w:rsidRPr="0033593D">
        <w:rPr>
          <w:rFonts w:ascii="Arial" w:hAnsi="Arial" w:cs="Arial"/>
          <w:lang w:val="en-US"/>
        </w:rPr>
        <w:t xml:space="preserve">It was not possible to </w:t>
      </w:r>
      <w:proofErr w:type="spellStart"/>
      <w:r w:rsidR="00677E20" w:rsidRPr="0033593D">
        <w:rPr>
          <w:rFonts w:ascii="Arial" w:hAnsi="Arial" w:cs="Arial"/>
          <w:lang w:val="en-US"/>
        </w:rPr>
        <w:t>analyse</w:t>
      </w:r>
      <w:proofErr w:type="spellEnd"/>
      <w:r w:rsidR="00677E20" w:rsidRPr="0033593D">
        <w:rPr>
          <w:rFonts w:ascii="Arial" w:hAnsi="Arial" w:cs="Arial"/>
          <w:lang w:val="en-US"/>
        </w:rPr>
        <w:t xml:space="preserve"> the association with the amount of dark chocolate consumption specifically due to the small number of participants reporting any dark chocolate consumption. </w:t>
      </w:r>
      <w:r w:rsidR="003E07C3" w:rsidRPr="0033593D">
        <w:rPr>
          <w:rFonts w:ascii="Arial" w:hAnsi="Arial" w:cs="Arial"/>
          <w:lang w:val="en-US"/>
        </w:rPr>
        <w:t xml:space="preserve">All </w:t>
      </w:r>
      <w:r w:rsidR="00936810" w:rsidRPr="0033593D">
        <w:rPr>
          <w:rFonts w:ascii="Arial" w:hAnsi="Arial" w:cs="Arial"/>
          <w:lang w:val="en-US"/>
        </w:rPr>
        <w:t>models were adjusted</w:t>
      </w:r>
      <w:r w:rsidR="00873CE5" w:rsidRPr="0033593D">
        <w:rPr>
          <w:rFonts w:ascii="Arial" w:hAnsi="Arial" w:cs="Arial"/>
          <w:lang w:val="en-US"/>
        </w:rPr>
        <w:t xml:space="preserve"> for </w:t>
      </w:r>
      <w:r w:rsidR="0076033C" w:rsidRPr="0033593D">
        <w:rPr>
          <w:rFonts w:ascii="Arial" w:hAnsi="Arial" w:cs="Arial"/>
          <w:lang w:val="en-US"/>
        </w:rPr>
        <w:t>sociodemographic factors (age</w:t>
      </w:r>
      <w:r w:rsidR="00306484" w:rsidRPr="0033593D">
        <w:rPr>
          <w:rFonts w:ascii="Arial" w:hAnsi="Arial" w:cs="Arial"/>
          <w:lang w:val="en-US"/>
        </w:rPr>
        <w:t xml:space="preserve">, </w:t>
      </w:r>
      <w:r w:rsidR="00BD6669" w:rsidRPr="0033593D">
        <w:rPr>
          <w:rFonts w:ascii="Arial" w:hAnsi="Arial" w:cs="Arial"/>
          <w:lang w:val="en-US"/>
        </w:rPr>
        <w:t>sex</w:t>
      </w:r>
      <w:r w:rsidR="00B17112" w:rsidRPr="0033593D">
        <w:rPr>
          <w:rFonts w:ascii="Arial" w:hAnsi="Arial" w:cs="Arial"/>
          <w:lang w:val="en-US"/>
        </w:rPr>
        <w:t>,</w:t>
      </w:r>
      <w:r w:rsidR="00E67112" w:rsidRPr="0033593D">
        <w:rPr>
          <w:rFonts w:ascii="Arial" w:hAnsi="Arial" w:cs="Arial"/>
          <w:lang w:val="en-US"/>
        </w:rPr>
        <w:t xml:space="preserve"> </w:t>
      </w:r>
      <w:r w:rsidRPr="0033593D">
        <w:rPr>
          <w:rFonts w:ascii="Arial" w:hAnsi="Arial" w:cs="Arial"/>
          <w:lang w:val="en-US"/>
        </w:rPr>
        <w:t>marital</w:t>
      </w:r>
      <w:r w:rsidR="00E67112" w:rsidRPr="0033593D">
        <w:rPr>
          <w:rFonts w:ascii="Arial" w:hAnsi="Arial" w:cs="Arial"/>
          <w:lang w:val="en-US"/>
        </w:rPr>
        <w:t xml:space="preserve"> status,</w:t>
      </w:r>
      <w:r w:rsidR="00B17112" w:rsidRPr="0033593D">
        <w:rPr>
          <w:rFonts w:ascii="Arial" w:hAnsi="Arial" w:cs="Arial"/>
          <w:lang w:val="en-US"/>
        </w:rPr>
        <w:t xml:space="preserve"> </w:t>
      </w:r>
      <w:r w:rsidR="0076033C" w:rsidRPr="0033593D">
        <w:rPr>
          <w:rFonts w:ascii="Arial" w:hAnsi="Arial" w:cs="Arial"/>
          <w:lang w:val="en-US"/>
        </w:rPr>
        <w:t>education level,</w:t>
      </w:r>
      <w:r w:rsidR="00306484" w:rsidRPr="0033593D">
        <w:rPr>
          <w:rFonts w:ascii="Arial" w:hAnsi="Arial" w:cs="Arial"/>
          <w:lang w:val="en-US"/>
        </w:rPr>
        <w:t xml:space="preserve"> annual household income), </w:t>
      </w:r>
      <w:r w:rsidR="00ED14C9" w:rsidRPr="0033593D">
        <w:rPr>
          <w:rFonts w:ascii="Arial" w:hAnsi="Arial" w:cs="Arial"/>
          <w:lang w:val="en-US"/>
        </w:rPr>
        <w:t xml:space="preserve">weight status, </w:t>
      </w:r>
      <w:r w:rsidR="00306484" w:rsidRPr="0033593D">
        <w:rPr>
          <w:rFonts w:ascii="Arial" w:hAnsi="Arial" w:cs="Arial"/>
          <w:lang w:val="en-US"/>
        </w:rPr>
        <w:t>lifestyle factors (leisure</w:t>
      </w:r>
      <w:r w:rsidR="00ED14C9" w:rsidRPr="0033593D">
        <w:rPr>
          <w:rFonts w:ascii="Arial" w:hAnsi="Arial" w:cs="Arial"/>
          <w:lang w:val="en-US"/>
        </w:rPr>
        <w:t>-</w:t>
      </w:r>
      <w:r w:rsidR="00306484" w:rsidRPr="0033593D">
        <w:rPr>
          <w:rFonts w:ascii="Arial" w:hAnsi="Arial" w:cs="Arial"/>
          <w:lang w:val="en-US"/>
        </w:rPr>
        <w:t>time phys</w:t>
      </w:r>
      <w:r w:rsidR="003C3F23" w:rsidRPr="0033593D">
        <w:rPr>
          <w:rFonts w:ascii="Arial" w:hAnsi="Arial" w:cs="Arial"/>
          <w:lang w:val="en-US"/>
        </w:rPr>
        <w:t>ical activity, smoking status</w:t>
      </w:r>
      <w:r w:rsidR="00873CE5" w:rsidRPr="0033593D">
        <w:rPr>
          <w:rFonts w:ascii="Arial" w:hAnsi="Arial" w:cs="Arial"/>
          <w:lang w:val="en-US"/>
        </w:rPr>
        <w:t xml:space="preserve">, alcohol </w:t>
      </w:r>
      <w:r w:rsidR="001B73DE" w:rsidRPr="0033593D">
        <w:rPr>
          <w:rFonts w:ascii="Arial" w:hAnsi="Arial" w:cs="Arial"/>
          <w:lang w:val="en-US"/>
        </w:rPr>
        <w:t>intake</w:t>
      </w:r>
      <w:r w:rsidR="00873CE5" w:rsidRPr="0033593D">
        <w:rPr>
          <w:rFonts w:ascii="Arial" w:hAnsi="Arial" w:cs="Arial"/>
          <w:lang w:val="en-US"/>
        </w:rPr>
        <w:t xml:space="preserve">, </w:t>
      </w:r>
      <w:r w:rsidR="003E3885" w:rsidRPr="0033593D">
        <w:rPr>
          <w:rFonts w:ascii="Arial" w:hAnsi="Arial" w:cs="Arial"/>
          <w:lang w:val="en-US"/>
        </w:rPr>
        <w:t xml:space="preserve">total energy intake, </w:t>
      </w:r>
      <w:r w:rsidR="00396FD1" w:rsidRPr="0033593D">
        <w:rPr>
          <w:rFonts w:ascii="Arial" w:hAnsi="Arial" w:cs="Arial"/>
          <w:lang w:val="en-US"/>
        </w:rPr>
        <w:t xml:space="preserve">and </w:t>
      </w:r>
      <w:r w:rsidR="00873CE5" w:rsidRPr="0033593D">
        <w:rPr>
          <w:rFonts w:ascii="Arial" w:hAnsi="Arial" w:cs="Arial"/>
          <w:lang w:val="en-US"/>
        </w:rPr>
        <w:t>chronic conditions</w:t>
      </w:r>
      <w:r w:rsidR="003C3F23" w:rsidRPr="0033593D">
        <w:rPr>
          <w:rFonts w:ascii="Arial" w:hAnsi="Arial" w:cs="Arial"/>
          <w:lang w:val="en-US"/>
        </w:rPr>
        <w:t xml:space="preserve">. </w:t>
      </w:r>
      <w:r w:rsidR="00123594" w:rsidRPr="0033593D">
        <w:rPr>
          <w:rFonts w:ascii="Arial" w:hAnsi="Arial" w:cs="Arial"/>
          <w:lang w:val="en-US"/>
        </w:rPr>
        <w:t xml:space="preserve">We constructed models with and without total sugar intake to assess whether the adjustment for sugar consumption may lead to over-adjustment, as there might be a potential overlap between chocolate consumption and sugar intake. </w:t>
      </w:r>
      <w:bookmarkStart w:id="1" w:name="_Hlk13166681"/>
      <w:r w:rsidR="000440E9">
        <w:rPr>
          <w:rFonts w:ascii="Arial" w:hAnsi="Arial" w:cs="Arial"/>
          <w:lang w:val="en-US"/>
        </w:rPr>
        <w:t>D</w:t>
      </w:r>
      <w:r w:rsidR="007F5AFF">
        <w:rPr>
          <w:rFonts w:ascii="Arial" w:hAnsi="Arial" w:cs="Arial"/>
          <w:lang w:val="en-US"/>
        </w:rPr>
        <w:t>iagnostic test</w:t>
      </w:r>
      <w:r w:rsidR="000440E9">
        <w:rPr>
          <w:rFonts w:ascii="Arial" w:hAnsi="Arial" w:cs="Arial"/>
          <w:lang w:val="en-US"/>
        </w:rPr>
        <w:t>s were performed to evaluate the degree of</w:t>
      </w:r>
      <w:r w:rsidR="007F5AFF">
        <w:rPr>
          <w:rFonts w:ascii="Arial" w:hAnsi="Arial" w:cs="Arial"/>
          <w:lang w:val="en-US"/>
        </w:rPr>
        <w:t xml:space="preserve"> multicollinearity</w:t>
      </w:r>
      <w:r w:rsidR="000440E9">
        <w:rPr>
          <w:rFonts w:ascii="Arial" w:hAnsi="Arial" w:cs="Arial"/>
          <w:lang w:val="en-US"/>
        </w:rPr>
        <w:t xml:space="preserve"> in each model</w:t>
      </w:r>
      <w:bookmarkEnd w:id="1"/>
      <w:r w:rsidR="007F5AFF">
        <w:rPr>
          <w:rFonts w:ascii="Arial" w:hAnsi="Arial" w:cs="Arial"/>
          <w:lang w:val="en-US"/>
        </w:rPr>
        <w:t xml:space="preserve">. </w:t>
      </w:r>
      <w:r w:rsidR="00FD7B8D" w:rsidRPr="0033593D">
        <w:rPr>
          <w:rFonts w:ascii="Arial" w:hAnsi="Arial" w:cs="Arial"/>
          <w:lang w:val="en-US"/>
        </w:rPr>
        <w:t>We considered</w:t>
      </w:r>
      <w:r w:rsidR="0050064A" w:rsidRPr="0033593D">
        <w:rPr>
          <w:rFonts w:ascii="Arial" w:hAnsi="Arial" w:cs="Arial"/>
          <w:lang w:val="en-US"/>
        </w:rPr>
        <w:t xml:space="preserve"> </w:t>
      </w:r>
      <w:r w:rsidR="004C458F" w:rsidRPr="0033593D">
        <w:rPr>
          <w:rFonts w:ascii="Arial" w:hAnsi="Arial" w:cs="Arial"/>
          <w:i/>
          <w:lang w:val="en-US"/>
        </w:rPr>
        <w:t>p</w:t>
      </w:r>
      <w:r w:rsidR="00D56453" w:rsidRPr="0033593D">
        <w:rPr>
          <w:rFonts w:ascii="Arial" w:hAnsi="Arial" w:cs="Arial"/>
          <w:lang w:val="en-US"/>
        </w:rPr>
        <w:t xml:space="preserve"> values </w:t>
      </w:r>
      <w:r w:rsidR="0050064A" w:rsidRPr="0033593D">
        <w:rPr>
          <w:rFonts w:ascii="Arial" w:hAnsi="Arial" w:cs="Arial"/>
          <w:lang w:val="en-US"/>
        </w:rPr>
        <w:t>&lt;0.05</w:t>
      </w:r>
      <w:r w:rsidR="00FD7B8D" w:rsidRPr="0033593D">
        <w:rPr>
          <w:rFonts w:ascii="Arial" w:hAnsi="Arial" w:cs="Arial"/>
          <w:lang w:val="en-US"/>
        </w:rPr>
        <w:t xml:space="preserve"> </w:t>
      </w:r>
      <w:r w:rsidR="006F4CF6" w:rsidRPr="0033593D">
        <w:rPr>
          <w:rFonts w:ascii="Arial" w:hAnsi="Arial" w:cs="Arial"/>
          <w:lang w:val="en-US"/>
        </w:rPr>
        <w:t xml:space="preserve">to be </w:t>
      </w:r>
      <w:r w:rsidR="00FD7B8D" w:rsidRPr="0033593D">
        <w:rPr>
          <w:rFonts w:ascii="Arial" w:hAnsi="Arial" w:cs="Arial"/>
          <w:lang w:val="en-US"/>
        </w:rPr>
        <w:t>statistically significant</w:t>
      </w:r>
      <w:r w:rsidR="0050064A" w:rsidRPr="0033593D">
        <w:rPr>
          <w:rFonts w:ascii="Arial" w:hAnsi="Arial" w:cs="Arial"/>
          <w:lang w:val="en-US"/>
        </w:rPr>
        <w:t>.</w:t>
      </w:r>
    </w:p>
    <w:p w14:paraId="36E3813A" w14:textId="77777777" w:rsidR="00642546" w:rsidRPr="0033593D" w:rsidRDefault="00642546" w:rsidP="00873CE5">
      <w:pPr>
        <w:pStyle w:val="NoSpacing"/>
        <w:snapToGrid w:val="0"/>
        <w:spacing w:after="120" w:line="480" w:lineRule="auto"/>
        <w:rPr>
          <w:rFonts w:ascii="Arial" w:hAnsi="Arial" w:cs="Arial"/>
          <w:lang w:val="en-US" w:eastAsia="zh-CN"/>
        </w:rPr>
      </w:pPr>
    </w:p>
    <w:p w14:paraId="65C4D44F" w14:textId="51F79B2F" w:rsidR="000C22D1" w:rsidRPr="0033593D" w:rsidRDefault="00EA7ACF" w:rsidP="00EA436E">
      <w:pPr>
        <w:pStyle w:val="Heading2"/>
        <w:rPr>
          <w:highlight w:val="yellow"/>
          <w:lang w:val="en-US"/>
        </w:rPr>
      </w:pPr>
      <w:r w:rsidRPr="0033593D">
        <w:rPr>
          <w:lang w:val="en-US"/>
        </w:rPr>
        <w:lastRenderedPageBreak/>
        <w:t>Results</w:t>
      </w:r>
    </w:p>
    <w:p w14:paraId="7377FFFB" w14:textId="77777777" w:rsidR="00777188" w:rsidRPr="0033593D" w:rsidRDefault="00FB0EBD" w:rsidP="003B559A">
      <w:pPr>
        <w:pStyle w:val="NoSpacing"/>
        <w:snapToGrid w:val="0"/>
        <w:spacing w:after="120" w:line="480" w:lineRule="auto"/>
        <w:rPr>
          <w:rFonts w:ascii="Arial" w:hAnsi="Arial" w:cs="Arial"/>
          <w:bCs/>
          <w:lang w:val="en-US"/>
        </w:rPr>
      </w:pPr>
      <w:r w:rsidRPr="0033593D">
        <w:rPr>
          <w:rFonts w:ascii="Arial" w:hAnsi="Arial" w:cs="Arial"/>
          <w:bCs/>
          <w:lang w:val="en-US"/>
        </w:rPr>
        <w:t>A total of</w:t>
      </w:r>
      <w:r w:rsidR="00A973AE" w:rsidRPr="0033593D">
        <w:rPr>
          <w:rFonts w:ascii="Arial" w:hAnsi="Arial" w:cs="Arial"/>
          <w:bCs/>
          <w:lang w:val="en-US"/>
        </w:rPr>
        <w:t xml:space="preserve"> </w:t>
      </w:r>
      <w:r w:rsidR="001E3610" w:rsidRPr="0033593D">
        <w:rPr>
          <w:rFonts w:ascii="Arial" w:hAnsi="Arial" w:cs="Arial"/>
          <w:bCs/>
          <w:lang w:val="en-US"/>
        </w:rPr>
        <w:t>20,125</w:t>
      </w:r>
      <w:r w:rsidR="004E42B0" w:rsidRPr="0033593D">
        <w:rPr>
          <w:rFonts w:ascii="Arial" w:hAnsi="Arial" w:cs="Arial"/>
          <w:bCs/>
          <w:lang w:val="en-US"/>
        </w:rPr>
        <w:t xml:space="preserve"> </w:t>
      </w:r>
      <w:r w:rsidR="00D049E5" w:rsidRPr="0033593D">
        <w:rPr>
          <w:rFonts w:ascii="Arial" w:hAnsi="Arial" w:cs="Arial"/>
          <w:bCs/>
          <w:lang w:val="en-US"/>
        </w:rPr>
        <w:t>men and women</w:t>
      </w:r>
      <w:r w:rsidR="00A973AE" w:rsidRPr="0033593D">
        <w:rPr>
          <w:rFonts w:ascii="Arial" w:hAnsi="Arial" w:cs="Arial"/>
          <w:bCs/>
          <w:lang w:val="en-US"/>
        </w:rPr>
        <w:t xml:space="preserve"> </w:t>
      </w:r>
      <w:r w:rsidR="007164BA" w:rsidRPr="0033593D">
        <w:rPr>
          <w:rFonts w:ascii="Arial" w:hAnsi="Arial" w:cs="Arial"/>
          <w:bCs/>
          <w:lang w:val="en-US"/>
        </w:rPr>
        <w:t>age</w:t>
      </w:r>
      <w:r w:rsidRPr="0033593D">
        <w:rPr>
          <w:rFonts w:ascii="Arial" w:hAnsi="Arial" w:cs="Arial"/>
          <w:bCs/>
          <w:lang w:val="en-US"/>
        </w:rPr>
        <w:t>d</w:t>
      </w:r>
      <w:r w:rsidR="007164BA" w:rsidRPr="0033593D">
        <w:rPr>
          <w:rFonts w:ascii="Arial" w:hAnsi="Arial" w:cs="Arial"/>
          <w:bCs/>
          <w:lang w:val="en-US"/>
        </w:rPr>
        <w:t xml:space="preserve"> </w:t>
      </w:r>
      <w:r w:rsidRPr="0033593D">
        <w:rPr>
          <w:rFonts w:ascii="Arial" w:hAnsi="Arial" w:cs="Arial"/>
          <w:bCs/>
          <w:lang w:val="en-US"/>
        </w:rPr>
        <w:t>≥</w:t>
      </w:r>
      <w:r w:rsidR="004E42B0" w:rsidRPr="0033593D">
        <w:rPr>
          <w:rFonts w:ascii="Arial" w:hAnsi="Arial" w:cs="Arial"/>
          <w:bCs/>
          <w:lang w:val="en-US"/>
        </w:rPr>
        <w:t>20</w:t>
      </w:r>
      <w:r w:rsidR="007164BA" w:rsidRPr="0033593D">
        <w:rPr>
          <w:rFonts w:ascii="Arial" w:hAnsi="Arial" w:cs="Arial"/>
          <w:bCs/>
          <w:lang w:val="en-US"/>
        </w:rPr>
        <w:t xml:space="preserve"> years </w:t>
      </w:r>
      <w:r w:rsidR="001E3610" w:rsidRPr="0033593D">
        <w:rPr>
          <w:rFonts w:ascii="Arial" w:hAnsi="Arial" w:cs="Arial"/>
          <w:bCs/>
          <w:lang w:val="en-US"/>
        </w:rPr>
        <w:t>provided data on chocolate consumption and depressive symptoms. We excluded those who were underweight (n=304), and those who with di</w:t>
      </w:r>
      <w:r w:rsidR="00F56FF3" w:rsidRPr="0033593D">
        <w:rPr>
          <w:rFonts w:ascii="Arial" w:hAnsi="Arial" w:cs="Arial"/>
          <w:bCs/>
          <w:lang w:val="en-US"/>
        </w:rPr>
        <w:t>abetes (n=2518)</w:t>
      </w:r>
      <w:r w:rsidR="001E3610" w:rsidRPr="0033593D">
        <w:rPr>
          <w:rFonts w:ascii="Arial" w:hAnsi="Arial" w:cs="Arial"/>
          <w:bCs/>
          <w:lang w:val="en-US"/>
        </w:rPr>
        <w:t xml:space="preserve">. </w:t>
      </w:r>
      <w:r w:rsidR="00F56FF3" w:rsidRPr="0033593D">
        <w:rPr>
          <w:rFonts w:ascii="Arial" w:hAnsi="Arial" w:cs="Arial"/>
          <w:bCs/>
          <w:lang w:val="en-US"/>
        </w:rPr>
        <w:t>A further 3</w:t>
      </w:r>
      <w:r w:rsidR="00BF5A2C" w:rsidRPr="0033593D">
        <w:rPr>
          <w:rFonts w:ascii="Arial" w:hAnsi="Arial" w:cs="Arial"/>
          <w:bCs/>
          <w:lang w:val="en-US"/>
        </w:rPr>
        <w:t>,</w:t>
      </w:r>
      <w:r w:rsidR="00F56FF3" w:rsidRPr="0033593D">
        <w:rPr>
          <w:rFonts w:ascii="Arial" w:hAnsi="Arial" w:cs="Arial"/>
          <w:bCs/>
          <w:lang w:val="en-US"/>
        </w:rPr>
        <w:t>677 participants were excluded due to missing covariates, leaving a total of 13,626 in the final analyses</w:t>
      </w:r>
      <w:r w:rsidR="001E3610" w:rsidRPr="0033593D">
        <w:rPr>
          <w:rFonts w:ascii="Arial" w:hAnsi="Arial" w:cs="Arial"/>
          <w:bCs/>
          <w:lang w:val="en-US"/>
        </w:rPr>
        <w:t xml:space="preserve"> </w:t>
      </w:r>
      <w:r w:rsidR="002A0F6F" w:rsidRPr="0033593D">
        <w:rPr>
          <w:rFonts w:ascii="Arial" w:hAnsi="Arial" w:cs="Arial"/>
          <w:bCs/>
          <w:lang w:val="en-US"/>
        </w:rPr>
        <w:t xml:space="preserve">(mean age </w:t>
      </w:r>
      <w:r w:rsidR="00F56FF3" w:rsidRPr="0033593D">
        <w:rPr>
          <w:rFonts w:ascii="Arial" w:hAnsi="Arial" w:cs="Arial"/>
          <w:bCs/>
          <w:lang w:val="en-US"/>
        </w:rPr>
        <w:t>46.5</w:t>
      </w:r>
      <w:r w:rsidR="002A0F6F" w:rsidRPr="0033593D">
        <w:rPr>
          <w:rFonts w:ascii="Arial" w:hAnsi="Arial" w:cs="Arial"/>
          <w:bCs/>
          <w:lang w:val="en-US"/>
        </w:rPr>
        <w:t xml:space="preserve"> years, </w:t>
      </w:r>
      <w:r w:rsidR="00F56FF3" w:rsidRPr="0033593D">
        <w:rPr>
          <w:rFonts w:ascii="Arial" w:hAnsi="Arial" w:cs="Arial"/>
          <w:bCs/>
          <w:lang w:val="en-US"/>
        </w:rPr>
        <w:t>47.8</w:t>
      </w:r>
      <w:r w:rsidR="002A0F6F" w:rsidRPr="0033593D">
        <w:rPr>
          <w:rFonts w:ascii="Arial" w:hAnsi="Arial" w:cs="Arial"/>
          <w:bCs/>
          <w:lang w:val="en-US"/>
        </w:rPr>
        <w:t>% male)</w:t>
      </w:r>
      <w:r w:rsidR="001D02C4" w:rsidRPr="0033593D">
        <w:rPr>
          <w:rFonts w:ascii="Arial" w:hAnsi="Arial" w:cs="Arial"/>
          <w:bCs/>
          <w:lang w:val="en-US"/>
        </w:rPr>
        <w:t>.</w:t>
      </w:r>
      <w:r w:rsidR="005A23B7" w:rsidRPr="0033593D">
        <w:rPr>
          <w:rFonts w:ascii="Arial" w:hAnsi="Arial" w:cs="Arial"/>
          <w:bCs/>
          <w:lang w:val="en-US"/>
        </w:rPr>
        <w:t xml:space="preserve"> </w:t>
      </w:r>
      <w:r w:rsidR="00777188" w:rsidRPr="0033593D">
        <w:rPr>
          <w:rFonts w:ascii="Arial" w:hAnsi="Arial" w:cs="Arial"/>
          <w:bCs/>
          <w:lang w:val="en-US"/>
        </w:rPr>
        <w:t>The individuals we excluded</w:t>
      </w:r>
      <w:r w:rsidR="00642A37" w:rsidRPr="0033593D">
        <w:rPr>
          <w:rFonts w:ascii="Arial" w:hAnsi="Arial" w:cs="Arial"/>
          <w:bCs/>
          <w:lang w:val="en-US"/>
        </w:rPr>
        <w:t xml:space="preserve"> had similar prevalence of clinically relevant depressive symptoms to the </w:t>
      </w:r>
      <w:proofErr w:type="spellStart"/>
      <w:r w:rsidR="00642A37" w:rsidRPr="0033593D">
        <w:rPr>
          <w:rFonts w:ascii="Arial" w:hAnsi="Arial" w:cs="Arial"/>
          <w:bCs/>
          <w:lang w:val="en-US"/>
        </w:rPr>
        <w:t>analysed</w:t>
      </w:r>
      <w:proofErr w:type="spellEnd"/>
      <w:r w:rsidR="00642A37" w:rsidRPr="0033593D">
        <w:rPr>
          <w:rFonts w:ascii="Arial" w:hAnsi="Arial" w:cs="Arial"/>
          <w:bCs/>
          <w:lang w:val="en-US"/>
        </w:rPr>
        <w:t xml:space="preserve"> sample (Chi-squ</w:t>
      </w:r>
      <w:r w:rsidR="00F978AF" w:rsidRPr="0033593D">
        <w:rPr>
          <w:rFonts w:ascii="Arial" w:hAnsi="Arial" w:cs="Arial"/>
          <w:bCs/>
          <w:lang w:val="en-US"/>
        </w:rPr>
        <w:t>a</w:t>
      </w:r>
      <w:r w:rsidR="00642A37" w:rsidRPr="0033593D">
        <w:rPr>
          <w:rFonts w:ascii="Arial" w:hAnsi="Arial" w:cs="Arial"/>
          <w:bCs/>
          <w:lang w:val="en-US"/>
        </w:rPr>
        <w:t xml:space="preserve">re p=0.18), </w:t>
      </w:r>
      <w:r w:rsidR="00777188" w:rsidRPr="0033593D">
        <w:rPr>
          <w:rFonts w:ascii="Arial" w:hAnsi="Arial" w:cs="Arial"/>
          <w:bCs/>
          <w:lang w:val="en-US"/>
        </w:rPr>
        <w:t>but</w:t>
      </w:r>
      <w:r w:rsidR="00642A37" w:rsidRPr="0033593D">
        <w:rPr>
          <w:rFonts w:ascii="Arial" w:hAnsi="Arial" w:cs="Arial"/>
          <w:bCs/>
          <w:lang w:val="en-US"/>
        </w:rPr>
        <w:t xml:space="preserve"> there were more chocolate consumers in the </w:t>
      </w:r>
      <w:proofErr w:type="spellStart"/>
      <w:r w:rsidR="00642A37" w:rsidRPr="0033593D">
        <w:rPr>
          <w:rFonts w:ascii="Arial" w:hAnsi="Arial" w:cs="Arial"/>
          <w:bCs/>
          <w:lang w:val="en-US"/>
        </w:rPr>
        <w:t>analysed</w:t>
      </w:r>
      <w:proofErr w:type="spellEnd"/>
      <w:r w:rsidR="00642A37" w:rsidRPr="0033593D">
        <w:rPr>
          <w:rFonts w:ascii="Arial" w:hAnsi="Arial" w:cs="Arial"/>
          <w:bCs/>
          <w:lang w:val="en-US"/>
        </w:rPr>
        <w:t xml:space="preserve"> sample (</w:t>
      </w:r>
      <w:r w:rsidR="002148E0" w:rsidRPr="0033593D">
        <w:rPr>
          <w:rFonts w:ascii="Arial" w:hAnsi="Arial" w:cs="Arial"/>
          <w:bCs/>
          <w:lang w:val="en-US"/>
        </w:rPr>
        <w:t>11.1% vs. 7.0%, Chi-squ</w:t>
      </w:r>
      <w:r w:rsidR="00F978AF" w:rsidRPr="0033593D">
        <w:rPr>
          <w:rFonts w:ascii="Arial" w:hAnsi="Arial" w:cs="Arial"/>
          <w:bCs/>
          <w:lang w:val="en-US"/>
        </w:rPr>
        <w:t>a</w:t>
      </w:r>
      <w:r w:rsidR="002148E0" w:rsidRPr="0033593D">
        <w:rPr>
          <w:rFonts w:ascii="Arial" w:hAnsi="Arial" w:cs="Arial"/>
          <w:bCs/>
          <w:lang w:val="en-US"/>
        </w:rPr>
        <w:t xml:space="preserve">re p&lt;.001). </w:t>
      </w:r>
    </w:p>
    <w:p w14:paraId="34693CD3" w14:textId="2221C1F0" w:rsidR="00E36601" w:rsidRPr="0033593D" w:rsidRDefault="001D02C4" w:rsidP="003B559A">
      <w:pPr>
        <w:pStyle w:val="NoSpacing"/>
        <w:snapToGrid w:val="0"/>
        <w:spacing w:after="120" w:line="480" w:lineRule="auto"/>
        <w:rPr>
          <w:rFonts w:ascii="Arial" w:hAnsi="Arial" w:cs="Arial"/>
          <w:bCs/>
          <w:lang w:val="en-US"/>
        </w:rPr>
      </w:pPr>
      <w:r w:rsidRPr="0033593D">
        <w:rPr>
          <w:rFonts w:ascii="Arial" w:hAnsi="Arial" w:cs="Arial"/>
          <w:bCs/>
          <w:lang w:val="en-US"/>
        </w:rPr>
        <w:t xml:space="preserve">Of </w:t>
      </w:r>
      <w:r w:rsidR="00777188" w:rsidRPr="0033593D">
        <w:rPr>
          <w:rFonts w:ascii="Arial" w:hAnsi="Arial" w:cs="Arial"/>
          <w:bCs/>
          <w:lang w:val="en-US"/>
        </w:rPr>
        <w:t xml:space="preserve">our </w:t>
      </w:r>
      <w:proofErr w:type="spellStart"/>
      <w:r w:rsidR="00777188" w:rsidRPr="0033593D">
        <w:rPr>
          <w:rFonts w:ascii="Arial" w:hAnsi="Arial" w:cs="Arial"/>
          <w:bCs/>
          <w:lang w:val="en-US"/>
        </w:rPr>
        <w:t>analysed</w:t>
      </w:r>
      <w:proofErr w:type="spellEnd"/>
      <w:r w:rsidRPr="0033593D">
        <w:rPr>
          <w:rFonts w:ascii="Arial" w:hAnsi="Arial" w:cs="Arial"/>
          <w:bCs/>
          <w:lang w:val="en-US"/>
        </w:rPr>
        <w:t xml:space="preserve"> sample,</w:t>
      </w:r>
      <w:r w:rsidR="005A23B7" w:rsidRPr="0033593D">
        <w:rPr>
          <w:rFonts w:ascii="Arial" w:hAnsi="Arial" w:cs="Arial"/>
          <w:bCs/>
          <w:lang w:val="en-US"/>
        </w:rPr>
        <w:t xml:space="preserve"> </w:t>
      </w:r>
      <w:r w:rsidR="00B17112" w:rsidRPr="0033593D">
        <w:rPr>
          <w:rFonts w:ascii="Arial" w:hAnsi="Arial" w:cs="Arial"/>
          <w:bCs/>
          <w:lang w:val="en-US"/>
        </w:rPr>
        <w:t>1</w:t>
      </w:r>
      <w:r w:rsidR="00BD6669" w:rsidRPr="0033593D">
        <w:rPr>
          <w:rFonts w:ascii="Arial" w:hAnsi="Arial" w:cs="Arial"/>
          <w:bCs/>
          <w:lang w:val="en-US"/>
        </w:rPr>
        <w:t>,</w:t>
      </w:r>
      <w:r w:rsidR="00F56FF3" w:rsidRPr="0033593D">
        <w:rPr>
          <w:rFonts w:ascii="Arial" w:hAnsi="Arial" w:cs="Arial"/>
          <w:bCs/>
          <w:lang w:val="en-US"/>
        </w:rPr>
        <w:t xml:space="preserve">332 </w:t>
      </w:r>
      <w:r w:rsidR="00B17112" w:rsidRPr="0033593D">
        <w:rPr>
          <w:rFonts w:ascii="Arial" w:hAnsi="Arial" w:cs="Arial"/>
          <w:bCs/>
          <w:lang w:val="en-US"/>
        </w:rPr>
        <w:t>(</w:t>
      </w:r>
      <w:r w:rsidR="00F56FF3" w:rsidRPr="0033593D">
        <w:rPr>
          <w:rFonts w:ascii="Arial" w:hAnsi="Arial" w:cs="Arial"/>
          <w:bCs/>
          <w:lang w:val="en-US"/>
        </w:rPr>
        <w:t>11.1</w:t>
      </w:r>
      <w:r w:rsidR="00B17112" w:rsidRPr="0033593D">
        <w:rPr>
          <w:rFonts w:ascii="Arial" w:hAnsi="Arial" w:cs="Arial"/>
          <w:bCs/>
          <w:lang w:val="en-US"/>
        </w:rPr>
        <w:t>%) adults</w:t>
      </w:r>
      <w:r w:rsidR="005A23B7" w:rsidRPr="0033593D">
        <w:rPr>
          <w:rFonts w:ascii="Arial" w:hAnsi="Arial" w:cs="Arial"/>
          <w:bCs/>
          <w:lang w:val="en-US"/>
        </w:rPr>
        <w:t xml:space="preserve"> reported any chocolate consumption in their two 24-hour dietary recalls</w:t>
      </w:r>
      <w:r w:rsidR="0046136C" w:rsidRPr="0033593D">
        <w:rPr>
          <w:rFonts w:ascii="Arial" w:hAnsi="Arial" w:cs="Arial"/>
          <w:bCs/>
          <w:lang w:val="en-US"/>
        </w:rPr>
        <w:t xml:space="preserve">, of whom </w:t>
      </w:r>
      <w:r w:rsidR="00F56FF3" w:rsidRPr="0033593D">
        <w:rPr>
          <w:rFonts w:ascii="Arial" w:hAnsi="Arial" w:cs="Arial"/>
          <w:bCs/>
          <w:lang w:val="en-US"/>
        </w:rPr>
        <w:t xml:space="preserve">148 </w:t>
      </w:r>
      <w:r w:rsidR="00B17112" w:rsidRPr="0033593D">
        <w:rPr>
          <w:rFonts w:ascii="Arial" w:hAnsi="Arial" w:cs="Arial"/>
          <w:bCs/>
          <w:lang w:val="en-US"/>
        </w:rPr>
        <w:t xml:space="preserve">(12.1%) </w:t>
      </w:r>
      <w:r w:rsidR="0046136C" w:rsidRPr="0033593D">
        <w:rPr>
          <w:rFonts w:ascii="Arial" w:hAnsi="Arial" w:cs="Arial"/>
          <w:bCs/>
          <w:lang w:val="en-US"/>
        </w:rPr>
        <w:t>reported any dark chocolate consumption</w:t>
      </w:r>
      <w:r w:rsidR="00A973AE" w:rsidRPr="0033593D">
        <w:rPr>
          <w:rFonts w:ascii="Arial" w:hAnsi="Arial" w:cs="Arial"/>
          <w:bCs/>
          <w:lang w:val="en-US"/>
        </w:rPr>
        <w:t>.</w:t>
      </w:r>
      <w:r w:rsidR="00B87C14" w:rsidRPr="0033593D">
        <w:rPr>
          <w:rFonts w:ascii="Arial" w:hAnsi="Arial" w:cs="Arial"/>
          <w:bCs/>
          <w:lang w:val="en-US"/>
        </w:rPr>
        <w:t xml:space="preserve"> Sample characteristics in relation to chocolate consumption are </w:t>
      </w:r>
      <w:proofErr w:type="spellStart"/>
      <w:r w:rsidR="00B87C14" w:rsidRPr="0033593D">
        <w:rPr>
          <w:rFonts w:ascii="Arial" w:hAnsi="Arial" w:cs="Arial"/>
          <w:bCs/>
          <w:lang w:val="en-US"/>
        </w:rPr>
        <w:t>summarised</w:t>
      </w:r>
      <w:proofErr w:type="spellEnd"/>
      <w:r w:rsidR="00B87C14" w:rsidRPr="0033593D">
        <w:rPr>
          <w:rFonts w:ascii="Arial" w:hAnsi="Arial" w:cs="Arial"/>
          <w:bCs/>
          <w:lang w:val="en-US"/>
        </w:rPr>
        <w:t xml:space="preserve"> in Table 1</w:t>
      </w:r>
      <w:r w:rsidR="00A43811" w:rsidRPr="0033593D">
        <w:rPr>
          <w:rFonts w:ascii="Arial" w:hAnsi="Arial" w:cs="Arial"/>
          <w:bCs/>
          <w:lang w:val="en-US"/>
        </w:rPr>
        <w:t xml:space="preserve"> (for sample characteristics in relation to quartiles of chocolate consumption see supplemental table 1)</w:t>
      </w:r>
      <w:r w:rsidR="00B87C14" w:rsidRPr="0033593D">
        <w:rPr>
          <w:rFonts w:ascii="Arial" w:hAnsi="Arial" w:cs="Arial"/>
          <w:bCs/>
          <w:lang w:val="en-US"/>
        </w:rPr>
        <w:t>.</w:t>
      </w:r>
      <w:r w:rsidR="00176058" w:rsidRPr="0033593D">
        <w:rPr>
          <w:rFonts w:ascii="Arial" w:hAnsi="Arial" w:cs="Arial"/>
          <w:bCs/>
          <w:lang w:val="en-US"/>
        </w:rPr>
        <w:t xml:space="preserve"> </w:t>
      </w:r>
      <w:r w:rsidR="001A08B9" w:rsidRPr="0033593D">
        <w:rPr>
          <w:rFonts w:ascii="Arial" w:hAnsi="Arial" w:cs="Arial"/>
          <w:bCs/>
          <w:lang w:val="en-US"/>
        </w:rPr>
        <w:t>Those</w:t>
      </w:r>
      <w:r w:rsidR="00176058" w:rsidRPr="0033593D">
        <w:rPr>
          <w:rFonts w:ascii="Arial" w:hAnsi="Arial" w:cs="Arial"/>
          <w:bCs/>
          <w:lang w:val="en-US"/>
        </w:rPr>
        <w:t xml:space="preserve"> who reported any chocolate consumption were slightly older</w:t>
      </w:r>
      <w:r w:rsidR="009104D5" w:rsidRPr="0033593D">
        <w:rPr>
          <w:rFonts w:ascii="Arial" w:hAnsi="Arial" w:cs="Arial"/>
          <w:bCs/>
          <w:lang w:val="en-US"/>
        </w:rPr>
        <w:t xml:space="preserve"> </w:t>
      </w:r>
      <w:r w:rsidR="001A08B9" w:rsidRPr="0033593D">
        <w:rPr>
          <w:rFonts w:ascii="Arial" w:hAnsi="Arial" w:cs="Arial"/>
          <w:bCs/>
          <w:lang w:val="en-US"/>
        </w:rPr>
        <w:t xml:space="preserve">on average </w:t>
      </w:r>
      <w:r w:rsidR="009104D5" w:rsidRPr="0033593D">
        <w:rPr>
          <w:rFonts w:ascii="Arial" w:hAnsi="Arial" w:cs="Arial"/>
          <w:bCs/>
          <w:lang w:val="en-US"/>
        </w:rPr>
        <w:t>than those who did not report chocolate consumption</w:t>
      </w:r>
      <w:r w:rsidR="001A08B9" w:rsidRPr="0033593D">
        <w:rPr>
          <w:rFonts w:ascii="Arial" w:hAnsi="Arial" w:cs="Arial"/>
          <w:bCs/>
          <w:lang w:val="en-US"/>
        </w:rPr>
        <w:t>.</w:t>
      </w:r>
      <w:r w:rsidR="009104D5" w:rsidRPr="0033593D">
        <w:rPr>
          <w:rFonts w:ascii="Arial" w:hAnsi="Arial" w:cs="Arial"/>
          <w:bCs/>
          <w:lang w:val="en-US"/>
        </w:rPr>
        <w:t xml:space="preserve"> </w:t>
      </w:r>
      <w:r w:rsidR="001A08B9" w:rsidRPr="0033593D">
        <w:rPr>
          <w:rFonts w:ascii="Arial" w:hAnsi="Arial" w:cs="Arial"/>
          <w:bCs/>
          <w:lang w:val="en-US"/>
        </w:rPr>
        <w:t xml:space="preserve">They were more likely to be non-Hispanic white and have a higher household income and level of </w:t>
      </w:r>
      <w:proofErr w:type="gramStart"/>
      <w:r w:rsidR="001A08B9" w:rsidRPr="0033593D">
        <w:rPr>
          <w:rFonts w:ascii="Arial" w:hAnsi="Arial" w:cs="Arial"/>
          <w:bCs/>
          <w:lang w:val="en-US"/>
        </w:rPr>
        <w:t>education, and</w:t>
      </w:r>
      <w:proofErr w:type="gramEnd"/>
      <w:r w:rsidR="001A08B9" w:rsidRPr="0033593D">
        <w:rPr>
          <w:rFonts w:ascii="Arial" w:hAnsi="Arial" w:cs="Arial"/>
          <w:bCs/>
          <w:lang w:val="en-US"/>
        </w:rPr>
        <w:t xml:space="preserve"> were less likely to smoke or have a BMI in the obese range. </w:t>
      </w:r>
      <w:r w:rsidR="00B17112" w:rsidRPr="0033593D">
        <w:rPr>
          <w:rFonts w:ascii="Arial" w:hAnsi="Arial" w:cs="Arial"/>
          <w:bCs/>
          <w:lang w:val="en-US"/>
        </w:rPr>
        <w:t>A</w:t>
      </w:r>
      <w:r w:rsidR="00EE231E" w:rsidRPr="0033593D">
        <w:rPr>
          <w:rFonts w:ascii="Arial" w:hAnsi="Arial" w:cs="Arial"/>
          <w:bCs/>
          <w:lang w:val="en-US"/>
        </w:rPr>
        <w:t>verage daily intakes of total energy and sugar were higher</w:t>
      </w:r>
      <w:r w:rsidR="00B17112" w:rsidRPr="0033593D">
        <w:rPr>
          <w:rFonts w:ascii="Arial" w:hAnsi="Arial" w:cs="Arial"/>
          <w:bCs/>
          <w:lang w:val="en-US"/>
        </w:rPr>
        <w:t xml:space="preserve"> among adults </w:t>
      </w:r>
      <w:r w:rsidR="00360D81" w:rsidRPr="0033593D">
        <w:rPr>
          <w:rFonts w:ascii="Arial" w:hAnsi="Arial" w:cs="Arial"/>
          <w:bCs/>
          <w:lang w:val="en-US"/>
        </w:rPr>
        <w:t>who were</w:t>
      </w:r>
      <w:r w:rsidR="00B17112" w:rsidRPr="0033593D">
        <w:rPr>
          <w:rFonts w:ascii="Arial" w:hAnsi="Arial" w:cs="Arial"/>
          <w:bCs/>
          <w:lang w:val="en-US"/>
        </w:rPr>
        <w:t xml:space="preserve"> non-dark chocolate</w:t>
      </w:r>
      <w:r w:rsidR="00360D81" w:rsidRPr="0033593D">
        <w:rPr>
          <w:rFonts w:ascii="Arial" w:hAnsi="Arial" w:cs="Arial"/>
          <w:bCs/>
          <w:lang w:val="en-US"/>
        </w:rPr>
        <w:t xml:space="preserve"> consumers</w:t>
      </w:r>
      <w:r w:rsidR="00EE231E" w:rsidRPr="0033593D">
        <w:rPr>
          <w:rFonts w:ascii="Arial" w:hAnsi="Arial" w:cs="Arial"/>
          <w:bCs/>
          <w:lang w:val="en-US"/>
        </w:rPr>
        <w:t xml:space="preserve">. </w:t>
      </w:r>
      <w:r w:rsidR="001A08B9" w:rsidRPr="0033593D">
        <w:rPr>
          <w:rFonts w:ascii="Arial" w:hAnsi="Arial" w:cs="Arial"/>
          <w:bCs/>
          <w:lang w:val="en-US"/>
        </w:rPr>
        <w:t xml:space="preserve">In addition, </w:t>
      </w:r>
      <w:r w:rsidR="00360D81" w:rsidRPr="0033593D">
        <w:rPr>
          <w:rFonts w:ascii="Arial" w:hAnsi="Arial" w:cs="Arial"/>
          <w:bCs/>
          <w:lang w:val="en-US"/>
        </w:rPr>
        <w:t>c</w:t>
      </w:r>
      <w:r w:rsidR="00F5314E" w:rsidRPr="0033593D">
        <w:rPr>
          <w:rFonts w:ascii="Arial" w:hAnsi="Arial" w:cs="Arial"/>
          <w:bCs/>
          <w:lang w:val="en-US"/>
        </w:rPr>
        <w:t xml:space="preserve">hocolate consumption was not significantly associated with </w:t>
      </w:r>
      <w:r w:rsidR="00360D81" w:rsidRPr="0033593D">
        <w:rPr>
          <w:rFonts w:ascii="Arial" w:hAnsi="Arial" w:cs="Arial"/>
          <w:bCs/>
          <w:lang w:val="en-US"/>
        </w:rPr>
        <w:t xml:space="preserve">alcohol drinking nor </w:t>
      </w:r>
      <w:r w:rsidR="00F5314E" w:rsidRPr="0033593D">
        <w:rPr>
          <w:rFonts w:ascii="Arial" w:hAnsi="Arial" w:cs="Arial"/>
          <w:bCs/>
          <w:lang w:val="en-US"/>
        </w:rPr>
        <w:t>chronic conditions</w:t>
      </w:r>
      <w:r w:rsidR="00D873E1" w:rsidRPr="0033593D">
        <w:rPr>
          <w:rFonts w:ascii="Arial" w:hAnsi="Arial" w:cs="Arial"/>
          <w:bCs/>
          <w:lang w:val="en-US"/>
        </w:rPr>
        <w:t xml:space="preserve"> in </w:t>
      </w:r>
      <w:r w:rsidR="00B17112" w:rsidRPr="0033593D">
        <w:rPr>
          <w:rFonts w:ascii="Arial" w:hAnsi="Arial" w:cs="Arial"/>
          <w:bCs/>
          <w:lang w:val="en-US"/>
        </w:rPr>
        <w:t>our study population</w:t>
      </w:r>
      <w:r w:rsidR="00D873E1" w:rsidRPr="0033593D">
        <w:rPr>
          <w:rFonts w:ascii="Arial" w:hAnsi="Arial" w:cs="Arial"/>
          <w:bCs/>
          <w:lang w:val="en-US"/>
        </w:rPr>
        <w:t>.</w:t>
      </w:r>
    </w:p>
    <w:p w14:paraId="553F57F7" w14:textId="5870DE84" w:rsidR="00642546" w:rsidRPr="0033593D" w:rsidRDefault="00494F2E" w:rsidP="00EA436E">
      <w:pPr>
        <w:rPr>
          <w:lang w:val="en-US"/>
        </w:rPr>
      </w:pPr>
      <w:r w:rsidRPr="0033593D">
        <w:rPr>
          <w:lang w:val="en-US"/>
        </w:rPr>
        <w:t xml:space="preserve">After adjustment for covariates, </w:t>
      </w:r>
      <w:r w:rsidR="00360D81" w:rsidRPr="0033593D">
        <w:rPr>
          <w:lang w:val="en-US"/>
        </w:rPr>
        <w:t xml:space="preserve">no association was observed between non-dark </w:t>
      </w:r>
      <w:r w:rsidR="008A53BA" w:rsidRPr="0033593D">
        <w:rPr>
          <w:lang w:val="en-US"/>
        </w:rPr>
        <w:t xml:space="preserve">chocolate consumption </w:t>
      </w:r>
      <w:r w:rsidR="00360D81" w:rsidRPr="0033593D">
        <w:rPr>
          <w:lang w:val="en-US"/>
        </w:rPr>
        <w:t xml:space="preserve">and </w:t>
      </w:r>
      <w:r w:rsidR="000723F5" w:rsidRPr="0033593D">
        <w:rPr>
          <w:lang w:val="en-US"/>
        </w:rPr>
        <w:t xml:space="preserve">clinically relevant depressive </w:t>
      </w:r>
      <w:r w:rsidR="00360D81" w:rsidRPr="0033593D">
        <w:rPr>
          <w:lang w:val="en-US"/>
        </w:rPr>
        <w:t>symptoms</w:t>
      </w:r>
      <w:r w:rsidR="003E2AA5" w:rsidRPr="0033593D">
        <w:rPr>
          <w:lang w:val="en-US"/>
        </w:rPr>
        <w:t xml:space="preserve"> (Table 2)</w:t>
      </w:r>
      <w:r w:rsidR="00360D81" w:rsidRPr="0033593D">
        <w:rPr>
          <w:lang w:val="en-US"/>
        </w:rPr>
        <w:t xml:space="preserve">. However, </w:t>
      </w:r>
      <w:r w:rsidR="003E2AA5" w:rsidRPr="0033593D">
        <w:rPr>
          <w:lang w:val="en-US"/>
        </w:rPr>
        <w:t xml:space="preserve">individuals who reported any </w:t>
      </w:r>
      <w:r w:rsidR="00360D81" w:rsidRPr="0033593D">
        <w:rPr>
          <w:lang w:val="en-US"/>
        </w:rPr>
        <w:t xml:space="preserve">dark chocolate consumption </w:t>
      </w:r>
      <w:r w:rsidR="003E2AA5" w:rsidRPr="0033593D">
        <w:rPr>
          <w:lang w:val="en-US"/>
        </w:rPr>
        <w:t>had 70%</w:t>
      </w:r>
      <w:r w:rsidR="008A53BA" w:rsidRPr="0033593D">
        <w:rPr>
          <w:lang w:val="en-US"/>
        </w:rPr>
        <w:t xml:space="preserve"> lower odds of reporting </w:t>
      </w:r>
      <w:r w:rsidR="00495546" w:rsidRPr="0033593D">
        <w:rPr>
          <w:lang w:val="en-US"/>
        </w:rPr>
        <w:t xml:space="preserve">clinically relevant depressive symptoms </w:t>
      </w:r>
      <w:r w:rsidR="003E2AA5" w:rsidRPr="0033593D">
        <w:rPr>
          <w:lang w:val="en-US"/>
        </w:rPr>
        <w:t>than those who did not report any</w:t>
      </w:r>
      <w:r w:rsidR="008A53BA" w:rsidRPr="0033593D">
        <w:rPr>
          <w:lang w:val="en-US"/>
        </w:rPr>
        <w:t xml:space="preserve"> chocolate consumption (OR=0.</w:t>
      </w:r>
      <w:r w:rsidR="0017369C" w:rsidRPr="0033593D">
        <w:rPr>
          <w:lang w:val="en-US"/>
        </w:rPr>
        <w:t>30</w:t>
      </w:r>
      <w:r w:rsidR="008A53BA" w:rsidRPr="0033593D">
        <w:rPr>
          <w:lang w:val="en-US"/>
        </w:rPr>
        <w:t>, 95% CI 0.</w:t>
      </w:r>
      <w:r w:rsidR="0017369C" w:rsidRPr="0033593D">
        <w:rPr>
          <w:lang w:val="en-US"/>
        </w:rPr>
        <w:t>21</w:t>
      </w:r>
      <w:r w:rsidR="00F80748" w:rsidRPr="0033593D">
        <w:rPr>
          <w:lang w:val="en-US"/>
        </w:rPr>
        <w:t xml:space="preserve"> to </w:t>
      </w:r>
      <w:r w:rsidR="008A53BA" w:rsidRPr="0033593D">
        <w:rPr>
          <w:lang w:val="en-US"/>
        </w:rPr>
        <w:t>0.</w:t>
      </w:r>
      <w:r w:rsidR="0017369C" w:rsidRPr="0033593D">
        <w:rPr>
          <w:lang w:val="en-US"/>
        </w:rPr>
        <w:t>72</w:t>
      </w:r>
      <w:r w:rsidR="008A53BA" w:rsidRPr="0033593D">
        <w:rPr>
          <w:lang w:val="en-US"/>
        </w:rPr>
        <w:t>)</w:t>
      </w:r>
      <w:r w:rsidR="00495546" w:rsidRPr="0033593D">
        <w:rPr>
          <w:lang w:val="en-US"/>
        </w:rPr>
        <w:t xml:space="preserve">. </w:t>
      </w:r>
      <w:r w:rsidR="00AC6039" w:rsidRPr="0033593D">
        <w:rPr>
          <w:lang w:val="en-US"/>
        </w:rPr>
        <w:t xml:space="preserve">In models </w:t>
      </w:r>
      <w:r w:rsidR="0017369C" w:rsidRPr="0033593D">
        <w:rPr>
          <w:lang w:val="en-US"/>
        </w:rPr>
        <w:t>including the amount of chocolate consumption,</w:t>
      </w:r>
      <w:r w:rsidR="00C65ABD" w:rsidRPr="0033593D">
        <w:rPr>
          <w:lang w:val="en-US"/>
        </w:rPr>
        <w:t xml:space="preserve"> significant association between </w:t>
      </w:r>
      <w:r w:rsidR="0017369C" w:rsidRPr="0033593D">
        <w:rPr>
          <w:lang w:val="en-US"/>
        </w:rPr>
        <w:t xml:space="preserve">the highest quartile of </w:t>
      </w:r>
      <w:r w:rsidR="00C65ABD" w:rsidRPr="0033593D">
        <w:rPr>
          <w:lang w:val="en-US"/>
        </w:rPr>
        <w:t>total chocolate consumption and clinically relevant depressive symptoms</w:t>
      </w:r>
      <w:r w:rsidR="0072050C" w:rsidRPr="0033593D">
        <w:rPr>
          <w:lang w:val="en-US"/>
        </w:rPr>
        <w:t xml:space="preserve"> (OR=0.42, 95% CI: 0.19 to 0.92). This association remained significant after adjusting for dark chocolate consumption (yes/no) </w:t>
      </w:r>
      <w:r w:rsidR="0017369C" w:rsidRPr="0033593D">
        <w:rPr>
          <w:lang w:val="en-US"/>
        </w:rPr>
        <w:t>(OR=0.43, 95% CI: 0.19 to 0.96</w:t>
      </w:r>
      <w:r w:rsidR="009774AC" w:rsidRPr="0033593D">
        <w:rPr>
          <w:lang w:val="en-US"/>
        </w:rPr>
        <w:t>)</w:t>
      </w:r>
      <w:r w:rsidR="00E211E7" w:rsidRPr="0033593D">
        <w:rPr>
          <w:lang w:val="en-US"/>
        </w:rPr>
        <w:t xml:space="preserve"> (Table </w:t>
      </w:r>
      <w:r w:rsidR="00360D81" w:rsidRPr="0033593D">
        <w:rPr>
          <w:lang w:val="en-US"/>
        </w:rPr>
        <w:t>2</w:t>
      </w:r>
      <w:r w:rsidR="00E211E7" w:rsidRPr="0033593D">
        <w:rPr>
          <w:lang w:val="en-US"/>
        </w:rPr>
        <w:t>)</w:t>
      </w:r>
      <w:r w:rsidR="009774AC" w:rsidRPr="0033593D">
        <w:rPr>
          <w:lang w:val="en-US"/>
        </w:rPr>
        <w:t xml:space="preserve">. </w:t>
      </w:r>
      <w:r w:rsidR="00123594" w:rsidRPr="0033593D">
        <w:rPr>
          <w:lang w:val="en-US"/>
        </w:rPr>
        <w:t xml:space="preserve">The results were similar with and without the adjustment for sugar intake. Hence, the adjustment for sugar intake is </w:t>
      </w:r>
      <w:r w:rsidR="00123594" w:rsidRPr="0033593D">
        <w:rPr>
          <w:lang w:val="en-US"/>
        </w:rPr>
        <w:lastRenderedPageBreak/>
        <w:t xml:space="preserve">unlikely to lead to an over-adjustment.(Table 2). </w:t>
      </w:r>
      <w:r w:rsidR="00123594" w:rsidRPr="0033593D">
        <w:rPr>
          <w:lang w:eastAsia="de-AT"/>
        </w:rPr>
        <w:t xml:space="preserve">Furthermore, we have carried out logistic regression diagnostic test for multicollinearity. </w:t>
      </w:r>
      <w:bookmarkStart w:id="2" w:name="_Hlk13166637"/>
      <w:r w:rsidR="00123594" w:rsidRPr="0033593D">
        <w:rPr>
          <w:lang w:eastAsia="de-AT"/>
        </w:rPr>
        <w:t xml:space="preserve">No severe multicollinearity </w:t>
      </w:r>
      <w:r w:rsidR="00C531E0">
        <w:rPr>
          <w:lang w:eastAsia="de-AT"/>
        </w:rPr>
        <w:t>was</w:t>
      </w:r>
      <w:r w:rsidR="00C531E0" w:rsidRPr="0033593D">
        <w:rPr>
          <w:lang w:eastAsia="de-AT"/>
        </w:rPr>
        <w:t xml:space="preserve"> </w:t>
      </w:r>
      <w:r w:rsidR="00123594" w:rsidRPr="0033593D">
        <w:rPr>
          <w:lang w:eastAsia="de-AT"/>
        </w:rPr>
        <w:t>observed</w:t>
      </w:r>
      <w:r w:rsidR="00C531E0">
        <w:rPr>
          <w:lang w:eastAsia="de-AT"/>
        </w:rPr>
        <w:t>,</w:t>
      </w:r>
      <w:r w:rsidR="00123594" w:rsidRPr="0033593D">
        <w:rPr>
          <w:lang w:eastAsia="de-AT"/>
        </w:rPr>
        <w:t xml:space="preserve"> with variance inflation factors between 1.03 and 1.93, and tolerance between 0.5172 and 0.9754.</w:t>
      </w:r>
      <w:bookmarkEnd w:id="2"/>
    </w:p>
    <w:p w14:paraId="512D833C" w14:textId="77777777" w:rsidR="00446A22" w:rsidRPr="0033593D" w:rsidRDefault="00446A22" w:rsidP="00134222">
      <w:pPr>
        <w:pStyle w:val="NoSpacing"/>
        <w:snapToGrid w:val="0"/>
        <w:spacing w:after="120" w:line="480" w:lineRule="auto"/>
        <w:rPr>
          <w:rFonts w:ascii="Arial" w:hAnsi="Arial" w:cs="Arial"/>
          <w:lang w:val="en-US" w:eastAsia="zh-CN"/>
        </w:rPr>
      </w:pPr>
    </w:p>
    <w:p w14:paraId="4D81846F" w14:textId="3FD153CC" w:rsidR="00AC480B" w:rsidRPr="0033593D" w:rsidRDefault="00EA7ACF" w:rsidP="00AC480B">
      <w:pPr>
        <w:pStyle w:val="Heading2"/>
        <w:rPr>
          <w:lang w:val="en-US"/>
        </w:rPr>
      </w:pPr>
      <w:r w:rsidRPr="0033593D">
        <w:rPr>
          <w:lang w:val="en-US"/>
        </w:rPr>
        <w:t>Discussion</w:t>
      </w:r>
    </w:p>
    <w:p w14:paraId="17772692" w14:textId="0FD8D027" w:rsidR="008C63C9" w:rsidRPr="0033593D" w:rsidRDefault="008C63C9" w:rsidP="00674CC7">
      <w:pPr>
        <w:rPr>
          <w:lang w:val="en-US"/>
        </w:rPr>
      </w:pPr>
      <w:r w:rsidRPr="0033593D">
        <w:rPr>
          <w:lang w:val="en-US"/>
        </w:rPr>
        <w:t xml:space="preserve">In a large, representative sample of US adults, </w:t>
      </w:r>
      <w:r w:rsidR="00990EB2" w:rsidRPr="0033593D">
        <w:rPr>
          <w:lang w:val="en-US"/>
        </w:rPr>
        <w:t xml:space="preserve">individuals who reported any consumption of dark chocolate were less likely to report clinically relevant depressive symptoms, but no such association was observed for non-dark chocolate. </w:t>
      </w:r>
      <w:r w:rsidR="00674CC7" w:rsidRPr="0033593D">
        <w:rPr>
          <w:lang w:val="en-US"/>
        </w:rPr>
        <w:t>However, we</w:t>
      </w:r>
      <w:r w:rsidR="00990EB2" w:rsidRPr="0033593D">
        <w:rPr>
          <w:lang w:val="en-US"/>
        </w:rPr>
        <w:t xml:space="preserve"> also observed a significant association with the amount of chocolate consumed, with individuals in the upper quintile of chocolate consumption </w:t>
      </w:r>
      <w:r w:rsidR="00674CC7" w:rsidRPr="0033593D">
        <w:rPr>
          <w:lang w:val="en-US"/>
        </w:rPr>
        <w:t xml:space="preserve">(calculated among chocolate consumers) significantly less likely to report clinically relevant depressive symptoms than those who reported no chocolate consumption, even after adjustment for type of chocolate. </w:t>
      </w:r>
      <w:bookmarkStart w:id="3" w:name="_Hlk8198566"/>
      <w:r w:rsidR="00F71872" w:rsidRPr="0033593D">
        <w:rPr>
          <w:lang w:val="en-US"/>
        </w:rPr>
        <w:t xml:space="preserve">These associations were </w:t>
      </w:r>
      <w:r w:rsidR="00394BA4" w:rsidRPr="0033593D">
        <w:rPr>
          <w:lang w:val="en-US"/>
        </w:rPr>
        <w:t>evident after adjustment for</w:t>
      </w:r>
      <w:r w:rsidR="00F71872" w:rsidRPr="0033593D">
        <w:rPr>
          <w:lang w:val="en-US"/>
        </w:rPr>
        <w:t xml:space="preserve"> age, </w:t>
      </w:r>
      <w:r w:rsidR="004B65E6" w:rsidRPr="0033593D">
        <w:rPr>
          <w:lang w:val="en-US"/>
        </w:rPr>
        <w:t xml:space="preserve">marital status, </w:t>
      </w:r>
      <w:r w:rsidR="00897A9A" w:rsidRPr="0033593D">
        <w:rPr>
          <w:lang w:val="en-US"/>
        </w:rPr>
        <w:t xml:space="preserve">level of </w:t>
      </w:r>
      <w:r w:rsidR="00F71872" w:rsidRPr="0033593D">
        <w:rPr>
          <w:lang w:val="en-US"/>
        </w:rPr>
        <w:t xml:space="preserve">education, annual household income, weight status, </w:t>
      </w:r>
      <w:r w:rsidR="00897A9A" w:rsidRPr="0033593D">
        <w:rPr>
          <w:lang w:val="en-US"/>
        </w:rPr>
        <w:t xml:space="preserve">chronic conditions, </w:t>
      </w:r>
      <w:r w:rsidR="00F71872" w:rsidRPr="0033593D">
        <w:rPr>
          <w:lang w:val="en-US"/>
        </w:rPr>
        <w:t xml:space="preserve">leisure-time physical activity, smoking status, alcohol intake, total energy intake, </w:t>
      </w:r>
      <w:r w:rsidR="00897A9A" w:rsidRPr="0033593D">
        <w:rPr>
          <w:lang w:val="en-US"/>
        </w:rPr>
        <w:t xml:space="preserve">and </w:t>
      </w:r>
      <w:r w:rsidR="00F71872" w:rsidRPr="0033593D">
        <w:rPr>
          <w:lang w:val="en-US"/>
        </w:rPr>
        <w:t>total sugar intake.</w:t>
      </w:r>
      <w:bookmarkEnd w:id="3"/>
    </w:p>
    <w:p w14:paraId="7A47DF25" w14:textId="59FCE4CC" w:rsidR="00DD5ADC" w:rsidRPr="0033593D" w:rsidRDefault="00EE23D7" w:rsidP="00EA436E">
      <w:pPr>
        <w:rPr>
          <w:lang w:val="en-US"/>
        </w:rPr>
      </w:pPr>
      <w:r w:rsidRPr="0033593D">
        <w:rPr>
          <w:lang w:val="en-US"/>
        </w:rPr>
        <w:t xml:space="preserve">The present results are in line with </w:t>
      </w:r>
      <w:proofErr w:type="gramStart"/>
      <w:r w:rsidRPr="0033593D">
        <w:rPr>
          <w:lang w:val="en-US"/>
        </w:rPr>
        <w:t>the majority of</w:t>
      </w:r>
      <w:proofErr w:type="gramEnd"/>
      <w:r w:rsidRPr="0033593D">
        <w:rPr>
          <w:lang w:val="en-US"/>
        </w:rPr>
        <w:t xml:space="preserve"> experimental studies, which have shown benefits of chocolate consumption for mood, at least in the short-term</w:t>
      </w:r>
      <w:r w:rsidR="0076143F" w:rsidRPr="0033593D">
        <w:rPr>
          <w:lang w:val="en-US"/>
        </w:rPr>
        <w:t xml:space="preserve"> </w:t>
      </w:r>
      <w:r w:rsidR="0076143F" w:rsidRPr="0033593D">
        <w:rPr>
          <w:noProof/>
          <w:lang w:val="en-US"/>
        </w:rPr>
        <w:t>(Scholey &amp; Owen, 2013)</w:t>
      </w:r>
      <w:r w:rsidRPr="0033593D">
        <w:rPr>
          <w:lang w:val="en-US"/>
        </w:rPr>
        <w:t xml:space="preserve">. However, they are </w:t>
      </w:r>
      <w:r w:rsidR="00DD5ADC" w:rsidRPr="0033593D">
        <w:rPr>
          <w:lang w:val="en-US"/>
        </w:rPr>
        <w:t>inconsistent with previous surveys that have found positive associations between chocolate consumption and depressive symptoms</w:t>
      </w:r>
      <w:r w:rsidR="0076143F" w:rsidRPr="0033593D">
        <w:rPr>
          <w:lang w:val="en-US"/>
        </w:rPr>
        <w:t xml:space="preserve"> </w:t>
      </w:r>
      <w:r w:rsidR="0076143F" w:rsidRPr="0033593D">
        <w:rPr>
          <w:noProof/>
          <w:lang w:val="en-US"/>
        </w:rPr>
        <w:t>(Barkeling et al., 2002; Rose et al., 2010)</w:t>
      </w:r>
      <w:r w:rsidR="00DD5ADC" w:rsidRPr="0033593D">
        <w:rPr>
          <w:lang w:val="en-US"/>
        </w:rPr>
        <w:t xml:space="preserve">. The discrepant results may be attributable to the adjustment in the present analyses for a wide range of covariates accounting for potential confounding. Alternatively, the representative sample here may differ from those of previous studies, which focused on adults without specific medical conditions </w:t>
      </w:r>
      <w:r w:rsidR="0076143F" w:rsidRPr="0033593D">
        <w:rPr>
          <w:noProof/>
          <w:lang w:val="en-US"/>
        </w:rPr>
        <w:t>(Rose et al., 2010)</w:t>
      </w:r>
      <w:r w:rsidR="00DD5ADC" w:rsidRPr="0033593D">
        <w:rPr>
          <w:shd w:val="clear" w:color="auto" w:fill="FFFFFF"/>
          <w:lang w:val="en-US"/>
        </w:rPr>
        <w:t xml:space="preserve"> </w:t>
      </w:r>
      <w:r w:rsidR="00DD5ADC" w:rsidRPr="0033593D">
        <w:rPr>
          <w:lang w:val="en-US"/>
        </w:rPr>
        <w:t>or women aged 34-64 years</w:t>
      </w:r>
      <w:r w:rsidR="0076143F" w:rsidRPr="0033593D">
        <w:rPr>
          <w:lang w:val="en-US"/>
        </w:rPr>
        <w:t xml:space="preserve"> </w:t>
      </w:r>
      <w:r w:rsidR="0076143F" w:rsidRPr="0033593D">
        <w:rPr>
          <w:noProof/>
          <w:lang w:val="en-US"/>
        </w:rPr>
        <w:t>(Barkeling et al., 2002)</w:t>
      </w:r>
      <w:r w:rsidR="00DD5ADC" w:rsidRPr="0033593D">
        <w:rPr>
          <w:lang w:val="en-US"/>
        </w:rPr>
        <w:t>.</w:t>
      </w:r>
    </w:p>
    <w:p w14:paraId="2904E78B" w14:textId="77DB0F4C" w:rsidR="00FE43DB" w:rsidRPr="0033593D" w:rsidRDefault="005730BE" w:rsidP="00EA436E">
      <w:pPr>
        <w:rPr>
          <w:lang w:val="en-US"/>
        </w:rPr>
      </w:pPr>
      <w:bookmarkStart w:id="4" w:name="_Hlk8198393"/>
      <w:r w:rsidRPr="0033593D">
        <w:rPr>
          <w:lang w:val="en-US"/>
        </w:rPr>
        <w:lastRenderedPageBreak/>
        <w:t xml:space="preserve">There are </w:t>
      </w:r>
      <w:proofErr w:type="gramStart"/>
      <w:r w:rsidRPr="0033593D">
        <w:rPr>
          <w:lang w:val="en-US"/>
        </w:rPr>
        <w:t>a</w:t>
      </w:r>
      <w:r w:rsidR="00D31CC6" w:rsidRPr="0033593D">
        <w:rPr>
          <w:lang w:val="en-US"/>
        </w:rPr>
        <w:t xml:space="preserve"> number of</w:t>
      </w:r>
      <w:proofErr w:type="gramEnd"/>
      <w:r w:rsidR="00D31CC6" w:rsidRPr="0033593D">
        <w:rPr>
          <w:lang w:val="en-US"/>
        </w:rPr>
        <w:t xml:space="preserve"> potential</w:t>
      </w:r>
      <w:r w:rsidR="00667CDB" w:rsidRPr="0033593D">
        <w:rPr>
          <w:lang w:val="en-US"/>
        </w:rPr>
        <w:t xml:space="preserve"> mechanisms through which chocolate consumption </w:t>
      </w:r>
      <w:r w:rsidR="00262036" w:rsidRPr="0033593D">
        <w:rPr>
          <w:lang w:val="en-US"/>
        </w:rPr>
        <w:t xml:space="preserve">could </w:t>
      </w:r>
      <w:r w:rsidR="00667CDB" w:rsidRPr="0033593D">
        <w:rPr>
          <w:lang w:val="en-US"/>
        </w:rPr>
        <w:t>prevent the onset of, or cause a re</w:t>
      </w:r>
      <w:r w:rsidR="00D31CC6" w:rsidRPr="0033593D">
        <w:rPr>
          <w:lang w:val="en-US"/>
        </w:rPr>
        <w:t>duction in, depressive symptoms.</w:t>
      </w:r>
      <w:r w:rsidR="00716F30" w:rsidRPr="0033593D">
        <w:rPr>
          <w:lang w:val="en-US"/>
        </w:rPr>
        <w:t xml:space="preserve"> </w:t>
      </w:r>
      <w:bookmarkEnd w:id="4"/>
      <w:r w:rsidR="00716F30" w:rsidRPr="0033593D">
        <w:rPr>
          <w:lang w:val="en-US"/>
        </w:rPr>
        <w:t>C</w:t>
      </w:r>
      <w:r w:rsidRPr="0033593D">
        <w:rPr>
          <w:lang w:val="en-US"/>
        </w:rPr>
        <w:t xml:space="preserve">hocolate contains </w:t>
      </w:r>
      <w:proofErr w:type="gramStart"/>
      <w:r w:rsidRPr="0033593D">
        <w:rPr>
          <w:lang w:val="en-US"/>
        </w:rPr>
        <w:t>a number of</w:t>
      </w:r>
      <w:proofErr w:type="gramEnd"/>
      <w:r w:rsidRPr="0033593D">
        <w:rPr>
          <w:lang w:val="en-US"/>
        </w:rPr>
        <w:t xml:space="preserve"> psychoactive ingredients, including </w:t>
      </w:r>
      <w:r w:rsidR="003A65F6" w:rsidRPr="0033593D">
        <w:rPr>
          <w:lang w:val="en-US"/>
        </w:rPr>
        <w:t xml:space="preserve">two analogues of </w:t>
      </w:r>
      <w:proofErr w:type="spellStart"/>
      <w:r w:rsidR="003A65F6" w:rsidRPr="0033593D">
        <w:rPr>
          <w:lang w:val="en-US"/>
        </w:rPr>
        <w:t>anandamine</w:t>
      </w:r>
      <w:proofErr w:type="spellEnd"/>
      <w:r w:rsidR="003A65F6" w:rsidRPr="0033593D">
        <w:rPr>
          <w:lang w:val="en-US"/>
        </w:rPr>
        <w:t xml:space="preserve"> (which produce effects similar to the cannabinoid responsible for euphoria from cannabis) and </w:t>
      </w:r>
      <w:r w:rsidRPr="0033593D">
        <w:rPr>
          <w:lang w:val="en-US"/>
        </w:rPr>
        <w:t>several</w:t>
      </w:r>
      <w:r w:rsidR="00B9628A" w:rsidRPr="0033593D">
        <w:rPr>
          <w:lang w:val="en-US"/>
        </w:rPr>
        <w:t xml:space="preserve"> endogenous</w:t>
      </w:r>
      <w:r w:rsidRPr="0033593D">
        <w:rPr>
          <w:lang w:val="en-US"/>
        </w:rPr>
        <w:t xml:space="preserve"> biogenic amines</w:t>
      </w:r>
      <w:r w:rsidR="0076143F" w:rsidRPr="0033593D">
        <w:rPr>
          <w:lang w:val="en-US"/>
        </w:rPr>
        <w:t xml:space="preserve"> </w:t>
      </w:r>
      <w:r w:rsidR="0076143F" w:rsidRPr="0033593D">
        <w:rPr>
          <w:noProof/>
          <w:lang w:val="en-US"/>
        </w:rPr>
        <w:t>(Bruinsma &amp; Taren, 1999; Hurst et al., 1982; Parker et al., 2006)</w:t>
      </w:r>
      <w:r w:rsidR="00B9628A" w:rsidRPr="0033593D">
        <w:rPr>
          <w:lang w:val="en-US"/>
        </w:rPr>
        <w:t xml:space="preserve">. Notably, </w:t>
      </w:r>
      <w:r w:rsidR="003A65F6" w:rsidRPr="0033593D">
        <w:rPr>
          <w:lang w:val="en-US"/>
        </w:rPr>
        <w:t>the latter</w:t>
      </w:r>
      <w:r w:rsidR="00B9628A" w:rsidRPr="0033593D">
        <w:rPr>
          <w:lang w:val="en-US"/>
        </w:rPr>
        <w:t xml:space="preserve"> include phenylethylamine,</w:t>
      </w:r>
      <w:r w:rsidR="005C6FAE" w:rsidRPr="0033593D">
        <w:rPr>
          <w:lang w:val="en-US"/>
        </w:rPr>
        <w:t xml:space="preserve"> a neuromodulator believed to be important for mood regulation</w:t>
      </w:r>
      <w:r w:rsidR="00B9628A" w:rsidRPr="0033593D">
        <w:rPr>
          <w:lang w:val="en-US"/>
        </w:rPr>
        <w:t xml:space="preserve"> </w:t>
      </w:r>
      <w:r w:rsidR="007143B3" w:rsidRPr="0033593D">
        <w:rPr>
          <w:lang w:val="en-US"/>
        </w:rPr>
        <w:t>and implicated in the pathogenesis of depression</w:t>
      </w:r>
      <w:r w:rsidR="0076143F" w:rsidRPr="0033593D">
        <w:rPr>
          <w:lang w:val="en-US"/>
        </w:rPr>
        <w:t xml:space="preserve"> </w:t>
      </w:r>
      <w:r w:rsidR="0076143F" w:rsidRPr="0033593D">
        <w:rPr>
          <w:noProof/>
          <w:lang w:val="en-US"/>
        </w:rPr>
        <w:t>(Bruinsma &amp; Taren, 1999; Sabelli &amp; Javaid, 1995)</w:t>
      </w:r>
      <w:r w:rsidR="00B9628A" w:rsidRPr="0033593D">
        <w:rPr>
          <w:lang w:val="en-US"/>
        </w:rPr>
        <w:t>.</w:t>
      </w:r>
      <w:r w:rsidR="0010145E" w:rsidRPr="0033593D">
        <w:rPr>
          <w:lang w:val="en-US"/>
        </w:rPr>
        <w:t xml:space="preserve"> Chocolate consumption, as a pleasurable experience, may interact with </w:t>
      </w:r>
      <w:r w:rsidRPr="0033593D">
        <w:rPr>
          <w:lang w:val="en-US"/>
        </w:rPr>
        <w:t xml:space="preserve">several neurotransmitter systems </w:t>
      </w:r>
      <w:r w:rsidR="0010145E" w:rsidRPr="0033593D">
        <w:rPr>
          <w:lang w:val="en-US"/>
        </w:rPr>
        <w:t xml:space="preserve">implicated in reward pathways and mood regulation </w:t>
      </w:r>
      <w:r w:rsidRPr="0033593D">
        <w:rPr>
          <w:lang w:val="en-US"/>
        </w:rPr>
        <w:t>(e.g. dopamine, serotonin</w:t>
      </w:r>
      <w:r w:rsidR="0049014B" w:rsidRPr="0033593D">
        <w:rPr>
          <w:lang w:val="en-US"/>
        </w:rPr>
        <w:t>,</w:t>
      </w:r>
      <w:r w:rsidRPr="0033593D">
        <w:rPr>
          <w:lang w:val="en-US"/>
        </w:rPr>
        <w:t xml:space="preserve"> and endorphins)</w:t>
      </w:r>
      <w:r w:rsidR="0076143F" w:rsidRPr="0033593D">
        <w:rPr>
          <w:lang w:val="en-US"/>
        </w:rPr>
        <w:t xml:space="preserve"> </w:t>
      </w:r>
      <w:r w:rsidR="0076143F" w:rsidRPr="0033593D">
        <w:rPr>
          <w:noProof/>
          <w:lang w:val="en-US"/>
        </w:rPr>
        <w:t>(Bruinsma &amp; Taren, 1999; Parker et al., 2006)</w:t>
      </w:r>
      <w:r w:rsidRPr="0033593D">
        <w:rPr>
          <w:lang w:val="en-US"/>
        </w:rPr>
        <w:t>.</w:t>
      </w:r>
      <w:r w:rsidR="00280350" w:rsidRPr="0033593D">
        <w:rPr>
          <w:lang w:val="en-US"/>
        </w:rPr>
        <w:t xml:space="preserve"> E</w:t>
      </w:r>
      <w:r w:rsidR="00F70538" w:rsidRPr="0033593D">
        <w:rPr>
          <w:lang w:val="en-US"/>
        </w:rPr>
        <w:t>xperimental evidence suggests that improvements in mood following chocolate consumption is likely attributable to the chocolate’s palatability</w:t>
      </w:r>
      <w:r w:rsidR="0076143F" w:rsidRPr="0033593D">
        <w:rPr>
          <w:lang w:val="en-US"/>
        </w:rPr>
        <w:t xml:space="preserve"> </w:t>
      </w:r>
      <w:r w:rsidR="0076143F" w:rsidRPr="0033593D">
        <w:rPr>
          <w:noProof/>
          <w:lang w:val="en-US"/>
        </w:rPr>
        <w:t>(Macht &amp; Dettmer, 2006; Macht &amp; Mueller, 2007)</w:t>
      </w:r>
      <w:r w:rsidR="00F70538" w:rsidRPr="0033593D">
        <w:rPr>
          <w:lang w:val="en-US"/>
        </w:rPr>
        <w:t>. In a study that compared effects of eating palatable chocolate, unpalatable chocolate, and nothing on experimentally-induced negative mood states, an immediate benefit was only seen after consumption of palatable chocolate, with no difference between unpalatable chocolate and nothing</w:t>
      </w:r>
      <w:r w:rsidR="0076143F" w:rsidRPr="0033593D">
        <w:rPr>
          <w:lang w:val="en-US"/>
        </w:rPr>
        <w:t xml:space="preserve"> </w:t>
      </w:r>
      <w:r w:rsidR="0076143F" w:rsidRPr="0033593D">
        <w:rPr>
          <w:noProof/>
          <w:lang w:val="en-US"/>
        </w:rPr>
        <w:t>(Macht &amp; Mueller, 2007)</w:t>
      </w:r>
      <w:r w:rsidR="00F70538" w:rsidRPr="0033593D">
        <w:rPr>
          <w:lang w:val="en-US"/>
        </w:rPr>
        <w:t>.</w:t>
      </w:r>
      <w:r w:rsidR="00280350" w:rsidRPr="0033593D">
        <w:rPr>
          <w:lang w:val="en-US"/>
        </w:rPr>
        <w:t xml:space="preserve"> </w:t>
      </w:r>
      <w:r w:rsidR="00734CF8" w:rsidRPr="0033593D">
        <w:rPr>
          <w:lang w:val="en-US"/>
        </w:rPr>
        <w:t xml:space="preserve">However, this would not explain why the associations observed in the present study were more pronounced for dark chocolate than for all chocolate. It is possible that the rich concentration of flavonoids in dark chocolate may be important. Indeed, flavonoids have been shown to improve in inflammatory profiles and </w:t>
      </w:r>
      <w:proofErr w:type="spellStart"/>
      <w:r w:rsidR="00734CF8" w:rsidRPr="0033593D">
        <w:rPr>
          <w:lang w:val="en-US"/>
        </w:rPr>
        <w:t>unfavourable</w:t>
      </w:r>
      <w:proofErr w:type="spellEnd"/>
      <w:r w:rsidR="00734CF8" w:rsidRPr="0033593D">
        <w:rPr>
          <w:lang w:val="en-US"/>
        </w:rPr>
        <w:t xml:space="preserve"> inflammatory profiles have been shown to play a role in the onset of depression</w:t>
      </w:r>
      <w:r w:rsidR="0076143F" w:rsidRPr="0033593D">
        <w:rPr>
          <w:lang w:val="en-US"/>
        </w:rPr>
        <w:t xml:space="preserve"> </w:t>
      </w:r>
      <w:r w:rsidR="0076143F" w:rsidRPr="0033593D">
        <w:rPr>
          <w:noProof/>
          <w:lang w:val="en-US"/>
        </w:rPr>
        <w:t>(Penninx, Milaneschi, Lamers, &amp; Vogelzangs, 2013)</w:t>
      </w:r>
      <w:r w:rsidR="00734CF8" w:rsidRPr="0033593D">
        <w:rPr>
          <w:lang w:val="en-US"/>
        </w:rPr>
        <w:t xml:space="preserve">. </w:t>
      </w:r>
      <w:r w:rsidR="00280350" w:rsidRPr="0033593D">
        <w:rPr>
          <w:lang w:val="en-US"/>
        </w:rPr>
        <w:t>Further research is required to elucidate the nature of the relationship between chocolate consumption and depressive symptoms.</w:t>
      </w:r>
      <w:r w:rsidR="00FE43DB" w:rsidRPr="0033593D">
        <w:rPr>
          <w:lang w:val="en-US"/>
        </w:rPr>
        <w:t xml:space="preserve"> </w:t>
      </w:r>
    </w:p>
    <w:p w14:paraId="128B0C3A" w14:textId="79B0EFE2" w:rsidR="009362D4" w:rsidRPr="0033593D" w:rsidRDefault="00D944D2" w:rsidP="00EA436E">
      <w:pPr>
        <w:rPr>
          <w:lang w:val="en-US"/>
        </w:rPr>
      </w:pPr>
      <w:r w:rsidRPr="0033593D">
        <w:rPr>
          <w:lang w:val="en-US"/>
        </w:rPr>
        <w:t xml:space="preserve">Strengths of the present study include the large, nationally-representative sample, detailed dietary assessment, and adjustment for a wide range of relevant covariates. However, there were also several limitations. </w:t>
      </w:r>
      <w:r w:rsidR="000328FD" w:rsidRPr="0033593D">
        <w:rPr>
          <w:lang w:val="en-US"/>
        </w:rPr>
        <w:t>First, t</w:t>
      </w:r>
      <w:r w:rsidRPr="0033593D">
        <w:rPr>
          <w:lang w:val="en-US"/>
        </w:rPr>
        <w:t xml:space="preserve">he cross-sectional design means we were unable to determine whether chocolate consumption protected against the onset of depressive symptoms. An alternative explanation may be depressive symptoms make people less inclined to eat chocolate. However, previous research </w:t>
      </w:r>
      <w:r w:rsidR="00CD0369" w:rsidRPr="0033593D">
        <w:rPr>
          <w:lang w:val="en-US"/>
        </w:rPr>
        <w:t>has suggested</w:t>
      </w:r>
      <w:r w:rsidRPr="0033593D">
        <w:rPr>
          <w:lang w:val="en-US"/>
        </w:rPr>
        <w:t xml:space="preserve"> that almost half (44.9%) of people </w:t>
      </w:r>
      <w:r w:rsidR="00CD0369" w:rsidRPr="0033593D">
        <w:rPr>
          <w:lang w:val="en-US"/>
        </w:rPr>
        <w:t xml:space="preserve">who have experienced depressive episodes lasting two weeks or longer that </w:t>
      </w:r>
      <w:r w:rsidR="00CD0369" w:rsidRPr="0033593D">
        <w:rPr>
          <w:lang w:val="en-US"/>
        </w:rPr>
        <w:lastRenderedPageBreak/>
        <w:t xml:space="preserve">required treatment </w:t>
      </w:r>
      <w:r w:rsidRPr="0033593D">
        <w:rPr>
          <w:lang w:val="en-US"/>
        </w:rPr>
        <w:t>report craving chocolate when depressed, with many believing that chocolate helps to settle feelings of anxiety and irritability</w:t>
      </w:r>
      <w:r w:rsidR="0076143F" w:rsidRPr="0033593D">
        <w:rPr>
          <w:lang w:val="en-US"/>
        </w:rPr>
        <w:t xml:space="preserve"> </w:t>
      </w:r>
      <w:r w:rsidR="0076143F" w:rsidRPr="0033593D">
        <w:rPr>
          <w:noProof/>
          <w:lang w:val="en-US"/>
        </w:rPr>
        <w:t>(Parker &amp; Crawford, 2007)</w:t>
      </w:r>
      <w:r w:rsidR="00406E4F" w:rsidRPr="0033593D">
        <w:rPr>
          <w:lang w:val="en-US"/>
        </w:rPr>
        <w:t xml:space="preserve">. </w:t>
      </w:r>
      <w:r w:rsidR="000328FD" w:rsidRPr="0033593D">
        <w:rPr>
          <w:lang w:val="en-US"/>
        </w:rPr>
        <w:t>Secondly</w:t>
      </w:r>
      <w:r w:rsidR="009362D4" w:rsidRPr="0033593D">
        <w:rPr>
          <w:lang w:val="en-US"/>
        </w:rPr>
        <w:t xml:space="preserve">, </w:t>
      </w:r>
      <w:r w:rsidR="00944338" w:rsidRPr="0033593D">
        <w:rPr>
          <w:lang w:val="en-US"/>
        </w:rPr>
        <w:t xml:space="preserve">chocolate consumption was based on the average of two 24-hour dietary recalls. While dietary recalls </w:t>
      </w:r>
      <w:r w:rsidR="00394BA4" w:rsidRPr="0033593D">
        <w:rPr>
          <w:lang w:val="en-US"/>
        </w:rPr>
        <w:t xml:space="preserve">are generally considered to </w:t>
      </w:r>
      <w:r w:rsidR="00944338" w:rsidRPr="0033593D">
        <w:rPr>
          <w:lang w:val="en-US"/>
        </w:rPr>
        <w:t>provide a more robust measure of nutrient consumption than food frequency questionnaires, which ask participants to report how often they eat different types of foods, the measure of chocolate consumption in the present study may not accurately reflect average intake over a prolonged period</w:t>
      </w:r>
      <w:r w:rsidR="00394BA4" w:rsidRPr="0033593D">
        <w:rPr>
          <w:lang w:val="en-US"/>
        </w:rPr>
        <w:t xml:space="preserve"> because chocolate is not a product that is typically consumed every day</w:t>
      </w:r>
      <w:r w:rsidR="00944338" w:rsidRPr="0033593D">
        <w:rPr>
          <w:lang w:val="en-US"/>
        </w:rPr>
        <w:t>.</w:t>
      </w:r>
      <w:r w:rsidR="009C344E" w:rsidRPr="0033593D">
        <w:rPr>
          <w:lang w:val="en-US"/>
        </w:rPr>
        <w:t xml:space="preserve"> As such, the potential for misclassification of chocolate consumption is high.</w:t>
      </w:r>
      <w:r w:rsidR="00944338" w:rsidRPr="0033593D">
        <w:rPr>
          <w:lang w:val="en-US"/>
        </w:rPr>
        <w:t xml:space="preserve"> There is a need to replicate our </w:t>
      </w:r>
      <w:r w:rsidR="00C41513" w:rsidRPr="0033593D">
        <w:rPr>
          <w:lang w:val="en-US"/>
        </w:rPr>
        <w:t>findings using other measures of chocolate consumption</w:t>
      </w:r>
      <w:r w:rsidR="00B428A4" w:rsidRPr="0033593D">
        <w:rPr>
          <w:lang w:val="en-US"/>
        </w:rPr>
        <w:t xml:space="preserve"> that capture usual intake over the longer</w:t>
      </w:r>
      <w:r w:rsidR="00795DC5" w:rsidRPr="0033593D">
        <w:rPr>
          <w:lang w:val="en-US"/>
        </w:rPr>
        <w:t xml:space="preserve"> t</w:t>
      </w:r>
      <w:r w:rsidR="00B428A4" w:rsidRPr="0033593D">
        <w:rPr>
          <w:lang w:val="en-US"/>
        </w:rPr>
        <w:t>erm</w:t>
      </w:r>
      <w:r w:rsidR="00C41513" w:rsidRPr="0033593D">
        <w:rPr>
          <w:lang w:val="en-US"/>
        </w:rPr>
        <w:t>.</w:t>
      </w:r>
      <w:r w:rsidR="000328FD" w:rsidRPr="0033593D">
        <w:rPr>
          <w:lang w:val="en-US"/>
        </w:rPr>
        <w:t xml:space="preserve"> </w:t>
      </w:r>
      <w:bookmarkStart w:id="5" w:name="_Hlk8199841"/>
      <w:r w:rsidR="000328FD" w:rsidRPr="0033593D">
        <w:rPr>
          <w:lang w:val="en-US"/>
        </w:rPr>
        <w:t xml:space="preserve">Thirdly, the </w:t>
      </w:r>
      <w:r w:rsidR="00A14EE9" w:rsidRPr="0033593D">
        <w:rPr>
          <w:lang w:val="en-US"/>
        </w:rPr>
        <w:t>group</w:t>
      </w:r>
      <w:r w:rsidR="000328FD" w:rsidRPr="0033593D">
        <w:rPr>
          <w:lang w:val="en-US"/>
        </w:rPr>
        <w:t xml:space="preserve"> of dark chocolate consumers in our analy</w:t>
      </w:r>
      <w:r w:rsidR="00A14EE9" w:rsidRPr="0033593D">
        <w:rPr>
          <w:lang w:val="en-US"/>
        </w:rPr>
        <w:t>z</w:t>
      </w:r>
      <w:r w:rsidR="000328FD" w:rsidRPr="0033593D">
        <w:rPr>
          <w:lang w:val="en-US"/>
        </w:rPr>
        <w:t>ed sample was small</w:t>
      </w:r>
      <w:r w:rsidR="00A14EE9" w:rsidRPr="0033593D">
        <w:rPr>
          <w:lang w:val="en-US"/>
        </w:rPr>
        <w:t xml:space="preserve"> </w:t>
      </w:r>
      <w:r w:rsidR="008B7EF4">
        <w:rPr>
          <w:lang w:val="en-US"/>
        </w:rPr>
        <w:t xml:space="preserve">with low consumption </w:t>
      </w:r>
      <w:r w:rsidR="00A14EE9" w:rsidRPr="0033593D">
        <w:rPr>
          <w:lang w:val="en-US"/>
        </w:rPr>
        <w:t>(less than 1.1% of the total population</w:t>
      </w:r>
      <w:r w:rsidR="007F5AFF">
        <w:rPr>
          <w:lang w:val="en-US"/>
        </w:rPr>
        <w:t xml:space="preserve"> with </w:t>
      </w:r>
      <w:r w:rsidR="00676C41">
        <w:rPr>
          <w:lang w:val="en-US"/>
        </w:rPr>
        <w:t xml:space="preserve">an average of </w:t>
      </w:r>
      <w:r w:rsidR="007F5AFF">
        <w:rPr>
          <w:lang w:val="en-US"/>
        </w:rPr>
        <w:t>11.7 grams</w:t>
      </w:r>
      <w:r w:rsidR="00676C41">
        <w:rPr>
          <w:lang w:val="en-US"/>
        </w:rPr>
        <w:t xml:space="preserve"> of</w:t>
      </w:r>
      <w:r w:rsidR="007F5AFF">
        <w:rPr>
          <w:lang w:val="en-US"/>
        </w:rPr>
        <w:t xml:space="preserve"> </w:t>
      </w:r>
      <w:r w:rsidR="008B7EF4">
        <w:rPr>
          <w:lang w:val="en-US"/>
        </w:rPr>
        <w:t xml:space="preserve">daily </w:t>
      </w:r>
      <w:r w:rsidR="007F5AFF">
        <w:rPr>
          <w:lang w:val="en-US"/>
        </w:rPr>
        <w:t xml:space="preserve">dark chocolate </w:t>
      </w:r>
      <w:r w:rsidR="008B7EF4">
        <w:rPr>
          <w:lang w:val="en-US"/>
        </w:rPr>
        <w:t>intake</w:t>
      </w:r>
      <w:r w:rsidR="00A14EE9" w:rsidRPr="0033593D">
        <w:rPr>
          <w:lang w:val="en-US"/>
        </w:rPr>
        <w:t xml:space="preserve">) and differed from the rest of the population on </w:t>
      </w:r>
      <w:proofErr w:type="gramStart"/>
      <w:r w:rsidR="00A14EE9" w:rsidRPr="0033593D">
        <w:rPr>
          <w:lang w:val="en-US"/>
        </w:rPr>
        <w:t>a number of</w:t>
      </w:r>
      <w:proofErr w:type="gramEnd"/>
      <w:r w:rsidR="00A14EE9" w:rsidRPr="0033593D">
        <w:rPr>
          <w:lang w:val="en-US"/>
        </w:rPr>
        <w:t xml:space="preserve"> key characteristics</w:t>
      </w:r>
      <w:r w:rsidR="001A02E8" w:rsidRPr="0033593D">
        <w:rPr>
          <w:lang w:val="en-US"/>
        </w:rPr>
        <w:t>.</w:t>
      </w:r>
      <w:r w:rsidR="00450EBC">
        <w:rPr>
          <w:lang w:val="en-US"/>
        </w:rPr>
        <w:t xml:space="preserve"> Nonetheless, the fact we observed a significant association between dark chocolate consumption despite the small sample and low average consumption attests to the strength of this finding.</w:t>
      </w:r>
      <w:r w:rsidR="001A02E8" w:rsidRPr="0033593D">
        <w:rPr>
          <w:lang w:val="en-US"/>
        </w:rPr>
        <w:t xml:space="preserve"> Although we did adjust for </w:t>
      </w:r>
      <w:proofErr w:type="gramStart"/>
      <w:r w:rsidR="001A02E8" w:rsidRPr="0033593D">
        <w:rPr>
          <w:lang w:val="en-US"/>
        </w:rPr>
        <w:t>a number of</w:t>
      </w:r>
      <w:proofErr w:type="gramEnd"/>
      <w:r w:rsidR="001A02E8" w:rsidRPr="0033593D">
        <w:rPr>
          <w:lang w:val="en-US"/>
        </w:rPr>
        <w:t xml:space="preserve"> covariates, it is possible that we lacked information on some characteristics of dark chocolate consumers that could have confounded the associations assessed. Thus, </w:t>
      </w:r>
      <w:r w:rsidR="00EE422B" w:rsidRPr="0033593D">
        <w:rPr>
          <w:lang w:val="en-US"/>
        </w:rPr>
        <w:t>some caution should be taken when interpreting these results.</w:t>
      </w:r>
      <w:r w:rsidR="00A9229F" w:rsidRPr="0033593D">
        <w:rPr>
          <w:lang w:val="en-US"/>
        </w:rPr>
        <w:t xml:space="preserve"> </w:t>
      </w:r>
      <w:bookmarkEnd w:id="5"/>
      <w:r w:rsidR="00A9229F" w:rsidRPr="0033593D">
        <w:rPr>
          <w:lang w:val="en-US"/>
        </w:rPr>
        <w:t xml:space="preserve">Finally, while we adjusted for a wide range of potential confounders, there may be residual confounding by unmeasured variables. </w:t>
      </w:r>
      <w:r w:rsidR="00B036B5" w:rsidRPr="0033593D">
        <w:rPr>
          <w:lang w:val="en-US"/>
        </w:rPr>
        <w:t>Studies using a randomi</w:t>
      </w:r>
      <w:r w:rsidR="00A14EE9" w:rsidRPr="0033593D">
        <w:rPr>
          <w:lang w:val="en-US"/>
        </w:rPr>
        <w:t>z</w:t>
      </w:r>
      <w:r w:rsidR="00B036B5" w:rsidRPr="0033593D">
        <w:rPr>
          <w:lang w:val="en-US"/>
        </w:rPr>
        <w:t>ed design to test</w:t>
      </w:r>
      <w:r w:rsidR="00A9229F" w:rsidRPr="0033593D">
        <w:rPr>
          <w:lang w:val="en-US"/>
        </w:rPr>
        <w:t xml:space="preserve"> the effect of chocolate consumption</w:t>
      </w:r>
      <w:r w:rsidR="00EE422B" w:rsidRPr="0033593D">
        <w:rPr>
          <w:lang w:val="en-US"/>
        </w:rPr>
        <w:t xml:space="preserve"> </w:t>
      </w:r>
      <w:bookmarkStart w:id="6" w:name="_Hlk8199826"/>
      <w:r w:rsidR="00EE422B" w:rsidRPr="0033593D">
        <w:rPr>
          <w:lang w:val="en-US"/>
        </w:rPr>
        <w:t>(</w:t>
      </w:r>
      <w:proofErr w:type="gramStart"/>
      <w:r w:rsidR="00EE422B" w:rsidRPr="0033593D">
        <w:rPr>
          <w:lang w:val="en-US"/>
        </w:rPr>
        <w:t>in particular, dark</w:t>
      </w:r>
      <w:proofErr w:type="gramEnd"/>
      <w:r w:rsidR="00EE422B" w:rsidRPr="0033593D">
        <w:rPr>
          <w:lang w:val="en-US"/>
        </w:rPr>
        <w:t xml:space="preserve"> chocolate)</w:t>
      </w:r>
      <w:r w:rsidR="00A9229F" w:rsidRPr="0033593D">
        <w:rPr>
          <w:lang w:val="en-US"/>
        </w:rPr>
        <w:t xml:space="preserve"> </w:t>
      </w:r>
      <w:bookmarkEnd w:id="6"/>
      <w:r w:rsidR="00A9229F" w:rsidRPr="0033593D">
        <w:rPr>
          <w:lang w:val="en-US"/>
        </w:rPr>
        <w:t xml:space="preserve">on mood </w:t>
      </w:r>
      <w:r w:rsidR="00B036B5" w:rsidRPr="0033593D">
        <w:rPr>
          <w:lang w:val="en-US"/>
        </w:rPr>
        <w:t>over a prolonged period could provide further insight into the exact nature of the relationship between these variables.</w:t>
      </w:r>
    </w:p>
    <w:p w14:paraId="6A572D4D" w14:textId="063C00DD" w:rsidR="009362D4" w:rsidRPr="0033593D" w:rsidRDefault="009362D4" w:rsidP="00EA436E">
      <w:pPr>
        <w:rPr>
          <w:lang w:val="en-US"/>
        </w:rPr>
      </w:pPr>
      <w:r w:rsidRPr="0033593D">
        <w:rPr>
          <w:lang w:val="en-US"/>
        </w:rPr>
        <w:t xml:space="preserve">In conclusion, </w:t>
      </w:r>
      <w:r w:rsidR="00BA7130" w:rsidRPr="0033593D">
        <w:rPr>
          <w:lang w:val="en-US"/>
        </w:rPr>
        <w:t xml:space="preserve">the present results provide some evidence that consumption of chocolate, particularly dark chocolate, may be associated </w:t>
      </w:r>
      <w:r w:rsidR="007211DE" w:rsidRPr="0033593D">
        <w:rPr>
          <w:lang w:val="en-US"/>
        </w:rPr>
        <w:t xml:space="preserve">with reduced odds of clinically relevant depressive symptoms. </w:t>
      </w:r>
      <w:r w:rsidR="00323DB6" w:rsidRPr="0033593D">
        <w:rPr>
          <w:lang w:val="en-US"/>
        </w:rPr>
        <w:t>Further research is required to clarify the direction of causation</w:t>
      </w:r>
      <w:r w:rsidR="0043586F" w:rsidRPr="0033593D">
        <w:rPr>
          <w:lang w:val="en-US"/>
        </w:rPr>
        <w:t>. S</w:t>
      </w:r>
      <w:r w:rsidR="00323DB6" w:rsidRPr="0033593D">
        <w:rPr>
          <w:lang w:val="en-US"/>
        </w:rPr>
        <w:t>hould a causal relationship</w:t>
      </w:r>
      <w:r w:rsidR="0043586F" w:rsidRPr="0033593D">
        <w:rPr>
          <w:lang w:val="en-US"/>
        </w:rPr>
        <w:t xml:space="preserve"> demonstrating a protective effect of chocolate consumption on depressive symptoms</w:t>
      </w:r>
      <w:r w:rsidR="00323DB6" w:rsidRPr="0033593D">
        <w:rPr>
          <w:lang w:val="en-US"/>
        </w:rPr>
        <w:t xml:space="preserve"> be established, </w:t>
      </w:r>
      <w:r w:rsidR="0043586F" w:rsidRPr="0033593D">
        <w:rPr>
          <w:lang w:val="en-US"/>
        </w:rPr>
        <w:t xml:space="preserve">its biological mechanism needs to be elucidated to </w:t>
      </w:r>
      <w:r w:rsidR="00323DB6" w:rsidRPr="0033593D">
        <w:rPr>
          <w:lang w:val="en-US"/>
        </w:rPr>
        <w:t xml:space="preserve">determine the </w:t>
      </w:r>
      <w:r w:rsidR="0043586F" w:rsidRPr="0033593D">
        <w:rPr>
          <w:lang w:val="en-US"/>
        </w:rPr>
        <w:t>type and amount</w:t>
      </w:r>
      <w:r w:rsidR="00323DB6" w:rsidRPr="0033593D">
        <w:rPr>
          <w:lang w:val="en-US"/>
        </w:rPr>
        <w:t xml:space="preserve"> of chocolate</w:t>
      </w:r>
      <w:r w:rsidR="00EF498D" w:rsidRPr="0033593D">
        <w:rPr>
          <w:lang w:val="en-US"/>
        </w:rPr>
        <w:t xml:space="preserve"> consumption</w:t>
      </w:r>
      <w:r w:rsidR="00323DB6" w:rsidRPr="0033593D">
        <w:rPr>
          <w:lang w:val="en-US"/>
        </w:rPr>
        <w:t xml:space="preserve"> </w:t>
      </w:r>
      <w:r w:rsidR="0043586F" w:rsidRPr="0033593D">
        <w:rPr>
          <w:lang w:val="en-US"/>
        </w:rPr>
        <w:t xml:space="preserve">for optimal depression prevention and </w:t>
      </w:r>
      <w:r w:rsidR="009447B2" w:rsidRPr="0033593D">
        <w:rPr>
          <w:lang w:val="en-US"/>
        </w:rPr>
        <w:t>management</w:t>
      </w:r>
      <w:r w:rsidR="00323DB6" w:rsidRPr="0033593D">
        <w:rPr>
          <w:lang w:val="en-US"/>
        </w:rPr>
        <w:t>.</w:t>
      </w:r>
    </w:p>
    <w:p w14:paraId="2CEE8715" w14:textId="77777777" w:rsidR="00D944D2" w:rsidRPr="0033593D" w:rsidRDefault="00D944D2" w:rsidP="00EA436E">
      <w:pPr>
        <w:rPr>
          <w:lang w:val="en-US"/>
        </w:rPr>
      </w:pPr>
    </w:p>
    <w:p w14:paraId="395F02CB" w14:textId="77777777" w:rsidR="00274751" w:rsidRPr="0033593D" w:rsidRDefault="00274751">
      <w:pPr>
        <w:adjustRightInd/>
        <w:snapToGrid/>
        <w:spacing w:afterLines="0" w:after="200" w:line="276" w:lineRule="auto"/>
        <w:rPr>
          <w:lang w:val="en-US"/>
        </w:rPr>
      </w:pPr>
      <w:r w:rsidRPr="0033593D">
        <w:rPr>
          <w:lang w:val="en-US"/>
        </w:rPr>
        <w:br w:type="page"/>
      </w:r>
    </w:p>
    <w:p w14:paraId="6A11AB62" w14:textId="09B38BC7" w:rsidR="00D944D2" w:rsidRPr="0033593D" w:rsidRDefault="00274751">
      <w:pPr>
        <w:adjustRightInd/>
        <w:snapToGrid/>
        <w:spacing w:afterLines="0" w:after="200" w:line="276" w:lineRule="auto"/>
        <w:rPr>
          <w:b/>
          <w:bCs w:val="0"/>
          <w:lang w:val="en-US"/>
        </w:rPr>
      </w:pPr>
      <w:r w:rsidRPr="0033593D">
        <w:rPr>
          <w:b/>
          <w:lang w:val="en-US"/>
        </w:rPr>
        <w:lastRenderedPageBreak/>
        <w:t>Data Availability Statement</w:t>
      </w:r>
      <w:r w:rsidRPr="0033593D">
        <w:rPr>
          <w:bCs w:val="0"/>
          <w:lang w:val="en-US"/>
        </w:rPr>
        <w:t>:</w:t>
      </w:r>
      <w:r w:rsidRPr="0033593D">
        <w:rPr>
          <w:b/>
          <w:bCs w:val="0"/>
          <w:lang w:val="en-US"/>
        </w:rPr>
        <w:t xml:space="preserve"> </w:t>
      </w:r>
      <w:r w:rsidRPr="0033593D">
        <w:rPr>
          <w:bCs w:val="0"/>
          <w:lang w:val="en-US"/>
        </w:rPr>
        <w:t xml:space="preserve">The NHANES data that support the findings of this study are available online through </w:t>
      </w:r>
      <w:r w:rsidRPr="0033593D">
        <w:rPr>
          <w:lang w:val="en-US"/>
        </w:rPr>
        <w:t>https://wwwn.cdc.gov/nchs/nhanes/Default.aspx</w:t>
      </w:r>
      <w:r w:rsidR="00D944D2" w:rsidRPr="0033593D">
        <w:rPr>
          <w:b/>
          <w:bCs w:val="0"/>
          <w:lang w:val="en-US"/>
        </w:rPr>
        <w:br w:type="page"/>
      </w:r>
    </w:p>
    <w:p w14:paraId="2A469466" w14:textId="47BD6366" w:rsidR="00B3591D" w:rsidRPr="0033593D" w:rsidRDefault="00EA7ACF" w:rsidP="003C5C6D">
      <w:pPr>
        <w:pStyle w:val="Heading2"/>
        <w:rPr>
          <w:lang w:val="en-US"/>
        </w:rPr>
      </w:pPr>
      <w:r w:rsidRPr="0033593D">
        <w:rPr>
          <w:lang w:val="en-US"/>
        </w:rPr>
        <w:lastRenderedPageBreak/>
        <w:t>References</w:t>
      </w:r>
    </w:p>
    <w:p w14:paraId="44D6BD30" w14:textId="77B0B909" w:rsidR="00AE6183" w:rsidRPr="0033593D" w:rsidRDefault="00AE6183" w:rsidP="00AE6183">
      <w:pPr>
        <w:pStyle w:val="EndNoteBibliography"/>
        <w:ind w:left="720" w:hanging="720"/>
        <w:rPr>
          <w:lang w:val="en-US"/>
        </w:rPr>
      </w:pPr>
      <w:bookmarkStart w:id="7" w:name="_ENREF_1"/>
      <w:r w:rsidRPr="0033593D">
        <w:rPr>
          <w:lang w:val="en-US"/>
        </w:rPr>
        <w:t xml:space="preserve">Ahluwalia, N., Dwyer, J., Terry, A., Moshfegh, A., &amp; Johnson, C. (2016). Update on NHANES Dietary Data: Focus on Collection, Release, Analytical Considerations, and Uses to Inform Public Policy. </w:t>
      </w:r>
      <w:r w:rsidRPr="0033593D">
        <w:rPr>
          <w:i/>
          <w:lang w:val="en-US"/>
        </w:rPr>
        <w:t>Adv Nutr, 7</w:t>
      </w:r>
      <w:r w:rsidRPr="0033593D">
        <w:rPr>
          <w:lang w:val="en-US"/>
        </w:rPr>
        <w:t>(1), 121-134. doi:10.3945/an.115.009258</w:t>
      </w:r>
      <w:bookmarkEnd w:id="7"/>
    </w:p>
    <w:p w14:paraId="1FD1944F" w14:textId="77777777" w:rsidR="00AE6183" w:rsidRPr="0033593D" w:rsidRDefault="00AE6183" w:rsidP="00AE6183">
      <w:pPr>
        <w:pStyle w:val="EndNoteBibliography"/>
        <w:ind w:left="720" w:hanging="720"/>
        <w:rPr>
          <w:lang w:val="en-US"/>
        </w:rPr>
      </w:pPr>
      <w:bookmarkStart w:id="8" w:name="_ENREF_2"/>
      <w:r w:rsidRPr="0033593D">
        <w:rPr>
          <w:lang w:val="en-US"/>
        </w:rPr>
        <w:t xml:space="preserve">Barkeling, B., Linne, Y., Lindroos, A. K., Birkhed, D., Rooth, P., &amp; Rossner, S. (2002). Intake of sweet foods and counts of cariogenic microorganisms in relation to body mass index and psychometric variables in women. </w:t>
      </w:r>
      <w:r w:rsidRPr="0033593D">
        <w:rPr>
          <w:i/>
          <w:lang w:val="en-US"/>
        </w:rPr>
        <w:t>Int J Obes Relat Metab Disord, 26</w:t>
      </w:r>
      <w:r w:rsidRPr="0033593D">
        <w:rPr>
          <w:lang w:val="en-US"/>
        </w:rPr>
        <w:t>(9), 1239-1244. doi:10.1038/sj.ijo.0802034</w:t>
      </w:r>
      <w:bookmarkEnd w:id="8"/>
    </w:p>
    <w:p w14:paraId="38E92A6B" w14:textId="77777777" w:rsidR="00AE6183" w:rsidRPr="0033593D" w:rsidRDefault="00AE6183" w:rsidP="00AE6183">
      <w:pPr>
        <w:pStyle w:val="EndNoteBibliography"/>
        <w:ind w:left="720" w:hanging="720"/>
        <w:rPr>
          <w:lang w:val="en-US"/>
        </w:rPr>
      </w:pPr>
      <w:bookmarkStart w:id="9" w:name="_ENREF_3"/>
      <w:r w:rsidRPr="0033593D">
        <w:rPr>
          <w:lang w:val="en-US"/>
        </w:rPr>
        <w:t xml:space="preserve">Bruinsma, K., &amp; Taren, D. L. (1999). Chocolate: food or drug? </w:t>
      </w:r>
      <w:r w:rsidRPr="0033593D">
        <w:rPr>
          <w:i/>
          <w:lang w:val="en-US"/>
        </w:rPr>
        <w:t>J Am Diet Assoc, 99</w:t>
      </w:r>
      <w:r w:rsidRPr="0033593D">
        <w:rPr>
          <w:lang w:val="en-US"/>
        </w:rPr>
        <w:t>(10), 1249-1256. doi:10.1016/s0002-8223(99)00307-7</w:t>
      </w:r>
      <w:bookmarkEnd w:id="9"/>
    </w:p>
    <w:p w14:paraId="476EA1E4" w14:textId="7B61F7B8" w:rsidR="00AE6183" w:rsidRPr="0033593D" w:rsidRDefault="00AE6183" w:rsidP="00AE6183">
      <w:pPr>
        <w:pStyle w:val="EndNoteBibliography"/>
        <w:ind w:left="720" w:hanging="720"/>
        <w:rPr>
          <w:lang w:val="en-US"/>
        </w:rPr>
      </w:pPr>
      <w:bookmarkStart w:id="10" w:name="_ENREF_4"/>
      <w:r w:rsidRPr="0033593D">
        <w:rPr>
          <w:lang w:val="en-US"/>
        </w:rPr>
        <w:t xml:space="preserve">Centers for Disease Control and Prevention. NHANES - National Health and Nutrition Examination Survey Homepage [Internet]. 2018. Available from: https://www.cdc.gov/nchs/nhanes/index.htm accessed March 19, 2018. </w:t>
      </w:r>
      <w:bookmarkEnd w:id="10"/>
    </w:p>
    <w:p w14:paraId="44B082C9" w14:textId="77777777" w:rsidR="00AE6183" w:rsidRPr="0033593D" w:rsidRDefault="00AE6183" w:rsidP="00AE6183">
      <w:pPr>
        <w:pStyle w:val="EndNoteBibliography"/>
        <w:ind w:left="720" w:hanging="720"/>
        <w:rPr>
          <w:lang w:val="en-US"/>
        </w:rPr>
      </w:pPr>
      <w:bookmarkStart w:id="11" w:name="_ENREF_5"/>
      <w:r w:rsidRPr="0033593D">
        <w:rPr>
          <w:lang w:val="en-US"/>
        </w:rPr>
        <w:t xml:space="preserve">Curtin, L. R., Mohadjer, L. K., Dohrmann, S. M., Montaquila, J. M., Kruszan-Moran, D., Mirel, L. B., . . . Johnson, C. L. (2012). The National Health and Nutrition Examination Survey: Sample Design, 1999-2006. </w:t>
      </w:r>
      <w:r w:rsidRPr="0033593D">
        <w:rPr>
          <w:i/>
          <w:lang w:val="en-US"/>
        </w:rPr>
        <w:t>Vital Health Stat 2</w:t>
      </w:r>
      <w:r w:rsidRPr="0033593D">
        <w:rPr>
          <w:lang w:val="en-US"/>
        </w:rPr>
        <w:t xml:space="preserve">(155), 1-39. </w:t>
      </w:r>
      <w:bookmarkEnd w:id="11"/>
    </w:p>
    <w:p w14:paraId="465D13F0" w14:textId="77777777" w:rsidR="00BF7C18" w:rsidRPr="0033593D" w:rsidRDefault="00BF7C18" w:rsidP="00BF7C18">
      <w:pPr>
        <w:pStyle w:val="EndNoteBibliography"/>
        <w:ind w:left="720" w:hanging="720"/>
        <w:rPr>
          <w:lang w:val="en-US"/>
        </w:rPr>
      </w:pPr>
      <w:bookmarkStart w:id="12" w:name="_ENREF_6"/>
      <w:r w:rsidRPr="0033593D">
        <w:rPr>
          <w:lang w:val="en-US"/>
        </w:rPr>
        <w:t xml:space="preserve">Curtin, L. R., Mohadjer, L. K., Dohrmann, S. M., Kruszon-Moran, D., Mirel, L. B., Carroll, M. D., … Johnson, C. L. (2013). National Health and Nutrition Examination Survey: sample design, 2007-2010. </w:t>
      </w:r>
      <w:r w:rsidRPr="0033593D">
        <w:rPr>
          <w:i/>
          <w:lang w:val="en-US"/>
        </w:rPr>
        <w:t>Vital and Health Statistics. Series 2, Data Evaluation and Methods Research</w:t>
      </w:r>
      <w:r w:rsidRPr="0033593D">
        <w:rPr>
          <w:lang w:val="en-US"/>
        </w:rPr>
        <w:t>, (160), 1–23.</w:t>
      </w:r>
    </w:p>
    <w:p w14:paraId="195A7A61" w14:textId="77777777" w:rsidR="00AE6183" w:rsidRPr="0033593D" w:rsidRDefault="00AE6183" w:rsidP="00AE6183">
      <w:pPr>
        <w:pStyle w:val="EndNoteBibliography"/>
        <w:ind w:left="720" w:hanging="720"/>
        <w:rPr>
          <w:lang w:val="en-US"/>
        </w:rPr>
      </w:pPr>
      <w:r w:rsidRPr="0033593D">
        <w:rPr>
          <w:lang w:val="en-US"/>
        </w:rPr>
        <w:t xml:space="preserve">Hurst, W. J., Martin, R. A., &amp; Zoumas, B. L. (1982). Biogenic amines in chocolate--a review. </w:t>
      </w:r>
      <w:r w:rsidRPr="0033593D">
        <w:rPr>
          <w:i/>
          <w:lang w:val="en-US"/>
        </w:rPr>
        <w:t>Nutr Rep Int, 26</w:t>
      </w:r>
      <w:r w:rsidRPr="0033593D">
        <w:rPr>
          <w:lang w:val="en-US"/>
        </w:rPr>
        <w:t xml:space="preserve">, 1081-1086. </w:t>
      </w:r>
      <w:bookmarkEnd w:id="12"/>
    </w:p>
    <w:p w14:paraId="616E6542" w14:textId="77777777" w:rsidR="00AE6183" w:rsidRPr="0033593D" w:rsidRDefault="00AE6183" w:rsidP="00AE6183">
      <w:pPr>
        <w:pStyle w:val="EndNoteBibliography"/>
        <w:ind w:left="720" w:hanging="720"/>
        <w:rPr>
          <w:lang w:val="en-US"/>
        </w:rPr>
      </w:pPr>
      <w:bookmarkStart w:id="13" w:name="_ENREF_7"/>
      <w:r w:rsidRPr="0033593D">
        <w:rPr>
          <w:lang w:val="en-US"/>
        </w:rPr>
        <w:t xml:space="preserve">Kroenke, K., Spitzer, R. L., &amp; Williams, J. B. (2001). The PHQ-9: validity of a brief depression severity measure. </w:t>
      </w:r>
      <w:r w:rsidRPr="0033593D">
        <w:rPr>
          <w:i/>
          <w:lang w:val="en-US"/>
        </w:rPr>
        <w:t>J Gen Intern Med, 16</w:t>
      </w:r>
      <w:r w:rsidRPr="0033593D">
        <w:rPr>
          <w:lang w:val="en-US"/>
        </w:rPr>
        <w:t xml:space="preserve">(9), 606-613. </w:t>
      </w:r>
      <w:bookmarkEnd w:id="13"/>
    </w:p>
    <w:p w14:paraId="00E4F576" w14:textId="77777777" w:rsidR="00AE6183" w:rsidRPr="0033593D" w:rsidRDefault="00AE6183" w:rsidP="00AE6183">
      <w:pPr>
        <w:pStyle w:val="EndNoteBibliography"/>
        <w:ind w:left="720" w:hanging="720"/>
        <w:rPr>
          <w:lang w:val="en-US"/>
        </w:rPr>
      </w:pPr>
      <w:bookmarkStart w:id="14" w:name="_ENREF_8"/>
      <w:r w:rsidRPr="0033593D">
        <w:rPr>
          <w:lang w:val="en-US"/>
        </w:rPr>
        <w:t xml:space="preserve">Lawrenson, R. A., Tyrer, F., Newson, R. B., &amp; Farmer, R. D. (2000). The treatment of depression in UK general practice: selective serotonin reuptake inhibitors and tricyclic antidepressants compared. </w:t>
      </w:r>
      <w:r w:rsidRPr="0033593D">
        <w:rPr>
          <w:i/>
          <w:lang w:val="en-US"/>
        </w:rPr>
        <w:t>J Affect Disord, 59</w:t>
      </w:r>
      <w:r w:rsidRPr="0033593D">
        <w:rPr>
          <w:lang w:val="en-US"/>
        </w:rPr>
        <w:t xml:space="preserve">(2), 149-157. </w:t>
      </w:r>
      <w:bookmarkEnd w:id="14"/>
    </w:p>
    <w:p w14:paraId="1141D2BC" w14:textId="77777777" w:rsidR="00AE6183" w:rsidRPr="0033593D" w:rsidRDefault="00AE6183" w:rsidP="00AE6183">
      <w:pPr>
        <w:pStyle w:val="EndNoteBibliography"/>
        <w:ind w:left="720" w:hanging="720"/>
        <w:rPr>
          <w:lang w:val="en-US"/>
        </w:rPr>
      </w:pPr>
      <w:bookmarkStart w:id="15" w:name="_ENREF_9"/>
      <w:r w:rsidRPr="0033593D">
        <w:rPr>
          <w:lang w:val="en-US"/>
        </w:rPr>
        <w:t xml:space="preserve">Macht, M., &amp; Dettmer, D. (2006). Everyday mood and emotions after eating a chocolate bar or an apple. </w:t>
      </w:r>
      <w:r w:rsidRPr="0033593D">
        <w:rPr>
          <w:i/>
          <w:lang w:val="en-US"/>
        </w:rPr>
        <w:t>Appetite, 46</w:t>
      </w:r>
      <w:r w:rsidRPr="0033593D">
        <w:rPr>
          <w:lang w:val="en-US"/>
        </w:rPr>
        <w:t>(3), 332-336. doi:10.1016/j.appet.2006.01.014</w:t>
      </w:r>
      <w:bookmarkEnd w:id="15"/>
    </w:p>
    <w:p w14:paraId="5FE62ACC" w14:textId="77777777" w:rsidR="00AE6183" w:rsidRPr="0033593D" w:rsidRDefault="00AE6183" w:rsidP="00AE6183">
      <w:pPr>
        <w:pStyle w:val="EndNoteBibliography"/>
        <w:ind w:left="720" w:hanging="720"/>
        <w:rPr>
          <w:lang w:val="en-US"/>
        </w:rPr>
      </w:pPr>
      <w:bookmarkStart w:id="16" w:name="_ENREF_10"/>
      <w:r w:rsidRPr="0033593D">
        <w:rPr>
          <w:lang w:val="en-US"/>
        </w:rPr>
        <w:t xml:space="preserve">Macht, M., &amp; Mueller, J. (2007). Immediate effects of chocolate on experimentally induced mood states. </w:t>
      </w:r>
      <w:r w:rsidRPr="0033593D">
        <w:rPr>
          <w:i/>
          <w:lang w:val="en-US"/>
        </w:rPr>
        <w:t>Appetite, 49</w:t>
      </w:r>
      <w:r w:rsidRPr="0033593D">
        <w:rPr>
          <w:lang w:val="en-US"/>
        </w:rPr>
        <w:t>(3), 667-674. doi:10.1016/j.appet.2007.05.004</w:t>
      </w:r>
      <w:bookmarkEnd w:id="16"/>
    </w:p>
    <w:p w14:paraId="02696647" w14:textId="77777777" w:rsidR="00AE6183" w:rsidRPr="0033593D" w:rsidRDefault="00AE6183" w:rsidP="00AE6183">
      <w:pPr>
        <w:pStyle w:val="EndNoteBibliography"/>
        <w:ind w:left="720" w:hanging="720"/>
        <w:rPr>
          <w:lang w:val="en-US"/>
        </w:rPr>
      </w:pPr>
      <w:bookmarkStart w:id="17" w:name="_ENREF_11"/>
      <w:r w:rsidRPr="0033593D">
        <w:rPr>
          <w:lang w:val="en-US"/>
        </w:rPr>
        <w:t xml:space="preserve">Manea, L., Gilbody, S., &amp; McMillan, D. (2012). Optimal cut-off score for diagnosing depression with the Patient Health Questionnaire (PHQ-9): a meta-analysis. </w:t>
      </w:r>
      <w:r w:rsidRPr="0033593D">
        <w:rPr>
          <w:i/>
          <w:lang w:val="en-US"/>
        </w:rPr>
        <w:t>Cmaj, 184</w:t>
      </w:r>
      <w:r w:rsidRPr="0033593D">
        <w:rPr>
          <w:lang w:val="en-US"/>
        </w:rPr>
        <w:t>(3), E191-196. doi:10.1503/cmaj.110829</w:t>
      </w:r>
      <w:bookmarkEnd w:id="17"/>
    </w:p>
    <w:p w14:paraId="738C6992" w14:textId="77777777" w:rsidR="00AE6183" w:rsidRPr="0033593D" w:rsidRDefault="00AE6183" w:rsidP="00AE6183">
      <w:pPr>
        <w:pStyle w:val="EndNoteBibliography"/>
        <w:ind w:left="720" w:hanging="720"/>
        <w:rPr>
          <w:lang w:val="en-US"/>
        </w:rPr>
      </w:pPr>
      <w:bookmarkStart w:id="18" w:name="_ENREF_12"/>
      <w:r w:rsidRPr="0033593D">
        <w:rPr>
          <w:lang w:val="en-US"/>
        </w:rPr>
        <w:lastRenderedPageBreak/>
        <w:t xml:space="preserve">Minihane, A. M., Vinoy, S., Russell, W. R., Baka, A., Roche, H. M., Tuohy, K. M., . . . Calder, P. C. (2015). Low-grade inflammation, diet composition and health: current research evidence and its translation. </w:t>
      </w:r>
      <w:r w:rsidRPr="0033593D">
        <w:rPr>
          <w:i/>
          <w:lang w:val="en-US"/>
        </w:rPr>
        <w:t>Br J Nutr, 114</w:t>
      </w:r>
      <w:r w:rsidRPr="0033593D">
        <w:rPr>
          <w:lang w:val="en-US"/>
        </w:rPr>
        <w:t>(7), 999-1012. doi:10.1017/s0007114515002093</w:t>
      </w:r>
      <w:bookmarkEnd w:id="18"/>
    </w:p>
    <w:p w14:paraId="61CBDF56" w14:textId="77777777" w:rsidR="00AE6183" w:rsidRPr="0033593D" w:rsidRDefault="00AE6183" w:rsidP="00AE6183">
      <w:pPr>
        <w:pStyle w:val="EndNoteBibliography"/>
        <w:ind w:left="720" w:hanging="720"/>
        <w:rPr>
          <w:lang w:val="en-US"/>
        </w:rPr>
      </w:pPr>
      <w:bookmarkStart w:id="19" w:name="_ENREF_13"/>
      <w:r w:rsidRPr="0033593D">
        <w:rPr>
          <w:lang w:val="en-US"/>
        </w:rPr>
        <w:t xml:space="preserve">Mitchell, A. J., Yadegarfar, M., Gill, J., &amp; Stubbs, B. (2016). Case finding and screening clinical utility of the Patient Health Questionnaire (PHQ-9 and PHQ-2) for depression in primary care: a diagnostic meta-analysis of 40 studies. </w:t>
      </w:r>
      <w:r w:rsidRPr="0033593D">
        <w:rPr>
          <w:i/>
          <w:lang w:val="en-US"/>
        </w:rPr>
        <w:t>BJPsych Open, 2</w:t>
      </w:r>
      <w:r w:rsidRPr="0033593D">
        <w:rPr>
          <w:lang w:val="en-US"/>
        </w:rPr>
        <w:t>(2), 127-138. doi:10.1192/bjpo.bp.115.001685</w:t>
      </w:r>
      <w:bookmarkEnd w:id="19"/>
    </w:p>
    <w:p w14:paraId="7133E664" w14:textId="77777777" w:rsidR="00AE6183" w:rsidRPr="0033593D" w:rsidRDefault="00AE6183" w:rsidP="00AE6183">
      <w:pPr>
        <w:pStyle w:val="EndNoteBibliography"/>
        <w:ind w:left="720" w:hanging="720"/>
        <w:rPr>
          <w:lang w:val="en-US"/>
        </w:rPr>
      </w:pPr>
      <w:bookmarkStart w:id="20" w:name="_ENREF_14"/>
      <w:r w:rsidRPr="0033593D">
        <w:rPr>
          <w:lang w:val="en-US"/>
        </w:rPr>
        <w:t xml:space="preserve">Molendijk, M., Molero, P., Ortuno Sanchez-Pedreno, F., Van der Does, W., &amp; Angel Martinez-Gonzalez, M. (2018). Diet quality and depression risk: A systematic review and dose-response meta-analysis of prospective studies. </w:t>
      </w:r>
      <w:r w:rsidRPr="0033593D">
        <w:rPr>
          <w:i/>
          <w:lang w:val="en-US"/>
        </w:rPr>
        <w:t>J Affect Disord, 226</w:t>
      </w:r>
      <w:r w:rsidRPr="0033593D">
        <w:rPr>
          <w:lang w:val="en-US"/>
        </w:rPr>
        <w:t>, 346-354. doi:10.1016/j.jad.2017.09.022</w:t>
      </w:r>
      <w:bookmarkEnd w:id="20"/>
    </w:p>
    <w:p w14:paraId="4F57CB0D" w14:textId="77777777" w:rsidR="00AE6183" w:rsidRPr="0033593D" w:rsidRDefault="00AE6183" w:rsidP="00AE6183">
      <w:pPr>
        <w:pStyle w:val="EndNoteBibliography"/>
        <w:ind w:left="720" w:hanging="720"/>
        <w:rPr>
          <w:lang w:val="en-US"/>
        </w:rPr>
      </w:pPr>
      <w:bookmarkStart w:id="21" w:name="_ENREF_15"/>
      <w:r w:rsidRPr="0033593D">
        <w:rPr>
          <w:lang w:val="en-US"/>
        </w:rPr>
        <w:t xml:space="preserve">Mursu, J., Voutilainen, S., Nurmi, T., Rissanen, T. H., Virtanen, J. K., Kaikkonen, J., . . . Salonen, J. T. (2004). Dark chocolate consumption increases HDL cholesterol concentration and chocolate fatty acids may inhibit lipid peroxidation in healthy humans. </w:t>
      </w:r>
      <w:r w:rsidRPr="0033593D">
        <w:rPr>
          <w:i/>
          <w:lang w:val="en-US"/>
        </w:rPr>
        <w:t>Free Radic Biol Med, 37</w:t>
      </w:r>
      <w:r w:rsidRPr="0033593D">
        <w:rPr>
          <w:lang w:val="en-US"/>
        </w:rPr>
        <w:t>(9), 1351-1359. doi:10.1016/j.freeradbiomed.2004.06.002</w:t>
      </w:r>
      <w:bookmarkEnd w:id="21"/>
    </w:p>
    <w:p w14:paraId="1F7A8C0A" w14:textId="2A74B70B" w:rsidR="00E56EDF" w:rsidRPr="0033593D" w:rsidRDefault="00AE6183" w:rsidP="00AE6183">
      <w:pPr>
        <w:pStyle w:val="EndNoteBibliography"/>
        <w:ind w:left="720" w:hanging="720"/>
        <w:rPr>
          <w:lang w:val="en-US"/>
        </w:rPr>
      </w:pPr>
      <w:bookmarkStart w:id="22" w:name="_ENREF_16"/>
      <w:r w:rsidRPr="0033593D">
        <w:rPr>
          <w:lang w:val="en-US"/>
        </w:rPr>
        <w:t xml:space="preserve">Mynors-Wallis, L. M., Gath, D. H., Day, A., &amp; Baker, F. (2000). Randomised controlled trial of problem solving treatment, antidepressant medication, and combined treatment for major depression in primary care. </w:t>
      </w:r>
      <w:r w:rsidRPr="0033593D">
        <w:rPr>
          <w:i/>
          <w:lang w:val="en-US"/>
        </w:rPr>
        <w:t>Bmj, 320</w:t>
      </w:r>
      <w:r w:rsidRPr="0033593D">
        <w:rPr>
          <w:lang w:val="en-US"/>
        </w:rPr>
        <w:t xml:space="preserve">(7226), 26-30. </w:t>
      </w:r>
      <w:bookmarkEnd w:id="22"/>
    </w:p>
    <w:p w14:paraId="1886780E" w14:textId="77777777" w:rsidR="00AE6183" w:rsidRPr="0033593D" w:rsidRDefault="00AE6183" w:rsidP="00AE6183">
      <w:pPr>
        <w:pStyle w:val="EndNoteBibliography"/>
        <w:ind w:left="720" w:hanging="720"/>
        <w:rPr>
          <w:lang w:val="en-US"/>
        </w:rPr>
      </w:pPr>
      <w:bookmarkStart w:id="23" w:name="_ENREF_17"/>
      <w:r w:rsidRPr="0033593D">
        <w:rPr>
          <w:lang w:val="en-US"/>
        </w:rPr>
        <w:t xml:space="preserve">Parker, G., &amp; Crawford, J. (2007). Chocolate craving when depressed: a personality marker. </w:t>
      </w:r>
      <w:r w:rsidRPr="0033593D">
        <w:rPr>
          <w:i/>
          <w:lang w:val="en-US"/>
        </w:rPr>
        <w:t>Br J Psychiatry, 191</w:t>
      </w:r>
      <w:r w:rsidRPr="0033593D">
        <w:rPr>
          <w:lang w:val="en-US"/>
        </w:rPr>
        <w:t>, 351-352. doi:10.1192/bjp.bp.106.033746</w:t>
      </w:r>
      <w:bookmarkEnd w:id="23"/>
    </w:p>
    <w:p w14:paraId="24434537" w14:textId="77777777" w:rsidR="00AE6183" w:rsidRPr="0033593D" w:rsidRDefault="00AE6183" w:rsidP="00AE6183">
      <w:pPr>
        <w:pStyle w:val="EndNoteBibliography"/>
        <w:ind w:left="720" w:hanging="720"/>
        <w:rPr>
          <w:lang w:val="en-US"/>
        </w:rPr>
      </w:pPr>
      <w:bookmarkStart w:id="24" w:name="_ENREF_18"/>
      <w:r w:rsidRPr="0033593D">
        <w:rPr>
          <w:lang w:val="en-US"/>
        </w:rPr>
        <w:t xml:space="preserve">Parker, G., Parker, I., &amp; Brotchie, H. (2006). Mood state effects of chocolate. </w:t>
      </w:r>
      <w:r w:rsidRPr="0033593D">
        <w:rPr>
          <w:i/>
          <w:lang w:val="en-US"/>
        </w:rPr>
        <w:t>J Affect Disord, 92</w:t>
      </w:r>
      <w:r w:rsidRPr="0033593D">
        <w:rPr>
          <w:lang w:val="en-US"/>
        </w:rPr>
        <w:t>(2-3), 149-159. doi:10.1016/j.jad.2006.02.007</w:t>
      </w:r>
      <w:bookmarkEnd w:id="24"/>
    </w:p>
    <w:p w14:paraId="47B23E8D" w14:textId="77777777" w:rsidR="00AE6183" w:rsidRPr="0033593D" w:rsidRDefault="00AE6183" w:rsidP="00AE6183">
      <w:pPr>
        <w:pStyle w:val="EndNoteBibliography"/>
        <w:ind w:left="720" w:hanging="720"/>
        <w:rPr>
          <w:lang w:val="en-US"/>
        </w:rPr>
      </w:pPr>
      <w:bookmarkStart w:id="25" w:name="_ENREF_19"/>
      <w:r w:rsidRPr="0033593D">
        <w:rPr>
          <w:lang w:val="en-US"/>
        </w:rPr>
        <w:t xml:space="preserve">Penninx, B. W., Milaneschi, Y., Lamers, F., &amp; Vogelzangs, N. (2013). Understanding the somatic consequences of depression: biological mechanisms and the role of depression symptom profile. </w:t>
      </w:r>
      <w:r w:rsidRPr="0033593D">
        <w:rPr>
          <w:i/>
          <w:lang w:val="en-US"/>
        </w:rPr>
        <w:t>BMC Med, 11</w:t>
      </w:r>
      <w:r w:rsidRPr="0033593D">
        <w:rPr>
          <w:lang w:val="en-US"/>
        </w:rPr>
        <w:t>, 129. doi:10.1186/1741-7015-11-129</w:t>
      </w:r>
      <w:bookmarkEnd w:id="25"/>
    </w:p>
    <w:p w14:paraId="23D2B1F9" w14:textId="77777777" w:rsidR="00AE6183" w:rsidRPr="0033593D" w:rsidRDefault="00AE6183" w:rsidP="00AE6183">
      <w:pPr>
        <w:pStyle w:val="EndNoteBibliography"/>
        <w:ind w:left="720" w:hanging="720"/>
        <w:rPr>
          <w:lang w:val="en-US"/>
        </w:rPr>
      </w:pPr>
      <w:bookmarkStart w:id="26" w:name="_ENREF_20"/>
      <w:r w:rsidRPr="0033593D">
        <w:rPr>
          <w:lang w:val="en-US"/>
        </w:rPr>
        <w:t xml:space="preserve">Rose, N., Koperski, S., &amp; Golomb, B. A. (2010). Mood food: chocolate and depressive symptoms in a cross-sectional analysis. </w:t>
      </w:r>
      <w:r w:rsidRPr="0033593D">
        <w:rPr>
          <w:i/>
          <w:lang w:val="en-US"/>
        </w:rPr>
        <w:t>Arch Intern Med, 170</w:t>
      </w:r>
      <w:r w:rsidRPr="0033593D">
        <w:rPr>
          <w:lang w:val="en-US"/>
        </w:rPr>
        <w:t>(8), 699-703. doi:10.1001/archinternmed.2010.78</w:t>
      </w:r>
      <w:bookmarkEnd w:id="26"/>
    </w:p>
    <w:p w14:paraId="5F614CA1" w14:textId="77777777" w:rsidR="00AE6183" w:rsidRPr="0033593D" w:rsidRDefault="00AE6183" w:rsidP="00AE6183">
      <w:pPr>
        <w:pStyle w:val="EndNoteBibliography"/>
        <w:ind w:left="720" w:hanging="720"/>
        <w:rPr>
          <w:lang w:val="en-US"/>
        </w:rPr>
      </w:pPr>
      <w:bookmarkStart w:id="27" w:name="_ENREF_21"/>
      <w:r w:rsidRPr="0033593D">
        <w:rPr>
          <w:lang w:val="en-US"/>
        </w:rPr>
        <w:t xml:space="preserve">Roy, T., &amp; Lloyd, C. E. (2012). Epidemiology of depression and diabetes: a systematic review. </w:t>
      </w:r>
      <w:r w:rsidRPr="0033593D">
        <w:rPr>
          <w:i/>
          <w:lang w:val="en-US"/>
        </w:rPr>
        <w:t>J Affect Disord, 142 Suppl</w:t>
      </w:r>
      <w:r w:rsidRPr="0033593D">
        <w:rPr>
          <w:lang w:val="en-US"/>
        </w:rPr>
        <w:t>, S8-21. doi:10.1016/s0165-0327(12)70004-6</w:t>
      </w:r>
      <w:bookmarkEnd w:id="27"/>
    </w:p>
    <w:p w14:paraId="57A6B140" w14:textId="77777777" w:rsidR="00AE6183" w:rsidRPr="0033593D" w:rsidRDefault="00AE6183" w:rsidP="00AE6183">
      <w:pPr>
        <w:pStyle w:val="EndNoteBibliography"/>
        <w:ind w:left="720" w:hanging="720"/>
        <w:rPr>
          <w:lang w:val="en-US"/>
        </w:rPr>
      </w:pPr>
      <w:bookmarkStart w:id="28" w:name="_ENREF_22"/>
      <w:r w:rsidRPr="0033593D">
        <w:rPr>
          <w:lang w:val="en-US"/>
        </w:rPr>
        <w:t xml:space="preserve">Sabelli, H. C., &amp; Javaid, J. I. (1995). Phenylethylamine modulation of affect: therapeutic and diagnostic implications. </w:t>
      </w:r>
      <w:r w:rsidRPr="0033593D">
        <w:rPr>
          <w:i/>
          <w:lang w:val="en-US"/>
        </w:rPr>
        <w:t>J Neuropsychiatry Clin Neurosci, 7</w:t>
      </w:r>
      <w:r w:rsidRPr="0033593D">
        <w:rPr>
          <w:lang w:val="en-US"/>
        </w:rPr>
        <w:t>(1), 6-14. doi:10.1176/jnp.7.1.6</w:t>
      </w:r>
      <w:bookmarkEnd w:id="28"/>
    </w:p>
    <w:p w14:paraId="39AABD18" w14:textId="77777777" w:rsidR="00AE6183" w:rsidRPr="0033593D" w:rsidRDefault="00AE6183" w:rsidP="00AE6183">
      <w:pPr>
        <w:pStyle w:val="EndNoteBibliography"/>
        <w:ind w:left="720" w:hanging="720"/>
        <w:rPr>
          <w:lang w:val="en-US"/>
        </w:rPr>
      </w:pPr>
      <w:bookmarkStart w:id="29" w:name="_ENREF_23"/>
      <w:r w:rsidRPr="0033593D">
        <w:rPr>
          <w:lang w:val="en-US"/>
        </w:rPr>
        <w:t xml:space="preserve">Scholey, A., &amp; Owen, L. (2013). Effects of chocolate on cognitive function and mood: a systematic review. </w:t>
      </w:r>
      <w:r w:rsidRPr="0033593D">
        <w:rPr>
          <w:i/>
          <w:lang w:val="en-US"/>
        </w:rPr>
        <w:t>Nutr Rev, 71</w:t>
      </w:r>
      <w:r w:rsidRPr="0033593D">
        <w:rPr>
          <w:lang w:val="en-US"/>
        </w:rPr>
        <w:t>(10), 665-681. doi:10.1111/nure.12065</w:t>
      </w:r>
      <w:bookmarkEnd w:id="29"/>
    </w:p>
    <w:p w14:paraId="415BCF29" w14:textId="77777777" w:rsidR="00320A6F" w:rsidRPr="0033593D" w:rsidRDefault="00320A6F" w:rsidP="00320A6F">
      <w:pPr>
        <w:pStyle w:val="EndNoteBibliography"/>
        <w:ind w:left="720" w:hanging="720"/>
        <w:rPr>
          <w:lang w:val="en-US"/>
        </w:rPr>
      </w:pPr>
      <w:bookmarkStart w:id="30" w:name="_ENREF_24"/>
      <w:r w:rsidRPr="0033593D">
        <w:rPr>
          <w:lang w:val="en-US"/>
        </w:rPr>
        <w:lastRenderedPageBreak/>
        <w:t>Schuch, F. B., Vancampfort, D., Firth, J., Rosenbaum, S., Ward, P. B., Silva, E. S., … Stubbs, B. (2018). Physical Activity and Incident Depression: A Meta-Analysis of Prospective Cohort Studies. Th</w:t>
      </w:r>
      <w:r w:rsidRPr="0033593D">
        <w:rPr>
          <w:i/>
          <w:lang w:val="en-US"/>
        </w:rPr>
        <w:t>e American Journal of Psychiatry</w:t>
      </w:r>
      <w:r w:rsidRPr="0033593D">
        <w:rPr>
          <w:lang w:val="en-US"/>
        </w:rPr>
        <w:t>, 175(7), 631–648. https://doi.org/10.1176/appi.ajp.2018.17111194</w:t>
      </w:r>
    </w:p>
    <w:p w14:paraId="0FA8E161" w14:textId="77777777" w:rsidR="00AE6183" w:rsidRPr="0033593D" w:rsidRDefault="00AE6183" w:rsidP="00AE6183">
      <w:pPr>
        <w:pStyle w:val="EndNoteBibliography"/>
        <w:ind w:left="720" w:hanging="720"/>
        <w:rPr>
          <w:lang w:val="en-US"/>
        </w:rPr>
      </w:pPr>
      <w:r w:rsidRPr="0033593D">
        <w:rPr>
          <w:lang w:val="en-US"/>
        </w:rPr>
        <w:t xml:space="preserve">Schulberg, H. C., Block, M. R., Madonia, M. J., Scott, C. P., Rodriguez, E., Imber, S. D., . . . Coulehan, J. L. (1996). Treating major depression in primary care practice. Eight-month clinical outcomes. </w:t>
      </w:r>
      <w:r w:rsidRPr="0033593D">
        <w:rPr>
          <w:i/>
          <w:lang w:val="en-US"/>
        </w:rPr>
        <w:t>Arch Gen Psychiatry, 53</w:t>
      </w:r>
      <w:r w:rsidRPr="0033593D">
        <w:rPr>
          <w:lang w:val="en-US"/>
        </w:rPr>
        <w:t xml:space="preserve">(10), 913-919. </w:t>
      </w:r>
      <w:bookmarkEnd w:id="30"/>
    </w:p>
    <w:p w14:paraId="6713A947" w14:textId="77777777" w:rsidR="00320A6F" w:rsidRPr="0033593D" w:rsidRDefault="00320A6F" w:rsidP="00320A6F">
      <w:pPr>
        <w:pStyle w:val="EndNoteBibliography"/>
        <w:ind w:left="720" w:hanging="720"/>
        <w:rPr>
          <w:lang w:val="en-US"/>
        </w:rPr>
      </w:pPr>
      <w:bookmarkStart w:id="31" w:name="_ENREF_25"/>
      <w:r w:rsidRPr="0033593D">
        <w:rPr>
          <w:lang w:val="en-US"/>
        </w:rPr>
        <w:t xml:space="preserve">Stubbs, B., Vancampfort, D., Hallgren, M., Firth, J., Veronese, N., Solmi, M., … Kahl, K. G. (2018). EPA guidance on physical activity as a treatment for severe mental illness: a meta-review of the evidence and Position Statement from the European Psychiatric Association (EPA), supported by the International Organization of Physical Therapists in Mental Health (IOPTMH). European Psychiatry: </w:t>
      </w:r>
      <w:r w:rsidRPr="0033593D">
        <w:rPr>
          <w:i/>
          <w:lang w:val="en-US"/>
        </w:rPr>
        <w:t>The Journal of the Association of European Psychiatrists</w:t>
      </w:r>
      <w:r w:rsidRPr="0033593D">
        <w:rPr>
          <w:lang w:val="en-US"/>
        </w:rPr>
        <w:t>, 54, 124–144. https://doi.org/10.1016/j.eurpsy.2018.07.004</w:t>
      </w:r>
    </w:p>
    <w:p w14:paraId="5A7A6A9A" w14:textId="77777777" w:rsidR="00AE6183" w:rsidRPr="0033593D" w:rsidRDefault="00AE6183" w:rsidP="00AE6183">
      <w:pPr>
        <w:pStyle w:val="EndNoteBibliography"/>
        <w:ind w:left="720" w:hanging="720"/>
        <w:rPr>
          <w:lang w:val="en-US"/>
        </w:rPr>
      </w:pPr>
      <w:r w:rsidRPr="0033593D">
        <w:rPr>
          <w:lang w:val="en-US"/>
        </w:rPr>
        <w:t xml:space="preserve">Teychenne, M., Ball, K., &amp; Salmon, J. (2008). Physical activity and likelihood of depression in adults: a review. </w:t>
      </w:r>
      <w:r w:rsidRPr="0033593D">
        <w:rPr>
          <w:i/>
          <w:lang w:val="en-US"/>
        </w:rPr>
        <w:t>Prev Med, 46</w:t>
      </w:r>
      <w:r w:rsidRPr="0033593D">
        <w:rPr>
          <w:lang w:val="en-US"/>
        </w:rPr>
        <w:t>(5), 397-411. doi:10.1016/j.ypmed.2008.01.009</w:t>
      </w:r>
      <w:bookmarkEnd w:id="31"/>
    </w:p>
    <w:p w14:paraId="5E11DBE2" w14:textId="77777777" w:rsidR="00AE6183" w:rsidRPr="0033593D" w:rsidRDefault="00AE6183" w:rsidP="00AE6183">
      <w:pPr>
        <w:pStyle w:val="EndNoteBibliography"/>
        <w:ind w:left="720" w:hanging="720"/>
        <w:rPr>
          <w:lang w:val="en-US"/>
        </w:rPr>
      </w:pPr>
      <w:bookmarkStart w:id="32" w:name="_ENREF_26"/>
      <w:r w:rsidRPr="0033593D">
        <w:rPr>
          <w:lang w:val="en-US"/>
        </w:rPr>
        <w:t xml:space="preserve">Tokede, O. A., Gaziano, J. M., &amp; Djousse, L. (2011). Effects of cocoa products/dark chocolate on serum lipids: a meta-analysis. </w:t>
      </w:r>
      <w:r w:rsidRPr="0033593D">
        <w:rPr>
          <w:i/>
          <w:lang w:val="en-US"/>
        </w:rPr>
        <w:t>Eur J Clin Nutr, 65</w:t>
      </w:r>
      <w:r w:rsidRPr="0033593D">
        <w:rPr>
          <w:lang w:val="en-US"/>
        </w:rPr>
        <w:t>(8), 879-886. doi:10.1038/ejcn.2011.64</w:t>
      </w:r>
      <w:bookmarkEnd w:id="32"/>
    </w:p>
    <w:p w14:paraId="5C322443" w14:textId="77777777" w:rsidR="00AE6183" w:rsidRPr="0033593D" w:rsidRDefault="00AE6183" w:rsidP="00AE6183">
      <w:pPr>
        <w:pStyle w:val="EndNoteBibliography"/>
        <w:ind w:left="720" w:hanging="720"/>
        <w:rPr>
          <w:lang w:val="en-US"/>
        </w:rPr>
      </w:pPr>
      <w:bookmarkStart w:id="33" w:name="_ENREF_27"/>
      <w:r w:rsidRPr="0033593D">
        <w:rPr>
          <w:lang w:val="en-US"/>
        </w:rPr>
        <w:t xml:space="preserve">U.S. Department of Health and Human Services. (2018). </w:t>
      </w:r>
      <w:r w:rsidRPr="0033593D">
        <w:rPr>
          <w:i/>
          <w:lang w:val="en-US"/>
        </w:rPr>
        <w:t>Physical Activity Guidelines for Americans, 2nd edition. Washington DC: U.S. Department of Health and Human Services</w:t>
      </w:r>
      <w:r w:rsidRPr="0033593D">
        <w:rPr>
          <w:lang w:val="en-US"/>
        </w:rPr>
        <w:t xml:space="preserve">. Retrieved from </w:t>
      </w:r>
      <w:bookmarkEnd w:id="33"/>
    </w:p>
    <w:p w14:paraId="26FEF88F" w14:textId="77777777" w:rsidR="00AE6183" w:rsidRPr="0033593D" w:rsidRDefault="00AE6183" w:rsidP="00AE6183">
      <w:pPr>
        <w:pStyle w:val="EndNoteBibliography"/>
        <w:ind w:left="720" w:hanging="720"/>
        <w:rPr>
          <w:lang w:val="en-US"/>
        </w:rPr>
      </w:pPr>
      <w:bookmarkStart w:id="34" w:name="_ENREF_28"/>
      <w:r w:rsidRPr="0033593D">
        <w:rPr>
          <w:lang w:val="en-US"/>
        </w:rPr>
        <w:t xml:space="preserve">Ustun, T. B., Ayuso-Mateos, J. L., Chatterji, S., Mathers, C., &amp; Murray, C. J. (2004). Global burden of depressive disorders in the year 2000. </w:t>
      </w:r>
      <w:r w:rsidRPr="0033593D">
        <w:rPr>
          <w:i/>
          <w:lang w:val="en-US"/>
        </w:rPr>
        <w:t>Br J Psychiatry, 184</w:t>
      </w:r>
      <w:r w:rsidRPr="0033593D">
        <w:rPr>
          <w:lang w:val="en-US"/>
        </w:rPr>
        <w:t xml:space="preserve">, 386-392. </w:t>
      </w:r>
      <w:bookmarkEnd w:id="34"/>
    </w:p>
    <w:p w14:paraId="4D42FF3E" w14:textId="77777777" w:rsidR="00AE6183" w:rsidRPr="0033593D" w:rsidRDefault="00AE6183" w:rsidP="00AE6183">
      <w:pPr>
        <w:pStyle w:val="EndNoteBibliography"/>
        <w:ind w:left="720" w:hanging="720"/>
        <w:rPr>
          <w:lang w:val="en-US"/>
        </w:rPr>
      </w:pPr>
      <w:bookmarkStart w:id="35" w:name="_ENREF_29"/>
      <w:r w:rsidRPr="0033593D">
        <w:rPr>
          <w:lang w:val="en-US"/>
        </w:rPr>
        <w:t xml:space="preserve">van Marwijk, H. W., Bijl, D., Ader, H. J., &amp; de Haan, M. (2001). Antidepressant prescription for depression in general practice in The Netherlands. </w:t>
      </w:r>
      <w:r w:rsidRPr="0033593D">
        <w:rPr>
          <w:i/>
          <w:lang w:val="en-US"/>
        </w:rPr>
        <w:t>Pharm World Sci, 23</w:t>
      </w:r>
      <w:r w:rsidRPr="0033593D">
        <w:rPr>
          <w:lang w:val="en-US"/>
        </w:rPr>
        <w:t xml:space="preserve">(2), 46-49. </w:t>
      </w:r>
      <w:bookmarkEnd w:id="35"/>
    </w:p>
    <w:p w14:paraId="7043FA72" w14:textId="77777777" w:rsidR="00AE6183" w:rsidRPr="0033593D" w:rsidRDefault="00AE6183" w:rsidP="00AE6183">
      <w:pPr>
        <w:pStyle w:val="EndNoteBibliography"/>
        <w:ind w:left="720" w:hanging="720"/>
        <w:rPr>
          <w:lang w:val="en-US"/>
        </w:rPr>
      </w:pPr>
      <w:bookmarkStart w:id="36" w:name="_ENREF_30"/>
      <w:r w:rsidRPr="0033593D">
        <w:rPr>
          <w:lang w:val="en-US"/>
        </w:rPr>
        <w:t xml:space="preserve">Veronese, N., Demurtas, J., Celotto, S., Caruso, M. G., Maggi, S., Bolzetta, F., . . . Stubbs, B. (2018). Is chocolate consumption associated with health outcomes? An umbrella review of systematic reviews and meta-analyses. </w:t>
      </w:r>
      <w:r w:rsidRPr="0033593D">
        <w:rPr>
          <w:i/>
          <w:lang w:val="en-US"/>
        </w:rPr>
        <w:t>Clin Nutr</w:t>
      </w:r>
      <w:r w:rsidRPr="0033593D">
        <w:rPr>
          <w:lang w:val="en-US"/>
        </w:rPr>
        <w:t>. doi:10.1016/j.clnu.2018.05.019</w:t>
      </w:r>
      <w:bookmarkEnd w:id="36"/>
    </w:p>
    <w:p w14:paraId="5267AFC4" w14:textId="77777777" w:rsidR="00AE6183" w:rsidRPr="0033593D" w:rsidRDefault="00AE6183" w:rsidP="00AE6183">
      <w:pPr>
        <w:pStyle w:val="EndNoteBibliography"/>
        <w:ind w:left="720" w:hanging="720"/>
        <w:rPr>
          <w:lang w:val="en-US"/>
        </w:rPr>
      </w:pPr>
      <w:bookmarkStart w:id="37" w:name="_ENREF_31"/>
      <w:r w:rsidRPr="0033593D">
        <w:rPr>
          <w:lang w:val="en-US"/>
        </w:rPr>
        <w:t xml:space="preserve">Vlachopoulos, C., Aznaouridis, K., Alexopoulos, N., Economou, E., Andreadou, I., &amp; Stefanadis, C. (2005). Effect of dark chocolate on arterial function in healthy individuals. </w:t>
      </w:r>
      <w:r w:rsidRPr="0033593D">
        <w:rPr>
          <w:i/>
          <w:lang w:val="en-US"/>
        </w:rPr>
        <w:t>Am J Hypertens, 18</w:t>
      </w:r>
      <w:r w:rsidRPr="0033593D">
        <w:rPr>
          <w:lang w:val="en-US"/>
        </w:rPr>
        <w:t>(6), 785-791. doi:10.1016/j.amjhyper.2004.12.008</w:t>
      </w:r>
      <w:bookmarkEnd w:id="37"/>
    </w:p>
    <w:p w14:paraId="622D2C32" w14:textId="77777777" w:rsidR="00AE6183" w:rsidRPr="0033593D" w:rsidRDefault="00AE6183" w:rsidP="00AE6183">
      <w:pPr>
        <w:pStyle w:val="EndNoteBibliography"/>
        <w:ind w:left="720" w:hanging="720"/>
        <w:rPr>
          <w:lang w:val="en-US"/>
        </w:rPr>
      </w:pPr>
      <w:bookmarkStart w:id="38" w:name="_ENREF_32"/>
      <w:r w:rsidRPr="0033593D">
        <w:rPr>
          <w:lang w:val="en-US"/>
        </w:rPr>
        <w:t xml:space="preserve">Ward, E., King, M., Lloyd, M., Bower, P., Sibbald, B., Farrelly, S., . . . Addington-Hall, J. (2000). Randomised controlled trial of non-directive counselling, cognitive-behaviour therapy, and usual general practitioner care for patients with depression. I: clinical effectiveness. </w:t>
      </w:r>
      <w:r w:rsidRPr="0033593D">
        <w:rPr>
          <w:i/>
          <w:lang w:val="en-US"/>
        </w:rPr>
        <w:t>Bmj, 321</w:t>
      </w:r>
      <w:r w:rsidRPr="0033593D">
        <w:rPr>
          <w:lang w:val="en-US"/>
        </w:rPr>
        <w:t xml:space="preserve">(7273), 1383-1388. </w:t>
      </w:r>
      <w:bookmarkEnd w:id="38"/>
    </w:p>
    <w:p w14:paraId="2C601394" w14:textId="44D3B686" w:rsidR="00AE6183" w:rsidRPr="0033593D" w:rsidRDefault="00AE6183" w:rsidP="00AE6183">
      <w:pPr>
        <w:pStyle w:val="EndNoteBibliography"/>
        <w:ind w:left="720" w:hanging="720"/>
        <w:rPr>
          <w:lang w:val="en-US"/>
        </w:rPr>
      </w:pPr>
      <w:bookmarkStart w:id="39" w:name="_ENREF_33"/>
      <w:r w:rsidRPr="0033593D">
        <w:rPr>
          <w:lang w:val="en-US"/>
        </w:rPr>
        <w:t xml:space="preserve">World Health Organization. Depression [Internet]. 2018. Available from: https://www.who.int/news-room/fact-sheets/detail/depressionDemographisches accessed March 19, 2018. </w:t>
      </w:r>
      <w:bookmarkEnd w:id="39"/>
    </w:p>
    <w:p w14:paraId="18D1BD63" w14:textId="786938B0" w:rsidR="0076143F" w:rsidRPr="0033593D" w:rsidRDefault="0076143F" w:rsidP="00314118">
      <w:pPr>
        <w:rPr>
          <w:lang w:val="en-US"/>
        </w:rPr>
      </w:pPr>
    </w:p>
    <w:p w14:paraId="209C3FF3" w14:textId="77777777" w:rsidR="005F3D2F" w:rsidRPr="0033593D" w:rsidRDefault="005F3D2F" w:rsidP="00531775">
      <w:pPr>
        <w:adjustRightInd/>
        <w:snapToGrid/>
        <w:spacing w:afterLines="0" w:after="0" w:line="240" w:lineRule="auto"/>
        <w:rPr>
          <w:bCs w:val="0"/>
          <w:lang w:val="en-US" w:eastAsia="zh-CN"/>
        </w:rPr>
        <w:sectPr w:rsidR="005F3D2F" w:rsidRPr="0033593D" w:rsidSect="005F3D2F">
          <w:footerReference w:type="even" r:id="rId8"/>
          <w:footerReference w:type="default" r:id="rId9"/>
          <w:pgSz w:w="12240" w:h="15840"/>
          <w:pgMar w:top="720" w:right="720" w:bottom="720" w:left="720" w:header="720" w:footer="720" w:gutter="0"/>
          <w:cols w:space="720"/>
          <w:docGrid w:linePitch="360"/>
        </w:sectPr>
      </w:pPr>
    </w:p>
    <w:tbl>
      <w:tblPr>
        <w:tblW w:w="11880" w:type="dxa"/>
        <w:tblInd w:w="-540" w:type="dxa"/>
        <w:tblLayout w:type="fixed"/>
        <w:tblLook w:val="04A0" w:firstRow="1" w:lastRow="0" w:firstColumn="1" w:lastColumn="0" w:noHBand="0" w:noVBand="1"/>
      </w:tblPr>
      <w:tblGrid>
        <w:gridCol w:w="4050"/>
        <w:gridCol w:w="1304"/>
        <w:gridCol w:w="1576"/>
        <w:gridCol w:w="2250"/>
        <w:gridCol w:w="1710"/>
        <w:gridCol w:w="990"/>
      </w:tblGrid>
      <w:tr w:rsidR="0033593D" w:rsidRPr="0033593D" w14:paraId="3AB4E348" w14:textId="77777777" w:rsidTr="00D60A28">
        <w:trPr>
          <w:trHeight w:val="570"/>
        </w:trPr>
        <w:tc>
          <w:tcPr>
            <w:tcW w:w="11880" w:type="dxa"/>
            <w:gridSpan w:val="6"/>
            <w:tcBorders>
              <w:top w:val="nil"/>
              <w:left w:val="nil"/>
              <w:bottom w:val="single" w:sz="4" w:space="0" w:color="auto"/>
              <w:right w:val="nil"/>
            </w:tcBorders>
            <w:shd w:val="clear" w:color="auto" w:fill="auto"/>
            <w:vAlign w:val="bottom"/>
            <w:hideMark/>
          </w:tcPr>
          <w:p w14:paraId="7F2B49A3" w14:textId="2B636EBE" w:rsidR="0076143F" w:rsidRPr="0033593D" w:rsidRDefault="0076143F" w:rsidP="00531775">
            <w:pPr>
              <w:adjustRightInd/>
              <w:snapToGrid/>
              <w:spacing w:afterLines="0" w:after="0" w:line="240" w:lineRule="auto"/>
              <w:rPr>
                <w:bCs w:val="0"/>
                <w:lang w:val="en-US" w:eastAsia="zh-CN"/>
              </w:rPr>
            </w:pPr>
            <w:r w:rsidRPr="0033593D">
              <w:rPr>
                <w:bCs w:val="0"/>
                <w:lang w:val="en-US" w:eastAsia="zh-CN"/>
              </w:rPr>
              <w:lastRenderedPageBreak/>
              <w:t xml:space="preserve">Table 1. Socio-demographic characteristics of US adults aged 20-80 Years in the NHANES (2007-2014), by chocolate consumption </w:t>
            </w:r>
            <w:proofErr w:type="spellStart"/>
            <w:r w:rsidRPr="0033593D">
              <w:rPr>
                <w:bCs w:val="0"/>
                <w:lang w:val="en-US" w:eastAsia="zh-CN"/>
              </w:rPr>
              <w:t>status</w:t>
            </w:r>
            <w:r w:rsidRPr="0033593D">
              <w:rPr>
                <w:bCs w:val="0"/>
                <w:vertAlign w:val="superscript"/>
                <w:lang w:val="en-US" w:eastAsia="zh-CN"/>
              </w:rPr>
              <w:t>a</w:t>
            </w:r>
            <w:proofErr w:type="spellEnd"/>
          </w:p>
        </w:tc>
      </w:tr>
      <w:tr w:rsidR="0033593D" w:rsidRPr="0033593D" w14:paraId="2ED9A4CC" w14:textId="77777777" w:rsidTr="00D60A28">
        <w:trPr>
          <w:trHeight w:val="70"/>
        </w:trPr>
        <w:tc>
          <w:tcPr>
            <w:tcW w:w="4050" w:type="dxa"/>
            <w:tcBorders>
              <w:top w:val="nil"/>
              <w:left w:val="nil"/>
              <w:bottom w:val="nil"/>
              <w:right w:val="nil"/>
            </w:tcBorders>
            <w:shd w:val="clear" w:color="auto" w:fill="auto"/>
            <w:noWrap/>
            <w:vAlign w:val="bottom"/>
            <w:hideMark/>
          </w:tcPr>
          <w:p w14:paraId="48801EBE" w14:textId="77777777" w:rsidR="0076143F" w:rsidRPr="0033593D" w:rsidRDefault="0076143F" w:rsidP="00531775">
            <w:pPr>
              <w:adjustRightInd/>
              <w:snapToGrid/>
              <w:spacing w:afterLines="0" w:after="0" w:line="240" w:lineRule="auto"/>
              <w:rPr>
                <w:bCs w:val="0"/>
                <w:lang w:val="en-US" w:eastAsia="zh-CN"/>
              </w:rPr>
            </w:pPr>
            <w:r w:rsidRPr="0033593D">
              <w:rPr>
                <w:bCs w:val="0"/>
                <w:lang w:val="en-US" w:eastAsia="zh-CN"/>
              </w:rPr>
              <w:t> </w:t>
            </w:r>
          </w:p>
        </w:tc>
        <w:tc>
          <w:tcPr>
            <w:tcW w:w="1304" w:type="dxa"/>
            <w:tcBorders>
              <w:top w:val="nil"/>
              <w:left w:val="nil"/>
              <w:right w:val="nil"/>
            </w:tcBorders>
            <w:shd w:val="clear" w:color="auto" w:fill="auto"/>
            <w:noWrap/>
            <w:vAlign w:val="bottom"/>
            <w:hideMark/>
          </w:tcPr>
          <w:p w14:paraId="762833D7"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 </w:t>
            </w:r>
          </w:p>
        </w:tc>
        <w:tc>
          <w:tcPr>
            <w:tcW w:w="6526" w:type="dxa"/>
            <w:gridSpan w:val="4"/>
            <w:tcBorders>
              <w:top w:val="single" w:sz="4" w:space="0" w:color="auto"/>
              <w:left w:val="nil"/>
              <w:bottom w:val="single" w:sz="4" w:space="0" w:color="auto"/>
              <w:right w:val="nil"/>
            </w:tcBorders>
            <w:shd w:val="clear" w:color="auto" w:fill="auto"/>
            <w:noWrap/>
            <w:vAlign w:val="bottom"/>
            <w:hideMark/>
          </w:tcPr>
          <w:p w14:paraId="7F59B09E"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Chocolate consumption</w:t>
            </w:r>
          </w:p>
        </w:tc>
      </w:tr>
      <w:tr w:rsidR="0033593D" w:rsidRPr="0033593D" w14:paraId="7EA3E88C" w14:textId="77777777" w:rsidTr="00D60A28">
        <w:trPr>
          <w:trHeight w:val="287"/>
        </w:trPr>
        <w:tc>
          <w:tcPr>
            <w:tcW w:w="4050" w:type="dxa"/>
            <w:tcBorders>
              <w:top w:val="nil"/>
              <w:left w:val="nil"/>
              <w:bottom w:val="nil"/>
              <w:right w:val="nil"/>
            </w:tcBorders>
            <w:shd w:val="clear" w:color="auto" w:fill="auto"/>
            <w:noWrap/>
            <w:vAlign w:val="bottom"/>
            <w:hideMark/>
          </w:tcPr>
          <w:p w14:paraId="6E93E246" w14:textId="77777777" w:rsidR="0076143F" w:rsidRPr="0033593D" w:rsidRDefault="0076143F" w:rsidP="00531775">
            <w:pPr>
              <w:adjustRightInd/>
              <w:snapToGrid/>
              <w:spacing w:afterLines="0" w:after="0" w:line="240" w:lineRule="auto"/>
              <w:jc w:val="center"/>
              <w:rPr>
                <w:bCs w:val="0"/>
                <w:lang w:val="en-US" w:eastAsia="zh-CN"/>
              </w:rPr>
            </w:pPr>
          </w:p>
        </w:tc>
        <w:tc>
          <w:tcPr>
            <w:tcW w:w="1304" w:type="dxa"/>
            <w:tcBorders>
              <w:top w:val="nil"/>
              <w:left w:val="nil"/>
              <w:bottom w:val="nil"/>
              <w:right w:val="nil"/>
            </w:tcBorders>
            <w:shd w:val="clear" w:color="auto" w:fill="auto"/>
            <w:noWrap/>
            <w:vAlign w:val="bottom"/>
            <w:hideMark/>
          </w:tcPr>
          <w:p w14:paraId="3A5C922A"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 </w:t>
            </w:r>
          </w:p>
        </w:tc>
        <w:tc>
          <w:tcPr>
            <w:tcW w:w="1576" w:type="dxa"/>
            <w:tcBorders>
              <w:top w:val="nil"/>
              <w:left w:val="nil"/>
              <w:bottom w:val="nil"/>
              <w:right w:val="nil"/>
            </w:tcBorders>
            <w:shd w:val="clear" w:color="auto" w:fill="auto"/>
            <w:vAlign w:val="bottom"/>
            <w:hideMark/>
          </w:tcPr>
          <w:p w14:paraId="0C601D1E"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None</w:t>
            </w:r>
          </w:p>
        </w:tc>
        <w:tc>
          <w:tcPr>
            <w:tcW w:w="2250" w:type="dxa"/>
            <w:tcBorders>
              <w:top w:val="nil"/>
              <w:left w:val="nil"/>
              <w:bottom w:val="nil"/>
              <w:right w:val="nil"/>
            </w:tcBorders>
            <w:shd w:val="clear" w:color="auto" w:fill="auto"/>
            <w:vAlign w:val="bottom"/>
            <w:hideMark/>
          </w:tcPr>
          <w:p w14:paraId="5E49C2CA"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Non-dark chocolate</w:t>
            </w:r>
          </w:p>
        </w:tc>
        <w:tc>
          <w:tcPr>
            <w:tcW w:w="1710" w:type="dxa"/>
            <w:tcBorders>
              <w:top w:val="nil"/>
              <w:left w:val="nil"/>
              <w:bottom w:val="nil"/>
              <w:right w:val="nil"/>
            </w:tcBorders>
            <w:shd w:val="clear" w:color="auto" w:fill="auto"/>
            <w:vAlign w:val="bottom"/>
            <w:hideMark/>
          </w:tcPr>
          <w:p w14:paraId="4EC2B6BE"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Dark chocolate</w:t>
            </w:r>
          </w:p>
        </w:tc>
        <w:tc>
          <w:tcPr>
            <w:tcW w:w="990" w:type="dxa"/>
            <w:tcBorders>
              <w:top w:val="nil"/>
              <w:left w:val="nil"/>
              <w:bottom w:val="nil"/>
              <w:right w:val="nil"/>
            </w:tcBorders>
            <w:shd w:val="clear" w:color="auto" w:fill="auto"/>
            <w:vAlign w:val="bottom"/>
            <w:hideMark/>
          </w:tcPr>
          <w:p w14:paraId="1EE97E6D"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P-value</w:t>
            </w:r>
          </w:p>
        </w:tc>
      </w:tr>
      <w:tr w:rsidR="0033593D" w:rsidRPr="0033593D" w14:paraId="27060E01" w14:textId="77777777" w:rsidTr="00D60A28">
        <w:trPr>
          <w:trHeight w:val="261"/>
        </w:trPr>
        <w:tc>
          <w:tcPr>
            <w:tcW w:w="4050" w:type="dxa"/>
            <w:tcBorders>
              <w:top w:val="nil"/>
              <w:left w:val="nil"/>
              <w:bottom w:val="nil"/>
              <w:right w:val="nil"/>
            </w:tcBorders>
            <w:shd w:val="clear" w:color="auto" w:fill="auto"/>
            <w:noWrap/>
            <w:vAlign w:val="bottom"/>
            <w:hideMark/>
          </w:tcPr>
          <w:p w14:paraId="711D319A" w14:textId="77777777" w:rsidR="0076143F" w:rsidRPr="0033593D" w:rsidRDefault="0076143F" w:rsidP="00531775">
            <w:pPr>
              <w:adjustRightInd/>
              <w:snapToGrid/>
              <w:spacing w:afterLines="0" w:after="0" w:line="240" w:lineRule="auto"/>
              <w:jc w:val="center"/>
              <w:rPr>
                <w:bCs w:val="0"/>
                <w:lang w:val="en-US" w:eastAsia="zh-CN"/>
              </w:rPr>
            </w:pPr>
          </w:p>
        </w:tc>
        <w:tc>
          <w:tcPr>
            <w:tcW w:w="1304" w:type="dxa"/>
            <w:tcBorders>
              <w:top w:val="nil"/>
              <w:left w:val="nil"/>
              <w:bottom w:val="single" w:sz="4" w:space="0" w:color="auto"/>
              <w:right w:val="nil"/>
            </w:tcBorders>
            <w:shd w:val="clear" w:color="auto" w:fill="auto"/>
            <w:noWrap/>
            <w:vAlign w:val="bottom"/>
            <w:hideMark/>
          </w:tcPr>
          <w:p w14:paraId="0804CCC5"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 </w:t>
            </w:r>
          </w:p>
        </w:tc>
        <w:tc>
          <w:tcPr>
            <w:tcW w:w="1576" w:type="dxa"/>
            <w:tcBorders>
              <w:top w:val="nil"/>
              <w:left w:val="nil"/>
              <w:bottom w:val="single" w:sz="4" w:space="0" w:color="auto"/>
              <w:right w:val="nil"/>
            </w:tcBorders>
            <w:shd w:val="clear" w:color="auto" w:fill="auto"/>
            <w:vAlign w:val="bottom"/>
            <w:hideMark/>
          </w:tcPr>
          <w:p w14:paraId="3B3063BB"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(n=12,294)</w:t>
            </w:r>
          </w:p>
        </w:tc>
        <w:tc>
          <w:tcPr>
            <w:tcW w:w="2250" w:type="dxa"/>
            <w:tcBorders>
              <w:top w:val="nil"/>
              <w:left w:val="nil"/>
              <w:bottom w:val="single" w:sz="4" w:space="0" w:color="auto"/>
              <w:right w:val="nil"/>
            </w:tcBorders>
            <w:shd w:val="clear" w:color="auto" w:fill="auto"/>
            <w:vAlign w:val="bottom"/>
            <w:hideMark/>
          </w:tcPr>
          <w:p w14:paraId="4A6EBF52"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(n=1,184)</w:t>
            </w:r>
          </w:p>
        </w:tc>
        <w:tc>
          <w:tcPr>
            <w:tcW w:w="1710" w:type="dxa"/>
            <w:tcBorders>
              <w:top w:val="nil"/>
              <w:left w:val="nil"/>
              <w:bottom w:val="single" w:sz="4" w:space="0" w:color="auto"/>
              <w:right w:val="nil"/>
            </w:tcBorders>
            <w:shd w:val="clear" w:color="auto" w:fill="auto"/>
            <w:vAlign w:val="bottom"/>
            <w:hideMark/>
          </w:tcPr>
          <w:p w14:paraId="15AE8415"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(n=148)</w:t>
            </w:r>
          </w:p>
        </w:tc>
        <w:tc>
          <w:tcPr>
            <w:tcW w:w="990" w:type="dxa"/>
            <w:tcBorders>
              <w:top w:val="nil"/>
              <w:left w:val="nil"/>
              <w:bottom w:val="single" w:sz="4" w:space="0" w:color="auto"/>
              <w:right w:val="nil"/>
            </w:tcBorders>
            <w:shd w:val="clear" w:color="auto" w:fill="auto"/>
            <w:noWrap/>
            <w:vAlign w:val="bottom"/>
            <w:hideMark/>
          </w:tcPr>
          <w:p w14:paraId="630DE48E"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 </w:t>
            </w:r>
          </w:p>
        </w:tc>
      </w:tr>
      <w:tr w:rsidR="0033593D" w:rsidRPr="0033593D" w14:paraId="3BC540DE" w14:textId="77777777" w:rsidTr="00D60A28">
        <w:trPr>
          <w:trHeight w:val="285"/>
        </w:trPr>
        <w:tc>
          <w:tcPr>
            <w:tcW w:w="4050" w:type="dxa"/>
            <w:tcBorders>
              <w:top w:val="nil"/>
              <w:left w:val="nil"/>
              <w:bottom w:val="nil"/>
              <w:right w:val="nil"/>
            </w:tcBorders>
            <w:shd w:val="clear" w:color="auto" w:fill="auto"/>
            <w:noWrap/>
            <w:vAlign w:val="bottom"/>
            <w:hideMark/>
          </w:tcPr>
          <w:p w14:paraId="2E53FDDA" w14:textId="77777777" w:rsidR="0076143F" w:rsidRPr="0033593D" w:rsidRDefault="0076143F" w:rsidP="00531775">
            <w:pPr>
              <w:adjustRightInd/>
              <w:snapToGrid/>
              <w:spacing w:afterLines="0" w:after="0" w:line="240" w:lineRule="auto"/>
              <w:rPr>
                <w:bCs w:val="0"/>
                <w:lang w:val="en-US" w:eastAsia="zh-CN"/>
              </w:rPr>
            </w:pPr>
            <w:r w:rsidRPr="0033593D">
              <w:rPr>
                <w:bCs w:val="0"/>
                <w:lang w:val="en-US" w:eastAsia="zh-CN"/>
              </w:rPr>
              <w:t>Age (years)</w:t>
            </w:r>
          </w:p>
        </w:tc>
        <w:tc>
          <w:tcPr>
            <w:tcW w:w="1304" w:type="dxa"/>
            <w:tcBorders>
              <w:top w:val="nil"/>
              <w:left w:val="nil"/>
              <w:bottom w:val="nil"/>
              <w:right w:val="nil"/>
            </w:tcBorders>
            <w:shd w:val="clear" w:color="auto" w:fill="auto"/>
            <w:noWrap/>
            <w:vAlign w:val="bottom"/>
            <w:hideMark/>
          </w:tcPr>
          <w:p w14:paraId="673E6497"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mean (se)</w:t>
            </w:r>
          </w:p>
        </w:tc>
        <w:tc>
          <w:tcPr>
            <w:tcW w:w="1576" w:type="dxa"/>
            <w:tcBorders>
              <w:top w:val="nil"/>
              <w:left w:val="nil"/>
              <w:bottom w:val="nil"/>
              <w:right w:val="nil"/>
            </w:tcBorders>
            <w:shd w:val="clear" w:color="auto" w:fill="auto"/>
            <w:noWrap/>
            <w:vAlign w:val="bottom"/>
            <w:hideMark/>
          </w:tcPr>
          <w:p w14:paraId="5FA5F13C"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46.2(0.3)</w:t>
            </w:r>
          </w:p>
        </w:tc>
        <w:tc>
          <w:tcPr>
            <w:tcW w:w="2250" w:type="dxa"/>
            <w:tcBorders>
              <w:top w:val="nil"/>
              <w:left w:val="nil"/>
              <w:bottom w:val="nil"/>
              <w:right w:val="nil"/>
            </w:tcBorders>
            <w:shd w:val="clear" w:color="auto" w:fill="auto"/>
            <w:noWrap/>
            <w:vAlign w:val="bottom"/>
            <w:hideMark/>
          </w:tcPr>
          <w:p w14:paraId="7C2478B7"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47.8 (0.5)</w:t>
            </w:r>
          </w:p>
        </w:tc>
        <w:tc>
          <w:tcPr>
            <w:tcW w:w="1710" w:type="dxa"/>
            <w:tcBorders>
              <w:top w:val="nil"/>
              <w:left w:val="nil"/>
              <w:bottom w:val="nil"/>
              <w:right w:val="nil"/>
            </w:tcBorders>
            <w:shd w:val="clear" w:color="auto" w:fill="auto"/>
            <w:noWrap/>
            <w:vAlign w:val="bottom"/>
            <w:hideMark/>
          </w:tcPr>
          <w:p w14:paraId="1E37F03B"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57.3 (1.2)</w:t>
            </w:r>
          </w:p>
        </w:tc>
        <w:tc>
          <w:tcPr>
            <w:tcW w:w="990" w:type="dxa"/>
            <w:tcBorders>
              <w:top w:val="nil"/>
              <w:left w:val="nil"/>
              <w:bottom w:val="nil"/>
              <w:right w:val="nil"/>
            </w:tcBorders>
            <w:shd w:val="clear" w:color="auto" w:fill="auto"/>
            <w:noWrap/>
            <w:vAlign w:val="bottom"/>
            <w:hideMark/>
          </w:tcPr>
          <w:p w14:paraId="6307C2B3"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&lt;0.001</w:t>
            </w:r>
          </w:p>
        </w:tc>
      </w:tr>
      <w:tr w:rsidR="0033593D" w:rsidRPr="0033593D" w14:paraId="2FE717B7" w14:textId="77777777" w:rsidTr="00D60A28">
        <w:trPr>
          <w:trHeight w:val="285"/>
        </w:trPr>
        <w:tc>
          <w:tcPr>
            <w:tcW w:w="4050" w:type="dxa"/>
            <w:tcBorders>
              <w:top w:val="nil"/>
              <w:left w:val="nil"/>
              <w:bottom w:val="nil"/>
              <w:right w:val="nil"/>
            </w:tcBorders>
            <w:shd w:val="clear" w:color="auto" w:fill="auto"/>
            <w:noWrap/>
            <w:vAlign w:val="center"/>
          </w:tcPr>
          <w:p w14:paraId="19565772" w14:textId="77777777" w:rsidR="0076143F" w:rsidRPr="0033593D" w:rsidRDefault="0076143F" w:rsidP="00531775">
            <w:pPr>
              <w:adjustRightInd/>
              <w:snapToGrid/>
              <w:spacing w:afterLines="0" w:after="0" w:line="240" w:lineRule="auto"/>
              <w:rPr>
                <w:bCs w:val="0"/>
                <w:lang w:val="en-US" w:eastAsia="zh-CN"/>
              </w:rPr>
            </w:pPr>
            <w:r w:rsidRPr="0033593D">
              <w:rPr>
                <w:bCs w:val="0"/>
                <w:lang w:val="en-US" w:eastAsia="zh-CN"/>
              </w:rPr>
              <w:t>Gender (men)</w:t>
            </w:r>
          </w:p>
        </w:tc>
        <w:tc>
          <w:tcPr>
            <w:tcW w:w="1304" w:type="dxa"/>
            <w:tcBorders>
              <w:top w:val="nil"/>
              <w:left w:val="nil"/>
              <w:bottom w:val="nil"/>
              <w:right w:val="nil"/>
            </w:tcBorders>
            <w:shd w:val="clear" w:color="auto" w:fill="auto"/>
            <w:noWrap/>
            <w:vAlign w:val="center"/>
          </w:tcPr>
          <w:p w14:paraId="20657F3E"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nil"/>
              <w:left w:val="nil"/>
              <w:bottom w:val="nil"/>
              <w:right w:val="nil"/>
            </w:tcBorders>
            <w:shd w:val="clear" w:color="auto" w:fill="auto"/>
            <w:noWrap/>
            <w:vAlign w:val="bottom"/>
          </w:tcPr>
          <w:p w14:paraId="70CF244B"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48.8</w:t>
            </w:r>
          </w:p>
        </w:tc>
        <w:tc>
          <w:tcPr>
            <w:tcW w:w="2250" w:type="dxa"/>
            <w:tcBorders>
              <w:top w:val="nil"/>
              <w:left w:val="nil"/>
              <w:bottom w:val="nil"/>
              <w:right w:val="nil"/>
            </w:tcBorders>
            <w:shd w:val="clear" w:color="auto" w:fill="auto"/>
            <w:noWrap/>
            <w:vAlign w:val="bottom"/>
          </w:tcPr>
          <w:p w14:paraId="55B048FB"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39.7</w:t>
            </w:r>
          </w:p>
        </w:tc>
        <w:tc>
          <w:tcPr>
            <w:tcW w:w="1710" w:type="dxa"/>
            <w:tcBorders>
              <w:top w:val="nil"/>
              <w:left w:val="nil"/>
              <w:bottom w:val="nil"/>
              <w:right w:val="nil"/>
            </w:tcBorders>
            <w:shd w:val="clear" w:color="auto" w:fill="auto"/>
            <w:noWrap/>
            <w:vAlign w:val="bottom"/>
          </w:tcPr>
          <w:p w14:paraId="66ECA936"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43.8</w:t>
            </w:r>
          </w:p>
        </w:tc>
        <w:tc>
          <w:tcPr>
            <w:tcW w:w="990" w:type="dxa"/>
            <w:tcBorders>
              <w:top w:val="nil"/>
              <w:left w:val="nil"/>
              <w:bottom w:val="nil"/>
              <w:right w:val="nil"/>
            </w:tcBorders>
            <w:shd w:val="clear" w:color="auto" w:fill="auto"/>
            <w:noWrap/>
            <w:vAlign w:val="bottom"/>
          </w:tcPr>
          <w:p w14:paraId="20246944" w14:textId="77777777" w:rsidR="0076143F" w:rsidRPr="0033593D" w:rsidRDefault="0076143F" w:rsidP="00531775">
            <w:pPr>
              <w:adjustRightInd/>
              <w:snapToGrid/>
              <w:spacing w:afterLines="0" w:after="0" w:line="240" w:lineRule="auto"/>
              <w:jc w:val="center"/>
              <w:rPr>
                <w:bCs w:val="0"/>
                <w:lang w:val="en-US" w:eastAsia="zh-CN"/>
              </w:rPr>
            </w:pPr>
          </w:p>
        </w:tc>
      </w:tr>
      <w:tr w:rsidR="0033593D" w:rsidRPr="0033593D" w14:paraId="58E09527" w14:textId="77777777" w:rsidTr="00D60A28">
        <w:trPr>
          <w:trHeight w:val="285"/>
        </w:trPr>
        <w:tc>
          <w:tcPr>
            <w:tcW w:w="4050" w:type="dxa"/>
            <w:tcBorders>
              <w:top w:val="nil"/>
              <w:left w:val="nil"/>
              <w:bottom w:val="nil"/>
              <w:right w:val="nil"/>
            </w:tcBorders>
            <w:shd w:val="clear" w:color="auto" w:fill="auto"/>
            <w:noWrap/>
            <w:vAlign w:val="center"/>
            <w:hideMark/>
          </w:tcPr>
          <w:p w14:paraId="4F85A24B" w14:textId="77777777" w:rsidR="0076143F" w:rsidRPr="0033593D" w:rsidRDefault="0076143F" w:rsidP="00531775">
            <w:pPr>
              <w:adjustRightInd/>
              <w:snapToGrid/>
              <w:spacing w:afterLines="0" w:after="0" w:line="240" w:lineRule="auto"/>
              <w:rPr>
                <w:bCs w:val="0"/>
                <w:lang w:val="en-US" w:eastAsia="zh-CN"/>
              </w:rPr>
            </w:pPr>
            <w:r w:rsidRPr="0033593D">
              <w:rPr>
                <w:bCs w:val="0"/>
                <w:lang w:val="en-US" w:eastAsia="zh-CN"/>
              </w:rPr>
              <w:t>Marital status (living with someone)</w:t>
            </w:r>
          </w:p>
        </w:tc>
        <w:tc>
          <w:tcPr>
            <w:tcW w:w="1304" w:type="dxa"/>
            <w:tcBorders>
              <w:top w:val="nil"/>
              <w:left w:val="nil"/>
              <w:bottom w:val="nil"/>
              <w:right w:val="nil"/>
            </w:tcBorders>
            <w:shd w:val="clear" w:color="auto" w:fill="auto"/>
            <w:noWrap/>
            <w:vAlign w:val="center"/>
            <w:hideMark/>
          </w:tcPr>
          <w:p w14:paraId="54AFF6C7"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nil"/>
              <w:left w:val="nil"/>
              <w:bottom w:val="nil"/>
              <w:right w:val="nil"/>
            </w:tcBorders>
            <w:shd w:val="clear" w:color="auto" w:fill="auto"/>
            <w:noWrap/>
            <w:vAlign w:val="bottom"/>
            <w:hideMark/>
          </w:tcPr>
          <w:p w14:paraId="7D9B20D5"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64.3</w:t>
            </w:r>
          </w:p>
        </w:tc>
        <w:tc>
          <w:tcPr>
            <w:tcW w:w="2250" w:type="dxa"/>
            <w:tcBorders>
              <w:top w:val="nil"/>
              <w:left w:val="nil"/>
              <w:bottom w:val="nil"/>
              <w:right w:val="nil"/>
            </w:tcBorders>
            <w:shd w:val="clear" w:color="auto" w:fill="auto"/>
            <w:noWrap/>
            <w:vAlign w:val="bottom"/>
            <w:hideMark/>
          </w:tcPr>
          <w:p w14:paraId="434784D6"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68.1</w:t>
            </w:r>
          </w:p>
        </w:tc>
        <w:tc>
          <w:tcPr>
            <w:tcW w:w="1710" w:type="dxa"/>
            <w:tcBorders>
              <w:top w:val="nil"/>
              <w:left w:val="nil"/>
              <w:bottom w:val="nil"/>
              <w:right w:val="nil"/>
            </w:tcBorders>
            <w:shd w:val="clear" w:color="auto" w:fill="auto"/>
            <w:noWrap/>
            <w:vAlign w:val="bottom"/>
            <w:hideMark/>
          </w:tcPr>
          <w:p w14:paraId="29BFF084"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74.0</w:t>
            </w:r>
          </w:p>
        </w:tc>
        <w:tc>
          <w:tcPr>
            <w:tcW w:w="990" w:type="dxa"/>
            <w:tcBorders>
              <w:top w:val="nil"/>
              <w:left w:val="nil"/>
              <w:bottom w:val="nil"/>
              <w:right w:val="nil"/>
            </w:tcBorders>
            <w:shd w:val="clear" w:color="auto" w:fill="auto"/>
            <w:noWrap/>
            <w:vAlign w:val="bottom"/>
            <w:hideMark/>
          </w:tcPr>
          <w:p w14:paraId="437ACB93"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&lt;0.001</w:t>
            </w:r>
          </w:p>
        </w:tc>
      </w:tr>
      <w:tr w:rsidR="0033593D" w:rsidRPr="0033593D" w14:paraId="1DC07BE0" w14:textId="77777777" w:rsidTr="00D60A28">
        <w:trPr>
          <w:trHeight w:val="285"/>
        </w:trPr>
        <w:tc>
          <w:tcPr>
            <w:tcW w:w="4050" w:type="dxa"/>
            <w:tcBorders>
              <w:top w:val="nil"/>
              <w:left w:val="nil"/>
              <w:bottom w:val="nil"/>
              <w:right w:val="nil"/>
            </w:tcBorders>
            <w:shd w:val="clear" w:color="auto" w:fill="auto"/>
            <w:noWrap/>
            <w:vAlign w:val="center"/>
            <w:hideMark/>
          </w:tcPr>
          <w:p w14:paraId="3AC6CF56" w14:textId="77777777" w:rsidR="0076143F" w:rsidRPr="0033593D" w:rsidRDefault="0076143F" w:rsidP="00531775">
            <w:pPr>
              <w:adjustRightInd/>
              <w:snapToGrid/>
              <w:spacing w:afterLines="0" w:after="0" w:line="240" w:lineRule="auto"/>
              <w:rPr>
                <w:bCs w:val="0"/>
                <w:lang w:val="en-US" w:eastAsia="zh-CN"/>
              </w:rPr>
            </w:pPr>
            <w:r w:rsidRPr="0033593D">
              <w:rPr>
                <w:bCs w:val="0"/>
                <w:lang w:val="en-US" w:eastAsia="zh-CN"/>
              </w:rPr>
              <w:t>Race</w:t>
            </w:r>
          </w:p>
        </w:tc>
        <w:tc>
          <w:tcPr>
            <w:tcW w:w="1304" w:type="dxa"/>
            <w:tcBorders>
              <w:top w:val="nil"/>
              <w:left w:val="nil"/>
              <w:bottom w:val="nil"/>
              <w:right w:val="nil"/>
            </w:tcBorders>
            <w:shd w:val="clear" w:color="auto" w:fill="auto"/>
            <w:noWrap/>
            <w:vAlign w:val="center"/>
            <w:hideMark/>
          </w:tcPr>
          <w:p w14:paraId="780CEBBB" w14:textId="77777777" w:rsidR="0076143F" w:rsidRPr="0033593D" w:rsidRDefault="0076143F" w:rsidP="00531775">
            <w:pPr>
              <w:adjustRightInd/>
              <w:snapToGrid/>
              <w:spacing w:afterLines="0" w:after="0" w:line="240" w:lineRule="auto"/>
              <w:rPr>
                <w:bCs w:val="0"/>
                <w:lang w:val="en-US" w:eastAsia="zh-CN"/>
              </w:rPr>
            </w:pPr>
          </w:p>
        </w:tc>
        <w:tc>
          <w:tcPr>
            <w:tcW w:w="1576" w:type="dxa"/>
            <w:tcBorders>
              <w:top w:val="nil"/>
              <w:left w:val="nil"/>
              <w:bottom w:val="nil"/>
              <w:right w:val="nil"/>
            </w:tcBorders>
            <w:shd w:val="clear" w:color="auto" w:fill="auto"/>
            <w:noWrap/>
            <w:vAlign w:val="bottom"/>
            <w:hideMark/>
          </w:tcPr>
          <w:p w14:paraId="22BC6ECE" w14:textId="77777777" w:rsidR="0076143F" w:rsidRPr="0033593D" w:rsidRDefault="0076143F" w:rsidP="00531775">
            <w:pPr>
              <w:adjustRightInd/>
              <w:snapToGrid/>
              <w:spacing w:afterLines="0" w:after="0" w:line="240" w:lineRule="auto"/>
              <w:jc w:val="center"/>
              <w:rPr>
                <w:rFonts w:ascii="Times New Roman" w:hAnsi="Times New Roman" w:cs="Times New Roman"/>
                <w:bCs w:val="0"/>
                <w:sz w:val="20"/>
                <w:szCs w:val="20"/>
                <w:lang w:val="en-US" w:eastAsia="zh-CN"/>
              </w:rPr>
            </w:pPr>
          </w:p>
        </w:tc>
        <w:tc>
          <w:tcPr>
            <w:tcW w:w="2250" w:type="dxa"/>
            <w:tcBorders>
              <w:top w:val="nil"/>
              <w:left w:val="nil"/>
              <w:bottom w:val="nil"/>
              <w:right w:val="nil"/>
            </w:tcBorders>
            <w:shd w:val="clear" w:color="auto" w:fill="auto"/>
            <w:noWrap/>
            <w:vAlign w:val="bottom"/>
            <w:hideMark/>
          </w:tcPr>
          <w:p w14:paraId="31F390B4" w14:textId="77777777" w:rsidR="0076143F" w:rsidRPr="0033593D" w:rsidRDefault="0076143F" w:rsidP="00531775">
            <w:pPr>
              <w:adjustRightInd/>
              <w:snapToGrid/>
              <w:spacing w:afterLines="0" w:after="0" w:line="240" w:lineRule="auto"/>
              <w:jc w:val="center"/>
              <w:rPr>
                <w:rFonts w:ascii="Times New Roman" w:hAnsi="Times New Roman" w:cs="Times New Roman"/>
                <w:bCs w:val="0"/>
                <w:sz w:val="20"/>
                <w:szCs w:val="20"/>
                <w:lang w:val="en-US" w:eastAsia="zh-CN"/>
              </w:rPr>
            </w:pPr>
          </w:p>
        </w:tc>
        <w:tc>
          <w:tcPr>
            <w:tcW w:w="1710" w:type="dxa"/>
            <w:tcBorders>
              <w:top w:val="nil"/>
              <w:left w:val="nil"/>
              <w:bottom w:val="nil"/>
              <w:right w:val="nil"/>
            </w:tcBorders>
            <w:shd w:val="clear" w:color="auto" w:fill="auto"/>
            <w:noWrap/>
            <w:vAlign w:val="bottom"/>
            <w:hideMark/>
          </w:tcPr>
          <w:p w14:paraId="6803283F" w14:textId="77777777" w:rsidR="0076143F" w:rsidRPr="0033593D" w:rsidRDefault="0076143F" w:rsidP="00531775">
            <w:pPr>
              <w:adjustRightInd/>
              <w:snapToGrid/>
              <w:spacing w:afterLines="0" w:after="0" w:line="240" w:lineRule="auto"/>
              <w:jc w:val="center"/>
              <w:rPr>
                <w:rFonts w:ascii="Times New Roman" w:hAnsi="Times New Roman" w:cs="Times New Roman"/>
                <w:bCs w:val="0"/>
                <w:sz w:val="20"/>
                <w:szCs w:val="20"/>
                <w:lang w:val="en-US" w:eastAsia="zh-CN"/>
              </w:rPr>
            </w:pPr>
          </w:p>
        </w:tc>
        <w:tc>
          <w:tcPr>
            <w:tcW w:w="990" w:type="dxa"/>
            <w:tcBorders>
              <w:top w:val="nil"/>
              <w:left w:val="nil"/>
              <w:bottom w:val="nil"/>
              <w:right w:val="nil"/>
            </w:tcBorders>
            <w:shd w:val="clear" w:color="auto" w:fill="auto"/>
            <w:noWrap/>
            <w:vAlign w:val="bottom"/>
            <w:hideMark/>
          </w:tcPr>
          <w:p w14:paraId="5C2BF770"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&lt;0.001</w:t>
            </w:r>
          </w:p>
        </w:tc>
      </w:tr>
      <w:tr w:rsidR="0033593D" w:rsidRPr="0033593D" w14:paraId="5722C313" w14:textId="77777777" w:rsidTr="00D60A28">
        <w:trPr>
          <w:trHeight w:val="285"/>
        </w:trPr>
        <w:tc>
          <w:tcPr>
            <w:tcW w:w="4050" w:type="dxa"/>
            <w:tcBorders>
              <w:top w:val="nil"/>
              <w:left w:val="nil"/>
              <w:bottom w:val="nil"/>
              <w:right w:val="nil"/>
            </w:tcBorders>
            <w:shd w:val="clear" w:color="auto" w:fill="auto"/>
            <w:noWrap/>
            <w:vAlign w:val="center"/>
            <w:hideMark/>
          </w:tcPr>
          <w:p w14:paraId="7C5D0156" w14:textId="77777777" w:rsidR="0076143F" w:rsidRPr="0033593D" w:rsidRDefault="0076143F" w:rsidP="00531775">
            <w:pPr>
              <w:adjustRightInd/>
              <w:snapToGrid/>
              <w:spacing w:afterLines="0" w:after="0" w:line="240" w:lineRule="auto"/>
              <w:ind w:firstLineChars="200" w:firstLine="440"/>
              <w:rPr>
                <w:bCs w:val="0"/>
                <w:lang w:val="en-US" w:eastAsia="zh-CN"/>
              </w:rPr>
            </w:pPr>
            <w:r w:rsidRPr="0033593D">
              <w:rPr>
                <w:bCs w:val="0"/>
                <w:lang w:val="en-US" w:eastAsia="zh-CN"/>
              </w:rPr>
              <w:t>Non-Hispanic White</w:t>
            </w:r>
          </w:p>
        </w:tc>
        <w:tc>
          <w:tcPr>
            <w:tcW w:w="1304" w:type="dxa"/>
            <w:tcBorders>
              <w:top w:val="nil"/>
              <w:left w:val="nil"/>
              <w:bottom w:val="nil"/>
              <w:right w:val="nil"/>
            </w:tcBorders>
            <w:shd w:val="clear" w:color="auto" w:fill="auto"/>
            <w:noWrap/>
            <w:vAlign w:val="center"/>
            <w:hideMark/>
          </w:tcPr>
          <w:p w14:paraId="17092C97"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nil"/>
              <w:left w:val="nil"/>
              <w:bottom w:val="nil"/>
              <w:right w:val="nil"/>
            </w:tcBorders>
            <w:shd w:val="clear" w:color="auto" w:fill="auto"/>
            <w:noWrap/>
            <w:vAlign w:val="bottom"/>
            <w:hideMark/>
          </w:tcPr>
          <w:p w14:paraId="56006982"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70.5</w:t>
            </w:r>
          </w:p>
        </w:tc>
        <w:tc>
          <w:tcPr>
            <w:tcW w:w="2250" w:type="dxa"/>
            <w:tcBorders>
              <w:top w:val="nil"/>
              <w:left w:val="nil"/>
              <w:bottom w:val="nil"/>
              <w:right w:val="nil"/>
            </w:tcBorders>
            <w:shd w:val="clear" w:color="auto" w:fill="auto"/>
            <w:noWrap/>
            <w:vAlign w:val="bottom"/>
            <w:hideMark/>
          </w:tcPr>
          <w:p w14:paraId="68DC7318"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80.2</w:t>
            </w:r>
          </w:p>
        </w:tc>
        <w:tc>
          <w:tcPr>
            <w:tcW w:w="1710" w:type="dxa"/>
            <w:tcBorders>
              <w:top w:val="nil"/>
              <w:left w:val="nil"/>
              <w:bottom w:val="nil"/>
              <w:right w:val="nil"/>
            </w:tcBorders>
            <w:shd w:val="clear" w:color="auto" w:fill="auto"/>
            <w:noWrap/>
            <w:vAlign w:val="bottom"/>
            <w:hideMark/>
          </w:tcPr>
          <w:p w14:paraId="6C385BDF"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86.7</w:t>
            </w:r>
          </w:p>
        </w:tc>
        <w:tc>
          <w:tcPr>
            <w:tcW w:w="990" w:type="dxa"/>
            <w:tcBorders>
              <w:top w:val="nil"/>
              <w:left w:val="nil"/>
              <w:bottom w:val="nil"/>
              <w:right w:val="nil"/>
            </w:tcBorders>
            <w:shd w:val="clear" w:color="auto" w:fill="auto"/>
            <w:noWrap/>
            <w:vAlign w:val="bottom"/>
            <w:hideMark/>
          </w:tcPr>
          <w:p w14:paraId="49297964" w14:textId="77777777" w:rsidR="0076143F" w:rsidRPr="0033593D" w:rsidRDefault="0076143F" w:rsidP="00531775">
            <w:pPr>
              <w:adjustRightInd/>
              <w:snapToGrid/>
              <w:spacing w:afterLines="0" w:after="0" w:line="240" w:lineRule="auto"/>
              <w:jc w:val="center"/>
              <w:rPr>
                <w:bCs w:val="0"/>
                <w:lang w:val="en-US" w:eastAsia="zh-CN"/>
              </w:rPr>
            </w:pPr>
          </w:p>
        </w:tc>
      </w:tr>
      <w:tr w:rsidR="0033593D" w:rsidRPr="0033593D" w14:paraId="1103E08E" w14:textId="77777777" w:rsidTr="00D60A28">
        <w:trPr>
          <w:trHeight w:val="285"/>
        </w:trPr>
        <w:tc>
          <w:tcPr>
            <w:tcW w:w="4050" w:type="dxa"/>
            <w:tcBorders>
              <w:top w:val="nil"/>
              <w:left w:val="nil"/>
              <w:bottom w:val="nil"/>
              <w:right w:val="nil"/>
            </w:tcBorders>
            <w:shd w:val="clear" w:color="auto" w:fill="auto"/>
            <w:noWrap/>
            <w:vAlign w:val="center"/>
            <w:hideMark/>
          </w:tcPr>
          <w:p w14:paraId="6BA29042" w14:textId="77777777" w:rsidR="0076143F" w:rsidRPr="0033593D" w:rsidRDefault="0076143F" w:rsidP="00531775">
            <w:pPr>
              <w:adjustRightInd/>
              <w:snapToGrid/>
              <w:spacing w:afterLines="0" w:after="0" w:line="240" w:lineRule="auto"/>
              <w:ind w:firstLineChars="200" w:firstLine="440"/>
              <w:rPr>
                <w:bCs w:val="0"/>
                <w:lang w:val="en-US" w:eastAsia="zh-CN"/>
              </w:rPr>
            </w:pPr>
            <w:r w:rsidRPr="0033593D">
              <w:rPr>
                <w:bCs w:val="0"/>
                <w:lang w:val="en-US" w:eastAsia="zh-CN"/>
              </w:rPr>
              <w:t>Non-Hispanic Black</w:t>
            </w:r>
          </w:p>
        </w:tc>
        <w:tc>
          <w:tcPr>
            <w:tcW w:w="1304" w:type="dxa"/>
            <w:tcBorders>
              <w:top w:val="nil"/>
              <w:left w:val="nil"/>
              <w:bottom w:val="nil"/>
              <w:right w:val="nil"/>
            </w:tcBorders>
            <w:shd w:val="clear" w:color="auto" w:fill="auto"/>
            <w:noWrap/>
            <w:vAlign w:val="center"/>
            <w:hideMark/>
          </w:tcPr>
          <w:p w14:paraId="56852471"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nil"/>
              <w:left w:val="nil"/>
              <w:bottom w:val="nil"/>
              <w:right w:val="nil"/>
            </w:tcBorders>
            <w:shd w:val="clear" w:color="auto" w:fill="auto"/>
            <w:noWrap/>
            <w:vAlign w:val="bottom"/>
            <w:hideMark/>
          </w:tcPr>
          <w:p w14:paraId="4CD3F59E"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10.6</w:t>
            </w:r>
          </w:p>
        </w:tc>
        <w:tc>
          <w:tcPr>
            <w:tcW w:w="2250" w:type="dxa"/>
            <w:tcBorders>
              <w:top w:val="nil"/>
              <w:left w:val="nil"/>
              <w:bottom w:val="nil"/>
              <w:right w:val="nil"/>
            </w:tcBorders>
            <w:shd w:val="clear" w:color="auto" w:fill="auto"/>
            <w:noWrap/>
            <w:vAlign w:val="bottom"/>
            <w:hideMark/>
          </w:tcPr>
          <w:p w14:paraId="7A827DD2"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4.4</w:t>
            </w:r>
          </w:p>
        </w:tc>
        <w:tc>
          <w:tcPr>
            <w:tcW w:w="1710" w:type="dxa"/>
            <w:tcBorders>
              <w:top w:val="nil"/>
              <w:left w:val="nil"/>
              <w:bottom w:val="nil"/>
              <w:right w:val="nil"/>
            </w:tcBorders>
            <w:shd w:val="clear" w:color="auto" w:fill="auto"/>
            <w:noWrap/>
            <w:vAlign w:val="bottom"/>
            <w:hideMark/>
          </w:tcPr>
          <w:p w14:paraId="7B21CFCE"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3.0</w:t>
            </w:r>
          </w:p>
        </w:tc>
        <w:tc>
          <w:tcPr>
            <w:tcW w:w="990" w:type="dxa"/>
            <w:tcBorders>
              <w:top w:val="nil"/>
              <w:left w:val="nil"/>
              <w:bottom w:val="nil"/>
              <w:right w:val="nil"/>
            </w:tcBorders>
            <w:shd w:val="clear" w:color="auto" w:fill="auto"/>
            <w:noWrap/>
            <w:vAlign w:val="bottom"/>
            <w:hideMark/>
          </w:tcPr>
          <w:p w14:paraId="5B2E0F0A" w14:textId="77777777" w:rsidR="0076143F" w:rsidRPr="0033593D" w:rsidRDefault="0076143F" w:rsidP="00531775">
            <w:pPr>
              <w:adjustRightInd/>
              <w:snapToGrid/>
              <w:spacing w:afterLines="0" w:after="0" w:line="240" w:lineRule="auto"/>
              <w:jc w:val="center"/>
              <w:rPr>
                <w:bCs w:val="0"/>
                <w:lang w:val="en-US" w:eastAsia="zh-CN"/>
              </w:rPr>
            </w:pPr>
          </w:p>
        </w:tc>
      </w:tr>
      <w:tr w:rsidR="0033593D" w:rsidRPr="0033593D" w14:paraId="1D4251BA" w14:textId="77777777" w:rsidTr="00D60A28">
        <w:trPr>
          <w:trHeight w:val="285"/>
        </w:trPr>
        <w:tc>
          <w:tcPr>
            <w:tcW w:w="4050" w:type="dxa"/>
            <w:tcBorders>
              <w:top w:val="nil"/>
              <w:left w:val="nil"/>
              <w:bottom w:val="nil"/>
              <w:right w:val="nil"/>
            </w:tcBorders>
            <w:shd w:val="clear" w:color="auto" w:fill="auto"/>
            <w:noWrap/>
            <w:vAlign w:val="center"/>
            <w:hideMark/>
          </w:tcPr>
          <w:p w14:paraId="5CCA6CF8" w14:textId="77777777" w:rsidR="0076143F" w:rsidRPr="0033593D" w:rsidRDefault="0076143F" w:rsidP="00531775">
            <w:pPr>
              <w:adjustRightInd/>
              <w:snapToGrid/>
              <w:spacing w:afterLines="0" w:after="0" w:line="240" w:lineRule="auto"/>
              <w:ind w:firstLineChars="200" w:firstLine="440"/>
              <w:rPr>
                <w:bCs w:val="0"/>
                <w:lang w:val="en-US" w:eastAsia="zh-CN"/>
              </w:rPr>
            </w:pPr>
            <w:r w:rsidRPr="0033593D">
              <w:rPr>
                <w:bCs w:val="0"/>
                <w:lang w:val="en-US" w:eastAsia="zh-CN"/>
              </w:rPr>
              <w:t xml:space="preserve">Hispanic </w:t>
            </w:r>
          </w:p>
        </w:tc>
        <w:tc>
          <w:tcPr>
            <w:tcW w:w="1304" w:type="dxa"/>
            <w:tcBorders>
              <w:top w:val="nil"/>
              <w:left w:val="nil"/>
              <w:bottom w:val="nil"/>
              <w:right w:val="nil"/>
            </w:tcBorders>
            <w:shd w:val="clear" w:color="auto" w:fill="auto"/>
            <w:noWrap/>
            <w:vAlign w:val="center"/>
            <w:hideMark/>
          </w:tcPr>
          <w:p w14:paraId="5CC34793"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nil"/>
              <w:left w:val="nil"/>
              <w:bottom w:val="nil"/>
              <w:right w:val="nil"/>
            </w:tcBorders>
            <w:shd w:val="clear" w:color="auto" w:fill="auto"/>
            <w:noWrap/>
            <w:vAlign w:val="bottom"/>
            <w:hideMark/>
          </w:tcPr>
          <w:p w14:paraId="4A9DB84E"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13.0</w:t>
            </w:r>
          </w:p>
        </w:tc>
        <w:tc>
          <w:tcPr>
            <w:tcW w:w="2250" w:type="dxa"/>
            <w:tcBorders>
              <w:top w:val="nil"/>
              <w:left w:val="nil"/>
              <w:bottom w:val="nil"/>
              <w:right w:val="nil"/>
            </w:tcBorders>
            <w:shd w:val="clear" w:color="auto" w:fill="auto"/>
            <w:noWrap/>
            <w:vAlign w:val="bottom"/>
            <w:hideMark/>
          </w:tcPr>
          <w:p w14:paraId="1FB46360"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9.6</w:t>
            </w:r>
          </w:p>
        </w:tc>
        <w:tc>
          <w:tcPr>
            <w:tcW w:w="1710" w:type="dxa"/>
            <w:tcBorders>
              <w:top w:val="nil"/>
              <w:left w:val="nil"/>
              <w:bottom w:val="nil"/>
              <w:right w:val="nil"/>
            </w:tcBorders>
            <w:shd w:val="clear" w:color="auto" w:fill="auto"/>
            <w:noWrap/>
            <w:vAlign w:val="bottom"/>
            <w:hideMark/>
          </w:tcPr>
          <w:p w14:paraId="665527F3"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4.8</w:t>
            </w:r>
          </w:p>
        </w:tc>
        <w:tc>
          <w:tcPr>
            <w:tcW w:w="990" w:type="dxa"/>
            <w:tcBorders>
              <w:top w:val="nil"/>
              <w:left w:val="nil"/>
              <w:bottom w:val="nil"/>
              <w:right w:val="nil"/>
            </w:tcBorders>
            <w:shd w:val="clear" w:color="auto" w:fill="auto"/>
            <w:noWrap/>
            <w:vAlign w:val="bottom"/>
            <w:hideMark/>
          </w:tcPr>
          <w:p w14:paraId="6BEA7974" w14:textId="77777777" w:rsidR="0076143F" w:rsidRPr="0033593D" w:rsidRDefault="0076143F" w:rsidP="00531775">
            <w:pPr>
              <w:adjustRightInd/>
              <w:snapToGrid/>
              <w:spacing w:afterLines="0" w:after="0" w:line="240" w:lineRule="auto"/>
              <w:jc w:val="center"/>
              <w:rPr>
                <w:bCs w:val="0"/>
                <w:lang w:val="en-US" w:eastAsia="zh-CN"/>
              </w:rPr>
            </w:pPr>
          </w:p>
        </w:tc>
      </w:tr>
      <w:tr w:rsidR="0033593D" w:rsidRPr="0033593D" w14:paraId="7FBDD663" w14:textId="77777777" w:rsidTr="00D60A28">
        <w:trPr>
          <w:trHeight w:val="285"/>
        </w:trPr>
        <w:tc>
          <w:tcPr>
            <w:tcW w:w="4050" w:type="dxa"/>
            <w:tcBorders>
              <w:top w:val="nil"/>
              <w:left w:val="nil"/>
              <w:bottom w:val="nil"/>
              <w:right w:val="nil"/>
            </w:tcBorders>
            <w:shd w:val="clear" w:color="auto" w:fill="auto"/>
            <w:noWrap/>
            <w:vAlign w:val="center"/>
            <w:hideMark/>
          </w:tcPr>
          <w:p w14:paraId="14460658" w14:textId="77777777" w:rsidR="0076143F" w:rsidRPr="0033593D" w:rsidRDefault="0076143F" w:rsidP="00531775">
            <w:pPr>
              <w:adjustRightInd/>
              <w:snapToGrid/>
              <w:spacing w:afterLines="0" w:after="0" w:line="240" w:lineRule="auto"/>
              <w:ind w:firstLineChars="200" w:firstLine="440"/>
              <w:rPr>
                <w:bCs w:val="0"/>
                <w:lang w:val="en-US" w:eastAsia="zh-CN"/>
              </w:rPr>
            </w:pPr>
            <w:r w:rsidRPr="0033593D">
              <w:rPr>
                <w:bCs w:val="0"/>
                <w:lang w:val="en-US" w:eastAsia="zh-CN"/>
              </w:rPr>
              <w:t>Other</w:t>
            </w:r>
          </w:p>
        </w:tc>
        <w:tc>
          <w:tcPr>
            <w:tcW w:w="1304" w:type="dxa"/>
            <w:tcBorders>
              <w:top w:val="nil"/>
              <w:left w:val="nil"/>
              <w:bottom w:val="nil"/>
              <w:right w:val="nil"/>
            </w:tcBorders>
            <w:shd w:val="clear" w:color="auto" w:fill="auto"/>
            <w:noWrap/>
            <w:vAlign w:val="center"/>
            <w:hideMark/>
          </w:tcPr>
          <w:p w14:paraId="5D6E132B"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nil"/>
              <w:left w:val="nil"/>
              <w:bottom w:val="nil"/>
              <w:right w:val="nil"/>
            </w:tcBorders>
            <w:shd w:val="clear" w:color="auto" w:fill="auto"/>
            <w:noWrap/>
            <w:vAlign w:val="bottom"/>
            <w:hideMark/>
          </w:tcPr>
          <w:p w14:paraId="62E2311C"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5.9</w:t>
            </w:r>
          </w:p>
        </w:tc>
        <w:tc>
          <w:tcPr>
            <w:tcW w:w="2250" w:type="dxa"/>
            <w:tcBorders>
              <w:top w:val="nil"/>
              <w:left w:val="nil"/>
              <w:bottom w:val="nil"/>
              <w:right w:val="nil"/>
            </w:tcBorders>
            <w:shd w:val="clear" w:color="auto" w:fill="auto"/>
            <w:noWrap/>
            <w:vAlign w:val="bottom"/>
            <w:hideMark/>
          </w:tcPr>
          <w:p w14:paraId="1A82ECDF"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5.8</w:t>
            </w:r>
          </w:p>
        </w:tc>
        <w:tc>
          <w:tcPr>
            <w:tcW w:w="1710" w:type="dxa"/>
            <w:tcBorders>
              <w:top w:val="nil"/>
              <w:left w:val="nil"/>
              <w:bottom w:val="nil"/>
              <w:right w:val="nil"/>
            </w:tcBorders>
            <w:shd w:val="clear" w:color="auto" w:fill="auto"/>
            <w:noWrap/>
            <w:vAlign w:val="bottom"/>
            <w:hideMark/>
          </w:tcPr>
          <w:p w14:paraId="2BC5D77E"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5.5</w:t>
            </w:r>
          </w:p>
        </w:tc>
        <w:tc>
          <w:tcPr>
            <w:tcW w:w="990" w:type="dxa"/>
            <w:tcBorders>
              <w:top w:val="nil"/>
              <w:left w:val="nil"/>
              <w:bottom w:val="nil"/>
              <w:right w:val="nil"/>
            </w:tcBorders>
            <w:shd w:val="clear" w:color="auto" w:fill="auto"/>
            <w:noWrap/>
            <w:vAlign w:val="bottom"/>
            <w:hideMark/>
          </w:tcPr>
          <w:p w14:paraId="5FE8C441" w14:textId="77777777" w:rsidR="0076143F" w:rsidRPr="0033593D" w:rsidRDefault="0076143F" w:rsidP="00531775">
            <w:pPr>
              <w:adjustRightInd/>
              <w:snapToGrid/>
              <w:spacing w:afterLines="0" w:after="0" w:line="240" w:lineRule="auto"/>
              <w:jc w:val="center"/>
              <w:rPr>
                <w:bCs w:val="0"/>
                <w:lang w:val="en-US" w:eastAsia="zh-CN"/>
              </w:rPr>
            </w:pPr>
          </w:p>
        </w:tc>
      </w:tr>
      <w:tr w:rsidR="0033593D" w:rsidRPr="0033593D" w14:paraId="2FC3BD20" w14:textId="77777777" w:rsidTr="00D60A28">
        <w:trPr>
          <w:trHeight w:val="285"/>
        </w:trPr>
        <w:tc>
          <w:tcPr>
            <w:tcW w:w="5354" w:type="dxa"/>
            <w:gridSpan w:val="2"/>
            <w:tcBorders>
              <w:top w:val="nil"/>
              <w:left w:val="nil"/>
              <w:bottom w:val="nil"/>
              <w:right w:val="nil"/>
            </w:tcBorders>
            <w:shd w:val="clear" w:color="auto" w:fill="auto"/>
            <w:noWrap/>
            <w:vAlign w:val="center"/>
            <w:hideMark/>
          </w:tcPr>
          <w:p w14:paraId="30D69FEF" w14:textId="77777777" w:rsidR="0076143F" w:rsidRPr="0033593D" w:rsidRDefault="0076143F" w:rsidP="00531775">
            <w:pPr>
              <w:adjustRightInd/>
              <w:snapToGrid/>
              <w:spacing w:afterLines="0" w:after="0" w:line="240" w:lineRule="auto"/>
              <w:rPr>
                <w:bCs w:val="0"/>
                <w:lang w:val="en-US" w:eastAsia="zh-CN"/>
              </w:rPr>
            </w:pPr>
            <w:r w:rsidRPr="0033593D">
              <w:rPr>
                <w:bCs w:val="0"/>
                <w:lang w:val="en-US" w:eastAsia="zh-CN"/>
              </w:rPr>
              <w:t>Household income</w:t>
            </w:r>
          </w:p>
        </w:tc>
        <w:tc>
          <w:tcPr>
            <w:tcW w:w="1576" w:type="dxa"/>
            <w:tcBorders>
              <w:top w:val="nil"/>
              <w:left w:val="nil"/>
              <w:bottom w:val="nil"/>
              <w:right w:val="nil"/>
            </w:tcBorders>
            <w:shd w:val="clear" w:color="auto" w:fill="auto"/>
            <w:noWrap/>
            <w:vAlign w:val="bottom"/>
            <w:hideMark/>
          </w:tcPr>
          <w:p w14:paraId="34C252FD" w14:textId="77777777" w:rsidR="0076143F" w:rsidRPr="0033593D" w:rsidRDefault="0076143F" w:rsidP="00531775">
            <w:pPr>
              <w:adjustRightInd/>
              <w:snapToGrid/>
              <w:spacing w:afterLines="0" w:after="0" w:line="240" w:lineRule="auto"/>
              <w:rPr>
                <w:bCs w:val="0"/>
                <w:lang w:val="en-US" w:eastAsia="zh-CN"/>
              </w:rPr>
            </w:pPr>
          </w:p>
        </w:tc>
        <w:tc>
          <w:tcPr>
            <w:tcW w:w="2250" w:type="dxa"/>
            <w:tcBorders>
              <w:top w:val="nil"/>
              <w:left w:val="nil"/>
              <w:bottom w:val="nil"/>
              <w:right w:val="nil"/>
            </w:tcBorders>
            <w:shd w:val="clear" w:color="auto" w:fill="auto"/>
            <w:noWrap/>
            <w:vAlign w:val="bottom"/>
            <w:hideMark/>
          </w:tcPr>
          <w:p w14:paraId="1DF69279" w14:textId="77777777" w:rsidR="0076143F" w:rsidRPr="0033593D" w:rsidRDefault="0076143F" w:rsidP="00531775">
            <w:pPr>
              <w:adjustRightInd/>
              <w:snapToGrid/>
              <w:spacing w:afterLines="0" w:after="0" w:line="240" w:lineRule="auto"/>
              <w:jc w:val="center"/>
              <w:rPr>
                <w:rFonts w:ascii="Times New Roman" w:hAnsi="Times New Roman" w:cs="Times New Roman"/>
                <w:bCs w:val="0"/>
                <w:sz w:val="20"/>
                <w:szCs w:val="20"/>
                <w:lang w:val="en-US" w:eastAsia="zh-CN"/>
              </w:rPr>
            </w:pPr>
          </w:p>
        </w:tc>
        <w:tc>
          <w:tcPr>
            <w:tcW w:w="1710" w:type="dxa"/>
            <w:tcBorders>
              <w:top w:val="nil"/>
              <w:left w:val="nil"/>
              <w:bottom w:val="nil"/>
              <w:right w:val="nil"/>
            </w:tcBorders>
            <w:shd w:val="clear" w:color="auto" w:fill="auto"/>
            <w:noWrap/>
            <w:vAlign w:val="bottom"/>
            <w:hideMark/>
          </w:tcPr>
          <w:p w14:paraId="175DE847" w14:textId="77777777" w:rsidR="0076143F" w:rsidRPr="0033593D" w:rsidRDefault="0076143F" w:rsidP="00531775">
            <w:pPr>
              <w:adjustRightInd/>
              <w:snapToGrid/>
              <w:spacing w:afterLines="0" w:after="0" w:line="240" w:lineRule="auto"/>
              <w:jc w:val="center"/>
              <w:rPr>
                <w:rFonts w:ascii="Times New Roman" w:hAnsi="Times New Roman" w:cs="Times New Roman"/>
                <w:bCs w:val="0"/>
                <w:sz w:val="20"/>
                <w:szCs w:val="20"/>
                <w:lang w:val="en-US" w:eastAsia="zh-CN"/>
              </w:rPr>
            </w:pPr>
          </w:p>
        </w:tc>
        <w:tc>
          <w:tcPr>
            <w:tcW w:w="990" w:type="dxa"/>
            <w:tcBorders>
              <w:top w:val="nil"/>
              <w:left w:val="nil"/>
              <w:bottom w:val="nil"/>
              <w:right w:val="nil"/>
            </w:tcBorders>
            <w:shd w:val="clear" w:color="auto" w:fill="auto"/>
            <w:noWrap/>
            <w:vAlign w:val="bottom"/>
            <w:hideMark/>
          </w:tcPr>
          <w:p w14:paraId="08A4A7BD"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&lt;0.001</w:t>
            </w:r>
          </w:p>
        </w:tc>
      </w:tr>
      <w:tr w:rsidR="0033593D" w:rsidRPr="0033593D" w14:paraId="337AA418" w14:textId="77777777" w:rsidTr="00D60A28">
        <w:trPr>
          <w:trHeight w:val="300"/>
        </w:trPr>
        <w:tc>
          <w:tcPr>
            <w:tcW w:w="4050" w:type="dxa"/>
            <w:tcBorders>
              <w:top w:val="nil"/>
              <w:left w:val="nil"/>
              <w:bottom w:val="nil"/>
              <w:right w:val="nil"/>
            </w:tcBorders>
            <w:shd w:val="clear" w:color="auto" w:fill="auto"/>
            <w:noWrap/>
            <w:vAlign w:val="center"/>
            <w:hideMark/>
          </w:tcPr>
          <w:p w14:paraId="033B48B3" w14:textId="77777777" w:rsidR="0076143F" w:rsidRPr="0033593D" w:rsidRDefault="0076143F" w:rsidP="00531775">
            <w:pPr>
              <w:adjustRightInd/>
              <w:snapToGrid/>
              <w:spacing w:afterLines="0" w:after="0" w:line="240" w:lineRule="auto"/>
              <w:ind w:firstLineChars="200" w:firstLine="440"/>
              <w:rPr>
                <w:bCs w:val="0"/>
                <w:lang w:val="en-US" w:eastAsia="zh-CN"/>
              </w:rPr>
            </w:pPr>
            <w:r w:rsidRPr="0033593D">
              <w:rPr>
                <w:rFonts w:ascii="Calibri" w:hAnsi="Calibri"/>
                <w:bCs w:val="0"/>
                <w:lang w:val="en-US" w:eastAsia="zh-CN"/>
              </w:rPr>
              <w:t>≤</w:t>
            </w:r>
            <w:r w:rsidRPr="0033593D">
              <w:rPr>
                <w:bCs w:val="0"/>
                <w:lang w:val="en-US" w:eastAsia="zh-CN"/>
              </w:rPr>
              <w:t xml:space="preserve"> $20000</w:t>
            </w:r>
          </w:p>
        </w:tc>
        <w:tc>
          <w:tcPr>
            <w:tcW w:w="1304" w:type="dxa"/>
            <w:tcBorders>
              <w:top w:val="nil"/>
              <w:left w:val="nil"/>
              <w:bottom w:val="nil"/>
              <w:right w:val="nil"/>
            </w:tcBorders>
            <w:shd w:val="clear" w:color="auto" w:fill="auto"/>
            <w:noWrap/>
            <w:vAlign w:val="center"/>
            <w:hideMark/>
          </w:tcPr>
          <w:p w14:paraId="1460A6DD"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nil"/>
              <w:left w:val="nil"/>
              <w:bottom w:val="nil"/>
              <w:right w:val="nil"/>
            </w:tcBorders>
            <w:shd w:val="clear" w:color="auto" w:fill="auto"/>
            <w:noWrap/>
            <w:vAlign w:val="bottom"/>
            <w:hideMark/>
          </w:tcPr>
          <w:p w14:paraId="5AEE29BA"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20.6</w:t>
            </w:r>
          </w:p>
        </w:tc>
        <w:tc>
          <w:tcPr>
            <w:tcW w:w="2250" w:type="dxa"/>
            <w:tcBorders>
              <w:top w:val="nil"/>
              <w:left w:val="nil"/>
              <w:bottom w:val="nil"/>
              <w:right w:val="nil"/>
            </w:tcBorders>
            <w:shd w:val="clear" w:color="auto" w:fill="auto"/>
            <w:noWrap/>
            <w:vAlign w:val="bottom"/>
            <w:hideMark/>
          </w:tcPr>
          <w:p w14:paraId="7DC3B350"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15.7</w:t>
            </w:r>
          </w:p>
        </w:tc>
        <w:tc>
          <w:tcPr>
            <w:tcW w:w="1710" w:type="dxa"/>
            <w:tcBorders>
              <w:top w:val="nil"/>
              <w:left w:val="nil"/>
              <w:bottom w:val="nil"/>
              <w:right w:val="nil"/>
            </w:tcBorders>
            <w:shd w:val="clear" w:color="auto" w:fill="auto"/>
            <w:noWrap/>
            <w:vAlign w:val="bottom"/>
            <w:hideMark/>
          </w:tcPr>
          <w:p w14:paraId="57C2EFBC"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11.0</w:t>
            </w:r>
          </w:p>
        </w:tc>
        <w:tc>
          <w:tcPr>
            <w:tcW w:w="990" w:type="dxa"/>
            <w:tcBorders>
              <w:top w:val="nil"/>
              <w:left w:val="nil"/>
              <w:bottom w:val="nil"/>
              <w:right w:val="nil"/>
            </w:tcBorders>
            <w:shd w:val="clear" w:color="auto" w:fill="auto"/>
            <w:noWrap/>
            <w:vAlign w:val="bottom"/>
            <w:hideMark/>
          </w:tcPr>
          <w:p w14:paraId="6C73D9E2" w14:textId="77777777" w:rsidR="0076143F" w:rsidRPr="0033593D" w:rsidRDefault="0076143F" w:rsidP="00531775">
            <w:pPr>
              <w:adjustRightInd/>
              <w:snapToGrid/>
              <w:spacing w:afterLines="0" w:after="0" w:line="240" w:lineRule="auto"/>
              <w:jc w:val="center"/>
              <w:rPr>
                <w:bCs w:val="0"/>
                <w:lang w:val="en-US" w:eastAsia="zh-CN"/>
              </w:rPr>
            </w:pPr>
          </w:p>
        </w:tc>
      </w:tr>
      <w:tr w:rsidR="0033593D" w:rsidRPr="0033593D" w14:paraId="046C03AB" w14:textId="77777777" w:rsidTr="00D60A28">
        <w:trPr>
          <w:trHeight w:val="285"/>
        </w:trPr>
        <w:tc>
          <w:tcPr>
            <w:tcW w:w="4050" w:type="dxa"/>
            <w:tcBorders>
              <w:top w:val="nil"/>
              <w:left w:val="nil"/>
              <w:bottom w:val="nil"/>
              <w:right w:val="nil"/>
            </w:tcBorders>
            <w:shd w:val="clear" w:color="auto" w:fill="auto"/>
            <w:noWrap/>
            <w:vAlign w:val="center"/>
            <w:hideMark/>
          </w:tcPr>
          <w:p w14:paraId="02F60344" w14:textId="77777777" w:rsidR="0076143F" w:rsidRPr="0033593D" w:rsidRDefault="0076143F" w:rsidP="00531775">
            <w:pPr>
              <w:adjustRightInd/>
              <w:snapToGrid/>
              <w:spacing w:afterLines="0" w:after="0" w:line="240" w:lineRule="auto"/>
              <w:ind w:firstLineChars="200" w:firstLine="440"/>
              <w:rPr>
                <w:bCs w:val="0"/>
                <w:lang w:val="en-US" w:eastAsia="zh-CN"/>
              </w:rPr>
            </w:pPr>
            <w:r w:rsidRPr="0033593D">
              <w:rPr>
                <w:bCs w:val="0"/>
                <w:lang w:val="en-US" w:eastAsia="zh-CN"/>
              </w:rPr>
              <w:t>$20000-74999</w:t>
            </w:r>
          </w:p>
        </w:tc>
        <w:tc>
          <w:tcPr>
            <w:tcW w:w="1304" w:type="dxa"/>
            <w:tcBorders>
              <w:top w:val="nil"/>
              <w:left w:val="nil"/>
              <w:bottom w:val="nil"/>
              <w:right w:val="nil"/>
            </w:tcBorders>
            <w:shd w:val="clear" w:color="auto" w:fill="auto"/>
            <w:noWrap/>
            <w:vAlign w:val="center"/>
            <w:hideMark/>
          </w:tcPr>
          <w:p w14:paraId="32E7F350"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nil"/>
              <w:left w:val="nil"/>
              <w:bottom w:val="nil"/>
              <w:right w:val="nil"/>
            </w:tcBorders>
            <w:shd w:val="clear" w:color="auto" w:fill="auto"/>
            <w:noWrap/>
            <w:vAlign w:val="bottom"/>
            <w:hideMark/>
          </w:tcPr>
          <w:p w14:paraId="076E12F8"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42.1</w:t>
            </w:r>
          </w:p>
        </w:tc>
        <w:tc>
          <w:tcPr>
            <w:tcW w:w="2250" w:type="dxa"/>
            <w:tcBorders>
              <w:top w:val="nil"/>
              <w:left w:val="nil"/>
              <w:bottom w:val="nil"/>
              <w:right w:val="nil"/>
            </w:tcBorders>
            <w:shd w:val="clear" w:color="auto" w:fill="auto"/>
            <w:noWrap/>
            <w:vAlign w:val="bottom"/>
            <w:hideMark/>
          </w:tcPr>
          <w:p w14:paraId="24DA627A"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38.7</w:t>
            </w:r>
          </w:p>
        </w:tc>
        <w:tc>
          <w:tcPr>
            <w:tcW w:w="1710" w:type="dxa"/>
            <w:tcBorders>
              <w:top w:val="nil"/>
              <w:left w:val="nil"/>
              <w:bottom w:val="nil"/>
              <w:right w:val="nil"/>
            </w:tcBorders>
            <w:shd w:val="clear" w:color="auto" w:fill="auto"/>
            <w:noWrap/>
            <w:vAlign w:val="bottom"/>
            <w:hideMark/>
          </w:tcPr>
          <w:p w14:paraId="6900A681"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34.4</w:t>
            </w:r>
          </w:p>
        </w:tc>
        <w:tc>
          <w:tcPr>
            <w:tcW w:w="990" w:type="dxa"/>
            <w:tcBorders>
              <w:top w:val="nil"/>
              <w:left w:val="nil"/>
              <w:bottom w:val="nil"/>
              <w:right w:val="nil"/>
            </w:tcBorders>
            <w:shd w:val="clear" w:color="auto" w:fill="auto"/>
            <w:noWrap/>
            <w:vAlign w:val="bottom"/>
            <w:hideMark/>
          </w:tcPr>
          <w:p w14:paraId="590087F1" w14:textId="77777777" w:rsidR="0076143F" w:rsidRPr="0033593D" w:rsidRDefault="0076143F" w:rsidP="00531775">
            <w:pPr>
              <w:adjustRightInd/>
              <w:snapToGrid/>
              <w:spacing w:afterLines="0" w:after="0" w:line="240" w:lineRule="auto"/>
              <w:jc w:val="center"/>
              <w:rPr>
                <w:bCs w:val="0"/>
                <w:lang w:val="en-US" w:eastAsia="zh-CN"/>
              </w:rPr>
            </w:pPr>
          </w:p>
        </w:tc>
      </w:tr>
      <w:tr w:rsidR="0033593D" w:rsidRPr="0033593D" w14:paraId="3D93C2CE" w14:textId="77777777" w:rsidTr="00D60A28">
        <w:trPr>
          <w:trHeight w:val="300"/>
        </w:trPr>
        <w:tc>
          <w:tcPr>
            <w:tcW w:w="4050" w:type="dxa"/>
            <w:tcBorders>
              <w:top w:val="nil"/>
              <w:left w:val="nil"/>
              <w:bottom w:val="nil"/>
              <w:right w:val="nil"/>
            </w:tcBorders>
            <w:shd w:val="clear" w:color="auto" w:fill="auto"/>
            <w:noWrap/>
            <w:vAlign w:val="center"/>
            <w:hideMark/>
          </w:tcPr>
          <w:p w14:paraId="3ED565CD" w14:textId="77777777" w:rsidR="0076143F" w:rsidRPr="0033593D" w:rsidRDefault="0076143F" w:rsidP="00531775">
            <w:pPr>
              <w:adjustRightInd/>
              <w:snapToGrid/>
              <w:spacing w:afterLines="0" w:after="0" w:line="240" w:lineRule="auto"/>
              <w:ind w:firstLineChars="200" w:firstLine="440"/>
              <w:rPr>
                <w:bCs w:val="0"/>
                <w:lang w:val="en-US" w:eastAsia="zh-CN"/>
              </w:rPr>
            </w:pPr>
            <w:r w:rsidRPr="0033593D">
              <w:rPr>
                <w:rFonts w:ascii="Calibri" w:hAnsi="Calibri"/>
                <w:bCs w:val="0"/>
                <w:lang w:val="en-US" w:eastAsia="zh-CN"/>
              </w:rPr>
              <w:t>≥</w:t>
            </w:r>
            <w:r w:rsidRPr="0033593D">
              <w:rPr>
                <w:bCs w:val="0"/>
                <w:lang w:val="en-US" w:eastAsia="zh-CN"/>
              </w:rPr>
              <w:t>$75000</w:t>
            </w:r>
          </w:p>
        </w:tc>
        <w:tc>
          <w:tcPr>
            <w:tcW w:w="1304" w:type="dxa"/>
            <w:tcBorders>
              <w:top w:val="nil"/>
              <w:left w:val="nil"/>
              <w:bottom w:val="nil"/>
              <w:right w:val="nil"/>
            </w:tcBorders>
            <w:shd w:val="clear" w:color="auto" w:fill="auto"/>
            <w:noWrap/>
            <w:vAlign w:val="center"/>
            <w:hideMark/>
          </w:tcPr>
          <w:p w14:paraId="1BAF4989"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nil"/>
              <w:left w:val="nil"/>
              <w:bottom w:val="nil"/>
              <w:right w:val="nil"/>
            </w:tcBorders>
            <w:shd w:val="clear" w:color="auto" w:fill="auto"/>
            <w:noWrap/>
            <w:vAlign w:val="bottom"/>
            <w:hideMark/>
          </w:tcPr>
          <w:p w14:paraId="2EA4BB00"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37.3</w:t>
            </w:r>
          </w:p>
        </w:tc>
        <w:tc>
          <w:tcPr>
            <w:tcW w:w="2250" w:type="dxa"/>
            <w:tcBorders>
              <w:top w:val="nil"/>
              <w:left w:val="nil"/>
              <w:bottom w:val="nil"/>
              <w:right w:val="nil"/>
            </w:tcBorders>
            <w:shd w:val="clear" w:color="auto" w:fill="auto"/>
            <w:noWrap/>
            <w:vAlign w:val="bottom"/>
            <w:hideMark/>
          </w:tcPr>
          <w:p w14:paraId="00A6CB9E"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45.6</w:t>
            </w:r>
          </w:p>
        </w:tc>
        <w:tc>
          <w:tcPr>
            <w:tcW w:w="1710" w:type="dxa"/>
            <w:tcBorders>
              <w:top w:val="nil"/>
              <w:left w:val="nil"/>
              <w:bottom w:val="nil"/>
              <w:right w:val="nil"/>
            </w:tcBorders>
            <w:shd w:val="clear" w:color="auto" w:fill="auto"/>
            <w:noWrap/>
            <w:vAlign w:val="bottom"/>
            <w:hideMark/>
          </w:tcPr>
          <w:p w14:paraId="19DE0CFF"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54.7</w:t>
            </w:r>
          </w:p>
        </w:tc>
        <w:tc>
          <w:tcPr>
            <w:tcW w:w="990" w:type="dxa"/>
            <w:tcBorders>
              <w:top w:val="nil"/>
              <w:left w:val="nil"/>
              <w:bottom w:val="nil"/>
              <w:right w:val="nil"/>
            </w:tcBorders>
            <w:shd w:val="clear" w:color="auto" w:fill="auto"/>
            <w:noWrap/>
            <w:vAlign w:val="bottom"/>
            <w:hideMark/>
          </w:tcPr>
          <w:p w14:paraId="76A546A3" w14:textId="77777777" w:rsidR="0076143F" w:rsidRPr="0033593D" w:rsidRDefault="0076143F" w:rsidP="00531775">
            <w:pPr>
              <w:adjustRightInd/>
              <w:snapToGrid/>
              <w:spacing w:afterLines="0" w:after="0" w:line="240" w:lineRule="auto"/>
              <w:jc w:val="center"/>
              <w:rPr>
                <w:bCs w:val="0"/>
                <w:lang w:val="en-US" w:eastAsia="zh-CN"/>
              </w:rPr>
            </w:pPr>
          </w:p>
        </w:tc>
      </w:tr>
      <w:tr w:rsidR="0033593D" w:rsidRPr="0033593D" w14:paraId="109A3752" w14:textId="77777777" w:rsidTr="00D60A28">
        <w:trPr>
          <w:trHeight w:val="285"/>
        </w:trPr>
        <w:tc>
          <w:tcPr>
            <w:tcW w:w="5354" w:type="dxa"/>
            <w:gridSpan w:val="2"/>
            <w:tcBorders>
              <w:top w:val="nil"/>
              <w:left w:val="nil"/>
              <w:bottom w:val="nil"/>
              <w:right w:val="nil"/>
            </w:tcBorders>
            <w:shd w:val="clear" w:color="auto" w:fill="auto"/>
            <w:noWrap/>
            <w:vAlign w:val="center"/>
            <w:hideMark/>
          </w:tcPr>
          <w:p w14:paraId="68A52423" w14:textId="77777777" w:rsidR="0076143F" w:rsidRPr="0033593D" w:rsidRDefault="0076143F" w:rsidP="00531775">
            <w:pPr>
              <w:adjustRightInd/>
              <w:snapToGrid/>
              <w:spacing w:afterLines="0" w:after="0" w:line="240" w:lineRule="auto"/>
              <w:rPr>
                <w:bCs w:val="0"/>
                <w:lang w:val="en-US" w:eastAsia="zh-CN"/>
              </w:rPr>
            </w:pPr>
            <w:r w:rsidRPr="0033593D">
              <w:rPr>
                <w:bCs w:val="0"/>
                <w:lang w:val="en-US" w:eastAsia="zh-CN"/>
              </w:rPr>
              <w:t>Education</w:t>
            </w:r>
          </w:p>
        </w:tc>
        <w:tc>
          <w:tcPr>
            <w:tcW w:w="1576" w:type="dxa"/>
            <w:tcBorders>
              <w:top w:val="nil"/>
              <w:left w:val="nil"/>
              <w:bottom w:val="nil"/>
              <w:right w:val="nil"/>
            </w:tcBorders>
            <w:shd w:val="clear" w:color="auto" w:fill="auto"/>
            <w:noWrap/>
            <w:vAlign w:val="bottom"/>
            <w:hideMark/>
          </w:tcPr>
          <w:p w14:paraId="2268419C" w14:textId="77777777" w:rsidR="0076143F" w:rsidRPr="0033593D" w:rsidRDefault="0076143F" w:rsidP="00531775">
            <w:pPr>
              <w:adjustRightInd/>
              <w:snapToGrid/>
              <w:spacing w:afterLines="0" w:after="0" w:line="240" w:lineRule="auto"/>
              <w:rPr>
                <w:bCs w:val="0"/>
                <w:lang w:val="en-US" w:eastAsia="zh-CN"/>
              </w:rPr>
            </w:pPr>
          </w:p>
        </w:tc>
        <w:tc>
          <w:tcPr>
            <w:tcW w:w="2250" w:type="dxa"/>
            <w:tcBorders>
              <w:top w:val="nil"/>
              <w:left w:val="nil"/>
              <w:bottom w:val="nil"/>
              <w:right w:val="nil"/>
            </w:tcBorders>
            <w:shd w:val="clear" w:color="auto" w:fill="auto"/>
            <w:noWrap/>
            <w:vAlign w:val="bottom"/>
            <w:hideMark/>
          </w:tcPr>
          <w:p w14:paraId="14A9D0EC" w14:textId="77777777" w:rsidR="0076143F" w:rsidRPr="0033593D" w:rsidRDefault="0076143F" w:rsidP="00531775">
            <w:pPr>
              <w:adjustRightInd/>
              <w:snapToGrid/>
              <w:spacing w:afterLines="0" w:after="0" w:line="240" w:lineRule="auto"/>
              <w:jc w:val="center"/>
              <w:rPr>
                <w:rFonts w:ascii="Times New Roman" w:hAnsi="Times New Roman" w:cs="Times New Roman"/>
                <w:bCs w:val="0"/>
                <w:sz w:val="20"/>
                <w:szCs w:val="20"/>
                <w:lang w:val="en-US" w:eastAsia="zh-CN"/>
              </w:rPr>
            </w:pPr>
          </w:p>
        </w:tc>
        <w:tc>
          <w:tcPr>
            <w:tcW w:w="1710" w:type="dxa"/>
            <w:tcBorders>
              <w:top w:val="nil"/>
              <w:left w:val="nil"/>
              <w:bottom w:val="nil"/>
              <w:right w:val="nil"/>
            </w:tcBorders>
            <w:shd w:val="clear" w:color="auto" w:fill="auto"/>
            <w:noWrap/>
            <w:vAlign w:val="bottom"/>
            <w:hideMark/>
          </w:tcPr>
          <w:p w14:paraId="51C099A4" w14:textId="77777777" w:rsidR="0076143F" w:rsidRPr="0033593D" w:rsidRDefault="0076143F" w:rsidP="00531775">
            <w:pPr>
              <w:adjustRightInd/>
              <w:snapToGrid/>
              <w:spacing w:afterLines="0" w:after="0" w:line="240" w:lineRule="auto"/>
              <w:jc w:val="center"/>
              <w:rPr>
                <w:rFonts w:ascii="Times New Roman" w:hAnsi="Times New Roman" w:cs="Times New Roman"/>
                <w:bCs w:val="0"/>
                <w:sz w:val="20"/>
                <w:szCs w:val="20"/>
                <w:lang w:val="en-US" w:eastAsia="zh-CN"/>
              </w:rPr>
            </w:pPr>
          </w:p>
        </w:tc>
        <w:tc>
          <w:tcPr>
            <w:tcW w:w="990" w:type="dxa"/>
            <w:tcBorders>
              <w:top w:val="nil"/>
              <w:left w:val="nil"/>
              <w:bottom w:val="nil"/>
              <w:right w:val="nil"/>
            </w:tcBorders>
            <w:shd w:val="clear" w:color="auto" w:fill="auto"/>
            <w:noWrap/>
            <w:vAlign w:val="bottom"/>
            <w:hideMark/>
          </w:tcPr>
          <w:p w14:paraId="64D31359"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&lt;0.001</w:t>
            </w:r>
          </w:p>
        </w:tc>
      </w:tr>
      <w:tr w:rsidR="0033593D" w:rsidRPr="0033593D" w14:paraId="2EFF7007" w14:textId="77777777" w:rsidTr="00D60A28">
        <w:trPr>
          <w:trHeight w:val="285"/>
        </w:trPr>
        <w:tc>
          <w:tcPr>
            <w:tcW w:w="4050" w:type="dxa"/>
            <w:tcBorders>
              <w:top w:val="nil"/>
              <w:left w:val="nil"/>
              <w:bottom w:val="nil"/>
              <w:right w:val="nil"/>
            </w:tcBorders>
            <w:shd w:val="clear" w:color="auto" w:fill="auto"/>
            <w:noWrap/>
            <w:vAlign w:val="center"/>
            <w:hideMark/>
          </w:tcPr>
          <w:p w14:paraId="0748ED2E" w14:textId="77777777" w:rsidR="0076143F" w:rsidRPr="0033593D" w:rsidRDefault="0076143F" w:rsidP="00531775">
            <w:pPr>
              <w:adjustRightInd/>
              <w:snapToGrid/>
              <w:spacing w:afterLines="0" w:after="0" w:line="240" w:lineRule="auto"/>
              <w:ind w:firstLineChars="200" w:firstLine="440"/>
              <w:rPr>
                <w:bCs w:val="0"/>
                <w:lang w:val="en-US" w:eastAsia="zh-CN"/>
              </w:rPr>
            </w:pPr>
            <w:r w:rsidRPr="0033593D">
              <w:rPr>
                <w:bCs w:val="0"/>
                <w:lang w:val="en-US" w:eastAsia="zh-CN"/>
              </w:rPr>
              <w:t>Less than High school</w:t>
            </w:r>
          </w:p>
        </w:tc>
        <w:tc>
          <w:tcPr>
            <w:tcW w:w="1304" w:type="dxa"/>
            <w:tcBorders>
              <w:top w:val="nil"/>
              <w:left w:val="nil"/>
              <w:bottom w:val="nil"/>
              <w:right w:val="nil"/>
            </w:tcBorders>
            <w:shd w:val="clear" w:color="auto" w:fill="auto"/>
            <w:noWrap/>
            <w:vAlign w:val="center"/>
            <w:hideMark/>
          </w:tcPr>
          <w:p w14:paraId="13BFAD85"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nil"/>
              <w:left w:val="nil"/>
              <w:bottom w:val="nil"/>
              <w:right w:val="nil"/>
            </w:tcBorders>
            <w:shd w:val="clear" w:color="auto" w:fill="auto"/>
            <w:noWrap/>
            <w:vAlign w:val="bottom"/>
            <w:hideMark/>
          </w:tcPr>
          <w:p w14:paraId="3B707672"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15.4</w:t>
            </w:r>
          </w:p>
        </w:tc>
        <w:tc>
          <w:tcPr>
            <w:tcW w:w="2250" w:type="dxa"/>
            <w:tcBorders>
              <w:top w:val="nil"/>
              <w:left w:val="nil"/>
              <w:bottom w:val="nil"/>
              <w:right w:val="nil"/>
            </w:tcBorders>
            <w:shd w:val="clear" w:color="auto" w:fill="auto"/>
            <w:noWrap/>
            <w:vAlign w:val="bottom"/>
            <w:hideMark/>
          </w:tcPr>
          <w:p w14:paraId="647CD6EB"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10.1</w:t>
            </w:r>
          </w:p>
        </w:tc>
        <w:tc>
          <w:tcPr>
            <w:tcW w:w="1710" w:type="dxa"/>
            <w:tcBorders>
              <w:top w:val="nil"/>
              <w:left w:val="nil"/>
              <w:bottom w:val="nil"/>
              <w:right w:val="nil"/>
            </w:tcBorders>
            <w:shd w:val="clear" w:color="auto" w:fill="auto"/>
            <w:noWrap/>
            <w:vAlign w:val="bottom"/>
            <w:hideMark/>
          </w:tcPr>
          <w:p w14:paraId="244DD79B"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4.1</w:t>
            </w:r>
          </w:p>
        </w:tc>
        <w:tc>
          <w:tcPr>
            <w:tcW w:w="990" w:type="dxa"/>
            <w:tcBorders>
              <w:top w:val="nil"/>
              <w:left w:val="nil"/>
              <w:bottom w:val="nil"/>
              <w:right w:val="nil"/>
            </w:tcBorders>
            <w:shd w:val="clear" w:color="auto" w:fill="auto"/>
            <w:noWrap/>
            <w:vAlign w:val="bottom"/>
            <w:hideMark/>
          </w:tcPr>
          <w:p w14:paraId="59550DCE" w14:textId="77777777" w:rsidR="0076143F" w:rsidRPr="0033593D" w:rsidRDefault="0076143F" w:rsidP="00531775">
            <w:pPr>
              <w:adjustRightInd/>
              <w:snapToGrid/>
              <w:spacing w:afterLines="0" w:after="0" w:line="240" w:lineRule="auto"/>
              <w:jc w:val="center"/>
              <w:rPr>
                <w:bCs w:val="0"/>
                <w:lang w:val="en-US" w:eastAsia="zh-CN"/>
              </w:rPr>
            </w:pPr>
          </w:p>
        </w:tc>
      </w:tr>
      <w:tr w:rsidR="0033593D" w:rsidRPr="0033593D" w14:paraId="2120075E" w14:textId="77777777" w:rsidTr="00D60A28">
        <w:trPr>
          <w:trHeight w:val="285"/>
        </w:trPr>
        <w:tc>
          <w:tcPr>
            <w:tcW w:w="4050" w:type="dxa"/>
            <w:tcBorders>
              <w:top w:val="nil"/>
              <w:left w:val="nil"/>
              <w:bottom w:val="nil"/>
              <w:right w:val="nil"/>
            </w:tcBorders>
            <w:shd w:val="clear" w:color="auto" w:fill="auto"/>
            <w:noWrap/>
            <w:vAlign w:val="center"/>
            <w:hideMark/>
          </w:tcPr>
          <w:p w14:paraId="18798E5E" w14:textId="77777777" w:rsidR="0076143F" w:rsidRPr="0033593D" w:rsidRDefault="0076143F" w:rsidP="00531775">
            <w:pPr>
              <w:adjustRightInd/>
              <w:snapToGrid/>
              <w:spacing w:afterLines="0" w:after="0" w:line="240" w:lineRule="auto"/>
              <w:ind w:firstLineChars="200" w:firstLine="440"/>
              <w:rPr>
                <w:bCs w:val="0"/>
                <w:lang w:val="en-US" w:eastAsia="zh-CN"/>
              </w:rPr>
            </w:pPr>
            <w:r w:rsidRPr="0033593D">
              <w:rPr>
                <w:bCs w:val="0"/>
                <w:lang w:val="en-US" w:eastAsia="zh-CN"/>
              </w:rPr>
              <w:t>High School</w:t>
            </w:r>
          </w:p>
        </w:tc>
        <w:tc>
          <w:tcPr>
            <w:tcW w:w="1304" w:type="dxa"/>
            <w:tcBorders>
              <w:top w:val="nil"/>
              <w:left w:val="nil"/>
              <w:bottom w:val="nil"/>
              <w:right w:val="nil"/>
            </w:tcBorders>
            <w:shd w:val="clear" w:color="auto" w:fill="auto"/>
            <w:noWrap/>
            <w:vAlign w:val="center"/>
            <w:hideMark/>
          </w:tcPr>
          <w:p w14:paraId="0A576D1D"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nil"/>
              <w:left w:val="nil"/>
              <w:bottom w:val="nil"/>
              <w:right w:val="nil"/>
            </w:tcBorders>
            <w:shd w:val="clear" w:color="auto" w:fill="auto"/>
            <w:noWrap/>
            <w:vAlign w:val="bottom"/>
            <w:hideMark/>
          </w:tcPr>
          <w:p w14:paraId="5701B784"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22.3</w:t>
            </w:r>
          </w:p>
        </w:tc>
        <w:tc>
          <w:tcPr>
            <w:tcW w:w="2250" w:type="dxa"/>
            <w:tcBorders>
              <w:top w:val="nil"/>
              <w:left w:val="nil"/>
              <w:bottom w:val="nil"/>
              <w:right w:val="nil"/>
            </w:tcBorders>
            <w:shd w:val="clear" w:color="auto" w:fill="auto"/>
            <w:noWrap/>
            <w:vAlign w:val="bottom"/>
            <w:hideMark/>
          </w:tcPr>
          <w:p w14:paraId="77EA35D1"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19.0</w:t>
            </w:r>
          </w:p>
        </w:tc>
        <w:tc>
          <w:tcPr>
            <w:tcW w:w="1710" w:type="dxa"/>
            <w:tcBorders>
              <w:top w:val="nil"/>
              <w:left w:val="nil"/>
              <w:bottom w:val="nil"/>
              <w:right w:val="nil"/>
            </w:tcBorders>
            <w:shd w:val="clear" w:color="auto" w:fill="auto"/>
            <w:noWrap/>
            <w:vAlign w:val="bottom"/>
            <w:hideMark/>
          </w:tcPr>
          <w:p w14:paraId="6F1F7E38"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15.3</w:t>
            </w:r>
          </w:p>
        </w:tc>
        <w:tc>
          <w:tcPr>
            <w:tcW w:w="990" w:type="dxa"/>
            <w:tcBorders>
              <w:top w:val="nil"/>
              <w:left w:val="nil"/>
              <w:bottom w:val="nil"/>
              <w:right w:val="nil"/>
            </w:tcBorders>
            <w:shd w:val="clear" w:color="auto" w:fill="auto"/>
            <w:noWrap/>
            <w:vAlign w:val="bottom"/>
            <w:hideMark/>
          </w:tcPr>
          <w:p w14:paraId="263A2EBE" w14:textId="77777777" w:rsidR="0076143F" w:rsidRPr="0033593D" w:rsidRDefault="0076143F" w:rsidP="00531775">
            <w:pPr>
              <w:adjustRightInd/>
              <w:snapToGrid/>
              <w:spacing w:afterLines="0" w:after="0" w:line="240" w:lineRule="auto"/>
              <w:jc w:val="center"/>
              <w:rPr>
                <w:bCs w:val="0"/>
                <w:lang w:val="en-US" w:eastAsia="zh-CN"/>
              </w:rPr>
            </w:pPr>
          </w:p>
        </w:tc>
      </w:tr>
      <w:tr w:rsidR="0033593D" w:rsidRPr="0033593D" w14:paraId="58DA01F6" w14:textId="77777777" w:rsidTr="00D60A28">
        <w:trPr>
          <w:trHeight w:val="285"/>
        </w:trPr>
        <w:tc>
          <w:tcPr>
            <w:tcW w:w="4050" w:type="dxa"/>
            <w:tcBorders>
              <w:top w:val="nil"/>
              <w:left w:val="nil"/>
              <w:bottom w:val="nil"/>
              <w:right w:val="nil"/>
            </w:tcBorders>
            <w:shd w:val="clear" w:color="auto" w:fill="auto"/>
            <w:noWrap/>
            <w:vAlign w:val="center"/>
            <w:hideMark/>
          </w:tcPr>
          <w:p w14:paraId="64C75A8B" w14:textId="77777777" w:rsidR="0076143F" w:rsidRPr="0033593D" w:rsidRDefault="0076143F" w:rsidP="00531775">
            <w:pPr>
              <w:adjustRightInd/>
              <w:snapToGrid/>
              <w:spacing w:afterLines="0" w:after="0" w:line="240" w:lineRule="auto"/>
              <w:ind w:firstLineChars="200" w:firstLine="440"/>
              <w:rPr>
                <w:bCs w:val="0"/>
                <w:lang w:val="en-US" w:eastAsia="zh-CN"/>
              </w:rPr>
            </w:pPr>
            <w:r w:rsidRPr="0033593D">
              <w:rPr>
                <w:bCs w:val="0"/>
                <w:lang w:val="en-US" w:eastAsia="zh-CN"/>
              </w:rPr>
              <w:t>Some college and above</w:t>
            </w:r>
          </w:p>
        </w:tc>
        <w:tc>
          <w:tcPr>
            <w:tcW w:w="1304" w:type="dxa"/>
            <w:tcBorders>
              <w:top w:val="nil"/>
              <w:left w:val="nil"/>
              <w:bottom w:val="nil"/>
              <w:right w:val="nil"/>
            </w:tcBorders>
            <w:shd w:val="clear" w:color="auto" w:fill="auto"/>
            <w:noWrap/>
            <w:vAlign w:val="center"/>
            <w:hideMark/>
          </w:tcPr>
          <w:p w14:paraId="4EE96594"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nil"/>
              <w:left w:val="nil"/>
              <w:bottom w:val="nil"/>
              <w:right w:val="nil"/>
            </w:tcBorders>
            <w:shd w:val="clear" w:color="auto" w:fill="auto"/>
            <w:noWrap/>
            <w:vAlign w:val="bottom"/>
            <w:hideMark/>
          </w:tcPr>
          <w:p w14:paraId="6AEACBDC"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62.4</w:t>
            </w:r>
          </w:p>
        </w:tc>
        <w:tc>
          <w:tcPr>
            <w:tcW w:w="2250" w:type="dxa"/>
            <w:tcBorders>
              <w:top w:val="nil"/>
              <w:left w:val="nil"/>
              <w:bottom w:val="nil"/>
              <w:right w:val="nil"/>
            </w:tcBorders>
            <w:shd w:val="clear" w:color="auto" w:fill="auto"/>
            <w:noWrap/>
            <w:vAlign w:val="bottom"/>
            <w:hideMark/>
          </w:tcPr>
          <w:p w14:paraId="4C9BA2BE"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70.9</w:t>
            </w:r>
          </w:p>
        </w:tc>
        <w:tc>
          <w:tcPr>
            <w:tcW w:w="1710" w:type="dxa"/>
            <w:tcBorders>
              <w:top w:val="nil"/>
              <w:left w:val="nil"/>
              <w:bottom w:val="nil"/>
              <w:right w:val="nil"/>
            </w:tcBorders>
            <w:shd w:val="clear" w:color="auto" w:fill="auto"/>
            <w:noWrap/>
            <w:vAlign w:val="bottom"/>
            <w:hideMark/>
          </w:tcPr>
          <w:p w14:paraId="09BF3B8D"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80.6</w:t>
            </w:r>
          </w:p>
        </w:tc>
        <w:tc>
          <w:tcPr>
            <w:tcW w:w="990" w:type="dxa"/>
            <w:tcBorders>
              <w:top w:val="nil"/>
              <w:left w:val="nil"/>
              <w:bottom w:val="nil"/>
              <w:right w:val="nil"/>
            </w:tcBorders>
            <w:shd w:val="clear" w:color="auto" w:fill="auto"/>
            <w:noWrap/>
            <w:vAlign w:val="bottom"/>
            <w:hideMark/>
          </w:tcPr>
          <w:p w14:paraId="085C529D" w14:textId="77777777" w:rsidR="0076143F" w:rsidRPr="0033593D" w:rsidRDefault="0076143F" w:rsidP="00531775">
            <w:pPr>
              <w:adjustRightInd/>
              <w:snapToGrid/>
              <w:spacing w:afterLines="0" w:after="0" w:line="240" w:lineRule="auto"/>
              <w:jc w:val="center"/>
              <w:rPr>
                <w:bCs w:val="0"/>
                <w:lang w:val="en-US" w:eastAsia="zh-CN"/>
              </w:rPr>
            </w:pPr>
          </w:p>
        </w:tc>
      </w:tr>
      <w:tr w:rsidR="0033593D" w:rsidRPr="0033593D" w14:paraId="2FA201D8" w14:textId="77777777" w:rsidTr="00D60A28">
        <w:trPr>
          <w:trHeight w:val="285"/>
        </w:trPr>
        <w:tc>
          <w:tcPr>
            <w:tcW w:w="4050" w:type="dxa"/>
            <w:tcBorders>
              <w:top w:val="nil"/>
              <w:left w:val="nil"/>
              <w:bottom w:val="nil"/>
              <w:right w:val="nil"/>
            </w:tcBorders>
            <w:shd w:val="clear" w:color="auto" w:fill="auto"/>
            <w:noWrap/>
            <w:vAlign w:val="center"/>
            <w:hideMark/>
          </w:tcPr>
          <w:p w14:paraId="3E8A2BA9" w14:textId="77777777" w:rsidR="0076143F" w:rsidRPr="0033593D" w:rsidRDefault="0076143F" w:rsidP="00531775">
            <w:pPr>
              <w:adjustRightInd/>
              <w:snapToGrid/>
              <w:spacing w:afterLines="0" w:after="0" w:line="240" w:lineRule="auto"/>
              <w:rPr>
                <w:bCs w:val="0"/>
                <w:lang w:val="en-US" w:eastAsia="zh-CN"/>
              </w:rPr>
            </w:pPr>
            <w:r w:rsidRPr="0033593D">
              <w:rPr>
                <w:bCs w:val="0"/>
                <w:lang w:val="en-US" w:eastAsia="zh-CN"/>
              </w:rPr>
              <w:t>Smoking</w:t>
            </w:r>
          </w:p>
        </w:tc>
        <w:tc>
          <w:tcPr>
            <w:tcW w:w="1304" w:type="dxa"/>
            <w:tcBorders>
              <w:top w:val="nil"/>
              <w:left w:val="nil"/>
              <w:bottom w:val="nil"/>
              <w:right w:val="nil"/>
            </w:tcBorders>
            <w:shd w:val="clear" w:color="auto" w:fill="auto"/>
            <w:noWrap/>
            <w:vAlign w:val="center"/>
            <w:hideMark/>
          </w:tcPr>
          <w:p w14:paraId="55B9BE72" w14:textId="77777777" w:rsidR="0076143F" w:rsidRPr="0033593D" w:rsidRDefault="0076143F" w:rsidP="00531775">
            <w:pPr>
              <w:adjustRightInd/>
              <w:snapToGrid/>
              <w:spacing w:afterLines="0" w:after="0" w:line="240" w:lineRule="auto"/>
              <w:rPr>
                <w:bCs w:val="0"/>
                <w:lang w:val="en-US" w:eastAsia="zh-CN"/>
              </w:rPr>
            </w:pPr>
          </w:p>
        </w:tc>
        <w:tc>
          <w:tcPr>
            <w:tcW w:w="1576" w:type="dxa"/>
            <w:tcBorders>
              <w:top w:val="nil"/>
              <w:left w:val="nil"/>
              <w:bottom w:val="nil"/>
              <w:right w:val="nil"/>
            </w:tcBorders>
            <w:shd w:val="clear" w:color="auto" w:fill="auto"/>
            <w:noWrap/>
            <w:vAlign w:val="bottom"/>
            <w:hideMark/>
          </w:tcPr>
          <w:p w14:paraId="51CC0344" w14:textId="77777777" w:rsidR="0076143F" w:rsidRPr="0033593D" w:rsidRDefault="0076143F" w:rsidP="00531775">
            <w:pPr>
              <w:adjustRightInd/>
              <w:snapToGrid/>
              <w:spacing w:afterLines="0" w:after="0" w:line="240" w:lineRule="auto"/>
              <w:jc w:val="center"/>
              <w:rPr>
                <w:rFonts w:ascii="Times New Roman" w:hAnsi="Times New Roman" w:cs="Times New Roman"/>
                <w:bCs w:val="0"/>
                <w:sz w:val="20"/>
                <w:szCs w:val="20"/>
                <w:lang w:val="en-US" w:eastAsia="zh-CN"/>
              </w:rPr>
            </w:pPr>
          </w:p>
        </w:tc>
        <w:tc>
          <w:tcPr>
            <w:tcW w:w="2250" w:type="dxa"/>
            <w:tcBorders>
              <w:top w:val="nil"/>
              <w:left w:val="nil"/>
              <w:bottom w:val="nil"/>
              <w:right w:val="nil"/>
            </w:tcBorders>
            <w:shd w:val="clear" w:color="auto" w:fill="auto"/>
            <w:noWrap/>
            <w:vAlign w:val="bottom"/>
            <w:hideMark/>
          </w:tcPr>
          <w:p w14:paraId="1AA6181B" w14:textId="77777777" w:rsidR="0076143F" w:rsidRPr="0033593D" w:rsidRDefault="0076143F" w:rsidP="00531775">
            <w:pPr>
              <w:adjustRightInd/>
              <w:snapToGrid/>
              <w:spacing w:afterLines="0" w:after="0" w:line="240" w:lineRule="auto"/>
              <w:jc w:val="center"/>
              <w:rPr>
                <w:rFonts w:ascii="Times New Roman" w:hAnsi="Times New Roman" w:cs="Times New Roman"/>
                <w:bCs w:val="0"/>
                <w:sz w:val="20"/>
                <w:szCs w:val="20"/>
                <w:lang w:val="en-US" w:eastAsia="zh-CN"/>
              </w:rPr>
            </w:pPr>
          </w:p>
        </w:tc>
        <w:tc>
          <w:tcPr>
            <w:tcW w:w="1710" w:type="dxa"/>
            <w:tcBorders>
              <w:top w:val="nil"/>
              <w:left w:val="nil"/>
              <w:bottom w:val="nil"/>
              <w:right w:val="nil"/>
            </w:tcBorders>
            <w:shd w:val="clear" w:color="auto" w:fill="auto"/>
            <w:noWrap/>
            <w:vAlign w:val="bottom"/>
            <w:hideMark/>
          </w:tcPr>
          <w:p w14:paraId="70F77376" w14:textId="77777777" w:rsidR="0076143F" w:rsidRPr="0033593D" w:rsidRDefault="0076143F" w:rsidP="00531775">
            <w:pPr>
              <w:adjustRightInd/>
              <w:snapToGrid/>
              <w:spacing w:afterLines="0" w:after="0" w:line="240" w:lineRule="auto"/>
              <w:jc w:val="center"/>
              <w:rPr>
                <w:rFonts w:ascii="Times New Roman" w:hAnsi="Times New Roman" w:cs="Times New Roman"/>
                <w:bCs w:val="0"/>
                <w:sz w:val="20"/>
                <w:szCs w:val="20"/>
                <w:lang w:val="en-US" w:eastAsia="zh-CN"/>
              </w:rPr>
            </w:pPr>
          </w:p>
        </w:tc>
        <w:tc>
          <w:tcPr>
            <w:tcW w:w="990" w:type="dxa"/>
            <w:tcBorders>
              <w:top w:val="nil"/>
              <w:left w:val="nil"/>
              <w:bottom w:val="nil"/>
              <w:right w:val="nil"/>
            </w:tcBorders>
            <w:shd w:val="clear" w:color="auto" w:fill="auto"/>
            <w:noWrap/>
            <w:vAlign w:val="bottom"/>
            <w:hideMark/>
          </w:tcPr>
          <w:p w14:paraId="601563C9"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&lt;0.001</w:t>
            </w:r>
          </w:p>
        </w:tc>
      </w:tr>
      <w:tr w:rsidR="0033593D" w:rsidRPr="0033593D" w14:paraId="4DDD0392" w14:textId="77777777" w:rsidTr="00D60A28">
        <w:trPr>
          <w:trHeight w:val="285"/>
        </w:trPr>
        <w:tc>
          <w:tcPr>
            <w:tcW w:w="4050" w:type="dxa"/>
            <w:tcBorders>
              <w:top w:val="nil"/>
              <w:left w:val="nil"/>
              <w:bottom w:val="nil"/>
              <w:right w:val="nil"/>
            </w:tcBorders>
            <w:shd w:val="clear" w:color="auto" w:fill="auto"/>
            <w:noWrap/>
            <w:vAlign w:val="center"/>
            <w:hideMark/>
          </w:tcPr>
          <w:p w14:paraId="752D7D8D" w14:textId="77777777" w:rsidR="0076143F" w:rsidRPr="0033593D" w:rsidRDefault="0076143F" w:rsidP="00531775">
            <w:pPr>
              <w:adjustRightInd/>
              <w:snapToGrid/>
              <w:spacing w:afterLines="0" w:after="0" w:line="240" w:lineRule="auto"/>
              <w:ind w:firstLineChars="200" w:firstLine="440"/>
              <w:rPr>
                <w:bCs w:val="0"/>
                <w:lang w:val="en-US" w:eastAsia="zh-CN"/>
              </w:rPr>
            </w:pPr>
            <w:r w:rsidRPr="0033593D">
              <w:rPr>
                <w:bCs w:val="0"/>
                <w:lang w:val="en-US" w:eastAsia="zh-CN"/>
              </w:rPr>
              <w:t>Never smoker</w:t>
            </w:r>
          </w:p>
        </w:tc>
        <w:tc>
          <w:tcPr>
            <w:tcW w:w="1304" w:type="dxa"/>
            <w:tcBorders>
              <w:top w:val="nil"/>
              <w:left w:val="nil"/>
              <w:bottom w:val="nil"/>
              <w:right w:val="nil"/>
            </w:tcBorders>
            <w:shd w:val="clear" w:color="auto" w:fill="auto"/>
            <w:noWrap/>
            <w:vAlign w:val="center"/>
            <w:hideMark/>
          </w:tcPr>
          <w:p w14:paraId="6D36925D"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nil"/>
              <w:left w:val="nil"/>
              <w:bottom w:val="nil"/>
              <w:right w:val="nil"/>
            </w:tcBorders>
            <w:shd w:val="clear" w:color="auto" w:fill="auto"/>
            <w:noWrap/>
            <w:vAlign w:val="bottom"/>
            <w:hideMark/>
          </w:tcPr>
          <w:p w14:paraId="6199FBA2"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55.6</w:t>
            </w:r>
          </w:p>
        </w:tc>
        <w:tc>
          <w:tcPr>
            <w:tcW w:w="2250" w:type="dxa"/>
            <w:tcBorders>
              <w:top w:val="nil"/>
              <w:left w:val="nil"/>
              <w:bottom w:val="nil"/>
              <w:right w:val="nil"/>
            </w:tcBorders>
            <w:shd w:val="clear" w:color="auto" w:fill="auto"/>
            <w:noWrap/>
            <w:vAlign w:val="bottom"/>
            <w:hideMark/>
          </w:tcPr>
          <w:p w14:paraId="6B576DCF"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61.5</w:t>
            </w:r>
          </w:p>
        </w:tc>
        <w:tc>
          <w:tcPr>
            <w:tcW w:w="1710" w:type="dxa"/>
            <w:tcBorders>
              <w:top w:val="nil"/>
              <w:left w:val="nil"/>
              <w:bottom w:val="nil"/>
              <w:right w:val="nil"/>
            </w:tcBorders>
            <w:shd w:val="clear" w:color="auto" w:fill="auto"/>
            <w:noWrap/>
            <w:vAlign w:val="bottom"/>
            <w:hideMark/>
          </w:tcPr>
          <w:p w14:paraId="141C96FD"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64.1</w:t>
            </w:r>
          </w:p>
        </w:tc>
        <w:tc>
          <w:tcPr>
            <w:tcW w:w="990" w:type="dxa"/>
            <w:tcBorders>
              <w:top w:val="nil"/>
              <w:left w:val="nil"/>
              <w:bottom w:val="nil"/>
              <w:right w:val="nil"/>
            </w:tcBorders>
            <w:shd w:val="clear" w:color="auto" w:fill="auto"/>
            <w:noWrap/>
            <w:vAlign w:val="bottom"/>
            <w:hideMark/>
          </w:tcPr>
          <w:p w14:paraId="27D913E5" w14:textId="77777777" w:rsidR="0076143F" w:rsidRPr="0033593D" w:rsidRDefault="0076143F" w:rsidP="00531775">
            <w:pPr>
              <w:adjustRightInd/>
              <w:snapToGrid/>
              <w:spacing w:afterLines="0" w:after="0" w:line="240" w:lineRule="auto"/>
              <w:jc w:val="center"/>
              <w:rPr>
                <w:bCs w:val="0"/>
                <w:lang w:val="en-US" w:eastAsia="zh-CN"/>
              </w:rPr>
            </w:pPr>
          </w:p>
        </w:tc>
      </w:tr>
      <w:tr w:rsidR="0033593D" w:rsidRPr="0033593D" w14:paraId="2AD1C1E8" w14:textId="77777777" w:rsidTr="00D60A28">
        <w:trPr>
          <w:trHeight w:val="285"/>
        </w:trPr>
        <w:tc>
          <w:tcPr>
            <w:tcW w:w="4050" w:type="dxa"/>
            <w:tcBorders>
              <w:top w:val="nil"/>
              <w:left w:val="nil"/>
              <w:bottom w:val="nil"/>
              <w:right w:val="nil"/>
            </w:tcBorders>
            <w:shd w:val="clear" w:color="auto" w:fill="auto"/>
            <w:noWrap/>
            <w:vAlign w:val="center"/>
            <w:hideMark/>
          </w:tcPr>
          <w:p w14:paraId="32DEC78A" w14:textId="77777777" w:rsidR="0076143F" w:rsidRPr="0033593D" w:rsidRDefault="0076143F" w:rsidP="00531775">
            <w:pPr>
              <w:adjustRightInd/>
              <w:snapToGrid/>
              <w:spacing w:afterLines="0" w:after="0" w:line="240" w:lineRule="auto"/>
              <w:ind w:firstLineChars="200" w:firstLine="440"/>
              <w:rPr>
                <w:bCs w:val="0"/>
                <w:lang w:val="en-US" w:eastAsia="zh-CN"/>
              </w:rPr>
            </w:pPr>
            <w:r w:rsidRPr="0033593D">
              <w:rPr>
                <w:bCs w:val="0"/>
                <w:lang w:val="en-US" w:eastAsia="zh-CN"/>
              </w:rPr>
              <w:t>Former smoker</w:t>
            </w:r>
          </w:p>
        </w:tc>
        <w:tc>
          <w:tcPr>
            <w:tcW w:w="1304" w:type="dxa"/>
            <w:tcBorders>
              <w:top w:val="nil"/>
              <w:left w:val="nil"/>
              <w:bottom w:val="nil"/>
              <w:right w:val="nil"/>
            </w:tcBorders>
            <w:shd w:val="clear" w:color="auto" w:fill="auto"/>
            <w:noWrap/>
            <w:vAlign w:val="center"/>
            <w:hideMark/>
          </w:tcPr>
          <w:p w14:paraId="2799C842"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nil"/>
              <w:left w:val="nil"/>
              <w:bottom w:val="nil"/>
              <w:right w:val="nil"/>
            </w:tcBorders>
            <w:shd w:val="clear" w:color="auto" w:fill="auto"/>
            <w:noWrap/>
            <w:vAlign w:val="bottom"/>
            <w:hideMark/>
          </w:tcPr>
          <w:p w14:paraId="51A45E9F"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24.1</w:t>
            </w:r>
          </w:p>
        </w:tc>
        <w:tc>
          <w:tcPr>
            <w:tcW w:w="2250" w:type="dxa"/>
            <w:tcBorders>
              <w:top w:val="nil"/>
              <w:left w:val="nil"/>
              <w:bottom w:val="nil"/>
              <w:right w:val="nil"/>
            </w:tcBorders>
            <w:shd w:val="clear" w:color="auto" w:fill="auto"/>
            <w:noWrap/>
            <w:vAlign w:val="bottom"/>
            <w:hideMark/>
          </w:tcPr>
          <w:p w14:paraId="29CEE104"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24.7</w:t>
            </w:r>
          </w:p>
        </w:tc>
        <w:tc>
          <w:tcPr>
            <w:tcW w:w="1710" w:type="dxa"/>
            <w:tcBorders>
              <w:top w:val="nil"/>
              <w:left w:val="nil"/>
              <w:bottom w:val="nil"/>
              <w:right w:val="nil"/>
            </w:tcBorders>
            <w:shd w:val="clear" w:color="auto" w:fill="auto"/>
            <w:noWrap/>
            <w:vAlign w:val="bottom"/>
            <w:hideMark/>
          </w:tcPr>
          <w:p w14:paraId="009B1579"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26.9</w:t>
            </w:r>
          </w:p>
        </w:tc>
        <w:tc>
          <w:tcPr>
            <w:tcW w:w="990" w:type="dxa"/>
            <w:tcBorders>
              <w:top w:val="nil"/>
              <w:left w:val="nil"/>
              <w:bottom w:val="nil"/>
              <w:right w:val="nil"/>
            </w:tcBorders>
            <w:shd w:val="clear" w:color="auto" w:fill="auto"/>
            <w:noWrap/>
            <w:vAlign w:val="bottom"/>
            <w:hideMark/>
          </w:tcPr>
          <w:p w14:paraId="58936D37" w14:textId="77777777" w:rsidR="0076143F" w:rsidRPr="0033593D" w:rsidRDefault="0076143F" w:rsidP="00531775">
            <w:pPr>
              <w:adjustRightInd/>
              <w:snapToGrid/>
              <w:spacing w:afterLines="0" w:after="0" w:line="240" w:lineRule="auto"/>
              <w:jc w:val="center"/>
              <w:rPr>
                <w:bCs w:val="0"/>
                <w:lang w:val="en-US" w:eastAsia="zh-CN"/>
              </w:rPr>
            </w:pPr>
          </w:p>
        </w:tc>
      </w:tr>
      <w:tr w:rsidR="0033593D" w:rsidRPr="0033593D" w14:paraId="33C8BD35" w14:textId="77777777" w:rsidTr="00D60A28">
        <w:trPr>
          <w:trHeight w:val="285"/>
        </w:trPr>
        <w:tc>
          <w:tcPr>
            <w:tcW w:w="4050" w:type="dxa"/>
            <w:tcBorders>
              <w:top w:val="nil"/>
              <w:left w:val="nil"/>
              <w:bottom w:val="nil"/>
              <w:right w:val="nil"/>
            </w:tcBorders>
            <w:shd w:val="clear" w:color="auto" w:fill="auto"/>
            <w:noWrap/>
            <w:vAlign w:val="center"/>
            <w:hideMark/>
          </w:tcPr>
          <w:p w14:paraId="4C08A7F0" w14:textId="77777777" w:rsidR="0076143F" w:rsidRPr="0033593D" w:rsidRDefault="0076143F" w:rsidP="00531775">
            <w:pPr>
              <w:adjustRightInd/>
              <w:snapToGrid/>
              <w:spacing w:afterLines="0" w:after="0" w:line="240" w:lineRule="auto"/>
              <w:ind w:firstLineChars="200" w:firstLine="440"/>
              <w:rPr>
                <w:bCs w:val="0"/>
                <w:lang w:val="en-US" w:eastAsia="zh-CN"/>
              </w:rPr>
            </w:pPr>
            <w:r w:rsidRPr="0033593D">
              <w:rPr>
                <w:bCs w:val="0"/>
                <w:lang w:val="en-US" w:eastAsia="zh-CN"/>
              </w:rPr>
              <w:t>Current smoker</w:t>
            </w:r>
          </w:p>
        </w:tc>
        <w:tc>
          <w:tcPr>
            <w:tcW w:w="1304" w:type="dxa"/>
            <w:tcBorders>
              <w:top w:val="nil"/>
              <w:left w:val="nil"/>
              <w:bottom w:val="nil"/>
              <w:right w:val="nil"/>
            </w:tcBorders>
            <w:shd w:val="clear" w:color="auto" w:fill="auto"/>
            <w:noWrap/>
            <w:vAlign w:val="center"/>
            <w:hideMark/>
          </w:tcPr>
          <w:p w14:paraId="031F870C"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nil"/>
              <w:left w:val="nil"/>
              <w:bottom w:val="nil"/>
              <w:right w:val="nil"/>
            </w:tcBorders>
            <w:shd w:val="clear" w:color="auto" w:fill="auto"/>
            <w:noWrap/>
            <w:vAlign w:val="bottom"/>
            <w:hideMark/>
          </w:tcPr>
          <w:p w14:paraId="6B8C7734"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20.3</w:t>
            </w:r>
          </w:p>
        </w:tc>
        <w:tc>
          <w:tcPr>
            <w:tcW w:w="2250" w:type="dxa"/>
            <w:tcBorders>
              <w:top w:val="nil"/>
              <w:left w:val="nil"/>
              <w:bottom w:val="nil"/>
              <w:right w:val="nil"/>
            </w:tcBorders>
            <w:shd w:val="clear" w:color="auto" w:fill="auto"/>
            <w:noWrap/>
            <w:vAlign w:val="bottom"/>
            <w:hideMark/>
          </w:tcPr>
          <w:p w14:paraId="06C5E74E"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13.8</w:t>
            </w:r>
          </w:p>
        </w:tc>
        <w:tc>
          <w:tcPr>
            <w:tcW w:w="1710" w:type="dxa"/>
            <w:tcBorders>
              <w:top w:val="nil"/>
              <w:left w:val="nil"/>
              <w:bottom w:val="nil"/>
              <w:right w:val="nil"/>
            </w:tcBorders>
            <w:shd w:val="clear" w:color="auto" w:fill="auto"/>
            <w:noWrap/>
            <w:vAlign w:val="bottom"/>
            <w:hideMark/>
          </w:tcPr>
          <w:p w14:paraId="7147449E"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9.0</w:t>
            </w:r>
          </w:p>
        </w:tc>
        <w:tc>
          <w:tcPr>
            <w:tcW w:w="990" w:type="dxa"/>
            <w:tcBorders>
              <w:top w:val="nil"/>
              <w:left w:val="nil"/>
              <w:bottom w:val="nil"/>
              <w:right w:val="nil"/>
            </w:tcBorders>
            <w:shd w:val="clear" w:color="auto" w:fill="auto"/>
            <w:noWrap/>
            <w:vAlign w:val="bottom"/>
            <w:hideMark/>
          </w:tcPr>
          <w:p w14:paraId="562064D2" w14:textId="77777777" w:rsidR="0076143F" w:rsidRPr="0033593D" w:rsidRDefault="0076143F" w:rsidP="00531775">
            <w:pPr>
              <w:adjustRightInd/>
              <w:snapToGrid/>
              <w:spacing w:afterLines="0" w:after="0" w:line="240" w:lineRule="auto"/>
              <w:jc w:val="center"/>
              <w:rPr>
                <w:bCs w:val="0"/>
                <w:lang w:val="en-US" w:eastAsia="zh-CN"/>
              </w:rPr>
            </w:pPr>
          </w:p>
        </w:tc>
      </w:tr>
      <w:tr w:rsidR="0033593D" w:rsidRPr="0033593D" w14:paraId="2D06096E" w14:textId="77777777" w:rsidTr="00D60A28">
        <w:trPr>
          <w:trHeight w:val="285"/>
        </w:trPr>
        <w:tc>
          <w:tcPr>
            <w:tcW w:w="4050" w:type="dxa"/>
            <w:tcBorders>
              <w:top w:val="nil"/>
              <w:left w:val="nil"/>
              <w:bottom w:val="nil"/>
              <w:right w:val="nil"/>
            </w:tcBorders>
            <w:shd w:val="clear" w:color="auto" w:fill="auto"/>
            <w:noWrap/>
            <w:vAlign w:val="center"/>
            <w:hideMark/>
          </w:tcPr>
          <w:p w14:paraId="370F69D4" w14:textId="77777777" w:rsidR="0076143F" w:rsidRPr="0033593D" w:rsidRDefault="0076143F" w:rsidP="00531775">
            <w:pPr>
              <w:adjustRightInd/>
              <w:snapToGrid/>
              <w:spacing w:afterLines="0" w:after="0" w:line="240" w:lineRule="auto"/>
              <w:rPr>
                <w:bCs w:val="0"/>
                <w:lang w:val="en-US" w:eastAsia="zh-CN"/>
              </w:rPr>
            </w:pPr>
            <w:r w:rsidRPr="0033593D">
              <w:rPr>
                <w:bCs w:val="0"/>
                <w:lang w:val="en-US" w:eastAsia="zh-CN"/>
              </w:rPr>
              <w:t>Alcohol drinking (yes)</w:t>
            </w:r>
          </w:p>
        </w:tc>
        <w:tc>
          <w:tcPr>
            <w:tcW w:w="1304" w:type="dxa"/>
            <w:tcBorders>
              <w:top w:val="nil"/>
              <w:left w:val="nil"/>
              <w:bottom w:val="nil"/>
              <w:right w:val="nil"/>
            </w:tcBorders>
            <w:shd w:val="clear" w:color="auto" w:fill="auto"/>
            <w:noWrap/>
            <w:vAlign w:val="center"/>
            <w:hideMark/>
          </w:tcPr>
          <w:p w14:paraId="655BC01B"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nil"/>
              <w:left w:val="nil"/>
              <w:bottom w:val="nil"/>
              <w:right w:val="nil"/>
            </w:tcBorders>
            <w:shd w:val="clear" w:color="auto" w:fill="auto"/>
            <w:noWrap/>
            <w:vAlign w:val="bottom"/>
            <w:hideMark/>
          </w:tcPr>
          <w:p w14:paraId="0BE5C0B3"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36.1</w:t>
            </w:r>
          </w:p>
        </w:tc>
        <w:tc>
          <w:tcPr>
            <w:tcW w:w="2250" w:type="dxa"/>
            <w:tcBorders>
              <w:top w:val="nil"/>
              <w:left w:val="nil"/>
              <w:bottom w:val="nil"/>
              <w:right w:val="nil"/>
            </w:tcBorders>
            <w:shd w:val="clear" w:color="auto" w:fill="auto"/>
            <w:noWrap/>
            <w:vAlign w:val="bottom"/>
            <w:hideMark/>
          </w:tcPr>
          <w:p w14:paraId="081E544B"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36.9</w:t>
            </w:r>
          </w:p>
        </w:tc>
        <w:tc>
          <w:tcPr>
            <w:tcW w:w="1710" w:type="dxa"/>
            <w:tcBorders>
              <w:top w:val="nil"/>
              <w:left w:val="nil"/>
              <w:bottom w:val="nil"/>
              <w:right w:val="nil"/>
            </w:tcBorders>
            <w:shd w:val="clear" w:color="auto" w:fill="auto"/>
            <w:noWrap/>
            <w:vAlign w:val="bottom"/>
            <w:hideMark/>
          </w:tcPr>
          <w:p w14:paraId="0E947CBE"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46.3</w:t>
            </w:r>
          </w:p>
        </w:tc>
        <w:tc>
          <w:tcPr>
            <w:tcW w:w="990" w:type="dxa"/>
            <w:tcBorders>
              <w:top w:val="nil"/>
              <w:left w:val="nil"/>
              <w:bottom w:val="nil"/>
              <w:right w:val="nil"/>
            </w:tcBorders>
            <w:shd w:val="clear" w:color="auto" w:fill="auto"/>
            <w:noWrap/>
            <w:vAlign w:val="bottom"/>
            <w:hideMark/>
          </w:tcPr>
          <w:p w14:paraId="7182410A"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0.39</w:t>
            </w:r>
          </w:p>
        </w:tc>
      </w:tr>
      <w:tr w:rsidR="0033593D" w:rsidRPr="0033593D" w14:paraId="06095125" w14:textId="77777777" w:rsidTr="00D60A28">
        <w:trPr>
          <w:trHeight w:val="330"/>
        </w:trPr>
        <w:tc>
          <w:tcPr>
            <w:tcW w:w="5354" w:type="dxa"/>
            <w:gridSpan w:val="2"/>
            <w:tcBorders>
              <w:top w:val="nil"/>
              <w:left w:val="nil"/>
              <w:bottom w:val="nil"/>
              <w:right w:val="nil"/>
            </w:tcBorders>
            <w:shd w:val="clear" w:color="auto" w:fill="auto"/>
            <w:noWrap/>
            <w:vAlign w:val="center"/>
            <w:hideMark/>
          </w:tcPr>
          <w:p w14:paraId="5BA490E8" w14:textId="77777777" w:rsidR="0076143F" w:rsidRPr="0033593D" w:rsidRDefault="0076143F" w:rsidP="00531775">
            <w:pPr>
              <w:adjustRightInd/>
              <w:snapToGrid/>
              <w:spacing w:afterLines="0" w:after="0" w:line="240" w:lineRule="auto"/>
              <w:rPr>
                <w:bCs w:val="0"/>
                <w:lang w:val="en-US" w:eastAsia="zh-CN"/>
              </w:rPr>
            </w:pPr>
            <w:r w:rsidRPr="0033593D">
              <w:rPr>
                <w:bCs w:val="0"/>
                <w:lang w:val="en-US" w:eastAsia="zh-CN"/>
              </w:rPr>
              <w:t>BMI (kg/m</w:t>
            </w:r>
            <w:r w:rsidRPr="0033593D">
              <w:rPr>
                <w:bCs w:val="0"/>
                <w:vertAlign w:val="superscript"/>
                <w:lang w:val="en-US" w:eastAsia="zh-CN"/>
              </w:rPr>
              <w:t>2</w:t>
            </w:r>
            <w:r w:rsidRPr="0033593D">
              <w:rPr>
                <w:bCs w:val="0"/>
                <w:lang w:val="en-US" w:eastAsia="zh-CN"/>
              </w:rPr>
              <w:t>)</w:t>
            </w:r>
          </w:p>
        </w:tc>
        <w:tc>
          <w:tcPr>
            <w:tcW w:w="1576" w:type="dxa"/>
            <w:tcBorders>
              <w:top w:val="nil"/>
              <w:left w:val="nil"/>
              <w:bottom w:val="nil"/>
              <w:right w:val="nil"/>
            </w:tcBorders>
            <w:shd w:val="clear" w:color="auto" w:fill="auto"/>
            <w:noWrap/>
            <w:vAlign w:val="bottom"/>
            <w:hideMark/>
          </w:tcPr>
          <w:p w14:paraId="53580D37" w14:textId="77777777" w:rsidR="0076143F" w:rsidRPr="0033593D" w:rsidRDefault="0076143F" w:rsidP="00531775">
            <w:pPr>
              <w:adjustRightInd/>
              <w:snapToGrid/>
              <w:spacing w:afterLines="0" w:after="0" w:line="240" w:lineRule="auto"/>
              <w:rPr>
                <w:bCs w:val="0"/>
                <w:lang w:val="en-US" w:eastAsia="zh-CN"/>
              </w:rPr>
            </w:pPr>
          </w:p>
        </w:tc>
        <w:tc>
          <w:tcPr>
            <w:tcW w:w="2250" w:type="dxa"/>
            <w:tcBorders>
              <w:top w:val="nil"/>
              <w:left w:val="nil"/>
              <w:bottom w:val="nil"/>
              <w:right w:val="nil"/>
            </w:tcBorders>
            <w:shd w:val="clear" w:color="auto" w:fill="auto"/>
            <w:noWrap/>
            <w:vAlign w:val="bottom"/>
            <w:hideMark/>
          </w:tcPr>
          <w:p w14:paraId="73FFD743" w14:textId="77777777" w:rsidR="0076143F" w:rsidRPr="0033593D" w:rsidRDefault="0076143F" w:rsidP="00531775">
            <w:pPr>
              <w:adjustRightInd/>
              <w:snapToGrid/>
              <w:spacing w:afterLines="0" w:after="0" w:line="240" w:lineRule="auto"/>
              <w:jc w:val="center"/>
              <w:rPr>
                <w:rFonts w:ascii="Times New Roman" w:hAnsi="Times New Roman" w:cs="Times New Roman"/>
                <w:bCs w:val="0"/>
                <w:sz w:val="20"/>
                <w:szCs w:val="20"/>
                <w:lang w:val="en-US" w:eastAsia="zh-CN"/>
              </w:rPr>
            </w:pPr>
          </w:p>
        </w:tc>
        <w:tc>
          <w:tcPr>
            <w:tcW w:w="1710" w:type="dxa"/>
            <w:tcBorders>
              <w:top w:val="nil"/>
              <w:left w:val="nil"/>
              <w:bottom w:val="nil"/>
              <w:right w:val="nil"/>
            </w:tcBorders>
            <w:shd w:val="clear" w:color="auto" w:fill="auto"/>
            <w:noWrap/>
            <w:vAlign w:val="bottom"/>
            <w:hideMark/>
          </w:tcPr>
          <w:p w14:paraId="38F20ED7" w14:textId="77777777" w:rsidR="0076143F" w:rsidRPr="0033593D" w:rsidRDefault="0076143F" w:rsidP="00531775">
            <w:pPr>
              <w:adjustRightInd/>
              <w:snapToGrid/>
              <w:spacing w:afterLines="0" w:after="0" w:line="240" w:lineRule="auto"/>
              <w:jc w:val="center"/>
              <w:rPr>
                <w:rFonts w:ascii="Times New Roman" w:hAnsi="Times New Roman" w:cs="Times New Roman"/>
                <w:bCs w:val="0"/>
                <w:sz w:val="20"/>
                <w:szCs w:val="20"/>
                <w:lang w:val="en-US" w:eastAsia="zh-CN"/>
              </w:rPr>
            </w:pPr>
          </w:p>
        </w:tc>
        <w:tc>
          <w:tcPr>
            <w:tcW w:w="990" w:type="dxa"/>
            <w:tcBorders>
              <w:top w:val="nil"/>
              <w:left w:val="nil"/>
              <w:bottom w:val="nil"/>
              <w:right w:val="nil"/>
            </w:tcBorders>
            <w:shd w:val="clear" w:color="auto" w:fill="auto"/>
            <w:noWrap/>
            <w:vAlign w:val="bottom"/>
            <w:hideMark/>
          </w:tcPr>
          <w:p w14:paraId="39301E5B"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&lt;0.001</w:t>
            </w:r>
          </w:p>
        </w:tc>
      </w:tr>
      <w:tr w:rsidR="0033593D" w:rsidRPr="0033593D" w14:paraId="09B72D80" w14:textId="77777777" w:rsidTr="00D60A28">
        <w:trPr>
          <w:trHeight w:val="285"/>
        </w:trPr>
        <w:tc>
          <w:tcPr>
            <w:tcW w:w="4050" w:type="dxa"/>
            <w:tcBorders>
              <w:top w:val="nil"/>
              <w:left w:val="nil"/>
              <w:bottom w:val="nil"/>
              <w:right w:val="nil"/>
            </w:tcBorders>
            <w:shd w:val="clear" w:color="auto" w:fill="auto"/>
            <w:noWrap/>
            <w:vAlign w:val="center"/>
            <w:hideMark/>
          </w:tcPr>
          <w:p w14:paraId="2E7AA1E1" w14:textId="77777777" w:rsidR="0076143F" w:rsidRPr="0033593D" w:rsidRDefault="0076143F" w:rsidP="00531775">
            <w:pPr>
              <w:adjustRightInd/>
              <w:snapToGrid/>
              <w:spacing w:afterLines="0" w:after="0" w:line="240" w:lineRule="auto"/>
              <w:ind w:firstLineChars="200" w:firstLine="440"/>
              <w:rPr>
                <w:bCs w:val="0"/>
                <w:lang w:val="en-US" w:eastAsia="zh-CN"/>
              </w:rPr>
            </w:pPr>
            <w:r w:rsidRPr="0033593D">
              <w:rPr>
                <w:bCs w:val="0"/>
                <w:lang w:val="en-US" w:eastAsia="zh-CN"/>
              </w:rPr>
              <w:t>18.5 – 24.9</w:t>
            </w:r>
          </w:p>
        </w:tc>
        <w:tc>
          <w:tcPr>
            <w:tcW w:w="1304" w:type="dxa"/>
            <w:tcBorders>
              <w:top w:val="nil"/>
              <w:left w:val="nil"/>
              <w:bottom w:val="nil"/>
              <w:right w:val="nil"/>
            </w:tcBorders>
            <w:shd w:val="clear" w:color="auto" w:fill="auto"/>
            <w:noWrap/>
            <w:vAlign w:val="center"/>
            <w:hideMark/>
          </w:tcPr>
          <w:p w14:paraId="31A0F960"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nil"/>
              <w:left w:val="nil"/>
              <w:bottom w:val="nil"/>
              <w:right w:val="nil"/>
            </w:tcBorders>
            <w:shd w:val="clear" w:color="auto" w:fill="auto"/>
            <w:noWrap/>
            <w:vAlign w:val="bottom"/>
            <w:hideMark/>
          </w:tcPr>
          <w:p w14:paraId="078B9A0A"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29.6</w:t>
            </w:r>
          </w:p>
        </w:tc>
        <w:tc>
          <w:tcPr>
            <w:tcW w:w="2250" w:type="dxa"/>
            <w:tcBorders>
              <w:top w:val="nil"/>
              <w:left w:val="nil"/>
              <w:bottom w:val="nil"/>
              <w:right w:val="nil"/>
            </w:tcBorders>
            <w:shd w:val="clear" w:color="auto" w:fill="auto"/>
            <w:noWrap/>
            <w:vAlign w:val="bottom"/>
            <w:hideMark/>
          </w:tcPr>
          <w:p w14:paraId="11A13406"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34.9</w:t>
            </w:r>
          </w:p>
        </w:tc>
        <w:tc>
          <w:tcPr>
            <w:tcW w:w="1710" w:type="dxa"/>
            <w:tcBorders>
              <w:top w:val="nil"/>
              <w:left w:val="nil"/>
              <w:bottom w:val="nil"/>
              <w:right w:val="nil"/>
            </w:tcBorders>
            <w:shd w:val="clear" w:color="auto" w:fill="auto"/>
            <w:noWrap/>
            <w:vAlign w:val="bottom"/>
            <w:hideMark/>
          </w:tcPr>
          <w:p w14:paraId="70557B1B"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38.8</w:t>
            </w:r>
          </w:p>
        </w:tc>
        <w:tc>
          <w:tcPr>
            <w:tcW w:w="990" w:type="dxa"/>
            <w:tcBorders>
              <w:top w:val="nil"/>
              <w:left w:val="nil"/>
              <w:bottom w:val="nil"/>
              <w:right w:val="nil"/>
            </w:tcBorders>
            <w:shd w:val="clear" w:color="auto" w:fill="auto"/>
            <w:noWrap/>
            <w:vAlign w:val="bottom"/>
            <w:hideMark/>
          </w:tcPr>
          <w:p w14:paraId="1A60AC1A" w14:textId="77777777" w:rsidR="0076143F" w:rsidRPr="0033593D" w:rsidRDefault="0076143F" w:rsidP="00531775">
            <w:pPr>
              <w:adjustRightInd/>
              <w:snapToGrid/>
              <w:spacing w:afterLines="0" w:after="0" w:line="240" w:lineRule="auto"/>
              <w:jc w:val="center"/>
              <w:rPr>
                <w:bCs w:val="0"/>
                <w:lang w:val="en-US" w:eastAsia="zh-CN"/>
              </w:rPr>
            </w:pPr>
          </w:p>
        </w:tc>
      </w:tr>
      <w:tr w:rsidR="0033593D" w:rsidRPr="0033593D" w14:paraId="137F478C" w14:textId="77777777" w:rsidTr="00D60A28">
        <w:trPr>
          <w:trHeight w:val="285"/>
        </w:trPr>
        <w:tc>
          <w:tcPr>
            <w:tcW w:w="4050" w:type="dxa"/>
            <w:tcBorders>
              <w:top w:val="nil"/>
              <w:left w:val="nil"/>
              <w:bottom w:val="nil"/>
              <w:right w:val="nil"/>
            </w:tcBorders>
            <w:shd w:val="clear" w:color="auto" w:fill="auto"/>
            <w:noWrap/>
            <w:vAlign w:val="center"/>
            <w:hideMark/>
          </w:tcPr>
          <w:p w14:paraId="535948FD" w14:textId="77777777" w:rsidR="0076143F" w:rsidRPr="0033593D" w:rsidRDefault="0076143F" w:rsidP="00531775">
            <w:pPr>
              <w:adjustRightInd/>
              <w:snapToGrid/>
              <w:spacing w:afterLines="0" w:after="0" w:line="240" w:lineRule="auto"/>
              <w:ind w:firstLineChars="200" w:firstLine="440"/>
              <w:rPr>
                <w:bCs w:val="0"/>
                <w:lang w:val="en-US" w:eastAsia="zh-CN"/>
              </w:rPr>
            </w:pPr>
            <w:r w:rsidRPr="0033593D">
              <w:rPr>
                <w:bCs w:val="0"/>
                <w:lang w:val="en-US" w:eastAsia="zh-CN"/>
              </w:rPr>
              <w:t xml:space="preserve">25.0 – 29.9 </w:t>
            </w:r>
          </w:p>
        </w:tc>
        <w:tc>
          <w:tcPr>
            <w:tcW w:w="1304" w:type="dxa"/>
            <w:tcBorders>
              <w:top w:val="nil"/>
              <w:left w:val="nil"/>
              <w:bottom w:val="nil"/>
              <w:right w:val="nil"/>
            </w:tcBorders>
            <w:shd w:val="clear" w:color="auto" w:fill="auto"/>
            <w:noWrap/>
            <w:vAlign w:val="center"/>
            <w:hideMark/>
          </w:tcPr>
          <w:p w14:paraId="2351E24F"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nil"/>
              <w:left w:val="nil"/>
              <w:bottom w:val="nil"/>
              <w:right w:val="nil"/>
            </w:tcBorders>
            <w:shd w:val="clear" w:color="auto" w:fill="auto"/>
            <w:noWrap/>
            <w:vAlign w:val="bottom"/>
            <w:hideMark/>
          </w:tcPr>
          <w:p w14:paraId="1763C6B8"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35.2</w:t>
            </w:r>
          </w:p>
        </w:tc>
        <w:tc>
          <w:tcPr>
            <w:tcW w:w="2250" w:type="dxa"/>
            <w:tcBorders>
              <w:top w:val="nil"/>
              <w:left w:val="nil"/>
              <w:bottom w:val="nil"/>
              <w:right w:val="nil"/>
            </w:tcBorders>
            <w:shd w:val="clear" w:color="auto" w:fill="auto"/>
            <w:noWrap/>
            <w:vAlign w:val="bottom"/>
            <w:hideMark/>
          </w:tcPr>
          <w:p w14:paraId="69CB4866"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39.2</w:t>
            </w:r>
          </w:p>
        </w:tc>
        <w:tc>
          <w:tcPr>
            <w:tcW w:w="1710" w:type="dxa"/>
            <w:tcBorders>
              <w:top w:val="nil"/>
              <w:left w:val="nil"/>
              <w:bottom w:val="nil"/>
              <w:right w:val="nil"/>
            </w:tcBorders>
            <w:shd w:val="clear" w:color="auto" w:fill="auto"/>
            <w:noWrap/>
            <w:vAlign w:val="bottom"/>
            <w:hideMark/>
          </w:tcPr>
          <w:p w14:paraId="36A55CCD"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32.9</w:t>
            </w:r>
          </w:p>
        </w:tc>
        <w:tc>
          <w:tcPr>
            <w:tcW w:w="990" w:type="dxa"/>
            <w:tcBorders>
              <w:top w:val="nil"/>
              <w:left w:val="nil"/>
              <w:bottom w:val="nil"/>
              <w:right w:val="nil"/>
            </w:tcBorders>
            <w:shd w:val="clear" w:color="auto" w:fill="auto"/>
            <w:noWrap/>
            <w:vAlign w:val="bottom"/>
            <w:hideMark/>
          </w:tcPr>
          <w:p w14:paraId="00E605F5" w14:textId="77777777" w:rsidR="0076143F" w:rsidRPr="0033593D" w:rsidRDefault="0076143F" w:rsidP="00531775">
            <w:pPr>
              <w:adjustRightInd/>
              <w:snapToGrid/>
              <w:spacing w:afterLines="0" w:after="0" w:line="240" w:lineRule="auto"/>
              <w:jc w:val="center"/>
              <w:rPr>
                <w:bCs w:val="0"/>
                <w:lang w:val="en-US" w:eastAsia="zh-CN"/>
              </w:rPr>
            </w:pPr>
          </w:p>
        </w:tc>
      </w:tr>
      <w:tr w:rsidR="0033593D" w:rsidRPr="0033593D" w14:paraId="639ADE23" w14:textId="77777777" w:rsidTr="00D60A28">
        <w:trPr>
          <w:trHeight w:val="285"/>
        </w:trPr>
        <w:tc>
          <w:tcPr>
            <w:tcW w:w="4050" w:type="dxa"/>
            <w:tcBorders>
              <w:top w:val="nil"/>
              <w:left w:val="nil"/>
              <w:bottom w:val="nil"/>
              <w:right w:val="nil"/>
            </w:tcBorders>
            <w:shd w:val="clear" w:color="auto" w:fill="auto"/>
            <w:noWrap/>
            <w:vAlign w:val="center"/>
            <w:hideMark/>
          </w:tcPr>
          <w:p w14:paraId="14E87A8A" w14:textId="77777777" w:rsidR="0076143F" w:rsidRPr="0033593D" w:rsidRDefault="0076143F" w:rsidP="00531775">
            <w:pPr>
              <w:adjustRightInd/>
              <w:snapToGrid/>
              <w:spacing w:afterLines="0" w:after="0" w:line="240" w:lineRule="auto"/>
              <w:ind w:firstLineChars="200" w:firstLine="440"/>
              <w:rPr>
                <w:bCs w:val="0"/>
                <w:lang w:val="en-US" w:eastAsia="zh-CN"/>
              </w:rPr>
            </w:pPr>
            <w:r w:rsidRPr="0033593D">
              <w:rPr>
                <w:bCs w:val="0"/>
                <w:lang w:val="en-US" w:eastAsia="zh-CN"/>
              </w:rPr>
              <w:t>≥ 30</w:t>
            </w:r>
          </w:p>
        </w:tc>
        <w:tc>
          <w:tcPr>
            <w:tcW w:w="1304" w:type="dxa"/>
            <w:tcBorders>
              <w:top w:val="nil"/>
              <w:left w:val="nil"/>
              <w:bottom w:val="nil"/>
              <w:right w:val="nil"/>
            </w:tcBorders>
            <w:shd w:val="clear" w:color="auto" w:fill="auto"/>
            <w:noWrap/>
            <w:vAlign w:val="center"/>
            <w:hideMark/>
          </w:tcPr>
          <w:p w14:paraId="35B1B359"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nil"/>
              <w:left w:val="nil"/>
              <w:bottom w:val="nil"/>
              <w:right w:val="nil"/>
            </w:tcBorders>
            <w:shd w:val="clear" w:color="auto" w:fill="auto"/>
            <w:noWrap/>
            <w:vAlign w:val="bottom"/>
            <w:hideMark/>
          </w:tcPr>
          <w:p w14:paraId="7D3A29CB"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35.2</w:t>
            </w:r>
          </w:p>
        </w:tc>
        <w:tc>
          <w:tcPr>
            <w:tcW w:w="2250" w:type="dxa"/>
            <w:tcBorders>
              <w:top w:val="nil"/>
              <w:left w:val="nil"/>
              <w:bottom w:val="nil"/>
              <w:right w:val="nil"/>
            </w:tcBorders>
            <w:shd w:val="clear" w:color="auto" w:fill="auto"/>
            <w:noWrap/>
            <w:vAlign w:val="bottom"/>
            <w:hideMark/>
          </w:tcPr>
          <w:p w14:paraId="3B624BC7"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25.9</w:t>
            </w:r>
          </w:p>
        </w:tc>
        <w:tc>
          <w:tcPr>
            <w:tcW w:w="1710" w:type="dxa"/>
            <w:tcBorders>
              <w:top w:val="nil"/>
              <w:left w:val="nil"/>
              <w:bottom w:val="nil"/>
              <w:right w:val="nil"/>
            </w:tcBorders>
            <w:shd w:val="clear" w:color="auto" w:fill="auto"/>
            <w:noWrap/>
            <w:vAlign w:val="bottom"/>
            <w:hideMark/>
          </w:tcPr>
          <w:p w14:paraId="4501F506"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28.3</w:t>
            </w:r>
          </w:p>
        </w:tc>
        <w:tc>
          <w:tcPr>
            <w:tcW w:w="990" w:type="dxa"/>
            <w:tcBorders>
              <w:top w:val="nil"/>
              <w:left w:val="nil"/>
              <w:bottom w:val="nil"/>
              <w:right w:val="nil"/>
            </w:tcBorders>
            <w:shd w:val="clear" w:color="auto" w:fill="auto"/>
            <w:noWrap/>
            <w:vAlign w:val="bottom"/>
            <w:hideMark/>
          </w:tcPr>
          <w:p w14:paraId="7721B7F3" w14:textId="77777777" w:rsidR="0076143F" w:rsidRPr="0033593D" w:rsidRDefault="0076143F" w:rsidP="00531775">
            <w:pPr>
              <w:adjustRightInd/>
              <w:snapToGrid/>
              <w:spacing w:afterLines="0" w:after="0" w:line="240" w:lineRule="auto"/>
              <w:jc w:val="center"/>
              <w:rPr>
                <w:bCs w:val="0"/>
                <w:lang w:val="en-US" w:eastAsia="zh-CN"/>
              </w:rPr>
            </w:pPr>
          </w:p>
        </w:tc>
      </w:tr>
      <w:tr w:rsidR="0033593D" w:rsidRPr="0033593D" w14:paraId="020A8331" w14:textId="77777777" w:rsidTr="00D60A28">
        <w:trPr>
          <w:trHeight w:val="285"/>
        </w:trPr>
        <w:tc>
          <w:tcPr>
            <w:tcW w:w="4050" w:type="dxa"/>
            <w:tcBorders>
              <w:top w:val="nil"/>
              <w:left w:val="nil"/>
              <w:bottom w:val="nil"/>
              <w:right w:val="nil"/>
            </w:tcBorders>
            <w:shd w:val="clear" w:color="auto" w:fill="auto"/>
            <w:noWrap/>
            <w:vAlign w:val="center"/>
            <w:hideMark/>
          </w:tcPr>
          <w:p w14:paraId="4748BE1B" w14:textId="77777777" w:rsidR="0076143F" w:rsidRPr="0033593D" w:rsidRDefault="0076143F" w:rsidP="00531775">
            <w:pPr>
              <w:adjustRightInd/>
              <w:snapToGrid/>
              <w:spacing w:afterLines="0" w:after="0" w:line="240" w:lineRule="auto"/>
              <w:rPr>
                <w:bCs w:val="0"/>
                <w:lang w:val="en-US" w:eastAsia="zh-CN"/>
              </w:rPr>
            </w:pPr>
            <w:r w:rsidRPr="0033593D">
              <w:rPr>
                <w:bCs w:val="0"/>
                <w:lang w:val="en-US" w:eastAsia="zh-CN"/>
              </w:rPr>
              <w:t>Chronic conditions (yes)</w:t>
            </w:r>
            <w:r w:rsidRPr="0033593D">
              <w:rPr>
                <w:bCs w:val="0"/>
                <w:vertAlign w:val="superscript"/>
                <w:lang w:val="en-US" w:eastAsia="zh-CN"/>
              </w:rPr>
              <w:t>b</w:t>
            </w:r>
          </w:p>
        </w:tc>
        <w:tc>
          <w:tcPr>
            <w:tcW w:w="1304" w:type="dxa"/>
            <w:tcBorders>
              <w:top w:val="nil"/>
              <w:left w:val="nil"/>
              <w:bottom w:val="nil"/>
              <w:right w:val="nil"/>
            </w:tcBorders>
            <w:shd w:val="clear" w:color="auto" w:fill="auto"/>
            <w:noWrap/>
            <w:vAlign w:val="center"/>
            <w:hideMark/>
          </w:tcPr>
          <w:p w14:paraId="4CB1E009"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nil"/>
              <w:left w:val="nil"/>
              <w:bottom w:val="nil"/>
              <w:right w:val="nil"/>
            </w:tcBorders>
            <w:shd w:val="clear" w:color="auto" w:fill="auto"/>
            <w:noWrap/>
            <w:vAlign w:val="bottom"/>
            <w:hideMark/>
          </w:tcPr>
          <w:p w14:paraId="5EEC8505"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28.8</w:t>
            </w:r>
          </w:p>
        </w:tc>
        <w:tc>
          <w:tcPr>
            <w:tcW w:w="2250" w:type="dxa"/>
            <w:tcBorders>
              <w:top w:val="nil"/>
              <w:left w:val="nil"/>
              <w:bottom w:val="nil"/>
              <w:right w:val="nil"/>
            </w:tcBorders>
            <w:shd w:val="clear" w:color="auto" w:fill="auto"/>
            <w:noWrap/>
            <w:vAlign w:val="bottom"/>
            <w:hideMark/>
          </w:tcPr>
          <w:p w14:paraId="32B80328"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32.3</w:t>
            </w:r>
          </w:p>
        </w:tc>
        <w:tc>
          <w:tcPr>
            <w:tcW w:w="1710" w:type="dxa"/>
            <w:tcBorders>
              <w:top w:val="nil"/>
              <w:left w:val="nil"/>
              <w:bottom w:val="nil"/>
              <w:right w:val="nil"/>
            </w:tcBorders>
            <w:shd w:val="clear" w:color="auto" w:fill="auto"/>
            <w:noWrap/>
            <w:vAlign w:val="bottom"/>
            <w:hideMark/>
          </w:tcPr>
          <w:p w14:paraId="585DF66A"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42.0</w:t>
            </w:r>
          </w:p>
        </w:tc>
        <w:tc>
          <w:tcPr>
            <w:tcW w:w="990" w:type="dxa"/>
            <w:tcBorders>
              <w:top w:val="nil"/>
              <w:left w:val="nil"/>
              <w:bottom w:val="nil"/>
              <w:right w:val="nil"/>
            </w:tcBorders>
            <w:shd w:val="clear" w:color="auto" w:fill="auto"/>
            <w:noWrap/>
            <w:vAlign w:val="bottom"/>
            <w:hideMark/>
          </w:tcPr>
          <w:p w14:paraId="27C31507"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0.004</w:t>
            </w:r>
          </w:p>
        </w:tc>
      </w:tr>
      <w:tr w:rsidR="0033593D" w:rsidRPr="0033593D" w14:paraId="6D79F577" w14:textId="77777777" w:rsidTr="00D60A28">
        <w:trPr>
          <w:trHeight w:val="285"/>
        </w:trPr>
        <w:tc>
          <w:tcPr>
            <w:tcW w:w="4050" w:type="dxa"/>
            <w:tcBorders>
              <w:top w:val="nil"/>
              <w:left w:val="nil"/>
              <w:bottom w:val="nil"/>
              <w:right w:val="nil"/>
            </w:tcBorders>
            <w:shd w:val="clear" w:color="auto" w:fill="auto"/>
            <w:noWrap/>
            <w:vAlign w:val="center"/>
            <w:hideMark/>
          </w:tcPr>
          <w:p w14:paraId="68579383" w14:textId="77777777" w:rsidR="0076143F" w:rsidRPr="0033593D" w:rsidRDefault="0076143F" w:rsidP="00531775">
            <w:pPr>
              <w:adjustRightInd/>
              <w:snapToGrid/>
              <w:spacing w:afterLines="0" w:after="0" w:line="240" w:lineRule="auto"/>
              <w:rPr>
                <w:bCs w:val="0"/>
                <w:lang w:val="en-US" w:eastAsia="zh-CN"/>
              </w:rPr>
            </w:pPr>
            <w:r w:rsidRPr="0033593D">
              <w:rPr>
                <w:bCs w:val="0"/>
                <w:lang w:val="en-US" w:eastAsia="zh-CN"/>
              </w:rPr>
              <w:t>Depressive symptoms (yes)</w:t>
            </w:r>
            <w:r w:rsidRPr="0033593D">
              <w:rPr>
                <w:bCs w:val="0"/>
                <w:vertAlign w:val="superscript"/>
                <w:lang w:val="en-US" w:eastAsia="zh-CN"/>
              </w:rPr>
              <w:t>c</w:t>
            </w:r>
          </w:p>
        </w:tc>
        <w:tc>
          <w:tcPr>
            <w:tcW w:w="1304" w:type="dxa"/>
            <w:tcBorders>
              <w:top w:val="nil"/>
              <w:left w:val="nil"/>
              <w:bottom w:val="nil"/>
              <w:right w:val="nil"/>
            </w:tcBorders>
            <w:shd w:val="clear" w:color="auto" w:fill="auto"/>
            <w:noWrap/>
            <w:vAlign w:val="center"/>
            <w:hideMark/>
          </w:tcPr>
          <w:p w14:paraId="02C308F3"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nil"/>
              <w:left w:val="nil"/>
              <w:bottom w:val="nil"/>
              <w:right w:val="nil"/>
            </w:tcBorders>
            <w:shd w:val="clear" w:color="auto" w:fill="auto"/>
            <w:noWrap/>
            <w:vAlign w:val="bottom"/>
            <w:hideMark/>
          </w:tcPr>
          <w:p w14:paraId="0F3AFC2A"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7.6</w:t>
            </w:r>
          </w:p>
        </w:tc>
        <w:tc>
          <w:tcPr>
            <w:tcW w:w="2250" w:type="dxa"/>
            <w:tcBorders>
              <w:top w:val="nil"/>
              <w:left w:val="nil"/>
              <w:bottom w:val="nil"/>
              <w:right w:val="nil"/>
            </w:tcBorders>
            <w:shd w:val="clear" w:color="auto" w:fill="auto"/>
            <w:noWrap/>
            <w:vAlign w:val="bottom"/>
            <w:hideMark/>
          </w:tcPr>
          <w:p w14:paraId="64E89F57"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6.2</w:t>
            </w:r>
          </w:p>
        </w:tc>
        <w:tc>
          <w:tcPr>
            <w:tcW w:w="1710" w:type="dxa"/>
            <w:tcBorders>
              <w:top w:val="nil"/>
              <w:left w:val="nil"/>
              <w:bottom w:val="nil"/>
              <w:right w:val="nil"/>
            </w:tcBorders>
            <w:shd w:val="clear" w:color="auto" w:fill="auto"/>
            <w:noWrap/>
            <w:vAlign w:val="bottom"/>
            <w:hideMark/>
          </w:tcPr>
          <w:p w14:paraId="4B35B368"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1.5</w:t>
            </w:r>
          </w:p>
        </w:tc>
        <w:tc>
          <w:tcPr>
            <w:tcW w:w="990" w:type="dxa"/>
            <w:tcBorders>
              <w:top w:val="nil"/>
              <w:left w:val="nil"/>
              <w:bottom w:val="nil"/>
              <w:right w:val="nil"/>
            </w:tcBorders>
            <w:shd w:val="clear" w:color="auto" w:fill="auto"/>
            <w:noWrap/>
            <w:vAlign w:val="bottom"/>
            <w:hideMark/>
          </w:tcPr>
          <w:p w14:paraId="66307EB6"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0.019</w:t>
            </w:r>
          </w:p>
        </w:tc>
      </w:tr>
      <w:tr w:rsidR="0033593D" w:rsidRPr="0033593D" w14:paraId="2B1A92DD" w14:textId="77777777" w:rsidTr="00D60A28">
        <w:trPr>
          <w:trHeight w:val="285"/>
        </w:trPr>
        <w:tc>
          <w:tcPr>
            <w:tcW w:w="4050" w:type="dxa"/>
            <w:tcBorders>
              <w:top w:val="nil"/>
              <w:left w:val="nil"/>
              <w:bottom w:val="nil"/>
              <w:right w:val="nil"/>
            </w:tcBorders>
            <w:shd w:val="clear" w:color="auto" w:fill="auto"/>
            <w:noWrap/>
            <w:vAlign w:val="center"/>
            <w:hideMark/>
          </w:tcPr>
          <w:p w14:paraId="7ACABEE7" w14:textId="77777777" w:rsidR="0076143F" w:rsidRPr="0033593D" w:rsidRDefault="0076143F" w:rsidP="00531775">
            <w:pPr>
              <w:adjustRightInd/>
              <w:snapToGrid/>
              <w:spacing w:afterLines="0" w:after="0" w:line="240" w:lineRule="auto"/>
              <w:rPr>
                <w:bCs w:val="0"/>
                <w:lang w:val="en-US" w:eastAsia="zh-CN"/>
              </w:rPr>
            </w:pPr>
            <w:r w:rsidRPr="0033593D">
              <w:rPr>
                <w:bCs w:val="0"/>
                <w:lang w:val="en-US" w:eastAsia="zh-CN"/>
              </w:rPr>
              <w:t>Total energy intake (kcal, day)</w:t>
            </w:r>
          </w:p>
        </w:tc>
        <w:tc>
          <w:tcPr>
            <w:tcW w:w="1304" w:type="dxa"/>
            <w:tcBorders>
              <w:top w:val="nil"/>
              <w:left w:val="nil"/>
              <w:bottom w:val="nil"/>
              <w:right w:val="nil"/>
            </w:tcBorders>
            <w:shd w:val="clear" w:color="auto" w:fill="auto"/>
            <w:noWrap/>
            <w:vAlign w:val="bottom"/>
            <w:hideMark/>
          </w:tcPr>
          <w:p w14:paraId="4F0A9AAE"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mean (se)</w:t>
            </w:r>
          </w:p>
        </w:tc>
        <w:tc>
          <w:tcPr>
            <w:tcW w:w="1576" w:type="dxa"/>
            <w:tcBorders>
              <w:top w:val="nil"/>
              <w:left w:val="nil"/>
              <w:bottom w:val="nil"/>
              <w:right w:val="nil"/>
            </w:tcBorders>
            <w:shd w:val="clear" w:color="auto" w:fill="auto"/>
            <w:noWrap/>
            <w:vAlign w:val="bottom"/>
            <w:hideMark/>
          </w:tcPr>
          <w:p w14:paraId="64DCDB4D"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2115.6 (10.5)</w:t>
            </w:r>
          </w:p>
        </w:tc>
        <w:tc>
          <w:tcPr>
            <w:tcW w:w="2250" w:type="dxa"/>
            <w:tcBorders>
              <w:top w:val="nil"/>
              <w:left w:val="nil"/>
              <w:bottom w:val="nil"/>
              <w:right w:val="nil"/>
            </w:tcBorders>
            <w:shd w:val="clear" w:color="auto" w:fill="auto"/>
            <w:noWrap/>
            <w:vAlign w:val="bottom"/>
            <w:hideMark/>
          </w:tcPr>
          <w:p w14:paraId="07D60DDD"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2295.7 (35.7)</w:t>
            </w:r>
          </w:p>
        </w:tc>
        <w:tc>
          <w:tcPr>
            <w:tcW w:w="1710" w:type="dxa"/>
            <w:tcBorders>
              <w:top w:val="nil"/>
              <w:left w:val="nil"/>
              <w:bottom w:val="nil"/>
              <w:right w:val="nil"/>
            </w:tcBorders>
            <w:shd w:val="clear" w:color="auto" w:fill="auto"/>
            <w:noWrap/>
            <w:vAlign w:val="bottom"/>
            <w:hideMark/>
          </w:tcPr>
          <w:p w14:paraId="39DE988C"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2122.6 (88.2)</w:t>
            </w:r>
          </w:p>
        </w:tc>
        <w:tc>
          <w:tcPr>
            <w:tcW w:w="990" w:type="dxa"/>
            <w:tcBorders>
              <w:top w:val="nil"/>
              <w:left w:val="nil"/>
              <w:bottom w:val="nil"/>
              <w:right w:val="nil"/>
            </w:tcBorders>
            <w:shd w:val="clear" w:color="auto" w:fill="auto"/>
            <w:noWrap/>
            <w:vAlign w:val="bottom"/>
            <w:hideMark/>
          </w:tcPr>
          <w:p w14:paraId="2B8F14B8"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0.014</w:t>
            </w:r>
          </w:p>
        </w:tc>
      </w:tr>
      <w:tr w:rsidR="0033593D" w:rsidRPr="0033593D" w14:paraId="4BC7D55E" w14:textId="77777777" w:rsidTr="00D60A28">
        <w:trPr>
          <w:trHeight w:val="285"/>
        </w:trPr>
        <w:tc>
          <w:tcPr>
            <w:tcW w:w="4050" w:type="dxa"/>
            <w:tcBorders>
              <w:top w:val="nil"/>
              <w:left w:val="nil"/>
              <w:bottom w:val="nil"/>
              <w:right w:val="nil"/>
            </w:tcBorders>
            <w:shd w:val="clear" w:color="auto" w:fill="auto"/>
            <w:noWrap/>
            <w:vAlign w:val="center"/>
            <w:hideMark/>
          </w:tcPr>
          <w:p w14:paraId="3580EEB8" w14:textId="77777777" w:rsidR="0076143F" w:rsidRPr="0033593D" w:rsidRDefault="0076143F" w:rsidP="00531775">
            <w:pPr>
              <w:adjustRightInd/>
              <w:snapToGrid/>
              <w:spacing w:afterLines="0" w:after="0" w:line="240" w:lineRule="auto"/>
              <w:rPr>
                <w:bCs w:val="0"/>
                <w:lang w:val="en-US" w:eastAsia="zh-CN"/>
              </w:rPr>
            </w:pPr>
            <w:r w:rsidRPr="0033593D">
              <w:rPr>
                <w:bCs w:val="0"/>
                <w:lang w:val="en-US" w:eastAsia="zh-CN"/>
              </w:rPr>
              <w:t>Total sugar intake (gram, day)</w:t>
            </w:r>
          </w:p>
        </w:tc>
        <w:tc>
          <w:tcPr>
            <w:tcW w:w="1304" w:type="dxa"/>
            <w:tcBorders>
              <w:top w:val="nil"/>
              <w:left w:val="nil"/>
              <w:bottom w:val="nil"/>
              <w:right w:val="nil"/>
            </w:tcBorders>
            <w:shd w:val="clear" w:color="auto" w:fill="auto"/>
            <w:noWrap/>
            <w:vAlign w:val="bottom"/>
            <w:hideMark/>
          </w:tcPr>
          <w:p w14:paraId="2E52D8CB"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mean (se)</w:t>
            </w:r>
          </w:p>
        </w:tc>
        <w:tc>
          <w:tcPr>
            <w:tcW w:w="1576" w:type="dxa"/>
            <w:tcBorders>
              <w:top w:val="nil"/>
              <w:left w:val="nil"/>
              <w:bottom w:val="nil"/>
              <w:right w:val="nil"/>
            </w:tcBorders>
            <w:shd w:val="clear" w:color="auto" w:fill="auto"/>
            <w:noWrap/>
            <w:vAlign w:val="bottom"/>
            <w:hideMark/>
          </w:tcPr>
          <w:p w14:paraId="3B53B651"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113.2 (0.9)</w:t>
            </w:r>
          </w:p>
        </w:tc>
        <w:tc>
          <w:tcPr>
            <w:tcW w:w="2250" w:type="dxa"/>
            <w:tcBorders>
              <w:top w:val="nil"/>
              <w:left w:val="nil"/>
              <w:bottom w:val="nil"/>
              <w:right w:val="nil"/>
            </w:tcBorders>
            <w:shd w:val="clear" w:color="auto" w:fill="auto"/>
            <w:noWrap/>
            <w:vAlign w:val="bottom"/>
            <w:hideMark/>
          </w:tcPr>
          <w:p w14:paraId="158621B6"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127.6 (3.0)</w:t>
            </w:r>
          </w:p>
        </w:tc>
        <w:tc>
          <w:tcPr>
            <w:tcW w:w="1710" w:type="dxa"/>
            <w:tcBorders>
              <w:top w:val="nil"/>
              <w:left w:val="nil"/>
              <w:bottom w:val="nil"/>
              <w:right w:val="nil"/>
            </w:tcBorders>
            <w:shd w:val="clear" w:color="auto" w:fill="auto"/>
            <w:noWrap/>
            <w:vAlign w:val="bottom"/>
            <w:hideMark/>
          </w:tcPr>
          <w:p w14:paraId="55C80640"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120.2 (6.4)</w:t>
            </w:r>
          </w:p>
        </w:tc>
        <w:tc>
          <w:tcPr>
            <w:tcW w:w="990" w:type="dxa"/>
            <w:tcBorders>
              <w:top w:val="nil"/>
              <w:left w:val="nil"/>
              <w:bottom w:val="nil"/>
              <w:right w:val="nil"/>
            </w:tcBorders>
            <w:shd w:val="clear" w:color="auto" w:fill="auto"/>
            <w:noWrap/>
            <w:vAlign w:val="bottom"/>
            <w:hideMark/>
          </w:tcPr>
          <w:p w14:paraId="75A4BBDC"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&lt;0.001</w:t>
            </w:r>
          </w:p>
        </w:tc>
      </w:tr>
      <w:tr w:rsidR="0033593D" w:rsidRPr="0033593D" w14:paraId="6A4F6C90" w14:textId="77777777" w:rsidTr="00D60A28">
        <w:trPr>
          <w:trHeight w:val="285"/>
        </w:trPr>
        <w:tc>
          <w:tcPr>
            <w:tcW w:w="4050" w:type="dxa"/>
            <w:tcBorders>
              <w:top w:val="nil"/>
              <w:left w:val="nil"/>
              <w:bottom w:val="nil"/>
              <w:right w:val="nil"/>
            </w:tcBorders>
            <w:shd w:val="clear" w:color="auto" w:fill="auto"/>
            <w:noWrap/>
            <w:vAlign w:val="center"/>
            <w:hideMark/>
          </w:tcPr>
          <w:p w14:paraId="4C514719" w14:textId="77777777" w:rsidR="0076143F" w:rsidRPr="0033593D" w:rsidRDefault="0076143F" w:rsidP="00531775">
            <w:pPr>
              <w:adjustRightInd/>
              <w:snapToGrid/>
              <w:spacing w:afterLines="0" w:after="0" w:line="240" w:lineRule="auto"/>
              <w:rPr>
                <w:bCs w:val="0"/>
                <w:lang w:val="en-US" w:eastAsia="zh-CN"/>
              </w:rPr>
            </w:pPr>
            <w:r w:rsidRPr="0033593D">
              <w:rPr>
                <w:bCs w:val="0"/>
                <w:lang w:val="en-US" w:eastAsia="zh-CN"/>
              </w:rPr>
              <w:t>Total chocolate intake (gram, day)</w:t>
            </w:r>
          </w:p>
        </w:tc>
        <w:tc>
          <w:tcPr>
            <w:tcW w:w="1304" w:type="dxa"/>
            <w:tcBorders>
              <w:top w:val="nil"/>
              <w:left w:val="nil"/>
              <w:bottom w:val="nil"/>
              <w:right w:val="nil"/>
            </w:tcBorders>
            <w:shd w:val="clear" w:color="auto" w:fill="auto"/>
            <w:noWrap/>
            <w:vAlign w:val="bottom"/>
            <w:hideMark/>
          </w:tcPr>
          <w:p w14:paraId="65215CA7"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mean (se)</w:t>
            </w:r>
          </w:p>
        </w:tc>
        <w:tc>
          <w:tcPr>
            <w:tcW w:w="1576" w:type="dxa"/>
            <w:tcBorders>
              <w:top w:val="nil"/>
              <w:left w:val="nil"/>
              <w:bottom w:val="nil"/>
              <w:right w:val="nil"/>
            </w:tcBorders>
            <w:shd w:val="clear" w:color="auto" w:fill="auto"/>
            <w:noWrap/>
            <w:vAlign w:val="bottom"/>
            <w:hideMark/>
          </w:tcPr>
          <w:p w14:paraId="4BEC52F3" w14:textId="77777777" w:rsidR="0076143F" w:rsidRPr="0033593D" w:rsidRDefault="0076143F" w:rsidP="00531775">
            <w:pPr>
              <w:adjustRightInd/>
              <w:snapToGrid/>
              <w:spacing w:afterLines="0" w:after="0" w:line="240" w:lineRule="auto"/>
              <w:jc w:val="center"/>
              <w:rPr>
                <w:bCs w:val="0"/>
                <w:lang w:val="en-US" w:eastAsia="zh-CN"/>
              </w:rPr>
            </w:pPr>
            <w:proofErr w:type="spellStart"/>
            <w:r w:rsidRPr="0033593D">
              <w:rPr>
                <w:bCs w:val="0"/>
                <w:lang w:val="en-US" w:eastAsia="zh-CN"/>
              </w:rPr>
              <w:t>n.a</w:t>
            </w:r>
            <w:proofErr w:type="spellEnd"/>
          </w:p>
        </w:tc>
        <w:tc>
          <w:tcPr>
            <w:tcW w:w="2250" w:type="dxa"/>
            <w:tcBorders>
              <w:top w:val="nil"/>
              <w:left w:val="nil"/>
              <w:bottom w:val="nil"/>
              <w:right w:val="nil"/>
            </w:tcBorders>
            <w:shd w:val="clear" w:color="auto" w:fill="auto"/>
            <w:noWrap/>
            <w:vAlign w:val="bottom"/>
            <w:hideMark/>
          </w:tcPr>
          <w:p w14:paraId="44371DC7"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91.8 (2.7)</w:t>
            </w:r>
          </w:p>
        </w:tc>
        <w:tc>
          <w:tcPr>
            <w:tcW w:w="1710" w:type="dxa"/>
            <w:tcBorders>
              <w:top w:val="nil"/>
              <w:left w:val="nil"/>
              <w:bottom w:val="nil"/>
              <w:right w:val="nil"/>
            </w:tcBorders>
            <w:shd w:val="clear" w:color="auto" w:fill="auto"/>
            <w:noWrap/>
            <w:vAlign w:val="bottom"/>
            <w:hideMark/>
          </w:tcPr>
          <w:p w14:paraId="117E2B8B" w14:textId="77777777" w:rsidR="0076143F" w:rsidRPr="0033593D" w:rsidRDefault="0076143F" w:rsidP="00531775">
            <w:pPr>
              <w:adjustRightInd/>
              <w:snapToGrid/>
              <w:spacing w:afterLines="0" w:after="0" w:line="240" w:lineRule="auto"/>
              <w:jc w:val="center"/>
              <w:rPr>
                <w:bCs w:val="0"/>
                <w:lang w:val="en-US" w:eastAsia="zh-CN"/>
              </w:rPr>
            </w:pPr>
            <w:r w:rsidRPr="0033593D">
              <w:rPr>
                <w:bCs w:val="0"/>
                <w:lang w:val="en-US" w:eastAsia="zh-CN"/>
              </w:rPr>
              <w:t>77.7 (5.8)</w:t>
            </w:r>
          </w:p>
        </w:tc>
        <w:tc>
          <w:tcPr>
            <w:tcW w:w="990" w:type="dxa"/>
            <w:tcBorders>
              <w:top w:val="nil"/>
              <w:left w:val="nil"/>
              <w:bottom w:val="nil"/>
              <w:right w:val="nil"/>
            </w:tcBorders>
            <w:shd w:val="clear" w:color="auto" w:fill="auto"/>
            <w:noWrap/>
            <w:vAlign w:val="bottom"/>
            <w:hideMark/>
          </w:tcPr>
          <w:p w14:paraId="30593B94" w14:textId="77777777" w:rsidR="0076143F" w:rsidRPr="0033593D" w:rsidRDefault="0076143F" w:rsidP="00531775">
            <w:pPr>
              <w:adjustRightInd/>
              <w:snapToGrid/>
              <w:spacing w:afterLines="0" w:after="0" w:line="240" w:lineRule="auto"/>
              <w:jc w:val="center"/>
              <w:rPr>
                <w:bCs w:val="0"/>
                <w:lang w:val="en-US" w:eastAsia="zh-CN"/>
              </w:rPr>
            </w:pPr>
          </w:p>
        </w:tc>
      </w:tr>
      <w:tr w:rsidR="0033593D" w:rsidRPr="0033593D" w14:paraId="16CB808C" w14:textId="77777777" w:rsidTr="00D60A28">
        <w:trPr>
          <w:trHeight w:val="285"/>
        </w:trPr>
        <w:tc>
          <w:tcPr>
            <w:tcW w:w="4050" w:type="dxa"/>
            <w:tcBorders>
              <w:top w:val="nil"/>
              <w:left w:val="nil"/>
              <w:bottom w:val="nil"/>
              <w:right w:val="nil"/>
            </w:tcBorders>
            <w:shd w:val="clear" w:color="auto" w:fill="auto"/>
            <w:noWrap/>
            <w:vAlign w:val="center"/>
          </w:tcPr>
          <w:p w14:paraId="5B85806E" w14:textId="02D51366" w:rsidR="00D60A28" w:rsidRPr="0033593D" w:rsidRDefault="00D60A28" w:rsidP="00D60A28">
            <w:pPr>
              <w:adjustRightInd/>
              <w:snapToGrid/>
              <w:spacing w:afterLines="0" w:after="0" w:line="240" w:lineRule="auto"/>
              <w:rPr>
                <w:bCs w:val="0"/>
                <w:lang w:val="en-US" w:eastAsia="zh-CN"/>
              </w:rPr>
            </w:pPr>
            <w:r w:rsidRPr="0033593D">
              <w:rPr>
                <w:bCs w:val="0"/>
                <w:lang w:val="en-US" w:eastAsia="zh-CN"/>
              </w:rPr>
              <w:t>Total dark chocolate intake (gram, day)</w:t>
            </w:r>
          </w:p>
        </w:tc>
        <w:tc>
          <w:tcPr>
            <w:tcW w:w="1304" w:type="dxa"/>
            <w:tcBorders>
              <w:top w:val="nil"/>
              <w:left w:val="nil"/>
              <w:bottom w:val="nil"/>
              <w:right w:val="nil"/>
            </w:tcBorders>
            <w:shd w:val="clear" w:color="auto" w:fill="auto"/>
            <w:noWrap/>
            <w:vAlign w:val="bottom"/>
          </w:tcPr>
          <w:p w14:paraId="2B9CE5E9" w14:textId="722D2513" w:rsidR="00D60A28" w:rsidRPr="0033593D" w:rsidRDefault="00D60A28" w:rsidP="00D60A28">
            <w:pPr>
              <w:adjustRightInd/>
              <w:snapToGrid/>
              <w:spacing w:afterLines="0" w:after="0" w:line="240" w:lineRule="auto"/>
              <w:jc w:val="center"/>
              <w:rPr>
                <w:bCs w:val="0"/>
                <w:lang w:val="en-US" w:eastAsia="zh-CN"/>
              </w:rPr>
            </w:pPr>
            <w:r w:rsidRPr="0033593D">
              <w:rPr>
                <w:bCs w:val="0"/>
                <w:lang w:val="en-US" w:eastAsia="zh-CN"/>
              </w:rPr>
              <w:t>mean (se)</w:t>
            </w:r>
          </w:p>
        </w:tc>
        <w:tc>
          <w:tcPr>
            <w:tcW w:w="1576" w:type="dxa"/>
            <w:tcBorders>
              <w:top w:val="nil"/>
              <w:left w:val="nil"/>
              <w:bottom w:val="nil"/>
              <w:right w:val="nil"/>
            </w:tcBorders>
            <w:shd w:val="clear" w:color="auto" w:fill="auto"/>
            <w:noWrap/>
            <w:vAlign w:val="bottom"/>
          </w:tcPr>
          <w:p w14:paraId="3D2CEF57" w14:textId="5D0B53BB" w:rsidR="00D60A28" w:rsidRPr="0033593D" w:rsidRDefault="00D60A28" w:rsidP="00D60A28">
            <w:pPr>
              <w:adjustRightInd/>
              <w:snapToGrid/>
              <w:spacing w:afterLines="0" w:after="0" w:line="240" w:lineRule="auto"/>
              <w:jc w:val="center"/>
              <w:rPr>
                <w:bCs w:val="0"/>
                <w:lang w:val="en-US" w:eastAsia="zh-CN"/>
              </w:rPr>
            </w:pPr>
            <w:proofErr w:type="spellStart"/>
            <w:r w:rsidRPr="0033593D">
              <w:rPr>
                <w:bCs w:val="0"/>
                <w:lang w:val="en-US" w:eastAsia="zh-CN"/>
              </w:rPr>
              <w:t>n.a</w:t>
            </w:r>
            <w:proofErr w:type="spellEnd"/>
          </w:p>
        </w:tc>
        <w:tc>
          <w:tcPr>
            <w:tcW w:w="2250" w:type="dxa"/>
            <w:tcBorders>
              <w:top w:val="nil"/>
              <w:left w:val="nil"/>
              <w:bottom w:val="nil"/>
              <w:right w:val="nil"/>
            </w:tcBorders>
            <w:shd w:val="clear" w:color="auto" w:fill="auto"/>
            <w:noWrap/>
            <w:vAlign w:val="bottom"/>
          </w:tcPr>
          <w:p w14:paraId="7FE6B252" w14:textId="16980401" w:rsidR="00D60A28" w:rsidRPr="0033593D" w:rsidRDefault="00D60A28" w:rsidP="00D60A28">
            <w:pPr>
              <w:adjustRightInd/>
              <w:snapToGrid/>
              <w:spacing w:afterLines="0" w:after="0" w:line="240" w:lineRule="auto"/>
              <w:jc w:val="center"/>
              <w:rPr>
                <w:bCs w:val="0"/>
                <w:lang w:val="en-US" w:eastAsia="zh-CN"/>
              </w:rPr>
            </w:pPr>
            <w:proofErr w:type="spellStart"/>
            <w:r w:rsidRPr="0033593D">
              <w:rPr>
                <w:bCs w:val="0"/>
                <w:lang w:val="en-US" w:eastAsia="zh-CN"/>
              </w:rPr>
              <w:t>n.a</w:t>
            </w:r>
            <w:proofErr w:type="spellEnd"/>
          </w:p>
        </w:tc>
        <w:tc>
          <w:tcPr>
            <w:tcW w:w="1710" w:type="dxa"/>
            <w:tcBorders>
              <w:top w:val="nil"/>
              <w:left w:val="nil"/>
              <w:bottom w:val="nil"/>
              <w:right w:val="nil"/>
            </w:tcBorders>
            <w:shd w:val="clear" w:color="auto" w:fill="auto"/>
            <w:noWrap/>
            <w:vAlign w:val="bottom"/>
          </w:tcPr>
          <w:p w14:paraId="5053EC33" w14:textId="35C22CAC" w:rsidR="00D60A28" w:rsidRPr="0033593D" w:rsidRDefault="00DF690F" w:rsidP="00D60A28">
            <w:pPr>
              <w:adjustRightInd/>
              <w:snapToGrid/>
              <w:spacing w:afterLines="0" w:after="0" w:line="240" w:lineRule="auto"/>
              <w:jc w:val="center"/>
              <w:rPr>
                <w:bCs w:val="0"/>
                <w:lang w:val="en-US" w:eastAsia="zh-CN"/>
              </w:rPr>
            </w:pPr>
            <w:r w:rsidRPr="0033593D">
              <w:rPr>
                <w:bCs w:val="0"/>
                <w:lang w:val="en-US" w:eastAsia="zh-CN"/>
              </w:rPr>
              <w:t>11.7 (1.0)</w:t>
            </w:r>
          </w:p>
        </w:tc>
        <w:tc>
          <w:tcPr>
            <w:tcW w:w="990" w:type="dxa"/>
            <w:tcBorders>
              <w:top w:val="nil"/>
              <w:left w:val="nil"/>
              <w:bottom w:val="nil"/>
              <w:right w:val="nil"/>
            </w:tcBorders>
            <w:shd w:val="clear" w:color="auto" w:fill="auto"/>
            <w:noWrap/>
            <w:vAlign w:val="bottom"/>
          </w:tcPr>
          <w:p w14:paraId="3E993678" w14:textId="77777777" w:rsidR="00D60A28" w:rsidRPr="0033593D" w:rsidRDefault="00D60A28" w:rsidP="00D60A28">
            <w:pPr>
              <w:adjustRightInd/>
              <w:snapToGrid/>
              <w:spacing w:afterLines="0" w:after="0" w:line="240" w:lineRule="auto"/>
              <w:jc w:val="center"/>
              <w:rPr>
                <w:bCs w:val="0"/>
                <w:lang w:val="en-US" w:eastAsia="zh-CN"/>
              </w:rPr>
            </w:pPr>
          </w:p>
        </w:tc>
      </w:tr>
      <w:tr w:rsidR="0033593D" w:rsidRPr="0033593D" w14:paraId="4492AE39" w14:textId="77777777" w:rsidTr="00D60A28">
        <w:trPr>
          <w:trHeight w:val="285"/>
        </w:trPr>
        <w:tc>
          <w:tcPr>
            <w:tcW w:w="11880" w:type="dxa"/>
            <w:gridSpan w:val="6"/>
            <w:tcBorders>
              <w:top w:val="single" w:sz="4" w:space="0" w:color="auto"/>
              <w:left w:val="nil"/>
              <w:bottom w:val="nil"/>
              <w:right w:val="nil"/>
            </w:tcBorders>
            <w:shd w:val="clear" w:color="auto" w:fill="auto"/>
            <w:noWrap/>
            <w:vAlign w:val="center"/>
            <w:hideMark/>
          </w:tcPr>
          <w:p w14:paraId="0404BB50" w14:textId="77777777" w:rsidR="00D60A28" w:rsidRPr="0033593D" w:rsidRDefault="00D60A28" w:rsidP="00D60A28">
            <w:pPr>
              <w:adjustRightInd/>
              <w:snapToGrid/>
              <w:spacing w:afterLines="0" w:after="0" w:line="240" w:lineRule="auto"/>
              <w:rPr>
                <w:bCs w:val="0"/>
                <w:lang w:val="en-US" w:eastAsia="zh-CN"/>
              </w:rPr>
            </w:pPr>
            <w:r w:rsidRPr="0033593D">
              <w:rPr>
                <w:bCs w:val="0"/>
                <w:lang w:val="en-US" w:eastAsia="zh-CN"/>
              </w:rPr>
              <w:t>a. All estimated are weighted to be nationally representative</w:t>
            </w:r>
          </w:p>
        </w:tc>
      </w:tr>
      <w:tr w:rsidR="0033593D" w:rsidRPr="0033593D" w14:paraId="149BC4CC" w14:textId="77777777" w:rsidTr="00D60A28">
        <w:trPr>
          <w:trHeight w:val="285"/>
        </w:trPr>
        <w:tc>
          <w:tcPr>
            <w:tcW w:w="11880" w:type="dxa"/>
            <w:gridSpan w:val="6"/>
            <w:tcBorders>
              <w:top w:val="nil"/>
              <w:left w:val="nil"/>
              <w:bottom w:val="nil"/>
              <w:right w:val="nil"/>
            </w:tcBorders>
            <w:shd w:val="clear" w:color="auto" w:fill="auto"/>
            <w:vAlign w:val="bottom"/>
            <w:hideMark/>
          </w:tcPr>
          <w:p w14:paraId="4A32A975" w14:textId="77777777" w:rsidR="00D60A28" w:rsidRPr="0033593D" w:rsidRDefault="00D60A28" w:rsidP="00D60A28">
            <w:pPr>
              <w:adjustRightInd/>
              <w:snapToGrid/>
              <w:spacing w:afterLines="0" w:after="0" w:line="240" w:lineRule="auto"/>
              <w:rPr>
                <w:bCs w:val="0"/>
                <w:lang w:val="en-US" w:eastAsia="zh-CN"/>
              </w:rPr>
            </w:pPr>
            <w:r w:rsidRPr="0033593D">
              <w:rPr>
                <w:bCs w:val="0"/>
                <w:lang w:val="en-US" w:eastAsia="zh-CN"/>
              </w:rPr>
              <w:t>b. Depression symptoms measured using Patient Health Questionnaire (PHQ-9): None or minimum to mild (0-9) Moderate to severe (10-27)</w:t>
            </w:r>
          </w:p>
        </w:tc>
      </w:tr>
      <w:tr w:rsidR="0033593D" w:rsidRPr="0033593D" w14:paraId="539DF8AF" w14:textId="77777777" w:rsidTr="00D60A28">
        <w:trPr>
          <w:trHeight w:val="225"/>
        </w:trPr>
        <w:tc>
          <w:tcPr>
            <w:tcW w:w="11880" w:type="dxa"/>
            <w:gridSpan w:val="6"/>
            <w:tcBorders>
              <w:top w:val="nil"/>
              <w:left w:val="nil"/>
              <w:bottom w:val="nil"/>
              <w:right w:val="nil"/>
            </w:tcBorders>
            <w:shd w:val="clear" w:color="auto" w:fill="auto"/>
            <w:noWrap/>
            <w:vAlign w:val="bottom"/>
            <w:hideMark/>
          </w:tcPr>
          <w:p w14:paraId="36D9910A" w14:textId="42840D3D" w:rsidR="00D60A28" w:rsidRPr="0033593D" w:rsidRDefault="00D60A28" w:rsidP="00D60A28">
            <w:pPr>
              <w:adjustRightInd/>
              <w:snapToGrid/>
              <w:spacing w:afterLines="0" w:after="0" w:line="240" w:lineRule="auto"/>
              <w:rPr>
                <w:bCs w:val="0"/>
                <w:lang w:val="en-US" w:eastAsia="zh-CN"/>
              </w:rPr>
            </w:pPr>
            <w:r w:rsidRPr="0033593D">
              <w:rPr>
                <w:bCs w:val="0"/>
                <w:lang w:val="en-US" w:eastAsia="zh-CN"/>
              </w:rPr>
              <w:t>c. Chronic conditions include cardiovascular disease, arthritis, and cancer.</w:t>
            </w:r>
          </w:p>
        </w:tc>
      </w:tr>
    </w:tbl>
    <w:p w14:paraId="3D7CB268" w14:textId="77777777" w:rsidR="005F3D2F" w:rsidRPr="0033593D" w:rsidRDefault="005F3D2F" w:rsidP="0076143F">
      <w:pPr>
        <w:rPr>
          <w:lang w:val="en-US"/>
        </w:rPr>
        <w:sectPr w:rsidR="005F3D2F" w:rsidRPr="0033593D" w:rsidSect="005F3D2F">
          <w:pgSz w:w="12240" w:h="15840"/>
          <w:pgMar w:top="720" w:right="720" w:bottom="720" w:left="720" w:header="720" w:footer="720" w:gutter="0"/>
          <w:cols w:space="720"/>
          <w:docGrid w:linePitch="360"/>
        </w:sectPr>
      </w:pPr>
    </w:p>
    <w:tbl>
      <w:tblPr>
        <w:tblW w:w="14670" w:type="dxa"/>
        <w:tblInd w:w="-185" w:type="dxa"/>
        <w:tblLayout w:type="fixed"/>
        <w:tblLook w:val="04A0" w:firstRow="1" w:lastRow="0" w:firstColumn="1" w:lastColumn="0" w:noHBand="0" w:noVBand="1"/>
      </w:tblPr>
      <w:tblGrid>
        <w:gridCol w:w="3413"/>
        <w:gridCol w:w="997"/>
        <w:gridCol w:w="899"/>
        <w:gridCol w:w="721"/>
        <w:gridCol w:w="270"/>
        <w:gridCol w:w="900"/>
        <w:gridCol w:w="900"/>
        <w:gridCol w:w="810"/>
        <w:gridCol w:w="270"/>
        <w:gridCol w:w="900"/>
        <w:gridCol w:w="900"/>
        <w:gridCol w:w="810"/>
        <w:gridCol w:w="270"/>
        <w:gridCol w:w="810"/>
        <w:gridCol w:w="990"/>
        <w:gridCol w:w="810"/>
      </w:tblGrid>
      <w:tr w:rsidR="0033593D" w:rsidRPr="0033593D" w14:paraId="576D2221" w14:textId="4B6CF677" w:rsidTr="00FD5D85">
        <w:trPr>
          <w:trHeight w:val="285"/>
        </w:trPr>
        <w:tc>
          <w:tcPr>
            <w:tcW w:w="14670" w:type="dxa"/>
            <w:gridSpan w:val="16"/>
            <w:tcBorders>
              <w:bottom w:val="single" w:sz="4" w:space="0" w:color="auto"/>
            </w:tcBorders>
          </w:tcPr>
          <w:p w14:paraId="18FA5A76" w14:textId="4E989936" w:rsidR="004567E5" w:rsidRPr="0033593D" w:rsidRDefault="005F3D2F" w:rsidP="00AE6183">
            <w:pPr>
              <w:adjustRightInd/>
              <w:snapToGrid/>
              <w:spacing w:afterLines="0" w:after="0" w:line="240" w:lineRule="auto"/>
              <w:rPr>
                <w:bCs w:val="0"/>
                <w:sz w:val="20"/>
                <w:szCs w:val="20"/>
                <w:lang w:val="en-US" w:eastAsia="zh-CN"/>
              </w:rPr>
            </w:pPr>
            <w:r w:rsidRPr="0033593D">
              <w:rPr>
                <w:bCs w:val="0"/>
                <w:sz w:val="20"/>
                <w:szCs w:val="20"/>
                <w:lang w:val="en-US" w:eastAsia="zh-CN"/>
              </w:rPr>
              <w:lastRenderedPageBreak/>
              <w:t>T</w:t>
            </w:r>
            <w:r w:rsidR="004567E5" w:rsidRPr="0033593D">
              <w:rPr>
                <w:bCs w:val="0"/>
                <w:sz w:val="20"/>
                <w:szCs w:val="20"/>
                <w:lang w:val="en-US" w:eastAsia="zh-CN"/>
              </w:rPr>
              <w:t>able 2 Associations of chocolate consumption with clinically relevant depressive symptoms among adults aged 20-80 years (n=13,626) in NHANES (2007-2014)</w:t>
            </w:r>
            <w:r w:rsidR="004567E5" w:rsidRPr="0033593D">
              <w:rPr>
                <w:bCs w:val="0"/>
                <w:sz w:val="20"/>
                <w:szCs w:val="20"/>
                <w:vertAlign w:val="superscript"/>
                <w:lang w:val="en-US" w:eastAsia="zh-CN"/>
              </w:rPr>
              <w:t>a</w:t>
            </w:r>
          </w:p>
        </w:tc>
      </w:tr>
      <w:tr w:rsidR="0033593D" w:rsidRPr="0033593D" w14:paraId="1D988143" w14:textId="537DB52C" w:rsidTr="00FD5D85">
        <w:trPr>
          <w:trHeight w:val="285"/>
        </w:trPr>
        <w:tc>
          <w:tcPr>
            <w:tcW w:w="3413" w:type="dxa"/>
            <w:tcBorders>
              <w:top w:val="single" w:sz="4" w:space="0" w:color="auto"/>
            </w:tcBorders>
            <w:shd w:val="clear" w:color="auto" w:fill="auto"/>
            <w:noWrap/>
            <w:vAlign w:val="bottom"/>
            <w:hideMark/>
          </w:tcPr>
          <w:p w14:paraId="10C32DD9" w14:textId="77777777" w:rsidR="004567E5" w:rsidRPr="0033593D" w:rsidRDefault="004567E5" w:rsidP="00531775">
            <w:pPr>
              <w:adjustRightInd/>
              <w:snapToGrid/>
              <w:spacing w:afterLines="0" w:after="0" w:line="240" w:lineRule="auto"/>
              <w:jc w:val="center"/>
              <w:rPr>
                <w:bCs w:val="0"/>
                <w:sz w:val="20"/>
                <w:szCs w:val="20"/>
                <w:lang w:eastAsia="zh-CN"/>
              </w:rPr>
            </w:pPr>
          </w:p>
        </w:tc>
        <w:tc>
          <w:tcPr>
            <w:tcW w:w="2617" w:type="dxa"/>
            <w:gridSpan w:val="3"/>
            <w:tcBorders>
              <w:top w:val="single" w:sz="4" w:space="0" w:color="auto"/>
            </w:tcBorders>
            <w:shd w:val="clear" w:color="auto" w:fill="auto"/>
            <w:noWrap/>
            <w:vAlign w:val="bottom"/>
            <w:hideMark/>
          </w:tcPr>
          <w:p w14:paraId="7BDA6E14" w14:textId="4F3A9BBC" w:rsidR="004567E5" w:rsidRPr="0033593D" w:rsidRDefault="00FD5D85" w:rsidP="00531775">
            <w:pPr>
              <w:adjustRightInd/>
              <w:snapToGrid/>
              <w:spacing w:afterLines="0" w:after="0" w:line="240" w:lineRule="auto"/>
              <w:rPr>
                <w:bCs w:val="0"/>
                <w:sz w:val="20"/>
                <w:szCs w:val="20"/>
                <w:lang w:val="en-US" w:eastAsia="zh-CN"/>
              </w:rPr>
            </w:pPr>
            <w:r w:rsidRPr="0033593D">
              <w:rPr>
                <w:bCs w:val="0"/>
                <w:sz w:val="20"/>
                <w:szCs w:val="20"/>
                <w:lang w:val="en-US" w:eastAsia="zh-CN"/>
              </w:rPr>
              <w:t>Unadjusted</w:t>
            </w:r>
          </w:p>
        </w:tc>
        <w:tc>
          <w:tcPr>
            <w:tcW w:w="270" w:type="dxa"/>
            <w:tcBorders>
              <w:top w:val="single" w:sz="4" w:space="0" w:color="auto"/>
            </w:tcBorders>
            <w:shd w:val="clear" w:color="auto" w:fill="auto"/>
            <w:vAlign w:val="bottom"/>
          </w:tcPr>
          <w:p w14:paraId="74A9611B" w14:textId="77777777" w:rsidR="004567E5" w:rsidRPr="0033593D" w:rsidRDefault="004567E5" w:rsidP="00531775">
            <w:pPr>
              <w:adjustRightInd/>
              <w:snapToGrid/>
              <w:spacing w:afterLines="0" w:after="0" w:line="240" w:lineRule="auto"/>
              <w:rPr>
                <w:bCs w:val="0"/>
                <w:sz w:val="20"/>
                <w:szCs w:val="20"/>
                <w:lang w:val="en-US" w:eastAsia="zh-CN"/>
              </w:rPr>
            </w:pPr>
          </w:p>
        </w:tc>
        <w:tc>
          <w:tcPr>
            <w:tcW w:w="2610" w:type="dxa"/>
            <w:gridSpan w:val="3"/>
            <w:tcBorders>
              <w:top w:val="single" w:sz="4" w:space="0" w:color="auto"/>
            </w:tcBorders>
          </w:tcPr>
          <w:p w14:paraId="783ACA05" w14:textId="18944A7B" w:rsidR="004567E5" w:rsidRPr="0033593D" w:rsidRDefault="004567E5" w:rsidP="00531775">
            <w:pPr>
              <w:adjustRightInd/>
              <w:snapToGrid/>
              <w:spacing w:afterLines="0" w:after="0" w:line="240" w:lineRule="auto"/>
              <w:rPr>
                <w:bCs w:val="0"/>
                <w:sz w:val="20"/>
                <w:szCs w:val="20"/>
                <w:lang w:val="en-US" w:eastAsia="zh-CN"/>
              </w:rPr>
            </w:pPr>
            <w:r w:rsidRPr="0033593D">
              <w:rPr>
                <w:bCs w:val="0"/>
                <w:sz w:val="20"/>
                <w:szCs w:val="20"/>
                <w:lang w:val="en-US" w:eastAsia="zh-CN"/>
              </w:rPr>
              <w:t>Multivariable-</w:t>
            </w:r>
            <w:proofErr w:type="spellStart"/>
            <w:r w:rsidRPr="0033593D">
              <w:rPr>
                <w:bCs w:val="0"/>
                <w:sz w:val="20"/>
                <w:szCs w:val="20"/>
                <w:lang w:val="en-US" w:eastAsia="zh-CN"/>
              </w:rPr>
              <w:t>adjusted</w:t>
            </w:r>
            <w:r w:rsidR="00FD5D85" w:rsidRPr="0033593D">
              <w:rPr>
                <w:bCs w:val="0"/>
                <w:sz w:val="20"/>
                <w:szCs w:val="20"/>
                <w:vertAlign w:val="superscript"/>
                <w:lang w:val="en-US" w:eastAsia="zh-CN"/>
              </w:rPr>
              <w:t>b</w:t>
            </w:r>
            <w:proofErr w:type="spellEnd"/>
          </w:p>
        </w:tc>
        <w:tc>
          <w:tcPr>
            <w:tcW w:w="270" w:type="dxa"/>
            <w:tcBorders>
              <w:top w:val="single" w:sz="4" w:space="0" w:color="auto"/>
            </w:tcBorders>
          </w:tcPr>
          <w:p w14:paraId="78E6D596" w14:textId="77777777" w:rsidR="004567E5" w:rsidRPr="0033593D" w:rsidRDefault="004567E5" w:rsidP="004567E5">
            <w:pPr>
              <w:adjustRightInd/>
              <w:snapToGrid/>
              <w:spacing w:afterLines="0" w:after="0" w:line="240" w:lineRule="auto"/>
              <w:rPr>
                <w:bCs w:val="0"/>
                <w:sz w:val="20"/>
                <w:szCs w:val="20"/>
                <w:lang w:val="en-US" w:eastAsia="zh-CN"/>
              </w:rPr>
            </w:pPr>
          </w:p>
        </w:tc>
        <w:tc>
          <w:tcPr>
            <w:tcW w:w="2610" w:type="dxa"/>
            <w:gridSpan w:val="3"/>
            <w:tcBorders>
              <w:top w:val="single" w:sz="4" w:space="0" w:color="auto"/>
            </w:tcBorders>
          </w:tcPr>
          <w:p w14:paraId="6E496332" w14:textId="2A24EAD7" w:rsidR="004567E5" w:rsidRPr="0033593D" w:rsidRDefault="00FD5D85" w:rsidP="00531775">
            <w:pPr>
              <w:adjustRightInd/>
              <w:snapToGrid/>
              <w:spacing w:afterLines="0" w:after="0" w:line="240" w:lineRule="auto"/>
              <w:rPr>
                <w:bCs w:val="0"/>
                <w:sz w:val="20"/>
                <w:szCs w:val="20"/>
                <w:lang w:val="en-US" w:eastAsia="zh-CN"/>
              </w:rPr>
            </w:pPr>
            <w:r w:rsidRPr="0033593D">
              <w:rPr>
                <w:bCs w:val="0"/>
                <w:sz w:val="20"/>
                <w:szCs w:val="20"/>
                <w:lang w:val="en-US" w:eastAsia="zh-CN"/>
              </w:rPr>
              <w:t>Multivariable-</w:t>
            </w:r>
            <w:proofErr w:type="spellStart"/>
            <w:r w:rsidRPr="0033593D">
              <w:rPr>
                <w:bCs w:val="0"/>
                <w:sz w:val="20"/>
                <w:szCs w:val="20"/>
                <w:lang w:val="en-US" w:eastAsia="zh-CN"/>
              </w:rPr>
              <w:t>adjusted</w:t>
            </w:r>
            <w:r w:rsidRPr="0033593D">
              <w:rPr>
                <w:bCs w:val="0"/>
                <w:sz w:val="20"/>
                <w:szCs w:val="20"/>
                <w:vertAlign w:val="superscript"/>
                <w:lang w:val="en-US" w:eastAsia="zh-CN"/>
              </w:rPr>
              <w:t>c</w:t>
            </w:r>
            <w:proofErr w:type="spellEnd"/>
          </w:p>
        </w:tc>
        <w:tc>
          <w:tcPr>
            <w:tcW w:w="270" w:type="dxa"/>
            <w:tcBorders>
              <w:top w:val="single" w:sz="4" w:space="0" w:color="auto"/>
            </w:tcBorders>
          </w:tcPr>
          <w:p w14:paraId="5A0E3033" w14:textId="77777777" w:rsidR="004567E5" w:rsidRPr="0033593D" w:rsidRDefault="004567E5" w:rsidP="00531775">
            <w:pPr>
              <w:adjustRightInd/>
              <w:snapToGrid/>
              <w:spacing w:afterLines="0" w:after="0" w:line="240" w:lineRule="auto"/>
              <w:rPr>
                <w:bCs w:val="0"/>
                <w:sz w:val="20"/>
                <w:szCs w:val="20"/>
                <w:lang w:val="en-US" w:eastAsia="zh-CN"/>
              </w:rPr>
            </w:pPr>
          </w:p>
        </w:tc>
        <w:tc>
          <w:tcPr>
            <w:tcW w:w="2610" w:type="dxa"/>
            <w:gridSpan w:val="3"/>
            <w:tcBorders>
              <w:top w:val="single" w:sz="4" w:space="0" w:color="auto"/>
            </w:tcBorders>
          </w:tcPr>
          <w:p w14:paraId="1E2C1E70" w14:textId="0F897DD6" w:rsidR="004567E5" w:rsidRPr="0033593D" w:rsidRDefault="00FD5D85" w:rsidP="00531775">
            <w:pPr>
              <w:adjustRightInd/>
              <w:snapToGrid/>
              <w:spacing w:afterLines="0" w:after="0" w:line="240" w:lineRule="auto"/>
              <w:rPr>
                <w:bCs w:val="0"/>
                <w:sz w:val="20"/>
                <w:szCs w:val="20"/>
                <w:lang w:val="en-US" w:eastAsia="zh-CN"/>
              </w:rPr>
            </w:pPr>
            <w:r w:rsidRPr="0033593D">
              <w:rPr>
                <w:bCs w:val="0"/>
                <w:sz w:val="20"/>
                <w:szCs w:val="20"/>
                <w:lang w:val="en-US" w:eastAsia="zh-CN"/>
              </w:rPr>
              <w:t>Multivariable-</w:t>
            </w:r>
            <w:proofErr w:type="spellStart"/>
            <w:r w:rsidRPr="0033593D">
              <w:rPr>
                <w:bCs w:val="0"/>
                <w:sz w:val="20"/>
                <w:szCs w:val="20"/>
                <w:lang w:val="en-US" w:eastAsia="zh-CN"/>
              </w:rPr>
              <w:t>adjusted</w:t>
            </w:r>
            <w:r w:rsidRPr="0033593D">
              <w:rPr>
                <w:bCs w:val="0"/>
                <w:sz w:val="20"/>
                <w:szCs w:val="20"/>
                <w:vertAlign w:val="superscript"/>
                <w:lang w:val="en-US" w:eastAsia="zh-CN"/>
              </w:rPr>
              <w:t>d</w:t>
            </w:r>
            <w:proofErr w:type="spellEnd"/>
          </w:p>
        </w:tc>
      </w:tr>
      <w:tr w:rsidR="0033593D" w:rsidRPr="0033593D" w14:paraId="4371E589" w14:textId="77777777" w:rsidTr="00FD5D85">
        <w:trPr>
          <w:trHeight w:val="285"/>
        </w:trPr>
        <w:tc>
          <w:tcPr>
            <w:tcW w:w="3413" w:type="dxa"/>
            <w:shd w:val="clear" w:color="auto" w:fill="auto"/>
            <w:noWrap/>
            <w:vAlign w:val="bottom"/>
          </w:tcPr>
          <w:p w14:paraId="44DB5F07" w14:textId="77777777" w:rsidR="004567E5" w:rsidRPr="0033593D" w:rsidRDefault="004567E5" w:rsidP="00531775">
            <w:pPr>
              <w:adjustRightInd/>
              <w:snapToGrid/>
              <w:spacing w:afterLines="0" w:after="0" w:line="240" w:lineRule="auto"/>
              <w:jc w:val="center"/>
              <w:rPr>
                <w:bCs w:val="0"/>
                <w:sz w:val="20"/>
                <w:szCs w:val="20"/>
                <w:lang w:val="en-US" w:eastAsia="zh-CN"/>
              </w:rPr>
            </w:pPr>
          </w:p>
        </w:tc>
        <w:tc>
          <w:tcPr>
            <w:tcW w:w="2617" w:type="dxa"/>
            <w:gridSpan w:val="3"/>
            <w:tcBorders>
              <w:bottom w:val="single" w:sz="4" w:space="0" w:color="auto"/>
            </w:tcBorders>
            <w:shd w:val="clear" w:color="auto" w:fill="auto"/>
            <w:noWrap/>
            <w:vAlign w:val="bottom"/>
          </w:tcPr>
          <w:p w14:paraId="66507EE6" w14:textId="5D2FE698" w:rsidR="004567E5" w:rsidRPr="0033593D" w:rsidRDefault="004567E5" w:rsidP="00FD5D85">
            <w:pPr>
              <w:adjustRightInd/>
              <w:snapToGrid/>
              <w:spacing w:afterLines="0" w:after="0" w:line="240" w:lineRule="auto"/>
              <w:jc w:val="center"/>
              <w:rPr>
                <w:bCs w:val="0"/>
                <w:sz w:val="20"/>
                <w:szCs w:val="20"/>
                <w:lang w:val="en-US" w:eastAsia="zh-CN"/>
              </w:rPr>
            </w:pPr>
            <w:r w:rsidRPr="0033593D">
              <w:rPr>
                <w:bCs w:val="0"/>
                <w:sz w:val="20"/>
                <w:szCs w:val="20"/>
                <w:lang w:val="en-US" w:eastAsia="zh-CN"/>
              </w:rPr>
              <w:t>OR(95% CI)</w:t>
            </w:r>
          </w:p>
        </w:tc>
        <w:tc>
          <w:tcPr>
            <w:tcW w:w="270" w:type="dxa"/>
            <w:tcBorders>
              <w:bottom w:val="single" w:sz="4" w:space="0" w:color="auto"/>
            </w:tcBorders>
          </w:tcPr>
          <w:p w14:paraId="39213896" w14:textId="77777777" w:rsidR="004567E5" w:rsidRPr="0033593D" w:rsidRDefault="004567E5" w:rsidP="00FD5D85">
            <w:pPr>
              <w:adjustRightInd/>
              <w:snapToGrid/>
              <w:spacing w:afterLines="0" w:after="0" w:line="240" w:lineRule="auto"/>
              <w:jc w:val="center"/>
              <w:rPr>
                <w:bCs w:val="0"/>
                <w:sz w:val="20"/>
                <w:szCs w:val="20"/>
                <w:lang w:val="en-US" w:eastAsia="zh-CN"/>
              </w:rPr>
            </w:pPr>
          </w:p>
        </w:tc>
        <w:tc>
          <w:tcPr>
            <w:tcW w:w="2610" w:type="dxa"/>
            <w:gridSpan w:val="3"/>
            <w:tcBorders>
              <w:bottom w:val="single" w:sz="4" w:space="0" w:color="auto"/>
            </w:tcBorders>
          </w:tcPr>
          <w:p w14:paraId="07676267" w14:textId="4AE030D9" w:rsidR="004567E5" w:rsidRPr="0033593D" w:rsidRDefault="004567E5" w:rsidP="00FD5D85">
            <w:pPr>
              <w:adjustRightInd/>
              <w:snapToGrid/>
              <w:spacing w:afterLines="0" w:after="0" w:line="240" w:lineRule="auto"/>
              <w:jc w:val="center"/>
              <w:rPr>
                <w:bCs w:val="0"/>
                <w:sz w:val="20"/>
                <w:szCs w:val="20"/>
                <w:lang w:val="en-US" w:eastAsia="zh-CN"/>
              </w:rPr>
            </w:pPr>
            <w:r w:rsidRPr="0033593D">
              <w:rPr>
                <w:bCs w:val="0"/>
                <w:sz w:val="20"/>
                <w:szCs w:val="20"/>
                <w:lang w:val="en-US" w:eastAsia="zh-CN"/>
              </w:rPr>
              <w:t>OR(95% CI)</w:t>
            </w:r>
          </w:p>
        </w:tc>
        <w:tc>
          <w:tcPr>
            <w:tcW w:w="270" w:type="dxa"/>
            <w:tcBorders>
              <w:bottom w:val="single" w:sz="4" w:space="0" w:color="auto"/>
            </w:tcBorders>
          </w:tcPr>
          <w:p w14:paraId="319514E7" w14:textId="77777777" w:rsidR="004567E5" w:rsidRPr="0033593D" w:rsidRDefault="004567E5" w:rsidP="00FD5D85">
            <w:pPr>
              <w:adjustRightInd/>
              <w:snapToGrid/>
              <w:spacing w:afterLines="0" w:after="0" w:line="240" w:lineRule="auto"/>
              <w:jc w:val="center"/>
              <w:rPr>
                <w:bCs w:val="0"/>
                <w:sz w:val="20"/>
                <w:szCs w:val="20"/>
                <w:lang w:val="en-US" w:eastAsia="zh-CN"/>
              </w:rPr>
            </w:pPr>
          </w:p>
        </w:tc>
        <w:tc>
          <w:tcPr>
            <w:tcW w:w="2610" w:type="dxa"/>
            <w:gridSpan w:val="3"/>
            <w:tcBorders>
              <w:bottom w:val="single" w:sz="4" w:space="0" w:color="auto"/>
            </w:tcBorders>
          </w:tcPr>
          <w:p w14:paraId="4C6DD026" w14:textId="784D7B15" w:rsidR="004567E5" w:rsidRPr="0033593D" w:rsidRDefault="004567E5" w:rsidP="00FD5D85">
            <w:pPr>
              <w:adjustRightInd/>
              <w:snapToGrid/>
              <w:spacing w:afterLines="0" w:after="0" w:line="240" w:lineRule="auto"/>
              <w:jc w:val="center"/>
              <w:rPr>
                <w:bCs w:val="0"/>
                <w:sz w:val="20"/>
                <w:szCs w:val="20"/>
                <w:lang w:val="en-US" w:eastAsia="zh-CN"/>
              </w:rPr>
            </w:pPr>
            <w:r w:rsidRPr="0033593D">
              <w:rPr>
                <w:bCs w:val="0"/>
                <w:sz w:val="20"/>
                <w:szCs w:val="20"/>
                <w:lang w:val="en-US" w:eastAsia="zh-CN"/>
              </w:rPr>
              <w:t>OR(95% CI)</w:t>
            </w:r>
          </w:p>
        </w:tc>
        <w:tc>
          <w:tcPr>
            <w:tcW w:w="270" w:type="dxa"/>
            <w:tcBorders>
              <w:bottom w:val="single" w:sz="4" w:space="0" w:color="auto"/>
            </w:tcBorders>
          </w:tcPr>
          <w:p w14:paraId="04A8452E" w14:textId="77777777" w:rsidR="004567E5" w:rsidRPr="0033593D" w:rsidRDefault="004567E5" w:rsidP="00FD5D85">
            <w:pPr>
              <w:adjustRightInd/>
              <w:snapToGrid/>
              <w:spacing w:afterLines="0" w:after="0" w:line="240" w:lineRule="auto"/>
              <w:jc w:val="center"/>
              <w:rPr>
                <w:bCs w:val="0"/>
                <w:sz w:val="20"/>
                <w:szCs w:val="20"/>
                <w:lang w:val="en-US" w:eastAsia="zh-CN"/>
              </w:rPr>
            </w:pPr>
          </w:p>
        </w:tc>
        <w:tc>
          <w:tcPr>
            <w:tcW w:w="2610" w:type="dxa"/>
            <w:gridSpan w:val="3"/>
            <w:tcBorders>
              <w:bottom w:val="single" w:sz="4" w:space="0" w:color="auto"/>
            </w:tcBorders>
          </w:tcPr>
          <w:p w14:paraId="2436BB9F" w14:textId="21BDAD26" w:rsidR="004567E5" w:rsidRPr="0033593D" w:rsidRDefault="004567E5" w:rsidP="00FD5D85">
            <w:pPr>
              <w:adjustRightInd/>
              <w:snapToGrid/>
              <w:spacing w:afterLines="0" w:after="0" w:line="240" w:lineRule="auto"/>
              <w:jc w:val="center"/>
              <w:rPr>
                <w:bCs w:val="0"/>
                <w:sz w:val="20"/>
                <w:szCs w:val="20"/>
                <w:lang w:val="en-US" w:eastAsia="zh-CN"/>
              </w:rPr>
            </w:pPr>
            <w:r w:rsidRPr="0033593D">
              <w:rPr>
                <w:bCs w:val="0"/>
                <w:sz w:val="20"/>
                <w:szCs w:val="20"/>
                <w:lang w:val="en-US" w:eastAsia="zh-CN"/>
              </w:rPr>
              <w:t>OR(95% CI)</w:t>
            </w:r>
          </w:p>
        </w:tc>
      </w:tr>
      <w:tr w:rsidR="0033593D" w:rsidRPr="0033593D" w14:paraId="5DEC3E72" w14:textId="77777777" w:rsidTr="00FD5D85">
        <w:trPr>
          <w:trHeight w:val="285"/>
        </w:trPr>
        <w:tc>
          <w:tcPr>
            <w:tcW w:w="3413" w:type="dxa"/>
            <w:shd w:val="clear" w:color="auto" w:fill="auto"/>
            <w:noWrap/>
            <w:vAlign w:val="bottom"/>
            <w:hideMark/>
          </w:tcPr>
          <w:p w14:paraId="7EA3A142" w14:textId="77777777" w:rsidR="004567E5" w:rsidRPr="0033593D" w:rsidRDefault="004567E5" w:rsidP="00531775">
            <w:pPr>
              <w:adjustRightInd/>
              <w:snapToGrid/>
              <w:spacing w:afterLines="0" w:after="0" w:line="240" w:lineRule="auto"/>
              <w:rPr>
                <w:bCs w:val="0"/>
                <w:sz w:val="20"/>
                <w:szCs w:val="20"/>
                <w:lang w:val="en-US" w:eastAsia="zh-CN"/>
              </w:rPr>
            </w:pPr>
            <w:r w:rsidRPr="0033593D">
              <w:rPr>
                <w:bCs w:val="0"/>
                <w:sz w:val="20"/>
                <w:szCs w:val="20"/>
                <w:lang w:val="en-US" w:eastAsia="zh-CN"/>
              </w:rPr>
              <w:t xml:space="preserve">Overall </w:t>
            </w:r>
            <w:proofErr w:type="spellStart"/>
            <w:r w:rsidRPr="0033593D">
              <w:rPr>
                <w:bCs w:val="0"/>
                <w:sz w:val="20"/>
                <w:szCs w:val="20"/>
                <w:lang w:val="en-US" w:eastAsia="zh-CN"/>
              </w:rPr>
              <w:t>chocolate</w:t>
            </w:r>
            <w:r w:rsidRPr="0033593D">
              <w:rPr>
                <w:bCs w:val="0"/>
                <w:sz w:val="20"/>
                <w:szCs w:val="20"/>
                <w:vertAlign w:val="superscript"/>
                <w:lang w:val="en-US" w:eastAsia="zh-CN"/>
              </w:rPr>
              <w:t>b</w:t>
            </w:r>
            <w:proofErr w:type="spellEnd"/>
          </w:p>
        </w:tc>
        <w:tc>
          <w:tcPr>
            <w:tcW w:w="997" w:type="dxa"/>
            <w:tcBorders>
              <w:top w:val="single" w:sz="4" w:space="0" w:color="auto"/>
            </w:tcBorders>
            <w:shd w:val="clear" w:color="auto" w:fill="auto"/>
            <w:noWrap/>
            <w:vAlign w:val="bottom"/>
            <w:hideMark/>
          </w:tcPr>
          <w:p w14:paraId="666E4A79" w14:textId="77777777" w:rsidR="004567E5" w:rsidRPr="0033593D" w:rsidRDefault="004567E5" w:rsidP="00531775">
            <w:pPr>
              <w:adjustRightInd/>
              <w:snapToGrid/>
              <w:spacing w:afterLines="0" w:after="0" w:line="240" w:lineRule="auto"/>
              <w:rPr>
                <w:bCs w:val="0"/>
                <w:sz w:val="20"/>
                <w:szCs w:val="20"/>
                <w:lang w:val="en-US" w:eastAsia="zh-CN"/>
              </w:rPr>
            </w:pPr>
          </w:p>
        </w:tc>
        <w:tc>
          <w:tcPr>
            <w:tcW w:w="899" w:type="dxa"/>
            <w:tcBorders>
              <w:top w:val="single" w:sz="4" w:space="0" w:color="auto"/>
            </w:tcBorders>
            <w:shd w:val="clear" w:color="auto" w:fill="auto"/>
            <w:noWrap/>
            <w:vAlign w:val="bottom"/>
            <w:hideMark/>
          </w:tcPr>
          <w:p w14:paraId="302BFA92" w14:textId="77777777" w:rsidR="004567E5" w:rsidRPr="0033593D" w:rsidRDefault="004567E5" w:rsidP="004567E5">
            <w:pPr>
              <w:adjustRightInd/>
              <w:snapToGrid/>
              <w:spacing w:afterLines="0" w:after="0" w:line="240" w:lineRule="auto"/>
              <w:jc w:val="right"/>
              <w:rPr>
                <w:bCs w:val="0"/>
                <w:sz w:val="20"/>
                <w:szCs w:val="20"/>
                <w:lang w:val="en-US" w:eastAsia="zh-CN"/>
              </w:rPr>
            </w:pPr>
          </w:p>
        </w:tc>
        <w:tc>
          <w:tcPr>
            <w:tcW w:w="721" w:type="dxa"/>
            <w:tcBorders>
              <w:top w:val="single" w:sz="4" w:space="0" w:color="auto"/>
            </w:tcBorders>
            <w:shd w:val="clear" w:color="auto" w:fill="auto"/>
            <w:noWrap/>
            <w:vAlign w:val="bottom"/>
            <w:hideMark/>
          </w:tcPr>
          <w:p w14:paraId="22387B1F" w14:textId="77777777" w:rsidR="004567E5" w:rsidRPr="0033593D" w:rsidRDefault="004567E5" w:rsidP="004567E5">
            <w:pPr>
              <w:adjustRightInd/>
              <w:snapToGrid/>
              <w:spacing w:afterLines="0" w:after="0" w:line="240" w:lineRule="auto"/>
              <w:rPr>
                <w:bCs w:val="0"/>
                <w:sz w:val="20"/>
                <w:szCs w:val="20"/>
                <w:lang w:val="en-US" w:eastAsia="zh-CN"/>
              </w:rPr>
            </w:pPr>
          </w:p>
        </w:tc>
        <w:tc>
          <w:tcPr>
            <w:tcW w:w="270" w:type="dxa"/>
            <w:tcBorders>
              <w:top w:val="single" w:sz="4" w:space="0" w:color="auto"/>
            </w:tcBorders>
          </w:tcPr>
          <w:p w14:paraId="6F0D5987" w14:textId="77777777" w:rsidR="004567E5" w:rsidRPr="0033593D" w:rsidRDefault="004567E5" w:rsidP="00531775">
            <w:pPr>
              <w:adjustRightInd/>
              <w:snapToGrid/>
              <w:spacing w:afterLines="0" w:after="0" w:line="240" w:lineRule="auto"/>
              <w:rPr>
                <w:bCs w:val="0"/>
                <w:sz w:val="20"/>
                <w:szCs w:val="20"/>
                <w:lang w:val="en-US" w:eastAsia="zh-CN"/>
              </w:rPr>
            </w:pPr>
          </w:p>
        </w:tc>
        <w:tc>
          <w:tcPr>
            <w:tcW w:w="900" w:type="dxa"/>
            <w:tcBorders>
              <w:top w:val="single" w:sz="4" w:space="0" w:color="auto"/>
            </w:tcBorders>
          </w:tcPr>
          <w:p w14:paraId="3423B380" w14:textId="77777777" w:rsidR="004567E5" w:rsidRPr="0033593D" w:rsidRDefault="004567E5" w:rsidP="00531775">
            <w:pPr>
              <w:adjustRightInd/>
              <w:snapToGrid/>
              <w:spacing w:afterLines="0" w:after="0" w:line="240" w:lineRule="auto"/>
              <w:rPr>
                <w:bCs w:val="0"/>
                <w:sz w:val="20"/>
                <w:szCs w:val="20"/>
                <w:lang w:val="en-US" w:eastAsia="zh-CN"/>
              </w:rPr>
            </w:pPr>
          </w:p>
        </w:tc>
        <w:tc>
          <w:tcPr>
            <w:tcW w:w="900" w:type="dxa"/>
            <w:tcBorders>
              <w:top w:val="single" w:sz="4" w:space="0" w:color="auto"/>
            </w:tcBorders>
          </w:tcPr>
          <w:p w14:paraId="052FB862" w14:textId="6224AD92" w:rsidR="004567E5" w:rsidRPr="0033593D" w:rsidRDefault="004567E5" w:rsidP="004567E5">
            <w:pPr>
              <w:adjustRightInd/>
              <w:snapToGrid/>
              <w:spacing w:afterLines="0" w:after="0" w:line="240" w:lineRule="auto"/>
              <w:jc w:val="right"/>
              <w:rPr>
                <w:bCs w:val="0"/>
                <w:sz w:val="20"/>
                <w:szCs w:val="20"/>
                <w:lang w:val="en-US" w:eastAsia="zh-CN"/>
              </w:rPr>
            </w:pPr>
          </w:p>
        </w:tc>
        <w:tc>
          <w:tcPr>
            <w:tcW w:w="810" w:type="dxa"/>
            <w:tcBorders>
              <w:top w:val="single" w:sz="4" w:space="0" w:color="auto"/>
            </w:tcBorders>
          </w:tcPr>
          <w:p w14:paraId="07C7B743" w14:textId="77777777" w:rsidR="004567E5" w:rsidRPr="0033593D" w:rsidRDefault="004567E5" w:rsidP="004567E5">
            <w:pPr>
              <w:adjustRightInd/>
              <w:snapToGrid/>
              <w:spacing w:afterLines="0" w:after="0" w:line="240" w:lineRule="auto"/>
              <w:rPr>
                <w:bCs w:val="0"/>
                <w:sz w:val="20"/>
                <w:szCs w:val="20"/>
                <w:lang w:val="en-US" w:eastAsia="zh-CN"/>
              </w:rPr>
            </w:pPr>
          </w:p>
        </w:tc>
        <w:tc>
          <w:tcPr>
            <w:tcW w:w="270" w:type="dxa"/>
            <w:tcBorders>
              <w:top w:val="single" w:sz="4" w:space="0" w:color="auto"/>
            </w:tcBorders>
          </w:tcPr>
          <w:p w14:paraId="5C7F4389" w14:textId="77777777" w:rsidR="004567E5" w:rsidRPr="0033593D" w:rsidRDefault="004567E5" w:rsidP="00531775">
            <w:pPr>
              <w:adjustRightInd/>
              <w:snapToGrid/>
              <w:spacing w:afterLines="0" w:after="0" w:line="240" w:lineRule="auto"/>
              <w:rPr>
                <w:bCs w:val="0"/>
                <w:sz w:val="20"/>
                <w:szCs w:val="20"/>
                <w:lang w:val="en-US" w:eastAsia="zh-CN"/>
              </w:rPr>
            </w:pPr>
          </w:p>
        </w:tc>
        <w:tc>
          <w:tcPr>
            <w:tcW w:w="900" w:type="dxa"/>
            <w:tcBorders>
              <w:top w:val="single" w:sz="4" w:space="0" w:color="auto"/>
            </w:tcBorders>
          </w:tcPr>
          <w:p w14:paraId="10DA54E7" w14:textId="77777777" w:rsidR="004567E5" w:rsidRPr="0033593D" w:rsidRDefault="004567E5" w:rsidP="00531775">
            <w:pPr>
              <w:adjustRightInd/>
              <w:snapToGrid/>
              <w:spacing w:afterLines="0" w:after="0" w:line="240" w:lineRule="auto"/>
              <w:rPr>
                <w:bCs w:val="0"/>
                <w:sz w:val="20"/>
                <w:szCs w:val="20"/>
                <w:lang w:val="en-US" w:eastAsia="zh-CN"/>
              </w:rPr>
            </w:pPr>
          </w:p>
        </w:tc>
        <w:tc>
          <w:tcPr>
            <w:tcW w:w="900" w:type="dxa"/>
            <w:tcBorders>
              <w:top w:val="single" w:sz="4" w:space="0" w:color="auto"/>
            </w:tcBorders>
          </w:tcPr>
          <w:p w14:paraId="4071355C" w14:textId="77777777" w:rsidR="004567E5" w:rsidRPr="0033593D" w:rsidRDefault="004567E5" w:rsidP="004567E5">
            <w:pPr>
              <w:adjustRightInd/>
              <w:snapToGrid/>
              <w:spacing w:afterLines="0" w:after="0" w:line="240" w:lineRule="auto"/>
              <w:jc w:val="right"/>
              <w:rPr>
                <w:bCs w:val="0"/>
                <w:sz w:val="20"/>
                <w:szCs w:val="20"/>
                <w:lang w:val="en-US" w:eastAsia="zh-CN"/>
              </w:rPr>
            </w:pPr>
          </w:p>
        </w:tc>
        <w:tc>
          <w:tcPr>
            <w:tcW w:w="810" w:type="dxa"/>
            <w:tcBorders>
              <w:top w:val="single" w:sz="4" w:space="0" w:color="auto"/>
            </w:tcBorders>
          </w:tcPr>
          <w:p w14:paraId="3397627A" w14:textId="77777777" w:rsidR="004567E5" w:rsidRPr="0033593D" w:rsidRDefault="004567E5" w:rsidP="00531775">
            <w:pPr>
              <w:adjustRightInd/>
              <w:snapToGrid/>
              <w:spacing w:afterLines="0" w:after="0" w:line="240" w:lineRule="auto"/>
              <w:rPr>
                <w:bCs w:val="0"/>
                <w:sz w:val="20"/>
                <w:szCs w:val="20"/>
                <w:lang w:val="en-US" w:eastAsia="zh-CN"/>
              </w:rPr>
            </w:pPr>
          </w:p>
        </w:tc>
        <w:tc>
          <w:tcPr>
            <w:tcW w:w="270" w:type="dxa"/>
            <w:tcBorders>
              <w:top w:val="single" w:sz="4" w:space="0" w:color="auto"/>
            </w:tcBorders>
          </w:tcPr>
          <w:p w14:paraId="49B8AB7D" w14:textId="77777777" w:rsidR="004567E5" w:rsidRPr="0033593D" w:rsidRDefault="004567E5" w:rsidP="00531775">
            <w:pPr>
              <w:adjustRightInd/>
              <w:snapToGrid/>
              <w:spacing w:afterLines="0" w:after="0" w:line="240" w:lineRule="auto"/>
              <w:rPr>
                <w:bCs w:val="0"/>
                <w:sz w:val="20"/>
                <w:szCs w:val="20"/>
                <w:lang w:val="en-US" w:eastAsia="zh-CN"/>
              </w:rPr>
            </w:pPr>
          </w:p>
        </w:tc>
        <w:tc>
          <w:tcPr>
            <w:tcW w:w="810" w:type="dxa"/>
            <w:tcBorders>
              <w:top w:val="single" w:sz="4" w:space="0" w:color="auto"/>
            </w:tcBorders>
          </w:tcPr>
          <w:p w14:paraId="13CE2C88" w14:textId="5C8A890D" w:rsidR="004567E5" w:rsidRPr="0033593D" w:rsidRDefault="004567E5" w:rsidP="00531775">
            <w:pPr>
              <w:adjustRightInd/>
              <w:snapToGrid/>
              <w:spacing w:afterLines="0" w:after="0" w:line="240" w:lineRule="auto"/>
              <w:rPr>
                <w:bCs w:val="0"/>
                <w:sz w:val="20"/>
                <w:szCs w:val="20"/>
                <w:lang w:val="en-US" w:eastAsia="zh-CN"/>
              </w:rPr>
            </w:pPr>
          </w:p>
        </w:tc>
        <w:tc>
          <w:tcPr>
            <w:tcW w:w="990" w:type="dxa"/>
            <w:tcBorders>
              <w:top w:val="single" w:sz="4" w:space="0" w:color="auto"/>
            </w:tcBorders>
          </w:tcPr>
          <w:p w14:paraId="678F10CE" w14:textId="77777777" w:rsidR="004567E5" w:rsidRPr="0033593D" w:rsidRDefault="004567E5" w:rsidP="00531775">
            <w:pPr>
              <w:adjustRightInd/>
              <w:snapToGrid/>
              <w:spacing w:afterLines="0" w:after="0" w:line="240" w:lineRule="auto"/>
              <w:rPr>
                <w:bCs w:val="0"/>
                <w:sz w:val="20"/>
                <w:szCs w:val="20"/>
                <w:lang w:val="en-US" w:eastAsia="zh-CN"/>
              </w:rPr>
            </w:pPr>
          </w:p>
        </w:tc>
        <w:tc>
          <w:tcPr>
            <w:tcW w:w="810" w:type="dxa"/>
            <w:tcBorders>
              <w:top w:val="single" w:sz="4" w:space="0" w:color="auto"/>
            </w:tcBorders>
          </w:tcPr>
          <w:p w14:paraId="6E308B99" w14:textId="1E038310" w:rsidR="004567E5" w:rsidRPr="0033593D" w:rsidRDefault="004567E5" w:rsidP="00531775">
            <w:pPr>
              <w:adjustRightInd/>
              <w:snapToGrid/>
              <w:spacing w:afterLines="0" w:after="0" w:line="240" w:lineRule="auto"/>
              <w:rPr>
                <w:bCs w:val="0"/>
                <w:sz w:val="20"/>
                <w:szCs w:val="20"/>
                <w:lang w:val="en-US" w:eastAsia="zh-CN"/>
              </w:rPr>
            </w:pPr>
          </w:p>
        </w:tc>
      </w:tr>
      <w:tr w:rsidR="0033593D" w:rsidRPr="0033593D" w14:paraId="180A1417" w14:textId="77777777" w:rsidTr="00FD5D85">
        <w:trPr>
          <w:trHeight w:val="285"/>
        </w:trPr>
        <w:tc>
          <w:tcPr>
            <w:tcW w:w="3413" w:type="dxa"/>
            <w:shd w:val="clear" w:color="auto" w:fill="auto"/>
            <w:noWrap/>
            <w:vAlign w:val="bottom"/>
            <w:hideMark/>
          </w:tcPr>
          <w:p w14:paraId="4B2483F0" w14:textId="77777777" w:rsidR="00FD5D85" w:rsidRPr="0033593D" w:rsidRDefault="00FD5D85" w:rsidP="00531775">
            <w:pPr>
              <w:adjustRightInd/>
              <w:snapToGrid/>
              <w:spacing w:afterLines="0" w:after="0" w:line="240" w:lineRule="auto"/>
              <w:ind w:firstLineChars="200" w:firstLine="400"/>
              <w:rPr>
                <w:bCs w:val="0"/>
                <w:sz w:val="20"/>
                <w:szCs w:val="20"/>
                <w:lang w:val="en-US" w:eastAsia="zh-CN"/>
              </w:rPr>
            </w:pPr>
            <w:r w:rsidRPr="0033593D">
              <w:rPr>
                <w:bCs w:val="0"/>
                <w:sz w:val="20"/>
                <w:szCs w:val="20"/>
                <w:lang w:val="en-US" w:eastAsia="zh-CN"/>
              </w:rPr>
              <w:t>None</w:t>
            </w:r>
          </w:p>
        </w:tc>
        <w:tc>
          <w:tcPr>
            <w:tcW w:w="1896" w:type="dxa"/>
            <w:gridSpan w:val="2"/>
            <w:shd w:val="clear" w:color="auto" w:fill="auto"/>
            <w:noWrap/>
            <w:vAlign w:val="bottom"/>
            <w:hideMark/>
          </w:tcPr>
          <w:p w14:paraId="52E676F0" w14:textId="77777777" w:rsidR="00FD5D85" w:rsidRPr="0033593D" w:rsidRDefault="00FD5D85" w:rsidP="00FD5D85">
            <w:pPr>
              <w:adjustRightInd/>
              <w:snapToGrid/>
              <w:spacing w:afterLines="0" w:after="0" w:line="240" w:lineRule="auto"/>
              <w:rPr>
                <w:bCs w:val="0"/>
                <w:sz w:val="20"/>
                <w:szCs w:val="20"/>
                <w:lang w:val="en-US" w:eastAsia="zh-CN"/>
              </w:rPr>
            </w:pPr>
            <w:r w:rsidRPr="0033593D">
              <w:rPr>
                <w:bCs w:val="0"/>
                <w:sz w:val="20"/>
                <w:szCs w:val="20"/>
                <w:lang w:val="en-US" w:eastAsia="zh-CN"/>
              </w:rPr>
              <w:t>Reference</w:t>
            </w:r>
          </w:p>
        </w:tc>
        <w:tc>
          <w:tcPr>
            <w:tcW w:w="721" w:type="dxa"/>
            <w:shd w:val="clear" w:color="auto" w:fill="auto"/>
            <w:noWrap/>
            <w:vAlign w:val="bottom"/>
            <w:hideMark/>
          </w:tcPr>
          <w:p w14:paraId="6E6DAC7A" w14:textId="77777777" w:rsidR="00FD5D85" w:rsidRPr="0033593D" w:rsidRDefault="00FD5D85" w:rsidP="00FD5D85">
            <w:pPr>
              <w:adjustRightInd/>
              <w:snapToGrid/>
              <w:spacing w:afterLines="0" w:after="0" w:line="240" w:lineRule="auto"/>
              <w:rPr>
                <w:bCs w:val="0"/>
                <w:sz w:val="20"/>
                <w:szCs w:val="20"/>
                <w:lang w:val="en-US" w:eastAsia="zh-CN"/>
              </w:rPr>
            </w:pPr>
          </w:p>
        </w:tc>
        <w:tc>
          <w:tcPr>
            <w:tcW w:w="270" w:type="dxa"/>
          </w:tcPr>
          <w:p w14:paraId="596A8C10" w14:textId="77777777" w:rsidR="00FD5D85" w:rsidRPr="0033593D" w:rsidRDefault="00FD5D85" w:rsidP="00FD5D85">
            <w:pPr>
              <w:adjustRightInd/>
              <w:snapToGrid/>
              <w:spacing w:afterLines="0" w:after="0" w:line="240" w:lineRule="auto"/>
              <w:ind w:firstLineChars="200" w:firstLine="400"/>
              <w:rPr>
                <w:bCs w:val="0"/>
                <w:sz w:val="20"/>
                <w:szCs w:val="20"/>
                <w:lang w:val="en-US" w:eastAsia="zh-CN"/>
              </w:rPr>
            </w:pPr>
          </w:p>
        </w:tc>
        <w:tc>
          <w:tcPr>
            <w:tcW w:w="1800" w:type="dxa"/>
            <w:gridSpan w:val="2"/>
          </w:tcPr>
          <w:p w14:paraId="1C01090D" w14:textId="201FF1AC" w:rsidR="00FD5D85" w:rsidRPr="0033593D" w:rsidRDefault="00FD5D85" w:rsidP="00FD5D85">
            <w:pPr>
              <w:adjustRightInd/>
              <w:snapToGrid/>
              <w:spacing w:afterLines="0" w:after="0" w:line="240" w:lineRule="auto"/>
              <w:rPr>
                <w:bCs w:val="0"/>
                <w:sz w:val="20"/>
                <w:szCs w:val="20"/>
                <w:lang w:val="en-US" w:eastAsia="zh-CN"/>
              </w:rPr>
            </w:pPr>
            <w:r w:rsidRPr="0033593D">
              <w:rPr>
                <w:bCs w:val="0"/>
                <w:sz w:val="20"/>
                <w:szCs w:val="20"/>
                <w:lang w:val="en-US" w:eastAsia="zh-CN"/>
              </w:rPr>
              <w:t>Reference</w:t>
            </w:r>
          </w:p>
        </w:tc>
        <w:tc>
          <w:tcPr>
            <w:tcW w:w="810" w:type="dxa"/>
          </w:tcPr>
          <w:p w14:paraId="58F73E6D" w14:textId="77777777" w:rsidR="00FD5D85" w:rsidRPr="0033593D" w:rsidRDefault="00FD5D85" w:rsidP="00FD5D85">
            <w:pPr>
              <w:adjustRightInd/>
              <w:snapToGrid/>
              <w:spacing w:afterLines="0" w:after="0" w:line="240" w:lineRule="auto"/>
              <w:ind w:firstLineChars="200" w:firstLine="400"/>
              <w:rPr>
                <w:bCs w:val="0"/>
                <w:sz w:val="20"/>
                <w:szCs w:val="20"/>
                <w:lang w:val="en-US" w:eastAsia="zh-CN"/>
              </w:rPr>
            </w:pPr>
          </w:p>
        </w:tc>
        <w:tc>
          <w:tcPr>
            <w:tcW w:w="270" w:type="dxa"/>
          </w:tcPr>
          <w:p w14:paraId="0B8206DC" w14:textId="77777777" w:rsidR="00FD5D85" w:rsidRPr="0033593D" w:rsidRDefault="00FD5D85" w:rsidP="00FD5D85">
            <w:pPr>
              <w:adjustRightInd/>
              <w:snapToGrid/>
              <w:spacing w:afterLines="0" w:after="0" w:line="240" w:lineRule="auto"/>
              <w:ind w:firstLineChars="200" w:firstLine="400"/>
              <w:rPr>
                <w:bCs w:val="0"/>
                <w:sz w:val="20"/>
                <w:szCs w:val="20"/>
                <w:lang w:val="en-US" w:eastAsia="zh-CN"/>
              </w:rPr>
            </w:pPr>
          </w:p>
        </w:tc>
        <w:tc>
          <w:tcPr>
            <w:tcW w:w="1800" w:type="dxa"/>
            <w:gridSpan w:val="2"/>
          </w:tcPr>
          <w:p w14:paraId="1108AFB3" w14:textId="54BDEDAE" w:rsidR="00FD5D85" w:rsidRPr="0033593D" w:rsidRDefault="00FD5D85" w:rsidP="00FD5D85">
            <w:pPr>
              <w:adjustRightInd/>
              <w:snapToGrid/>
              <w:spacing w:afterLines="0" w:after="0" w:line="240" w:lineRule="auto"/>
              <w:rPr>
                <w:bCs w:val="0"/>
                <w:sz w:val="20"/>
                <w:szCs w:val="20"/>
                <w:lang w:val="en-US" w:eastAsia="zh-CN"/>
              </w:rPr>
            </w:pPr>
            <w:r w:rsidRPr="0033593D">
              <w:rPr>
                <w:bCs w:val="0"/>
                <w:sz w:val="20"/>
                <w:szCs w:val="20"/>
                <w:lang w:val="en-US" w:eastAsia="zh-CN"/>
              </w:rPr>
              <w:t>Reference</w:t>
            </w:r>
          </w:p>
        </w:tc>
        <w:tc>
          <w:tcPr>
            <w:tcW w:w="810" w:type="dxa"/>
          </w:tcPr>
          <w:p w14:paraId="11C7CABC" w14:textId="77777777" w:rsidR="00FD5D85" w:rsidRPr="0033593D" w:rsidRDefault="00FD5D85" w:rsidP="00FD5D85">
            <w:pPr>
              <w:adjustRightInd/>
              <w:snapToGrid/>
              <w:spacing w:afterLines="0" w:after="0" w:line="240" w:lineRule="auto"/>
              <w:ind w:firstLineChars="200" w:firstLine="400"/>
              <w:rPr>
                <w:bCs w:val="0"/>
                <w:sz w:val="20"/>
                <w:szCs w:val="20"/>
                <w:lang w:val="en-US" w:eastAsia="zh-CN"/>
              </w:rPr>
            </w:pPr>
          </w:p>
        </w:tc>
        <w:tc>
          <w:tcPr>
            <w:tcW w:w="270" w:type="dxa"/>
          </w:tcPr>
          <w:p w14:paraId="6B86C888" w14:textId="77777777" w:rsidR="00FD5D85" w:rsidRPr="0033593D" w:rsidRDefault="00FD5D85" w:rsidP="00FD5D85">
            <w:pPr>
              <w:adjustRightInd/>
              <w:snapToGrid/>
              <w:spacing w:afterLines="0" w:after="0" w:line="240" w:lineRule="auto"/>
              <w:ind w:firstLineChars="200" w:firstLine="400"/>
              <w:rPr>
                <w:bCs w:val="0"/>
                <w:sz w:val="20"/>
                <w:szCs w:val="20"/>
                <w:lang w:val="en-US" w:eastAsia="zh-CN"/>
              </w:rPr>
            </w:pPr>
          </w:p>
        </w:tc>
        <w:tc>
          <w:tcPr>
            <w:tcW w:w="1800" w:type="dxa"/>
            <w:gridSpan w:val="2"/>
          </w:tcPr>
          <w:p w14:paraId="728B2DD5" w14:textId="53525504" w:rsidR="00FD5D85" w:rsidRPr="0033593D" w:rsidRDefault="00FD5D85" w:rsidP="00FD5D85">
            <w:pPr>
              <w:adjustRightInd/>
              <w:snapToGrid/>
              <w:spacing w:afterLines="0" w:after="0" w:line="240" w:lineRule="auto"/>
              <w:ind w:firstLineChars="200" w:firstLine="400"/>
              <w:rPr>
                <w:bCs w:val="0"/>
                <w:sz w:val="20"/>
                <w:szCs w:val="20"/>
                <w:lang w:val="en-US" w:eastAsia="zh-CN"/>
              </w:rPr>
            </w:pPr>
          </w:p>
        </w:tc>
        <w:tc>
          <w:tcPr>
            <w:tcW w:w="810" w:type="dxa"/>
          </w:tcPr>
          <w:p w14:paraId="678C2205" w14:textId="76849FE6" w:rsidR="00FD5D85" w:rsidRPr="0033593D" w:rsidRDefault="00FD5D85" w:rsidP="00531775">
            <w:pPr>
              <w:adjustRightInd/>
              <w:snapToGrid/>
              <w:spacing w:afterLines="0" w:after="0" w:line="240" w:lineRule="auto"/>
              <w:ind w:firstLineChars="200" w:firstLine="400"/>
              <w:rPr>
                <w:bCs w:val="0"/>
                <w:sz w:val="20"/>
                <w:szCs w:val="20"/>
                <w:lang w:val="en-US" w:eastAsia="zh-CN"/>
              </w:rPr>
            </w:pPr>
          </w:p>
        </w:tc>
      </w:tr>
      <w:tr w:rsidR="0033593D" w:rsidRPr="0033593D" w14:paraId="1DE385F2" w14:textId="77777777" w:rsidTr="00FD5D85">
        <w:trPr>
          <w:trHeight w:val="285"/>
        </w:trPr>
        <w:tc>
          <w:tcPr>
            <w:tcW w:w="3413" w:type="dxa"/>
            <w:shd w:val="clear" w:color="auto" w:fill="auto"/>
            <w:noWrap/>
            <w:vAlign w:val="bottom"/>
            <w:hideMark/>
          </w:tcPr>
          <w:p w14:paraId="55B177D8" w14:textId="77777777" w:rsidR="004567E5" w:rsidRPr="0033593D" w:rsidRDefault="004567E5" w:rsidP="00772106">
            <w:pPr>
              <w:adjustRightInd/>
              <w:snapToGrid/>
              <w:spacing w:afterLines="0" w:after="0" w:line="240" w:lineRule="auto"/>
              <w:ind w:firstLineChars="200" w:firstLine="400"/>
              <w:rPr>
                <w:bCs w:val="0"/>
                <w:sz w:val="20"/>
                <w:szCs w:val="20"/>
                <w:lang w:val="en-US" w:eastAsia="zh-CN"/>
              </w:rPr>
            </w:pPr>
            <w:r w:rsidRPr="0033593D">
              <w:rPr>
                <w:bCs w:val="0"/>
                <w:sz w:val="20"/>
                <w:szCs w:val="20"/>
                <w:lang w:val="en-US" w:eastAsia="zh-CN"/>
              </w:rPr>
              <w:t>Non-dark chocolate</w:t>
            </w:r>
          </w:p>
        </w:tc>
        <w:tc>
          <w:tcPr>
            <w:tcW w:w="997" w:type="dxa"/>
            <w:shd w:val="clear" w:color="auto" w:fill="auto"/>
            <w:noWrap/>
            <w:vAlign w:val="bottom"/>
            <w:hideMark/>
          </w:tcPr>
          <w:p w14:paraId="144F755F" w14:textId="1E86C013" w:rsidR="004567E5" w:rsidRPr="0033593D" w:rsidRDefault="004567E5" w:rsidP="004567E5">
            <w:pPr>
              <w:adjustRightInd/>
              <w:snapToGrid/>
              <w:spacing w:afterLines="0" w:after="0" w:line="240" w:lineRule="auto"/>
              <w:jc w:val="center"/>
              <w:rPr>
                <w:bCs w:val="0"/>
                <w:sz w:val="20"/>
                <w:szCs w:val="20"/>
                <w:lang w:val="en-US" w:eastAsia="zh-CN"/>
              </w:rPr>
            </w:pPr>
            <w:r w:rsidRPr="0033593D">
              <w:rPr>
                <w:bCs w:val="0"/>
                <w:sz w:val="20"/>
                <w:szCs w:val="20"/>
                <w:lang w:val="en-US" w:eastAsia="zh-CN"/>
              </w:rPr>
              <w:t>0.80</w:t>
            </w:r>
          </w:p>
        </w:tc>
        <w:tc>
          <w:tcPr>
            <w:tcW w:w="899" w:type="dxa"/>
            <w:shd w:val="clear" w:color="auto" w:fill="auto"/>
            <w:noWrap/>
            <w:vAlign w:val="bottom"/>
            <w:hideMark/>
          </w:tcPr>
          <w:p w14:paraId="47567BDA" w14:textId="7C65885B" w:rsidR="004567E5" w:rsidRPr="0033593D" w:rsidRDefault="004567E5" w:rsidP="004567E5">
            <w:pPr>
              <w:adjustRightInd/>
              <w:snapToGrid/>
              <w:spacing w:afterLines="0" w:after="0" w:line="240" w:lineRule="auto"/>
              <w:jc w:val="right"/>
              <w:rPr>
                <w:bCs w:val="0"/>
                <w:sz w:val="20"/>
                <w:szCs w:val="20"/>
                <w:lang w:val="en-US" w:eastAsia="zh-CN"/>
              </w:rPr>
            </w:pPr>
            <w:r w:rsidRPr="0033593D">
              <w:rPr>
                <w:bCs w:val="0"/>
                <w:sz w:val="20"/>
                <w:szCs w:val="20"/>
                <w:lang w:val="en-US" w:eastAsia="zh-CN"/>
              </w:rPr>
              <w:t>(0.59 to</w:t>
            </w:r>
          </w:p>
        </w:tc>
        <w:tc>
          <w:tcPr>
            <w:tcW w:w="721" w:type="dxa"/>
            <w:shd w:val="clear" w:color="auto" w:fill="auto"/>
            <w:noWrap/>
            <w:vAlign w:val="bottom"/>
            <w:hideMark/>
          </w:tcPr>
          <w:p w14:paraId="5BDA38D4" w14:textId="2140AFC1" w:rsidR="004567E5" w:rsidRPr="0033593D" w:rsidRDefault="004567E5" w:rsidP="004567E5">
            <w:pPr>
              <w:adjustRightInd/>
              <w:snapToGrid/>
              <w:spacing w:afterLines="0" w:after="0" w:line="240" w:lineRule="auto"/>
              <w:rPr>
                <w:bCs w:val="0"/>
                <w:sz w:val="20"/>
                <w:szCs w:val="20"/>
                <w:lang w:val="en-US" w:eastAsia="zh-CN"/>
              </w:rPr>
            </w:pPr>
            <w:r w:rsidRPr="0033593D">
              <w:rPr>
                <w:bCs w:val="0"/>
                <w:sz w:val="20"/>
                <w:szCs w:val="20"/>
                <w:lang w:val="en-US" w:eastAsia="zh-CN"/>
              </w:rPr>
              <w:t>1.08)</w:t>
            </w:r>
          </w:p>
        </w:tc>
        <w:tc>
          <w:tcPr>
            <w:tcW w:w="270" w:type="dxa"/>
          </w:tcPr>
          <w:p w14:paraId="153AB6B4" w14:textId="3CEEC7F6" w:rsidR="004567E5" w:rsidRPr="0033593D" w:rsidRDefault="004567E5" w:rsidP="004567E5">
            <w:pPr>
              <w:adjustRightInd/>
              <w:snapToGrid/>
              <w:spacing w:afterLines="0" w:after="0" w:line="240" w:lineRule="auto"/>
              <w:jc w:val="center"/>
              <w:rPr>
                <w:bCs w:val="0"/>
                <w:sz w:val="20"/>
                <w:szCs w:val="20"/>
                <w:lang w:val="en-US" w:eastAsia="zh-CN"/>
              </w:rPr>
            </w:pPr>
          </w:p>
        </w:tc>
        <w:tc>
          <w:tcPr>
            <w:tcW w:w="900" w:type="dxa"/>
            <w:vAlign w:val="bottom"/>
          </w:tcPr>
          <w:p w14:paraId="73A2961A" w14:textId="511B7C31" w:rsidR="004567E5" w:rsidRPr="0033593D" w:rsidRDefault="004567E5" w:rsidP="004567E5">
            <w:pPr>
              <w:adjustRightInd/>
              <w:snapToGrid/>
              <w:spacing w:afterLines="0" w:after="0" w:line="240" w:lineRule="auto"/>
              <w:jc w:val="center"/>
              <w:rPr>
                <w:bCs w:val="0"/>
                <w:sz w:val="20"/>
                <w:szCs w:val="20"/>
                <w:lang w:val="en-US" w:eastAsia="zh-CN"/>
              </w:rPr>
            </w:pPr>
            <w:r w:rsidRPr="0033593D">
              <w:rPr>
                <w:bCs w:val="0"/>
                <w:sz w:val="20"/>
                <w:szCs w:val="20"/>
                <w:lang w:val="en-US" w:eastAsia="zh-CN"/>
              </w:rPr>
              <w:t>0.95</w:t>
            </w:r>
          </w:p>
        </w:tc>
        <w:tc>
          <w:tcPr>
            <w:tcW w:w="900" w:type="dxa"/>
            <w:vAlign w:val="bottom"/>
          </w:tcPr>
          <w:p w14:paraId="135A76E2" w14:textId="7AE9E604" w:rsidR="004567E5" w:rsidRPr="0033593D" w:rsidRDefault="004567E5" w:rsidP="004567E5">
            <w:pPr>
              <w:adjustRightInd/>
              <w:snapToGrid/>
              <w:spacing w:afterLines="0" w:after="0" w:line="240" w:lineRule="auto"/>
              <w:jc w:val="right"/>
              <w:rPr>
                <w:bCs w:val="0"/>
                <w:sz w:val="20"/>
                <w:szCs w:val="20"/>
                <w:lang w:val="en-US" w:eastAsia="zh-CN"/>
              </w:rPr>
            </w:pPr>
            <w:r w:rsidRPr="0033593D">
              <w:rPr>
                <w:bCs w:val="0"/>
                <w:sz w:val="20"/>
                <w:szCs w:val="20"/>
                <w:lang w:val="en-US" w:eastAsia="zh-CN"/>
              </w:rPr>
              <w:t>(0.70 to</w:t>
            </w:r>
          </w:p>
        </w:tc>
        <w:tc>
          <w:tcPr>
            <w:tcW w:w="810" w:type="dxa"/>
            <w:vAlign w:val="bottom"/>
          </w:tcPr>
          <w:p w14:paraId="68D88E3C" w14:textId="3F4E5D9F" w:rsidR="004567E5" w:rsidRPr="0033593D" w:rsidRDefault="004567E5" w:rsidP="004567E5">
            <w:pPr>
              <w:adjustRightInd/>
              <w:snapToGrid/>
              <w:spacing w:afterLines="0" w:after="0" w:line="240" w:lineRule="auto"/>
              <w:rPr>
                <w:bCs w:val="0"/>
                <w:sz w:val="20"/>
                <w:szCs w:val="20"/>
                <w:lang w:val="en-US" w:eastAsia="zh-CN"/>
              </w:rPr>
            </w:pPr>
            <w:r w:rsidRPr="0033593D">
              <w:rPr>
                <w:bCs w:val="0"/>
                <w:sz w:val="20"/>
                <w:szCs w:val="20"/>
                <w:lang w:val="en-US" w:eastAsia="zh-CN"/>
              </w:rPr>
              <w:t>1.28)</w:t>
            </w:r>
          </w:p>
        </w:tc>
        <w:tc>
          <w:tcPr>
            <w:tcW w:w="270" w:type="dxa"/>
          </w:tcPr>
          <w:p w14:paraId="3CC02333" w14:textId="752C8E83" w:rsidR="004567E5" w:rsidRPr="0033593D" w:rsidRDefault="004567E5" w:rsidP="004567E5">
            <w:pPr>
              <w:adjustRightInd/>
              <w:snapToGrid/>
              <w:spacing w:afterLines="0" w:after="0" w:line="240" w:lineRule="auto"/>
              <w:jc w:val="center"/>
              <w:rPr>
                <w:bCs w:val="0"/>
                <w:sz w:val="20"/>
                <w:szCs w:val="20"/>
                <w:lang w:val="en-US" w:eastAsia="zh-CN"/>
              </w:rPr>
            </w:pPr>
          </w:p>
        </w:tc>
        <w:tc>
          <w:tcPr>
            <w:tcW w:w="900" w:type="dxa"/>
            <w:vAlign w:val="bottom"/>
          </w:tcPr>
          <w:p w14:paraId="1D87A3AE" w14:textId="1CA79E01" w:rsidR="004567E5" w:rsidRPr="0033593D" w:rsidRDefault="004567E5" w:rsidP="004567E5">
            <w:pPr>
              <w:adjustRightInd/>
              <w:snapToGrid/>
              <w:spacing w:afterLines="0" w:after="0" w:line="240" w:lineRule="auto"/>
              <w:jc w:val="center"/>
              <w:rPr>
                <w:bCs w:val="0"/>
                <w:sz w:val="20"/>
                <w:szCs w:val="20"/>
                <w:lang w:val="en-US" w:eastAsia="zh-CN"/>
              </w:rPr>
            </w:pPr>
            <w:r w:rsidRPr="0033593D">
              <w:rPr>
                <w:bCs w:val="0"/>
                <w:sz w:val="20"/>
                <w:szCs w:val="20"/>
                <w:lang w:val="en-US" w:eastAsia="zh-CN"/>
              </w:rPr>
              <w:t>0.94</w:t>
            </w:r>
          </w:p>
        </w:tc>
        <w:tc>
          <w:tcPr>
            <w:tcW w:w="900" w:type="dxa"/>
            <w:vAlign w:val="bottom"/>
          </w:tcPr>
          <w:p w14:paraId="35ABE3DE" w14:textId="65655F3B" w:rsidR="004567E5" w:rsidRPr="0033593D" w:rsidRDefault="004567E5" w:rsidP="004567E5">
            <w:pPr>
              <w:adjustRightInd/>
              <w:snapToGrid/>
              <w:spacing w:afterLines="0" w:after="0" w:line="240" w:lineRule="auto"/>
              <w:jc w:val="right"/>
              <w:rPr>
                <w:bCs w:val="0"/>
                <w:sz w:val="20"/>
                <w:szCs w:val="20"/>
                <w:lang w:val="en-US" w:eastAsia="zh-CN"/>
              </w:rPr>
            </w:pPr>
            <w:r w:rsidRPr="0033593D">
              <w:rPr>
                <w:bCs w:val="0"/>
                <w:sz w:val="20"/>
                <w:szCs w:val="20"/>
                <w:lang w:val="en-US" w:eastAsia="zh-CN"/>
              </w:rPr>
              <w:t>(0.69 to</w:t>
            </w:r>
          </w:p>
        </w:tc>
        <w:tc>
          <w:tcPr>
            <w:tcW w:w="810" w:type="dxa"/>
            <w:vAlign w:val="bottom"/>
          </w:tcPr>
          <w:p w14:paraId="732B3D87" w14:textId="7D035696" w:rsidR="004567E5" w:rsidRPr="0033593D" w:rsidRDefault="004567E5" w:rsidP="004567E5">
            <w:pPr>
              <w:adjustRightInd/>
              <w:snapToGrid/>
              <w:spacing w:afterLines="0" w:after="0" w:line="240" w:lineRule="auto"/>
              <w:rPr>
                <w:bCs w:val="0"/>
                <w:sz w:val="20"/>
                <w:szCs w:val="20"/>
                <w:lang w:val="en-US" w:eastAsia="zh-CN"/>
              </w:rPr>
            </w:pPr>
            <w:r w:rsidRPr="0033593D">
              <w:rPr>
                <w:bCs w:val="0"/>
                <w:sz w:val="20"/>
                <w:szCs w:val="20"/>
                <w:lang w:val="en-US" w:eastAsia="zh-CN"/>
              </w:rPr>
              <w:t>1.27)</w:t>
            </w:r>
          </w:p>
        </w:tc>
        <w:tc>
          <w:tcPr>
            <w:tcW w:w="270" w:type="dxa"/>
            <w:vAlign w:val="bottom"/>
          </w:tcPr>
          <w:p w14:paraId="7B63DB52" w14:textId="236DB095" w:rsidR="004567E5" w:rsidRPr="0033593D" w:rsidRDefault="004567E5" w:rsidP="004567E5">
            <w:pPr>
              <w:adjustRightInd/>
              <w:snapToGrid/>
              <w:spacing w:afterLines="0" w:after="0" w:line="240" w:lineRule="auto"/>
              <w:jc w:val="center"/>
              <w:rPr>
                <w:bCs w:val="0"/>
                <w:sz w:val="20"/>
                <w:szCs w:val="20"/>
                <w:lang w:val="en-US" w:eastAsia="zh-CN"/>
              </w:rPr>
            </w:pPr>
          </w:p>
        </w:tc>
        <w:tc>
          <w:tcPr>
            <w:tcW w:w="810" w:type="dxa"/>
            <w:vAlign w:val="bottom"/>
          </w:tcPr>
          <w:p w14:paraId="56D580E4" w14:textId="3535365D" w:rsidR="004567E5" w:rsidRPr="0033593D" w:rsidRDefault="004567E5" w:rsidP="004567E5">
            <w:pPr>
              <w:adjustRightInd/>
              <w:snapToGrid/>
              <w:spacing w:afterLines="0" w:after="0" w:line="240" w:lineRule="auto"/>
              <w:jc w:val="center"/>
              <w:rPr>
                <w:bCs w:val="0"/>
                <w:sz w:val="20"/>
                <w:szCs w:val="20"/>
                <w:lang w:val="en-US" w:eastAsia="zh-CN"/>
              </w:rPr>
            </w:pPr>
          </w:p>
        </w:tc>
        <w:tc>
          <w:tcPr>
            <w:tcW w:w="990" w:type="dxa"/>
            <w:vAlign w:val="bottom"/>
          </w:tcPr>
          <w:p w14:paraId="57BE96A6" w14:textId="4A6C3B8C" w:rsidR="004567E5" w:rsidRPr="0033593D" w:rsidRDefault="004567E5" w:rsidP="004567E5">
            <w:pPr>
              <w:adjustRightInd/>
              <w:snapToGrid/>
              <w:spacing w:afterLines="0" w:after="0" w:line="240" w:lineRule="auto"/>
              <w:jc w:val="center"/>
              <w:rPr>
                <w:bCs w:val="0"/>
                <w:sz w:val="20"/>
                <w:szCs w:val="20"/>
                <w:lang w:val="en-US" w:eastAsia="zh-CN"/>
              </w:rPr>
            </w:pPr>
          </w:p>
        </w:tc>
        <w:tc>
          <w:tcPr>
            <w:tcW w:w="810" w:type="dxa"/>
            <w:vAlign w:val="bottom"/>
          </w:tcPr>
          <w:p w14:paraId="087FDF1A" w14:textId="4268D2D0" w:rsidR="004567E5" w:rsidRPr="0033593D" w:rsidRDefault="004567E5" w:rsidP="004567E5">
            <w:pPr>
              <w:adjustRightInd/>
              <w:snapToGrid/>
              <w:spacing w:afterLines="0" w:after="0" w:line="240" w:lineRule="auto"/>
              <w:rPr>
                <w:bCs w:val="0"/>
                <w:sz w:val="20"/>
                <w:szCs w:val="20"/>
                <w:lang w:val="en-US" w:eastAsia="zh-CN"/>
              </w:rPr>
            </w:pPr>
          </w:p>
        </w:tc>
      </w:tr>
      <w:tr w:rsidR="0033593D" w:rsidRPr="0033593D" w14:paraId="70145CED" w14:textId="77777777" w:rsidTr="00FD5D85">
        <w:trPr>
          <w:trHeight w:val="285"/>
        </w:trPr>
        <w:tc>
          <w:tcPr>
            <w:tcW w:w="3413" w:type="dxa"/>
            <w:shd w:val="clear" w:color="auto" w:fill="auto"/>
            <w:noWrap/>
            <w:vAlign w:val="bottom"/>
            <w:hideMark/>
          </w:tcPr>
          <w:p w14:paraId="3C9654C1" w14:textId="77777777" w:rsidR="004567E5" w:rsidRPr="0033593D" w:rsidRDefault="004567E5" w:rsidP="00772106">
            <w:pPr>
              <w:adjustRightInd/>
              <w:snapToGrid/>
              <w:spacing w:afterLines="0" w:after="0" w:line="240" w:lineRule="auto"/>
              <w:ind w:firstLineChars="200" w:firstLine="400"/>
              <w:rPr>
                <w:bCs w:val="0"/>
                <w:sz w:val="20"/>
                <w:szCs w:val="20"/>
                <w:lang w:val="en-US" w:eastAsia="zh-CN"/>
              </w:rPr>
            </w:pPr>
            <w:r w:rsidRPr="0033593D">
              <w:rPr>
                <w:bCs w:val="0"/>
                <w:sz w:val="20"/>
                <w:szCs w:val="20"/>
                <w:lang w:val="en-US" w:eastAsia="zh-CN"/>
              </w:rPr>
              <w:t>Dark chocolate</w:t>
            </w:r>
          </w:p>
        </w:tc>
        <w:tc>
          <w:tcPr>
            <w:tcW w:w="997" w:type="dxa"/>
            <w:shd w:val="clear" w:color="auto" w:fill="auto"/>
            <w:noWrap/>
            <w:vAlign w:val="bottom"/>
            <w:hideMark/>
          </w:tcPr>
          <w:p w14:paraId="6E3E40A9" w14:textId="6694396F" w:rsidR="004567E5" w:rsidRPr="0033593D" w:rsidRDefault="004567E5" w:rsidP="004567E5">
            <w:pPr>
              <w:adjustRightInd/>
              <w:snapToGrid/>
              <w:spacing w:afterLines="0" w:after="0" w:line="240" w:lineRule="auto"/>
              <w:jc w:val="center"/>
              <w:rPr>
                <w:bCs w:val="0"/>
                <w:sz w:val="20"/>
                <w:szCs w:val="20"/>
                <w:lang w:val="en-US" w:eastAsia="zh-CN"/>
              </w:rPr>
            </w:pPr>
            <w:r w:rsidRPr="0033593D">
              <w:rPr>
                <w:bCs w:val="0"/>
                <w:sz w:val="20"/>
                <w:szCs w:val="20"/>
                <w:lang w:val="en-US" w:eastAsia="zh-CN"/>
              </w:rPr>
              <w:t>0.19</w:t>
            </w:r>
          </w:p>
        </w:tc>
        <w:tc>
          <w:tcPr>
            <w:tcW w:w="899" w:type="dxa"/>
            <w:shd w:val="clear" w:color="auto" w:fill="auto"/>
            <w:noWrap/>
            <w:vAlign w:val="bottom"/>
            <w:hideMark/>
          </w:tcPr>
          <w:p w14:paraId="65437759" w14:textId="5780B2E0" w:rsidR="004567E5" w:rsidRPr="0033593D" w:rsidRDefault="004567E5" w:rsidP="004567E5">
            <w:pPr>
              <w:adjustRightInd/>
              <w:snapToGrid/>
              <w:spacing w:afterLines="0" w:after="0" w:line="240" w:lineRule="auto"/>
              <w:jc w:val="right"/>
              <w:rPr>
                <w:bCs w:val="0"/>
                <w:sz w:val="20"/>
                <w:szCs w:val="20"/>
                <w:lang w:val="en-US" w:eastAsia="zh-CN"/>
              </w:rPr>
            </w:pPr>
            <w:r w:rsidRPr="0033593D">
              <w:rPr>
                <w:bCs w:val="0"/>
                <w:sz w:val="20"/>
                <w:szCs w:val="20"/>
                <w:lang w:val="en-US" w:eastAsia="zh-CN"/>
              </w:rPr>
              <w:t>(0.07 to</w:t>
            </w:r>
          </w:p>
        </w:tc>
        <w:tc>
          <w:tcPr>
            <w:tcW w:w="721" w:type="dxa"/>
            <w:shd w:val="clear" w:color="auto" w:fill="auto"/>
            <w:noWrap/>
            <w:vAlign w:val="bottom"/>
            <w:hideMark/>
          </w:tcPr>
          <w:p w14:paraId="68467728" w14:textId="3C87CEE8" w:rsidR="004567E5" w:rsidRPr="0033593D" w:rsidRDefault="004567E5" w:rsidP="004567E5">
            <w:pPr>
              <w:adjustRightInd/>
              <w:snapToGrid/>
              <w:spacing w:afterLines="0" w:after="0" w:line="240" w:lineRule="auto"/>
              <w:rPr>
                <w:bCs w:val="0"/>
                <w:sz w:val="20"/>
                <w:szCs w:val="20"/>
                <w:lang w:val="en-US" w:eastAsia="zh-CN"/>
              </w:rPr>
            </w:pPr>
            <w:r w:rsidRPr="0033593D">
              <w:rPr>
                <w:bCs w:val="0"/>
                <w:sz w:val="20"/>
                <w:szCs w:val="20"/>
                <w:lang w:val="en-US" w:eastAsia="zh-CN"/>
              </w:rPr>
              <w:t>0.48)</w:t>
            </w:r>
          </w:p>
        </w:tc>
        <w:tc>
          <w:tcPr>
            <w:tcW w:w="270" w:type="dxa"/>
          </w:tcPr>
          <w:p w14:paraId="5AD669A8" w14:textId="2F79F804" w:rsidR="004567E5" w:rsidRPr="0033593D" w:rsidRDefault="004567E5" w:rsidP="004567E5">
            <w:pPr>
              <w:adjustRightInd/>
              <w:snapToGrid/>
              <w:spacing w:afterLines="0" w:after="0" w:line="240" w:lineRule="auto"/>
              <w:jc w:val="center"/>
              <w:rPr>
                <w:bCs w:val="0"/>
                <w:sz w:val="20"/>
                <w:szCs w:val="20"/>
                <w:lang w:val="en-US" w:eastAsia="zh-CN"/>
              </w:rPr>
            </w:pPr>
          </w:p>
        </w:tc>
        <w:tc>
          <w:tcPr>
            <w:tcW w:w="900" w:type="dxa"/>
            <w:vAlign w:val="bottom"/>
          </w:tcPr>
          <w:p w14:paraId="2F8D0A67" w14:textId="3C5515A2" w:rsidR="004567E5" w:rsidRPr="0033593D" w:rsidRDefault="004567E5" w:rsidP="004567E5">
            <w:pPr>
              <w:adjustRightInd/>
              <w:snapToGrid/>
              <w:spacing w:afterLines="0" w:after="0" w:line="240" w:lineRule="auto"/>
              <w:jc w:val="center"/>
              <w:rPr>
                <w:bCs w:val="0"/>
                <w:sz w:val="20"/>
                <w:szCs w:val="20"/>
                <w:lang w:val="en-US" w:eastAsia="zh-CN"/>
              </w:rPr>
            </w:pPr>
            <w:r w:rsidRPr="0033593D">
              <w:rPr>
                <w:bCs w:val="0"/>
                <w:sz w:val="20"/>
                <w:szCs w:val="20"/>
                <w:lang w:val="en-US" w:eastAsia="zh-CN"/>
              </w:rPr>
              <w:t>0.30</w:t>
            </w:r>
          </w:p>
        </w:tc>
        <w:tc>
          <w:tcPr>
            <w:tcW w:w="900" w:type="dxa"/>
            <w:vAlign w:val="bottom"/>
          </w:tcPr>
          <w:p w14:paraId="6BF178D4" w14:textId="70DEC804" w:rsidR="004567E5" w:rsidRPr="0033593D" w:rsidRDefault="004567E5" w:rsidP="004567E5">
            <w:pPr>
              <w:adjustRightInd/>
              <w:snapToGrid/>
              <w:spacing w:afterLines="0" w:after="0" w:line="240" w:lineRule="auto"/>
              <w:jc w:val="right"/>
              <w:rPr>
                <w:bCs w:val="0"/>
                <w:sz w:val="20"/>
                <w:szCs w:val="20"/>
                <w:lang w:val="en-US" w:eastAsia="zh-CN"/>
              </w:rPr>
            </w:pPr>
            <w:r w:rsidRPr="0033593D">
              <w:rPr>
                <w:bCs w:val="0"/>
                <w:sz w:val="20"/>
                <w:szCs w:val="20"/>
                <w:lang w:val="en-US" w:eastAsia="zh-CN"/>
              </w:rPr>
              <w:t>(0.12 to</w:t>
            </w:r>
          </w:p>
        </w:tc>
        <w:tc>
          <w:tcPr>
            <w:tcW w:w="810" w:type="dxa"/>
            <w:vAlign w:val="bottom"/>
          </w:tcPr>
          <w:p w14:paraId="16F53BE6" w14:textId="40684777" w:rsidR="004567E5" w:rsidRPr="0033593D" w:rsidRDefault="004567E5" w:rsidP="004567E5">
            <w:pPr>
              <w:adjustRightInd/>
              <w:snapToGrid/>
              <w:spacing w:afterLines="0" w:after="0" w:line="240" w:lineRule="auto"/>
              <w:rPr>
                <w:bCs w:val="0"/>
                <w:sz w:val="20"/>
                <w:szCs w:val="20"/>
                <w:lang w:val="en-US" w:eastAsia="zh-CN"/>
              </w:rPr>
            </w:pPr>
            <w:r w:rsidRPr="0033593D">
              <w:rPr>
                <w:bCs w:val="0"/>
                <w:sz w:val="20"/>
                <w:szCs w:val="20"/>
                <w:lang w:val="en-US" w:eastAsia="zh-CN"/>
              </w:rPr>
              <w:t>0.72)</w:t>
            </w:r>
          </w:p>
        </w:tc>
        <w:tc>
          <w:tcPr>
            <w:tcW w:w="270" w:type="dxa"/>
          </w:tcPr>
          <w:p w14:paraId="71D53686" w14:textId="4964285B" w:rsidR="004567E5" w:rsidRPr="0033593D" w:rsidRDefault="004567E5" w:rsidP="004567E5">
            <w:pPr>
              <w:adjustRightInd/>
              <w:snapToGrid/>
              <w:spacing w:afterLines="0" w:after="0" w:line="240" w:lineRule="auto"/>
              <w:jc w:val="center"/>
              <w:rPr>
                <w:bCs w:val="0"/>
                <w:sz w:val="20"/>
                <w:szCs w:val="20"/>
                <w:lang w:val="en-US" w:eastAsia="zh-CN"/>
              </w:rPr>
            </w:pPr>
          </w:p>
        </w:tc>
        <w:tc>
          <w:tcPr>
            <w:tcW w:w="900" w:type="dxa"/>
            <w:vAlign w:val="bottom"/>
          </w:tcPr>
          <w:p w14:paraId="2E428363" w14:textId="041DB7E0" w:rsidR="004567E5" w:rsidRPr="0033593D" w:rsidRDefault="004567E5" w:rsidP="004567E5">
            <w:pPr>
              <w:adjustRightInd/>
              <w:snapToGrid/>
              <w:spacing w:afterLines="0" w:after="0" w:line="240" w:lineRule="auto"/>
              <w:jc w:val="center"/>
              <w:rPr>
                <w:bCs w:val="0"/>
                <w:sz w:val="20"/>
                <w:szCs w:val="20"/>
                <w:lang w:val="en-US" w:eastAsia="zh-CN"/>
              </w:rPr>
            </w:pPr>
            <w:r w:rsidRPr="0033593D">
              <w:rPr>
                <w:bCs w:val="0"/>
                <w:sz w:val="20"/>
                <w:szCs w:val="20"/>
                <w:lang w:val="en-US" w:eastAsia="zh-CN"/>
              </w:rPr>
              <w:t>0.30</w:t>
            </w:r>
          </w:p>
        </w:tc>
        <w:tc>
          <w:tcPr>
            <w:tcW w:w="900" w:type="dxa"/>
            <w:vAlign w:val="bottom"/>
          </w:tcPr>
          <w:p w14:paraId="2A3CF73A" w14:textId="0323B7C3" w:rsidR="004567E5" w:rsidRPr="0033593D" w:rsidRDefault="004567E5" w:rsidP="004567E5">
            <w:pPr>
              <w:adjustRightInd/>
              <w:snapToGrid/>
              <w:spacing w:afterLines="0" w:after="0" w:line="240" w:lineRule="auto"/>
              <w:jc w:val="right"/>
              <w:rPr>
                <w:bCs w:val="0"/>
                <w:sz w:val="20"/>
                <w:szCs w:val="20"/>
                <w:lang w:val="en-US" w:eastAsia="zh-CN"/>
              </w:rPr>
            </w:pPr>
            <w:r w:rsidRPr="0033593D">
              <w:rPr>
                <w:bCs w:val="0"/>
                <w:sz w:val="20"/>
                <w:szCs w:val="20"/>
                <w:lang w:val="en-US" w:eastAsia="zh-CN"/>
              </w:rPr>
              <w:t>(0.12 to</w:t>
            </w:r>
          </w:p>
        </w:tc>
        <w:tc>
          <w:tcPr>
            <w:tcW w:w="810" w:type="dxa"/>
            <w:vAlign w:val="bottom"/>
          </w:tcPr>
          <w:p w14:paraId="63B41716" w14:textId="0C4D6DD6" w:rsidR="004567E5" w:rsidRPr="0033593D" w:rsidRDefault="004567E5" w:rsidP="004567E5">
            <w:pPr>
              <w:adjustRightInd/>
              <w:snapToGrid/>
              <w:spacing w:afterLines="0" w:after="0" w:line="240" w:lineRule="auto"/>
              <w:rPr>
                <w:bCs w:val="0"/>
                <w:sz w:val="20"/>
                <w:szCs w:val="20"/>
                <w:lang w:val="en-US" w:eastAsia="zh-CN"/>
              </w:rPr>
            </w:pPr>
            <w:r w:rsidRPr="0033593D">
              <w:rPr>
                <w:bCs w:val="0"/>
                <w:sz w:val="20"/>
                <w:szCs w:val="20"/>
                <w:lang w:val="en-US" w:eastAsia="zh-CN"/>
              </w:rPr>
              <w:t>0.72)</w:t>
            </w:r>
          </w:p>
        </w:tc>
        <w:tc>
          <w:tcPr>
            <w:tcW w:w="270" w:type="dxa"/>
            <w:vAlign w:val="bottom"/>
          </w:tcPr>
          <w:p w14:paraId="44E4806A" w14:textId="421C0E3C" w:rsidR="004567E5" w:rsidRPr="0033593D" w:rsidRDefault="004567E5" w:rsidP="004567E5">
            <w:pPr>
              <w:adjustRightInd/>
              <w:snapToGrid/>
              <w:spacing w:afterLines="0" w:after="0" w:line="240" w:lineRule="auto"/>
              <w:jc w:val="center"/>
              <w:rPr>
                <w:bCs w:val="0"/>
                <w:sz w:val="20"/>
                <w:szCs w:val="20"/>
                <w:lang w:val="en-US" w:eastAsia="zh-CN"/>
              </w:rPr>
            </w:pPr>
          </w:p>
        </w:tc>
        <w:tc>
          <w:tcPr>
            <w:tcW w:w="810" w:type="dxa"/>
            <w:vAlign w:val="bottom"/>
          </w:tcPr>
          <w:p w14:paraId="59079B9A" w14:textId="7B17D926" w:rsidR="004567E5" w:rsidRPr="0033593D" w:rsidRDefault="004567E5" w:rsidP="004567E5">
            <w:pPr>
              <w:adjustRightInd/>
              <w:snapToGrid/>
              <w:spacing w:afterLines="0" w:after="0" w:line="240" w:lineRule="auto"/>
              <w:jc w:val="center"/>
              <w:rPr>
                <w:bCs w:val="0"/>
                <w:sz w:val="20"/>
                <w:szCs w:val="20"/>
                <w:lang w:val="en-US" w:eastAsia="zh-CN"/>
              </w:rPr>
            </w:pPr>
          </w:p>
        </w:tc>
        <w:tc>
          <w:tcPr>
            <w:tcW w:w="990" w:type="dxa"/>
            <w:vAlign w:val="bottom"/>
          </w:tcPr>
          <w:p w14:paraId="13E953DE" w14:textId="6294A201" w:rsidR="004567E5" w:rsidRPr="0033593D" w:rsidRDefault="004567E5" w:rsidP="004567E5">
            <w:pPr>
              <w:adjustRightInd/>
              <w:snapToGrid/>
              <w:spacing w:afterLines="0" w:after="0" w:line="240" w:lineRule="auto"/>
              <w:jc w:val="center"/>
              <w:rPr>
                <w:bCs w:val="0"/>
                <w:sz w:val="20"/>
                <w:szCs w:val="20"/>
                <w:lang w:val="en-US" w:eastAsia="zh-CN"/>
              </w:rPr>
            </w:pPr>
          </w:p>
        </w:tc>
        <w:tc>
          <w:tcPr>
            <w:tcW w:w="810" w:type="dxa"/>
            <w:vAlign w:val="bottom"/>
          </w:tcPr>
          <w:p w14:paraId="6EA038AE" w14:textId="44393AE1" w:rsidR="004567E5" w:rsidRPr="0033593D" w:rsidRDefault="004567E5" w:rsidP="004567E5">
            <w:pPr>
              <w:adjustRightInd/>
              <w:snapToGrid/>
              <w:spacing w:afterLines="0" w:after="0" w:line="240" w:lineRule="auto"/>
              <w:rPr>
                <w:bCs w:val="0"/>
                <w:sz w:val="20"/>
                <w:szCs w:val="20"/>
                <w:lang w:val="en-US" w:eastAsia="zh-CN"/>
              </w:rPr>
            </w:pPr>
          </w:p>
        </w:tc>
      </w:tr>
      <w:tr w:rsidR="0033593D" w:rsidRPr="0033593D" w14:paraId="0C240507" w14:textId="77777777" w:rsidTr="00FD5D85">
        <w:trPr>
          <w:trHeight w:val="285"/>
        </w:trPr>
        <w:tc>
          <w:tcPr>
            <w:tcW w:w="3413" w:type="dxa"/>
            <w:shd w:val="clear" w:color="auto" w:fill="auto"/>
            <w:noWrap/>
            <w:vAlign w:val="bottom"/>
            <w:hideMark/>
          </w:tcPr>
          <w:p w14:paraId="583DD3FA" w14:textId="77777777" w:rsidR="004567E5" w:rsidRPr="0033593D" w:rsidRDefault="004567E5" w:rsidP="00772106">
            <w:pPr>
              <w:adjustRightInd/>
              <w:snapToGrid/>
              <w:spacing w:afterLines="0" w:after="0" w:line="240" w:lineRule="auto"/>
              <w:rPr>
                <w:bCs w:val="0"/>
                <w:sz w:val="20"/>
                <w:szCs w:val="20"/>
                <w:lang w:val="en-US" w:eastAsia="zh-CN"/>
              </w:rPr>
            </w:pPr>
            <w:r w:rsidRPr="0033593D">
              <w:rPr>
                <w:bCs w:val="0"/>
                <w:sz w:val="20"/>
                <w:szCs w:val="20"/>
                <w:lang w:val="en-US" w:eastAsia="zh-CN"/>
              </w:rPr>
              <w:t xml:space="preserve">Daily chocolate </w:t>
            </w:r>
            <w:proofErr w:type="spellStart"/>
            <w:r w:rsidRPr="0033593D">
              <w:rPr>
                <w:bCs w:val="0"/>
                <w:sz w:val="20"/>
                <w:szCs w:val="20"/>
                <w:lang w:val="en-US" w:eastAsia="zh-CN"/>
              </w:rPr>
              <w:t>consumption</w:t>
            </w:r>
            <w:r w:rsidRPr="0033593D">
              <w:rPr>
                <w:bCs w:val="0"/>
                <w:sz w:val="20"/>
                <w:szCs w:val="20"/>
                <w:vertAlign w:val="superscript"/>
                <w:lang w:val="en-US" w:eastAsia="zh-CN"/>
              </w:rPr>
              <w:t>b</w:t>
            </w:r>
            <w:proofErr w:type="spellEnd"/>
          </w:p>
        </w:tc>
        <w:tc>
          <w:tcPr>
            <w:tcW w:w="997" w:type="dxa"/>
            <w:shd w:val="clear" w:color="auto" w:fill="auto"/>
            <w:noWrap/>
            <w:vAlign w:val="bottom"/>
            <w:hideMark/>
          </w:tcPr>
          <w:p w14:paraId="56F9FC9B" w14:textId="77777777" w:rsidR="004567E5" w:rsidRPr="0033593D" w:rsidRDefault="004567E5" w:rsidP="004567E5">
            <w:pPr>
              <w:adjustRightInd/>
              <w:snapToGrid/>
              <w:spacing w:afterLines="0" w:after="0" w:line="240" w:lineRule="auto"/>
              <w:jc w:val="center"/>
              <w:rPr>
                <w:bCs w:val="0"/>
                <w:sz w:val="20"/>
                <w:szCs w:val="20"/>
                <w:lang w:val="en-US" w:eastAsia="zh-CN"/>
              </w:rPr>
            </w:pPr>
          </w:p>
        </w:tc>
        <w:tc>
          <w:tcPr>
            <w:tcW w:w="899" w:type="dxa"/>
            <w:shd w:val="clear" w:color="auto" w:fill="auto"/>
            <w:noWrap/>
            <w:vAlign w:val="bottom"/>
            <w:hideMark/>
          </w:tcPr>
          <w:p w14:paraId="4F5C9788" w14:textId="77777777" w:rsidR="004567E5" w:rsidRPr="0033593D" w:rsidRDefault="004567E5" w:rsidP="004567E5">
            <w:pPr>
              <w:adjustRightInd/>
              <w:snapToGrid/>
              <w:spacing w:afterLines="0" w:after="0" w:line="240" w:lineRule="auto"/>
              <w:jc w:val="right"/>
              <w:rPr>
                <w:bCs w:val="0"/>
                <w:sz w:val="20"/>
                <w:szCs w:val="20"/>
                <w:lang w:val="en-US" w:eastAsia="zh-CN"/>
              </w:rPr>
            </w:pPr>
          </w:p>
        </w:tc>
        <w:tc>
          <w:tcPr>
            <w:tcW w:w="721" w:type="dxa"/>
            <w:shd w:val="clear" w:color="auto" w:fill="auto"/>
            <w:noWrap/>
            <w:vAlign w:val="bottom"/>
            <w:hideMark/>
          </w:tcPr>
          <w:p w14:paraId="2E2E125A" w14:textId="77777777" w:rsidR="004567E5" w:rsidRPr="0033593D" w:rsidRDefault="004567E5" w:rsidP="004567E5">
            <w:pPr>
              <w:adjustRightInd/>
              <w:snapToGrid/>
              <w:spacing w:afterLines="0" w:after="0" w:line="240" w:lineRule="auto"/>
              <w:rPr>
                <w:bCs w:val="0"/>
                <w:sz w:val="20"/>
                <w:szCs w:val="20"/>
                <w:lang w:val="en-US" w:eastAsia="zh-CN"/>
              </w:rPr>
            </w:pPr>
          </w:p>
        </w:tc>
        <w:tc>
          <w:tcPr>
            <w:tcW w:w="270" w:type="dxa"/>
          </w:tcPr>
          <w:p w14:paraId="31645D58" w14:textId="77777777" w:rsidR="004567E5" w:rsidRPr="0033593D" w:rsidRDefault="004567E5" w:rsidP="004567E5">
            <w:pPr>
              <w:adjustRightInd/>
              <w:snapToGrid/>
              <w:spacing w:afterLines="0" w:after="0" w:line="240" w:lineRule="auto"/>
              <w:jc w:val="center"/>
              <w:rPr>
                <w:bCs w:val="0"/>
                <w:sz w:val="20"/>
                <w:szCs w:val="20"/>
                <w:lang w:val="en-US" w:eastAsia="zh-CN"/>
              </w:rPr>
            </w:pPr>
          </w:p>
        </w:tc>
        <w:tc>
          <w:tcPr>
            <w:tcW w:w="900" w:type="dxa"/>
          </w:tcPr>
          <w:p w14:paraId="0E8C6B9E" w14:textId="77777777" w:rsidR="004567E5" w:rsidRPr="0033593D" w:rsidRDefault="004567E5" w:rsidP="004567E5">
            <w:pPr>
              <w:adjustRightInd/>
              <w:snapToGrid/>
              <w:spacing w:afterLines="0" w:after="0" w:line="240" w:lineRule="auto"/>
              <w:jc w:val="center"/>
              <w:rPr>
                <w:bCs w:val="0"/>
                <w:sz w:val="20"/>
                <w:szCs w:val="20"/>
                <w:lang w:val="en-US" w:eastAsia="zh-CN"/>
              </w:rPr>
            </w:pPr>
          </w:p>
        </w:tc>
        <w:tc>
          <w:tcPr>
            <w:tcW w:w="900" w:type="dxa"/>
          </w:tcPr>
          <w:p w14:paraId="2C2811B7" w14:textId="50D4CB69" w:rsidR="004567E5" w:rsidRPr="0033593D" w:rsidRDefault="004567E5" w:rsidP="004567E5">
            <w:pPr>
              <w:adjustRightInd/>
              <w:snapToGrid/>
              <w:spacing w:afterLines="0" w:after="0" w:line="240" w:lineRule="auto"/>
              <w:jc w:val="right"/>
              <w:rPr>
                <w:bCs w:val="0"/>
                <w:sz w:val="20"/>
                <w:szCs w:val="20"/>
                <w:lang w:val="en-US" w:eastAsia="zh-CN"/>
              </w:rPr>
            </w:pPr>
          </w:p>
        </w:tc>
        <w:tc>
          <w:tcPr>
            <w:tcW w:w="810" w:type="dxa"/>
          </w:tcPr>
          <w:p w14:paraId="1D841204" w14:textId="77777777" w:rsidR="004567E5" w:rsidRPr="0033593D" w:rsidRDefault="004567E5" w:rsidP="004567E5">
            <w:pPr>
              <w:adjustRightInd/>
              <w:snapToGrid/>
              <w:spacing w:afterLines="0" w:after="0" w:line="240" w:lineRule="auto"/>
              <w:rPr>
                <w:bCs w:val="0"/>
                <w:sz w:val="20"/>
                <w:szCs w:val="20"/>
                <w:lang w:val="en-US" w:eastAsia="zh-CN"/>
              </w:rPr>
            </w:pPr>
          </w:p>
        </w:tc>
        <w:tc>
          <w:tcPr>
            <w:tcW w:w="270" w:type="dxa"/>
          </w:tcPr>
          <w:p w14:paraId="590DE590" w14:textId="77777777" w:rsidR="004567E5" w:rsidRPr="0033593D" w:rsidRDefault="004567E5" w:rsidP="004567E5">
            <w:pPr>
              <w:adjustRightInd/>
              <w:snapToGrid/>
              <w:spacing w:afterLines="0" w:after="0" w:line="240" w:lineRule="auto"/>
              <w:jc w:val="center"/>
              <w:rPr>
                <w:bCs w:val="0"/>
                <w:sz w:val="20"/>
                <w:szCs w:val="20"/>
                <w:lang w:val="en-US" w:eastAsia="zh-CN"/>
              </w:rPr>
            </w:pPr>
          </w:p>
        </w:tc>
        <w:tc>
          <w:tcPr>
            <w:tcW w:w="900" w:type="dxa"/>
          </w:tcPr>
          <w:p w14:paraId="3AD6567D" w14:textId="77777777" w:rsidR="004567E5" w:rsidRPr="0033593D" w:rsidRDefault="004567E5" w:rsidP="004567E5">
            <w:pPr>
              <w:adjustRightInd/>
              <w:snapToGrid/>
              <w:spacing w:afterLines="0" w:after="0" w:line="240" w:lineRule="auto"/>
              <w:jc w:val="center"/>
              <w:rPr>
                <w:bCs w:val="0"/>
                <w:sz w:val="20"/>
                <w:szCs w:val="20"/>
                <w:lang w:val="en-US" w:eastAsia="zh-CN"/>
              </w:rPr>
            </w:pPr>
          </w:p>
        </w:tc>
        <w:tc>
          <w:tcPr>
            <w:tcW w:w="900" w:type="dxa"/>
          </w:tcPr>
          <w:p w14:paraId="5E7BF68F" w14:textId="77777777" w:rsidR="004567E5" w:rsidRPr="0033593D" w:rsidRDefault="004567E5" w:rsidP="004567E5">
            <w:pPr>
              <w:adjustRightInd/>
              <w:snapToGrid/>
              <w:spacing w:afterLines="0" w:after="0" w:line="240" w:lineRule="auto"/>
              <w:jc w:val="right"/>
              <w:rPr>
                <w:bCs w:val="0"/>
                <w:sz w:val="20"/>
                <w:szCs w:val="20"/>
                <w:lang w:val="en-US" w:eastAsia="zh-CN"/>
              </w:rPr>
            </w:pPr>
          </w:p>
        </w:tc>
        <w:tc>
          <w:tcPr>
            <w:tcW w:w="810" w:type="dxa"/>
          </w:tcPr>
          <w:p w14:paraId="550D774D" w14:textId="77777777" w:rsidR="004567E5" w:rsidRPr="0033593D" w:rsidRDefault="004567E5" w:rsidP="004567E5">
            <w:pPr>
              <w:adjustRightInd/>
              <w:snapToGrid/>
              <w:spacing w:afterLines="0" w:after="0" w:line="240" w:lineRule="auto"/>
              <w:rPr>
                <w:bCs w:val="0"/>
                <w:sz w:val="20"/>
                <w:szCs w:val="20"/>
                <w:lang w:val="en-US" w:eastAsia="zh-CN"/>
              </w:rPr>
            </w:pPr>
          </w:p>
        </w:tc>
        <w:tc>
          <w:tcPr>
            <w:tcW w:w="270" w:type="dxa"/>
          </w:tcPr>
          <w:p w14:paraId="3096F7A7" w14:textId="77777777" w:rsidR="004567E5" w:rsidRPr="0033593D" w:rsidRDefault="004567E5" w:rsidP="004567E5">
            <w:pPr>
              <w:adjustRightInd/>
              <w:snapToGrid/>
              <w:spacing w:afterLines="0" w:after="0" w:line="240" w:lineRule="auto"/>
              <w:jc w:val="center"/>
              <w:rPr>
                <w:bCs w:val="0"/>
                <w:sz w:val="20"/>
                <w:szCs w:val="20"/>
                <w:lang w:val="en-US" w:eastAsia="zh-CN"/>
              </w:rPr>
            </w:pPr>
          </w:p>
        </w:tc>
        <w:tc>
          <w:tcPr>
            <w:tcW w:w="810" w:type="dxa"/>
          </w:tcPr>
          <w:p w14:paraId="6EB3F20D" w14:textId="1A32F969" w:rsidR="004567E5" w:rsidRPr="0033593D" w:rsidRDefault="004567E5" w:rsidP="004567E5">
            <w:pPr>
              <w:adjustRightInd/>
              <w:snapToGrid/>
              <w:spacing w:afterLines="0" w:after="0" w:line="240" w:lineRule="auto"/>
              <w:jc w:val="center"/>
              <w:rPr>
                <w:bCs w:val="0"/>
                <w:sz w:val="20"/>
                <w:szCs w:val="20"/>
                <w:lang w:val="en-US" w:eastAsia="zh-CN"/>
              </w:rPr>
            </w:pPr>
          </w:p>
        </w:tc>
        <w:tc>
          <w:tcPr>
            <w:tcW w:w="990" w:type="dxa"/>
          </w:tcPr>
          <w:p w14:paraId="0859CB52" w14:textId="77777777" w:rsidR="004567E5" w:rsidRPr="0033593D" w:rsidRDefault="004567E5" w:rsidP="004567E5">
            <w:pPr>
              <w:adjustRightInd/>
              <w:snapToGrid/>
              <w:spacing w:afterLines="0" w:after="0" w:line="240" w:lineRule="auto"/>
              <w:jc w:val="center"/>
              <w:rPr>
                <w:bCs w:val="0"/>
                <w:sz w:val="20"/>
                <w:szCs w:val="20"/>
                <w:lang w:val="en-US" w:eastAsia="zh-CN"/>
              </w:rPr>
            </w:pPr>
          </w:p>
        </w:tc>
        <w:tc>
          <w:tcPr>
            <w:tcW w:w="810" w:type="dxa"/>
          </w:tcPr>
          <w:p w14:paraId="725DC17F" w14:textId="794314DB" w:rsidR="004567E5" w:rsidRPr="0033593D" w:rsidRDefault="004567E5" w:rsidP="004567E5">
            <w:pPr>
              <w:adjustRightInd/>
              <w:snapToGrid/>
              <w:spacing w:afterLines="0" w:after="0" w:line="240" w:lineRule="auto"/>
              <w:rPr>
                <w:bCs w:val="0"/>
                <w:sz w:val="20"/>
                <w:szCs w:val="20"/>
                <w:lang w:val="en-US" w:eastAsia="zh-CN"/>
              </w:rPr>
            </w:pPr>
          </w:p>
        </w:tc>
      </w:tr>
      <w:tr w:rsidR="0033593D" w:rsidRPr="0033593D" w14:paraId="53E65192" w14:textId="77777777" w:rsidTr="00FD5D85">
        <w:trPr>
          <w:trHeight w:val="285"/>
        </w:trPr>
        <w:tc>
          <w:tcPr>
            <w:tcW w:w="3413" w:type="dxa"/>
            <w:shd w:val="clear" w:color="auto" w:fill="auto"/>
            <w:noWrap/>
            <w:vAlign w:val="bottom"/>
            <w:hideMark/>
          </w:tcPr>
          <w:p w14:paraId="5CE19849" w14:textId="77777777" w:rsidR="00FD5D85" w:rsidRPr="0033593D" w:rsidRDefault="00FD5D85" w:rsidP="00772106">
            <w:pPr>
              <w:adjustRightInd/>
              <w:snapToGrid/>
              <w:spacing w:afterLines="0" w:after="0" w:line="240" w:lineRule="auto"/>
              <w:ind w:firstLineChars="200" w:firstLine="400"/>
              <w:rPr>
                <w:bCs w:val="0"/>
                <w:sz w:val="20"/>
                <w:szCs w:val="20"/>
                <w:lang w:val="en-US" w:eastAsia="zh-CN"/>
              </w:rPr>
            </w:pPr>
            <w:r w:rsidRPr="0033593D">
              <w:rPr>
                <w:bCs w:val="0"/>
                <w:sz w:val="20"/>
                <w:szCs w:val="20"/>
                <w:lang w:val="en-US" w:eastAsia="zh-CN"/>
              </w:rPr>
              <w:t>None</w:t>
            </w:r>
          </w:p>
        </w:tc>
        <w:tc>
          <w:tcPr>
            <w:tcW w:w="1896" w:type="dxa"/>
            <w:gridSpan w:val="2"/>
            <w:shd w:val="clear" w:color="auto" w:fill="auto"/>
            <w:noWrap/>
            <w:vAlign w:val="bottom"/>
            <w:hideMark/>
          </w:tcPr>
          <w:p w14:paraId="559C11F1" w14:textId="77777777" w:rsidR="00FD5D85" w:rsidRPr="0033593D" w:rsidRDefault="00FD5D85" w:rsidP="004567E5">
            <w:pPr>
              <w:adjustRightInd/>
              <w:snapToGrid/>
              <w:spacing w:afterLines="0" w:after="0" w:line="240" w:lineRule="auto"/>
              <w:rPr>
                <w:bCs w:val="0"/>
                <w:sz w:val="20"/>
                <w:szCs w:val="20"/>
                <w:lang w:val="en-US" w:eastAsia="zh-CN"/>
              </w:rPr>
            </w:pPr>
            <w:r w:rsidRPr="0033593D">
              <w:rPr>
                <w:bCs w:val="0"/>
                <w:sz w:val="20"/>
                <w:szCs w:val="20"/>
                <w:lang w:val="en-US" w:eastAsia="zh-CN"/>
              </w:rPr>
              <w:t>Reference</w:t>
            </w:r>
          </w:p>
        </w:tc>
        <w:tc>
          <w:tcPr>
            <w:tcW w:w="721" w:type="dxa"/>
            <w:shd w:val="clear" w:color="auto" w:fill="auto"/>
            <w:noWrap/>
            <w:vAlign w:val="bottom"/>
            <w:hideMark/>
          </w:tcPr>
          <w:p w14:paraId="5F693A31" w14:textId="77777777" w:rsidR="00FD5D85" w:rsidRPr="0033593D" w:rsidRDefault="00FD5D85" w:rsidP="004567E5">
            <w:pPr>
              <w:adjustRightInd/>
              <w:snapToGrid/>
              <w:spacing w:afterLines="0" w:after="0" w:line="240" w:lineRule="auto"/>
              <w:rPr>
                <w:bCs w:val="0"/>
                <w:sz w:val="20"/>
                <w:szCs w:val="20"/>
                <w:lang w:val="en-US" w:eastAsia="zh-CN"/>
              </w:rPr>
            </w:pPr>
          </w:p>
        </w:tc>
        <w:tc>
          <w:tcPr>
            <w:tcW w:w="270" w:type="dxa"/>
          </w:tcPr>
          <w:p w14:paraId="380957BC" w14:textId="77777777" w:rsidR="00FD5D85" w:rsidRPr="0033593D" w:rsidRDefault="00FD5D85" w:rsidP="004567E5">
            <w:pPr>
              <w:adjustRightInd/>
              <w:snapToGrid/>
              <w:spacing w:afterLines="0" w:after="0" w:line="240" w:lineRule="auto"/>
              <w:jc w:val="center"/>
              <w:rPr>
                <w:bCs w:val="0"/>
                <w:sz w:val="20"/>
                <w:szCs w:val="20"/>
                <w:lang w:val="en-US" w:eastAsia="zh-CN"/>
              </w:rPr>
            </w:pPr>
          </w:p>
        </w:tc>
        <w:tc>
          <w:tcPr>
            <w:tcW w:w="1800" w:type="dxa"/>
            <w:gridSpan w:val="2"/>
          </w:tcPr>
          <w:p w14:paraId="600D1A62" w14:textId="0487192C" w:rsidR="00FD5D85" w:rsidRPr="0033593D" w:rsidRDefault="00FD5D85" w:rsidP="00FD5D85">
            <w:pPr>
              <w:adjustRightInd/>
              <w:snapToGrid/>
              <w:spacing w:afterLines="0" w:after="0" w:line="240" w:lineRule="auto"/>
              <w:rPr>
                <w:bCs w:val="0"/>
                <w:sz w:val="20"/>
                <w:szCs w:val="20"/>
                <w:lang w:val="en-US" w:eastAsia="zh-CN"/>
              </w:rPr>
            </w:pPr>
            <w:r w:rsidRPr="0033593D">
              <w:rPr>
                <w:bCs w:val="0"/>
                <w:sz w:val="20"/>
                <w:szCs w:val="20"/>
                <w:lang w:val="en-US" w:eastAsia="zh-CN"/>
              </w:rPr>
              <w:t>Reference</w:t>
            </w:r>
          </w:p>
        </w:tc>
        <w:tc>
          <w:tcPr>
            <w:tcW w:w="810" w:type="dxa"/>
          </w:tcPr>
          <w:p w14:paraId="77ADC7A6" w14:textId="77777777" w:rsidR="00FD5D85" w:rsidRPr="0033593D" w:rsidRDefault="00FD5D85" w:rsidP="00FD5D85">
            <w:pPr>
              <w:adjustRightInd/>
              <w:snapToGrid/>
              <w:spacing w:afterLines="0" w:after="0" w:line="240" w:lineRule="auto"/>
              <w:rPr>
                <w:bCs w:val="0"/>
                <w:sz w:val="20"/>
                <w:szCs w:val="20"/>
                <w:lang w:val="en-US" w:eastAsia="zh-CN"/>
              </w:rPr>
            </w:pPr>
          </w:p>
        </w:tc>
        <w:tc>
          <w:tcPr>
            <w:tcW w:w="270" w:type="dxa"/>
          </w:tcPr>
          <w:p w14:paraId="0E064FF8" w14:textId="77777777" w:rsidR="00FD5D85" w:rsidRPr="0033593D" w:rsidRDefault="00FD5D85" w:rsidP="00FD5D85">
            <w:pPr>
              <w:adjustRightInd/>
              <w:snapToGrid/>
              <w:spacing w:afterLines="0" w:after="0" w:line="240" w:lineRule="auto"/>
              <w:rPr>
                <w:bCs w:val="0"/>
                <w:sz w:val="20"/>
                <w:szCs w:val="20"/>
                <w:lang w:val="en-US" w:eastAsia="zh-CN"/>
              </w:rPr>
            </w:pPr>
          </w:p>
        </w:tc>
        <w:tc>
          <w:tcPr>
            <w:tcW w:w="1800" w:type="dxa"/>
            <w:gridSpan w:val="2"/>
          </w:tcPr>
          <w:p w14:paraId="1E0CB188" w14:textId="10F387CB" w:rsidR="00FD5D85" w:rsidRPr="0033593D" w:rsidRDefault="00FD5D85" w:rsidP="00FD5D85">
            <w:pPr>
              <w:adjustRightInd/>
              <w:snapToGrid/>
              <w:spacing w:afterLines="0" w:after="0" w:line="240" w:lineRule="auto"/>
              <w:rPr>
                <w:bCs w:val="0"/>
                <w:sz w:val="20"/>
                <w:szCs w:val="20"/>
                <w:lang w:val="en-US" w:eastAsia="zh-CN"/>
              </w:rPr>
            </w:pPr>
            <w:r w:rsidRPr="0033593D">
              <w:rPr>
                <w:bCs w:val="0"/>
                <w:sz w:val="20"/>
                <w:szCs w:val="20"/>
                <w:lang w:val="en-US" w:eastAsia="zh-CN"/>
              </w:rPr>
              <w:t>Reference</w:t>
            </w:r>
          </w:p>
        </w:tc>
        <w:tc>
          <w:tcPr>
            <w:tcW w:w="810" w:type="dxa"/>
          </w:tcPr>
          <w:p w14:paraId="7130023B" w14:textId="77777777" w:rsidR="00FD5D85" w:rsidRPr="0033593D" w:rsidRDefault="00FD5D85" w:rsidP="00FD5D85">
            <w:pPr>
              <w:adjustRightInd/>
              <w:snapToGrid/>
              <w:spacing w:afterLines="0" w:after="0" w:line="240" w:lineRule="auto"/>
              <w:rPr>
                <w:bCs w:val="0"/>
                <w:sz w:val="20"/>
                <w:szCs w:val="20"/>
                <w:lang w:val="en-US" w:eastAsia="zh-CN"/>
              </w:rPr>
            </w:pPr>
          </w:p>
        </w:tc>
        <w:tc>
          <w:tcPr>
            <w:tcW w:w="270" w:type="dxa"/>
          </w:tcPr>
          <w:p w14:paraId="7A0F06C8" w14:textId="77777777" w:rsidR="00FD5D85" w:rsidRPr="0033593D" w:rsidRDefault="00FD5D85" w:rsidP="00FD5D85">
            <w:pPr>
              <w:adjustRightInd/>
              <w:snapToGrid/>
              <w:spacing w:afterLines="0" w:after="0" w:line="240" w:lineRule="auto"/>
              <w:rPr>
                <w:bCs w:val="0"/>
                <w:sz w:val="20"/>
                <w:szCs w:val="20"/>
                <w:lang w:val="en-US" w:eastAsia="zh-CN"/>
              </w:rPr>
            </w:pPr>
          </w:p>
        </w:tc>
        <w:tc>
          <w:tcPr>
            <w:tcW w:w="1800" w:type="dxa"/>
            <w:gridSpan w:val="2"/>
          </w:tcPr>
          <w:p w14:paraId="5015134A" w14:textId="55253F20" w:rsidR="00FD5D85" w:rsidRPr="0033593D" w:rsidRDefault="00FD5D85" w:rsidP="00FD5D85">
            <w:pPr>
              <w:adjustRightInd/>
              <w:snapToGrid/>
              <w:spacing w:afterLines="0" w:after="0" w:line="240" w:lineRule="auto"/>
              <w:rPr>
                <w:bCs w:val="0"/>
                <w:sz w:val="20"/>
                <w:szCs w:val="20"/>
                <w:lang w:val="en-US" w:eastAsia="zh-CN"/>
              </w:rPr>
            </w:pPr>
            <w:r w:rsidRPr="0033593D">
              <w:rPr>
                <w:bCs w:val="0"/>
                <w:sz w:val="20"/>
                <w:szCs w:val="20"/>
                <w:lang w:val="en-US" w:eastAsia="zh-CN"/>
              </w:rPr>
              <w:t>Reference</w:t>
            </w:r>
          </w:p>
        </w:tc>
        <w:tc>
          <w:tcPr>
            <w:tcW w:w="810" w:type="dxa"/>
          </w:tcPr>
          <w:p w14:paraId="597792AC" w14:textId="77D9C028" w:rsidR="00FD5D85" w:rsidRPr="0033593D" w:rsidRDefault="00FD5D85" w:rsidP="004567E5">
            <w:pPr>
              <w:adjustRightInd/>
              <w:snapToGrid/>
              <w:spacing w:afterLines="0" w:after="0" w:line="240" w:lineRule="auto"/>
              <w:rPr>
                <w:bCs w:val="0"/>
                <w:sz w:val="20"/>
                <w:szCs w:val="20"/>
                <w:lang w:val="en-US" w:eastAsia="zh-CN"/>
              </w:rPr>
            </w:pPr>
          </w:p>
        </w:tc>
      </w:tr>
      <w:tr w:rsidR="0033593D" w:rsidRPr="0033593D" w14:paraId="0882A861" w14:textId="77777777" w:rsidTr="00FD5D85">
        <w:trPr>
          <w:trHeight w:val="285"/>
        </w:trPr>
        <w:tc>
          <w:tcPr>
            <w:tcW w:w="3413" w:type="dxa"/>
            <w:shd w:val="clear" w:color="auto" w:fill="auto"/>
            <w:noWrap/>
            <w:vAlign w:val="bottom"/>
            <w:hideMark/>
          </w:tcPr>
          <w:p w14:paraId="45D43C8F" w14:textId="77777777" w:rsidR="004567E5" w:rsidRPr="0033593D" w:rsidRDefault="004567E5" w:rsidP="00772106">
            <w:pPr>
              <w:adjustRightInd/>
              <w:snapToGrid/>
              <w:spacing w:afterLines="0" w:after="0" w:line="240" w:lineRule="auto"/>
              <w:ind w:firstLineChars="200" w:firstLine="400"/>
              <w:rPr>
                <w:bCs w:val="0"/>
                <w:sz w:val="20"/>
                <w:szCs w:val="20"/>
                <w:lang w:val="en-US" w:eastAsia="zh-CN"/>
              </w:rPr>
            </w:pPr>
            <w:r w:rsidRPr="0033593D">
              <w:rPr>
                <w:bCs w:val="0"/>
                <w:sz w:val="20"/>
                <w:szCs w:val="20"/>
                <w:lang w:val="en-US" w:eastAsia="zh-CN"/>
              </w:rPr>
              <w:t>1</w:t>
            </w:r>
            <w:r w:rsidRPr="0033593D">
              <w:rPr>
                <w:bCs w:val="0"/>
                <w:sz w:val="20"/>
                <w:szCs w:val="20"/>
                <w:vertAlign w:val="superscript"/>
                <w:lang w:val="en-US" w:eastAsia="zh-CN"/>
              </w:rPr>
              <w:t>st</w:t>
            </w:r>
            <w:r w:rsidRPr="0033593D">
              <w:rPr>
                <w:bCs w:val="0"/>
                <w:sz w:val="20"/>
                <w:szCs w:val="20"/>
                <w:lang w:val="en-US" w:eastAsia="zh-CN"/>
              </w:rPr>
              <w:t xml:space="preserve"> quartile (4.1 – 35.0 grams)</w:t>
            </w:r>
          </w:p>
        </w:tc>
        <w:tc>
          <w:tcPr>
            <w:tcW w:w="997" w:type="dxa"/>
            <w:shd w:val="clear" w:color="auto" w:fill="auto"/>
            <w:noWrap/>
            <w:vAlign w:val="bottom"/>
            <w:hideMark/>
          </w:tcPr>
          <w:p w14:paraId="7A2410B7" w14:textId="3CA5FCE6" w:rsidR="004567E5" w:rsidRPr="0033593D" w:rsidRDefault="004567E5" w:rsidP="004567E5">
            <w:pPr>
              <w:adjustRightInd/>
              <w:snapToGrid/>
              <w:spacing w:afterLines="0" w:after="0" w:line="240" w:lineRule="auto"/>
              <w:jc w:val="center"/>
              <w:rPr>
                <w:bCs w:val="0"/>
                <w:sz w:val="20"/>
                <w:szCs w:val="20"/>
                <w:lang w:val="en-US" w:eastAsia="zh-CN"/>
              </w:rPr>
            </w:pPr>
            <w:r w:rsidRPr="0033593D">
              <w:rPr>
                <w:bCs w:val="0"/>
                <w:sz w:val="20"/>
                <w:szCs w:val="20"/>
                <w:lang w:val="en-US" w:eastAsia="zh-CN"/>
              </w:rPr>
              <w:t>0.95</w:t>
            </w:r>
          </w:p>
        </w:tc>
        <w:tc>
          <w:tcPr>
            <w:tcW w:w="899" w:type="dxa"/>
            <w:shd w:val="clear" w:color="auto" w:fill="auto"/>
            <w:noWrap/>
            <w:vAlign w:val="bottom"/>
            <w:hideMark/>
          </w:tcPr>
          <w:p w14:paraId="54A2235B" w14:textId="25AA83A8" w:rsidR="004567E5" w:rsidRPr="0033593D" w:rsidRDefault="004567E5" w:rsidP="004567E5">
            <w:pPr>
              <w:adjustRightInd/>
              <w:snapToGrid/>
              <w:spacing w:afterLines="0" w:after="0" w:line="240" w:lineRule="auto"/>
              <w:jc w:val="right"/>
              <w:rPr>
                <w:bCs w:val="0"/>
                <w:sz w:val="20"/>
                <w:szCs w:val="20"/>
                <w:lang w:val="en-US" w:eastAsia="zh-CN"/>
              </w:rPr>
            </w:pPr>
            <w:r w:rsidRPr="0033593D">
              <w:rPr>
                <w:bCs w:val="0"/>
                <w:sz w:val="20"/>
                <w:szCs w:val="20"/>
                <w:lang w:val="en-US" w:eastAsia="zh-CN"/>
              </w:rPr>
              <w:t>(0.53 to</w:t>
            </w:r>
          </w:p>
        </w:tc>
        <w:tc>
          <w:tcPr>
            <w:tcW w:w="721" w:type="dxa"/>
            <w:shd w:val="clear" w:color="auto" w:fill="auto"/>
            <w:noWrap/>
            <w:vAlign w:val="bottom"/>
            <w:hideMark/>
          </w:tcPr>
          <w:p w14:paraId="6B334308" w14:textId="429AA655" w:rsidR="004567E5" w:rsidRPr="0033593D" w:rsidRDefault="004567E5" w:rsidP="004567E5">
            <w:pPr>
              <w:adjustRightInd/>
              <w:snapToGrid/>
              <w:spacing w:afterLines="0" w:after="0" w:line="240" w:lineRule="auto"/>
              <w:rPr>
                <w:bCs w:val="0"/>
                <w:sz w:val="20"/>
                <w:szCs w:val="20"/>
                <w:lang w:val="en-US" w:eastAsia="zh-CN"/>
              </w:rPr>
            </w:pPr>
            <w:r w:rsidRPr="0033593D">
              <w:rPr>
                <w:bCs w:val="0"/>
                <w:sz w:val="20"/>
                <w:szCs w:val="20"/>
                <w:lang w:val="en-US" w:eastAsia="zh-CN"/>
              </w:rPr>
              <w:t>1.71)</w:t>
            </w:r>
          </w:p>
        </w:tc>
        <w:tc>
          <w:tcPr>
            <w:tcW w:w="270" w:type="dxa"/>
          </w:tcPr>
          <w:p w14:paraId="2BC01375" w14:textId="77777777" w:rsidR="004567E5" w:rsidRPr="0033593D" w:rsidRDefault="004567E5" w:rsidP="004567E5">
            <w:pPr>
              <w:adjustRightInd/>
              <w:snapToGrid/>
              <w:spacing w:afterLines="0" w:after="0" w:line="240" w:lineRule="auto"/>
              <w:jc w:val="center"/>
              <w:rPr>
                <w:bCs w:val="0"/>
                <w:sz w:val="20"/>
                <w:szCs w:val="20"/>
                <w:lang w:val="en-US" w:eastAsia="zh-CN"/>
              </w:rPr>
            </w:pPr>
          </w:p>
        </w:tc>
        <w:tc>
          <w:tcPr>
            <w:tcW w:w="900" w:type="dxa"/>
            <w:vAlign w:val="bottom"/>
          </w:tcPr>
          <w:p w14:paraId="065525DF" w14:textId="70390BE8" w:rsidR="004567E5" w:rsidRPr="0033593D" w:rsidRDefault="004567E5" w:rsidP="004567E5">
            <w:pPr>
              <w:adjustRightInd/>
              <w:snapToGrid/>
              <w:spacing w:afterLines="0" w:after="0" w:line="240" w:lineRule="auto"/>
              <w:jc w:val="center"/>
              <w:rPr>
                <w:bCs w:val="0"/>
                <w:sz w:val="20"/>
                <w:szCs w:val="20"/>
                <w:lang w:val="en-US" w:eastAsia="zh-CN"/>
              </w:rPr>
            </w:pPr>
            <w:r w:rsidRPr="0033593D">
              <w:rPr>
                <w:bCs w:val="0"/>
                <w:sz w:val="20"/>
                <w:szCs w:val="20"/>
                <w:lang w:val="en-US" w:eastAsia="zh-CN"/>
              </w:rPr>
              <w:t>1.03</w:t>
            </w:r>
          </w:p>
        </w:tc>
        <w:tc>
          <w:tcPr>
            <w:tcW w:w="900" w:type="dxa"/>
            <w:vAlign w:val="bottom"/>
          </w:tcPr>
          <w:p w14:paraId="0BE396B2" w14:textId="578AA643" w:rsidR="004567E5" w:rsidRPr="0033593D" w:rsidRDefault="004567E5" w:rsidP="004567E5">
            <w:pPr>
              <w:adjustRightInd/>
              <w:snapToGrid/>
              <w:spacing w:afterLines="0" w:after="0" w:line="240" w:lineRule="auto"/>
              <w:jc w:val="right"/>
              <w:rPr>
                <w:bCs w:val="0"/>
                <w:sz w:val="20"/>
                <w:szCs w:val="20"/>
                <w:lang w:val="en-US" w:eastAsia="zh-CN"/>
              </w:rPr>
            </w:pPr>
            <w:r w:rsidRPr="0033593D">
              <w:rPr>
                <w:bCs w:val="0"/>
                <w:sz w:val="20"/>
                <w:szCs w:val="20"/>
                <w:lang w:val="en-US" w:eastAsia="zh-CN"/>
              </w:rPr>
              <w:t>(0.57 to</w:t>
            </w:r>
          </w:p>
        </w:tc>
        <w:tc>
          <w:tcPr>
            <w:tcW w:w="810" w:type="dxa"/>
            <w:vAlign w:val="bottom"/>
          </w:tcPr>
          <w:p w14:paraId="1C0DD164" w14:textId="01703C8E" w:rsidR="004567E5" w:rsidRPr="0033593D" w:rsidRDefault="004567E5" w:rsidP="004567E5">
            <w:pPr>
              <w:adjustRightInd/>
              <w:snapToGrid/>
              <w:spacing w:afterLines="0" w:after="0" w:line="240" w:lineRule="auto"/>
              <w:rPr>
                <w:bCs w:val="0"/>
                <w:sz w:val="20"/>
                <w:szCs w:val="20"/>
                <w:lang w:val="en-US" w:eastAsia="zh-CN"/>
              </w:rPr>
            </w:pPr>
            <w:r w:rsidRPr="0033593D">
              <w:rPr>
                <w:bCs w:val="0"/>
                <w:sz w:val="20"/>
                <w:szCs w:val="20"/>
                <w:lang w:val="en-US" w:eastAsia="zh-CN"/>
              </w:rPr>
              <w:t>1.87)</w:t>
            </w:r>
          </w:p>
        </w:tc>
        <w:tc>
          <w:tcPr>
            <w:tcW w:w="270" w:type="dxa"/>
            <w:vAlign w:val="bottom"/>
          </w:tcPr>
          <w:p w14:paraId="41983603" w14:textId="226D1323" w:rsidR="004567E5" w:rsidRPr="0033593D" w:rsidRDefault="004567E5" w:rsidP="004567E5">
            <w:pPr>
              <w:adjustRightInd/>
              <w:snapToGrid/>
              <w:spacing w:afterLines="0" w:after="0" w:line="240" w:lineRule="auto"/>
              <w:jc w:val="center"/>
              <w:rPr>
                <w:bCs w:val="0"/>
                <w:sz w:val="20"/>
                <w:szCs w:val="20"/>
                <w:lang w:val="en-US" w:eastAsia="zh-CN"/>
              </w:rPr>
            </w:pPr>
          </w:p>
        </w:tc>
        <w:tc>
          <w:tcPr>
            <w:tcW w:w="900" w:type="dxa"/>
            <w:vAlign w:val="bottom"/>
          </w:tcPr>
          <w:p w14:paraId="3DCFFDEA" w14:textId="6847FF35" w:rsidR="004567E5" w:rsidRPr="0033593D" w:rsidRDefault="004567E5" w:rsidP="004567E5">
            <w:pPr>
              <w:adjustRightInd/>
              <w:snapToGrid/>
              <w:spacing w:afterLines="0" w:after="0" w:line="240" w:lineRule="auto"/>
              <w:jc w:val="center"/>
              <w:rPr>
                <w:bCs w:val="0"/>
                <w:sz w:val="20"/>
                <w:szCs w:val="20"/>
                <w:lang w:val="en-US" w:eastAsia="zh-CN"/>
              </w:rPr>
            </w:pPr>
            <w:r w:rsidRPr="0033593D">
              <w:rPr>
                <w:bCs w:val="0"/>
                <w:sz w:val="20"/>
                <w:szCs w:val="20"/>
                <w:lang w:val="en-US" w:eastAsia="zh-CN"/>
              </w:rPr>
              <w:t>1.03</w:t>
            </w:r>
          </w:p>
        </w:tc>
        <w:tc>
          <w:tcPr>
            <w:tcW w:w="900" w:type="dxa"/>
            <w:vAlign w:val="bottom"/>
          </w:tcPr>
          <w:p w14:paraId="105B90EE" w14:textId="2D16827A" w:rsidR="004567E5" w:rsidRPr="0033593D" w:rsidRDefault="004567E5" w:rsidP="004567E5">
            <w:pPr>
              <w:adjustRightInd/>
              <w:snapToGrid/>
              <w:spacing w:afterLines="0" w:after="0" w:line="240" w:lineRule="auto"/>
              <w:jc w:val="right"/>
              <w:rPr>
                <w:bCs w:val="0"/>
                <w:sz w:val="20"/>
                <w:szCs w:val="20"/>
                <w:lang w:val="en-US" w:eastAsia="zh-CN"/>
              </w:rPr>
            </w:pPr>
            <w:r w:rsidRPr="0033593D">
              <w:rPr>
                <w:bCs w:val="0"/>
                <w:sz w:val="20"/>
                <w:szCs w:val="20"/>
                <w:lang w:val="en-US" w:eastAsia="zh-CN"/>
              </w:rPr>
              <w:t>(0.57 to</w:t>
            </w:r>
          </w:p>
        </w:tc>
        <w:tc>
          <w:tcPr>
            <w:tcW w:w="810" w:type="dxa"/>
            <w:vAlign w:val="bottom"/>
          </w:tcPr>
          <w:p w14:paraId="3F99208B" w14:textId="53983D37" w:rsidR="004567E5" w:rsidRPr="0033593D" w:rsidRDefault="004567E5" w:rsidP="004567E5">
            <w:pPr>
              <w:adjustRightInd/>
              <w:snapToGrid/>
              <w:spacing w:afterLines="0" w:after="0" w:line="240" w:lineRule="auto"/>
              <w:rPr>
                <w:bCs w:val="0"/>
                <w:sz w:val="20"/>
                <w:szCs w:val="20"/>
                <w:lang w:val="en-US" w:eastAsia="zh-CN"/>
              </w:rPr>
            </w:pPr>
            <w:r w:rsidRPr="0033593D">
              <w:rPr>
                <w:bCs w:val="0"/>
                <w:sz w:val="20"/>
                <w:szCs w:val="20"/>
                <w:lang w:val="en-US" w:eastAsia="zh-CN"/>
              </w:rPr>
              <w:t>1.86)</w:t>
            </w:r>
          </w:p>
        </w:tc>
        <w:tc>
          <w:tcPr>
            <w:tcW w:w="270" w:type="dxa"/>
            <w:vAlign w:val="bottom"/>
          </w:tcPr>
          <w:p w14:paraId="17E37B5D" w14:textId="495ADFEC" w:rsidR="004567E5" w:rsidRPr="0033593D" w:rsidRDefault="004567E5" w:rsidP="004567E5">
            <w:pPr>
              <w:adjustRightInd/>
              <w:snapToGrid/>
              <w:spacing w:afterLines="0" w:after="0" w:line="240" w:lineRule="auto"/>
              <w:jc w:val="center"/>
              <w:rPr>
                <w:bCs w:val="0"/>
                <w:sz w:val="20"/>
                <w:szCs w:val="20"/>
                <w:lang w:val="en-US" w:eastAsia="zh-CN"/>
              </w:rPr>
            </w:pPr>
          </w:p>
        </w:tc>
        <w:tc>
          <w:tcPr>
            <w:tcW w:w="810" w:type="dxa"/>
            <w:vAlign w:val="bottom"/>
          </w:tcPr>
          <w:p w14:paraId="5926B1DC" w14:textId="2A437A82" w:rsidR="004567E5" w:rsidRPr="0033593D" w:rsidRDefault="004567E5" w:rsidP="004567E5">
            <w:pPr>
              <w:adjustRightInd/>
              <w:snapToGrid/>
              <w:spacing w:afterLines="0" w:after="0" w:line="240" w:lineRule="auto"/>
              <w:jc w:val="center"/>
              <w:rPr>
                <w:bCs w:val="0"/>
                <w:sz w:val="20"/>
                <w:szCs w:val="20"/>
                <w:lang w:val="en-US" w:eastAsia="zh-CN"/>
              </w:rPr>
            </w:pPr>
            <w:r w:rsidRPr="0033593D">
              <w:rPr>
                <w:bCs w:val="0"/>
                <w:sz w:val="20"/>
                <w:szCs w:val="20"/>
                <w:lang w:val="en-US" w:eastAsia="zh-CN"/>
              </w:rPr>
              <w:t>1.03</w:t>
            </w:r>
          </w:p>
        </w:tc>
        <w:tc>
          <w:tcPr>
            <w:tcW w:w="990" w:type="dxa"/>
            <w:vAlign w:val="bottom"/>
          </w:tcPr>
          <w:p w14:paraId="3C82182B" w14:textId="44825680" w:rsidR="004567E5" w:rsidRPr="0033593D" w:rsidRDefault="004567E5" w:rsidP="004567E5">
            <w:pPr>
              <w:adjustRightInd/>
              <w:snapToGrid/>
              <w:spacing w:afterLines="0" w:after="0" w:line="240" w:lineRule="auto"/>
              <w:jc w:val="center"/>
              <w:rPr>
                <w:bCs w:val="0"/>
                <w:sz w:val="20"/>
                <w:szCs w:val="20"/>
                <w:lang w:val="en-US" w:eastAsia="zh-CN"/>
              </w:rPr>
            </w:pPr>
            <w:r w:rsidRPr="0033593D">
              <w:rPr>
                <w:bCs w:val="0"/>
                <w:sz w:val="20"/>
                <w:szCs w:val="20"/>
                <w:lang w:val="en-US" w:eastAsia="zh-CN"/>
              </w:rPr>
              <w:t>(0.57 to</w:t>
            </w:r>
          </w:p>
        </w:tc>
        <w:tc>
          <w:tcPr>
            <w:tcW w:w="810" w:type="dxa"/>
            <w:vAlign w:val="bottom"/>
          </w:tcPr>
          <w:p w14:paraId="02B74227" w14:textId="1EB95570" w:rsidR="004567E5" w:rsidRPr="0033593D" w:rsidRDefault="004567E5" w:rsidP="004567E5">
            <w:pPr>
              <w:adjustRightInd/>
              <w:snapToGrid/>
              <w:spacing w:afterLines="0" w:after="0" w:line="240" w:lineRule="auto"/>
              <w:rPr>
                <w:bCs w:val="0"/>
                <w:sz w:val="20"/>
                <w:szCs w:val="20"/>
                <w:lang w:val="en-US" w:eastAsia="zh-CN"/>
              </w:rPr>
            </w:pPr>
            <w:r w:rsidRPr="0033593D">
              <w:rPr>
                <w:bCs w:val="0"/>
                <w:sz w:val="20"/>
                <w:szCs w:val="20"/>
                <w:lang w:val="en-US" w:eastAsia="zh-CN"/>
              </w:rPr>
              <w:t>1.87)</w:t>
            </w:r>
          </w:p>
        </w:tc>
      </w:tr>
      <w:tr w:rsidR="0033593D" w:rsidRPr="0033593D" w14:paraId="2B4BE23D" w14:textId="77777777" w:rsidTr="00FD5D85">
        <w:trPr>
          <w:trHeight w:val="285"/>
        </w:trPr>
        <w:tc>
          <w:tcPr>
            <w:tcW w:w="3413" w:type="dxa"/>
            <w:shd w:val="clear" w:color="auto" w:fill="auto"/>
            <w:noWrap/>
            <w:vAlign w:val="bottom"/>
            <w:hideMark/>
          </w:tcPr>
          <w:p w14:paraId="1782380E" w14:textId="77777777" w:rsidR="004567E5" w:rsidRPr="0033593D" w:rsidRDefault="004567E5" w:rsidP="00772106">
            <w:pPr>
              <w:adjustRightInd/>
              <w:snapToGrid/>
              <w:spacing w:afterLines="0" w:after="0" w:line="240" w:lineRule="auto"/>
              <w:ind w:firstLineChars="200" w:firstLine="400"/>
              <w:rPr>
                <w:bCs w:val="0"/>
                <w:sz w:val="20"/>
                <w:szCs w:val="20"/>
                <w:lang w:val="en-US" w:eastAsia="zh-CN"/>
              </w:rPr>
            </w:pPr>
            <w:r w:rsidRPr="0033593D">
              <w:rPr>
                <w:bCs w:val="0"/>
                <w:sz w:val="20"/>
                <w:szCs w:val="20"/>
                <w:lang w:val="en-US" w:eastAsia="zh-CN"/>
              </w:rPr>
              <w:t>2</w:t>
            </w:r>
            <w:r w:rsidRPr="0033593D">
              <w:rPr>
                <w:bCs w:val="0"/>
                <w:sz w:val="20"/>
                <w:szCs w:val="20"/>
                <w:vertAlign w:val="superscript"/>
                <w:lang w:val="en-US" w:eastAsia="zh-CN"/>
              </w:rPr>
              <w:t>nd</w:t>
            </w:r>
            <w:r w:rsidRPr="0033593D">
              <w:rPr>
                <w:bCs w:val="0"/>
                <w:sz w:val="20"/>
                <w:szCs w:val="20"/>
                <w:lang w:val="en-US" w:eastAsia="zh-CN"/>
              </w:rPr>
              <w:t xml:space="preserve"> quartile (37.0 – 95.1 grams)</w:t>
            </w:r>
          </w:p>
        </w:tc>
        <w:tc>
          <w:tcPr>
            <w:tcW w:w="997" w:type="dxa"/>
            <w:shd w:val="clear" w:color="auto" w:fill="auto"/>
            <w:noWrap/>
            <w:vAlign w:val="bottom"/>
            <w:hideMark/>
          </w:tcPr>
          <w:p w14:paraId="79AD2801" w14:textId="5B2F8D53" w:rsidR="004567E5" w:rsidRPr="0033593D" w:rsidRDefault="004567E5" w:rsidP="004567E5">
            <w:pPr>
              <w:adjustRightInd/>
              <w:snapToGrid/>
              <w:spacing w:afterLines="0" w:after="0" w:line="240" w:lineRule="auto"/>
              <w:jc w:val="center"/>
              <w:rPr>
                <w:bCs w:val="0"/>
                <w:sz w:val="20"/>
                <w:szCs w:val="20"/>
                <w:lang w:val="en-US" w:eastAsia="zh-CN"/>
              </w:rPr>
            </w:pPr>
            <w:r w:rsidRPr="0033593D">
              <w:rPr>
                <w:bCs w:val="0"/>
                <w:sz w:val="20"/>
                <w:szCs w:val="20"/>
                <w:lang w:val="en-US" w:eastAsia="zh-CN"/>
              </w:rPr>
              <w:t>0.45</w:t>
            </w:r>
          </w:p>
        </w:tc>
        <w:tc>
          <w:tcPr>
            <w:tcW w:w="899" w:type="dxa"/>
            <w:shd w:val="clear" w:color="auto" w:fill="auto"/>
            <w:noWrap/>
            <w:vAlign w:val="bottom"/>
            <w:hideMark/>
          </w:tcPr>
          <w:p w14:paraId="02E4B40A" w14:textId="722089F4" w:rsidR="004567E5" w:rsidRPr="0033593D" w:rsidRDefault="004567E5" w:rsidP="004567E5">
            <w:pPr>
              <w:adjustRightInd/>
              <w:snapToGrid/>
              <w:spacing w:afterLines="0" w:after="0" w:line="240" w:lineRule="auto"/>
              <w:jc w:val="right"/>
              <w:rPr>
                <w:bCs w:val="0"/>
                <w:sz w:val="20"/>
                <w:szCs w:val="20"/>
                <w:lang w:val="en-US" w:eastAsia="zh-CN"/>
              </w:rPr>
            </w:pPr>
            <w:r w:rsidRPr="0033593D">
              <w:rPr>
                <w:bCs w:val="0"/>
                <w:sz w:val="20"/>
                <w:szCs w:val="20"/>
                <w:lang w:val="en-US" w:eastAsia="zh-CN"/>
              </w:rPr>
              <w:t>(0.24 to</w:t>
            </w:r>
          </w:p>
        </w:tc>
        <w:tc>
          <w:tcPr>
            <w:tcW w:w="721" w:type="dxa"/>
            <w:shd w:val="clear" w:color="auto" w:fill="auto"/>
            <w:noWrap/>
            <w:vAlign w:val="bottom"/>
            <w:hideMark/>
          </w:tcPr>
          <w:p w14:paraId="1ADB98E9" w14:textId="081007DF" w:rsidR="004567E5" w:rsidRPr="0033593D" w:rsidRDefault="004567E5" w:rsidP="004567E5">
            <w:pPr>
              <w:adjustRightInd/>
              <w:snapToGrid/>
              <w:spacing w:afterLines="0" w:after="0" w:line="240" w:lineRule="auto"/>
              <w:rPr>
                <w:bCs w:val="0"/>
                <w:sz w:val="20"/>
                <w:szCs w:val="20"/>
                <w:lang w:val="en-US" w:eastAsia="zh-CN"/>
              </w:rPr>
            </w:pPr>
            <w:r w:rsidRPr="0033593D">
              <w:rPr>
                <w:bCs w:val="0"/>
                <w:sz w:val="20"/>
                <w:szCs w:val="20"/>
                <w:lang w:val="en-US" w:eastAsia="zh-CN"/>
              </w:rPr>
              <w:t>0.84)</w:t>
            </w:r>
          </w:p>
        </w:tc>
        <w:tc>
          <w:tcPr>
            <w:tcW w:w="270" w:type="dxa"/>
          </w:tcPr>
          <w:p w14:paraId="5F236577" w14:textId="77777777" w:rsidR="004567E5" w:rsidRPr="0033593D" w:rsidRDefault="004567E5" w:rsidP="004567E5">
            <w:pPr>
              <w:adjustRightInd/>
              <w:snapToGrid/>
              <w:spacing w:afterLines="0" w:after="0" w:line="240" w:lineRule="auto"/>
              <w:jc w:val="center"/>
              <w:rPr>
                <w:bCs w:val="0"/>
                <w:sz w:val="20"/>
                <w:szCs w:val="20"/>
                <w:lang w:val="en-US" w:eastAsia="zh-CN"/>
              </w:rPr>
            </w:pPr>
          </w:p>
        </w:tc>
        <w:tc>
          <w:tcPr>
            <w:tcW w:w="900" w:type="dxa"/>
            <w:vAlign w:val="bottom"/>
          </w:tcPr>
          <w:p w14:paraId="45FACEFF" w14:textId="41A4930A" w:rsidR="004567E5" w:rsidRPr="0033593D" w:rsidRDefault="004567E5" w:rsidP="004567E5">
            <w:pPr>
              <w:adjustRightInd/>
              <w:snapToGrid/>
              <w:spacing w:afterLines="0" w:after="0" w:line="240" w:lineRule="auto"/>
              <w:jc w:val="center"/>
              <w:rPr>
                <w:bCs w:val="0"/>
                <w:sz w:val="20"/>
                <w:szCs w:val="20"/>
                <w:lang w:val="en-US" w:eastAsia="zh-CN"/>
              </w:rPr>
            </w:pPr>
            <w:r w:rsidRPr="0033593D">
              <w:rPr>
                <w:bCs w:val="0"/>
                <w:sz w:val="20"/>
                <w:szCs w:val="20"/>
                <w:lang w:val="en-US" w:eastAsia="zh-CN"/>
              </w:rPr>
              <w:t>0.56</w:t>
            </w:r>
          </w:p>
        </w:tc>
        <w:tc>
          <w:tcPr>
            <w:tcW w:w="900" w:type="dxa"/>
            <w:vAlign w:val="bottom"/>
          </w:tcPr>
          <w:p w14:paraId="13DB761A" w14:textId="2509013B" w:rsidR="004567E5" w:rsidRPr="0033593D" w:rsidRDefault="004567E5" w:rsidP="004567E5">
            <w:pPr>
              <w:adjustRightInd/>
              <w:snapToGrid/>
              <w:spacing w:afterLines="0" w:after="0" w:line="240" w:lineRule="auto"/>
              <w:jc w:val="right"/>
              <w:rPr>
                <w:bCs w:val="0"/>
                <w:sz w:val="20"/>
                <w:szCs w:val="20"/>
                <w:lang w:val="en-US" w:eastAsia="zh-CN"/>
              </w:rPr>
            </w:pPr>
            <w:r w:rsidRPr="0033593D">
              <w:rPr>
                <w:bCs w:val="0"/>
                <w:sz w:val="20"/>
                <w:szCs w:val="20"/>
                <w:lang w:val="en-US" w:eastAsia="zh-CN"/>
              </w:rPr>
              <w:t>(0.30 to</w:t>
            </w:r>
          </w:p>
        </w:tc>
        <w:tc>
          <w:tcPr>
            <w:tcW w:w="810" w:type="dxa"/>
            <w:vAlign w:val="bottom"/>
          </w:tcPr>
          <w:p w14:paraId="42FD449A" w14:textId="4880512C" w:rsidR="004567E5" w:rsidRPr="0033593D" w:rsidRDefault="004567E5" w:rsidP="004567E5">
            <w:pPr>
              <w:adjustRightInd/>
              <w:snapToGrid/>
              <w:spacing w:afterLines="0" w:after="0" w:line="240" w:lineRule="auto"/>
              <w:rPr>
                <w:bCs w:val="0"/>
                <w:sz w:val="20"/>
                <w:szCs w:val="20"/>
                <w:lang w:val="en-US" w:eastAsia="zh-CN"/>
              </w:rPr>
            </w:pPr>
            <w:r w:rsidRPr="0033593D">
              <w:rPr>
                <w:bCs w:val="0"/>
                <w:sz w:val="20"/>
                <w:szCs w:val="20"/>
                <w:lang w:val="en-US" w:eastAsia="zh-CN"/>
              </w:rPr>
              <w:t>1.03)</w:t>
            </w:r>
          </w:p>
        </w:tc>
        <w:tc>
          <w:tcPr>
            <w:tcW w:w="270" w:type="dxa"/>
            <w:vAlign w:val="bottom"/>
          </w:tcPr>
          <w:p w14:paraId="7F1809FC" w14:textId="4D83E4A7" w:rsidR="004567E5" w:rsidRPr="0033593D" w:rsidRDefault="004567E5" w:rsidP="004567E5">
            <w:pPr>
              <w:adjustRightInd/>
              <w:snapToGrid/>
              <w:spacing w:afterLines="0" w:after="0" w:line="240" w:lineRule="auto"/>
              <w:jc w:val="center"/>
              <w:rPr>
                <w:bCs w:val="0"/>
                <w:sz w:val="20"/>
                <w:szCs w:val="20"/>
                <w:lang w:val="en-US" w:eastAsia="zh-CN"/>
              </w:rPr>
            </w:pPr>
          </w:p>
        </w:tc>
        <w:tc>
          <w:tcPr>
            <w:tcW w:w="900" w:type="dxa"/>
            <w:vAlign w:val="bottom"/>
          </w:tcPr>
          <w:p w14:paraId="729E6F89" w14:textId="1C7D5939" w:rsidR="004567E5" w:rsidRPr="0033593D" w:rsidRDefault="004567E5" w:rsidP="004567E5">
            <w:pPr>
              <w:adjustRightInd/>
              <w:snapToGrid/>
              <w:spacing w:afterLines="0" w:after="0" w:line="240" w:lineRule="auto"/>
              <w:jc w:val="center"/>
              <w:rPr>
                <w:bCs w:val="0"/>
                <w:sz w:val="20"/>
                <w:szCs w:val="20"/>
                <w:lang w:val="en-US" w:eastAsia="zh-CN"/>
              </w:rPr>
            </w:pPr>
            <w:r w:rsidRPr="0033593D">
              <w:rPr>
                <w:bCs w:val="0"/>
                <w:sz w:val="20"/>
                <w:szCs w:val="20"/>
                <w:lang w:val="en-US" w:eastAsia="zh-CN"/>
              </w:rPr>
              <w:t>0.55</w:t>
            </w:r>
          </w:p>
        </w:tc>
        <w:tc>
          <w:tcPr>
            <w:tcW w:w="900" w:type="dxa"/>
            <w:vAlign w:val="bottom"/>
          </w:tcPr>
          <w:p w14:paraId="5D11BB9C" w14:textId="0FD4ACA9" w:rsidR="004567E5" w:rsidRPr="0033593D" w:rsidRDefault="004567E5" w:rsidP="004567E5">
            <w:pPr>
              <w:adjustRightInd/>
              <w:snapToGrid/>
              <w:spacing w:afterLines="0" w:after="0" w:line="240" w:lineRule="auto"/>
              <w:jc w:val="right"/>
              <w:rPr>
                <w:bCs w:val="0"/>
                <w:sz w:val="20"/>
                <w:szCs w:val="20"/>
                <w:lang w:val="en-US" w:eastAsia="zh-CN"/>
              </w:rPr>
            </w:pPr>
            <w:r w:rsidRPr="0033593D">
              <w:rPr>
                <w:bCs w:val="0"/>
                <w:sz w:val="20"/>
                <w:szCs w:val="20"/>
                <w:lang w:val="en-US" w:eastAsia="zh-CN"/>
              </w:rPr>
              <w:t>(0.30 to</w:t>
            </w:r>
          </w:p>
        </w:tc>
        <w:tc>
          <w:tcPr>
            <w:tcW w:w="810" w:type="dxa"/>
            <w:vAlign w:val="bottom"/>
          </w:tcPr>
          <w:p w14:paraId="7C77589B" w14:textId="6CF097C6" w:rsidR="004567E5" w:rsidRPr="0033593D" w:rsidRDefault="004567E5" w:rsidP="004567E5">
            <w:pPr>
              <w:adjustRightInd/>
              <w:snapToGrid/>
              <w:spacing w:afterLines="0" w:after="0" w:line="240" w:lineRule="auto"/>
              <w:rPr>
                <w:bCs w:val="0"/>
                <w:sz w:val="20"/>
                <w:szCs w:val="20"/>
                <w:lang w:val="en-US" w:eastAsia="zh-CN"/>
              </w:rPr>
            </w:pPr>
            <w:r w:rsidRPr="0033593D">
              <w:rPr>
                <w:bCs w:val="0"/>
                <w:sz w:val="20"/>
                <w:szCs w:val="20"/>
                <w:lang w:val="en-US" w:eastAsia="zh-CN"/>
              </w:rPr>
              <w:t>1.02)</w:t>
            </w:r>
          </w:p>
        </w:tc>
        <w:tc>
          <w:tcPr>
            <w:tcW w:w="270" w:type="dxa"/>
            <w:vAlign w:val="bottom"/>
          </w:tcPr>
          <w:p w14:paraId="4D6CDEB0" w14:textId="3E4D4F8E" w:rsidR="004567E5" w:rsidRPr="0033593D" w:rsidRDefault="004567E5" w:rsidP="004567E5">
            <w:pPr>
              <w:adjustRightInd/>
              <w:snapToGrid/>
              <w:spacing w:afterLines="0" w:after="0" w:line="240" w:lineRule="auto"/>
              <w:jc w:val="center"/>
              <w:rPr>
                <w:bCs w:val="0"/>
                <w:sz w:val="20"/>
                <w:szCs w:val="20"/>
                <w:lang w:val="en-US" w:eastAsia="zh-CN"/>
              </w:rPr>
            </w:pPr>
          </w:p>
        </w:tc>
        <w:tc>
          <w:tcPr>
            <w:tcW w:w="810" w:type="dxa"/>
            <w:vAlign w:val="bottom"/>
          </w:tcPr>
          <w:p w14:paraId="093D9B92" w14:textId="0485B199" w:rsidR="004567E5" w:rsidRPr="0033593D" w:rsidRDefault="004567E5" w:rsidP="004567E5">
            <w:pPr>
              <w:adjustRightInd/>
              <w:snapToGrid/>
              <w:spacing w:afterLines="0" w:after="0" w:line="240" w:lineRule="auto"/>
              <w:jc w:val="center"/>
              <w:rPr>
                <w:bCs w:val="0"/>
                <w:sz w:val="20"/>
                <w:szCs w:val="20"/>
                <w:lang w:val="en-US" w:eastAsia="zh-CN"/>
              </w:rPr>
            </w:pPr>
            <w:r w:rsidRPr="0033593D">
              <w:rPr>
                <w:bCs w:val="0"/>
                <w:sz w:val="20"/>
                <w:szCs w:val="20"/>
                <w:lang w:val="en-US" w:eastAsia="zh-CN"/>
              </w:rPr>
              <w:t>0.64</w:t>
            </w:r>
          </w:p>
        </w:tc>
        <w:tc>
          <w:tcPr>
            <w:tcW w:w="990" w:type="dxa"/>
            <w:vAlign w:val="bottom"/>
          </w:tcPr>
          <w:p w14:paraId="1B85D86E" w14:textId="0EF9193B" w:rsidR="004567E5" w:rsidRPr="0033593D" w:rsidRDefault="004567E5" w:rsidP="004567E5">
            <w:pPr>
              <w:adjustRightInd/>
              <w:snapToGrid/>
              <w:spacing w:afterLines="0" w:after="0" w:line="240" w:lineRule="auto"/>
              <w:jc w:val="center"/>
              <w:rPr>
                <w:bCs w:val="0"/>
                <w:sz w:val="20"/>
                <w:szCs w:val="20"/>
                <w:lang w:val="en-US" w:eastAsia="zh-CN"/>
              </w:rPr>
            </w:pPr>
            <w:r w:rsidRPr="0033593D">
              <w:rPr>
                <w:bCs w:val="0"/>
                <w:sz w:val="20"/>
                <w:szCs w:val="20"/>
                <w:lang w:val="en-US" w:eastAsia="zh-CN"/>
              </w:rPr>
              <w:t>(0.33 to</w:t>
            </w:r>
          </w:p>
        </w:tc>
        <w:tc>
          <w:tcPr>
            <w:tcW w:w="810" w:type="dxa"/>
            <w:vAlign w:val="bottom"/>
          </w:tcPr>
          <w:p w14:paraId="6BF86DDB" w14:textId="371EFBC5" w:rsidR="004567E5" w:rsidRPr="0033593D" w:rsidRDefault="004567E5" w:rsidP="004567E5">
            <w:pPr>
              <w:adjustRightInd/>
              <w:snapToGrid/>
              <w:spacing w:afterLines="0" w:after="0" w:line="240" w:lineRule="auto"/>
              <w:rPr>
                <w:bCs w:val="0"/>
                <w:sz w:val="20"/>
                <w:szCs w:val="20"/>
                <w:lang w:val="en-US" w:eastAsia="zh-CN"/>
              </w:rPr>
            </w:pPr>
            <w:r w:rsidRPr="0033593D">
              <w:rPr>
                <w:bCs w:val="0"/>
                <w:sz w:val="20"/>
                <w:szCs w:val="20"/>
                <w:lang w:val="en-US" w:eastAsia="zh-CN"/>
              </w:rPr>
              <w:t>1.22)</w:t>
            </w:r>
          </w:p>
        </w:tc>
      </w:tr>
      <w:tr w:rsidR="0033593D" w:rsidRPr="0033593D" w14:paraId="68F86799" w14:textId="77777777" w:rsidTr="00FD5D85">
        <w:trPr>
          <w:trHeight w:val="285"/>
        </w:trPr>
        <w:tc>
          <w:tcPr>
            <w:tcW w:w="3413" w:type="dxa"/>
            <w:shd w:val="clear" w:color="auto" w:fill="auto"/>
            <w:noWrap/>
            <w:vAlign w:val="bottom"/>
          </w:tcPr>
          <w:p w14:paraId="19330C50" w14:textId="77777777" w:rsidR="004567E5" w:rsidRPr="0033593D" w:rsidDel="00573548" w:rsidRDefault="004567E5" w:rsidP="00772106">
            <w:pPr>
              <w:adjustRightInd/>
              <w:snapToGrid/>
              <w:spacing w:afterLines="0" w:after="0" w:line="240" w:lineRule="auto"/>
              <w:ind w:firstLineChars="200" w:firstLine="400"/>
              <w:rPr>
                <w:bCs w:val="0"/>
                <w:sz w:val="20"/>
                <w:szCs w:val="20"/>
                <w:lang w:val="en-US" w:eastAsia="zh-CN"/>
              </w:rPr>
            </w:pPr>
            <w:r w:rsidRPr="0033593D">
              <w:rPr>
                <w:bCs w:val="0"/>
                <w:sz w:val="20"/>
                <w:szCs w:val="20"/>
                <w:lang w:val="en-US" w:eastAsia="zh-CN"/>
              </w:rPr>
              <w:t>3</w:t>
            </w:r>
            <w:r w:rsidRPr="0033593D">
              <w:rPr>
                <w:bCs w:val="0"/>
                <w:sz w:val="20"/>
                <w:szCs w:val="20"/>
                <w:vertAlign w:val="superscript"/>
                <w:lang w:val="en-US" w:eastAsia="zh-CN"/>
              </w:rPr>
              <w:t>rd</w:t>
            </w:r>
            <w:r w:rsidRPr="0033593D">
              <w:rPr>
                <w:bCs w:val="0"/>
                <w:sz w:val="20"/>
                <w:szCs w:val="20"/>
                <w:lang w:val="en-US" w:eastAsia="zh-CN"/>
              </w:rPr>
              <w:t xml:space="preserve"> quartile (100 – 100 grams)</w:t>
            </w:r>
          </w:p>
        </w:tc>
        <w:tc>
          <w:tcPr>
            <w:tcW w:w="997" w:type="dxa"/>
            <w:shd w:val="clear" w:color="auto" w:fill="auto"/>
            <w:noWrap/>
            <w:vAlign w:val="bottom"/>
          </w:tcPr>
          <w:p w14:paraId="566C1DD8" w14:textId="746382A3" w:rsidR="004567E5" w:rsidRPr="0033593D" w:rsidRDefault="004567E5" w:rsidP="004567E5">
            <w:pPr>
              <w:adjustRightInd/>
              <w:snapToGrid/>
              <w:spacing w:afterLines="0" w:after="0" w:line="240" w:lineRule="auto"/>
              <w:jc w:val="center"/>
              <w:rPr>
                <w:bCs w:val="0"/>
                <w:sz w:val="20"/>
                <w:szCs w:val="20"/>
                <w:lang w:val="en-US" w:eastAsia="zh-CN"/>
              </w:rPr>
            </w:pPr>
            <w:r w:rsidRPr="0033593D">
              <w:rPr>
                <w:bCs w:val="0"/>
                <w:sz w:val="20"/>
                <w:szCs w:val="20"/>
                <w:lang w:val="en-US" w:eastAsia="zh-CN"/>
              </w:rPr>
              <w:t>0.98</w:t>
            </w:r>
          </w:p>
        </w:tc>
        <w:tc>
          <w:tcPr>
            <w:tcW w:w="899" w:type="dxa"/>
            <w:shd w:val="clear" w:color="auto" w:fill="auto"/>
            <w:noWrap/>
            <w:vAlign w:val="bottom"/>
          </w:tcPr>
          <w:p w14:paraId="0CC1DDEF" w14:textId="25DE2914" w:rsidR="004567E5" w:rsidRPr="0033593D" w:rsidRDefault="004567E5" w:rsidP="004567E5">
            <w:pPr>
              <w:adjustRightInd/>
              <w:snapToGrid/>
              <w:spacing w:afterLines="0" w:after="0" w:line="240" w:lineRule="auto"/>
              <w:jc w:val="right"/>
              <w:rPr>
                <w:bCs w:val="0"/>
                <w:sz w:val="20"/>
                <w:szCs w:val="20"/>
                <w:lang w:val="en-US" w:eastAsia="zh-CN"/>
              </w:rPr>
            </w:pPr>
            <w:r w:rsidRPr="0033593D">
              <w:rPr>
                <w:bCs w:val="0"/>
                <w:sz w:val="20"/>
                <w:szCs w:val="20"/>
                <w:lang w:val="en-US" w:eastAsia="zh-CN"/>
              </w:rPr>
              <w:t>(0</w:t>
            </w:r>
            <w:r w:rsidR="003D72F2" w:rsidRPr="0033593D">
              <w:rPr>
                <w:bCs w:val="0"/>
                <w:sz w:val="20"/>
                <w:szCs w:val="20"/>
                <w:lang w:val="en-US" w:eastAsia="zh-CN"/>
              </w:rPr>
              <w:t>.</w:t>
            </w:r>
            <w:r w:rsidRPr="0033593D">
              <w:rPr>
                <w:bCs w:val="0"/>
                <w:sz w:val="20"/>
                <w:szCs w:val="20"/>
                <w:lang w:val="en-US" w:eastAsia="zh-CN"/>
              </w:rPr>
              <w:t>61 to</w:t>
            </w:r>
          </w:p>
        </w:tc>
        <w:tc>
          <w:tcPr>
            <w:tcW w:w="721" w:type="dxa"/>
            <w:shd w:val="clear" w:color="auto" w:fill="auto"/>
            <w:noWrap/>
            <w:vAlign w:val="bottom"/>
          </w:tcPr>
          <w:p w14:paraId="046BD3F9" w14:textId="4D46D5D4" w:rsidR="004567E5" w:rsidRPr="0033593D" w:rsidRDefault="004567E5" w:rsidP="004567E5">
            <w:pPr>
              <w:adjustRightInd/>
              <w:snapToGrid/>
              <w:spacing w:afterLines="0" w:after="0" w:line="240" w:lineRule="auto"/>
              <w:rPr>
                <w:bCs w:val="0"/>
                <w:sz w:val="20"/>
                <w:szCs w:val="20"/>
                <w:lang w:val="en-US" w:eastAsia="zh-CN"/>
              </w:rPr>
            </w:pPr>
            <w:r w:rsidRPr="0033593D">
              <w:rPr>
                <w:bCs w:val="0"/>
                <w:sz w:val="20"/>
                <w:szCs w:val="20"/>
                <w:lang w:val="en-US" w:eastAsia="zh-CN"/>
              </w:rPr>
              <w:t>1.57)</w:t>
            </w:r>
          </w:p>
        </w:tc>
        <w:tc>
          <w:tcPr>
            <w:tcW w:w="270" w:type="dxa"/>
          </w:tcPr>
          <w:p w14:paraId="44CF610A" w14:textId="77777777" w:rsidR="004567E5" w:rsidRPr="0033593D" w:rsidRDefault="004567E5" w:rsidP="004567E5">
            <w:pPr>
              <w:adjustRightInd/>
              <w:snapToGrid/>
              <w:spacing w:afterLines="0" w:after="0" w:line="240" w:lineRule="auto"/>
              <w:jc w:val="center"/>
              <w:rPr>
                <w:bCs w:val="0"/>
                <w:sz w:val="20"/>
                <w:szCs w:val="20"/>
                <w:lang w:val="en-US" w:eastAsia="zh-CN"/>
              </w:rPr>
            </w:pPr>
          </w:p>
        </w:tc>
        <w:tc>
          <w:tcPr>
            <w:tcW w:w="900" w:type="dxa"/>
            <w:vAlign w:val="bottom"/>
          </w:tcPr>
          <w:p w14:paraId="61883376" w14:textId="6B4179D0" w:rsidR="004567E5" w:rsidRPr="0033593D" w:rsidRDefault="004567E5" w:rsidP="004567E5">
            <w:pPr>
              <w:adjustRightInd/>
              <w:snapToGrid/>
              <w:spacing w:afterLines="0" w:after="0" w:line="240" w:lineRule="auto"/>
              <w:jc w:val="center"/>
              <w:rPr>
                <w:bCs w:val="0"/>
                <w:sz w:val="20"/>
                <w:szCs w:val="20"/>
                <w:lang w:val="en-US" w:eastAsia="zh-CN"/>
              </w:rPr>
            </w:pPr>
            <w:r w:rsidRPr="0033593D">
              <w:rPr>
                <w:bCs w:val="0"/>
                <w:sz w:val="20"/>
                <w:szCs w:val="20"/>
                <w:lang w:val="en-US" w:eastAsia="zh-CN"/>
              </w:rPr>
              <w:t>1.28</w:t>
            </w:r>
          </w:p>
        </w:tc>
        <w:tc>
          <w:tcPr>
            <w:tcW w:w="900" w:type="dxa"/>
            <w:vAlign w:val="bottom"/>
          </w:tcPr>
          <w:p w14:paraId="0E744A90" w14:textId="1D79B0C3" w:rsidR="004567E5" w:rsidRPr="0033593D" w:rsidRDefault="004567E5" w:rsidP="004567E5">
            <w:pPr>
              <w:adjustRightInd/>
              <w:snapToGrid/>
              <w:spacing w:afterLines="0" w:after="0" w:line="240" w:lineRule="auto"/>
              <w:jc w:val="right"/>
              <w:rPr>
                <w:bCs w:val="0"/>
                <w:sz w:val="20"/>
                <w:szCs w:val="20"/>
                <w:lang w:val="en-US" w:eastAsia="zh-CN"/>
              </w:rPr>
            </w:pPr>
            <w:r w:rsidRPr="0033593D">
              <w:rPr>
                <w:bCs w:val="0"/>
                <w:sz w:val="20"/>
                <w:szCs w:val="20"/>
                <w:lang w:val="en-US" w:eastAsia="zh-CN"/>
              </w:rPr>
              <w:t>(0.80 to</w:t>
            </w:r>
          </w:p>
        </w:tc>
        <w:tc>
          <w:tcPr>
            <w:tcW w:w="810" w:type="dxa"/>
            <w:vAlign w:val="bottom"/>
          </w:tcPr>
          <w:p w14:paraId="5DB36BB2" w14:textId="7E161E40" w:rsidR="004567E5" w:rsidRPr="0033593D" w:rsidRDefault="004567E5" w:rsidP="004567E5">
            <w:pPr>
              <w:adjustRightInd/>
              <w:snapToGrid/>
              <w:spacing w:afterLines="0" w:after="0" w:line="240" w:lineRule="auto"/>
              <w:rPr>
                <w:bCs w:val="0"/>
                <w:sz w:val="20"/>
                <w:szCs w:val="20"/>
                <w:lang w:val="en-US" w:eastAsia="zh-CN"/>
              </w:rPr>
            </w:pPr>
            <w:r w:rsidRPr="0033593D">
              <w:rPr>
                <w:bCs w:val="0"/>
                <w:sz w:val="20"/>
                <w:szCs w:val="20"/>
                <w:lang w:val="en-US" w:eastAsia="zh-CN"/>
              </w:rPr>
              <w:t>2.03)</w:t>
            </w:r>
          </w:p>
        </w:tc>
        <w:tc>
          <w:tcPr>
            <w:tcW w:w="270" w:type="dxa"/>
            <w:vAlign w:val="bottom"/>
          </w:tcPr>
          <w:p w14:paraId="3BA61D1D" w14:textId="57E7CAAF" w:rsidR="004567E5" w:rsidRPr="0033593D" w:rsidRDefault="004567E5" w:rsidP="004567E5">
            <w:pPr>
              <w:adjustRightInd/>
              <w:snapToGrid/>
              <w:spacing w:afterLines="0" w:after="0" w:line="240" w:lineRule="auto"/>
              <w:jc w:val="center"/>
              <w:rPr>
                <w:bCs w:val="0"/>
                <w:sz w:val="20"/>
                <w:szCs w:val="20"/>
                <w:lang w:val="en-US" w:eastAsia="zh-CN"/>
              </w:rPr>
            </w:pPr>
          </w:p>
        </w:tc>
        <w:tc>
          <w:tcPr>
            <w:tcW w:w="900" w:type="dxa"/>
            <w:vAlign w:val="bottom"/>
          </w:tcPr>
          <w:p w14:paraId="34417C8E" w14:textId="1D685889" w:rsidR="004567E5" w:rsidRPr="0033593D" w:rsidRDefault="004567E5" w:rsidP="004567E5">
            <w:pPr>
              <w:adjustRightInd/>
              <w:snapToGrid/>
              <w:spacing w:afterLines="0" w:after="0" w:line="240" w:lineRule="auto"/>
              <w:jc w:val="center"/>
              <w:rPr>
                <w:bCs w:val="0"/>
                <w:sz w:val="20"/>
                <w:szCs w:val="20"/>
                <w:lang w:val="en-US" w:eastAsia="zh-CN"/>
              </w:rPr>
            </w:pPr>
            <w:r w:rsidRPr="0033593D">
              <w:rPr>
                <w:bCs w:val="0"/>
                <w:sz w:val="20"/>
                <w:szCs w:val="20"/>
                <w:lang w:val="en-US" w:eastAsia="zh-CN"/>
              </w:rPr>
              <w:t>1.27</w:t>
            </w:r>
          </w:p>
        </w:tc>
        <w:tc>
          <w:tcPr>
            <w:tcW w:w="900" w:type="dxa"/>
            <w:vAlign w:val="bottom"/>
          </w:tcPr>
          <w:p w14:paraId="18322EA7" w14:textId="47194A66" w:rsidR="004567E5" w:rsidRPr="0033593D" w:rsidRDefault="004567E5" w:rsidP="004567E5">
            <w:pPr>
              <w:adjustRightInd/>
              <w:snapToGrid/>
              <w:spacing w:afterLines="0" w:after="0" w:line="240" w:lineRule="auto"/>
              <w:jc w:val="right"/>
              <w:rPr>
                <w:bCs w:val="0"/>
                <w:sz w:val="20"/>
                <w:szCs w:val="20"/>
                <w:lang w:val="en-US" w:eastAsia="zh-CN"/>
              </w:rPr>
            </w:pPr>
            <w:r w:rsidRPr="0033593D">
              <w:rPr>
                <w:bCs w:val="0"/>
                <w:sz w:val="20"/>
                <w:szCs w:val="20"/>
                <w:lang w:val="en-US" w:eastAsia="zh-CN"/>
              </w:rPr>
              <w:t>(0.79 to</w:t>
            </w:r>
          </w:p>
        </w:tc>
        <w:tc>
          <w:tcPr>
            <w:tcW w:w="810" w:type="dxa"/>
            <w:vAlign w:val="bottom"/>
          </w:tcPr>
          <w:p w14:paraId="66C70C9E" w14:textId="30480199" w:rsidR="004567E5" w:rsidRPr="0033593D" w:rsidRDefault="004567E5" w:rsidP="004567E5">
            <w:pPr>
              <w:adjustRightInd/>
              <w:snapToGrid/>
              <w:spacing w:afterLines="0" w:after="0" w:line="240" w:lineRule="auto"/>
              <w:rPr>
                <w:bCs w:val="0"/>
                <w:sz w:val="20"/>
                <w:szCs w:val="20"/>
                <w:lang w:val="en-US" w:eastAsia="zh-CN"/>
              </w:rPr>
            </w:pPr>
            <w:r w:rsidRPr="0033593D">
              <w:rPr>
                <w:bCs w:val="0"/>
                <w:sz w:val="20"/>
                <w:szCs w:val="20"/>
                <w:lang w:val="en-US" w:eastAsia="zh-CN"/>
              </w:rPr>
              <w:t>2.02)</w:t>
            </w:r>
          </w:p>
        </w:tc>
        <w:tc>
          <w:tcPr>
            <w:tcW w:w="270" w:type="dxa"/>
            <w:vAlign w:val="bottom"/>
          </w:tcPr>
          <w:p w14:paraId="4C078930" w14:textId="36F1C6DD" w:rsidR="004567E5" w:rsidRPr="0033593D" w:rsidRDefault="004567E5" w:rsidP="004567E5">
            <w:pPr>
              <w:adjustRightInd/>
              <w:snapToGrid/>
              <w:spacing w:afterLines="0" w:after="0" w:line="240" w:lineRule="auto"/>
              <w:jc w:val="center"/>
              <w:rPr>
                <w:bCs w:val="0"/>
                <w:sz w:val="20"/>
                <w:szCs w:val="20"/>
                <w:lang w:val="en-US" w:eastAsia="zh-CN"/>
              </w:rPr>
            </w:pPr>
          </w:p>
        </w:tc>
        <w:tc>
          <w:tcPr>
            <w:tcW w:w="810" w:type="dxa"/>
            <w:vAlign w:val="bottom"/>
          </w:tcPr>
          <w:p w14:paraId="47376F3E" w14:textId="6D6D8647" w:rsidR="004567E5" w:rsidRPr="0033593D" w:rsidRDefault="004567E5" w:rsidP="004567E5">
            <w:pPr>
              <w:adjustRightInd/>
              <w:snapToGrid/>
              <w:spacing w:afterLines="0" w:after="0" w:line="240" w:lineRule="auto"/>
              <w:jc w:val="center"/>
              <w:rPr>
                <w:bCs w:val="0"/>
                <w:sz w:val="20"/>
                <w:szCs w:val="20"/>
                <w:lang w:val="en-US" w:eastAsia="zh-CN"/>
              </w:rPr>
            </w:pPr>
            <w:r w:rsidRPr="0033593D">
              <w:rPr>
                <w:bCs w:val="0"/>
                <w:sz w:val="20"/>
                <w:szCs w:val="20"/>
                <w:lang w:val="en-US" w:eastAsia="zh-CN"/>
              </w:rPr>
              <w:t>1.29</w:t>
            </w:r>
          </w:p>
        </w:tc>
        <w:tc>
          <w:tcPr>
            <w:tcW w:w="990" w:type="dxa"/>
            <w:vAlign w:val="bottom"/>
          </w:tcPr>
          <w:p w14:paraId="34B386B9" w14:textId="50E8FCC8" w:rsidR="004567E5" w:rsidRPr="0033593D" w:rsidRDefault="004567E5" w:rsidP="004567E5">
            <w:pPr>
              <w:adjustRightInd/>
              <w:snapToGrid/>
              <w:spacing w:afterLines="0" w:after="0" w:line="240" w:lineRule="auto"/>
              <w:jc w:val="center"/>
              <w:rPr>
                <w:bCs w:val="0"/>
                <w:sz w:val="20"/>
                <w:szCs w:val="20"/>
                <w:lang w:val="en-US" w:eastAsia="zh-CN"/>
              </w:rPr>
            </w:pPr>
            <w:r w:rsidRPr="0033593D">
              <w:rPr>
                <w:bCs w:val="0"/>
                <w:sz w:val="20"/>
                <w:szCs w:val="20"/>
                <w:lang w:val="en-US" w:eastAsia="zh-CN"/>
              </w:rPr>
              <w:t>(0.80 to</w:t>
            </w:r>
          </w:p>
        </w:tc>
        <w:tc>
          <w:tcPr>
            <w:tcW w:w="810" w:type="dxa"/>
            <w:vAlign w:val="bottom"/>
          </w:tcPr>
          <w:p w14:paraId="62CA9100" w14:textId="6424252A" w:rsidR="004567E5" w:rsidRPr="0033593D" w:rsidRDefault="004567E5" w:rsidP="004567E5">
            <w:pPr>
              <w:adjustRightInd/>
              <w:snapToGrid/>
              <w:spacing w:afterLines="0" w:after="0" w:line="240" w:lineRule="auto"/>
              <w:rPr>
                <w:bCs w:val="0"/>
                <w:sz w:val="20"/>
                <w:szCs w:val="20"/>
                <w:lang w:val="en-US" w:eastAsia="zh-CN"/>
              </w:rPr>
            </w:pPr>
            <w:r w:rsidRPr="0033593D">
              <w:rPr>
                <w:bCs w:val="0"/>
                <w:sz w:val="20"/>
                <w:szCs w:val="20"/>
                <w:lang w:val="en-US" w:eastAsia="zh-CN"/>
              </w:rPr>
              <w:t>2.07)</w:t>
            </w:r>
          </w:p>
        </w:tc>
      </w:tr>
      <w:tr w:rsidR="0033593D" w:rsidRPr="0033593D" w14:paraId="446727C0" w14:textId="77777777" w:rsidTr="00FD5D85">
        <w:trPr>
          <w:trHeight w:val="285"/>
        </w:trPr>
        <w:tc>
          <w:tcPr>
            <w:tcW w:w="3413" w:type="dxa"/>
            <w:shd w:val="clear" w:color="auto" w:fill="auto"/>
            <w:noWrap/>
            <w:vAlign w:val="bottom"/>
            <w:hideMark/>
          </w:tcPr>
          <w:p w14:paraId="1CAB4827" w14:textId="77777777" w:rsidR="004567E5" w:rsidRPr="0033593D" w:rsidRDefault="004567E5" w:rsidP="00772106">
            <w:pPr>
              <w:adjustRightInd/>
              <w:snapToGrid/>
              <w:spacing w:afterLines="0" w:after="0" w:line="240" w:lineRule="auto"/>
              <w:ind w:firstLineChars="200" w:firstLine="400"/>
              <w:rPr>
                <w:bCs w:val="0"/>
                <w:sz w:val="20"/>
                <w:szCs w:val="20"/>
                <w:lang w:val="en-US" w:eastAsia="zh-CN"/>
              </w:rPr>
            </w:pPr>
            <w:r w:rsidRPr="0033593D">
              <w:rPr>
                <w:bCs w:val="0"/>
                <w:sz w:val="20"/>
                <w:szCs w:val="20"/>
                <w:lang w:val="en-US" w:eastAsia="zh-CN"/>
              </w:rPr>
              <w:t>4</w:t>
            </w:r>
            <w:r w:rsidRPr="0033593D">
              <w:rPr>
                <w:bCs w:val="0"/>
                <w:sz w:val="20"/>
                <w:szCs w:val="20"/>
                <w:vertAlign w:val="superscript"/>
                <w:lang w:val="en-US" w:eastAsia="zh-CN"/>
              </w:rPr>
              <w:t>th</w:t>
            </w:r>
            <w:r w:rsidRPr="0033593D">
              <w:rPr>
                <w:bCs w:val="0"/>
                <w:sz w:val="20"/>
                <w:szCs w:val="20"/>
                <w:lang w:val="en-US" w:eastAsia="zh-CN"/>
              </w:rPr>
              <w:t xml:space="preserve"> quartile (104 – 454 grams)</w:t>
            </w:r>
          </w:p>
        </w:tc>
        <w:tc>
          <w:tcPr>
            <w:tcW w:w="997" w:type="dxa"/>
            <w:shd w:val="clear" w:color="auto" w:fill="auto"/>
            <w:noWrap/>
            <w:vAlign w:val="bottom"/>
            <w:hideMark/>
          </w:tcPr>
          <w:p w14:paraId="71FBC566" w14:textId="2DC1D580" w:rsidR="004567E5" w:rsidRPr="0033593D" w:rsidRDefault="004567E5" w:rsidP="004567E5">
            <w:pPr>
              <w:adjustRightInd/>
              <w:snapToGrid/>
              <w:spacing w:afterLines="0" w:after="0" w:line="240" w:lineRule="auto"/>
              <w:jc w:val="center"/>
              <w:rPr>
                <w:bCs w:val="0"/>
                <w:sz w:val="20"/>
                <w:szCs w:val="20"/>
                <w:lang w:val="en-US" w:eastAsia="zh-CN"/>
              </w:rPr>
            </w:pPr>
            <w:r w:rsidRPr="0033593D">
              <w:rPr>
                <w:bCs w:val="0"/>
                <w:sz w:val="20"/>
                <w:szCs w:val="20"/>
                <w:lang w:val="en-US" w:eastAsia="zh-CN"/>
              </w:rPr>
              <w:t>0.34</w:t>
            </w:r>
          </w:p>
        </w:tc>
        <w:tc>
          <w:tcPr>
            <w:tcW w:w="899" w:type="dxa"/>
            <w:shd w:val="clear" w:color="auto" w:fill="auto"/>
            <w:noWrap/>
            <w:vAlign w:val="bottom"/>
            <w:hideMark/>
          </w:tcPr>
          <w:p w14:paraId="62D0D3F6" w14:textId="25A3AB37" w:rsidR="004567E5" w:rsidRPr="0033593D" w:rsidRDefault="004567E5" w:rsidP="004567E5">
            <w:pPr>
              <w:adjustRightInd/>
              <w:snapToGrid/>
              <w:spacing w:afterLines="0" w:after="0" w:line="240" w:lineRule="auto"/>
              <w:jc w:val="right"/>
              <w:rPr>
                <w:bCs w:val="0"/>
                <w:sz w:val="20"/>
                <w:szCs w:val="20"/>
                <w:lang w:val="en-US" w:eastAsia="zh-CN"/>
              </w:rPr>
            </w:pPr>
            <w:r w:rsidRPr="0033593D">
              <w:rPr>
                <w:bCs w:val="0"/>
                <w:sz w:val="20"/>
                <w:szCs w:val="20"/>
                <w:lang w:val="en-US" w:eastAsia="zh-CN"/>
              </w:rPr>
              <w:t>(0.16 to</w:t>
            </w:r>
          </w:p>
        </w:tc>
        <w:tc>
          <w:tcPr>
            <w:tcW w:w="721" w:type="dxa"/>
            <w:shd w:val="clear" w:color="auto" w:fill="auto"/>
            <w:noWrap/>
            <w:vAlign w:val="bottom"/>
            <w:hideMark/>
          </w:tcPr>
          <w:p w14:paraId="00607297" w14:textId="6BA4E863" w:rsidR="004567E5" w:rsidRPr="0033593D" w:rsidRDefault="004567E5" w:rsidP="004567E5">
            <w:pPr>
              <w:adjustRightInd/>
              <w:snapToGrid/>
              <w:spacing w:afterLines="0" w:after="0" w:line="240" w:lineRule="auto"/>
              <w:rPr>
                <w:bCs w:val="0"/>
                <w:sz w:val="20"/>
                <w:szCs w:val="20"/>
                <w:lang w:val="en-US" w:eastAsia="zh-CN"/>
              </w:rPr>
            </w:pPr>
            <w:r w:rsidRPr="0033593D">
              <w:rPr>
                <w:bCs w:val="0"/>
                <w:sz w:val="20"/>
                <w:szCs w:val="20"/>
                <w:lang w:val="en-US" w:eastAsia="zh-CN"/>
              </w:rPr>
              <w:t>0.73)</w:t>
            </w:r>
          </w:p>
        </w:tc>
        <w:tc>
          <w:tcPr>
            <w:tcW w:w="270" w:type="dxa"/>
          </w:tcPr>
          <w:p w14:paraId="272ED4DC" w14:textId="77777777" w:rsidR="004567E5" w:rsidRPr="0033593D" w:rsidRDefault="004567E5" w:rsidP="004567E5">
            <w:pPr>
              <w:adjustRightInd/>
              <w:snapToGrid/>
              <w:spacing w:afterLines="0" w:after="0" w:line="240" w:lineRule="auto"/>
              <w:jc w:val="center"/>
              <w:rPr>
                <w:bCs w:val="0"/>
                <w:sz w:val="20"/>
                <w:szCs w:val="20"/>
                <w:lang w:val="en-US" w:eastAsia="zh-CN"/>
              </w:rPr>
            </w:pPr>
          </w:p>
        </w:tc>
        <w:tc>
          <w:tcPr>
            <w:tcW w:w="900" w:type="dxa"/>
            <w:vAlign w:val="bottom"/>
          </w:tcPr>
          <w:p w14:paraId="2DDDCF38" w14:textId="48B37F8B" w:rsidR="004567E5" w:rsidRPr="0033593D" w:rsidRDefault="004567E5" w:rsidP="004567E5">
            <w:pPr>
              <w:adjustRightInd/>
              <w:snapToGrid/>
              <w:spacing w:afterLines="0" w:after="0" w:line="240" w:lineRule="auto"/>
              <w:jc w:val="center"/>
              <w:rPr>
                <w:bCs w:val="0"/>
                <w:sz w:val="20"/>
                <w:szCs w:val="20"/>
                <w:lang w:val="en-US" w:eastAsia="zh-CN"/>
              </w:rPr>
            </w:pPr>
            <w:r w:rsidRPr="0033593D">
              <w:rPr>
                <w:bCs w:val="0"/>
                <w:sz w:val="20"/>
                <w:szCs w:val="20"/>
                <w:lang w:val="en-US" w:eastAsia="zh-CN"/>
              </w:rPr>
              <w:t>0.42</w:t>
            </w:r>
          </w:p>
        </w:tc>
        <w:tc>
          <w:tcPr>
            <w:tcW w:w="900" w:type="dxa"/>
            <w:vAlign w:val="bottom"/>
          </w:tcPr>
          <w:p w14:paraId="7AB0D2AB" w14:textId="2930DBC0" w:rsidR="004567E5" w:rsidRPr="0033593D" w:rsidRDefault="004567E5" w:rsidP="004567E5">
            <w:pPr>
              <w:adjustRightInd/>
              <w:snapToGrid/>
              <w:spacing w:afterLines="0" w:after="0" w:line="240" w:lineRule="auto"/>
              <w:jc w:val="right"/>
              <w:rPr>
                <w:bCs w:val="0"/>
                <w:sz w:val="20"/>
                <w:szCs w:val="20"/>
                <w:lang w:val="en-US" w:eastAsia="zh-CN"/>
              </w:rPr>
            </w:pPr>
            <w:r w:rsidRPr="0033593D">
              <w:rPr>
                <w:bCs w:val="0"/>
                <w:sz w:val="20"/>
                <w:szCs w:val="20"/>
                <w:lang w:val="en-US" w:eastAsia="zh-CN"/>
              </w:rPr>
              <w:t>(0.19 to</w:t>
            </w:r>
          </w:p>
        </w:tc>
        <w:tc>
          <w:tcPr>
            <w:tcW w:w="810" w:type="dxa"/>
            <w:vAlign w:val="bottom"/>
          </w:tcPr>
          <w:p w14:paraId="63A2B97A" w14:textId="0018B5B9" w:rsidR="004567E5" w:rsidRPr="0033593D" w:rsidRDefault="004567E5" w:rsidP="004567E5">
            <w:pPr>
              <w:adjustRightInd/>
              <w:snapToGrid/>
              <w:spacing w:afterLines="0" w:after="0" w:line="240" w:lineRule="auto"/>
              <w:rPr>
                <w:bCs w:val="0"/>
                <w:sz w:val="20"/>
                <w:szCs w:val="20"/>
                <w:lang w:val="en-US" w:eastAsia="zh-CN"/>
              </w:rPr>
            </w:pPr>
            <w:r w:rsidRPr="0033593D">
              <w:rPr>
                <w:bCs w:val="0"/>
                <w:sz w:val="20"/>
                <w:szCs w:val="20"/>
                <w:lang w:val="en-US" w:eastAsia="zh-CN"/>
              </w:rPr>
              <w:t>0.93)</w:t>
            </w:r>
          </w:p>
        </w:tc>
        <w:tc>
          <w:tcPr>
            <w:tcW w:w="270" w:type="dxa"/>
            <w:vAlign w:val="bottom"/>
          </w:tcPr>
          <w:p w14:paraId="546185AF" w14:textId="72578A9D" w:rsidR="004567E5" w:rsidRPr="0033593D" w:rsidRDefault="004567E5" w:rsidP="004567E5">
            <w:pPr>
              <w:adjustRightInd/>
              <w:snapToGrid/>
              <w:spacing w:afterLines="0" w:after="0" w:line="240" w:lineRule="auto"/>
              <w:jc w:val="center"/>
              <w:rPr>
                <w:bCs w:val="0"/>
                <w:sz w:val="20"/>
                <w:szCs w:val="20"/>
                <w:lang w:val="en-US" w:eastAsia="zh-CN"/>
              </w:rPr>
            </w:pPr>
          </w:p>
        </w:tc>
        <w:tc>
          <w:tcPr>
            <w:tcW w:w="900" w:type="dxa"/>
            <w:vAlign w:val="bottom"/>
          </w:tcPr>
          <w:p w14:paraId="6990B517" w14:textId="15BE427D" w:rsidR="004567E5" w:rsidRPr="0033593D" w:rsidRDefault="004567E5" w:rsidP="004567E5">
            <w:pPr>
              <w:adjustRightInd/>
              <w:snapToGrid/>
              <w:spacing w:afterLines="0" w:after="0" w:line="240" w:lineRule="auto"/>
              <w:jc w:val="center"/>
              <w:rPr>
                <w:bCs w:val="0"/>
                <w:sz w:val="20"/>
                <w:szCs w:val="20"/>
                <w:lang w:val="en-US" w:eastAsia="zh-CN"/>
              </w:rPr>
            </w:pPr>
            <w:r w:rsidRPr="0033593D">
              <w:rPr>
                <w:bCs w:val="0"/>
                <w:sz w:val="20"/>
                <w:szCs w:val="20"/>
                <w:lang w:val="en-US" w:eastAsia="zh-CN"/>
              </w:rPr>
              <w:t>0.42</w:t>
            </w:r>
          </w:p>
        </w:tc>
        <w:tc>
          <w:tcPr>
            <w:tcW w:w="900" w:type="dxa"/>
            <w:vAlign w:val="bottom"/>
          </w:tcPr>
          <w:p w14:paraId="3BC456C1" w14:textId="3F097327" w:rsidR="004567E5" w:rsidRPr="0033593D" w:rsidRDefault="004567E5" w:rsidP="004567E5">
            <w:pPr>
              <w:adjustRightInd/>
              <w:snapToGrid/>
              <w:spacing w:afterLines="0" w:after="0" w:line="240" w:lineRule="auto"/>
              <w:jc w:val="right"/>
              <w:rPr>
                <w:bCs w:val="0"/>
                <w:sz w:val="20"/>
                <w:szCs w:val="20"/>
                <w:lang w:val="en-US" w:eastAsia="zh-CN"/>
              </w:rPr>
            </w:pPr>
            <w:r w:rsidRPr="0033593D">
              <w:rPr>
                <w:bCs w:val="0"/>
                <w:sz w:val="20"/>
                <w:szCs w:val="20"/>
                <w:lang w:val="en-US" w:eastAsia="zh-CN"/>
              </w:rPr>
              <w:t>(0.19 to</w:t>
            </w:r>
          </w:p>
        </w:tc>
        <w:tc>
          <w:tcPr>
            <w:tcW w:w="810" w:type="dxa"/>
            <w:vAlign w:val="bottom"/>
          </w:tcPr>
          <w:p w14:paraId="11441364" w14:textId="68936C6B" w:rsidR="004567E5" w:rsidRPr="0033593D" w:rsidRDefault="004567E5" w:rsidP="004567E5">
            <w:pPr>
              <w:adjustRightInd/>
              <w:snapToGrid/>
              <w:spacing w:afterLines="0" w:after="0" w:line="240" w:lineRule="auto"/>
              <w:rPr>
                <w:bCs w:val="0"/>
                <w:sz w:val="20"/>
                <w:szCs w:val="20"/>
                <w:lang w:val="en-US" w:eastAsia="zh-CN"/>
              </w:rPr>
            </w:pPr>
            <w:r w:rsidRPr="0033593D">
              <w:rPr>
                <w:bCs w:val="0"/>
                <w:sz w:val="20"/>
                <w:szCs w:val="20"/>
                <w:lang w:val="en-US" w:eastAsia="zh-CN"/>
              </w:rPr>
              <w:t>0.92)</w:t>
            </w:r>
          </w:p>
        </w:tc>
        <w:tc>
          <w:tcPr>
            <w:tcW w:w="270" w:type="dxa"/>
            <w:vAlign w:val="bottom"/>
          </w:tcPr>
          <w:p w14:paraId="2C8969EC" w14:textId="7466E2AD" w:rsidR="004567E5" w:rsidRPr="0033593D" w:rsidRDefault="004567E5" w:rsidP="004567E5">
            <w:pPr>
              <w:adjustRightInd/>
              <w:snapToGrid/>
              <w:spacing w:afterLines="0" w:after="0" w:line="240" w:lineRule="auto"/>
              <w:jc w:val="center"/>
              <w:rPr>
                <w:bCs w:val="0"/>
                <w:sz w:val="20"/>
                <w:szCs w:val="20"/>
                <w:lang w:val="en-US" w:eastAsia="zh-CN"/>
              </w:rPr>
            </w:pPr>
          </w:p>
        </w:tc>
        <w:tc>
          <w:tcPr>
            <w:tcW w:w="810" w:type="dxa"/>
            <w:vAlign w:val="bottom"/>
          </w:tcPr>
          <w:p w14:paraId="74B271FB" w14:textId="046BF384" w:rsidR="004567E5" w:rsidRPr="0033593D" w:rsidRDefault="004567E5" w:rsidP="004567E5">
            <w:pPr>
              <w:adjustRightInd/>
              <w:snapToGrid/>
              <w:spacing w:afterLines="0" w:after="0" w:line="240" w:lineRule="auto"/>
              <w:jc w:val="center"/>
              <w:rPr>
                <w:bCs w:val="0"/>
                <w:sz w:val="20"/>
                <w:szCs w:val="20"/>
                <w:lang w:val="en-US" w:eastAsia="zh-CN"/>
              </w:rPr>
            </w:pPr>
            <w:r w:rsidRPr="0033593D">
              <w:rPr>
                <w:bCs w:val="0"/>
                <w:sz w:val="20"/>
                <w:szCs w:val="20"/>
                <w:lang w:val="en-US" w:eastAsia="zh-CN"/>
              </w:rPr>
              <w:t>0.43</w:t>
            </w:r>
          </w:p>
        </w:tc>
        <w:tc>
          <w:tcPr>
            <w:tcW w:w="990" w:type="dxa"/>
            <w:vAlign w:val="bottom"/>
          </w:tcPr>
          <w:p w14:paraId="7CCBA344" w14:textId="3FC50E19" w:rsidR="004567E5" w:rsidRPr="0033593D" w:rsidRDefault="004567E5" w:rsidP="004567E5">
            <w:pPr>
              <w:adjustRightInd/>
              <w:snapToGrid/>
              <w:spacing w:afterLines="0" w:after="0" w:line="240" w:lineRule="auto"/>
              <w:jc w:val="center"/>
              <w:rPr>
                <w:bCs w:val="0"/>
                <w:sz w:val="20"/>
                <w:szCs w:val="20"/>
                <w:lang w:val="en-US" w:eastAsia="zh-CN"/>
              </w:rPr>
            </w:pPr>
            <w:r w:rsidRPr="0033593D">
              <w:rPr>
                <w:bCs w:val="0"/>
                <w:sz w:val="20"/>
                <w:szCs w:val="20"/>
                <w:lang w:val="en-US" w:eastAsia="zh-CN"/>
              </w:rPr>
              <w:t>(0.19 to</w:t>
            </w:r>
          </w:p>
        </w:tc>
        <w:tc>
          <w:tcPr>
            <w:tcW w:w="810" w:type="dxa"/>
            <w:vAlign w:val="bottom"/>
          </w:tcPr>
          <w:p w14:paraId="4AA8D529" w14:textId="67E64D9C" w:rsidR="004567E5" w:rsidRPr="0033593D" w:rsidRDefault="004567E5" w:rsidP="004567E5">
            <w:pPr>
              <w:adjustRightInd/>
              <w:snapToGrid/>
              <w:spacing w:afterLines="0" w:after="0" w:line="240" w:lineRule="auto"/>
              <w:rPr>
                <w:bCs w:val="0"/>
                <w:sz w:val="20"/>
                <w:szCs w:val="20"/>
                <w:lang w:val="en-US" w:eastAsia="zh-CN"/>
              </w:rPr>
            </w:pPr>
            <w:r w:rsidRPr="0033593D">
              <w:rPr>
                <w:bCs w:val="0"/>
                <w:sz w:val="20"/>
                <w:szCs w:val="20"/>
                <w:lang w:val="en-US" w:eastAsia="zh-CN"/>
              </w:rPr>
              <w:t>0.96)</w:t>
            </w:r>
          </w:p>
        </w:tc>
      </w:tr>
      <w:tr w:rsidR="0033593D" w:rsidRPr="0033593D" w14:paraId="695722C9" w14:textId="77777777" w:rsidTr="00FD5D85">
        <w:trPr>
          <w:trHeight w:val="285"/>
        </w:trPr>
        <w:tc>
          <w:tcPr>
            <w:tcW w:w="3413" w:type="dxa"/>
            <w:tcBorders>
              <w:bottom w:val="single" w:sz="4" w:space="0" w:color="auto"/>
            </w:tcBorders>
            <w:shd w:val="clear" w:color="auto" w:fill="auto"/>
            <w:noWrap/>
            <w:vAlign w:val="bottom"/>
          </w:tcPr>
          <w:p w14:paraId="446CC028" w14:textId="544063EC" w:rsidR="004567E5" w:rsidRPr="0033593D" w:rsidRDefault="004567E5" w:rsidP="00772106">
            <w:pPr>
              <w:adjustRightInd/>
              <w:snapToGrid/>
              <w:spacing w:afterLines="0" w:after="0" w:line="240" w:lineRule="auto"/>
              <w:ind w:firstLineChars="200" w:firstLine="400"/>
              <w:rPr>
                <w:bCs w:val="0"/>
                <w:sz w:val="20"/>
                <w:szCs w:val="20"/>
                <w:lang w:val="en-US" w:eastAsia="zh-CN"/>
              </w:rPr>
            </w:pPr>
            <w:r w:rsidRPr="0033593D">
              <w:rPr>
                <w:bCs w:val="0"/>
                <w:sz w:val="20"/>
                <w:szCs w:val="20"/>
                <w:lang w:val="en-US" w:eastAsia="zh-CN"/>
              </w:rPr>
              <w:t xml:space="preserve">P for </w:t>
            </w:r>
            <w:proofErr w:type="spellStart"/>
            <w:r w:rsidRPr="0033593D">
              <w:rPr>
                <w:bCs w:val="0"/>
                <w:sz w:val="20"/>
                <w:szCs w:val="20"/>
                <w:lang w:val="en-US" w:eastAsia="zh-CN"/>
              </w:rPr>
              <w:t>trend</w:t>
            </w:r>
            <w:r w:rsidR="00FD5D85" w:rsidRPr="0033593D">
              <w:rPr>
                <w:bCs w:val="0"/>
                <w:sz w:val="20"/>
                <w:szCs w:val="20"/>
                <w:vertAlign w:val="superscript"/>
                <w:lang w:val="en-US" w:eastAsia="zh-CN"/>
              </w:rPr>
              <w:t>e</w:t>
            </w:r>
            <w:proofErr w:type="spellEnd"/>
          </w:p>
        </w:tc>
        <w:tc>
          <w:tcPr>
            <w:tcW w:w="2617" w:type="dxa"/>
            <w:gridSpan w:val="3"/>
            <w:tcBorders>
              <w:bottom w:val="single" w:sz="4" w:space="0" w:color="auto"/>
            </w:tcBorders>
            <w:shd w:val="clear" w:color="auto" w:fill="auto"/>
            <w:noWrap/>
            <w:vAlign w:val="bottom"/>
          </w:tcPr>
          <w:p w14:paraId="1B148E8F" w14:textId="47CCEF77" w:rsidR="004567E5" w:rsidRPr="0033593D" w:rsidRDefault="004567E5" w:rsidP="004567E5">
            <w:pPr>
              <w:adjustRightInd/>
              <w:snapToGrid/>
              <w:spacing w:afterLines="0" w:after="0" w:line="240" w:lineRule="auto"/>
              <w:jc w:val="center"/>
              <w:rPr>
                <w:bCs w:val="0"/>
                <w:sz w:val="20"/>
                <w:szCs w:val="20"/>
                <w:lang w:val="en-US" w:eastAsia="zh-CN"/>
              </w:rPr>
            </w:pPr>
            <w:r w:rsidRPr="0033593D">
              <w:rPr>
                <w:bCs w:val="0"/>
                <w:sz w:val="20"/>
                <w:szCs w:val="20"/>
                <w:lang w:val="en-US" w:eastAsia="zh-CN"/>
              </w:rPr>
              <w:t>0.015</w:t>
            </w:r>
          </w:p>
        </w:tc>
        <w:tc>
          <w:tcPr>
            <w:tcW w:w="270" w:type="dxa"/>
            <w:tcBorders>
              <w:bottom w:val="single" w:sz="4" w:space="0" w:color="auto"/>
            </w:tcBorders>
          </w:tcPr>
          <w:p w14:paraId="737F0ADA" w14:textId="77777777" w:rsidR="004567E5" w:rsidRPr="0033593D" w:rsidRDefault="004567E5" w:rsidP="004567E5">
            <w:pPr>
              <w:adjustRightInd/>
              <w:snapToGrid/>
              <w:spacing w:afterLines="0" w:after="0" w:line="240" w:lineRule="auto"/>
              <w:jc w:val="center"/>
              <w:rPr>
                <w:bCs w:val="0"/>
                <w:sz w:val="20"/>
                <w:szCs w:val="20"/>
                <w:lang w:val="en-US" w:eastAsia="zh-CN"/>
              </w:rPr>
            </w:pPr>
          </w:p>
        </w:tc>
        <w:tc>
          <w:tcPr>
            <w:tcW w:w="2610" w:type="dxa"/>
            <w:gridSpan w:val="3"/>
            <w:tcBorders>
              <w:bottom w:val="single" w:sz="4" w:space="0" w:color="auto"/>
            </w:tcBorders>
          </w:tcPr>
          <w:p w14:paraId="51442011" w14:textId="1C0B73D6" w:rsidR="004567E5" w:rsidRPr="0033593D" w:rsidRDefault="004567E5" w:rsidP="004567E5">
            <w:pPr>
              <w:adjustRightInd/>
              <w:snapToGrid/>
              <w:spacing w:afterLines="0" w:after="0" w:line="240" w:lineRule="auto"/>
              <w:jc w:val="center"/>
              <w:rPr>
                <w:bCs w:val="0"/>
                <w:sz w:val="20"/>
                <w:szCs w:val="20"/>
                <w:lang w:val="en-US" w:eastAsia="zh-CN"/>
              </w:rPr>
            </w:pPr>
            <w:r w:rsidRPr="0033593D">
              <w:rPr>
                <w:bCs w:val="0"/>
                <w:sz w:val="20"/>
                <w:szCs w:val="20"/>
                <w:lang w:val="en-US" w:eastAsia="zh-CN"/>
              </w:rPr>
              <w:t>0.224</w:t>
            </w:r>
          </w:p>
        </w:tc>
        <w:tc>
          <w:tcPr>
            <w:tcW w:w="270" w:type="dxa"/>
            <w:tcBorders>
              <w:bottom w:val="single" w:sz="4" w:space="0" w:color="auto"/>
            </w:tcBorders>
          </w:tcPr>
          <w:p w14:paraId="6084829C" w14:textId="77777777" w:rsidR="004567E5" w:rsidRPr="0033593D" w:rsidRDefault="004567E5" w:rsidP="004567E5">
            <w:pPr>
              <w:adjustRightInd/>
              <w:snapToGrid/>
              <w:spacing w:afterLines="0" w:after="0" w:line="240" w:lineRule="auto"/>
              <w:jc w:val="center"/>
              <w:rPr>
                <w:bCs w:val="0"/>
                <w:sz w:val="20"/>
                <w:szCs w:val="20"/>
                <w:lang w:val="en-US" w:eastAsia="zh-CN"/>
              </w:rPr>
            </w:pPr>
          </w:p>
        </w:tc>
        <w:tc>
          <w:tcPr>
            <w:tcW w:w="2610" w:type="dxa"/>
            <w:gridSpan w:val="3"/>
            <w:tcBorders>
              <w:bottom w:val="single" w:sz="4" w:space="0" w:color="auto"/>
            </w:tcBorders>
          </w:tcPr>
          <w:p w14:paraId="008B8585" w14:textId="67105FC7" w:rsidR="004567E5" w:rsidRPr="0033593D" w:rsidRDefault="004567E5" w:rsidP="004567E5">
            <w:pPr>
              <w:adjustRightInd/>
              <w:snapToGrid/>
              <w:spacing w:afterLines="0" w:after="0" w:line="240" w:lineRule="auto"/>
              <w:jc w:val="center"/>
              <w:rPr>
                <w:bCs w:val="0"/>
                <w:sz w:val="20"/>
                <w:szCs w:val="20"/>
                <w:lang w:val="en-US" w:eastAsia="zh-CN"/>
              </w:rPr>
            </w:pPr>
            <w:r w:rsidRPr="0033593D">
              <w:rPr>
                <w:bCs w:val="0"/>
                <w:sz w:val="20"/>
                <w:szCs w:val="20"/>
                <w:lang w:val="en-US" w:eastAsia="zh-CN"/>
              </w:rPr>
              <w:t>0.211</w:t>
            </w:r>
          </w:p>
        </w:tc>
        <w:tc>
          <w:tcPr>
            <w:tcW w:w="270" w:type="dxa"/>
            <w:tcBorders>
              <w:bottom w:val="single" w:sz="4" w:space="0" w:color="auto"/>
            </w:tcBorders>
          </w:tcPr>
          <w:p w14:paraId="077E5814" w14:textId="77777777" w:rsidR="004567E5" w:rsidRPr="0033593D" w:rsidRDefault="004567E5" w:rsidP="004567E5">
            <w:pPr>
              <w:adjustRightInd/>
              <w:snapToGrid/>
              <w:spacing w:afterLines="0" w:after="0" w:line="240" w:lineRule="auto"/>
              <w:jc w:val="center"/>
              <w:rPr>
                <w:bCs w:val="0"/>
                <w:sz w:val="20"/>
                <w:szCs w:val="20"/>
                <w:lang w:val="en-US" w:eastAsia="zh-CN"/>
              </w:rPr>
            </w:pPr>
          </w:p>
        </w:tc>
        <w:tc>
          <w:tcPr>
            <w:tcW w:w="2610" w:type="dxa"/>
            <w:gridSpan w:val="3"/>
            <w:tcBorders>
              <w:bottom w:val="single" w:sz="4" w:space="0" w:color="auto"/>
            </w:tcBorders>
          </w:tcPr>
          <w:p w14:paraId="6BD03EC9" w14:textId="36F1C528" w:rsidR="004567E5" w:rsidRPr="0033593D" w:rsidRDefault="004567E5" w:rsidP="004567E5">
            <w:pPr>
              <w:adjustRightInd/>
              <w:snapToGrid/>
              <w:spacing w:afterLines="0" w:after="0" w:line="240" w:lineRule="auto"/>
              <w:jc w:val="center"/>
              <w:rPr>
                <w:bCs w:val="0"/>
                <w:sz w:val="20"/>
                <w:szCs w:val="20"/>
                <w:lang w:val="en-US" w:eastAsia="zh-CN"/>
              </w:rPr>
            </w:pPr>
            <w:r w:rsidRPr="0033593D">
              <w:rPr>
                <w:bCs w:val="0"/>
                <w:sz w:val="20"/>
                <w:szCs w:val="20"/>
                <w:lang w:val="en-US" w:eastAsia="zh-CN"/>
              </w:rPr>
              <w:t>0.325</w:t>
            </w:r>
          </w:p>
        </w:tc>
      </w:tr>
      <w:tr w:rsidR="0033593D" w:rsidRPr="0033593D" w14:paraId="6513C7D0" w14:textId="0AA7639F" w:rsidTr="00FD5D85">
        <w:trPr>
          <w:trHeight w:val="285"/>
        </w:trPr>
        <w:tc>
          <w:tcPr>
            <w:tcW w:w="14670" w:type="dxa"/>
            <w:gridSpan w:val="16"/>
            <w:tcBorders>
              <w:top w:val="single" w:sz="4" w:space="0" w:color="auto"/>
            </w:tcBorders>
          </w:tcPr>
          <w:p w14:paraId="3532487E" w14:textId="4287B059" w:rsidR="004567E5" w:rsidRPr="0033593D" w:rsidRDefault="004567E5" w:rsidP="00772106">
            <w:pPr>
              <w:adjustRightInd/>
              <w:snapToGrid/>
              <w:spacing w:afterLines="0" w:after="0" w:line="240" w:lineRule="auto"/>
              <w:rPr>
                <w:bCs w:val="0"/>
                <w:sz w:val="20"/>
                <w:szCs w:val="20"/>
                <w:lang w:val="en-US" w:eastAsia="zh-CN"/>
              </w:rPr>
            </w:pPr>
            <w:r w:rsidRPr="0033593D">
              <w:rPr>
                <w:bCs w:val="0"/>
                <w:sz w:val="20"/>
                <w:szCs w:val="20"/>
                <w:lang w:val="en-US" w:eastAsia="zh-CN"/>
              </w:rPr>
              <w:t>a. Depression symptoms measured using Patient Health Questionnaire (PHQ-9): None or minimum to mild (0-9) Moderate to severe (10-27)</w:t>
            </w:r>
          </w:p>
        </w:tc>
      </w:tr>
      <w:tr w:rsidR="0033593D" w:rsidRPr="0033593D" w14:paraId="7494B6B4" w14:textId="2EFC9429" w:rsidTr="00FD5D85">
        <w:trPr>
          <w:trHeight w:val="285"/>
        </w:trPr>
        <w:tc>
          <w:tcPr>
            <w:tcW w:w="14670" w:type="dxa"/>
            <w:gridSpan w:val="16"/>
          </w:tcPr>
          <w:p w14:paraId="42E55FB0" w14:textId="0F753211" w:rsidR="004567E5" w:rsidRPr="0033593D" w:rsidRDefault="004567E5" w:rsidP="00772106">
            <w:pPr>
              <w:adjustRightInd/>
              <w:snapToGrid/>
              <w:spacing w:afterLines="0" w:after="0" w:line="240" w:lineRule="auto"/>
              <w:rPr>
                <w:bCs w:val="0"/>
                <w:sz w:val="20"/>
                <w:szCs w:val="20"/>
                <w:lang w:val="en-US" w:eastAsia="zh-CN"/>
              </w:rPr>
            </w:pPr>
            <w:r w:rsidRPr="0033593D">
              <w:rPr>
                <w:bCs w:val="0"/>
                <w:sz w:val="20"/>
                <w:szCs w:val="20"/>
                <w:lang w:val="en-US" w:eastAsia="zh-CN"/>
              </w:rPr>
              <w:t>b. Adjusted for age, sex, BMI category (normal weight, over weight, obese), race (non-Hispanic white, non-Hispanic black, Hispanic, other), education (below high school, high school, high school and higher), household annual income (&lt;$20000, $20000-74999, $75000 and higher), physical activity (inactive, any activity), smoking status (never smoker, former smoker, current smoker), energy intake in quartiles, sugar intake in quartiles, alcohol consumption (yes/no), and chronic conditions including cardiovascular disease, arthritis and cancer (yes/no).</w:t>
            </w:r>
          </w:p>
        </w:tc>
      </w:tr>
      <w:tr w:rsidR="0033593D" w:rsidRPr="0033593D" w14:paraId="20030731" w14:textId="77777777" w:rsidTr="00FD5D85">
        <w:trPr>
          <w:trHeight w:val="285"/>
        </w:trPr>
        <w:tc>
          <w:tcPr>
            <w:tcW w:w="14670" w:type="dxa"/>
            <w:gridSpan w:val="16"/>
          </w:tcPr>
          <w:p w14:paraId="6E0A664A" w14:textId="7FF7EAD3" w:rsidR="00FD5D85" w:rsidRPr="0033593D" w:rsidRDefault="00FD5D85" w:rsidP="00FD5D85">
            <w:pPr>
              <w:adjustRightInd/>
              <w:snapToGrid/>
              <w:spacing w:afterLines="0" w:after="0" w:line="240" w:lineRule="auto"/>
              <w:rPr>
                <w:bCs w:val="0"/>
                <w:sz w:val="20"/>
                <w:szCs w:val="20"/>
                <w:lang w:val="en-US" w:eastAsia="zh-CN"/>
              </w:rPr>
            </w:pPr>
            <w:r w:rsidRPr="0033593D">
              <w:rPr>
                <w:bCs w:val="0"/>
                <w:sz w:val="20"/>
                <w:szCs w:val="20"/>
                <w:lang w:val="en-US" w:eastAsia="zh-CN"/>
              </w:rPr>
              <w:t>c. Additionally adjusted for daily sugar intake (gram, day)</w:t>
            </w:r>
          </w:p>
        </w:tc>
      </w:tr>
      <w:tr w:rsidR="0033593D" w:rsidRPr="0033593D" w14:paraId="052D2F0E" w14:textId="5A259E8A" w:rsidTr="00FD5D85">
        <w:trPr>
          <w:trHeight w:val="285"/>
        </w:trPr>
        <w:tc>
          <w:tcPr>
            <w:tcW w:w="14670" w:type="dxa"/>
            <w:gridSpan w:val="16"/>
          </w:tcPr>
          <w:p w14:paraId="08321A72" w14:textId="4D6099FD" w:rsidR="00FD5D85" w:rsidRPr="0033593D" w:rsidRDefault="00FD5D85" w:rsidP="00FD5D85">
            <w:pPr>
              <w:adjustRightInd/>
              <w:snapToGrid/>
              <w:spacing w:afterLines="0" w:after="0" w:line="240" w:lineRule="auto"/>
              <w:rPr>
                <w:bCs w:val="0"/>
                <w:sz w:val="20"/>
                <w:szCs w:val="20"/>
                <w:lang w:val="en-US" w:eastAsia="zh-CN"/>
              </w:rPr>
            </w:pPr>
            <w:r w:rsidRPr="0033593D">
              <w:rPr>
                <w:bCs w:val="0"/>
                <w:sz w:val="20"/>
                <w:szCs w:val="20"/>
                <w:lang w:val="en-US" w:eastAsia="zh-CN"/>
              </w:rPr>
              <w:t>d. Additionally adjusted for dark chocolate consumption (yes/no).</w:t>
            </w:r>
          </w:p>
        </w:tc>
      </w:tr>
      <w:tr w:rsidR="0033593D" w:rsidRPr="0033593D" w14:paraId="1F78C32B" w14:textId="03891C05" w:rsidTr="00FD5D85">
        <w:trPr>
          <w:trHeight w:val="285"/>
        </w:trPr>
        <w:tc>
          <w:tcPr>
            <w:tcW w:w="14670" w:type="dxa"/>
            <w:gridSpan w:val="16"/>
          </w:tcPr>
          <w:p w14:paraId="3172E2EF" w14:textId="3F0BC767" w:rsidR="00FD5D85" w:rsidRPr="0033593D" w:rsidRDefault="00FD5D85" w:rsidP="00FD5D85">
            <w:pPr>
              <w:adjustRightInd/>
              <w:snapToGrid/>
              <w:spacing w:afterLines="0" w:after="0" w:line="240" w:lineRule="auto"/>
              <w:rPr>
                <w:bCs w:val="0"/>
                <w:sz w:val="20"/>
                <w:szCs w:val="20"/>
                <w:lang w:val="en-US" w:eastAsia="zh-CN"/>
              </w:rPr>
            </w:pPr>
            <w:r w:rsidRPr="0033593D">
              <w:rPr>
                <w:bCs w:val="0"/>
                <w:sz w:val="20"/>
                <w:szCs w:val="20"/>
                <w:lang w:val="en-US" w:eastAsia="zh-CN"/>
              </w:rPr>
              <w:t>e. P for trend was calculated by modeling the median value of chocolate consumption in each quartile as a continuous variable.</w:t>
            </w:r>
          </w:p>
        </w:tc>
      </w:tr>
    </w:tbl>
    <w:p w14:paraId="03D327E9" w14:textId="77777777" w:rsidR="00772106" w:rsidRPr="0033593D" w:rsidRDefault="00772106" w:rsidP="0076143F">
      <w:pPr>
        <w:sectPr w:rsidR="00772106" w:rsidRPr="0033593D" w:rsidSect="00772106">
          <w:pgSz w:w="15840" w:h="12240" w:orient="landscape"/>
          <w:pgMar w:top="720" w:right="720" w:bottom="720" w:left="720" w:header="720" w:footer="720" w:gutter="0"/>
          <w:cols w:space="720"/>
          <w:docGrid w:linePitch="360"/>
        </w:sectPr>
      </w:pPr>
    </w:p>
    <w:tbl>
      <w:tblPr>
        <w:tblW w:w="14575" w:type="dxa"/>
        <w:tblInd w:w="-95" w:type="dxa"/>
        <w:tblLayout w:type="fixed"/>
        <w:tblLook w:val="04A0" w:firstRow="1" w:lastRow="0" w:firstColumn="1" w:lastColumn="0" w:noHBand="0" w:noVBand="1"/>
      </w:tblPr>
      <w:tblGrid>
        <w:gridCol w:w="4045"/>
        <w:gridCol w:w="1309"/>
        <w:gridCol w:w="1576"/>
        <w:gridCol w:w="1885"/>
        <w:gridCol w:w="1980"/>
        <w:gridCol w:w="1890"/>
        <w:gridCol w:w="1890"/>
      </w:tblGrid>
      <w:tr w:rsidR="0033593D" w:rsidRPr="0033593D" w14:paraId="285629B3" w14:textId="39C69583" w:rsidTr="00150358">
        <w:trPr>
          <w:trHeight w:val="570"/>
        </w:trPr>
        <w:tc>
          <w:tcPr>
            <w:tcW w:w="1457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792C0203" w14:textId="61177782" w:rsidR="00F402B8" w:rsidRPr="0033593D" w:rsidRDefault="00F402B8" w:rsidP="00B344FA">
            <w:pPr>
              <w:adjustRightInd/>
              <w:snapToGrid/>
              <w:spacing w:afterLines="0" w:after="0" w:line="240" w:lineRule="auto"/>
              <w:rPr>
                <w:bCs w:val="0"/>
                <w:lang w:val="en-US" w:eastAsia="zh-CN"/>
              </w:rPr>
            </w:pPr>
            <w:r w:rsidRPr="0033593D">
              <w:rPr>
                <w:bCs w:val="0"/>
                <w:lang w:val="en-US" w:eastAsia="zh-CN"/>
              </w:rPr>
              <w:lastRenderedPageBreak/>
              <w:t xml:space="preserve">Supplemental Table 1. Socio-demographic characteristics of US adults aged 20-80 Years in the NHANES (2007-2014), by daily chocolate </w:t>
            </w:r>
            <w:proofErr w:type="spellStart"/>
            <w:r w:rsidRPr="0033593D">
              <w:rPr>
                <w:bCs w:val="0"/>
                <w:lang w:val="en-US" w:eastAsia="zh-CN"/>
              </w:rPr>
              <w:t>consumption</w:t>
            </w:r>
            <w:r w:rsidRPr="0033593D">
              <w:rPr>
                <w:bCs w:val="0"/>
                <w:vertAlign w:val="superscript"/>
                <w:lang w:val="en-US" w:eastAsia="zh-CN"/>
              </w:rPr>
              <w:t>a</w:t>
            </w:r>
            <w:proofErr w:type="spellEnd"/>
          </w:p>
        </w:tc>
      </w:tr>
      <w:tr w:rsidR="0033593D" w:rsidRPr="0033593D" w14:paraId="56EC646B" w14:textId="605E4678" w:rsidTr="00150358">
        <w:trPr>
          <w:trHeight w:val="70"/>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A6E34" w14:textId="77777777" w:rsidR="00F402B8" w:rsidRPr="0033593D" w:rsidRDefault="00F402B8" w:rsidP="0013684D">
            <w:pPr>
              <w:adjustRightInd/>
              <w:snapToGrid/>
              <w:spacing w:afterLines="0" w:after="0" w:line="240" w:lineRule="auto"/>
              <w:rPr>
                <w:bCs w:val="0"/>
                <w:lang w:val="en-US" w:eastAsia="zh-CN"/>
              </w:rPr>
            </w:pPr>
            <w:r w:rsidRPr="0033593D">
              <w:rPr>
                <w:bCs w:val="0"/>
                <w:lang w:val="en-US" w:eastAsia="zh-CN"/>
              </w:rPr>
              <w:t> </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280E1"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 </w:t>
            </w:r>
          </w:p>
        </w:tc>
        <w:tc>
          <w:tcPr>
            <w:tcW w:w="922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7163A"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Chocolate consumption</w:t>
            </w:r>
          </w:p>
        </w:tc>
      </w:tr>
      <w:tr w:rsidR="0033593D" w:rsidRPr="0033593D" w14:paraId="744559F7" w14:textId="77777777" w:rsidTr="00150358">
        <w:trPr>
          <w:trHeight w:val="287"/>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5434C" w14:textId="77777777" w:rsidR="00F402B8" w:rsidRPr="0033593D" w:rsidRDefault="00F402B8" w:rsidP="0013684D">
            <w:pPr>
              <w:adjustRightInd/>
              <w:snapToGrid/>
              <w:spacing w:afterLines="0" w:after="0" w:line="240" w:lineRule="auto"/>
              <w:jc w:val="center"/>
              <w:rPr>
                <w:bCs w:val="0"/>
                <w:lang w:val="en-US" w:eastAsia="zh-CN"/>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3A011"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 </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A05D67"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None</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05DDE9" w14:textId="77777777" w:rsidR="00F402B8" w:rsidRPr="0033593D" w:rsidRDefault="00F402B8" w:rsidP="0013684D">
            <w:pPr>
              <w:adjustRightInd/>
              <w:snapToGrid/>
              <w:spacing w:afterLines="0" w:after="0" w:line="240" w:lineRule="auto"/>
              <w:jc w:val="center"/>
              <w:rPr>
                <w:bCs w:val="0"/>
                <w:sz w:val="20"/>
                <w:szCs w:val="20"/>
                <w:lang w:val="en-US" w:eastAsia="zh-CN"/>
              </w:rPr>
            </w:pPr>
            <w:r w:rsidRPr="0033593D">
              <w:rPr>
                <w:bCs w:val="0"/>
                <w:sz w:val="20"/>
                <w:szCs w:val="20"/>
                <w:lang w:val="en-US" w:eastAsia="zh-CN"/>
              </w:rPr>
              <w:t>1</w:t>
            </w:r>
            <w:r w:rsidRPr="0033593D">
              <w:rPr>
                <w:bCs w:val="0"/>
                <w:sz w:val="20"/>
                <w:szCs w:val="20"/>
                <w:vertAlign w:val="superscript"/>
                <w:lang w:val="en-US" w:eastAsia="zh-CN"/>
              </w:rPr>
              <w:t>st</w:t>
            </w:r>
            <w:r w:rsidRPr="0033593D">
              <w:rPr>
                <w:bCs w:val="0"/>
                <w:sz w:val="20"/>
                <w:szCs w:val="20"/>
                <w:lang w:val="en-US" w:eastAsia="zh-CN"/>
              </w:rPr>
              <w:t xml:space="preserve"> quartile</w:t>
            </w:r>
          </w:p>
          <w:p w14:paraId="102C1F39" w14:textId="3F88B208" w:rsidR="00F402B8" w:rsidRPr="0033593D" w:rsidRDefault="00F402B8" w:rsidP="0013684D">
            <w:pPr>
              <w:adjustRightInd/>
              <w:snapToGrid/>
              <w:spacing w:afterLines="0" w:after="0" w:line="240" w:lineRule="auto"/>
              <w:jc w:val="center"/>
              <w:rPr>
                <w:b/>
                <w:bCs w:val="0"/>
                <w:lang w:val="en-US" w:eastAsia="zh-CN"/>
              </w:rPr>
            </w:pPr>
            <w:r w:rsidRPr="0033593D">
              <w:rPr>
                <w:bCs w:val="0"/>
                <w:sz w:val="20"/>
                <w:szCs w:val="20"/>
                <w:lang w:val="en-US" w:eastAsia="zh-CN"/>
              </w:rPr>
              <w:t>(4.1 – 35.0 grams)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22B146" w14:textId="77777777" w:rsidR="00F402B8" w:rsidRPr="0033593D" w:rsidRDefault="00F402B8" w:rsidP="0013684D">
            <w:pPr>
              <w:adjustRightInd/>
              <w:snapToGrid/>
              <w:spacing w:afterLines="0" w:after="0" w:line="240" w:lineRule="auto"/>
              <w:jc w:val="center"/>
              <w:rPr>
                <w:bCs w:val="0"/>
                <w:sz w:val="20"/>
                <w:szCs w:val="20"/>
                <w:lang w:val="en-US" w:eastAsia="zh-CN"/>
              </w:rPr>
            </w:pPr>
            <w:r w:rsidRPr="0033593D">
              <w:rPr>
                <w:bCs w:val="0"/>
                <w:sz w:val="20"/>
                <w:szCs w:val="20"/>
                <w:lang w:val="en-US" w:eastAsia="zh-CN"/>
              </w:rPr>
              <w:t>2</w:t>
            </w:r>
            <w:r w:rsidRPr="0033593D">
              <w:rPr>
                <w:bCs w:val="0"/>
                <w:sz w:val="20"/>
                <w:szCs w:val="20"/>
                <w:vertAlign w:val="superscript"/>
                <w:lang w:val="en-US" w:eastAsia="zh-CN"/>
              </w:rPr>
              <w:t>nd</w:t>
            </w:r>
            <w:r w:rsidRPr="0033593D">
              <w:rPr>
                <w:bCs w:val="0"/>
                <w:sz w:val="20"/>
                <w:szCs w:val="20"/>
                <w:lang w:val="en-US" w:eastAsia="zh-CN"/>
              </w:rPr>
              <w:t xml:space="preserve"> quartile </w:t>
            </w:r>
          </w:p>
          <w:p w14:paraId="07B68947" w14:textId="1FF7B880" w:rsidR="00F402B8" w:rsidRPr="0033593D" w:rsidRDefault="00F402B8" w:rsidP="0013684D">
            <w:pPr>
              <w:adjustRightInd/>
              <w:snapToGrid/>
              <w:spacing w:afterLines="0" w:after="0" w:line="240" w:lineRule="auto"/>
              <w:jc w:val="center"/>
              <w:rPr>
                <w:bCs w:val="0"/>
                <w:lang w:val="en-US" w:eastAsia="zh-CN"/>
              </w:rPr>
            </w:pPr>
            <w:r w:rsidRPr="0033593D">
              <w:rPr>
                <w:bCs w:val="0"/>
                <w:sz w:val="20"/>
                <w:szCs w:val="20"/>
                <w:lang w:val="en-US" w:eastAsia="zh-CN"/>
              </w:rPr>
              <w:t>(37.0 – 95.1 grams)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10542187" w14:textId="77777777" w:rsidR="00F402B8" w:rsidRPr="0033593D" w:rsidRDefault="00F402B8" w:rsidP="0013684D">
            <w:pPr>
              <w:adjustRightInd/>
              <w:snapToGrid/>
              <w:spacing w:afterLines="0" w:after="0" w:line="240" w:lineRule="auto"/>
              <w:jc w:val="center"/>
              <w:rPr>
                <w:bCs w:val="0"/>
                <w:sz w:val="20"/>
                <w:szCs w:val="20"/>
                <w:lang w:val="en-US" w:eastAsia="zh-CN"/>
              </w:rPr>
            </w:pPr>
            <w:r w:rsidRPr="0033593D">
              <w:rPr>
                <w:bCs w:val="0"/>
                <w:sz w:val="20"/>
                <w:szCs w:val="20"/>
                <w:lang w:val="en-US" w:eastAsia="zh-CN"/>
              </w:rPr>
              <w:t>3</w:t>
            </w:r>
            <w:r w:rsidRPr="0033593D">
              <w:rPr>
                <w:bCs w:val="0"/>
                <w:sz w:val="20"/>
                <w:szCs w:val="20"/>
                <w:vertAlign w:val="superscript"/>
                <w:lang w:val="en-US" w:eastAsia="zh-CN"/>
              </w:rPr>
              <w:t>rd</w:t>
            </w:r>
            <w:r w:rsidRPr="0033593D">
              <w:rPr>
                <w:bCs w:val="0"/>
                <w:sz w:val="20"/>
                <w:szCs w:val="20"/>
                <w:lang w:val="en-US" w:eastAsia="zh-CN"/>
              </w:rPr>
              <w:t xml:space="preserve"> quartile </w:t>
            </w:r>
          </w:p>
          <w:p w14:paraId="66FC583E" w14:textId="0697030D" w:rsidR="00F402B8" w:rsidRPr="0033593D" w:rsidRDefault="00F402B8" w:rsidP="0013684D">
            <w:pPr>
              <w:adjustRightInd/>
              <w:snapToGrid/>
              <w:spacing w:afterLines="0" w:after="0" w:line="240" w:lineRule="auto"/>
              <w:jc w:val="center"/>
              <w:rPr>
                <w:bCs w:val="0"/>
                <w:lang w:val="en-US" w:eastAsia="zh-CN"/>
              </w:rPr>
            </w:pPr>
            <w:r w:rsidRPr="0033593D">
              <w:rPr>
                <w:bCs w:val="0"/>
                <w:sz w:val="20"/>
                <w:szCs w:val="20"/>
                <w:lang w:val="en-US" w:eastAsia="zh-CN"/>
              </w:rPr>
              <w:t>(100 – 100 grams)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56F3F5CE" w14:textId="77777777" w:rsidR="00F402B8" w:rsidRPr="0033593D" w:rsidRDefault="00F402B8" w:rsidP="0013684D">
            <w:pPr>
              <w:adjustRightInd/>
              <w:snapToGrid/>
              <w:spacing w:afterLines="0" w:after="0" w:line="240" w:lineRule="auto"/>
              <w:jc w:val="center"/>
              <w:rPr>
                <w:bCs w:val="0"/>
                <w:sz w:val="20"/>
                <w:szCs w:val="20"/>
                <w:lang w:val="en-US" w:eastAsia="zh-CN"/>
              </w:rPr>
            </w:pPr>
            <w:r w:rsidRPr="0033593D">
              <w:rPr>
                <w:bCs w:val="0"/>
                <w:sz w:val="20"/>
                <w:szCs w:val="20"/>
                <w:lang w:val="en-US" w:eastAsia="zh-CN"/>
              </w:rPr>
              <w:t>4</w:t>
            </w:r>
            <w:r w:rsidRPr="0033593D">
              <w:rPr>
                <w:bCs w:val="0"/>
                <w:sz w:val="20"/>
                <w:szCs w:val="20"/>
                <w:vertAlign w:val="superscript"/>
                <w:lang w:val="en-US" w:eastAsia="zh-CN"/>
              </w:rPr>
              <w:t>th</w:t>
            </w:r>
            <w:r w:rsidRPr="0033593D">
              <w:rPr>
                <w:bCs w:val="0"/>
                <w:sz w:val="20"/>
                <w:szCs w:val="20"/>
                <w:lang w:val="en-US" w:eastAsia="zh-CN"/>
              </w:rPr>
              <w:t xml:space="preserve"> quartile </w:t>
            </w:r>
          </w:p>
          <w:p w14:paraId="63E168F4" w14:textId="6829C5E3" w:rsidR="00F402B8" w:rsidRPr="0033593D" w:rsidRDefault="00F402B8" w:rsidP="0013684D">
            <w:pPr>
              <w:adjustRightInd/>
              <w:snapToGrid/>
              <w:spacing w:afterLines="0" w:after="0" w:line="240" w:lineRule="auto"/>
              <w:jc w:val="center"/>
              <w:rPr>
                <w:bCs w:val="0"/>
                <w:lang w:val="en-US" w:eastAsia="zh-CN"/>
              </w:rPr>
            </w:pPr>
            <w:r w:rsidRPr="0033593D">
              <w:rPr>
                <w:bCs w:val="0"/>
                <w:sz w:val="20"/>
                <w:szCs w:val="20"/>
                <w:lang w:val="en-US" w:eastAsia="zh-CN"/>
              </w:rPr>
              <w:t>(104 – 454 grams)</w:t>
            </w:r>
          </w:p>
        </w:tc>
      </w:tr>
      <w:tr w:rsidR="0033593D" w:rsidRPr="0033593D" w14:paraId="6472D38F" w14:textId="77777777" w:rsidTr="00150358">
        <w:trPr>
          <w:trHeight w:val="261"/>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94F6C" w14:textId="77777777" w:rsidR="00F402B8" w:rsidRPr="0033593D" w:rsidRDefault="00F402B8" w:rsidP="0013684D">
            <w:pPr>
              <w:adjustRightInd/>
              <w:snapToGrid/>
              <w:spacing w:afterLines="0" w:after="0" w:line="240" w:lineRule="auto"/>
              <w:jc w:val="center"/>
              <w:rPr>
                <w:bCs w:val="0"/>
                <w:lang w:val="en-US" w:eastAsia="zh-CN"/>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89676"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 </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00F77F"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(n=12,294)</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2399AF" w14:textId="1C3BC058" w:rsidR="00F402B8" w:rsidRPr="0033593D" w:rsidRDefault="00F402B8" w:rsidP="00E8055B">
            <w:pPr>
              <w:adjustRightInd/>
              <w:snapToGrid/>
              <w:spacing w:afterLines="0" w:after="0" w:line="240" w:lineRule="auto"/>
              <w:jc w:val="center"/>
              <w:rPr>
                <w:bCs w:val="0"/>
                <w:lang w:val="en-US" w:eastAsia="zh-CN"/>
              </w:rPr>
            </w:pPr>
            <w:r w:rsidRPr="0033593D">
              <w:rPr>
                <w:bCs w:val="0"/>
                <w:lang w:val="en-US" w:eastAsia="zh-CN"/>
              </w:rPr>
              <w:t>(n=320)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CB7A30" w14:textId="2D12BB16" w:rsidR="00F402B8" w:rsidRPr="0033593D" w:rsidRDefault="00F402B8" w:rsidP="00E8055B">
            <w:pPr>
              <w:adjustRightInd/>
              <w:snapToGrid/>
              <w:spacing w:afterLines="0" w:after="0" w:line="240" w:lineRule="auto"/>
              <w:jc w:val="center"/>
              <w:rPr>
                <w:bCs w:val="0"/>
                <w:lang w:val="en-US" w:eastAsia="zh-CN"/>
              </w:rPr>
            </w:pPr>
            <w:r w:rsidRPr="0033593D">
              <w:rPr>
                <w:bCs w:val="0"/>
                <w:lang w:val="en-US" w:eastAsia="zh-CN"/>
              </w:rPr>
              <w:t>(n=333)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65D6DC5A" w14:textId="34AE589E" w:rsidR="00F402B8" w:rsidRPr="0033593D" w:rsidRDefault="00F402B8" w:rsidP="00E8055B">
            <w:pPr>
              <w:adjustRightInd/>
              <w:snapToGrid/>
              <w:spacing w:afterLines="0" w:after="0" w:line="240" w:lineRule="auto"/>
              <w:jc w:val="center"/>
              <w:rPr>
                <w:bCs w:val="0"/>
                <w:lang w:val="en-US" w:eastAsia="zh-CN"/>
              </w:rPr>
            </w:pPr>
            <w:r w:rsidRPr="0033593D">
              <w:rPr>
                <w:bCs w:val="0"/>
                <w:lang w:val="en-US" w:eastAsia="zh-CN"/>
              </w:rPr>
              <w:t>(n=429)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43962D86" w14:textId="3A75633B" w:rsidR="00F402B8" w:rsidRPr="0033593D" w:rsidRDefault="00F402B8" w:rsidP="00E8055B">
            <w:pPr>
              <w:adjustRightInd/>
              <w:snapToGrid/>
              <w:spacing w:afterLines="0" w:after="0" w:line="240" w:lineRule="auto"/>
              <w:jc w:val="center"/>
              <w:rPr>
                <w:bCs w:val="0"/>
                <w:lang w:val="en-US" w:eastAsia="zh-CN"/>
              </w:rPr>
            </w:pPr>
            <w:r w:rsidRPr="0033593D">
              <w:rPr>
                <w:bCs w:val="0"/>
                <w:lang w:val="en-US" w:eastAsia="zh-CN"/>
              </w:rPr>
              <w:t>(n=250)</w:t>
            </w:r>
          </w:p>
        </w:tc>
      </w:tr>
      <w:tr w:rsidR="0033593D" w:rsidRPr="0033593D" w14:paraId="00DCAF1C" w14:textId="77777777" w:rsidTr="00150358">
        <w:trPr>
          <w:trHeight w:val="28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B0891" w14:textId="77777777" w:rsidR="00F402B8" w:rsidRPr="0033593D" w:rsidRDefault="00F402B8" w:rsidP="0013684D">
            <w:pPr>
              <w:adjustRightInd/>
              <w:snapToGrid/>
              <w:spacing w:afterLines="0" w:after="0" w:line="240" w:lineRule="auto"/>
              <w:rPr>
                <w:bCs w:val="0"/>
                <w:lang w:val="en-US" w:eastAsia="zh-CN"/>
              </w:rPr>
            </w:pPr>
            <w:r w:rsidRPr="0033593D">
              <w:rPr>
                <w:bCs w:val="0"/>
                <w:lang w:val="en-US" w:eastAsia="zh-CN"/>
              </w:rPr>
              <w:t>Age (years)</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46092"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mean (se)</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975DD"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46.2(0.3)</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B7B4C" w14:textId="4DCF4D1E"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47.1 (0.8)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5EE8D" w14:textId="36E406B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49.6 (1.2)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7A5E550C" w14:textId="64E26269"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50.7 (0.8)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65617FAA" w14:textId="2AF38F64"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47.6 (1.4)</w:t>
            </w:r>
          </w:p>
        </w:tc>
      </w:tr>
      <w:tr w:rsidR="0033593D" w:rsidRPr="0033593D" w14:paraId="48C6C63A" w14:textId="77777777" w:rsidTr="00150358">
        <w:trPr>
          <w:trHeight w:val="28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67786" w14:textId="77777777" w:rsidR="00F402B8" w:rsidRPr="0033593D" w:rsidRDefault="00F402B8" w:rsidP="0013684D">
            <w:pPr>
              <w:adjustRightInd/>
              <w:snapToGrid/>
              <w:spacing w:afterLines="0" w:after="0" w:line="240" w:lineRule="auto"/>
              <w:rPr>
                <w:bCs w:val="0"/>
                <w:lang w:val="en-US" w:eastAsia="zh-CN"/>
              </w:rPr>
            </w:pPr>
            <w:r w:rsidRPr="0033593D">
              <w:rPr>
                <w:bCs w:val="0"/>
                <w:lang w:val="en-US" w:eastAsia="zh-CN"/>
              </w:rPr>
              <w:t>Gender (men)</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42BEC"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65AC5A"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48.8</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1CFF3" w14:textId="4228A485"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44.2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377F1" w14:textId="15F0695E"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43.4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19FF9776" w14:textId="3F23B35C"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34.9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543032DF" w14:textId="03D9950D"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40.7</w:t>
            </w:r>
          </w:p>
        </w:tc>
      </w:tr>
      <w:tr w:rsidR="0033593D" w:rsidRPr="0033593D" w14:paraId="6427F76C" w14:textId="77777777" w:rsidTr="00150358">
        <w:trPr>
          <w:trHeight w:val="28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F716C" w14:textId="77777777" w:rsidR="00F402B8" w:rsidRPr="0033593D" w:rsidRDefault="00F402B8" w:rsidP="0013684D">
            <w:pPr>
              <w:adjustRightInd/>
              <w:snapToGrid/>
              <w:spacing w:afterLines="0" w:after="0" w:line="240" w:lineRule="auto"/>
              <w:rPr>
                <w:bCs w:val="0"/>
                <w:lang w:val="en-US" w:eastAsia="zh-CN"/>
              </w:rPr>
            </w:pPr>
            <w:r w:rsidRPr="0033593D">
              <w:rPr>
                <w:bCs w:val="0"/>
                <w:lang w:val="en-US" w:eastAsia="zh-CN"/>
              </w:rPr>
              <w:t>Marital status (living with someone)</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EE140"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3423C1" w14:textId="2A0A7FEB"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64.3</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C4BDF" w14:textId="6FDA1364"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66.1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7A305" w14:textId="1C26C5F0"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69.7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2E9FF38E" w14:textId="16843D2A"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70.1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2BB6E717" w14:textId="170A2D2B"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68.5</w:t>
            </w:r>
          </w:p>
        </w:tc>
      </w:tr>
      <w:tr w:rsidR="0033593D" w:rsidRPr="0033593D" w14:paraId="657D31A2" w14:textId="77777777" w:rsidTr="00150358">
        <w:trPr>
          <w:trHeight w:val="28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BDD19" w14:textId="77777777" w:rsidR="00F402B8" w:rsidRPr="0033593D" w:rsidRDefault="00F402B8" w:rsidP="0013684D">
            <w:pPr>
              <w:adjustRightInd/>
              <w:snapToGrid/>
              <w:spacing w:afterLines="0" w:after="0" w:line="240" w:lineRule="auto"/>
              <w:rPr>
                <w:bCs w:val="0"/>
                <w:lang w:val="en-US" w:eastAsia="zh-CN"/>
              </w:rPr>
            </w:pPr>
            <w:r w:rsidRPr="0033593D">
              <w:rPr>
                <w:bCs w:val="0"/>
                <w:lang w:val="en-US" w:eastAsia="zh-CN"/>
              </w:rPr>
              <w:t>Race</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DF361" w14:textId="77777777" w:rsidR="00F402B8" w:rsidRPr="0033593D" w:rsidRDefault="00F402B8" w:rsidP="0013684D">
            <w:pPr>
              <w:adjustRightInd/>
              <w:snapToGrid/>
              <w:spacing w:afterLines="0" w:after="0" w:line="240" w:lineRule="auto"/>
              <w:rPr>
                <w:bCs w:val="0"/>
                <w:lang w:val="en-US" w:eastAsia="zh-CN"/>
              </w:rPr>
            </w:pP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EAE46" w14:textId="77777777" w:rsidR="00F402B8" w:rsidRPr="0033593D" w:rsidRDefault="00F402B8" w:rsidP="0013684D">
            <w:pPr>
              <w:adjustRightInd/>
              <w:snapToGrid/>
              <w:spacing w:afterLines="0" w:after="0" w:line="240" w:lineRule="auto"/>
              <w:jc w:val="center"/>
              <w:rPr>
                <w:rFonts w:ascii="Times New Roman" w:hAnsi="Times New Roman" w:cs="Times New Roman"/>
                <w:bCs w:val="0"/>
                <w:sz w:val="20"/>
                <w:szCs w:val="20"/>
                <w:lang w:val="en-US"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08BB1" w14:textId="77777777" w:rsidR="00F402B8" w:rsidRPr="0033593D" w:rsidRDefault="00F402B8" w:rsidP="0013684D">
            <w:pPr>
              <w:adjustRightInd/>
              <w:snapToGrid/>
              <w:spacing w:afterLines="0" w:after="0" w:line="240" w:lineRule="auto"/>
              <w:jc w:val="center"/>
              <w:rPr>
                <w:rFonts w:ascii="Times New Roman" w:hAnsi="Times New Roman" w:cs="Times New Roman"/>
                <w:bCs w:val="0"/>
                <w:sz w:val="20"/>
                <w:szCs w:val="20"/>
                <w:lang w:val="en-US" w:eastAsia="zh-CN"/>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C0473" w14:textId="77777777" w:rsidR="00F402B8" w:rsidRPr="0033593D" w:rsidRDefault="00F402B8" w:rsidP="0013684D">
            <w:pPr>
              <w:adjustRightInd/>
              <w:snapToGrid/>
              <w:spacing w:afterLines="0" w:after="0" w:line="240" w:lineRule="auto"/>
              <w:jc w:val="center"/>
              <w:rPr>
                <w:rFonts w:ascii="Times New Roman" w:hAnsi="Times New Roman" w:cs="Times New Roman"/>
                <w:bCs w:val="0"/>
                <w:sz w:val="20"/>
                <w:szCs w:val="20"/>
                <w:lang w:val="en-US" w:eastAsia="zh-CN"/>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1554E897" w14:textId="77777777" w:rsidR="00F402B8" w:rsidRPr="0033593D" w:rsidRDefault="00F402B8" w:rsidP="0013684D">
            <w:pPr>
              <w:adjustRightInd/>
              <w:snapToGrid/>
              <w:spacing w:afterLines="0" w:after="0" w:line="240" w:lineRule="auto"/>
              <w:jc w:val="center"/>
              <w:rPr>
                <w:rFonts w:ascii="Times New Roman" w:hAnsi="Times New Roman" w:cs="Times New Roman"/>
                <w:bCs w:val="0"/>
                <w:sz w:val="20"/>
                <w:szCs w:val="20"/>
                <w:lang w:val="en-US" w:eastAsia="zh-CN"/>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23273BB8" w14:textId="77777777" w:rsidR="00F402B8" w:rsidRPr="0033593D" w:rsidRDefault="00F402B8" w:rsidP="0013684D">
            <w:pPr>
              <w:adjustRightInd/>
              <w:snapToGrid/>
              <w:spacing w:afterLines="0" w:after="0" w:line="240" w:lineRule="auto"/>
              <w:jc w:val="center"/>
              <w:rPr>
                <w:rFonts w:ascii="Times New Roman" w:hAnsi="Times New Roman" w:cs="Times New Roman"/>
                <w:bCs w:val="0"/>
                <w:sz w:val="20"/>
                <w:szCs w:val="20"/>
                <w:lang w:val="en-US" w:eastAsia="zh-CN"/>
              </w:rPr>
            </w:pPr>
          </w:p>
        </w:tc>
      </w:tr>
      <w:tr w:rsidR="0033593D" w:rsidRPr="0033593D" w14:paraId="3BB400BB" w14:textId="77777777" w:rsidTr="00150358">
        <w:trPr>
          <w:trHeight w:val="28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6060C" w14:textId="77777777" w:rsidR="00F402B8" w:rsidRPr="0033593D" w:rsidRDefault="00F402B8" w:rsidP="0013684D">
            <w:pPr>
              <w:adjustRightInd/>
              <w:snapToGrid/>
              <w:spacing w:afterLines="0" w:after="0" w:line="240" w:lineRule="auto"/>
              <w:ind w:firstLineChars="200" w:firstLine="440"/>
              <w:rPr>
                <w:bCs w:val="0"/>
                <w:lang w:val="en-US" w:eastAsia="zh-CN"/>
              </w:rPr>
            </w:pPr>
            <w:r w:rsidRPr="0033593D">
              <w:rPr>
                <w:bCs w:val="0"/>
                <w:lang w:val="en-US" w:eastAsia="zh-CN"/>
              </w:rPr>
              <w:t>Non-Hispanic White</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2A6F2"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B4851"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70.5</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1F9F5" w14:textId="31214398"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81.4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EFE20" w14:textId="1D04A5BB"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77.1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7754B4F7" w14:textId="3EDCC46A"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82.8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1E3554AC" w14:textId="68E8311A"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82.0</w:t>
            </w:r>
          </w:p>
        </w:tc>
      </w:tr>
      <w:tr w:rsidR="0033593D" w:rsidRPr="0033593D" w14:paraId="039EAA7D" w14:textId="77777777" w:rsidTr="00150358">
        <w:trPr>
          <w:trHeight w:val="28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CD416" w14:textId="77777777" w:rsidR="00F402B8" w:rsidRPr="0033593D" w:rsidRDefault="00F402B8" w:rsidP="0013684D">
            <w:pPr>
              <w:adjustRightInd/>
              <w:snapToGrid/>
              <w:spacing w:afterLines="0" w:after="0" w:line="240" w:lineRule="auto"/>
              <w:ind w:firstLineChars="200" w:firstLine="440"/>
              <w:rPr>
                <w:bCs w:val="0"/>
                <w:lang w:val="en-US" w:eastAsia="zh-CN"/>
              </w:rPr>
            </w:pPr>
            <w:r w:rsidRPr="0033593D">
              <w:rPr>
                <w:bCs w:val="0"/>
                <w:lang w:val="en-US" w:eastAsia="zh-CN"/>
              </w:rPr>
              <w:t>Non-Hispanic Black</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114C7"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6E664"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10.6</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16AD6" w14:textId="3288A2DD" w:rsidR="00F402B8" w:rsidRPr="0033593D" w:rsidRDefault="00F402B8" w:rsidP="00F402B8">
            <w:pPr>
              <w:adjustRightInd/>
              <w:snapToGrid/>
              <w:spacing w:afterLines="0" w:after="0" w:line="240" w:lineRule="auto"/>
              <w:jc w:val="center"/>
              <w:rPr>
                <w:bCs w:val="0"/>
                <w:lang w:val="en-US" w:eastAsia="zh-CN"/>
              </w:rPr>
            </w:pPr>
            <w:r w:rsidRPr="0033593D">
              <w:rPr>
                <w:bCs w:val="0"/>
                <w:lang w:val="en-US" w:eastAsia="zh-CN"/>
              </w:rPr>
              <w:t>5.1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C6BC9" w14:textId="75B2424C"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5.4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2AD0B480" w14:textId="3667DEF7"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4.1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41BDA077" w14:textId="2EB0AD1B"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2.1</w:t>
            </w:r>
          </w:p>
        </w:tc>
      </w:tr>
      <w:tr w:rsidR="0033593D" w:rsidRPr="0033593D" w14:paraId="1A894AAB" w14:textId="77777777" w:rsidTr="00150358">
        <w:trPr>
          <w:trHeight w:val="28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F42A4" w14:textId="77777777" w:rsidR="00F402B8" w:rsidRPr="0033593D" w:rsidRDefault="00F402B8" w:rsidP="0013684D">
            <w:pPr>
              <w:adjustRightInd/>
              <w:snapToGrid/>
              <w:spacing w:afterLines="0" w:after="0" w:line="240" w:lineRule="auto"/>
              <w:ind w:firstLineChars="200" w:firstLine="440"/>
              <w:rPr>
                <w:bCs w:val="0"/>
                <w:lang w:val="en-US" w:eastAsia="zh-CN"/>
              </w:rPr>
            </w:pPr>
            <w:r w:rsidRPr="0033593D">
              <w:rPr>
                <w:bCs w:val="0"/>
                <w:lang w:val="en-US" w:eastAsia="zh-CN"/>
              </w:rPr>
              <w:t xml:space="preserve">Hispanic </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C877C"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68E44"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13.0</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CA80A" w14:textId="0A48CE55" w:rsidR="00F402B8" w:rsidRPr="0033593D" w:rsidRDefault="00F402B8" w:rsidP="00F402B8">
            <w:pPr>
              <w:adjustRightInd/>
              <w:snapToGrid/>
              <w:spacing w:afterLines="0" w:after="0" w:line="240" w:lineRule="auto"/>
              <w:jc w:val="center"/>
              <w:rPr>
                <w:bCs w:val="0"/>
                <w:lang w:val="en-US" w:eastAsia="zh-CN"/>
              </w:rPr>
            </w:pPr>
            <w:r w:rsidRPr="0033593D">
              <w:rPr>
                <w:bCs w:val="0"/>
                <w:lang w:val="en-US" w:eastAsia="zh-CN"/>
              </w:rPr>
              <w:t>9.8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7393B" w14:textId="0D8388D1"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10.5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21D44059" w14:textId="49E17602"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7.7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3AD86CE7" w14:textId="4AEDA58C"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8.5</w:t>
            </w:r>
          </w:p>
        </w:tc>
      </w:tr>
      <w:tr w:rsidR="0033593D" w:rsidRPr="0033593D" w14:paraId="1D6B8663" w14:textId="77777777" w:rsidTr="00150358">
        <w:trPr>
          <w:trHeight w:val="28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24DF3" w14:textId="77777777" w:rsidR="00F402B8" w:rsidRPr="0033593D" w:rsidRDefault="00F402B8" w:rsidP="0013684D">
            <w:pPr>
              <w:adjustRightInd/>
              <w:snapToGrid/>
              <w:spacing w:afterLines="0" w:after="0" w:line="240" w:lineRule="auto"/>
              <w:ind w:firstLineChars="200" w:firstLine="440"/>
              <w:rPr>
                <w:bCs w:val="0"/>
                <w:lang w:val="en-US" w:eastAsia="zh-CN"/>
              </w:rPr>
            </w:pPr>
            <w:r w:rsidRPr="0033593D">
              <w:rPr>
                <w:bCs w:val="0"/>
                <w:lang w:val="en-US" w:eastAsia="zh-CN"/>
              </w:rPr>
              <w:t>Other</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5363A"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E0579"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5.9</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4A17D" w14:textId="1F33A592"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3.7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40A88" w14:textId="113227A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7.0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1C113E01" w14:textId="6979011E"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5.4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5C93BA6C" w14:textId="19F4C34E"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7.4</w:t>
            </w:r>
          </w:p>
        </w:tc>
      </w:tr>
      <w:tr w:rsidR="0033593D" w:rsidRPr="0033593D" w14:paraId="425FC980" w14:textId="77777777" w:rsidTr="00150358">
        <w:trPr>
          <w:trHeight w:val="285"/>
        </w:trPr>
        <w:tc>
          <w:tcPr>
            <w:tcW w:w="53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F51F7" w14:textId="77777777" w:rsidR="00F402B8" w:rsidRPr="0033593D" w:rsidRDefault="00F402B8" w:rsidP="0013684D">
            <w:pPr>
              <w:adjustRightInd/>
              <w:snapToGrid/>
              <w:spacing w:afterLines="0" w:after="0" w:line="240" w:lineRule="auto"/>
              <w:rPr>
                <w:bCs w:val="0"/>
                <w:lang w:val="en-US" w:eastAsia="zh-CN"/>
              </w:rPr>
            </w:pPr>
            <w:r w:rsidRPr="0033593D">
              <w:rPr>
                <w:bCs w:val="0"/>
                <w:lang w:val="en-US" w:eastAsia="zh-CN"/>
              </w:rPr>
              <w:t>Household income</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84DF2" w14:textId="77777777" w:rsidR="00F402B8" w:rsidRPr="0033593D" w:rsidRDefault="00F402B8" w:rsidP="0013684D">
            <w:pPr>
              <w:adjustRightInd/>
              <w:snapToGrid/>
              <w:spacing w:afterLines="0" w:after="0" w:line="240" w:lineRule="auto"/>
              <w:rPr>
                <w:bCs w:val="0"/>
                <w:lang w:val="en-US"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2EEE4" w14:textId="77777777" w:rsidR="00F402B8" w:rsidRPr="0033593D" w:rsidRDefault="00F402B8" w:rsidP="0013684D">
            <w:pPr>
              <w:adjustRightInd/>
              <w:snapToGrid/>
              <w:spacing w:afterLines="0" w:after="0" w:line="240" w:lineRule="auto"/>
              <w:jc w:val="center"/>
              <w:rPr>
                <w:rFonts w:ascii="Times New Roman" w:hAnsi="Times New Roman" w:cs="Times New Roman"/>
                <w:bCs w:val="0"/>
                <w:sz w:val="20"/>
                <w:szCs w:val="20"/>
                <w:lang w:val="en-US" w:eastAsia="zh-CN"/>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38097" w14:textId="77777777" w:rsidR="00F402B8" w:rsidRPr="0033593D" w:rsidRDefault="00F402B8" w:rsidP="0013684D">
            <w:pPr>
              <w:adjustRightInd/>
              <w:snapToGrid/>
              <w:spacing w:afterLines="0" w:after="0" w:line="240" w:lineRule="auto"/>
              <w:jc w:val="center"/>
              <w:rPr>
                <w:rFonts w:ascii="Times New Roman" w:hAnsi="Times New Roman" w:cs="Times New Roman"/>
                <w:bCs w:val="0"/>
                <w:sz w:val="20"/>
                <w:szCs w:val="20"/>
                <w:lang w:val="en-US" w:eastAsia="zh-CN"/>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14ED5B74" w14:textId="77777777" w:rsidR="00F402B8" w:rsidRPr="0033593D" w:rsidRDefault="00F402B8" w:rsidP="0013684D">
            <w:pPr>
              <w:adjustRightInd/>
              <w:snapToGrid/>
              <w:spacing w:afterLines="0" w:after="0" w:line="240" w:lineRule="auto"/>
              <w:jc w:val="center"/>
              <w:rPr>
                <w:rFonts w:ascii="Times New Roman" w:hAnsi="Times New Roman" w:cs="Times New Roman"/>
                <w:bCs w:val="0"/>
                <w:sz w:val="20"/>
                <w:szCs w:val="20"/>
                <w:lang w:val="en-US" w:eastAsia="zh-CN"/>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27EF612E" w14:textId="77777777" w:rsidR="00F402B8" w:rsidRPr="0033593D" w:rsidRDefault="00F402B8" w:rsidP="0013684D">
            <w:pPr>
              <w:adjustRightInd/>
              <w:snapToGrid/>
              <w:spacing w:afterLines="0" w:after="0" w:line="240" w:lineRule="auto"/>
              <w:jc w:val="center"/>
              <w:rPr>
                <w:rFonts w:ascii="Times New Roman" w:hAnsi="Times New Roman" w:cs="Times New Roman"/>
                <w:bCs w:val="0"/>
                <w:sz w:val="20"/>
                <w:szCs w:val="20"/>
                <w:lang w:val="en-US" w:eastAsia="zh-CN"/>
              </w:rPr>
            </w:pPr>
          </w:p>
        </w:tc>
      </w:tr>
      <w:tr w:rsidR="0033593D" w:rsidRPr="0033593D" w14:paraId="4D51DAAB" w14:textId="77777777" w:rsidTr="00150358">
        <w:trPr>
          <w:trHeight w:val="300"/>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1F8F5" w14:textId="77777777" w:rsidR="00F402B8" w:rsidRPr="0033593D" w:rsidRDefault="00F402B8" w:rsidP="0013684D">
            <w:pPr>
              <w:adjustRightInd/>
              <w:snapToGrid/>
              <w:spacing w:afterLines="0" w:after="0" w:line="240" w:lineRule="auto"/>
              <w:ind w:firstLineChars="200" w:firstLine="440"/>
              <w:rPr>
                <w:bCs w:val="0"/>
                <w:lang w:val="en-US" w:eastAsia="zh-CN"/>
              </w:rPr>
            </w:pPr>
            <w:r w:rsidRPr="0033593D">
              <w:rPr>
                <w:rFonts w:ascii="Calibri" w:hAnsi="Calibri"/>
                <w:bCs w:val="0"/>
                <w:lang w:val="en-US" w:eastAsia="zh-CN"/>
              </w:rPr>
              <w:t>≤</w:t>
            </w:r>
            <w:r w:rsidRPr="0033593D">
              <w:rPr>
                <w:bCs w:val="0"/>
                <w:lang w:val="en-US" w:eastAsia="zh-CN"/>
              </w:rPr>
              <w:t xml:space="preserve"> $20000</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8B773"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2BF12"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20.6</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8FEF7" w14:textId="7F67E99B"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15.1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A1303" w14:textId="5CD89506"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17.0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0FE3089F" w14:textId="30DA2EBA"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12.3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65D26EE5" w14:textId="29297F24"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17.7</w:t>
            </w:r>
          </w:p>
        </w:tc>
      </w:tr>
      <w:tr w:rsidR="0033593D" w:rsidRPr="0033593D" w14:paraId="4A232E1A" w14:textId="77777777" w:rsidTr="00150358">
        <w:trPr>
          <w:trHeight w:val="28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EC0A4" w14:textId="77777777" w:rsidR="00F402B8" w:rsidRPr="0033593D" w:rsidRDefault="00F402B8" w:rsidP="0013684D">
            <w:pPr>
              <w:adjustRightInd/>
              <w:snapToGrid/>
              <w:spacing w:afterLines="0" w:after="0" w:line="240" w:lineRule="auto"/>
              <w:ind w:firstLineChars="200" w:firstLine="440"/>
              <w:rPr>
                <w:bCs w:val="0"/>
                <w:lang w:val="en-US" w:eastAsia="zh-CN"/>
              </w:rPr>
            </w:pPr>
            <w:r w:rsidRPr="0033593D">
              <w:rPr>
                <w:bCs w:val="0"/>
                <w:lang w:val="en-US" w:eastAsia="zh-CN"/>
              </w:rPr>
              <w:t>$20000-74999</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12A58"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258D8"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42.1</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73F71" w14:textId="27BA786A"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44.1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9BE40" w14:textId="33A9306E"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36.4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0D6BDFE7" w14:textId="3D3F514A"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38.2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2C8A2830" w14:textId="37FF5016"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32.9</w:t>
            </w:r>
          </w:p>
        </w:tc>
      </w:tr>
      <w:tr w:rsidR="0033593D" w:rsidRPr="0033593D" w14:paraId="09E9A3B0" w14:textId="77777777" w:rsidTr="00150358">
        <w:trPr>
          <w:trHeight w:val="300"/>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C78BB" w14:textId="77777777" w:rsidR="00F402B8" w:rsidRPr="0033593D" w:rsidRDefault="00F402B8" w:rsidP="0013684D">
            <w:pPr>
              <w:adjustRightInd/>
              <w:snapToGrid/>
              <w:spacing w:afterLines="0" w:after="0" w:line="240" w:lineRule="auto"/>
              <w:ind w:firstLineChars="200" w:firstLine="440"/>
              <w:rPr>
                <w:bCs w:val="0"/>
                <w:lang w:val="en-US" w:eastAsia="zh-CN"/>
              </w:rPr>
            </w:pPr>
            <w:r w:rsidRPr="0033593D">
              <w:rPr>
                <w:rFonts w:ascii="Calibri" w:hAnsi="Calibri"/>
                <w:bCs w:val="0"/>
                <w:lang w:val="en-US" w:eastAsia="zh-CN"/>
              </w:rPr>
              <w:t>≥</w:t>
            </w:r>
            <w:r w:rsidRPr="0033593D">
              <w:rPr>
                <w:bCs w:val="0"/>
                <w:lang w:val="en-US" w:eastAsia="zh-CN"/>
              </w:rPr>
              <w:t>$75000</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07D3D"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18F29"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37.3</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DF76E" w14:textId="5346C3F6"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40.8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A0124" w14:textId="154C72BB"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46.6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5CE9B112" w14:textId="43A84345"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49.5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65B7F215" w14:textId="78817B68"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49.4</w:t>
            </w:r>
          </w:p>
        </w:tc>
      </w:tr>
      <w:tr w:rsidR="0033593D" w:rsidRPr="0033593D" w14:paraId="03C9B19C" w14:textId="77777777" w:rsidTr="00150358">
        <w:trPr>
          <w:trHeight w:val="285"/>
        </w:trPr>
        <w:tc>
          <w:tcPr>
            <w:tcW w:w="53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93D39" w14:textId="77777777" w:rsidR="00F402B8" w:rsidRPr="0033593D" w:rsidRDefault="00F402B8" w:rsidP="0013684D">
            <w:pPr>
              <w:adjustRightInd/>
              <w:snapToGrid/>
              <w:spacing w:afterLines="0" w:after="0" w:line="240" w:lineRule="auto"/>
              <w:rPr>
                <w:bCs w:val="0"/>
                <w:lang w:val="en-US" w:eastAsia="zh-CN"/>
              </w:rPr>
            </w:pPr>
            <w:r w:rsidRPr="0033593D">
              <w:rPr>
                <w:bCs w:val="0"/>
                <w:lang w:val="en-US" w:eastAsia="zh-CN"/>
              </w:rPr>
              <w:t>Education</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EACF1" w14:textId="77777777" w:rsidR="00F402B8" w:rsidRPr="0033593D" w:rsidRDefault="00F402B8" w:rsidP="0013684D">
            <w:pPr>
              <w:adjustRightInd/>
              <w:snapToGrid/>
              <w:spacing w:afterLines="0" w:after="0" w:line="240" w:lineRule="auto"/>
              <w:rPr>
                <w:bCs w:val="0"/>
                <w:lang w:val="en-US"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D6F58" w14:textId="77777777" w:rsidR="00F402B8" w:rsidRPr="0033593D" w:rsidRDefault="00F402B8" w:rsidP="0013684D">
            <w:pPr>
              <w:adjustRightInd/>
              <w:snapToGrid/>
              <w:spacing w:afterLines="0" w:after="0" w:line="240" w:lineRule="auto"/>
              <w:jc w:val="center"/>
              <w:rPr>
                <w:rFonts w:ascii="Times New Roman" w:hAnsi="Times New Roman" w:cs="Times New Roman"/>
                <w:bCs w:val="0"/>
                <w:sz w:val="20"/>
                <w:szCs w:val="20"/>
                <w:lang w:val="en-US" w:eastAsia="zh-CN"/>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55BFD" w14:textId="77777777" w:rsidR="00F402B8" w:rsidRPr="0033593D" w:rsidRDefault="00F402B8" w:rsidP="0013684D">
            <w:pPr>
              <w:adjustRightInd/>
              <w:snapToGrid/>
              <w:spacing w:afterLines="0" w:after="0" w:line="240" w:lineRule="auto"/>
              <w:jc w:val="center"/>
              <w:rPr>
                <w:rFonts w:ascii="Times New Roman" w:hAnsi="Times New Roman" w:cs="Times New Roman"/>
                <w:bCs w:val="0"/>
                <w:sz w:val="20"/>
                <w:szCs w:val="20"/>
                <w:lang w:val="en-US" w:eastAsia="zh-CN"/>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7209CD0B" w14:textId="77777777" w:rsidR="00F402B8" w:rsidRPr="0033593D" w:rsidRDefault="00F402B8" w:rsidP="0013684D">
            <w:pPr>
              <w:adjustRightInd/>
              <w:snapToGrid/>
              <w:spacing w:afterLines="0" w:after="0" w:line="240" w:lineRule="auto"/>
              <w:jc w:val="center"/>
              <w:rPr>
                <w:rFonts w:ascii="Times New Roman" w:hAnsi="Times New Roman" w:cs="Times New Roman"/>
                <w:bCs w:val="0"/>
                <w:sz w:val="20"/>
                <w:szCs w:val="20"/>
                <w:lang w:val="en-US" w:eastAsia="zh-CN"/>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5BB9898B" w14:textId="77777777" w:rsidR="00F402B8" w:rsidRPr="0033593D" w:rsidRDefault="00F402B8" w:rsidP="0013684D">
            <w:pPr>
              <w:adjustRightInd/>
              <w:snapToGrid/>
              <w:spacing w:afterLines="0" w:after="0" w:line="240" w:lineRule="auto"/>
              <w:jc w:val="center"/>
              <w:rPr>
                <w:rFonts w:ascii="Times New Roman" w:hAnsi="Times New Roman" w:cs="Times New Roman"/>
                <w:bCs w:val="0"/>
                <w:sz w:val="20"/>
                <w:szCs w:val="20"/>
                <w:lang w:val="en-US" w:eastAsia="zh-CN"/>
              </w:rPr>
            </w:pPr>
          </w:p>
        </w:tc>
      </w:tr>
      <w:tr w:rsidR="0033593D" w:rsidRPr="0033593D" w14:paraId="789AC484" w14:textId="77777777" w:rsidTr="00150358">
        <w:trPr>
          <w:trHeight w:val="28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F5169" w14:textId="77777777" w:rsidR="00F402B8" w:rsidRPr="0033593D" w:rsidRDefault="00F402B8" w:rsidP="0013684D">
            <w:pPr>
              <w:adjustRightInd/>
              <w:snapToGrid/>
              <w:spacing w:afterLines="0" w:after="0" w:line="240" w:lineRule="auto"/>
              <w:ind w:firstLineChars="200" w:firstLine="440"/>
              <w:rPr>
                <w:bCs w:val="0"/>
                <w:lang w:val="en-US" w:eastAsia="zh-CN"/>
              </w:rPr>
            </w:pPr>
            <w:r w:rsidRPr="0033593D">
              <w:rPr>
                <w:bCs w:val="0"/>
                <w:lang w:val="en-US" w:eastAsia="zh-CN"/>
              </w:rPr>
              <w:t>Less than High school</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31BA3"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804AC"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15.4</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806C4" w14:textId="2A5FBB93"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14.0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83D3B" w14:textId="48986E3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8.0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796FBF2C" w14:textId="4212C21F"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9.0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5472AE55" w14:textId="4609C8FC"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6.2</w:t>
            </w:r>
          </w:p>
        </w:tc>
      </w:tr>
      <w:tr w:rsidR="0033593D" w:rsidRPr="0033593D" w14:paraId="06FB6B7A" w14:textId="77777777" w:rsidTr="00150358">
        <w:trPr>
          <w:trHeight w:val="28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205AB" w14:textId="77777777" w:rsidR="00F402B8" w:rsidRPr="0033593D" w:rsidRDefault="00F402B8" w:rsidP="0013684D">
            <w:pPr>
              <w:adjustRightInd/>
              <w:snapToGrid/>
              <w:spacing w:afterLines="0" w:after="0" w:line="240" w:lineRule="auto"/>
              <w:ind w:firstLineChars="200" w:firstLine="440"/>
              <w:rPr>
                <w:bCs w:val="0"/>
                <w:lang w:val="en-US" w:eastAsia="zh-CN"/>
              </w:rPr>
            </w:pPr>
            <w:r w:rsidRPr="0033593D">
              <w:rPr>
                <w:bCs w:val="0"/>
                <w:lang w:val="en-US" w:eastAsia="zh-CN"/>
              </w:rPr>
              <w:t>High School</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06BEF"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95822"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22.3</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705EB" w14:textId="17A09765"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21.2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ABBB3" w14:textId="0D0D0C2A"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17.6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3FACD81A" w14:textId="35883944" w:rsidR="00F402B8" w:rsidRPr="0033593D" w:rsidRDefault="00F402B8" w:rsidP="00F402B8">
            <w:pPr>
              <w:adjustRightInd/>
              <w:snapToGrid/>
              <w:spacing w:afterLines="0" w:after="0" w:line="240" w:lineRule="auto"/>
              <w:jc w:val="center"/>
              <w:rPr>
                <w:bCs w:val="0"/>
                <w:lang w:val="en-US" w:eastAsia="zh-CN"/>
              </w:rPr>
            </w:pPr>
            <w:r w:rsidRPr="0033593D">
              <w:rPr>
                <w:bCs w:val="0"/>
                <w:lang w:val="en-US" w:eastAsia="zh-CN"/>
              </w:rPr>
              <w:t>18.6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4670D583" w14:textId="007038E1"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16.2</w:t>
            </w:r>
          </w:p>
        </w:tc>
      </w:tr>
      <w:tr w:rsidR="0033593D" w:rsidRPr="0033593D" w14:paraId="3D9D7441" w14:textId="77777777" w:rsidTr="00150358">
        <w:trPr>
          <w:trHeight w:val="28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6CE6E" w14:textId="77777777" w:rsidR="00F402B8" w:rsidRPr="0033593D" w:rsidRDefault="00F402B8" w:rsidP="0013684D">
            <w:pPr>
              <w:adjustRightInd/>
              <w:snapToGrid/>
              <w:spacing w:afterLines="0" w:after="0" w:line="240" w:lineRule="auto"/>
              <w:ind w:firstLineChars="200" w:firstLine="440"/>
              <w:rPr>
                <w:bCs w:val="0"/>
                <w:lang w:val="en-US" w:eastAsia="zh-CN"/>
              </w:rPr>
            </w:pPr>
            <w:r w:rsidRPr="0033593D">
              <w:rPr>
                <w:bCs w:val="0"/>
                <w:lang w:val="en-US" w:eastAsia="zh-CN"/>
              </w:rPr>
              <w:t>Some college and above</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A4B1E"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0B32A"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62.4</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61013" w14:textId="63494612"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64.8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37D1F" w14:textId="3A7F55FE"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74.4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04A89966" w14:textId="50B1F995" w:rsidR="00F402B8" w:rsidRPr="0033593D" w:rsidRDefault="00F402B8" w:rsidP="00F402B8">
            <w:pPr>
              <w:adjustRightInd/>
              <w:snapToGrid/>
              <w:spacing w:afterLines="0" w:after="0" w:line="240" w:lineRule="auto"/>
              <w:jc w:val="center"/>
              <w:rPr>
                <w:bCs w:val="0"/>
                <w:lang w:val="en-US" w:eastAsia="zh-CN"/>
              </w:rPr>
            </w:pPr>
            <w:r w:rsidRPr="0033593D">
              <w:rPr>
                <w:bCs w:val="0"/>
                <w:lang w:val="en-US" w:eastAsia="zh-CN"/>
              </w:rPr>
              <w:t>72.4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37D6D53D" w14:textId="6C42AE3B"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77.6</w:t>
            </w:r>
          </w:p>
        </w:tc>
      </w:tr>
      <w:tr w:rsidR="0033593D" w:rsidRPr="0033593D" w14:paraId="30574E32" w14:textId="77777777" w:rsidTr="00150358">
        <w:trPr>
          <w:trHeight w:val="28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1BA41" w14:textId="77777777" w:rsidR="00F402B8" w:rsidRPr="0033593D" w:rsidRDefault="00F402B8" w:rsidP="0013684D">
            <w:pPr>
              <w:adjustRightInd/>
              <w:snapToGrid/>
              <w:spacing w:afterLines="0" w:after="0" w:line="240" w:lineRule="auto"/>
              <w:rPr>
                <w:bCs w:val="0"/>
                <w:lang w:val="en-US" w:eastAsia="zh-CN"/>
              </w:rPr>
            </w:pPr>
            <w:r w:rsidRPr="0033593D">
              <w:rPr>
                <w:bCs w:val="0"/>
                <w:lang w:val="en-US" w:eastAsia="zh-CN"/>
              </w:rPr>
              <w:t>Smoking</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324E1" w14:textId="77777777" w:rsidR="00F402B8" w:rsidRPr="0033593D" w:rsidRDefault="00F402B8" w:rsidP="0013684D">
            <w:pPr>
              <w:adjustRightInd/>
              <w:snapToGrid/>
              <w:spacing w:afterLines="0" w:after="0" w:line="240" w:lineRule="auto"/>
              <w:rPr>
                <w:bCs w:val="0"/>
                <w:lang w:val="en-US" w:eastAsia="zh-CN"/>
              </w:rPr>
            </w:pP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AC0B3" w14:textId="77777777" w:rsidR="00F402B8" w:rsidRPr="0033593D" w:rsidRDefault="00F402B8" w:rsidP="0013684D">
            <w:pPr>
              <w:adjustRightInd/>
              <w:snapToGrid/>
              <w:spacing w:afterLines="0" w:after="0" w:line="240" w:lineRule="auto"/>
              <w:jc w:val="center"/>
              <w:rPr>
                <w:rFonts w:ascii="Times New Roman" w:hAnsi="Times New Roman" w:cs="Times New Roman"/>
                <w:bCs w:val="0"/>
                <w:sz w:val="20"/>
                <w:szCs w:val="20"/>
                <w:lang w:val="en-US"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F81B2" w14:textId="77777777" w:rsidR="00F402B8" w:rsidRPr="0033593D" w:rsidRDefault="00F402B8" w:rsidP="0013684D">
            <w:pPr>
              <w:adjustRightInd/>
              <w:snapToGrid/>
              <w:spacing w:afterLines="0" w:after="0" w:line="240" w:lineRule="auto"/>
              <w:jc w:val="center"/>
              <w:rPr>
                <w:rFonts w:ascii="Times New Roman" w:hAnsi="Times New Roman" w:cs="Times New Roman"/>
                <w:bCs w:val="0"/>
                <w:sz w:val="20"/>
                <w:szCs w:val="20"/>
                <w:lang w:val="en-US" w:eastAsia="zh-CN"/>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F6E71" w14:textId="77777777" w:rsidR="00F402B8" w:rsidRPr="0033593D" w:rsidRDefault="00F402B8" w:rsidP="0013684D">
            <w:pPr>
              <w:adjustRightInd/>
              <w:snapToGrid/>
              <w:spacing w:afterLines="0" w:after="0" w:line="240" w:lineRule="auto"/>
              <w:jc w:val="center"/>
              <w:rPr>
                <w:rFonts w:ascii="Times New Roman" w:hAnsi="Times New Roman" w:cs="Times New Roman"/>
                <w:bCs w:val="0"/>
                <w:sz w:val="20"/>
                <w:szCs w:val="20"/>
                <w:lang w:val="en-US" w:eastAsia="zh-CN"/>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03EAB5CA" w14:textId="77777777" w:rsidR="00F402B8" w:rsidRPr="0033593D" w:rsidRDefault="00F402B8" w:rsidP="0013684D">
            <w:pPr>
              <w:adjustRightInd/>
              <w:snapToGrid/>
              <w:spacing w:afterLines="0" w:after="0" w:line="240" w:lineRule="auto"/>
              <w:jc w:val="center"/>
              <w:rPr>
                <w:rFonts w:ascii="Times New Roman" w:hAnsi="Times New Roman" w:cs="Times New Roman"/>
                <w:bCs w:val="0"/>
                <w:sz w:val="20"/>
                <w:szCs w:val="20"/>
                <w:lang w:val="en-US" w:eastAsia="zh-CN"/>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1FA6C0EF" w14:textId="77777777" w:rsidR="00F402B8" w:rsidRPr="0033593D" w:rsidRDefault="00F402B8" w:rsidP="0013684D">
            <w:pPr>
              <w:adjustRightInd/>
              <w:snapToGrid/>
              <w:spacing w:afterLines="0" w:after="0" w:line="240" w:lineRule="auto"/>
              <w:jc w:val="center"/>
              <w:rPr>
                <w:rFonts w:ascii="Times New Roman" w:hAnsi="Times New Roman" w:cs="Times New Roman"/>
                <w:bCs w:val="0"/>
                <w:sz w:val="20"/>
                <w:szCs w:val="20"/>
                <w:lang w:val="en-US" w:eastAsia="zh-CN"/>
              </w:rPr>
            </w:pPr>
          </w:p>
        </w:tc>
      </w:tr>
      <w:tr w:rsidR="0033593D" w:rsidRPr="0033593D" w14:paraId="0F31DFD2" w14:textId="77777777" w:rsidTr="00150358">
        <w:trPr>
          <w:trHeight w:val="28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FB2BA" w14:textId="77777777" w:rsidR="00F402B8" w:rsidRPr="0033593D" w:rsidRDefault="00F402B8" w:rsidP="0013684D">
            <w:pPr>
              <w:adjustRightInd/>
              <w:snapToGrid/>
              <w:spacing w:afterLines="0" w:after="0" w:line="240" w:lineRule="auto"/>
              <w:ind w:firstLineChars="200" w:firstLine="440"/>
              <w:rPr>
                <w:bCs w:val="0"/>
                <w:lang w:val="en-US" w:eastAsia="zh-CN"/>
              </w:rPr>
            </w:pPr>
            <w:r w:rsidRPr="0033593D">
              <w:rPr>
                <w:bCs w:val="0"/>
                <w:lang w:val="en-US" w:eastAsia="zh-CN"/>
              </w:rPr>
              <w:t>Never smoker</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845E4"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DF7C5"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55.6</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72664" w14:textId="6E00BB28" w:rsidR="00F402B8" w:rsidRPr="0033593D" w:rsidRDefault="00F402B8" w:rsidP="00F402B8">
            <w:pPr>
              <w:adjustRightInd/>
              <w:snapToGrid/>
              <w:spacing w:afterLines="0" w:after="0" w:line="240" w:lineRule="auto"/>
              <w:jc w:val="center"/>
              <w:rPr>
                <w:bCs w:val="0"/>
                <w:lang w:val="en-US" w:eastAsia="zh-CN"/>
              </w:rPr>
            </w:pPr>
            <w:r w:rsidRPr="0033593D">
              <w:rPr>
                <w:bCs w:val="0"/>
                <w:lang w:val="en-US" w:eastAsia="zh-CN"/>
              </w:rPr>
              <w:t>56.7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8C4C4" w14:textId="2CCA2957" w:rsidR="00F402B8" w:rsidRPr="0033593D" w:rsidRDefault="00F402B8" w:rsidP="00F402B8">
            <w:pPr>
              <w:adjustRightInd/>
              <w:snapToGrid/>
              <w:spacing w:afterLines="0" w:after="0" w:line="240" w:lineRule="auto"/>
              <w:jc w:val="center"/>
              <w:rPr>
                <w:bCs w:val="0"/>
                <w:lang w:val="en-US" w:eastAsia="zh-CN"/>
              </w:rPr>
            </w:pPr>
            <w:r w:rsidRPr="0033593D">
              <w:rPr>
                <w:bCs w:val="0"/>
                <w:lang w:val="en-US" w:eastAsia="zh-CN"/>
              </w:rPr>
              <w:t>57.8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3EBDD26C" w14:textId="62A0C299"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63.9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054DDE79" w14:textId="6C9FC602"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69.3</w:t>
            </w:r>
          </w:p>
        </w:tc>
      </w:tr>
      <w:tr w:rsidR="0033593D" w:rsidRPr="0033593D" w14:paraId="6368C461" w14:textId="77777777" w:rsidTr="00150358">
        <w:trPr>
          <w:trHeight w:val="28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42494" w14:textId="77777777" w:rsidR="00F402B8" w:rsidRPr="0033593D" w:rsidRDefault="00F402B8" w:rsidP="0013684D">
            <w:pPr>
              <w:adjustRightInd/>
              <w:snapToGrid/>
              <w:spacing w:afterLines="0" w:after="0" w:line="240" w:lineRule="auto"/>
              <w:ind w:firstLineChars="200" w:firstLine="440"/>
              <w:rPr>
                <w:bCs w:val="0"/>
                <w:lang w:val="en-US" w:eastAsia="zh-CN"/>
              </w:rPr>
            </w:pPr>
            <w:r w:rsidRPr="0033593D">
              <w:rPr>
                <w:bCs w:val="0"/>
                <w:lang w:val="en-US" w:eastAsia="zh-CN"/>
              </w:rPr>
              <w:t>Former smoker</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BF877"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7B7A3"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24.1</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CA9DA" w14:textId="1A9A0C11"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24.9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CEE89" w14:textId="2339BD22"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27.5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6F18A0B5" w14:textId="4C56592C"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24.4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4790450C" w14:textId="487C32FC"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23.1</w:t>
            </w:r>
          </w:p>
        </w:tc>
      </w:tr>
      <w:tr w:rsidR="0033593D" w:rsidRPr="0033593D" w14:paraId="1C7F497D" w14:textId="77777777" w:rsidTr="00150358">
        <w:trPr>
          <w:trHeight w:val="28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2A1F1" w14:textId="77777777" w:rsidR="00F402B8" w:rsidRPr="0033593D" w:rsidRDefault="00F402B8" w:rsidP="0013684D">
            <w:pPr>
              <w:adjustRightInd/>
              <w:snapToGrid/>
              <w:spacing w:afterLines="0" w:after="0" w:line="240" w:lineRule="auto"/>
              <w:ind w:firstLineChars="200" w:firstLine="440"/>
              <w:rPr>
                <w:bCs w:val="0"/>
                <w:lang w:val="en-US" w:eastAsia="zh-CN"/>
              </w:rPr>
            </w:pPr>
            <w:r w:rsidRPr="0033593D">
              <w:rPr>
                <w:bCs w:val="0"/>
                <w:lang w:val="en-US" w:eastAsia="zh-CN"/>
              </w:rPr>
              <w:t>Current smoker</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B7930"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4E9B8"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20.3</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73C65" w14:textId="6D19B772"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18.4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4AE9C" w14:textId="01F99005"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14.7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66D8B19F" w14:textId="27A7D4E9"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11.7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63E03230" w14:textId="5FBCDBEA"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7.6</w:t>
            </w:r>
          </w:p>
        </w:tc>
      </w:tr>
      <w:tr w:rsidR="0033593D" w:rsidRPr="0033593D" w14:paraId="581AA297" w14:textId="77777777" w:rsidTr="00150358">
        <w:trPr>
          <w:trHeight w:val="28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30019" w14:textId="77777777" w:rsidR="00F402B8" w:rsidRPr="0033593D" w:rsidRDefault="00F402B8" w:rsidP="0013684D">
            <w:pPr>
              <w:adjustRightInd/>
              <w:snapToGrid/>
              <w:spacing w:afterLines="0" w:after="0" w:line="240" w:lineRule="auto"/>
              <w:rPr>
                <w:bCs w:val="0"/>
                <w:lang w:val="en-US" w:eastAsia="zh-CN"/>
              </w:rPr>
            </w:pPr>
            <w:r w:rsidRPr="0033593D">
              <w:rPr>
                <w:bCs w:val="0"/>
                <w:lang w:val="en-US" w:eastAsia="zh-CN"/>
              </w:rPr>
              <w:t>Alcohol drinking (yes)</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7A80E"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70D48"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36.1</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56816" w14:textId="32E9502B"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36.9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6E12B" w14:textId="2133EB71"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38.8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49948199" w14:textId="5FDC01D3"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39.8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77DF13F5" w14:textId="163EE933"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35.5</w:t>
            </w:r>
          </w:p>
        </w:tc>
      </w:tr>
      <w:tr w:rsidR="0033593D" w:rsidRPr="0033593D" w14:paraId="4261C570" w14:textId="77777777" w:rsidTr="00150358">
        <w:trPr>
          <w:trHeight w:val="330"/>
        </w:trPr>
        <w:tc>
          <w:tcPr>
            <w:tcW w:w="53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C567F" w14:textId="77777777" w:rsidR="00F402B8" w:rsidRPr="0033593D" w:rsidRDefault="00F402B8" w:rsidP="0013684D">
            <w:pPr>
              <w:adjustRightInd/>
              <w:snapToGrid/>
              <w:spacing w:afterLines="0" w:after="0" w:line="240" w:lineRule="auto"/>
              <w:rPr>
                <w:bCs w:val="0"/>
                <w:lang w:val="en-US" w:eastAsia="zh-CN"/>
              </w:rPr>
            </w:pPr>
            <w:r w:rsidRPr="0033593D">
              <w:rPr>
                <w:bCs w:val="0"/>
                <w:lang w:val="en-US" w:eastAsia="zh-CN"/>
              </w:rPr>
              <w:t>BMI (kg/m</w:t>
            </w:r>
            <w:r w:rsidRPr="0033593D">
              <w:rPr>
                <w:bCs w:val="0"/>
                <w:vertAlign w:val="superscript"/>
                <w:lang w:val="en-US" w:eastAsia="zh-CN"/>
              </w:rPr>
              <w:t>2</w:t>
            </w:r>
            <w:r w:rsidRPr="0033593D">
              <w:rPr>
                <w:bCs w:val="0"/>
                <w:lang w:val="en-US" w:eastAsia="zh-CN"/>
              </w:rPr>
              <w:t>)</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EFF3B" w14:textId="77777777" w:rsidR="00F402B8" w:rsidRPr="0033593D" w:rsidRDefault="00F402B8" w:rsidP="0013684D">
            <w:pPr>
              <w:adjustRightInd/>
              <w:snapToGrid/>
              <w:spacing w:afterLines="0" w:after="0" w:line="240" w:lineRule="auto"/>
              <w:rPr>
                <w:bCs w:val="0"/>
                <w:lang w:val="en-US"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26402" w14:textId="77777777" w:rsidR="00F402B8" w:rsidRPr="0033593D" w:rsidRDefault="00F402B8" w:rsidP="0013684D">
            <w:pPr>
              <w:adjustRightInd/>
              <w:snapToGrid/>
              <w:spacing w:afterLines="0" w:after="0" w:line="240" w:lineRule="auto"/>
              <w:jc w:val="center"/>
              <w:rPr>
                <w:rFonts w:ascii="Times New Roman" w:hAnsi="Times New Roman" w:cs="Times New Roman"/>
                <w:bCs w:val="0"/>
                <w:sz w:val="20"/>
                <w:szCs w:val="20"/>
                <w:lang w:val="en-US" w:eastAsia="zh-CN"/>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37805" w14:textId="77777777" w:rsidR="00F402B8" w:rsidRPr="0033593D" w:rsidRDefault="00F402B8" w:rsidP="0013684D">
            <w:pPr>
              <w:adjustRightInd/>
              <w:snapToGrid/>
              <w:spacing w:afterLines="0" w:after="0" w:line="240" w:lineRule="auto"/>
              <w:jc w:val="center"/>
              <w:rPr>
                <w:rFonts w:ascii="Times New Roman" w:hAnsi="Times New Roman" w:cs="Times New Roman"/>
                <w:bCs w:val="0"/>
                <w:sz w:val="20"/>
                <w:szCs w:val="20"/>
                <w:lang w:val="en-US" w:eastAsia="zh-CN"/>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606871EC" w14:textId="77777777" w:rsidR="00F402B8" w:rsidRPr="0033593D" w:rsidRDefault="00F402B8" w:rsidP="0013684D">
            <w:pPr>
              <w:adjustRightInd/>
              <w:snapToGrid/>
              <w:spacing w:afterLines="0" w:after="0" w:line="240" w:lineRule="auto"/>
              <w:jc w:val="center"/>
              <w:rPr>
                <w:rFonts w:ascii="Times New Roman" w:hAnsi="Times New Roman" w:cs="Times New Roman"/>
                <w:bCs w:val="0"/>
                <w:sz w:val="20"/>
                <w:szCs w:val="20"/>
                <w:lang w:val="en-US" w:eastAsia="zh-CN"/>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3FCE7C2D" w14:textId="77777777" w:rsidR="00F402B8" w:rsidRPr="0033593D" w:rsidRDefault="00F402B8" w:rsidP="0013684D">
            <w:pPr>
              <w:adjustRightInd/>
              <w:snapToGrid/>
              <w:spacing w:afterLines="0" w:after="0" w:line="240" w:lineRule="auto"/>
              <w:jc w:val="center"/>
              <w:rPr>
                <w:rFonts w:ascii="Times New Roman" w:hAnsi="Times New Roman" w:cs="Times New Roman"/>
                <w:bCs w:val="0"/>
                <w:sz w:val="20"/>
                <w:szCs w:val="20"/>
                <w:lang w:val="en-US" w:eastAsia="zh-CN"/>
              </w:rPr>
            </w:pPr>
          </w:p>
        </w:tc>
      </w:tr>
      <w:tr w:rsidR="0033593D" w:rsidRPr="0033593D" w14:paraId="7198E9AC" w14:textId="77777777" w:rsidTr="00150358">
        <w:trPr>
          <w:trHeight w:val="28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0418A" w14:textId="77777777" w:rsidR="00F402B8" w:rsidRPr="0033593D" w:rsidRDefault="00F402B8" w:rsidP="0013684D">
            <w:pPr>
              <w:adjustRightInd/>
              <w:snapToGrid/>
              <w:spacing w:afterLines="0" w:after="0" w:line="240" w:lineRule="auto"/>
              <w:ind w:firstLineChars="200" w:firstLine="440"/>
              <w:rPr>
                <w:bCs w:val="0"/>
                <w:lang w:val="en-US" w:eastAsia="zh-CN"/>
              </w:rPr>
            </w:pPr>
            <w:r w:rsidRPr="0033593D">
              <w:rPr>
                <w:bCs w:val="0"/>
                <w:lang w:val="en-US" w:eastAsia="zh-CN"/>
              </w:rPr>
              <w:t>18.5 – 24.9</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F1B88"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0066E"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29.6</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34B27" w14:textId="1E723C64"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28.7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702EA" w14:textId="58FBE3CB" w:rsidR="00F402B8" w:rsidRPr="0033593D" w:rsidRDefault="00F402B8" w:rsidP="00F402B8">
            <w:pPr>
              <w:adjustRightInd/>
              <w:snapToGrid/>
              <w:spacing w:afterLines="0" w:after="0" w:line="240" w:lineRule="auto"/>
              <w:jc w:val="center"/>
              <w:rPr>
                <w:bCs w:val="0"/>
                <w:lang w:val="en-US" w:eastAsia="zh-CN"/>
              </w:rPr>
            </w:pPr>
            <w:r w:rsidRPr="0033593D">
              <w:rPr>
                <w:bCs w:val="0"/>
                <w:lang w:val="en-US" w:eastAsia="zh-CN"/>
              </w:rPr>
              <w:t>39.0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787FE7F9" w14:textId="731C7367"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36.3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0426B189" w14:textId="4A747D0E"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37.8</w:t>
            </w:r>
          </w:p>
        </w:tc>
      </w:tr>
      <w:tr w:rsidR="0033593D" w:rsidRPr="0033593D" w14:paraId="47064F01" w14:textId="77777777" w:rsidTr="00150358">
        <w:trPr>
          <w:trHeight w:val="28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96A1E" w14:textId="77777777" w:rsidR="00F402B8" w:rsidRPr="0033593D" w:rsidRDefault="00F402B8" w:rsidP="0013684D">
            <w:pPr>
              <w:adjustRightInd/>
              <w:snapToGrid/>
              <w:spacing w:afterLines="0" w:after="0" w:line="240" w:lineRule="auto"/>
              <w:ind w:firstLineChars="200" w:firstLine="440"/>
              <w:rPr>
                <w:bCs w:val="0"/>
                <w:lang w:val="en-US" w:eastAsia="zh-CN"/>
              </w:rPr>
            </w:pPr>
            <w:r w:rsidRPr="0033593D">
              <w:rPr>
                <w:bCs w:val="0"/>
                <w:lang w:val="en-US" w:eastAsia="zh-CN"/>
              </w:rPr>
              <w:t xml:space="preserve">25.0 – 29.9 </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8B37A"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A1A1A"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35.2</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81590" w14:textId="2A33AA2D"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43.7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FFF0A" w14:textId="4E36C9FF"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35.0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2D568CD9" w14:textId="258437AC"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38.8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0FB7FDA0" w14:textId="71EE516F"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35.2</w:t>
            </w:r>
          </w:p>
        </w:tc>
      </w:tr>
      <w:tr w:rsidR="0033593D" w:rsidRPr="0033593D" w14:paraId="26792882" w14:textId="77777777" w:rsidTr="00150358">
        <w:trPr>
          <w:trHeight w:val="28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1A3C4" w14:textId="77777777" w:rsidR="00F402B8" w:rsidRPr="0033593D" w:rsidRDefault="00F402B8" w:rsidP="0013684D">
            <w:pPr>
              <w:adjustRightInd/>
              <w:snapToGrid/>
              <w:spacing w:afterLines="0" w:after="0" w:line="240" w:lineRule="auto"/>
              <w:ind w:firstLineChars="200" w:firstLine="440"/>
              <w:rPr>
                <w:bCs w:val="0"/>
                <w:lang w:val="en-US" w:eastAsia="zh-CN"/>
              </w:rPr>
            </w:pPr>
            <w:r w:rsidRPr="0033593D">
              <w:rPr>
                <w:bCs w:val="0"/>
                <w:lang w:val="en-US" w:eastAsia="zh-CN"/>
              </w:rPr>
              <w:t>≥ 30</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47E34"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A6F3B"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35.2</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9D1D8" w14:textId="0948743C"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27.6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43A24" w14:textId="5B09B955"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26.0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5F4B0544" w14:textId="5C5881B2"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24.9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16A9F311" w14:textId="5EB6F6E0"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27.0</w:t>
            </w:r>
          </w:p>
        </w:tc>
      </w:tr>
      <w:tr w:rsidR="0033593D" w:rsidRPr="0033593D" w14:paraId="28D0806A" w14:textId="77777777" w:rsidTr="00150358">
        <w:trPr>
          <w:trHeight w:val="28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3C684" w14:textId="77777777" w:rsidR="00F402B8" w:rsidRPr="0033593D" w:rsidRDefault="00F402B8" w:rsidP="0013684D">
            <w:pPr>
              <w:adjustRightInd/>
              <w:snapToGrid/>
              <w:spacing w:afterLines="0" w:after="0" w:line="240" w:lineRule="auto"/>
              <w:rPr>
                <w:bCs w:val="0"/>
                <w:lang w:val="en-US" w:eastAsia="zh-CN"/>
              </w:rPr>
            </w:pPr>
            <w:r w:rsidRPr="0033593D">
              <w:rPr>
                <w:bCs w:val="0"/>
                <w:lang w:val="en-US" w:eastAsia="zh-CN"/>
              </w:rPr>
              <w:lastRenderedPageBreak/>
              <w:t>Chronic conditions (yes)</w:t>
            </w:r>
            <w:r w:rsidRPr="0033593D">
              <w:rPr>
                <w:bCs w:val="0"/>
                <w:vertAlign w:val="superscript"/>
                <w:lang w:val="en-US" w:eastAsia="zh-CN"/>
              </w:rPr>
              <w:t>b</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36DC6"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72B23"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28.8</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E87E6" w14:textId="5A471295" w:rsidR="00F402B8" w:rsidRPr="0033593D" w:rsidRDefault="00F402B8" w:rsidP="00F402B8">
            <w:pPr>
              <w:adjustRightInd/>
              <w:snapToGrid/>
              <w:spacing w:afterLines="0" w:after="0" w:line="240" w:lineRule="auto"/>
              <w:jc w:val="center"/>
              <w:rPr>
                <w:bCs w:val="0"/>
                <w:lang w:val="en-US" w:eastAsia="zh-CN"/>
              </w:rPr>
            </w:pPr>
            <w:r w:rsidRPr="0033593D">
              <w:rPr>
                <w:bCs w:val="0"/>
                <w:lang w:val="en-US" w:eastAsia="zh-CN"/>
              </w:rPr>
              <w:t>32.5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06683" w14:textId="52D42B81"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35.2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2B040278" w14:textId="3095CF80"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34.1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6DF81EBB" w14:textId="7E4640F5"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31.6</w:t>
            </w:r>
          </w:p>
        </w:tc>
      </w:tr>
      <w:tr w:rsidR="0033593D" w:rsidRPr="0033593D" w14:paraId="7A273E52" w14:textId="77777777" w:rsidTr="00150358">
        <w:trPr>
          <w:trHeight w:val="28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B3CF2" w14:textId="77777777" w:rsidR="00F402B8" w:rsidRPr="0033593D" w:rsidRDefault="00F402B8" w:rsidP="0013684D">
            <w:pPr>
              <w:adjustRightInd/>
              <w:snapToGrid/>
              <w:spacing w:afterLines="0" w:after="0" w:line="240" w:lineRule="auto"/>
              <w:rPr>
                <w:bCs w:val="0"/>
                <w:lang w:val="en-US" w:eastAsia="zh-CN"/>
              </w:rPr>
            </w:pPr>
            <w:r w:rsidRPr="0033593D">
              <w:rPr>
                <w:bCs w:val="0"/>
                <w:lang w:val="en-US" w:eastAsia="zh-CN"/>
              </w:rPr>
              <w:t>Depressive symptoms (yes)</w:t>
            </w:r>
            <w:r w:rsidRPr="0033593D">
              <w:rPr>
                <w:bCs w:val="0"/>
                <w:vertAlign w:val="superscript"/>
                <w:lang w:val="en-US" w:eastAsia="zh-CN"/>
              </w:rPr>
              <w:t>c</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DF2F8"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EF2E1"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7.6</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872F7" w14:textId="1750444B"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7.3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F1D4E" w14:textId="4280D0C2"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3.7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3C6A77BE" w14:textId="62D57100"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7.5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4EED9FA5" w14:textId="315CF4A1"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2.8</w:t>
            </w:r>
          </w:p>
        </w:tc>
      </w:tr>
      <w:tr w:rsidR="0033593D" w:rsidRPr="0033593D" w14:paraId="3D3CC462" w14:textId="77777777" w:rsidTr="00150358">
        <w:trPr>
          <w:trHeight w:val="28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EBED5" w14:textId="77777777" w:rsidR="00F402B8" w:rsidRPr="0033593D" w:rsidRDefault="00F402B8" w:rsidP="0013684D">
            <w:pPr>
              <w:adjustRightInd/>
              <w:snapToGrid/>
              <w:spacing w:afterLines="0" w:after="0" w:line="240" w:lineRule="auto"/>
              <w:rPr>
                <w:bCs w:val="0"/>
                <w:lang w:val="en-US" w:eastAsia="zh-CN"/>
              </w:rPr>
            </w:pPr>
            <w:r w:rsidRPr="0033593D">
              <w:rPr>
                <w:bCs w:val="0"/>
                <w:lang w:val="en-US" w:eastAsia="zh-CN"/>
              </w:rPr>
              <w:t>Total energy intake (kcal, day)</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BD2B6"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mean (se)</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F6815"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2115.6 (10.5)</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8D0E9" w14:textId="00081120"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2269.6 (73.0)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3480C" w14:textId="5F8FCD8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2223.2 (58.4)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4373C53E" w14:textId="2ACCACE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2154.5 (46.6)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7EAFB549" w14:textId="10AD0C0F"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2294.1 (66.0)</w:t>
            </w:r>
          </w:p>
        </w:tc>
      </w:tr>
      <w:tr w:rsidR="0033593D" w:rsidRPr="0033593D" w14:paraId="2B859E4E" w14:textId="77777777" w:rsidTr="00150358">
        <w:trPr>
          <w:trHeight w:val="28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6C05C" w14:textId="77777777" w:rsidR="00F402B8" w:rsidRPr="0033593D" w:rsidRDefault="00F402B8" w:rsidP="0013684D">
            <w:pPr>
              <w:adjustRightInd/>
              <w:snapToGrid/>
              <w:spacing w:afterLines="0" w:after="0" w:line="240" w:lineRule="auto"/>
              <w:rPr>
                <w:bCs w:val="0"/>
                <w:lang w:val="en-US" w:eastAsia="zh-CN"/>
              </w:rPr>
            </w:pPr>
            <w:r w:rsidRPr="0033593D">
              <w:rPr>
                <w:bCs w:val="0"/>
                <w:lang w:val="en-US" w:eastAsia="zh-CN"/>
              </w:rPr>
              <w:t>Total sugar intake (gram, day)</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E84AE"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mean (se)</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4D955"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113.2 (0.9)</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26EB7" w14:textId="1BE97A80"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124.0 (4.9)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E3E57" w14:textId="59E878D9"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134.1 (6.3)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1C68F6FD" w14:textId="799C18A5"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122.3 (3.5)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67C6AE16" w14:textId="334D9FBE"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128.7 (55)</w:t>
            </w:r>
          </w:p>
        </w:tc>
      </w:tr>
      <w:tr w:rsidR="0033593D" w:rsidRPr="0033593D" w14:paraId="63A937BC" w14:textId="77777777" w:rsidTr="00150358">
        <w:trPr>
          <w:trHeight w:val="28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6EEAE" w14:textId="77777777" w:rsidR="00F402B8" w:rsidRPr="0033593D" w:rsidRDefault="00F402B8" w:rsidP="0013684D">
            <w:pPr>
              <w:adjustRightInd/>
              <w:snapToGrid/>
              <w:spacing w:afterLines="0" w:after="0" w:line="240" w:lineRule="auto"/>
              <w:rPr>
                <w:bCs w:val="0"/>
                <w:lang w:val="en-US" w:eastAsia="zh-CN"/>
              </w:rPr>
            </w:pPr>
            <w:r w:rsidRPr="0033593D">
              <w:rPr>
                <w:bCs w:val="0"/>
                <w:lang w:val="en-US" w:eastAsia="zh-CN"/>
              </w:rPr>
              <w:t>Total chocolate intake (gram, day)</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F50FE"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mean (se)</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2FA91" w14:textId="77777777" w:rsidR="00F402B8" w:rsidRPr="0033593D" w:rsidRDefault="00F402B8" w:rsidP="0013684D">
            <w:pPr>
              <w:adjustRightInd/>
              <w:snapToGrid/>
              <w:spacing w:afterLines="0" w:after="0" w:line="240" w:lineRule="auto"/>
              <w:jc w:val="center"/>
              <w:rPr>
                <w:bCs w:val="0"/>
                <w:lang w:val="en-US" w:eastAsia="zh-CN"/>
              </w:rPr>
            </w:pPr>
            <w:proofErr w:type="spellStart"/>
            <w:r w:rsidRPr="0033593D">
              <w:rPr>
                <w:bCs w:val="0"/>
                <w:lang w:val="en-US" w:eastAsia="zh-CN"/>
              </w:rPr>
              <w:t>n.a</w:t>
            </w:r>
            <w:proofErr w:type="spellEnd"/>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33B6F" w14:textId="365EBFD4"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18.7 (0.5)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BD1FC" w14:textId="06EF9033"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60.5 (1.1)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620F05EE" w14:textId="2F7BA6A8"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100 (0.0)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1409738E" w14:textId="05BFC0A2"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196.9 (5.6)</w:t>
            </w:r>
          </w:p>
        </w:tc>
      </w:tr>
      <w:tr w:rsidR="0033593D" w:rsidRPr="0033593D" w14:paraId="7CD2E9A8" w14:textId="77777777" w:rsidTr="00150358">
        <w:trPr>
          <w:trHeight w:val="28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C1F08" w14:textId="77777777" w:rsidR="00F402B8" w:rsidRPr="0033593D" w:rsidRDefault="00F402B8" w:rsidP="0013684D">
            <w:pPr>
              <w:adjustRightInd/>
              <w:snapToGrid/>
              <w:spacing w:afterLines="0" w:after="0" w:line="240" w:lineRule="auto"/>
              <w:rPr>
                <w:bCs w:val="0"/>
                <w:lang w:val="en-US" w:eastAsia="zh-CN"/>
              </w:rPr>
            </w:pPr>
            <w:r w:rsidRPr="0033593D">
              <w:rPr>
                <w:bCs w:val="0"/>
                <w:lang w:val="en-US" w:eastAsia="zh-CN"/>
              </w:rPr>
              <w:t>Total dark chocolate intake (gram, day)</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F59C9" w14:textId="77777777"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mean (se)</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452CF" w14:textId="77777777" w:rsidR="00F402B8" w:rsidRPr="0033593D" w:rsidRDefault="00F402B8" w:rsidP="0013684D">
            <w:pPr>
              <w:adjustRightInd/>
              <w:snapToGrid/>
              <w:spacing w:afterLines="0" w:after="0" w:line="240" w:lineRule="auto"/>
              <w:jc w:val="center"/>
              <w:rPr>
                <w:bCs w:val="0"/>
                <w:lang w:val="en-US" w:eastAsia="zh-CN"/>
              </w:rPr>
            </w:pPr>
            <w:proofErr w:type="spellStart"/>
            <w:r w:rsidRPr="0033593D">
              <w:rPr>
                <w:bCs w:val="0"/>
                <w:lang w:val="en-US" w:eastAsia="zh-CN"/>
              </w:rPr>
              <w:t>n.a</w:t>
            </w:r>
            <w:proofErr w:type="spellEnd"/>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97A10" w14:textId="3476BD90"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0.01 (0.04)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C6765" w14:textId="701C3469" w:rsidR="00F402B8" w:rsidRPr="0033593D" w:rsidRDefault="00F402B8" w:rsidP="0013684D">
            <w:pPr>
              <w:adjustRightInd/>
              <w:snapToGrid/>
              <w:spacing w:afterLines="0" w:after="0" w:line="240" w:lineRule="auto"/>
              <w:jc w:val="center"/>
              <w:rPr>
                <w:bCs w:val="0"/>
                <w:lang w:val="en-US" w:eastAsia="zh-CN"/>
              </w:rPr>
            </w:pPr>
            <w:r w:rsidRPr="0033593D">
              <w:rPr>
                <w:bCs w:val="0"/>
                <w:lang w:val="en-US" w:eastAsia="zh-CN"/>
              </w:rPr>
              <w:t>0.34 (0.03)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0622E272" w14:textId="05139E07"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0.06 (0.02)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01F7F49F" w14:textId="547F5524" w:rsidR="00F402B8" w:rsidRPr="0033593D" w:rsidRDefault="00F402B8" w:rsidP="001037C4">
            <w:pPr>
              <w:adjustRightInd/>
              <w:snapToGrid/>
              <w:spacing w:afterLines="0" w:after="0" w:line="240" w:lineRule="auto"/>
              <w:jc w:val="center"/>
              <w:rPr>
                <w:bCs w:val="0"/>
                <w:lang w:val="en-US" w:eastAsia="zh-CN"/>
              </w:rPr>
            </w:pPr>
            <w:r w:rsidRPr="0033593D">
              <w:rPr>
                <w:bCs w:val="0"/>
                <w:lang w:val="en-US" w:eastAsia="zh-CN"/>
              </w:rPr>
              <w:t>0.09 (0.02)</w:t>
            </w:r>
          </w:p>
        </w:tc>
      </w:tr>
      <w:tr w:rsidR="0033593D" w:rsidRPr="0033593D" w14:paraId="3256ECED" w14:textId="7F66D90C" w:rsidTr="00150358">
        <w:trPr>
          <w:trHeight w:val="285"/>
        </w:trPr>
        <w:tc>
          <w:tcPr>
            <w:tcW w:w="1457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124C3" w14:textId="66EC09E6" w:rsidR="00F402B8" w:rsidRPr="0033593D" w:rsidRDefault="00F402B8" w:rsidP="001037C4">
            <w:pPr>
              <w:adjustRightInd/>
              <w:snapToGrid/>
              <w:spacing w:afterLines="0" w:after="0" w:line="240" w:lineRule="auto"/>
              <w:rPr>
                <w:bCs w:val="0"/>
                <w:lang w:val="en-US" w:eastAsia="zh-CN"/>
              </w:rPr>
            </w:pPr>
            <w:r w:rsidRPr="0033593D">
              <w:rPr>
                <w:bCs w:val="0"/>
                <w:lang w:val="en-US" w:eastAsia="zh-CN"/>
              </w:rPr>
              <w:t>a. All estimated are weighted to be nationally representative</w:t>
            </w:r>
          </w:p>
        </w:tc>
      </w:tr>
      <w:tr w:rsidR="0033593D" w:rsidRPr="0033593D" w14:paraId="6D909A70" w14:textId="1B2DBD45" w:rsidTr="00150358">
        <w:trPr>
          <w:trHeight w:val="285"/>
        </w:trPr>
        <w:tc>
          <w:tcPr>
            <w:tcW w:w="1457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055FFD0A" w14:textId="6395A238" w:rsidR="00F402B8" w:rsidRPr="0033593D" w:rsidRDefault="00F402B8" w:rsidP="0013684D">
            <w:pPr>
              <w:adjustRightInd/>
              <w:snapToGrid/>
              <w:spacing w:afterLines="0" w:after="0" w:line="240" w:lineRule="auto"/>
              <w:rPr>
                <w:bCs w:val="0"/>
                <w:lang w:val="en-US" w:eastAsia="zh-CN"/>
              </w:rPr>
            </w:pPr>
            <w:r w:rsidRPr="0033593D">
              <w:rPr>
                <w:bCs w:val="0"/>
                <w:lang w:val="en-US" w:eastAsia="zh-CN"/>
              </w:rPr>
              <w:t>b. Depression symptoms measured using Patient Health Questionnaire (PHQ-9): None or minimum to mild (0-9) Moderate to severe (10-27)</w:t>
            </w:r>
          </w:p>
        </w:tc>
      </w:tr>
      <w:tr w:rsidR="0033593D" w:rsidRPr="0033593D" w14:paraId="0D5C007B" w14:textId="265DAA59" w:rsidTr="00150358">
        <w:trPr>
          <w:trHeight w:val="225"/>
        </w:trPr>
        <w:tc>
          <w:tcPr>
            <w:tcW w:w="1457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702E2" w14:textId="52AE8BE8" w:rsidR="00F402B8" w:rsidRPr="0033593D" w:rsidRDefault="00F402B8" w:rsidP="0013684D">
            <w:pPr>
              <w:adjustRightInd/>
              <w:snapToGrid/>
              <w:spacing w:afterLines="0" w:after="0" w:line="240" w:lineRule="auto"/>
              <w:rPr>
                <w:bCs w:val="0"/>
                <w:lang w:val="en-US" w:eastAsia="zh-CN"/>
              </w:rPr>
            </w:pPr>
            <w:r w:rsidRPr="0033593D">
              <w:rPr>
                <w:bCs w:val="0"/>
                <w:lang w:val="en-US" w:eastAsia="zh-CN"/>
              </w:rPr>
              <w:t>c. Chronic conditions include cardiovascular disease, arthritis, and cancer.</w:t>
            </w:r>
          </w:p>
        </w:tc>
      </w:tr>
    </w:tbl>
    <w:p w14:paraId="7FECA29E" w14:textId="77777777" w:rsidR="00265B86" w:rsidRPr="0033593D" w:rsidRDefault="00265B86" w:rsidP="00314118">
      <w:pPr>
        <w:rPr>
          <w:lang w:val="en-US"/>
        </w:rPr>
        <w:sectPr w:rsidR="00265B86" w:rsidRPr="0033593D" w:rsidSect="001037C4">
          <w:pgSz w:w="15840" w:h="12240" w:orient="landscape"/>
          <w:pgMar w:top="720" w:right="720" w:bottom="720" w:left="720" w:header="720" w:footer="720" w:gutter="0"/>
          <w:cols w:space="720"/>
          <w:docGrid w:linePitch="360"/>
        </w:sectPr>
      </w:pPr>
    </w:p>
    <w:p w14:paraId="788B28B0" w14:textId="2D5A654A" w:rsidR="00956F6A" w:rsidRPr="0033593D" w:rsidRDefault="00956F6A" w:rsidP="00314118">
      <w:pPr>
        <w:rPr>
          <w:lang w:val="en-US"/>
        </w:rPr>
      </w:pPr>
    </w:p>
    <w:sectPr w:rsidR="00956F6A" w:rsidRPr="0033593D" w:rsidSect="009D0B8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BB486" w14:textId="77777777" w:rsidR="00643F24" w:rsidRDefault="00643F24" w:rsidP="00EA436E">
      <w:r>
        <w:separator/>
      </w:r>
    </w:p>
  </w:endnote>
  <w:endnote w:type="continuationSeparator" w:id="0">
    <w:p w14:paraId="413CB045" w14:textId="77777777" w:rsidR="00643F24" w:rsidRDefault="00643F24" w:rsidP="00EA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D80DD" w14:textId="77777777" w:rsidR="000440E9" w:rsidRDefault="000440E9" w:rsidP="00EA436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9458922" w14:textId="77777777" w:rsidR="000440E9" w:rsidRDefault="000440E9" w:rsidP="00EA4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912875"/>
      <w:docPartObj>
        <w:docPartGallery w:val="Page Numbers (Bottom of Page)"/>
        <w:docPartUnique/>
      </w:docPartObj>
    </w:sdtPr>
    <w:sdtEndPr/>
    <w:sdtContent>
      <w:p w14:paraId="0F5F632F" w14:textId="49A36DAF" w:rsidR="000440E9" w:rsidRDefault="000440E9" w:rsidP="00EA436E">
        <w:pPr>
          <w:pStyle w:val="Footer"/>
        </w:pPr>
        <w:r>
          <w:fldChar w:fldCharType="begin"/>
        </w:r>
        <w:r>
          <w:instrText>PAGE   \* MERGEFORMAT</w:instrText>
        </w:r>
        <w:r>
          <w:fldChar w:fldCharType="separate"/>
        </w:r>
        <w:r w:rsidRPr="008B7EF4">
          <w:rPr>
            <w:noProof/>
            <w:lang w:val="de-DE"/>
          </w:rPr>
          <w:t>1</w:t>
        </w:r>
        <w:r w:rsidRPr="008B7EF4">
          <w:rPr>
            <w:noProof/>
            <w:lang w:val="de-DE"/>
          </w:rPr>
          <w:t>3</w:t>
        </w:r>
        <w:r>
          <w:fldChar w:fldCharType="end"/>
        </w:r>
      </w:p>
    </w:sdtContent>
  </w:sdt>
  <w:p w14:paraId="596CB240" w14:textId="77777777" w:rsidR="000440E9" w:rsidRDefault="000440E9" w:rsidP="00EA4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17510" w14:textId="77777777" w:rsidR="00643F24" w:rsidRDefault="00643F24" w:rsidP="00EA436E">
      <w:r>
        <w:separator/>
      </w:r>
    </w:p>
  </w:footnote>
  <w:footnote w:type="continuationSeparator" w:id="0">
    <w:p w14:paraId="0784149C" w14:textId="77777777" w:rsidR="00643F24" w:rsidRDefault="00643F24" w:rsidP="00EA4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C0286"/>
    <w:multiLevelType w:val="hybridMultilevel"/>
    <w:tmpl w:val="5D9A4CDA"/>
    <w:lvl w:ilvl="0" w:tplc="4B627894">
      <w:start w:val="7"/>
      <w:numFmt w:val="bullet"/>
      <w:lvlText w:val=""/>
      <w:lvlJc w:val="left"/>
      <w:pPr>
        <w:ind w:left="720" w:hanging="360"/>
      </w:pPr>
      <w:rPr>
        <w:rFonts w:ascii="Symbol" w:eastAsia="Times New Roman" w:hAnsi="Symbol"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B70EB"/>
    <w:multiLevelType w:val="hybridMultilevel"/>
    <w:tmpl w:val="CAC69734"/>
    <w:lvl w:ilvl="0" w:tplc="BEB26624">
      <w:start w:val="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C4408"/>
    <w:multiLevelType w:val="hybridMultilevel"/>
    <w:tmpl w:val="49AE1552"/>
    <w:lvl w:ilvl="0" w:tplc="18A610FE">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B23D1"/>
    <w:multiLevelType w:val="multilevel"/>
    <w:tmpl w:val="9282020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A0639B9"/>
    <w:multiLevelType w:val="hybridMultilevel"/>
    <w:tmpl w:val="6C44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76DC9"/>
    <w:multiLevelType w:val="hybridMultilevel"/>
    <w:tmpl w:val="A12E0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693465"/>
    <w:multiLevelType w:val="hybridMultilevel"/>
    <w:tmpl w:val="56D6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1NzcyMzYzMTE0MjVU0lEKTi0uzszPAykwMqgFAO8OlOk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z0eape9hs9pefe0rs8xp5whxd5few5pppwa&quot;&gt;choclat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record-ids&gt;&lt;/item&gt;&lt;/Libraries&gt;"/>
  </w:docVars>
  <w:rsids>
    <w:rsidRoot w:val="004139B6"/>
    <w:rsid w:val="00001314"/>
    <w:rsid w:val="00002A08"/>
    <w:rsid w:val="00010FEF"/>
    <w:rsid w:val="00011771"/>
    <w:rsid w:val="0001394C"/>
    <w:rsid w:val="000148B5"/>
    <w:rsid w:val="00014AF3"/>
    <w:rsid w:val="00015A92"/>
    <w:rsid w:val="00015B0C"/>
    <w:rsid w:val="00016C64"/>
    <w:rsid w:val="00022262"/>
    <w:rsid w:val="000328FD"/>
    <w:rsid w:val="00033FF4"/>
    <w:rsid w:val="00034BF5"/>
    <w:rsid w:val="00037D6A"/>
    <w:rsid w:val="000425C7"/>
    <w:rsid w:val="000440E9"/>
    <w:rsid w:val="00044F6B"/>
    <w:rsid w:val="00045477"/>
    <w:rsid w:val="00050407"/>
    <w:rsid w:val="00050ABA"/>
    <w:rsid w:val="000552A6"/>
    <w:rsid w:val="000603E5"/>
    <w:rsid w:val="00061408"/>
    <w:rsid w:val="000621FD"/>
    <w:rsid w:val="000636C8"/>
    <w:rsid w:val="0006648A"/>
    <w:rsid w:val="00067B00"/>
    <w:rsid w:val="00070980"/>
    <w:rsid w:val="000723F5"/>
    <w:rsid w:val="00072CB4"/>
    <w:rsid w:val="00072CB5"/>
    <w:rsid w:val="000742C5"/>
    <w:rsid w:val="000743E3"/>
    <w:rsid w:val="000747F3"/>
    <w:rsid w:val="00075108"/>
    <w:rsid w:val="00075E54"/>
    <w:rsid w:val="00075F81"/>
    <w:rsid w:val="00076727"/>
    <w:rsid w:val="00077D43"/>
    <w:rsid w:val="000808B0"/>
    <w:rsid w:val="00081BBF"/>
    <w:rsid w:val="00081F3B"/>
    <w:rsid w:val="0008228A"/>
    <w:rsid w:val="00082F34"/>
    <w:rsid w:val="00082F3C"/>
    <w:rsid w:val="000843B4"/>
    <w:rsid w:val="00090A02"/>
    <w:rsid w:val="00090E5E"/>
    <w:rsid w:val="000928C9"/>
    <w:rsid w:val="00093BED"/>
    <w:rsid w:val="0009559A"/>
    <w:rsid w:val="000955EB"/>
    <w:rsid w:val="0009684A"/>
    <w:rsid w:val="00097222"/>
    <w:rsid w:val="00097357"/>
    <w:rsid w:val="00097747"/>
    <w:rsid w:val="000A09B6"/>
    <w:rsid w:val="000A1764"/>
    <w:rsid w:val="000A2707"/>
    <w:rsid w:val="000A39B4"/>
    <w:rsid w:val="000A3B0C"/>
    <w:rsid w:val="000A4FAF"/>
    <w:rsid w:val="000A6951"/>
    <w:rsid w:val="000A6C61"/>
    <w:rsid w:val="000A6D44"/>
    <w:rsid w:val="000A710A"/>
    <w:rsid w:val="000B1FD7"/>
    <w:rsid w:val="000B5331"/>
    <w:rsid w:val="000C09D1"/>
    <w:rsid w:val="000C22D1"/>
    <w:rsid w:val="000C304C"/>
    <w:rsid w:val="000C7C13"/>
    <w:rsid w:val="000D098B"/>
    <w:rsid w:val="000D1281"/>
    <w:rsid w:val="000D18D0"/>
    <w:rsid w:val="000D3195"/>
    <w:rsid w:val="000D3F35"/>
    <w:rsid w:val="000D471A"/>
    <w:rsid w:val="000D4E45"/>
    <w:rsid w:val="000D5A8E"/>
    <w:rsid w:val="000D6478"/>
    <w:rsid w:val="000E01CC"/>
    <w:rsid w:val="000E05F7"/>
    <w:rsid w:val="000E0C3C"/>
    <w:rsid w:val="000E1750"/>
    <w:rsid w:val="000E5168"/>
    <w:rsid w:val="000E7400"/>
    <w:rsid w:val="000F00D6"/>
    <w:rsid w:val="000F0A02"/>
    <w:rsid w:val="000F0B5C"/>
    <w:rsid w:val="0010145E"/>
    <w:rsid w:val="00102604"/>
    <w:rsid w:val="001037C4"/>
    <w:rsid w:val="00107659"/>
    <w:rsid w:val="001171D3"/>
    <w:rsid w:val="00117C40"/>
    <w:rsid w:val="001211A9"/>
    <w:rsid w:val="001211E1"/>
    <w:rsid w:val="00121EF1"/>
    <w:rsid w:val="00123594"/>
    <w:rsid w:val="00123863"/>
    <w:rsid w:val="00123E8E"/>
    <w:rsid w:val="00124DAC"/>
    <w:rsid w:val="00124E70"/>
    <w:rsid w:val="001275AE"/>
    <w:rsid w:val="001330F8"/>
    <w:rsid w:val="00134222"/>
    <w:rsid w:val="00134C88"/>
    <w:rsid w:val="00134D25"/>
    <w:rsid w:val="00135DCB"/>
    <w:rsid w:val="001366E8"/>
    <w:rsid w:val="0013684D"/>
    <w:rsid w:val="001374B1"/>
    <w:rsid w:val="0014079C"/>
    <w:rsid w:val="00145E04"/>
    <w:rsid w:val="0014643B"/>
    <w:rsid w:val="00146590"/>
    <w:rsid w:val="00150358"/>
    <w:rsid w:val="00157DFC"/>
    <w:rsid w:val="0016129F"/>
    <w:rsid w:val="001626B6"/>
    <w:rsid w:val="001629FE"/>
    <w:rsid w:val="0016631B"/>
    <w:rsid w:val="00166CA0"/>
    <w:rsid w:val="001670F0"/>
    <w:rsid w:val="001675F3"/>
    <w:rsid w:val="00167ADE"/>
    <w:rsid w:val="00170131"/>
    <w:rsid w:val="00170AEC"/>
    <w:rsid w:val="00171215"/>
    <w:rsid w:val="00172C69"/>
    <w:rsid w:val="0017369C"/>
    <w:rsid w:val="00173E8B"/>
    <w:rsid w:val="00175A91"/>
    <w:rsid w:val="00176058"/>
    <w:rsid w:val="001810E9"/>
    <w:rsid w:val="001815CE"/>
    <w:rsid w:val="00181EA9"/>
    <w:rsid w:val="001840F5"/>
    <w:rsid w:val="00185039"/>
    <w:rsid w:val="0018566C"/>
    <w:rsid w:val="0018581A"/>
    <w:rsid w:val="001859CA"/>
    <w:rsid w:val="0018704B"/>
    <w:rsid w:val="00187B51"/>
    <w:rsid w:val="00192AFD"/>
    <w:rsid w:val="00193126"/>
    <w:rsid w:val="00193882"/>
    <w:rsid w:val="0019686E"/>
    <w:rsid w:val="0019715C"/>
    <w:rsid w:val="0019765D"/>
    <w:rsid w:val="001A02E8"/>
    <w:rsid w:val="001A08B9"/>
    <w:rsid w:val="001A29E4"/>
    <w:rsid w:val="001A2C98"/>
    <w:rsid w:val="001A3182"/>
    <w:rsid w:val="001A4497"/>
    <w:rsid w:val="001A6CAF"/>
    <w:rsid w:val="001B062D"/>
    <w:rsid w:val="001B12EE"/>
    <w:rsid w:val="001B1814"/>
    <w:rsid w:val="001B33D5"/>
    <w:rsid w:val="001B3ACB"/>
    <w:rsid w:val="001B4169"/>
    <w:rsid w:val="001B73DE"/>
    <w:rsid w:val="001C0508"/>
    <w:rsid w:val="001C28DF"/>
    <w:rsid w:val="001C2DA5"/>
    <w:rsid w:val="001C32FC"/>
    <w:rsid w:val="001C4179"/>
    <w:rsid w:val="001C4797"/>
    <w:rsid w:val="001C74A7"/>
    <w:rsid w:val="001C783F"/>
    <w:rsid w:val="001C7859"/>
    <w:rsid w:val="001D02C4"/>
    <w:rsid w:val="001D0C99"/>
    <w:rsid w:val="001D1475"/>
    <w:rsid w:val="001D1AEA"/>
    <w:rsid w:val="001D1F94"/>
    <w:rsid w:val="001D3645"/>
    <w:rsid w:val="001D3BAD"/>
    <w:rsid w:val="001D46FC"/>
    <w:rsid w:val="001D4825"/>
    <w:rsid w:val="001D4960"/>
    <w:rsid w:val="001D68A8"/>
    <w:rsid w:val="001E35AC"/>
    <w:rsid w:val="001E3610"/>
    <w:rsid w:val="001E6749"/>
    <w:rsid w:val="001E6BBA"/>
    <w:rsid w:val="001F18AF"/>
    <w:rsid w:val="001F4CB5"/>
    <w:rsid w:val="001F5369"/>
    <w:rsid w:val="001F55BE"/>
    <w:rsid w:val="001F607E"/>
    <w:rsid w:val="001F60C5"/>
    <w:rsid w:val="001F6593"/>
    <w:rsid w:val="001F742A"/>
    <w:rsid w:val="00200A5D"/>
    <w:rsid w:val="00204323"/>
    <w:rsid w:val="00206F32"/>
    <w:rsid w:val="002145C5"/>
    <w:rsid w:val="002148E0"/>
    <w:rsid w:val="00216B1D"/>
    <w:rsid w:val="002202AA"/>
    <w:rsid w:val="00221285"/>
    <w:rsid w:val="0022275A"/>
    <w:rsid w:val="00224D78"/>
    <w:rsid w:val="00227D78"/>
    <w:rsid w:val="00242615"/>
    <w:rsid w:val="00242A24"/>
    <w:rsid w:val="002469B2"/>
    <w:rsid w:val="00246F0A"/>
    <w:rsid w:val="00247DA4"/>
    <w:rsid w:val="00252B66"/>
    <w:rsid w:val="00255A0F"/>
    <w:rsid w:val="00256085"/>
    <w:rsid w:val="00257424"/>
    <w:rsid w:val="00257B97"/>
    <w:rsid w:val="002613FB"/>
    <w:rsid w:val="00262036"/>
    <w:rsid w:val="00265B86"/>
    <w:rsid w:val="00265B8E"/>
    <w:rsid w:val="00266597"/>
    <w:rsid w:val="00270D11"/>
    <w:rsid w:val="00270E5A"/>
    <w:rsid w:val="00272EC0"/>
    <w:rsid w:val="002737D1"/>
    <w:rsid w:val="0027431C"/>
    <w:rsid w:val="00274751"/>
    <w:rsid w:val="00277CE7"/>
    <w:rsid w:val="00277FD4"/>
    <w:rsid w:val="00280350"/>
    <w:rsid w:val="00280984"/>
    <w:rsid w:val="00280DCC"/>
    <w:rsid w:val="00282A78"/>
    <w:rsid w:val="0028705D"/>
    <w:rsid w:val="00290050"/>
    <w:rsid w:val="00291FF9"/>
    <w:rsid w:val="0029220B"/>
    <w:rsid w:val="00292359"/>
    <w:rsid w:val="0029465C"/>
    <w:rsid w:val="00296DAA"/>
    <w:rsid w:val="002A0F6F"/>
    <w:rsid w:val="002A34D1"/>
    <w:rsid w:val="002A4026"/>
    <w:rsid w:val="002A57A5"/>
    <w:rsid w:val="002A5D73"/>
    <w:rsid w:val="002A68CE"/>
    <w:rsid w:val="002A78CF"/>
    <w:rsid w:val="002B0316"/>
    <w:rsid w:val="002B061E"/>
    <w:rsid w:val="002B0A13"/>
    <w:rsid w:val="002B5250"/>
    <w:rsid w:val="002B52FC"/>
    <w:rsid w:val="002B7755"/>
    <w:rsid w:val="002B7C6E"/>
    <w:rsid w:val="002C1FB0"/>
    <w:rsid w:val="002C235C"/>
    <w:rsid w:val="002C3B36"/>
    <w:rsid w:val="002C44F3"/>
    <w:rsid w:val="002D09D9"/>
    <w:rsid w:val="002D3B6B"/>
    <w:rsid w:val="002D51D1"/>
    <w:rsid w:val="002D6553"/>
    <w:rsid w:val="002D690B"/>
    <w:rsid w:val="002D6FD4"/>
    <w:rsid w:val="002E1883"/>
    <w:rsid w:val="002E646A"/>
    <w:rsid w:val="002E725A"/>
    <w:rsid w:val="002F1E90"/>
    <w:rsid w:val="002F3D1C"/>
    <w:rsid w:val="002F431C"/>
    <w:rsid w:val="002F55AD"/>
    <w:rsid w:val="00300860"/>
    <w:rsid w:val="00300CE5"/>
    <w:rsid w:val="0030103D"/>
    <w:rsid w:val="00301CF0"/>
    <w:rsid w:val="003032B4"/>
    <w:rsid w:val="003034CB"/>
    <w:rsid w:val="00304090"/>
    <w:rsid w:val="00306484"/>
    <w:rsid w:val="00307E3D"/>
    <w:rsid w:val="0031010F"/>
    <w:rsid w:val="003116CF"/>
    <w:rsid w:val="00311953"/>
    <w:rsid w:val="00311A20"/>
    <w:rsid w:val="00313698"/>
    <w:rsid w:val="00314118"/>
    <w:rsid w:val="003169B7"/>
    <w:rsid w:val="00320A6F"/>
    <w:rsid w:val="00321070"/>
    <w:rsid w:val="003220BF"/>
    <w:rsid w:val="00323D1E"/>
    <w:rsid w:val="00323DB6"/>
    <w:rsid w:val="0033179E"/>
    <w:rsid w:val="003328CC"/>
    <w:rsid w:val="00332DE6"/>
    <w:rsid w:val="0033301A"/>
    <w:rsid w:val="0033303D"/>
    <w:rsid w:val="00334332"/>
    <w:rsid w:val="0033593D"/>
    <w:rsid w:val="00335F65"/>
    <w:rsid w:val="0033704A"/>
    <w:rsid w:val="00342407"/>
    <w:rsid w:val="00342537"/>
    <w:rsid w:val="00345D60"/>
    <w:rsid w:val="00346017"/>
    <w:rsid w:val="00350950"/>
    <w:rsid w:val="003517A6"/>
    <w:rsid w:val="0035298F"/>
    <w:rsid w:val="0035361D"/>
    <w:rsid w:val="00353CBD"/>
    <w:rsid w:val="0035475D"/>
    <w:rsid w:val="00356BF3"/>
    <w:rsid w:val="00360D81"/>
    <w:rsid w:val="00361399"/>
    <w:rsid w:val="00364A30"/>
    <w:rsid w:val="00367D9C"/>
    <w:rsid w:val="00367FF0"/>
    <w:rsid w:val="003705CF"/>
    <w:rsid w:val="003713C9"/>
    <w:rsid w:val="00372649"/>
    <w:rsid w:val="00374567"/>
    <w:rsid w:val="00374581"/>
    <w:rsid w:val="003758E8"/>
    <w:rsid w:val="003767CA"/>
    <w:rsid w:val="00377E35"/>
    <w:rsid w:val="00380654"/>
    <w:rsid w:val="00380F70"/>
    <w:rsid w:val="00382087"/>
    <w:rsid w:val="0038325D"/>
    <w:rsid w:val="00384C29"/>
    <w:rsid w:val="00390E5D"/>
    <w:rsid w:val="00390E85"/>
    <w:rsid w:val="00392EA6"/>
    <w:rsid w:val="003931B8"/>
    <w:rsid w:val="003932C8"/>
    <w:rsid w:val="00394BA4"/>
    <w:rsid w:val="0039692A"/>
    <w:rsid w:val="00396F9A"/>
    <w:rsid w:val="00396FD1"/>
    <w:rsid w:val="00397BCE"/>
    <w:rsid w:val="003A1048"/>
    <w:rsid w:val="003A18C7"/>
    <w:rsid w:val="003A5CBB"/>
    <w:rsid w:val="003A65F6"/>
    <w:rsid w:val="003B0C00"/>
    <w:rsid w:val="003B4F70"/>
    <w:rsid w:val="003B4FC5"/>
    <w:rsid w:val="003B555D"/>
    <w:rsid w:val="003B559A"/>
    <w:rsid w:val="003B688F"/>
    <w:rsid w:val="003B6CE5"/>
    <w:rsid w:val="003B6FB8"/>
    <w:rsid w:val="003C1768"/>
    <w:rsid w:val="003C3F23"/>
    <w:rsid w:val="003C5C6D"/>
    <w:rsid w:val="003C6D33"/>
    <w:rsid w:val="003D0603"/>
    <w:rsid w:val="003D0F4D"/>
    <w:rsid w:val="003D1B76"/>
    <w:rsid w:val="003D300F"/>
    <w:rsid w:val="003D4CD1"/>
    <w:rsid w:val="003D586B"/>
    <w:rsid w:val="003D72F2"/>
    <w:rsid w:val="003E07C3"/>
    <w:rsid w:val="003E2330"/>
    <w:rsid w:val="003E2509"/>
    <w:rsid w:val="003E2AA5"/>
    <w:rsid w:val="003E3885"/>
    <w:rsid w:val="003E4589"/>
    <w:rsid w:val="003E490E"/>
    <w:rsid w:val="003E4F54"/>
    <w:rsid w:val="003E5C68"/>
    <w:rsid w:val="003E7442"/>
    <w:rsid w:val="003E79BC"/>
    <w:rsid w:val="003E7ECD"/>
    <w:rsid w:val="003F053B"/>
    <w:rsid w:val="003F0A67"/>
    <w:rsid w:val="003F2882"/>
    <w:rsid w:val="003F3AB9"/>
    <w:rsid w:val="003F411A"/>
    <w:rsid w:val="003F4EC5"/>
    <w:rsid w:val="003F562F"/>
    <w:rsid w:val="003F76C3"/>
    <w:rsid w:val="003F7995"/>
    <w:rsid w:val="00401534"/>
    <w:rsid w:val="0040194D"/>
    <w:rsid w:val="004020D7"/>
    <w:rsid w:val="00402848"/>
    <w:rsid w:val="00404C87"/>
    <w:rsid w:val="00406479"/>
    <w:rsid w:val="00406A85"/>
    <w:rsid w:val="00406E4F"/>
    <w:rsid w:val="00410A53"/>
    <w:rsid w:val="004116E9"/>
    <w:rsid w:val="004122B7"/>
    <w:rsid w:val="00412338"/>
    <w:rsid w:val="004139B6"/>
    <w:rsid w:val="004140C2"/>
    <w:rsid w:val="004164CB"/>
    <w:rsid w:val="00420A44"/>
    <w:rsid w:val="00421805"/>
    <w:rsid w:val="0042228B"/>
    <w:rsid w:val="0042542D"/>
    <w:rsid w:val="00430256"/>
    <w:rsid w:val="00430F92"/>
    <w:rsid w:val="004314CB"/>
    <w:rsid w:val="00431D90"/>
    <w:rsid w:val="0043586F"/>
    <w:rsid w:val="00446A22"/>
    <w:rsid w:val="00446C14"/>
    <w:rsid w:val="00446D39"/>
    <w:rsid w:val="00450EBC"/>
    <w:rsid w:val="00450F0E"/>
    <w:rsid w:val="0045208F"/>
    <w:rsid w:val="00452670"/>
    <w:rsid w:val="0045351E"/>
    <w:rsid w:val="004536E6"/>
    <w:rsid w:val="00455EA8"/>
    <w:rsid w:val="004567E5"/>
    <w:rsid w:val="00457912"/>
    <w:rsid w:val="00457E64"/>
    <w:rsid w:val="00460165"/>
    <w:rsid w:val="004605DE"/>
    <w:rsid w:val="0046134C"/>
    <w:rsid w:val="0046136C"/>
    <w:rsid w:val="0046168E"/>
    <w:rsid w:val="00461BC7"/>
    <w:rsid w:val="004644DA"/>
    <w:rsid w:val="0046637E"/>
    <w:rsid w:val="004702C0"/>
    <w:rsid w:val="00472200"/>
    <w:rsid w:val="004744F2"/>
    <w:rsid w:val="00474F06"/>
    <w:rsid w:val="00476304"/>
    <w:rsid w:val="004772BD"/>
    <w:rsid w:val="004806E5"/>
    <w:rsid w:val="00484088"/>
    <w:rsid w:val="00487B3C"/>
    <w:rsid w:val="00487C6E"/>
    <w:rsid w:val="0049014B"/>
    <w:rsid w:val="00490ADB"/>
    <w:rsid w:val="00491DA5"/>
    <w:rsid w:val="00494F2E"/>
    <w:rsid w:val="00495546"/>
    <w:rsid w:val="00496D07"/>
    <w:rsid w:val="004A06A8"/>
    <w:rsid w:val="004A1E3C"/>
    <w:rsid w:val="004A555F"/>
    <w:rsid w:val="004B0951"/>
    <w:rsid w:val="004B13E2"/>
    <w:rsid w:val="004B190C"/>
    <w:rsid w:val="004B304C"/>
    <w:rsid w:val="004B3673"/>
    <w:rsid w:val="004B59FE"/>
    <w:rsid w:val="004B5C84"/>
    <w:rsid w:val="004B65E6"/>
    <w:rsid w:val="004C1882"/>
    <w:rsid w:val="004C1DCD"/>
    <w:rsid w:val="004C33E8"/>
    <w:rsid w:val="004C458F"/>
    <w:rsid w:val="004C7A5F"/>
    <w:rsid w:val="004D2806"/>
    <w:rsid w:val="004D284B"/>
    <w:rsid w:val="004D523A"/>
    <w:rsid w:val="004D6C19"/>
    <w:rsid w:val="004E0B5F"/>
    <w:rsid w:val="004E1187"/>
    <w:rsid w:val="004E1BC6"/>
    <w:rsid w:val="004E361A"/>
    <w:rsid w:val="004E3AD3"/>
    <w:rsid w:val="004E3B32"/>
    <w:rsid w:val="004E42B0"/>
    <w:rsid w:val="004E4C78"/>
    <w:rsid w:val="004E7E89"/>
    <w:rsid w:val="004F0981"/>
    <w:rsid w:val="004F45DD"/>
    <w:rsid w:val="004F4FFE"/>
    <w:rsid w:val="004F5DAD"/>
    <w:rsid w:val="0050064A"/>
    <w:rsid w:val="00500690"/>
    <w:rsid w:val="0050101E"/>
    <w:rsid w:val="00501631"/>
    <w:rsid w:val="005019F2"/>
    <w:rsid w:val="005055AB"/>
    <w:rsid w:val="005068F6"/>
    <w:rsid w:val="0050751A"/>
    <w:rsid w:val="00511789"/>
    <w:rsid w:val="00513484"/>
    <w:rsid w:val="005152EF"/>
    <w:rsid w:val="00517763"/>
    <w:rsid w:val="00517961"/>
    <w:rsid w:val="00521EB6"/>
    <w:rsid w:val="00530889"/>
    <w:rsid w:val="005313D4"/>
    <w:rsid w:val="00531775"/>
    <w:rsid w:val="00532598"/>
    <w:rsid w:val="00533D73"/>
    <w:rsid w:val="00534EB0"/>
    <w:rsid w:val="00535F43"/>
    <w:rsid w:val="00536224"/>
    <w:rsid w:val="00537B35"/>
    <w:rsid w:val="0054373E"/>
    <w:rsid w:val="00545804"/>
    <w:rsid w:val="00545A6E"/>
    <w:rsid w:val="005502FC"/>
    <w:rsid w:val="00550A42"/>
    <w:rsid w:val="00550D28"/>
    <w:rsid w:val="0055272A"/>
    <w:rsid w:val="00552FEF"/>
    <w:rsid w:val="005531AA"/>
    <w:rsid w:val="005534C9"/>
    <w:rsid w:val="005547DD"/>
    <w:rsid w:val="00556C05"/>
    <w:rsid w:val="005607BF"/>
    <w:rsid w:val="00561E1A"/>
    <w:rsid w:val="0056226F"/>
    <w:rsid w:val="00563EA8"/>
    <w:rsid w:val="0056682C"/>
    <w:rsid w:val="00571672"/>
    <w:rsid w:val="005730BE"/>
    <w:rsid w:val="00573548"/>
    <w:rsid w:val="00573E7C"/>
    <w:rsid w:val="005746E4"/>
    <w:rsid w:val="0057567F"/>
    <w:rsid w:val="00575C55"/>
    <w:rsid w:val="00576C74"/>
    <w:rsid w:val="00577286"/>
    <w:rsid w:val="005810FD"/>
    <w:rsid w:val="005811AD"/>
    <w:rsid w:val="00581275"/>
    <w:rsid w:val="00581311"/>
    <w:rsid w:val="00581479"/>
    <w:rsid w:val="0058227F"/>
    <w:rsid w:val="00582BEA"/>
    <w:rsid w:val="0058381A"/>
    <w:rsid w:val="00583FB3"/>
    <w:rsid w:val="00584246"/>
    <w:rsid w:val="005859DB"/>
    <w:rsid w:val="00587B26"/>
    <w:rsid w:val="00587BE3"/>
    <w:rsid w:val="005906F4"/>
    <w:rsid w:val="00591488"/>
    <w:rsid w:val="00591524"/>
    <w:rsid w:val="00592D8B"/>
    <w:rsid w:val="00594C25"/>
    <w:rsid w:val="005A0F09"/>
    <w:rsid w:val="005A1817"/>
    <w:rsid w:val="005A23B7"/>
    <w:rsid w:val="005A33E1"/>
    <w:rsid w:val="005A78E3"/>
    <w:rsid w:val="005B1B63"/>
    <w:rsid w:val="005B1C25"/>
    <w:rsid w:val="005B32E8"/>
    <w:rsid w:val="005B414B"/>
    <w:rsid w:val="005B483F"/>
    <w:rsid w:val="005B559C"/>
    <w:rsid w:val="005B65CB"/>
    <w:rsid w:val="005C1473"/>
    <w:rsid w:val="005C29C1"/>
    <w:rsid w:val="005C367C"/>
    <w:rsid w:val="005C4163"/>
    <w:rsid w:val="005C5877"/>
    <w:rsid w:val="005C5FD3"/>
    <w:rsid w:val="005C6FAE"/>
    <w:rsid w:val="005D299C"/>
    <w:rsid w:val="005D4A09"/>
    <w:rsid w:val="005D5BCC"/>
    <w:rsid w:val="005E206B"/>
    <w:rsid w:val="005E2F1E"/>
    <w:rsid w:val="005E32AF"/>
    <w:rsid w:val="005E4A91"/>
    <w:rsid w:val="005E4BFF"/>
    <w:rsid w:val="005E4DB0"/>
    <w:rsid w:val="005E5074"/>
    <w:rsid w:val="005E5D62"/>
    <w:rsid w:val="005E7EAE"/>
    <w:rsid w:val="005F0DF2"/>
    <w:rsid w:val="005F277B"/>
    <w:rsid w:val="005F3D2F"/>
    <w:rsid w:val="005F5067"/>
    <w:rsid w:val="005F5438"/>
    <w:rsid w:val="005F596C"/>
    <w:rsid w:val="005F694B"/>
    <w:rsid w:val="005F7010"/>
    <w:rsid w:val="005F794B"/>
    <w:rsid w:val="005F7A0F"/>
    <w:rsid w:val="0060056D"/>
    <w:rsid w:val="0060090E"/>
    <w:rsid w:val="0060515D"/>
    <w:rsid w:val="006063B7"/>
    <w:rsid w:val="006072B0"/>
    <w:rsid w:val="00612C6E"/>
    <w:rsid w:val="006132B7"/>
    <w:rsid w:val="00614272"/>
    <w:rsid w:val="0061627A"/>
    <w:rsid w:val="006162E7"/>
    <w:rsid w:val="00616C8D"/>
    <w:rsid w:val="00621777"/>
    <w:rsid w:val="0062585F"/>
    <w:rsid w:val="0062603F"/>
    <w:rsid w:val="006261D2"/>
    <w:rsid w:val="0062681A"/>
    <w:rsid w:val="006301A8"/>
    <w:rsid w:val="0063155F"/>
    <w:rsid w:val="006316CF"/>
    <w:rsid w:val="006334F5"/>
    <w:rsid w:val="006336F2"/>
    <w:rsid w:val="00634BA1"/>
    <w:rsid w:val="00634F82"/>
    <w:rsid w:val="006367F7"/>
    <w:rsid w:val="006405DD"/>
    <w:rsid w:val="00640DE9"/>
    <w:rsid w:val="00642546"/>
    <w:rsid w:val="006427E4"/>
    <w:rsid w:val="00642A37"/>
    <w:rsid w:val="00643F24"/>
    <w:rsid w:val="006445B9"/>
    <w:rsid w:val="0064527F"/>
    <w:rsid w:val="006452A7"/>
    <w:rsid w:val="006453A4"/>
    <w:rsid w:val="00647147"/>
    <w:rsid w:val="006473FA"/>
    <w:rsid w:val="006501FA"/>
    <w:rsid w:val="00652ED7"/>
    <w:rsid w:val="0065357C"/>
    <w:rsid w:val="00654209"/>
    <w:rsid w:val="0065449B"/>
    <w:rsid w:val="00655506"/>
    <w:rsid w:val="00660760"/>
    <w:rsid w:val="00663A45"/>
    <w:rsid w:val="00667CDB"/>
    <w:rsid w:val="006700B1"/>
    <w:rsid w:val="006711EC"/>
    <w:rsid w:val="00672EBC"/>
    <w:rsid w:val="00674CC7"/>
    <w:rsid w:val="00674D17"/>
    <w:rsid w:val="006755AC"/>
    <w:rsid w:val="00676C41"/>
    <w:rsid w:val="00677E20"/>
    <w:rsid w:val="00680AD3"/>
    <w:rsid w:val="0068270E"/>
    <w:rsid w:val="006853FB"/>
    <w:rsid w:val="00685E30"/>
    <w:rsid w:val="006860F5"/>
    <w:rsid w:val="00691BC8"/>
    <w:rsid w:val="00692154"/>
    <w:rsid w:val="00696550"/>
    <w:rsid w:val="006A1BF0"/>
    <w:rsid w:val="006A2C92"/>
    <w:rsid w:val="006A2CAA"/>
    <w:rsid w:val="006A4BE4"/>
    <w:rsid w:val="006B005C"/>
    <w:rsid w:val="006B0E48"/>
    <w:rsid w:val="006B3FB3"/>
    <w:rsid w:val="006B4819"/>
    <w:rsid w:val="006B4A92"/>
    <w:rsid w:val="006B63C4"/>
    <w:rsid w:val="006B6622"/>
    <w:rsid w:val="006C05A3"/>
    <w:rsid w:val="006C2457"/>
    <w:rsid w:val="006C2D92"/>
    <w:rsid w:val="006C2F2F"/>
    <w:rsid w:val="006C576B"/>
    <w:rsid w:val="006C6AED"/>
    <w:rsid w:val="006D08DC"/>
    <w:rsid w:val="006D37B0"/>
    <w:rsid w:val="006D5D48"/>
    <w:rsid w:val="006E0CCA"/>
    <w:rsid w:val="006E479B"/>
    <w:rsid w:val="006E50B9"/>
    <w:rsid w:val="006E6040"/>
    <w:rsid w:val="006E6749"/>
    <w:rsid w:val="006F0E82"/>
    <w:rsid w:val="006F10CC"/>
    <w:rsid w:val="006F1799"/>
    <w:rsid w:val="006F323A"/>
    <w:rsid w:val="006F4CF6"/>
    <w:rsid w:val="006F6E41"/>
    <w:rsid w:val="00700B20"/>
    <w:rsid w:val="00706E3A"/>
    <w:rsid w:val="00707031"/>
    <w:rsid w:val="00707E66"/>
    <w:rsid w:val="00711139"/>
    <w:rsid w:val="00711D79"/>
    <w:rsid w:val="007143B3"/>
    <w:rsid w:val="007164BA"/>
    <w:rsid w:val="00716F30"/>
    <w:rsid w:val="00717380"/>
    <w:rsid w:val="00720373"/>
    <w:rsid w:val="0072050C"/>
    <w:rsid w:val="007211DE"/>
    <w:rsid w:val="00723D67"/>
    <w:rsid w:val="00724FDA"/>
    <w:rsid w:val="0072501A"/>
    <w:rsid w:val="00725162"/>
    <w:rsid w:val="00726D20"/>
    <w:rsid w:val="00734CF8"/>
    <w:rsid w:val="00736203"/>
    <w:rsid w:val="0073653F"/>
    <w:rsid w:val="00736B42"/>
    <w:rsid w:val="00736EF5"/>
    <w:rsid w:val="007409E1"/>
    <w:rsid w:val="00740BDA"/>
    <w:rsid w:val="0074129F"/>
    <w:rsid w:val="00742551"/>
    <w:rsid w:val="007436D2"/>
    <w:rsid w:val="00743F35"/>
    <w:rsid w:val="007444F5"/>
    <w:rsid w:val="00744E0C"/>
    <w:rsid w:val="00745A17"/>
    <w:rsid w:val="00746072"/>
    <w:rsid w:val="00747E46"/>
    <w:rsid w:val="00752A63"/>
    <w:rsid w:val="00753D56"/>
    <w:rsid w:val="00754C8B"/>
    <w:rsid w:val="007578AC"/>
    <w:rsid w:val="00760250"/>
    <w:rsid w:val="0076033C"/>
    <w:rsid w:val="0076143F"/>
    <w:rsid w:val="00761DF4"/>
    <w:rsid w:val="007634DF"/>
    <w:rsid w:val="007642DE"/>
    <w:rsid w:val="00764EC9"/>
    <w:rsid w:val="00765A1E"/>
    <w:rsid w:val="0076643D"/>
    <w:rsid w:val="00766BB8"/>
    <w:rsid w:val="00767302"/>
    <w:rsid w:val="00772106"/>
    <w:rsid w:val="007736BA"/>
    <w:rsid w:val="00773A24"/>
    <w:rsid w:val="0077596B"/>
    <w:rsid w:val="00776133"/>
    <w:rsid w:val="007767D6"/>
    <w:rsid w:val="00777188"/>
    <w:rsid w:val="00781E74"/>
    <w:rsid w:val="007821A8"/>
    <w:rsid w:val="00783145"/>
    <w:rsid w:val="007831E4"/>
    <w:rsid w:val="00784493"/>
    <w:rsid w:val="0078485B"/>
    <w:rsid w:val="00785191"/>
    <w:rsid w:val="00791008"/>
    <w:rsid w:val="0079558C"/>
    <w:rsid w:val="00795DC5"/>
    <w:rsid w:val="00797E78"/>
    <w:rsid w:val="007A26AF"/>
    <w:rsid w:val="007A27CB"/>
    <w:rsid w:val="007A709F"/>
    <w:rsid w:val="007B10CD"/>
    <w:rsid w:val="007B16AA"/>
    <w:rsid w:val="007B28B1"/>
    <w:rsid w:val="007B294C"/>
    <w:rsid w:val="007B3939"/>
    <w:rsid w:val="007B53F7"/>
    <w:rsid w:val="007B6EA4"/>
    <w:rsid w:val="007B7610"/>
    <w:rsid w:val="007B789F"/>
    <w:rsid w:val="007C3ECA"/>
    <w:rsid w:val="007C402D"/>
    <w:rsid w:val="007C5AA0"/>
    <w:rsid w:val="007C64B8"/>
    <w:rsid w:val="007D0C93"/>
    <w:rsid w:val="007D24D5"/>
    <w:rsid w:val="007D357F"/>
    <w:rsid w:val="007D5291"/>
    <w:rsid w:val="007D6557"/>
    <w:rsid w:val="007D662A"/>
    <w:rsid w:val="007D7CE8"/>
    <w:rsid w:val="007E1312"/>
    <w:rsid w:val="007E150A"/>
    <w:rsid w:val="007E2687"/>
    <w:rsid w:val="007E41FC"/>
    <w:rsid w:val="007E4FFB"/>
    <w:rsid w:val="007E5B07"/>
    <w:rsid w:val="007E5C78"/>
    <w:rsid w:val="007F053A"/>
    <w:rsid w:val="007F0AF7"/>
    <w:rsid w:val="007F1CF0"/>
    <w:rsid w:val="007F4F98"/>
    <w:rsid w:val="007F5AFF"/>
    <w:rsid w:val="00803953"/>
    <w:rsid w:val="00805D28"/>
    <w:rsid w:val="00806368"/>
    <w:rsid w:val="0080699E"/>
    <w:rsid w:val="00810B59"/>
    <w:rsid w:val="00811A9E"/>
    <w:rsid w:val="00811C27"/>
    <w:rsid w:val="00813459"/>
    <w:rsid w:val="00814D5C"/>
    <w:rsid w:val="0081600C"/>
    <w:rsid w:val="0082177D"/>
    <w:rsid w:val="00821DFC"/>
    <w:rsid w:val="008229DD"/>
    <w:rsid w:val="00822F62"/>
    <w:rsid w:val="0083210D"/>
    <w:rsid w:val="00836FA7"/>
    <w:rsid w:val="00837A65"/>
    <w:rsid w:val="00840ED4"/>
    <w:rsid w:val="00840F56"/>
    <w:rsid w:val="00841D7B"/>
    <w:rsid w:val="00841EF4"/>
    <w:rsid w:val="0084319D"/>
    <w:rsid w:val="00843489"/>
    <w:rsid w:val="00845BB8"/>
    <w:rsid w:val="00851B6E"/>
    <w:rsid w:val="00855F8A"/>
    <w:rsid w:val="00856D09"/>
    <w:rsid w:val="00861B9F"/>
    <w:rsid w:val="00862271"/>
    <w:rsid w:val="00873B63"/>
    <w:rsid w:val="00873BE2"/>
    <w:rsid w:val="00873CE5"/>
    <w:rsid w:val="008743C5"/>
    <w:rsid w:val="00875324"/>
    <w:rsid w:val="00875FCD"/>
    <w:rsid w:val="0087687C"/>
    <w:rsid w:val="0087692C"/>
    <w:rsid w:val="0088035B"/>
    <w:rsid w:val="00880B46"/>
    <w:rsid w:val="00881C55"/>
    <w:rsid w:val="008821CA"/>
    <w:rsid w:val="008845BE"/>
    <w:rsid w:val="00887CB2"/>
    <w:rsid w:val="0089005F"/>
    <w:rsid w:val="008903D2"/>
    <w:rsid w:val="0089167B"/>
    <w:rsid w:val="00893EA9"/>
    <w:rsid w:val="00897A9A"/>
    <w:rsid w:val="008A0A63"/>
    <w:rsid w:val="008A1D5B"/>
    <w:rsid w:val="008A21B3"/>
    <w:rsid w:val="008A421B"/>
    <w:rsid w:val="008A50AA"/>
    <w:rsid w:val="008A53BA"/>
    <w:rsid w:val="008A6CFE"/>
    <w:rsid w:val="008B1430"/>
    <w:rsid w:val="008B1CFA"/>
    <w:rsid w:val="008B2E00"/>
    <w:rsid w:val="008B3264"/>
    <w:rsid w:val="008B53F9"/>
    <w:rsid w:val="008B56B8"/>
    <w:rsid w:val="008B5F15"/>
    <w:rsid w:val="008B60C2"/>
    <w:rsid w:val="008B740C"/>
    <w:rsid w:val="008B7EF4"/>
    <w:rsid w:val="008C2639"/>
    <w:rsid w:val="008C383E"/>
    <w:rsid w:val="008C39A6"/>
    <w:rsid w:val="008C63C9"/>
    <w:rsid w:val="008C6B40"/>
    <w:rsid w:val="008D00EE"/>
    <w:rsid w:val="008D0D86"/>
    <w:rsid w:val="008D10B1"/>
    <w:rsid w:val="008D452B"/>
    <w:rsid w:val="008D5C25"/>
    <w:rsid w:val="008E1A34"/>
    <w:rsid w:val="008E2114"/>
    <w:rsid w:val="008E24E9"/>
    <w:rsid w:val="008E3775"/>
    <w:rsid w:val="008E3AD5"/>
    <w:rsid w:val="008E3ED7"/>
    <w:rsid w:val="008E6110"/>
    <w:rsid w:val="008F27E6"/>
    <w:rsid w:val="008F3B84"/>
    <w:rsid w:val="0090019D"/>
    <w:rsid w:val="009009F6"/>
    <w:rsid w:val="00901DAB"/>
    <w:rsid w:val="0090305C"/>
    <w:rsid w:val="00904414"/>
    <w:rsid w:val="009059F6"/>
    <w:rsid w:val="00907ADA"/>
    <w:rsid w:val="009104D5"/>
    <w:rsid w:val="00920F43"/>
    <w:rsid w:val="00922943"/>
    <w:rsid w:val="00923AB2"/>
    <w:rsid w:val="009246D9"/>
    <w:rsid w:val="00926829"/>
    <w:rsid w:val="00927862"/>
    <w:rsid w:val="00930D91"/>
    <w:rsid w:val="00934433"/>
    <w:rsid w:val="00934713"/>
    <w:rsid w:val="00934F2F"/>
    <w:rsid w:val="009362D4"/>
    <w:rsid w:val="00936810"/>
    <w:rsid w:val="009371A7"/>
    <w:rsid w:val="009405DD"/>
    <w:rsid w:val="009407B5"/>
    <w:rsid w:val="00942DDC"/>
    <w:rsid w:val="00944338"/>
    <w:rsid w:val="009447B2"/>
    <w:rsid w:val="00944B2D"/>
    <w:rsid w:val="00944E48"/>
    <w:rsid w:val="009459B9"/>
    <w:rsid w:val="00952E27"/>
    <w:rsid w:val="00956F6A"/>
    <w:rsid w:val="00960050"/>
    <w:rsid w:val="00960375"/>
    <w:rsid w:val="00961DF6"/>
    <w:rsid w:val="00962CDA"/>
    <w:rsid w:val="00965A73"/>
    <w:rsid w:val="00965C6C"/>
    <w:rsid w:val="009721FE"/>
    <w:rsid w:val="00972B2F"/>
    <w:rsid w:val="009756CF"/>
    <w:rsid w:val="00976AEE"/>
    <w:rsid w:val="00976F3A"/>
    <w:rsid w:val="00977426"/>
    <w:rsid w:val="009774AC"/>
    <w:rsid w:val="009811AF"/>
    <w:rsid w:val="00982E30"/>
    <w:rsid w:val="00987189"/>
    <w:rsid w:val="00990EB2"/>
    <w:rsid w:val="00990FB0"/>
    <w:rsid w:val="009916B6"/>
    <w:rsid w:val="009958C7"/>
    <w:rsid w:val="009959D3"/>
    <w:rsid w:val="00995F64"/>
    <w:rsid w:val="0099633B"/>
    <w:rsid w:val="009A0577"/>
    <w:rsid w:val="009A0ADF"/>
    <w:rsid w:val="009A14E8"/>
    <w:rsid w:val="009A2F81"/>
    <w:rsid w:val="009A40ED"/>
    <w:rsid w:val="009A4C7A"/>
    <w:rsid w:val="009A711A"/>
    <w:rsid w:val="009B0191"/>
    <w:rsid w:val="009B22D0"/>
    <w:rsid w:val="009B6236"/>
    <w:rsid w:val="009B75D2"/>
    <w:rsid w:val="009C2EFD"/>
    <w:rsid w:val="009C344E"/>
    <w:rsid w:val="009C4617"/>
    <w:rsid w:val="009C5267"/>
    <w:rsid w:val="009D0B8B"/>
    <w:rsid w:val="009D4298"/>
    <w:rsid w:val="009D4B67"/>
    <w:rsid w:val="009D4D38"/>
    <w:rsid w:val="009D624E"/>
    <w:rsid w:val="009D677E"/>
    <w:rsid w:val="009E08AF"/>
    <w:rsid w:val="009E2731"/>
    <w:rsid w:val="009E3EB6"/>
    <w:rsid w:val="009E4098"/>
    <w:rsid w:val="009E59C9"/>
    <w:rsid w:val="009E682F"/>
    <w:rsid w:val="009E684D"/>
    <w:rsid w:val="009F215A"/>
    <w:rsid w:val="009F2C57"/>
    <w:rsid w:val="009F4AB2"/>
    <w:rsid w:val="00A009BC"/>
    <w:rsid w:val="00A01497"/>
    <w:rsid w:val="00A018A4"/>
    <w:rsid w:val="00A02314"/>
    <w:rsid w:val="00A0331B"/>
    <w:rsid w:val="00A04B3F"/>
    <w:rsid w:val="00A116E8"/>
    <w:rsid w:val="00A14EE9"/>
    <w:rsid w:val="00A16286"/>
    <w:rsid w:val="00A20211"/>
    <w:rsid w:val="00A20A50"/>
    <w:rsid w:val="00A2355A"/>
    <w:rsid w:val="00A266BC"/>
    <w:rsid w:val="00A2685F"/>
    <w:rsid w:val="00A26DFE"/>
    <w:rsid w:val="00A26EF3"/>
    <w:rsid w:val="00A3098D"/>
    <w:rsid w:val="00A323AC"/>
    <w:rsid w:val="00A32CB4"/>
    <w:rsid w:val="00A34098"/>
    <w:rsid w:val="00A34274"/>
    <w:rsid w:val="00A346F4"/>
    <w:rsid w:val="00A34808"/>
    <w:rsid w:val="00A34DE7"/>
    <w:rsid w:val="00A36404"/>
    <w:rsid w:val="00A36DE8"/>
    <w:rsid w:val="00A37CA9"/>
    <w:rsid w:val="00A4171A"/>
    <w:rsid w:val="00A42337"/>
    <w:rsid w:val="00A42FC0"/>
    <w:rsid w:val="00A43811"/>
    <w:rsid w:val="00A44A39"/>
    <w:rsid w:val="00A470E4"/>
    <w:rsid w:val="00A53452"/>
    <w:rsid w:val="00A54CE9"/>
    <w:rsid w:val="00A54D87"/>
    <w:rsid w:val="00A54F48"/>
    <w:rsid w:val="00A56586"/>
    <w:rsid w:val="00A60B4F"/>
    <w:rsid w:val="00A61C3D"/>
    <w:rsid w:val="00A61E19"/>
    <w:rsid w:val="00A665C2"/>
    <w:rsid w:val="00A728F8"/>
    <w:rsid w:val="00A75CF8"/>
    <w:rsid w:val="00A809AB"/>
    <w:rsid w:val="00A80AEF"/>
    <w:rsid w:val="00A85DD9"/>
    <w:rsid w:val="00A877D1"/>
    <w:rsid w:val="00A90235"/>
    <w:rsid w:val="00A91B57"/>
    <w:rsid w:val="00A9229F"/>
    <w:rsid w:val="00A939B0"/>
    <w:rsid w:val="00A943E3"/>
    <w:rsid w:val="00A958AC"/>
    <w:rsid w:val="00A973AE"/>
    <w:rsid w:val="00AA01B8"/>
    <w:rsid w:val="00AA2CCC"/>
    <w:rsid w:val="00AA767A"/>
    <w:rsid w:val="00AA76BF"/>
    <w:rsid w:val="00AB0CF5"/>
    <w:rsid w:val="00AB28F2"/>
    <w:rsid w:val="00AB29CE"/>
    <w:rsid w:val="00AB49BB"/>
    <w:rsid w:val="00AB5992"/>
    <w:rsid w:val="00AB5F2A"/>
    <w:rsid w:val="00AB7872"/>
    <w:rsid w:val="00AC0DBF"/>
    <w:rsid w:val="00AC2856"/>
    <w:rsid w:val="00AC480B"/>
    <w:rsid w:val="00AC6039"/>
    <w:rsid w:val="00AD1752"/>
    <w:rsid w:val="00AD1CAE"/>
    <w:rsid w:val="00AD4666"/>
    <w:rsid w:val="00AD539B"/>
    <w:rsid w:val="00AE0A90"/>
    <w:rsid w:val="00AE20C0"/>
    <w:rsid w:val="00AE241F"/>
    <w:rsid w:val="00AE2637"/>
    <w:rsid w:val="00AE3029"/>
    <w:rsid w:val="00AE41CF"/>
    <w:rsid w:val="00AE6183"/>
    <w:rsid w:val="00AF27DB"/>
    <w:rsid w:val="00AF3445"/>
    <w:rsid w:val="00AF3B01"/>
    <w:rsid w:val="00AF41EA"/>
    <w:rsid w:val="00AF6CA4"/>
    <w:rsid w:val="00AF6DCA"/>
    <w:rsid w:val="00AF6E68"/>
    <w:rsid w:val="00AF7931"/>
    <w:rsid w:val="00B00BB5"/>
    <w:rsid w:val="00B013B2"/>
    <w:rsid w:val="00B036B5"/>
    <w:rsid w:val="00B04851"/>
    <w:rsid w:val="00B0580F"/>
    <w:rsid w:val="00B058C5"/>
    <w:rsid w:val="00B062E4"/>
    <w:rsid w:val="00B10C63"/>
    <w:rsid w:val="00B10E1D"/>
    <w:rsid w:val="00B113A7"/>
    <w:rsid w:val="00B11E95"/>
    <w:rsid w:val="00B11EF4"/>
    <w:rsid w:val="00B17112"/>
    <w:rsid w:val="00B1743D"/>
    <w:rsid w:val="00B21285"/>
    <w:rsid w:val="00B23DDF"/>
    <w:rsid w:val="00B24342"/>
    <w:rsid w:val="00B253EB"/>
    <w:rsid w:val="00B25411"/>
    <w:rsid w:val="00B26701"/>
    <w:rsid w:val="00B30186"/>
    <w:rsid w:val="00B3354A"/>
    <w:rsid w:val="00B344FA"/>
    <w:rsid w:val="00B34F4F"/>
    <w:rsid w:val="00B352EC"/>
    <w:rsid w:val="00B3591D"/>
    <w:rsid w:val="00B36B09"/>
    <w:rsid w:val="00B421E3"/>
    <w:rsid w:val="00B428A4"/>
    <w:rsid w:val="00B435B7"/>
    <w:rsid w:val="00B43925"/>
    <w:rsid w:val="00B44A56"/>
    <w:rsid w:val="00B461EC"/>
    <w:rsid w:val="00B52FD8"/>
    <w:rsid w:val="00B613DC"/>
    <w:rsid w:val="00B62F83"/>
    <w:rsid w:val="00B63557"/>
    <w:rsid w:val="00B63F1B"/>
    <w:rsid w:val="00B66288"/>
    <w:rsid w:val="00B66A3F"/>
    <w:rsid w:val="00B67433"/>
    <w:rsid w:val="00B707FE"/>
    <w:rsid w:val="00B708FF"/>
    <w:rsid w:val="00B72994"/>
    <w:rsid w:val="00B729AD"/>
    <w:rsid w:val="00B73B34"/>
    <w:rsid w:val="00B751FB"/>
    <w:rsid w:val="00B80A1C"/>
    <w:rsid w:val="00B83456"/>
    <w:rsid w:val="00B846B5"/>
    <w:rsid w:val="00B85193"/>
    <w:rsid w:val="00B85EDE"/>
    <w:rsid w:val="00B86233"/>
    <w:rsid w:val="00B86C00"/>
    <w:rsid w:val="00B876DC"/>
    <w:rsid w:val="00B87C14"/>
    <w:rsid w:val="00B905F4"/>
    <w:rsid w:val="00B94462"/>
    <w:rsid w:val="00B94595"/>
    <w:rsid w:val="00B9628A"/>
    <w:rsid w:val="00B96858"/>
    <w:rsid w:val="00B9756C"/>
    <w:rsid w:val="00B976B6"/>
    <w:rsid w:val="00BA0ACB"/>
    <w:rsid w:val="00BA281B"/>
    <w:rsid w:val="00BA46F0"/>
    <w:rsid w:val="00BA7130"/>
    <w:rsid w:val="00BB0ACE"/>
    <w:rsid w:val="00BB298C"/>
    <w:rsid w:val="00BB41B3"/>
    <w:rsid w:val="00BB4B92"/>
    <w:rsid w:val="00BB5D6B"/>
    <w:rsid w:val="00BC51A4"/>
    <w:rsid w:val="00BC55A6"/>
    <w:rsid w:val="00BC78E0"/>
    <w:rsid w:val="00BC798C"/>
    <w:rsid w:val="00BC7FAB"/>
    <w:rsid w:val="00BD31DC"/>
    <w:rsid w:val="00BD3789"/>
    <w:rsid w:val="00BD55E7"/>
    <w:rsid w:val="00BD5A70"/>
    <w:rsid w:val="00BD6669"/>
    <w:rsid w:val="00BD7075"/>
    <w:rsid w:val="00BD7288"/>
    <w:rsid w:val="00BE2C44"/>
    <w:rsid w:val="00BE5C4A"/>
    <w:rsid w:val="00BE71DE"/>
    <w:rsid w:val="00BF1423"/>
    <w:rsid w:val="00BF488C"/>
    <w:rsid w:val="00BF5A2C"/>
    <w:rsid w:val="00BF5CAB"/>
    <w:rsid w:val="00BF7C18"/>
    <w:rsid w:val="00C01093"/>
    <w:rsid w:val="00C03501"/>
    <w:rsid w:val="00C05706"/>
    <w:rsid w:val="00C07CED"/>
    <w:rsid w:val="00C13CDB"/>
    <w:rsid w:val="00C2022F"/>
    <w:rsid w:val="00C22027"/>
    <w:rsid w:val="00C2575A"/>
    <w:rsid w:val="00C25A3E"/>
    <w:rsid w:val="00C26430"/>
    <w:rsid w:val="00C269CD"/>
    <w:rsid w:val="00C27033"/>
    <w:rsid w:val="00C30AD0"/>
    <w:rsid w:val="00C3544B"/>
    <w:rsid w:val="00C35BBD"/>
    <w:rsid w:val="00C40E51"/>
    <w:rsid w:val="00C41513"/>
    <w:rsid w:val="00C41B12"/>
    <w:rsid w:val="00C42559"/>
    <w:rsid w:val="00C43E6A"/>
    <w:rsid w:val="00C46D5A"/>
    <w:rsid w:val="00C46E5F"/>
    <w:rsid w:val="00C51C49"/>
    <w:rsid w:val="00C531E0"/>
    <w:rsid w:val="00C53C2E"/>
    <w:rsid w:val="00C55776"/>
    <w:rsid w:val="00C56FBB"/>
    <w:rsid w:val="00C57DA9"/>
    <w:rsid w:val="00C61DB5"/>
    <w:rsid w:val="00C62536"/>
    <w:rsid w:val="00C62D37"/>
    <w:rsid w:val="00C6531B"/>
    <w:rsid w:val="00C65ABD"/>
    <w:rsid w:val="00C65D6F"/>
    <w:rsid w:val="00C707CD"/>
    <w:rsid w:val="00C71070"/>
    <w:rsid w:val="00C720C1"/>
    <w:rsid w:val="00C72527"/>
    <w:rsid w:val="00C767EE"/>
    <w:rsid w:val="00C76C44"/>
    <w:rsid w:val="00C81D28"/>
    <w:rsid w:val="00C85A94"/>
    <w:rsid w:val="00C919E3"/>
    <w:rsid w:val="00C93ACB"/>
    <w:rsid w:val="00C95E8E"/>
    <w:rsid w:val="00C96FB7"/>
    <w:rsid w:val="00C97BE2"/>
    <w:rsid w:val="00CA1388"/>
    <w:rsid w:val="00CA3077"/>
    <w:rsid w:val="00CA36DA"/>
    <w:rsid w:val="00CA5935"/>
    <w:rsid w:val="00CA6140"/>
    <w:rsid w:val="00CA7158"/>
    <w:rsid w:val="00CA722C"/>
    <w:rsid w:val="00CB4DD3"/>
    <w:rsid w:val="00CB7441"/>
    <w:rsid w:val="00CC00FF"/>
    <w:rsid w:val="00CC015C"/>
    <w:rsid w:val="00CC028D"/>
    <w:rsid w:val="00CC0585"/>
    <w:rsid w:val="00CC0CFF"/>
    <w:rsid w:val="00CC4780"/>
    <w:rsid w:val="00CC4EF2"/>
    <w:rsid w:val="00CC6914"/>
    <w:rsid w:val="00CC6A9C"/>
    <w:rsid w:val="00CD0369"/>
    <w:rsid w:val="00CD114E"/>
    <w:rsid w:val="00CD13EC"/>
    <w:rsid w:val="00CD5154"/>
    <w:rsid w:val="00CD5487"/>
    <w:rsid w:val="00CD5EA3"/>
    <w:rsid w:val="00CD6BAD"/>
    <w:rsid w:val="00CE11DB"/>
    <w:rsid w:val="00CE2265"/>
    <w:rsid w:val="00CE3786"/>
    <w:rsid w:val="00CE4120"/>
    <w:rsid w:val="00CF26DA"/>
    <w:rsid w:val="00CF39A2"/>
    <w:rsid w:val="00CF44B0"/>
    <w:rsid w:val="00CF6CBF"/>
    <w:rsid w:val="00CF7469"/>
    <w:rsid w:val="00D0081F"/>
    <w:rsid w:val="00D01E15"/>
    <w:rsid w:val="00D0204C"/>
    <w:rsid w:val="00D02CBF"/>
    <w:rsid w:val="00D049E5"/>
    <w:rsid w:val="00D10CE3"/>
    <w:rsid w:val="00D11483"/>
    <w:rsid w:val="00D11E56"/>
    <w:rsid w:val="00D146C7"/>
    <w:rsid w:val="00D22026"/>
    <w:rsid w:val="00D23884"/>
    <w:rsid w:val="00D2404F"/>
    <w:rsid w:val="00D254CB"/>
    <w:rsid w:val="00D25953"/>
    <w:rsid w:val="00D2754D"/>
    <w:rsid w:val="00D31B3B"/>
    <w:rsid w:val="00D31CC6"/>
    <w:rsid w:val="00D328A1"/>
    <w:rsid w:val="00D32911"/>
    <w:rsid w:val="00D32F4E"/>
    <w:rsid w:val="00D336ED"/>
    <w:rsid w:val="00D3375D"/>
    <w:rsid w:val="00D37119"/>
    <w:rsid w:val="00D37EC2"/>
    <w:rsid w:val="00D41FCC"/>
    <w:rsid w:val="00D430EA"/>
    <w:rsid w:val="00D442E9"/>
    <w:rsid w:val="00D4518C"/>
    <w:rsid w:val="00D46617"/>
    <w:rsid w:val="00D500EC"/>
    <w:rsid w:val="00D5026D"/>
    <w:rsid w:val="00D56453"/>
    <w:rsid w:val="00D57929"/>
    <w:rsid w:val="00D57DA2"/>
    <w:rsid w:val="00D60A28"/>
    <w:rsid w:val="00D6423B"/>
    <w:rsid w:val="00D64E98"/>
    <w:rsid w:val="00D65AC9"/>
    <w:rsid w:val="00D65B50"/>
    <w:rsid w:val="00D66C4C"/>
    <w:rsid w:val="00D674F4"/>
    <w:rsid w:val="00D70C6B"/>
    <w:rsid w:val="00D7232D"/>
    <w:rsid w:val="00D72513"/>
    <w:rsid w:val="00D72F97"/>
    <w:rsid w:val="00D73009"/>
    <w:rsid w:val="00D7575F"/>
    <w:rsid w:val="00D76C2B"/>
    <w:rsid w:val="00D77866"/>
    <w:rsid w:val="00D8058D"/>
    <w:rsid w:val="00D81094"/>
    <w:rsid w:val="00D8192B"/>
    <w:rsid w:val="00D824FC"/>
    <w:rsid w:val="00D830D7"/>
    <w:rsid w:val="00D832C7"/>
    <w:rsid w:val="00D857D6"/>
    <w:rsid w:val="00D86C8B"/>
    <w:rsid w:val="00D873E1"/>
    <w:rsid w:val="00D925AE"/>
    <w:rsid w:val="00D944D2"/>
    <w:rsid w:val="00D95489"/>
    <w:rsid w:val="00D97473"/>
    <w:rsid w:val="00DA124F"/>
    <w:rsid w:val="00DA3AA4"/>
    <w:rsid w:val="00DA4889"/>
    <w:rsid w:val="00DB084F"/>
    <w:rsid w:val="00DB1963"/>
    <w:rsid w:val="00DB2170"/>
    <w:rsid w:val="00DB3BD4"/>
    <w:rsid w:val="00DB614C"/>
    <w:rsid w:val="00DC26BA"/>
    <w:rsid w:val="00DC35BA"/>
    <w:rsid w:val="00DC3C1E"/>
    <w:rsid w:val="00DC5809"/>
    <w:rsid w:val="00DC5B49"/>
    <w:rsid w:val="00DC73D8"/>
    <w:rsid w:val="00DD0452"/>
    <w:rsid w:val="00DD061A"/>
    <w:rsid w:val="00DD1824"/>
    <w:rsid w:val="00DD239E"/>
    <w:rsid w:val="00DD2403"/>
    <w:rsid w:val="00DD2D56"/>
    <w:rsid w:val="00DD42BC"/>
    <w:rsid w:val="00DD522B"/>
    <w:rsid w:val="00DD5ADC"/>
    <w:rsid w:val="00DE04BF"/>
    <w:rsid w:val="00DE08AD"/>
    <w:rsid w:val="00DE4E0B"/>
    <w:rsid w:val="00DE7AA2"/>
    <w:rsid w:val="00DF24CF"/>
    <w:rsid w:val="00DF390F"/>
    <w:rsid w:val="00DF5205"/>
    <w:rsid w:val="00DF690F"/>
    <w:rsid w:val="00E01E84"/>
    <w:rsid w:val="00E038EC"/>
    <w:rsid w:val="00E06EA1"/>
    <w:rsid w:val="00E07FA9"/>
    <w:rsid w:val="00E1015C"/>
    <w:rsid w:val="00E10C17"/>
    <w:rsid w:val="00E10F86"/>
    <w:rsid w:val="00E113D0"/>
    <w:rsid w:val="00E14553"/>
    <w:rsid w:val="00E14C09"/>
    <w:rsid w:val="00E169E9"/>
    <w:rsid w:val="00E17854"/>
    <w:rsid w:val="00E17A9A"/>
    <w:rsid w:val="00E211E7"/>
    <w:rsid w:val="00E223A9"/>
    <w:rsid w:val="00E230F2"/>
    <w:rsid w:val="00E245D6"/>
    <w:rsid w:val="00E24669"/>
    <w:rsid w:val="00E257EB"/>
    <w:rsid w:val="00E25A54"/>
    <w:rsid w:val="00E275B5"/>
    <w:rsid w:val="00E307DB"/>
    <w:rsid w:val="00E32621"/>
    <w:rsid w:val="00E33A35"/>
    <w:rsid w:val="00E342D8"/>
    <w:rsid w:val="00E36601"/>
    <w:rsid w:val="00E373C2"/>
    <w:rsid w:val="00E40F3B"/>
    <w:rsid w:val="00E410C8"/>
    <w:rsid w:val="00E43018"/>
    <w:rsid w:val="00E45EF9"/>
    <w:rsid w:val="00E46D44"/>
    <w:rsid w:val="00E4768F"/>
    <w:rsid w:val="00E50A94"/>
    <w:rsid w:val="00E51459"/>
    <w:rsid w:val="00E52917"/>
    <w:rsid w:val="00E53893"/>
    <w:rsid w:val="00E56EDF"/>
    <w:rsid w:val="00E57250"/>
    <w:rsid w:val="00E57EAD"/>
    <w:rsid w:val="00E6158B"/>
    <w:rsid w:val="00E64542"/>
    <w:rsid w:val="00E65541"/>
    <w:rsid w:val="00E67112"/>
    <w:rsid w:val="00E70152"/>
    <w:rsid w:val="00E726C0"/>
    <w:rsid w:val="00E7284A"/>
    <w:rsid w:val="00E77DE1"/>
    <w:rsid w:val="00E8055B"/>
    <w:rsid w:val="00E821A4"/>
    <w:rsid w:val="00E8365B"/>
    <w:rsid w:val="00E86E56"/>
    <w:rsid w:val="00E901B1"/>
    <w:rsid w:val="00E90FB4"/>
    <w:rsid w:val="00E91407"/>
    <w:rsid w:val="00E91965"/>
    <w:rsid w:val="00E9465C"/>
    <w:rsid w:val="00E96059"/>
    <w:rsid w:val="00E96B91"/>
    <w:rsid w:val="00E97906"/>
    <w:rsid w:val="00EA0719"/>
    <w:rsid w:val="00EA072D"/>
    <w:rsid w:val="00EA1254"/>
    <w:rsid w:val="00EA185A"/>
    <w:rsid w:val="00EA240B"/>
    <w:rsid w:val="00EA436E"/>
    <w:rsid w:val="00EA5EF6"/>
    <w:rsid w:val="00EA74B7"/>
    <w:rsid w:val="00EA7ACF"/>
    <w:rsid w:val="00EB07D3"/>
    <w:rsid w:val="00EB0A77"/>
    <w:rsid w:val="00EB6472"/>
    <w:rsid w:val="00EB64BA"/>
    <w:rsid w:val="00EB6F18"/>
    <w:rsid w:val="00EB7343"/>
    <w:rsid w:val="00EC00EF"/>
    <w:rsid w:val="00EC042D"/>
    <w:rsid w:val="00EC2CAF"/>
    <w:rsid w:val="00EC4E78"/>
    <w:rsid w:val="00EC5262"/>
    <w:rsid w:val="00EC74ED"/>
    <w:rsid w:val="00ED06E6"/>
    <w:rsid w:val="00ED14C9"/>
    <w:rsid w:val="00ED15DA"/>
    <w:rsid w:val="00ED2384"/>
    <w:rsid w:val="00ED23EE"/>
    <w:rsid w:val="00ED3187"/>
    <w:rsid w:val="00ED4AEC"/>
    <w:rsid w:val="00ED7B43"/>
    <w:rsid w:val="00ED7D03"/>
    <w:rsid w:val="00EE0CE2"/>
    <w:rsid w:val="00EE0F43"/>
    <w:rsid w:val="00EE1F50"/>
    <w:rsid w:val="00EE231E"/>
    <w:rsid w:val="00EE23D7"/>
    <w:rsid w:val="00EE2A3E"/>
    <w:rsid w:val="00EE39A1"/>
    <w:rsid w:val="00EE422B"/>
    <w:rsid w:val="00EE4B8F"/>
    <w:rsid w:val="00EE649D"/>
    <w:rsid w:val="00EE78C3"/>
    <w:rsid w:val="00EF2DD3"/>
    <w:rsid w:val="00EF498D"/>
    <w:rsid w:val="00EF4BB4"/>
    <w:rsid w:val="00EF6269"/>
    <w:rsid w:val="00EF7300"/>
    <w:rsid w:val="00F005E2"/>
    <w:rsid w:val="00F0094B"/>
    <w:rsid w:val="00F009C8"/>
    <w:rsid w:val="00F0246D"/>
    <w:rsid w:val="00F0678F"/>
    <w:rsid w:val="00F07E7D"/>
    <w:rsid w:val="00F10A48"/>
    <w:rsid w:val="00F10C7F"/>
    <w:rsid w:val="00F132D7"/>
    <w:rsid w:val="00F1453A"/>
    <w:rsid w:val="00F14C00"/>
    <w:rsid w:val="00F15D1A"/>
    <w:rsid w:val="00F23D26"/>
    <w:rsid w:val="00F30E25"/>
    <w:rsid w:val="00F3230B"/>
    <w:rsid w:val="00F346ED"/>
    <w:rsid w:val="00F402B8"/>
    <w:rsid w:val="00F42B64"/>
    <w:rsid w:val="00F44A07"/>
    <w:rsid w:val="00F46205"/>
    <w:rsid w:val="00F47098"/>
    <w:rsid w:val="00F4784A"/>
    <w:rsid w:val="00F51981"/>
    <w:rsid w:val="00F51BA6"/>
    <w:rsid w:val="00F5245F"/>
    <w:rsid w:val="00F5314E"/>
    <w:rsid w:val="00F54134"/>
    <w:rsid w:val="00F560F0"/>
    <w:rsid w:val="00F562BF"/>
    <w:rsid w:val="00F56FF3"/>
    <w:rsid w:val="00F62853"/>
    <w:rsid w:val="00F62871"/>
    <w:rsid w:val="00F63755"/>
    <w:rsid w:val="00F648C7"/>
    <w:rsid w:val="00F64D33"/>
    <w:rsid w:val="00F666E3"/>
    <w:rsid w:val="00F669BE"/>
    <w:rsid w:val="00F67FF0"/>
    <w:rsid w:val="00F70538"/>
    <w:rsid w:val="00F71872"/>
    <w:rsid w:val="00F733E0"/>
    <w:rsid w:val="00F7453C"/>
    <w:rsid w:val="00F80748"/>
    <w:rsid w:val="00F8126E"/>
    <w:rsid w:val="00F81FF4"/>
    <w:rsid w:val="00F8271E"/>
    <w:rsid w:val="00F8367F"/>
    <w:rsid w:val="00F8479A"/>
    <w:rsid w:val="00F8529A"/>
    <w:rsid w:val="00F879D7"/>
    <w:rsid w:val="00F900AD"/>
    <w:rsid w:val="00F90D3D"/>
    <w:rsid w:val="00F91788"/>
    <w:rsid w:val="00F91B3D"/>
    <w:rsid w:val="00F92554"/>
    <w:rsid w:val="00F92CE2"/>
    <w:rsid w:val="00F92D03"/>
    <w:rsid w:val="00F978AF"/>
    <w:rsid w:val="00FA17DD"/>
    <w:rsid w:val="00FA21CE"/>
    <w:rsid w:val="00FA2B64"/>
    <w:rsid w:val="00FA353F"/>
    <w:rsid w:val="00FA5C1A"/>
    <w:rsid w:val="00FA5C36"/>
    <w:rsid w:val="00FA5DD0"/>
    <w:rsid w:val="00FA71C8"/>
    <w:rsid w:val="00FA728B"/>
    <w:rsid w:val="00FB0EBD"/>
    <w:rsid w:val="00FB1257"/>
    <w:rsid w:val="00FB1E7B"/>
    <w:rsid w:val="00FB55C1"/>
    <w:rsid w:val="00FC3F54"/>
    <w:rsid w:val="00FC4DD6"/>
    <w:rsid w:val="00FC5146"/>
    <w:rsid w:val="00FC60E9"/>
    <w:rsid w:val="00FC69D0"/>
    <w:rsid w:val="00FD1667"/>
    <w:rsid w:val="00FD5D85"/>
    <w:rsid w:val="00FD6E0B"/>
    <w:rsid w:val="00FD7866"/>
    <w:rsid w:val="00FD7B8D"/>
    <w:rsid w:val="00FE2BCE"/>
    <w:rsid w:val="00FE43DB"/>
    <w:rsid w:val="00FE6F2D"/>
    <w:rsid w:val="00FF1C04"/>
    <w:rsid w:val="00FF25B6"/>
    <w:rsid w:val="00FF3051"/>
    <w:rsid w:val="00FF3128"/>
    <w:rsid w:val="00FF3257"/>
    <w:rsid w:val="00FF3C95"/>
    <w:rsid w:val="00FF41E6"/>
    <w:rsid w:val="00FF45F2"/>
    <w:rsid w:val="00FF51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4154B"/>
  <w15:docId w15:val="{470AD53E-BADC-421A-A576-35B17EFA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36E"/>
    <w:pPr>
      <w:adjustRightInd w:val="0"/>
      <w:snapToGrid w:val="0"/>
      <w:spacing w:afterLines="120" w:after="288" w:line="480" w:lineRule="auto"/>
    </w:pPr>
    <w:rPr>
      <w:rFonts w:ascii="Arial" w:eastAsia="Times New Roman" w:hAnsi="Arial" w:cs="Arial"/>
      <w:bCs/>
      <w:lang w:val="en-GB" w:eastAsia="en-GB"/>
    </w:rPr>
  </w:style>
  <w:style w:type="paragraph" w:styleId="Heading1">
    <w:name w:val="heading 1"/>
    <w:basedOn w:val="Heading2"/>
    <w:next w:val="Normal"/>
    <w:link w:val="Heading1Char"/>
    <w:uiPriority w:val="9"/>
    <w:qFormat/>
    <w:rsid w:val="00EA436E"/>
    <w:pPr>
      <w:jc w:val="center"/>
      <w:outlineLvl w:val="0"/>
    </w:pPr>
    <w:rPr>
      <w:sz w:val="24"/>
    </w:rPr>
  </w:style>
  <w:style w:type="paragraph" w:styleId="Heading2">
    <w:name w:val="heading 2"/>
    <w:basedOn w:val="Normal"/>
    <w:next w:val="Normal"/>
    <w:link w:val="Heading2Char"/>
    <w:uiPriority w:val="9"/>
    <w:unhideWhenUsed/>
    <w:qFormat/>
    <w:rsid w:val="00E901B1"/>
    <w:pPr>
      <w:outlineLvl w:val="1"/>
    </w:pPr>
    <w:rPr>
      <w:b/>
      <w:bCs w:val="0"/>
    </w:rPr>
  </w:style>
  <w:style w:type="paragraph" w:styleId="Heading3">
    <w:name w:val="heading 3"/>
    <w:basedOn w:val="Normal"/>
    <w:next w:val="Normal"/>
    <w:link w:val="Heading3Char"/>
    <w:uiPriority w:val="9"/>
    <w:unhideWhenUsed/>
    <w:qFormat/>
    <w:rsid w:val="00E901B1"/>
    <w:pPr>
      <w:outlineLvl w:val="2"/>
    </w:pPr>
    <w:rPr>
      <w:bCs w:val="0"/>
      <w:u w:val="single"/>
    </w:rPr>
  </w:style>
  <w:style w:type="paragraph" w:styleId="Heading4">
    <w:name w:val="heading 4"/>
    <w:basedOn w:val="Heading3"/>
    <w:next w:val="Normal"/>
    <w:link w:val="Heading4Char"/>
    <w:uiPriority w:val="9"/>
    <w:unhideWhenUsed/>
    <w:qFormat/>
    <w:rsid w:val="00C2575A"/>
    <w:pPr>
      <w:outlineLvl w:val="3"/>
    </w:pPr>
    <w:rPr>
      <w:i/>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DA5"/>
    <w:rPr>
      <w:color w:val="0000FF" w:themeColor="hyperlink"/>
      <w:u w:val="single"/>
    </w:rPr>
  </w:style>
  <w:style w:type="character" w:customStyle="1" w:styleId="apple-converted-space">
    <w:name w:val="apple-converted-space"/>
    <w:basedOn w:val="DefaultParagraphFont"/>
    <w:rsid w:val="00B86233"/>
  </w:style>
  <w:style w:type="paragraph" w:styleId="ListParagraph">
    <w:name w:val="List Paragraph"/>
    <w:basedOn w:val="Normal"/>
    <w:uiPriority w:val="34"/>
    <w:qFormat/>
    <w:rsid w:val="007A709F"/>
    <w:pPr>
      <w:ind w:left="720"/>
      <w:contextualSpacing/>
    </w:pPr>
  </w:style>
  <w:style w:type="paragraph" w:styleId="BalloonText">
    <w:name w:val="Balloon Text"/>
    <w:basedOn w:val="Normal"/>
    <w:link w:val="BalloonTextChar"/>
    <w:uiPriority w:val="99"/>
    <w:semiHidden/>
    <w:unhideWhenUsed/>
    <w:rsid w:val="004B3673"/>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4B3673"/>
    <w:rPr>
      <w:rFonts w:ascii="Tahoma" w:hAnsi="Tahoma" w:cs="Tahoma"/>
      <w:sz w:val="16"/>
      <w:szCs w:val="16"/>
    </w:rPr>
  </w:style>
  <w:style w:type="paragraph" w:styleId="Footer">
    <w:name w:val="footer"/>
    <w:basedOn w:val="Normal"/>
    <w:link w:val="FooterChar"/>
    <w:uiPriority w:val="99"/>
    <w:unhideWhenUsed/>
    <w:rsid w:val="009E2731"/>
    <w:pPr>
      <w:tabs>
        <w:tab w:val="center" w:pos="4320"/>
        <w:tab w:val="right" w:pos="8640"/>
      </w:tabs>
    </w:pPr>
  </w:style>
  <w:style w:type="character" w:customStyle="1" w:styleId="FooterChar">
    <w:name w:val="Footer Char"/>
    <w:basedOn w:val="DefaultParagraphFont"/>
    <w:link w:val="Footer"/>
    <w:uiPriority w:val="99"/>
    <w:rsid w:val="009E2731"/>
    <w:rPr>
      <w:rFonts w:ascii="Times New Roman" w:eastAsia="Times New Roman" w:hAnsi="Times New Roman" w:cs="Angsana New"/>
      <w:sz w:val="24"/>
      <w:szCs w:val="24"/>
      <w:lang w:val="en-GB" w:eastAsia="en-GB"/>
    </w:rPr>
  </w:style>
  <w:style w:type="character" w:styleId="PageNumber">
    <w:name w:val="page number"/>
    <w:basedOn w:val="DefaultParagraphFont"/>
    <w:uiPriority w:val="99"/>
    <w:semiHidden/>
    <w:unhideWhenUsed/>
    <w:rsid w:val="009E2731"/>
  </w:style>
  <w:style w:type="character" w:styleId="CommentReference">
    <w:name w:val="annotation reference"/>
    <w:basedOn w:val="DefaultParagraphFont"/>
    <w:uiPriority w:val="99"/>
    <w:semiHidden/>
    <w:unhideWhenUsed/>
    <w:rsid w:val="00577286"/>
    <w:rPr>
      <w:sz w:val="18"/>
      <w:szCs w:val="18"/>
    </w:rPr>
  </w:style>
  <w:style w:type="paragraph" w:styleId="CommentText">
    <w:name w:val="annotation text"/>
    <w:basedOn w:val="Normal"/>
    <w:link w:val="CommentTextChar"/>
    <w:uiPriority w:val="99"/>
    <w:semiHidden/>
    <w:unhideWhenUsed/>
    <w:rsid w:val="00577286"/>
  </w:style>
  <w:style w:type="character" w:customStyle="1" w:styleId="CommentTextChar">
    <w:name w:val="Comment Text Char"/>
    <w:basedOn w:val="DefaultParagraphFont"/>
    <w:link w:val="CommentText"/>
    <w:uiPriority w:val="99"/>
    <w:semiHidden/>
    <w:rsid w:val="00577286"/>
    <w:rPr>
      <w:rFonts w:ascii="Times New Roman" w:eastAsia="Times New Roman" w:hAnsi="Times New Roman" w:cs="Angsana New"/>
      <w:sz w:val="24"/>
      <w:szCs w:val="24"/>
      <w:lang w:val="en-GB" w:eastAsia="en-GB"/>
    </w:rPr>
  </w:style>
  <w:style w:type="paragraph" w:styleId="CommentSubject">
    <w:name w:val="annotation subject"/>
    <w:basedOn w:val="CommentText"/>
    <w:next w:val="CommentText"/>
    <w:link w:val="CommentSubjectChar"/>
    <w:uiPriority w:val="99"/>
    <w:semiHidden/>
    <w:unhideWhenUsed/>
    <w:rsid w:val="00577286"/>
    <w:rPr>
      <w:b/>
      <w:bCs w:val="0"/>
      <w:sz w:val="20"/>
      <w:szCs w:val="20"/>
    </w:rPr>
  </w:style>
  <w:style w:type="character" w:customStyle="1" w:styleId="CommentSubjectChar">
    <w:name w:val="Comment Subject Char"/>
    <w:basedOn w:val="CommentTextChar"/>
    <w:link w:val="CommentSubject"/>
    <w:uiPriority w:val="99"/>
    <w:semiHidden/>
    <w:rsid w:val="00577286"/>
    <w:rPr>
      <w:rFonts w:ascii="Times New Roman" w:eastAsia="Times New Roman" w:hAnsi="Times New Roman" w:cs="Angsana New"/>
      <w:b/>
      <w:bCs/>
      <w:sz w:val="20"/>
      <w:szCs w:val="20"/>
      <w:lang w:val="en-GB" w:eastAsia="en-GB"/>
    </w:rPr>
  </w:style>
  <w:style w:type="character" w:styleId="PlaceholderText">
    <w:name w:val="Placeholder Text"/>
    <w:basedOn w:val="DefaultParagraphFont"/>
    <w:uiPriority w:val="99"/>
    <w:semiHidden/>
    <w:rsid w:val="005C1473"/>
    <w:rPr>
      <w:color w:val="808080"/>
    </w:rPr>
  </w:style>
  <w:style w:type="paragraph" w:styleId="Revision">
    <w:name w:val="Revision"/>
    <w:hidden/>
    <w:uiPriority w:val="99"/>
    <w:semiHidden/>
    <w:rsid w:val="00167ADE"/>
    <w:pPr>
      <w:spacing w:after="0" w:line="240" w:lineRule="auto"/>
    </w:pPr>
    <w:rPr>
      <w:rFonts w:ascii="Times New Roman" w:eastAsia="Times New Roman" w:hAnsi="Times New Roman" w:cs="Angsana New"/>
      <w:sz w:val="24"/>
      <w:szCs w:val="24"/>
      <w:lang w:val="en-GB" w:eastAsia="en-GB"/>
    </w:rPr>
  </w:style>
  <w:style w:type="paragraph" w:customStyle="1" w:styleId="EndNoteBibliographyTitle">
    <w:name w:val="EndNote Bibliography Title"/>
    <w:basedOn w:val="Normal"/>
    <w:link w:val="EndNoteBibliographyTitleChar"/>
    <w:rsid w:val="007F0AF7"/>
    <w:pPr>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7F0AF7"/>
    <w:rPr>
      <w:rFonts w:ascii="Times New Roman" w:eastAsia="Times New Roman" w:hAnsi="Times New Roman" w:cs="Times New Roman"/>
      <w:bCs/>
      <w:noProof/>
      <w:sz w:val="24"/>
      <w:lang w:val="en-GB" w:eastAsia="en-GB"/>
    </w:rPr>
  </w:style>
  <w:style w:type="paragraph" w:customStyle="1" w:styleId="EndNoteBibliography">
    <w:name w:val="EndNote Bibliography"/>
    <w:basedOn w:val="Normal"/>
    <w:link w:val="EndNoteBibliographyChar"/>
    <w:rsid w:val="007F0AF7"/>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7F0AF7"/>
    <w:rPr>
      <w:rFonts w:ascii="Times New Roman" w:eastAsia="Times New Roman" w:hAnsi="Times New Roman" w:cs="Times New Roman"/>
      <w:bCs/>
      <w:noProof/>
      <w:sz w:val="24"/>
      <w:lang w:val="en-GB" w:eastAsia="en-GB"/>
    </w:rPr>
  </w:style>
  <w:style w:type="character" w:customStyle="1" w:styleId="hit">
    <w:name w:val="hit"/>
    <w:basedOn w:val="DefaultParagraphFont"/>
    <w:rsid w:val="001F742A"/>
  </w:style>
  <w:style w:type="character" w:customStyle="1" w:styleId="author">
    <w:name w:val="author"/>
    <w:basedOn w:val="DefaultParagraphFont"/>
    <w:rsid w:val="001F742A"/>
  </w:style>
  <w:style w:type="character" w:customStyle="1" w:styleId="family-name">
    <w:name w:val="family-name"/>
    <w:basedOn w:val="DefaultParagraphFont"/>
    <w:rsid w:val="001F742A"/>
  </w:style>
  <w:style w:type="character" w:customStyle="1" w:styleId="given-name">
    <w:name w:val="given-name"/>
    <w:basedOn w:val="DefaultParagraphFont"/>
    <w:rsid w:val="001F742A"/>
  </w:style>
  <w:style w:type="character" w:customStyle="1" w:styleId="journal-title">
    <w:name w:val="journal-title"/>
    <w:basedOn w:val="DefaultParagraphFont"/>
    <w:rsid w:val="001F742A"/>
  </w:style>
  <w:style w:type="character" w:customStyle="1" w:styleId="journal-publication-year">
    <w:name w:val="journal-publication-year"/>
    <w:basedOn w:val="DefaultParagraphFont"/>
    <w:rsid w:val="001F742A"/>
  </w:style>
  <w:style w:type="character" w:customStyle="1" w:styleId="journal-volume">
    <w:name w:val="journal-volume"/>
    <w:basedOn w:val="DefaultParagraphFont"/>
    <w:rsid w:val="001F742A"/>
  </w:style>
  <w:style w:type="character" w:customStyle="1" w:styleId="journal-issue">
    <w:name w:val="journal-issue"/>
    <w:basedOn w:val="DefaultParagraphFont"/>
    <w:rsid w:val="001F742A"/>
  </w:style>
  <w:style w:type="character" w:customStyle="1" w:styleId="journal-pages">
    <w:name w:val="journal-pages"/>
    <w:basedOn w:val="DefaultParagraphFont"/>
    <w:rsid w:val="001F742A"/>
  </w:style>
  <w:style w:type="character" w:styleId="LineNumber">
    <w:name w:val="line number"/>
    <w:basedOn w:val="DefaultParagraphFont"/>
    <w:uiPriority w:val="99"/>
    <w:semiHidden/>
    <w:unhideWhenUsed/>
    <w:rsid w:val="000A6D44"/>
  </w:style>
  <w:style w:type="paragraph" w:styleId="Header">
    <w:name w:val="header"/>
    <w:basedOn w:val="Normal"/>
    <w:link w:val="HeaderChar"/>
    <w:uiPriority w:val="99"/>
    <w:unhideWhenUsed/>
    <w:rsid w:val="000A6D44"/>
    <w:pPr>
      <w:tabs>
        <w:tab w:val="center" w:pos="4703"/>
        <w:tab w:val="right" w:pos="9406"/>
      </w:tabs>
    </w:pPr>
  </w:style>
  <w:style w:type="character" w:customStyle="1" w:styleId="HeaderChar">
    <w:name w:val="Header Char"/>
    <w:basedOn w:val="DefaultParagraphFont"/>
    <w:link w:val="Header"/>
    <w:uiPriority w:val="99"/>
    <w:rsid w:val="000A6D44"/>
    <w:rPr>
      <w:rFonts w:ascii="Times New Roman" w:eastAsia="Times New Roman" w:hAnsi="Times New Roman" w:cs="Angsana New"/>
      <w:sz w:val="24"/>
      <w:szCs w:val="24"/>
      <w:lang w:val="en-GB" w:eastAsia="en-GB"/>
    </w:rPr>
  </w:style>
  <w:style w:type="paragraph" w:styleId="NoSpacing">
    <w:name w:val="No Spacing"/>
    <w:uiPriority w:val="1"/>
    <w:qFormat/>
    <w:rsid w:val="00E36601"/>
    <w:pPr>
      <w:spacing w:after="0" w:line="240" w:lineRule="auto"/>
    </w:pPr>
    <w:rPr>
      <w:lang w:val="en-GB"/>
    </w:rPr>
  </w:style>
  <w:style w:type="character" w:customStyle="1" w:styleId="Heading2Char">
    <w:name w:val="Heading 2 Char"/>
    <w:basedOn w:val="DefaultParagraphFont"/>
    <w:link w:val="Heading2"/>
    <w:uiPriority w:val="9"/>
    <w:rsid w:val="00E901B1"/>
    <w:rPr>
      <w:rFonts w:ascii="Arial" w:eastAsia="Times New Roman" w:hAnsi="Arial" w:cs="Arial"/>
      <w:b/>
      <w:bCs/>
      <w:lang w:val="en-GB" w:eastAsia="en-GB"/>
    </w:rPr>
  </w:style>
  <w:style w:type="character" w:customStyle="1" w:styleId="Heading3Char">
    <w:name w:val="Heading 3 Char"/>
    <w:basedOn w:val="DefaultParagraphFont"/>
    <w:link w:val="Heading3"/>
    <w:uiPriority w:val="9"/>
    <w:rsid w:val="00E901B1"/>
    <w:rPr>
      <w:rFonts w:ascii="Arial" w:eastAsia="Times New Roman" w:hAnsi="Arial" w:cs="Arial"/>
      <w:bCs/>
      <w:u w:val="single"/>
      <w:lang w:val="en-GB" w:eastAsia="en-GB"/>
    </w:rPr>
  </w:style>
  <w:style w:type="character" w:customStyle="1" w:styleId="Heading1Char">
    <w:name w:val="Heading 1 Char"/>
    <w:basedOn w:val="DefaultParagraphFont"/>
    <w:link w:val="Heading1"/>
    <w:uiPriority w:val="9"/>
    <w:rsid w:val="00EA436E"/>
    <w:rPr>
      <w:rFonts w:ascii="Arial" w:eastAsia="Times New Roman" w:hAnsi="Arial" w:cs="Arial"/>
      <w:b/>
      <w:sz w:val="24"/>
      <w:lang w:val="en-GB" w:eastAsia="en-GB"/>
    </w:rPr>
  </w:style>
  <w:style w:type="character" w:customStyle="1" w:styleId="UnresolvedMention1">
    <w:name w:val="Unresolved Mention1"/>
    <w:basedOn w:val="DefaultParagraphFont"/>
    <w:uiPriority w:val="99"/>
    <w:semiHidden/>
    <w:unhideWhenUsed/>
    <w:rsid w:val="002E1883"/>
    <w:rPr>
      <w:color w:val="605E5C"/>
      <w:shd w:val="clear" w:color="auto" w:fill="E1DFDD"/>
    </w:rPr>
  </w:style>
  <w:style w:type="paragraph" w:customStyle="1" w:styleId="para">
    <w:name w:val="para"/>
    <w:basedOn w:val="Normal"/>
    <w:rsid w:val="00AC2856"/>
    <w:pPr>
      <w:adjustRightInd/>
      <w:snapToGrid/>
      <w:spacing w:before="100" w:beforeAutospacing="1" w:afterLines="0" w:after="100" w:afterAutospacing="1" w:line="240" w:lineRule="auto"/>
    </w:pPr>
    <w:rPr>
      <w:rFonts w:ascii="Times New Roman" w:hAnsi="Times New Roman" w:cs="Times New Roman"/>
      <w:bCs w:val="0"/>
      <w:sz w:val="24"/>
      <w:szCs w:val="24"/>
    </w:rPr>
  </w:style>
  <w:style w:type="character" w:customStyle="1" w:styleId="Heading4Char">
    <w:name w:val="Heading 4 Char"/>
    <w:basedOn w:val="DefaultParagraphFont"/>
    <w:link w:val="Heading4"/>
    <w:uiPriority w:val="9"/>
    <w:rsid w:val="00C2575A"/>
    <w:rPr>
      <w:rFonts w:ascii="Arial" w:eastAsia="Times New Roman" w:hAnsi="Arial" w:cs="Arial"/>
      <w:i/>
      <w:lang w:val="en-GB" w:eastAsia="en-GB"/>
    </w:rPr>
  </w:style>
  <w:style w:type="paragraph" w:styleId="Bibliography">
    <w:name w:val="Bibliography"/>
    <w:basedOn w:val="Normal"/>
    <w:next w:val="Normal"/>
    <w:uiPriority w:val="37"/>
    <w:unhideWhenUsed/>
    <w:rsid w:val="00706E3A"/>
    <w:pPr>
      <w:spacing w:after="0"/>
      <w:ind w:left="720" w:hanging="720"/>
    </w:pPr>
  </w:style>
  <w:style w:type="character" w:styleId="FollowedHyperlink">
    <w:name w:val="FollowedHyperlink"/>
    <w:basedOn w:val="DefaultParagraphFont"/>
    <w:uiPriority w:val="99"/>
    <w:semiHidden/>
    <w:unhideWhenUsed/>
    <w:rsid w:val="00934713"/>
    <w:rPr>
      <w:color w:val="800080" w:themeColor="followedHyperlink"/>
      <w:u w:val="single"/>
    </w:rPr>
  </w:style>
  <w:style w:type="character" w:customStyle="1" w:styleId="UnresolvedMention2">
    <w:name w:val="Unresolved Mention2"/>
    <w:basedOn w:val="DefaultParagraphFont"/>
    <w:uiPriority w:val="99"/>
    <w:semiHidden/>
    <w:unhideWhenUsed/>
    <w:rsid w:val="00EB6472"/>
    <w:rPr>
      <w:color w:val="605E5C"/>
      <w:shd w:val="clear" w:color="auto" w:fill="E1DFDD"/>
    </w:rPr>
  </w:style>
  <w:style w:type="paragraph" w:customStyle="1" w:styleId="Titel1">
    <w:name w:val="Titel1"/>
    <w:basedOn w:val="Normal"/>
    <w:rsid w:val="009756CF"/>
    <w:pPr>
      <w:adjustRightInd/>
      <w:snapToGrid/>
      <w:spacing w:before="100" w:beforeAutospacing="1" w:afterLines="0" w:after="100" w:afterAutospacing="1" w:line="240" w:lineRule="auto"/>
    </w:pPr>
    <w:rPr>
      <w:rFonts w:ascii="Times New Roman" w:hAnsi="Times New Roman" w:cs="Times New Roman"/>
      <w:bCs w:val="0"/>
      <w:sz w:val="24"/>
      <w:szCs w:val="24"/>
    </w:rPr>
  </w:style>
  <w:style w:type="paragraph" w:customStyle="1" w:styleId="desc">
    <w:name w:val="desc"/>
    <w:basedOn w:val="Normal"/>
    <w:rsid w:val="009756CF"/>
    <w:pPr>
      <w:adjustRightInd/>
      <w:snapToGrid/>
      <w:spacing w:before="100" w:beforeAutospacing="1" w:afterLines="0" w:after="100" w:afterAutospacing="1" w:line="240" w:lineRule="auto"/>
    </w:pPr>
    <w:rPr>
      <w:rFonts w:ascii="Times New Roman" w:hAnsi="Times New Roman" w:cs="Times New Roman"/>
      <w:bCs w:val="0"/>
      <w:sz w:val="24"/>
      <w:szCs w:val="24"/>
    </w:rPr>
  </w:style>
  <w:style w:type="paragraph" w:customStyle="1" w:styleId="details">
    <w:name w:val="details"/>
    <w:basedOn w:val="Normal"/>
    <w:rsid w:val="009756CF"/>
    <w:pPr>
      <w:adjustRightInd/>
      <w:snapToGrid/>
      <w:spacing w:before="100" w:beforeAutospacing="1" w:afterLines="0" w:after="100" w:afterAutospacing="1" w:line="240" w:lineRule="auto"/>
    </w:pPr>
    <w:rPr>
      <w:rFonts w:ascii="Times New Roman" w:hAnsi="Times New Roman" w:cs="Times New Roman"/>
      <w:bCs w:val="0"/>
      <w:sz w:val="24"/>
      <w:szCs w:val="24"/>
    </w:rPr>
  </w:style>
  <w:style w:type="character" w:customStyle="1" w:styleId="jrnl">
    <w:name w:val="jrnl"/>
    <w:basedOn w:val="DefaultParagraphFont"/>
    <w:rsid w:val="00975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5439">
      <w:bodyDiv w:val="1"/>
      <w:marLeft w:val="0"/>
      <w:marRight w:val="0"/>
      <w:marTop w:val="0"/>
      <w:marBottom w:val="0"/>
      <w:divBdr>
        <w:top w:val="none" w:sz="0" w:space="0" w:color="auto"/>
        <w:left w:val="none" w:sz="0" w:space="0" w:color="auto"/>
        <w:bottom w:val="none" w:sz="0" w:space="0" w:color="auto"/>
        <w:right w:val="none" w:sz="0" w:space="0" w:color="auto"/>
      </w:divBdr>
    </w:div>
    <w:div w:id="18314196">
      <w:bodyDiv w:val="1"/>
      <w:marLeft w:val="0"/>
      <w:marRight w:val="0"/>
      <w:marTop w:val="0"/>
      <w:marBottom w:val="0"/>
      <w:divBdr>
        <w:top w:val="none" w:sz="0" w:space="0" w:color="auto"/>
        <w:left w:val="none" w:sz="0" w:space="0" w:color="auto"/>
        <w:bottom w:val="none" w:sz="0" w:space="0" w:color="auto"/>
        <w:right w:val="none" w:sz="0" w:space="0" w:color="auto"/>
      </w:divBdr>
    </w:div>
    <w:div w:id="123083014">
      <w:bodyDiv w:val="1"/>
      <w:marLeft w:val="0"/>
      <w:marRight w:val="0"/>
      <w:marTop w:val="0"/>
      <w:marBottom w:val="0"/>
      <w:divBdr>
        <w:top w:val="none" w:sz="0" w:space="0" w:color="auto"/>
        <w:left w:val="none" w:sz="0" w:space="0" w:color="auto"/>
        <w:bottom w:val="none" w:sz="0" w:space="0" w:color="auto"/>
        <w:right w:val="none" w:sz="0" w:space="0" w:color="auto"/>
      </w:divBdr>
    </w:div>
    <w:div w:id="236399803">
      <w:bodyDiv w:val="1"/>
      <w:marLeft w:val="0"/>
      <w:marRight w:val="0"/>
      <w:marTop w:val="0"/>
      <w:marBottom w:val="0"/>
      <w:divBdr>
        <w:top w:val="none" w:sz="0" w:space="0" w:color="auto"/>
        <w:left w:val="none" w:sz="0" w:space="0" w:color="auto"/>
        <w:bottom w:val="none" w:sz="0" w:space="0" w:color="auto"/>
        <w:right w:val="none" w:sz="0" w:space="0" w:color="auto"/>
      </w:divBdr>
      <w:divsChild>
        <w:div w:id="24215441">
          <w:marLeft w:val="0"/>
          <w:marRight w:val="0"/>
          <w:marTop w:val="34"/>
          <w:marBottom w:val="34"/>
          <w:divBdr>
            <w:top w:val="none" w:sz="0" w:space="0" w:color="auto"/>
            <w:left w:val="none" w:sz="0" w:space="0" w:color="auto"/>
            <w:bottom w:val="none" w:sz="0" w:space="0" w:color="auto"/>
            <w:right w:val="none" w:sz="0" w:space="0" w:color="auto"/>
          </w:divBdr>
        </w:div>
      </w:divsChild>
    </w:div>
    <w:div w:id="250359557">
      <w:bodyDiv w:val="1"/>
      <w:marLeft w:val="0"/>
      <w:marRight w:val="0"/>
      <w:marTop w:val="0"/>
      <w:marBottom w:val="0"/>
      <w:divBdr>
        <w:top w:val="none" w:sz="0" w:space="0" w:color="auto"/>
        <w:left w:val="none" w:sz="0" w:space="0" w:color="auto"/>
        <w:bottom w:val="none" w:sz="0" w:space="0" w:color="auto"/>
        <w:right w:val="none" w:sz="0" w:space="0" w:color="auto"/>
      </w:divBdr>
      <w:divsChild>
        <w:div w:id="2126339262">
          <w:marLeft w:val="0"/>
          <w:marRight w:val="0"/>
          <w:marTop w:val="34"/>
          <w:marBottom w:val="34"/>
          <w:divBdr>
            <w:top w:val="none" w:sz="0" w:space="0" w:color="auto"/>
            <w:left w:val="none" w:sz="0" w:space="0" w:color="auto"/>
            <w:bottom w:val="none" w:sz="0" w:space="0" w:color="auto"/>
            <w:right w:val="none" w:sz="0" w:space="0" w:color="auto"/>
          </w:divBdr>
        </w:div>
      </w:divsChild>
    </w:div>
    <w:div w:id="421099411">
      <w:bodyDiv w:val="1"/>
      <w:marLeft w:val="0"/>
      <w:marRight w:val="0"/>
      <w:marTop w:val="0"/>
      <w:marBottom w:val="0"/>
      <w:divBdr>
        <w:top w:val="none" w:sz="0" w:space="0" w:color="auto"/>
        <w:left w:val="none" w:sz="0" w:space="0" w:color="auto"/>
        <w:bottom w:val="none" w:sz="0" w:space="0" w:color="auto"/>
        <w:right w:val="none" w:sz="0" w:space="0" w:color="auto"/>
      </w:divBdr>
    </w:div>
    <w:div w:id="549729061">
      <w:bodyDiv w:val="1"/>
      <w:marLeft w:val="0"/>
      <w:marRight w:val="0"/>
      <w:marTop w:val="0"/>
      <w:marBottom w:val="0"/>
      <w:divBdr>
        <w:top w:val="none" w:sz="0" w:space="0" w:color="auto"/>
        <w:left w:val="none" w:sz="0" w:space="0" w:color="auto"/>
        <w:bottom w:val="none" w:sz="0" w:space="0" w:color="auto"/>
        <w:right w:val="none" w:sz="0" w:space="0" w:color="auto"/>
      </w:divBdr>
      <w:divsChild>
        <w:div w:id="184633390">
          <w:marLeft w:val="0"/>
          <w:marRight w:val="0"/>
          <w:marTop w:val="34"/>
          <w:marBottom w:val="34"/>
          <w:divBdr>
            <w:top w:val="none" w:sz="0" w:space="0" w:color="auto"/>
            <w:left w:val="none" w:sz="0" w:space="0" w:color="auto"/>
            <w:bottom w:val="none" w:sz="0" w:space="0" w:color="auto"/>
            <w:right w:val="none" w:sz="0" w:space="0" w:color="auto"/>
          </w:divBdr>
        </w:div>
      </w:divsChild>
    </w:div>
    <w:div w:id="696665648">
      <w:bodyDiv w:val="1"/>
      <w:marLeft w:val="0"/>
      <w:marRight w:val="0"/>
      <w:marTop w:val="0"/>
      <w:marBottom w:val="0"/>
      <w:divBdr>
        <w:top w:val="none" w:sz="0" w:space="0" w:color="auto"/>
        <w:left w:val="none" w:sz="0" w:space="0" w:color="auto"/>
        <w:bottom w:val="none" w:sz="0" w:space="0" w:color="auto"/>
        <w:right w:val="none" w:sz="0" w:space="0" w:color="auto"/>
      </w:divBdr>
    </w:div>
    <w:div w:id="761150471">
      <w:bodyDiv w:val="1"/>
      <w:marLeft w:val="0"/>
      <w:marRight w:val="0"/>
      <w:marTop w:val="0"/>
      <w:marBottom w:val="0"/>
      <w:divBdr>
        <w:top w:val="none" w:sz="0" w:space="0" w:color="auto"/>
        <w:left w:val="none" w:sz="0" w:space="0" w:color="auto"/>
        <w:bottom w:val="none" w:sz="0" w:space="0" w:color="auto"/>
        <w:right w:val="none" w:sz="0" w:space="0" w:color="auto"/>
      </w:divBdr>
    </w:div>
    <w:div w:id="818376678">
      <w:bodyDiv w:val="1"/>
      <w:marLeft w:val="0"/>
      <w:marRight w:val="0"/>
      <w:marTop w:val="0"/>
      <w:marBottom w:val="0"/>
      <w:divBdr>
        <w:top w:val="none" w:sz="0" w:space="0" w:color="auto"/>
        <w:left w:val="none" w:sz="0" w:space="0" w:color="auto"/>
        <w:bottom w:val="none" w:sz="0" w:space="0" w:color="auto"/>
        <w:right w:val="none" w:sz="0" w:space="0" w:color="auto"/>
      </w:divBdr>
      <w:divsChild>
        <w:div w:id="1941066602">
          <w:marLeft w:val="0"/>
          <w:marRight w:val="0"/>
          <w:marTop w:val="34"/>
          <w:marBottom w:val="34"/>
          <w:divBdr>
            <w:top w:val="none" w:sz="0" w:space="0" w:color="auto"/>
            <w:left w:val="none" w:sz="0" w:space="0" w:color="auto"/>
            <w:bottom w:val="none" w:sz="0" w:space="0" w:color="auto"/>
            <w:right w:val="none" w:sz="0" w:space="0" w:color="auto"/>
          </w:divBdr>
        </w:div>
      </w:divsChild>
    </w:div>
    <w:div w:id="970595829">
      <w:bodyDiv w:val="1"/>
      <w:marLeft w:val="0"/>
      <w:marRight w:val="0"/>
      <w:marTop w:val="0"/>
      <w:marBottom w:val="0"/>
      <w:divBdr>
        <w:top w:val="none" w:sz="0" w:space="0" w:color="auto"/>
        <w:left w:val="none" w:sz="0" w:space="0" w:color="auto"/>
        <w:bottom w:val="none" w:sz="0" w:space="0" w:color="auto"/>
        <w:right w:val="none" w:sz="0" w:space="0" w:color="auto"/>
      </w:divBdr>
    </w:div>
    <w:div w:id="991369275">
      <w:bodyDiv w:val="1"/>
      <w:marLeft w:val="0"/>
      <w:marRight w:val="0"/>
      <w:marTop w:val="0"/>
      <w:marBottom w:val="0"/>
      <w:divBdr>
        <w:top w:val="none" w:sz="0" w:space="0" w:color="auto"/>
        <w:left w:val="none" w:sz="0" w:space="0" w:color="auto"/>
        <w:bottom w:val="none" w:sz="0" w:space="0" w:color="auto"/>
        <w:right w:val="none" w:sz="0" w:space="0" w:color="auto"/>
      </w:divBdr>
      <w:divsChild>
        <w:div w:id="1629890958">
          <w:marLeft w:val="0"/>
          <w:marRight w:val="0"/>
          <w:marTop w:val="34"/>
          <w:marBottom w:val="34"/>
          <w:divBdr>
            <w:top w:val="none" w:sz="0" w:space="0" w:color="auto"/>
            <w:left w:val="none" w:sz="0" w:space="0" w:color="auto"/>
            <w:bottom w:val="none" w:sz="0" w:space="0" w:color="auto"/>
            <w:right w:val="none" w:sz="0" w:space="0" w:color="auto"/>
          </w:divBdr>
        </w:div>
      </w:divsChild>
    </w:div>
    <w:div w:id="995037631">
      <w:bodyDiv w:val="1"/>
      <w:marLeft w:val="0"/>
      <w:marRight w:val="0"/>
      <w:marTop w:val="0"/>
      <w:marBottom w:val="0"/>
      <w:divBdr>
        <w:top w:val="none" w:sz="0" w:space="0" w:color="auto"/>
        <w:left w:val="none" w:sz="0" w:space="0" w:color="auto"/>
        <w:bottom w:val="none" w:sz="0" w:space="0" w:color="auto"/>
        <w:right w:val="none" w:sz="0" w:space="0" w:color="auto"/>
      </w:divBdr>
    </w:div>
    <w:div w:id="1081172228">
      <w:bodyDiv w:val="1"/>
      <w:marLeft w:val="0"/>
      <w:marRight w:val="0"/>
      <w:marTop w:val="0"/>
      <w:marBottom w:val="0"/>
      <w:divBdr>
        <w:top w:val="none" w:sz="0" w:space="0" w:color="auto"/>
        <w:left w:val="none" w:sz="0" w:space="0" w:color="auto"/>
        <w:bottom w:val="none" w:sz="0" w:space="0" w:color="auto"/>
        <w:right w:val="none" w:sz="0" w:space="0" w:color="auto"/>
      </w:divBdr>
    </w:div>
    <w:div w:id="1138181223">
      <w:bodyDiv w:val="1"/>
      <w:marLeft w:val="0"/>
      <w:marRight w:val="0"/>
      <w:marTop w:val="0"/>
      <w:marBottom w:val="0"/>
      <w:divBdr>
        <w:top w:val="none" w:sz="0" w:space="0" w:color="auto"/>
        <w:left w:val="none" w:sz="0" w:space="0" w:color="auto"/>
        <w:bottom w:val="none" w:sz="0" w:space="0" w:color="auto"/>
        <w:right w:val="none" w:sz="0" w:space="0" w:color="auto"/>
      </w:divBdr>
    </w:div>
    <w:div w:id="1142387763">
      <w:bodyDiv w:val="1"/>
      <w:marLeft w:val="0"/>
      <w:marRight w:val="0"/>
      <w:marTop w:val="0"/>
      <w:marBottom w:val="0"/>
      <w:divBdr>
        <w:top w:val="none" w:sz="0" w:space="0" w:color="auto"/>
        <w:left w:val="none" w:sz="0" w:space="0" w:color="auto"/>
        <w:bottom w:val="none" w:sz="0" w:space="0" w:color="auto"/>
        <w:right w:val="none" w:sz="0" w:space="0" w:color="auto"/>
      </w:divBdr>
    </w:div>
    <w:div w:id="1155728012">
      <w:bodyDiv w:val="1"/>
      <w:marLeft w:val="0"/>
      <w:marRight w:val="0"/>
      <w:marTop w:val="0"/>
      <w:marBottom w:val="0"/>
      <w:divBdr>
        <w:top w:val="none" w:sz="0" w:space="0" w:color="auto"/>
        <w:left w:val="none" w:sz="0" w:space="0" w:color="auto"/>
        <w:bottom w:val="none" w:sz="0" w:space="0" w:color="auto"/>
        <w:right w:val="none" w:sz="0" w:space="0" w:color="auto"/>
      </w:divBdr>
    </w:div>
    <w:div w:id="1231621813">
      <w:bodyDiv w:val="1"/>
      <w:marLeft w:val="0"/>
      <w:marRight w:val="0"/>
      <w:marTop w:val="0"/>
      <w:marBottom w:val="0"/>
      <w:divBdr>
        <w:top w:val="none" w:sz="0" w:space="0" w:color="auto"/>
        <w:left w:val="none" w:sz="0" w:space="0" w:color="auto"/>
        <w:bottom w:val="none" w:sz="0" w:space="0" w:color="auto"/>
        <w:right w:val="none" w:sz="0" w:space="0" w:color="auto"/>
      </w:divBdr>
    </w:div>
    <w:div w:id="1233203482">
      <w:bodyDiv w:val="1"/>
      <w:marLeft w:val="0"/>
      <w:marRight w:val="0"/>
      <w:marTop w:val="0"/>
      <w:marBottom w:val="0"/>
      <w:divBdr>
        <w:top w:val="none" w:sz="0" w:space="0" w:color="auto"/>
        <w:left w:val="none" w:sz="0" w:space="0" w:color="auto"/>
        <w:bottom w:val="none" w:sz="0" w:space="0" w:color="auto"/>
        <w:right w:val="none" w:sz="0" w:space="0" w:color="auto"/>
      </w:divBdr>
    </w:div>
    <w:div w:id="1400326814">
      <w:bodyDiv w:val="1"/>
      <w:marLeft w:val="0"/>
      <w:marRight w:val="0"/>
      <w:marTop w:val="0"/>
      <w:marBottom w:val="0"/>
      <w:divBdr>
        <w:top w:val="none" w:sz="0" w:space="0" w:color="auto"/>
        <w:left w:val="none" w:sz="0" w:space="0" w:color="auto"/>
        <w:bottom w:val="none" w:sz="0" w:space="0" w:color="auto"/>
        <w:right w:val="none" w:sz="0" w:space="0" w:color="auto"/>
      </w:divBdr>
    </w:div>
    <w:div w:id="1443652326">
      <w:bodyDiv w:val="1"/>
      <w:marLeft w:val="0"/>
      <w:marRight w:val="0"/>
      <w:marTop w:val="0"/>
      <w:marBottom w:val="0"/>
      <w:divBdr>
        <w:top w:val="none" w:sz="0" w:space="0" w:color="auto"/>
        <w:left w:val="none" w:sz="0" w:space="0" w:color="auto"/>
        <w:bottom w:val="none" w:sz="0" w:space="0" w:color="auto"/>
        <w:right w:val="none" w:sz="0" w:space="0" w:color="auto"/>
      </w:divBdr>
    </w:div>
    <w:div w:id="1490749274">
      <w:bodyDiv w:val="1"/>
      <w:marLeft w:val="0"/>
      <w:marRight w:val="0"/>
      <w:marTop w:val="0"/>
      <w:marBottom w:val="0"/>
      <w:divBdr>
        <w:top w:val="none" w:sz="0" w:space="0" w:color="auto"/>
        <w:left w:val="none" w:sz="0" w:space="0" w:color="auto"/>
        <w:bottom w:val="none" w:sz="0" w:space="0" w:color="auto"/>
        <w:right w:val="none" w:sz="0" w:space="0" w:color="auto"/>
      </w:divBdr>
    </w:div>
    <w:div w:id="1512573854">
      <w:bodyDiv w:val="1"/>
      <w:marLeft w:val="0"/>
      <w:marRight w:val="0"/>
      <w:marTop w:val="0"/>
      <w:marBottom w:val="0"/>
      <w:divBdr>
        <w:top w:val="none" w:sz="0" w:space="0" w:color="auto"/>
        <w:left w:val="none" w:sz="0" w:space="0" w:color="auto"/>
        <w:bottom w:val="none" w:sz="0" w:space="0" w:color="auto"/>
        <w:right w:val="none" w:sz="0" w:space="0" w:color="auto"/>
      </w:divBdr>
    </w:div>
    <w:div w:id="1516383302">
      <w:bodyDiv w:val="1"/>
      <w:marLeft w:val="0"/>
      <w:marRight w:val="0"/>
      <w:marTop w:val="0"/>
      <w:marBottom w:val="0"/>
      <w:divBdr>
        <w:top w:val="none" w:sz="0" w:space="0" w:color="auto"/>
        <w:left w:val="none" w:sz="0" w:space="0" w:color="auto"/>
        <w:bottom w:val="none" w:sz="0" w:space="0" w:color="auto"/>
        <w:right w:val="none" w:sz="0" w:space="0" w:color="auto"/>
      </w:divBdr>
      <w:divsChild>
        <w:div w:id="1610314035">
          <w:marLeft w:val="0"/>
          <w:marRight w:val="0"/>
          <w:marTop w:val="34"/>
          <w:marBottom w:val="34"/>
          <w:divBdr>
            <w:top w:val="none" w:sz="0" w:space="0" w:color="auto"/>
            <w:left w:val="none" w:sz="0" w:space="0" w:color="auto"/>
            <w:bottom w:val="none" w:sz="0" w:space="0" w:color="auto"/>
            <w:right w:val="none" w:sz="0" w:space="0" w:color="auto"/>
          </w:divBdr>
        </w:div>
      </w:divsChild>
    </w:div>
    <w:div w:id="1664353467">
      <w:bodyDiv w:val="1"/>
      <w:marLeft w:val="0"/>
      <w:marRight w:val="0"/>
      <w:marTop w:val="0"/>
      <w:marBottom w:val="0"/>
      <w:divBdr>
        <w:top w:val="none" w:sz="0" w:space="0" w:color="auto"/>
        <w:left w:val="none" w:sz="0" w:space="0" w:color="auto"/>
        <w:bottom w:val="none" w:sz="0" w:space="0" w:color="auto"/>
        <w:right w:val="none" w:sz="0" w:space="0" w:color="auto"/>
      </w:divBdr>
      <w:divsChild>
        <w:div w:id="365446862">
          <w:marLeft w:val="0"/>
          <w:marRight w:val="0"/>
          <w:marTop w:val="34"/>
          <w:marBottom w:val="34"/>
          <w:divBdr>
            <w:top w:val="none" w:sz="0" w:space="0" w:color="auto"/>
            <w:left w:val="none" w:sz="0" w:space="0" w:color="auto"/>
            <w:bottom w:val="none" w:sz="0" w:space="0" w:color="auto"/>
            <w:right w:val="none" w:sz="0" w:space="0" w:color="auto"/>
          </w:divBdr>
        </w:div>
      </w:divsChild>
    </w:div>
    <w:div w:id="1937209925">
      <w:bodyDiv w:val="1"/>
      <w:marLeft w:val="0"/>
      <w:marRight w:val="0"/>
      <w:marTop w:val="0"/>
      <w:marBottom w:val="0"/>
      <w:divBdr>
        <w:top w:val="none" w:sz="0" w:space="0" w:color="auto"/>
        <w:left w:val="none" w:sz="0" w:space="0" w:color="auto"/>
        <w:bottom w:val="none" w:sz="0" w:space="0" w:color="auto"/>
        <w:right w:val="none" w:sz="0" w:space="0" w:color="auto"/>
      </w:divBdr>
    </w:div>
    <w:div w:id="1967731703">
      <w:bodyDiv w:val="1"/>
      <w:marLeft w:val="0"/>
      <w:marRight w:val="0"/>
      <w:marTop w:val="0"/>
      <w:marBottom w:val="0"/>
      <w:divBdr>
        <w:top w:val="none" w:sz="0" w:space="0" w:color="auto"/>
        <w:left w:val="none" w:sz="0" w:space="0" w:color="auto"/>
        <w:bottom w:val="none" w:sz="0" w:space="0" w:color="auto"/>
        <w:right w:val="none" w:sz="0" w:space="0" w:color="auto"/>
      </w:divBdr>
      <w:divsChild>
        <w:div w:id="302857997">
          <w:marLeft w:val="0"/>
          <w:marRight w:val="0"/>
          <w:marTop w:val="34"/>
          <w:marBottom w:val="34"/>
          <w:divBdr>
            <w:top w:val="none" w:sz="0" w:space="0" w:color="auto"/>
            <w:left w:val="none" w:sz="0" w:space="0" w:color="auto"/>
            <w:bottom w:val="none" w:sz="0" w:space="0" w:color="auto"/>
            <w:right w:val="none" w:sz="0" w:space="0" w:color="auto"/>
          </w:divBdr>
        </w:div>
      </w:divsChild>
    </w:div>
    <w:div w:id="2006472766">
      <w:bodyDiv w:val="1"/>
      <w:marLeft w:val="0"/>
      <w:marRight w:val="0"/>
      <w:marTop w:val="0"/>
      <w:marBottom w:val="0"/>
      <w:divBdr>
        <w:top w:val="none" w:sz="0" w:space="0" w:color="auto"/>
        <w:left w:val="none" w:sz="0" w:space="0" w:color="auto"/>
        <w:bottom w:val="none" w:sz="0" w:space="0" w:color="auto"/>
        <w:right w:val="none" w:sz="0" w:space="0" w:color="auto"/>
      </w:divBdr>
    </w:div>
    <w:div w:id="211347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51935-B64D-463A-9362-D619600A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6170</Words>
  <Characters>35169</Characters>
  <Application>Microsoft Office Word</Application>
  <DocSecurity>0</DocSecurity>
  <Lines>293</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ITC</Company>
  <LinksUpToDate>false</LinksUpToDate>
  <CharactersWithSpaces>41257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ITC</dc:creator>
  <cp:lastModifiedBy>Lee Smith</cp:lastModifiedBy>
  <cp:revision>2</cp:revision>
  <cp:lastPrinted>2019-04-01T13:35:00Z</cp:lastPrinted>
  <dcterms:created xsi:type="dcterms:W3CDTF">2019-07-09T05:00:00Z</dcterms:created>
  <dcterms:modified xsi:type="dcterms:W3CDTF">2019-07-09T05:00:00Z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id="yqwrWTwp"/&gt;&lt;style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