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B1" w:rsidRPr="0025791D" w:rsidRDefault="00E469B1" w:rsidP="00E469B1">
      <w:pPr>
        <w:spacing w:line="360" w:lineRule="auto"/>
        <w:rPr>
          <w:color w:val="000000"/>
          <w:sz w:val="32"/>
          <w:lang w:eastAsia="el-GR"/>
        </w:rPr>
      </w:pPr>
      <w:r w:rsidRPr="0025791D">
        <w:rPr>
          <w:color w:val="000000"/>
          <w:sz w:val="32"/>
          <w:lang w:eastAsia="el-GR"/>
        </w:rPr>
        <w:t>Family Support, School-Age and Workplace Bullying for LGB people</w:t>
      </w:r>
    </w:p>
    <w:p w:rsidR="00E469B1" w:rsidRPr="00E469B1" w:rsidRDefault="00E469B1" w:rsidP="00E469B1">
      <w:pPr>
        <w:spacing w:line="360" w:lineRule="auto"/>
        <w:rPr>
          <w:color w:val="000000"/>
          <w:lang w:eastAsia="el-GR"/>
        </w:rPr>
      </w:pPr>
    </w:p>
    <w:p w:rsidR="0025791D" w:rsidRPr="0025791D" w:rsidRDefault="0025791D" w:rsidP="0025791D">
      <w:pPr>
        <w:rPr>
          <w:b/>
        </w:rPr>
      </w:pPr>
      <w:r w:rsidRPr="0025791D">
        <w:rPr>
          <w:b/>
        </w:rPr>
        <w:t>Nick Drydakis</w:t>
      </w:r>
    </w:p>
    <w:p w:rsidR="0025791D" w:rsidRPr="0025791D" w:rsidRDefault="0025791D" w:rsidP="0025791D">
      <w:r w:rsidRPr="0025791D">
        <w:t xml:space="preserve">(School of Economics and International Business, Centre for Pluralist Economics, Faculty of Business and Law, Anglia Ruskin University, Cambridge, UK), </w:t>
      </w:r>
    </w:p>
    <w:p w:rsidR="0025791D" w:rsidRPr="0025791D" w:rsidRDefault="0025791D" w:rsidP="0025791D">
      <w:r w:rsidRPr="0025791D">
        <w:t>(University of Cambridge, Pembroke College,</w:t>
      </w:r>
      <w:r w:rsidRPr="0025791D">
        <w:rPr>
          <w:rFonts w:ascii="Calibri" w:eastAsia="Calibri" w:hAnsi="Calibri"/>
          <w:sz w:val="22"/>
          <w:szCs w:val="22"/>
          <w:lang w:val="el-GR" w:eastAsia="en-US"/>
        </w:rPr>
        <w:t xml:space="preserve"> </w:t>
      </w:r>
      <w:r w:rsidRPr="0025791D">
        <w:t>Cambridge, UK),</w:t>
      </w:r>
    </w:p>
    <w:p w:rsidR="0025791D" w:rsidRPr="0025791D" w:rsidRDefault="0025791D" w:rsidP="0025791D">
      <w:r w:rsidRPr="0025791D">
        <w:t>(University of Cambridge, Centre for Science and Policy, Cambridge, UK),</w:t>
      </w:r>
    </w:p>
    <w:p w:rsidR="0025791D" w:rsidRPr="0025791D" w:rsidRDefault="0025791D" w:rsidP="0025791D">
      <w:r w:rsidRPr="0025791D">
        <w:t>(Institute for the Study of Labor, Bonn, Germany), and</w:t>
      </w:r>
    </w:p>
    <w:p w:rsidR="0025791D" w:rsidRPr="0025791D" w:rsidRDefault="0025791D" w:rsidP="0025791D">
      <w:r w:rsidRPr="0025791D">
        <w:t>(Global Labor Organization, Germany)</w:t>
      </w:r>
    </w:p>
    <w:p w:rsidR="0025791D" w:rsidRPr="0025791D" w:rsidRDefault="0025791D" w:rsidP="0025791D"/>
    <w:p w:rsidR="0025791D" w:rsidRPr="0025791D" w:rsidRDefault="0025791D" w:rsidP="0025791D">
      <w:pPr>
        <w:rPr>
          <w:b/>
        </w:rPr>
      </w:pPr>
      <w:r w:rsidRPr="0025791D">
        <w:rPr>
          <w:b/>
        </w:rPr>
        <w:t>Katerina</w:t>
      </w:r>
      <w:r w:rsidRPr="0025791D">
        <w:rPr>
          <w:rFonts w:ascii="Calibri" w:eastAsia="Calibri" w:hAnsi="Calibri"/>
          <w:sz w:val="22"/>
          <w:szCs w:val="22"/>
          <w:lang w:val="el-GR" w:eastAsia="en-US"/>
        </w:rPr>
        <w:t xml:space="preserve"> </w:t>
      </w:r>
      <w:r w:rsidRPr="0025791D">
        <w:rPr>
          <w:b/>
        </w:rPr>
        <w:t>Sidiropoulou</w:t>
      </w:r>
    </w:p>
    <w:p w:rsidR="0025791D" w:rsidRPr="0025791D" w:rsidRDefault="0025791D" w:rsidP="0025791D">
      <w:r w:rsidRPr="0025791D">
        <w:t>(School of Management, Centre for Pluralist Economics, Faculty of Business and Law, Anglia Ruskin University, Cambridge, UK)</w:t>
      </w:r>
    </w:p>
    <w:p w:rsidR="0025791D" w:rsidRPr="0025791D" w:rsidRDefault="0025791D" w:rsidP="0025791D">
      <w:r w:rsidRPr="0025791D">
        <w:t>(Global Labor Organization, Germany)</w:t>
      </w:r>
    </w:p>
    <w:p w:rsidR="0025791D" w:rsidRPr="0025791D" w:rsidRDefault="0025791D" w:rsidP="0025791D"/>
    <w:p w:rsidR="0025791D" w:rsidRPr="0025791D" w:rsidRDefault="0025791D" w:rsidP="0025791D">
      <w:pPr>
        <w:rPr>
          <w:b/>
        </w:rPr>
      </w:pPr>
      <w:r w:rsidRPr="0025791D">
        <w:rPr>
          <w:b/>
        </w:rPr>
        <w:t>Benjamin</w:t>
      </w:r>
      <w:r w:rsidRPr="0025791D">
        <w:rPr>
          <w:rFonts w:ascii="Calibri" w:eastAsia="Calibri" w:hAnsi="Calibri"/>
          <w:sz w:val="22"/>
          <w:szCs w:val="22"/>
          <w:lang w:val="el-GR" w:eastAsia="en-US"/>
        </w:rPr>
        <w:t xml:space="preserve"> </w:t>
      </w:r>
      <w:r w:rsidRPr="0025791D">
        <w:rPr>
          <w:b/>
        </w:rPr>
        <w:t>Harvey</w:t>
      </w:r>
    </w:p>
    <w:p w:rsidR="0025791D" w:rsidRPr="0025791D" w:rsidRDefault="0025791D" w:rsidP="0025791D">
      <w:r w:rsidRPr="0025791D">
        <w:t>(School of Economics and International Business, Centre for Pluralist Economics, Faculty of Business and Law, Anglia Ruskin University, Cambridge, UK)</w:t>
      </w:r>
    </w:p>
    <w:p w:rsidR="0025791D" w:rsidRPr="0025791D" w:rsidRDefault="0025791D" w:rsidP="0025791D"/>
    <w:p w:rsidR="0025791D" w:rsidRPr="0025791D" w:rsidRDefault="0025791D" w:rsidP="0025791D">
      <w:pPr>
        <w:rPr>
          <w:b/>
        </w:rPr>
      </w:pPr>
      <w:r w:rsidRPr="0025791D">
        <w:rPr>
          <w:b/>
        </w:rPr>
        <w:t>Anna Paraskevopoulou</w:t>
      </w:r>
      <w:r w:rsidRPr="0025791D">
        <w:rPr>
          <w:rFonts w:ascii="Calibri" w:eastAsia="Calibri" w:hAnsi="Calibri"/>
          <w:sz w:val="22"/>
          <w:szCs w:val="22"/>
          <w:lang w:val="el-GR" w:eastAsia="en-US"/>
        </w:rPr>
        <w:t xml:space="preserve"> </w:t>
      </w:r>
    </w:p>
    <w:p w:rsidR="0025791D" w:rsidRPr="0025791D" w:rsidRDefault="0025791D" w:rsidP="0025791D">
      <w:r w:rsidRPr="0025791D">
        <w:t>(School of Management, Centre for Pluralist Economics, Faculty of Business and Law, Anglia Ruskin University, Cambridge, UK)</w:t>
      </w:r>
    </w:p>
    <w:p w:rsidR="0025791D" w:rsidRPr="0025791D" w:rsidRDefault="0025791D" w:rsidP="0025791D">
      <w:pPr>
        <w:spacing w:line="360" w:lineRule="auto"/>
        <w:rPr>
          <w:b/>
        </w:rPr>
      </w:pPr>
    </w:p>
    <w:p w:rsidR="0025791D" w:rsidRPr="0025791D" w:rsidRDefault="0025791D" w:rsidP="0025791D">
      <w:pPr>
        <w:rPr>
          <w:b/>
        </w:rPr>
      </w:pPr>
    </w:p>
    <w:p w:rsidR="0025791D" w:rsidRPr="0025791D" w:rsidRDefault="0025791D" w:rsidP="0025791D">
      <w:pPr>
        <w:pBdr>
          <w:top w:val="single" w:sz="4" w:space="1" w:color="auto"/>
        </w:pBdr>
        <w:rPr>
          <w:b/>
        </w:rPr>
      </w:pPr>
      <w:r w:rsidRPr="0025791D">
        <w:rPr>
          <w:b/>
        </w:rPr>
        <w:t xml:space="preserve">Acknowledgements </w:t>
      </w:r>
    </w:p>
    <w:p w:rsidR="0025791D" w:rsidRPr="005C3C1B" w:rsidRDefault="0025791D" w:rsidP="005C3C1B">
      <w:r w:rsidRPr="005C3C1B">
        <w:t>We acknowledge assistance from three anonymous referees whose comments and suggestions have significantly contributed to the improvement of previous versions of this paper. The data appendix, codes and STATA tables have been provided to the Editors and referees.</w:t>
      </w:r>
      <w:r w:rsidR="005C3C1B" w:rsidRPr="005C3C1B">
        <w:t xml:space="preserve"> We appreciate</w:t>
      </w:r>
      <w:r w:rsidRPr="005C3C1B">
        <w:t xml:space="preserve"> the study’s participants, Anglia Rusk</w:t>
      </w:r>
      <w:r w:rsidR="005C3C1B" w:rsidRPr="005C3C1B">
        <w:t xml:space="preserve">in University and University of </w:t>
      </w:r>
      <w:r w:rsidRPr="005C3C1B">
        <w:t>Cambridge students for their assistance with data collection</w:t>
      </w:r>
      <w:r w:rsidR="005C3C1B" w:rsidRPr="005C3C1B">
        <w:t>. The project could not have happened without assistance and comments kindly provided by several UK LGBT unions.</w:t>
      </w:r>
    </w:p>
    <w:p w:rsidR="0025791D" w:rsidRDefault="0025791D" w:rsidP="0025791D">
      <w:pPr>
        <w:rPr>
          <w:b/>
        </w:rPr>
      </w:pPr>
    </w:p>
    <w:p w:rsidR="0025791D" w:rsidRDefault="0025791D" w:rsidP="0025791D">
      <w:pPr>
        <w:rPr>
          <w:b/>
        </w:rPr>
      </w:pPr>
    </w:p>
    <w:p w:rsidR="0025791D" w:rsidRDefault="0025791D" w:rsidP="0025791D">
      <w:pPr>
        <w:rPr>
          <w:b/>
        </w:rPr>
      </w:pPr>
    </w:p>
    <w:p w:rsidR="0025791D" w:rsidRPr="0025791D" w:rsidRDefault="0025791D" w:rsidP="0025791D">
      <w:pPr>
        <w:rPr>
          <w:b/>
        </w:rPr>
      </w:pPr>
    </w:p>
    <w:p w:rsidR="0025791D" w:rsidRPr="0025791D" w:rsidRDefault="0025791D" w:rsidP="0025791D">
      <w:pPr>
        <w:rPr>
          <w:b/>
        </w:rPr>
      </w:pPr>
      <w:r w:rsidRPr="0025791D">
        <w:rPr>
          <w:b/>
        </w:rPr>
        <w:t>Corresponding author</w:t>
      </w:r>
    </w:p>
    <w:p w:rsidR="0025791D" w:rsidRPr="0025791D" w:rsidRDefault="0025791D" w:rsidP="0025791D">
      <w:pPr>
        <w:rPr>
          <w:b/>
        </w:rPr>
      </w:pPr>
      <w:r w:rsidRPr="0025791D">
        <w:t>Nick Drydakis can be contacted at: nick.drydakis@anglia.ac.uk</w:t>
      </w:r>
      <w:r w:rsidRPr="0025791D">
        <w:cr/>
      </w:r>
    </w:p>
    <w:p w:rsidR="0025791D" w:rsidRDefault="0025791D" w:rsidP="00E469B1">
      <w:pPr>
        <w:spacing w:line="360" w:lineRule="auto"/>
        <w:rPr>
          <w:b/>
          <w:color w:val="000000"/>
          <w:lang w:eastAsia="el-GR"/>
        </w:rPr>
      </w:pPr>
    </w:p>
    <w:p w:rsidR="0025791D" w:rsidRDefault="0025791D" w:rsidP="00E469B1">
      <w:pPr>
        <w:spacing w:line="360" w:lineRule="auto"/>
        <w:rPr>
          <w:b/>
          <w:color w:val="000000"/>
          <w:lang w:eastAsia="el-GR"/>
        </w:rPr>
      </w:pPr>
    </w:p>
    <w:p w:rsidR="0025791D" w:rsidRDefault="0025791D" w:rsidP="00E469B1">
      <w:pPr>
        <w:spacing w:line="360" w:lineRule="auto"/>
        <w:rPr>
          <w:b/>
          <w:color w:val="000000"/>
          <w:lang w:eastAsia="el-GR"/>
        </w:rPr>
      </w:pPr>
    </w:p>
    <w:p w:rsidR="0025791D" w:rsidRDefault="0025791D" w:rsidP="00E469B1">
      <w:pPr>
        <w:spacing w:line="360" w:lineRule="auto"/>
        <w:rPr>
          <w:b/>
          <w:color w:val="000000"/>
          <w:lang w:eastAsia="el-GR"/>
        </w:rPr>
      </w:pPr>
    </w:p>
    <w:p w:rsidR="0025791D" w:rsidRDefault="0025791D" w:rsidP="00E469B1">
      <w:pPr>
        <w:spacing w:line="360" w:lineRule="auto"/>
        <w:rPr>
          <w:b/>
          <w:color w:val="000000"/>
          <w:lang w:eastAsia="el-GR"/>
        </w:rPr>
      </w:pPr>
    </w:p>
    <w:p w:rsidR="0025791D" w:rsidRDefault="0025791D" w:rsidP="00E469B1">
      <w:pPr>
        <w:spacing w:line="360" w:lineRule="auto"/>
        <w:rPr>
          <w:b/>
          <w:color w:val="000000"/>
          <w:lang w:eastAsia="el-GR"/>
        </w:rPr>
      </w:pPr>
    </w:p>
    <w:p w:rsidR="0025791D" w:rsidRDefault="0025791D" w:rsidP="00E469B1">
      <w:pPr>
        <w:spacing w:line="360" w:lineRule="auto"/>
        <w:rPr>
          <w:b/>
          <w:color w:val="000000"/>
          <w:lang w:eastAsia="el-GR"/>
        </w:rPr>
      </w:pPr>
    </w:p>
    <w:p w:rsidR="00E469B1" w:rsidRPr="00E469B1" w:rsidRDefault="00E469B1" w:rsidP="00E469B1">
      <w:pPr>
        <w:spacing w:line="360" w:lineRule="auto"/>
        <w:rPr>
          <w:b/>
          <w:color w:val="000000"/>
          <w:lang w:eastAsia="el-GR"/>
        </w:rPr>
      </w:pPr>
      <w:r w:rsidRPr="00E469B1">
        <w:rPr>
          <w:b/>
          <w:color w:val="000000"/>
          <w:lang w:eastAsia="el-GR"/>
        </w:rPr>
        <w:lastRenderedPageBreak/>
        <w:t>Purpose</w:t>
      </w:r>
    </w:p>
    <w:p w:rsidR="00E469B1" w:rsidRPr="00E469B1" w:rsidRDefault="00E469B1" w:rsidP="00E469B1">
      <w:pPr>
        <w:spacing w:line="360" w:lineRule="auto"/>
        <w:rPr>
          <w:color w:val="000000"/>
          <w:lang w:eastAsia="el-GR"/>
        </w:rPr>
      </w:pPr>
      <w:r w:rsidRPr="00E469B1">
        <w:rPr>
          <w:color w:val="000000"/>
          <w:lang w:eastAsia="el-GR"/>
        </w:rPr>
        <w:t>We examine associations between (i) family support during the school-age period, and school</w:t>
      </w:r>
      <w:r w:rsidRPr="00E469B1">
        <w:rPr>
          <w:rFonts w:ascii="Cambria Math" w:hAnsi="Cambria Math" w:cs="Cambria Math"/>
          <w:color w:val="000000"/>
          <w:lang w:eastAsia="el-GR"/>
        </w:rPr>
        <w:t>‐</w:t>
      </w:r>
      <w:r w:rsidRPr="00E469B1">
        <w:rPr>
          <w:color w:val="000000"/>
          <w:lang w:eastAsia="el-GR"/>
        </w:rPr>
        <w:t>age bullying (short-term associations), and (ii) family support during the school-age period and workplace bullying (long-term associations) for Gay, Lesbian and Bisexual (LGB) adults in Britain.</w:t>
      </w:r>
    </w:p>
    <w:p w:rsidR="00E469B1" w:rsidRPr="00E469B1" w:rsidRDefault="00E469B1" w:rsidP="00E469B1">
      <w:pPr>
        <w:spacing w:line="360" w:lineRule="auto"/>
        <w:rPr>
          <w:b/>
          <w:color w:val="000000"/>
          <w:lang w:eastAsia="el-GR"/>
        </w:rPr>
      </w:pPr>
      <w:r w:rsidRPr="00E469B1">
        <w:rPr>
          <w:b/>
          <w:color w:val="000000"/>
          <w:lang w:eastAsia="el-GR"/>
        </w:rPr>
        <w:t>Methodology</w:t>
      </w:r>
    </w:p>
    <w:p w:rsidR="00E469B1" w:rsidRPr="00E469B1" w:rsidRDefault="00E469B1" w:rsidP="00E469B1">
      <w:pPr>
        <w:spacing w:line="360" w:lineRule="auto"/>
        <w:rPr>
          <w:color w:val="000000"/>
          <w:lang w:eastAsia="el-GR"/>
        </w:rPr>
      </w:pPr>
      <w:r w:rsidRPr="00E469B1">
        <w:rPr>
          <w:color w:val="000000"/>
          <w:lang w:eastAsia="el-GR"/>
        </w:rPr>
        <w:t>We employ retrospective questions regarding family support for LGB children and school-age bullying and questions regarding workplace bullying in the respondents’ present jobs. A 2016 data set was utilized which was created by attending events during the UK LGBT History Month.</w:t>
      </w:r>
    </w:p>
    <w:p w:rsidR="00E469B1" w:rsidRPr="00E469B1" w:rsidRDefault="00E469B1" w:rsidP="00E469B1">
      <w:pPr>
        <w:spacing w:line="360" w:lineRule="auto"/>
        <w:rPr>
          <w:b/>
          <w:color w:val="000000"/>
          <w:lang w:eastAsia="el-GR"/>
        </w:rPr>
      </w:pPr>
      <w:r w:rsidRPr="00E469B1">
        <w:rPr>
          <w:b/>
          <w:color w:val="000000"/>
          <w:lang w:eastAsia="el-GR"/>
        </w:rPr>
        <w:t>Findings</w:t>
      </w:r>
    </w:p>
    <w:p w:rsidR="00E469B1" w:rsidRPr="00E469B1" w:rsidRDefault="00E469B1" w:rsidP="00E469B1">
      <w:pPr>
        <w:spacing w:line="360" w:lineRule="auto"/>
        <w:rPr>
          <w:color w:val="000000"/>
          <w:lang w:eastAsia="el-GR"/>
        </w:rPr>
      </w:pPr>
      <w:r w:rsidRPr="00E469B1">
        <w:rPr>
          <w:color w:val="000000"/>
          <w:lang w:eastAsia="el-GR"/>
        </w:rPr>
        <w:t>The empirical investigation demonstrates that supportive family environments towards LGB children reduce both school-age and workplace bullying.</w:t>
      </w:r>
    </w:p>
    <w:p w:rsidR="00E469B1" w:rsidRPr="00E469B1" w:rsidRDefault="00E469B1" w:rsidP="00E469B1">
      <w:pPr>
        <w:spacing w:line="360" w:lineRule="auto"/>
        <w:rPr>
          <w:b/>
          <w:color w:val="000000"/>
          <w:lang w:eastAsia="el-GR"/>
        </w:rPr>
      </w:pPr>
      <w:r w:rsidRPr="00E469B1">
        <w:rPr>
          <w:b/>
          <w:color w:val="000000"/>
          <w:lang w:eastAsia="el-GR"/>
        </w:rPr>
        <w:t>Implications</w:t>
      </w:r>
    </w:p>
    <w:p w:rsidR="00E469B1" w:rsidRPr="00E469B1" w:rsidRDefault="00E469B1" w:rsidP="00E469B1">
      <w:pPr>
        <w:spacing w:line="360" w:lineRule="auto"/>
        <w:rPr>
          <w:color w:val="000000"/>
          <w:lang w:eastAsia="el-GR"/>
        </w:rPr>
      </w:pPr>
      <w:r w:rsidRPr="00E469B1">
        <w:rPr>
          <w:color w:val="000000"/>
          <w:lang w:eastAsia="el-GR"/>
        </w:rPr>
        <w:t xml:space="preserve">Given the increasing </w:t>
      </w:r>
      <w:r w:rsidR="00560CB6">
        <w:rPr>
          <w:color w:val="000000"/>
          <w:lang w:eastAsia="el-GR"/>
        </w:rPr>
        <w:t>number of people self-</w:t>
      </w:r>
      <w:r w:rsidR="00A167BE">
        <w:rPr>
          <w:color w:val="000000"/>
          <w:lang w:eastAsia="el-GR"/>
        </w:rPr>
        <w:t>identifying</w:t>
      </w:r>
      <w:r w:rsidRPr="00E469B1">
        <w:rPr>
          <w:color w:val="000000"/>
          <w:lang w:eastAsia="el-GR"/>
        </w:rPr>
        <w:t xml:space="preserve"> as LGB, the significant percentages of school and workplace bullying incidents and the corresponding negative effects on people’s lives, it is important to examine the benefits of family support with regards to reducing school and workplace victimization.</w:t>
      </w:r>
      <w:r w:rsidRPr="00E469B1">
        <w:t xml:space="preserve"> This study</w:t>
      </w:r>
      <w:r w:rsidRPr="00E469B1">
        <w:rPr>
          <w:color w:val="000000"/>
          <w:lang w:eastAsia="el-GR"/>
        </w:rPr>
        <w:t xml:space="preserve"> </w:t>
      </w:r>
      <w:r w:rsidR="00E160FD">
        <w:rPr>
          <w:color w:val="000000"/>
          <w:lang w:eastAsia="el-GR"/>
        </w:rPr>
        <w:t>also reports</w:t>
      </w:r>
      <w:r w:rsidRPr="00E469B1">
        <w:rPr>
          <w:color w:val="000000"/>
          <w:lang w:eastAsia="el-GR"/>
        </w:rPr>
        <w:t xml:space="preserve"> that family support could have an enduring influence on the experiences of LGB children and adults.</w:t>
      </w:r>
    </w:p>
    <w:p w:rsidR="00E469B1" w:rsidRPr="00E469B1" w:rsidRDefault="00E469B1" w:rsidP="00E469B1">
      <w:pPr>
        <w:spacing w:line="360" w:lineRule="auto"/>
        <w:rPr>
          <w:b/>
          <w:color w:val="000000"/>
          <w:lang w:eastAsia="el-GR"/>
        </w:rPr>
      </w:pPr>
      <w:r w:rsidRPr="00E469B1">
        <w:rPr>
          <w:b/>
          <w:color w:val="000000"/>
          <w:lang w:eastAsia="el-GR"/>
        </w:rPr>
        <w:t>Originality</w:t>
      </w:r>
    </w:p>
    <w:p w:rsidR="00E469B1" w:rsidRPr="00E469B1" w:rsidRDefault="00F15B9B" w:rsidP="00E469B1">
      <w:pPr>
        <w:spacing w:line="360" w:lineRule="auto"/>
        <w:rPr>
          <w:color w:val="000000"/>
          <w:lang w:eastAsia="el-GR"/>
        </w:rPr>
      </w:pPr>
      <w:r>
        <w:rPr>
          <w:color w:val="000000"/>
          <w:lang w:eastAsia="el-GR"/>
        </w:rPr>
        <w:t>N</w:t>
      </w:r>
      <w:r w:rsidR="00E469B1" w:rsidRPr="00E469B1">
        <w:rPr>
          <w:color w:val="000000"/>
          <w:lang w:eastAsia="el-GR"/>
        </w:rPr>
        <w:t xml:space="preserve">o known research has considered the possible developmental benefits of family support on reducing </w:t>
      </w:r>
      <w:r w:rsidR="00560CB6">
        <w:rPr>
          <w:color w:val="000000"/>
          <w:lang w:eastAsia="el-GR"/>
        </w:rPr>
        <w:t xml:space="preserve">future </w:t>
      </w:r>
      <w:r w:rsidR="00E469B1" w:rsidRPr="00E469B1">
        <w:rPr>
          <w:color w:val="000000"/>
          <w:lang w:eastAsia="el-GR"/>
        </w:rPr>
        <w:t xml:space="preserve">workplace bullying for LGB children. In addition, this might be the first study which simultaneously examines family support towards LGB children, school-age and workplace bullying. </w:t>
      </w:r>
    </w:p>
    <w:p w:rsidR="00E469B1" w:rsidRPr="00E469B1" w:rsidRDefault="00E469B1" w:rsidP="00E469B1">
      <w:pPr>
        <w:spacing w:line="360" w:lineRule="auto"/>
        <w:rPr>
          <w:color w:val="000000"/>
          <w:lang w:eastAsia="el-GR"/>
        </w:rPr>
      </w:pPr>
    </w:p>
    <w:p w:rsidR="00E469B1" w:rsidRPr="00E469B1" w:rsidRDefault="00E469B1" w:rsidP="00E469B1">
      <w:pPr>
        <w:spacing w:line="360" w:lineRule="auto"/>
        <w:rPr>
          <w:color w:val="000000"/>
          <w:lang w:eastAsia="el-GR"/>
        </w:rPr>
      </w:pPr>
      <w:r w:rsidRPr="00E469B1">
        <w:rPr>
          <w:b/>
          <w:color w:val="000000"/>
          <w:lang w:eastAsia="el-GR"/>
        </w:rPr>
        <w:t>Keywords:</w:t>
      </w:r>
      <w:r w:rsidRPr="00E469B1">
        <w:rPr>
          <w:color w:val="000000"/>
          <w:lang w:eastAsia="el-GR"/>
        </w:rPr>
        <w:t xml:space="preserve"> Family Support, School-age Bullying, Workplace Bullying; Sexual Orientation </w:t>
      </w:r>
    </w:p>
    <w:p w:rsidR="00E469B1" w:rsidRPr="00E469B1" w:rsidRDefault="00E469B1" w:rsidP="00E469B1">
      <w:pPr>
        <w:spacing w:line="360" w:lineRule="auto"/>
        <w:rPr>
          <w:color w:val="000000"/>
          <w:lang w:eastAsia="el-GR"/>
        </w:rPr>
      </w:pPr>
      <w:r w:rsidRPr="00E469B1">
        <w:rPr>
          <w:b/>
          <w:color w:val="000000"/>
          <w:lang w:eastAsia="el-GR"/>
        </w:rPr>
        <w:t>JEL Classification:</w:t>
      </w:r>
      <w:r w:rsidRPr="00E469B1">
        <w:rPr>
          <w:color w:val="000000"/>
          <w:lang w:eastAsia="el-GR"/>
        </w:rPr>
        <w:t xml:space="preserve"> D1; J13; J15; I31</w:t>
      </w:r>
    </w:p>
    <w:p w:rsidR="00E469B1" w:rsidRPr="00E469B1" w:rsidRDefault="00E469B1" w:rsidP="00E469B1">
      <w:pPr>
        <w:spacing w:line="360" w:lineRule="auto"/>
        <w:rPr>
          <w:color w:val="000000"/>
          <w:lang w:eastAsia="el-GR"/>
        </w:rPr>
      </w:pPr>
    </w:p>
    <w:p w:rsidR="00E469B1" w:rsidRPr="00E469B1" w:rsidRDefault="00E469B1" w:rsidP="00E469B1">
      <w:pPr>
        <w:spacing w:line="360" w:lineRule="auto"/>
        <w:rPr>
          <w:color w:val="000000"/>
          <w:lang w:eastAsia="el-GR"/>
        </w:rPr>
      </w:pPr>
    </w:p>
    <w:p w:rsidR="00E469B1" w:rsidRDefault="00E469B1" w:rsidP="00E469B1">
      <w:pPr>
        <w:spacing w:line="360" w:lineRule="auto"/>
        <w:rPr>
          <w:color w:val="000000"/>
          <w:lang w:eastAsia="el-GR"/>
        </w:rPr>
      </w:pPr>
    </w:p>
    <w:p w:rsidR="00F15B9B" w:rsidRDefault="00F15B9B" w:rsidP="00E469B1">
      <w:pPr>
        <w:spacing w:line="360" w:lineRule="auto"/>
        <w:rPr>
          <w:color w:val="000000"/>
          <w:lang w:eastAsia="el-GR"/>
        </w:rPr>
      </w:pPr>
    </w:p>
    <w:p w:rsidR="00F15B9B" w:rsidRPr="00E469B1" w:rsidRDefault="00F15B9B" w:rsidP="00E469B1">
      <w:pPr>
        <w:spacing w:line="360" w:lineRule="auto"/>
        <w:rPr>
          <w:color w:val="000000"/>
          <w:lang w:eastAsia="el-GR"/>
        </w:rPr>
      </w:pPr>
    </w:p>
    <w:p w:rsidR="00E469B1" w:rsidRPr="00E469B1" w:rsidRDefault="00E469B1" w:rsidP="00E469B1">
      <w:pPr>
        <w:spacing w:line="360" w:lineRule="auto"/>
        <w:rPr>
          <w:color w:val="000000"/>
          <w:lang w:eastAsia="el-GR"/>
        </w:rPr>
      </w:pPr>
    </w:p>
    <w:p w:rsidR="00E469B1" w:rsidRPr="00E469B1" w:rsidRDefault="00E469B1" w:rsidP="00E469B1">
      <w:pPr>
        <w:spacing w:line="360" w:lineRule="auto"/>
        <w:rPr>
          <w:color w:val="000000"/>
          <w:lang w:eastAsia="el-GR"/>
        </w:rPr>
      </w:pPr>
    </w:p>
    <w:p w:rsidR="00E469B1" w:rsidRPr="00E469B1" w:rsidRDefault="00E469B1" w:rsidP="00E469B1">
      <w:pPr>
        <w:spacing w:line="360" w:lineRule="auto"/>
        <w:rPr>
          <w:b/>
        </w:rPr>
      </w:pPr>
      <w:r w:rsidRPr="00E469B1">
        <w:rPr>
          <w:b/>
        </w:rPr>
        <w:lastRenderedPageBreak/>
        <w:t>1. Introduction</w:t>
      </w:r>
    </w:p>
    <w:p w:rsidR="00E469B1" w:rsidRPr="00E469B1" w:rsidRDefault="00E469B1" w:rsidP="00E469B1">
      <w:pPr>
        <w:spacing w:line="360" w:lineRule="auto"/>
        <w:ind w:firstLine="720"/>
      </w:pPr>
      <w:r w:rsidRPr="00E469B1">
        <w:t xml:space="preserve">Sexual orientation minorities in the UK seem to experience </w:t>
      </w:r>
      <w:r w:rsidR="00560CB6">
        <w:t xml:space="preserve">adverse societal </w:t>
      </w:r>
      <w:r w:rsidRPr="00E469B1">
        <w:t>ch</w:t>
      </w:r>
      <w:r w:rsidR="00560CB6">
        <w:t xml:space="preserve">allenges in their families, schools and workplaces </w:t>
      </w:r>
      <w:r w:rsidRPr="00E469B1">
        <w:t>(Office for National Statistics, 2018). A 2018 national representative study found that only 56% of respondents scored themselves as comfortable being</w:t>
      </w:r>
      <w:r w:rsidR="005A57AF">
        <w:t xml:space="preserve"> </w:t>
      </w:r>
      <w:r w:rsidRPr="00E469B1">
        <w:t xml:space="preserve">LGB </w:t>
      </w:r>
      <w:r w:rsidR="008D3E0C">
        <w:t>(lesbian, gay, bisexual)</w:t>
      </w:r>
      <w:r w:rsidR="008D3E0C" w:rsidRPr="00E469B1">
        <w:t xml:space="preserve"> </w:t>
      </w:r>
      <w:r w:rsidRPr="00E469B1">
        <w:t xml:space="preserve">in the UK, scoring their life satisfaction on average 6.48 out of 10, compared to 7.66 for the general UK population (Office for National Statistics, 2018). The study </w:t>
      </w:r>
      <w:r w:rsidR="00E160FD">
        <w:t>reported</w:t>
      </w:r>
      <w:r w:rsidRPr="00E469B1">
        <w:t xml:space="preserve"> that 70% of respondents avoid being open about their sexual orientation for fear of an adverse reaction from others, predominantly in the workplace. </w:t>
      </w:r>
      <w:r w:rsidR="00E160FD">
        <w:t>In addition, t</w:t>
      </w:r>
      <w:r w:rsidRPr="00E469B1">
        <w:t xml:space="preserve">he study found that 19% of respondents said that they had received verbal harassment, insults or other hurtful comments in education due to their sexual orientation. An even higher percentage of respondents (23%) </w:t>
      </w:r>
      <w:r w:rsidR="00E160FD">
        <w:t>reported</w:t>
      </w:r>
      <w:r w:rsidRPr="00E469B1">
        <w:t xml:space="preserve"> that </w:t>
      </w:r>
      <w:r w:rsidR="008D3E0C">
        <w:t xml:space="preserve">they </w:t>
      </w:r>
      <w:r w:rsidRPr="00E469B1">
        <w:t xml:space="preserve">had experienced a negative or mixed reaction from others in the workplace due to their sexual orientation. </w:t>
      </w:r>
      <w:r w:rsidR="00E160FD">
        <w:t>Moreover, t</w:t>
      </w:r>
      <w:r w:rsidRPr="00E469B1">
        <w:t>he study noted the long-term negative effect of bullying on respondents’ well-being indicators. By observing the assigned patterns</w:t>
      </w:r>
      <w:r w:rsidR="00661C66">
        <w:t xml:space="preserve"> in the aforementioned study (</w:t>
      </w:r>
      <w:r w:rsidR="00661C66" w:rsidRPr="00E469B1">
        <w:t>Office for National Statistics, 2018</w:t>
      </w:r>
      <w:r w:rsidR="00661C66">
        <w:t>)</w:t>
      </w:r>
      <w:r w:rsidRPr="00E469B1">
        <w:t xml:space="preserve">, we investigate which factors might moderate bullying incidents against sexual orientation minorities.  </w:t>
      </w:r>
    </w:p>
    <w:p w:rsidR="00E469B1" w:rsidRPr="00E469B1" w:rsidRDefault="00E160FD" w:rsidP="00E469B1">
      <w:pPr>
        <w:spacing w:line="360" w:lineRule="auto"/>
        <w:ind w:firstLine="720"/>
      </w:pPr>
      <w:r>
        <w:t xml:space="preserve">In the present </w:t>
      </w:r>
      <w:r w:rsidR="00E469B1" w:rsidRPr="00E469B1">
        <w:t xml:space="preserve">study, using a 2016 data set we address two questions about the association between family support and bullying against sexual orientation minority people in Britain: (1) Can family support reduce school-age bullying? and (2) Can family support, during the school-age period, reduce </w:t>
      </w:r>
      <w:r w:rsidR="0075558C">
        <w:t xml:space="preserve">future </w:t>
      </w:r>
      <w:r w:rsidR="00E469B1" w:rsidRPr="00E469B1">
        <w:t>workplace bullying? Although the first question has received some attention in the literature (</w:t>
      </w:r>
      <w:r w:rsidR="00E469B1" w:rsidRPr="00E469B1">
        <w:rPr>
          <w:color w:val="000000"/>
          <w:lang w:eastAsia="el-GR"/>
        </w:rPr>
        <w:t>Hall, 2018; Katz-Wise et al., 2016; Rosario, 2015; Ryan et al., 2010</w:t>
      </w:r>
      <w:r w:rsidR="00E469B1" w:rsidRPr="00E469B1">
        <w:t>)</w:t>
      </w:r>
      <w:r w:rsidR="00D77E21">
        <w:t>,</w:t>
      </w:r>
      <w:r w:rsidR="00E469B1" w:rsidRPr="00E469B1">
        <w:t xml:space="preserve"> the second question has not been examined. </w:t>
      </w:r>
    </w:p>
    <w:p w:rsidR="00E469B1" w:rsidRPr="00E469B1" w:rsidRDefault="00E469B1" w:rsidP="00E469B1">
      <w:pPr>
        <w:spacing w:line="360" w:lineRule="auto"/>
        <w:ind w:firstLine="720"/>
      </w:pPr>
      <w:r w:rsidRPr="00E469B1">
        <w:t>We examine whether enduring relationships exist between supportive families towards LGB children and future workplace victimization. Given the crucial role of parents in securing their children’s progression, it is surprising that so little attention has been paid to the relationship between family support and workplace victimization due to a minority sexual orientation. In addition, the lack of literature on the aforementioned issue is unanticipated given the increased number o</w:t>
      </w:r>
      <w:r w:rsidR="008D3E0C">
        <w:t>f people who are self-</w:t>
      </w:r>
      <w:r w:rsidR="00A167BE">
        <w:t>identifying</w:t>
      </w:r>
      <w:r w:rsidRPr="00E469B1">
        <w:t xml:space="preserve"> as </w:t>
      </w:r>
      <w:r w:rsidR="00D77E21">
        <w:t>LGB</w:t>
      </w:r>
      <w:r w:rsidRPr="00E469B1">
        <w:t>, the high level of victimization due to one’s minority sexual orientation and the corresponding adverse implications on physical and emotional health, human capital, and workplace outcomes (Drydakis, 2018</w:t>
      </w:r>
      <w:r w:rsidRPr="00E469B1">
        <w:rPr>
          <w:color w:val="000000"/>
          <w:lang w:eastAsia="el-GR"/>
        </w:rPr>
        <w:t>; Hafeez et al., 2017; Kidd et al., 2016;</w:t>
      </w:r>
      <w:r w:rsidRPr="00E469B1">
        <w:t xml:space="preserve"> Drydakis, 2014).</w:t>
      </w:r>
    </w:p>
    <w:p w:rsidR="00E469B1" w:rsidRPr="00E469B1" w:rsidRDefault="00E469B1" w:rsidP="00E469B1">
      <w:pPr>
        <w:spacing w:line="360" w:lineRule="auto"/>
        <w:ind w:firstLine="720"/>
      </w:pPr>
      <w:r w:rsidRPr="00E469B1">
        <w:t xml:space="preserve">The outcomes of this study will suggest that associations between </w:t>
      </w:r>
      <w:r w:rsidR="008D3E0C">
        <w:t xml:space="preserve">family support and lower school </w:t>
      </w:r>
      <w:r w:rsidR="008D3E0C" w:rsidRPr="008D3E0C">
        <w:t>bullying</w:t>
      </w:r>
      <w:r w:rsidRPr="00E469B1">
        <w:t xml:space="preserve"> and</w:t>
      </w:r>
      <w:r w:rsidR="008D3E0C">
        <w:t xml:space="preserve"> </w:t>
      </w:r>
      <w:r w:rsidRPr="00E469B1">
        <w:t xml:space="preserve">workplace-bullying exist for LGB people. Our study will also argue that supportive family environments could be associated with lower victimization in the </w:t>
      </w:r>
      <w:r w:rsidRPr="00E469B1">
        <w:lastRenderedPageBreak/>
        <w:t>workplace, implying that the family’s attitude towards an LGB child can have long lasting effects. The next section provides a literature review and the study’s hypotheses. In Section 3, we provide the data gathering process and descriptive statistics. In Section 4, the regression outcomes are presented. Finally, Section 5 offers a discussion and limitations followed by conclusions.</w:t>
      </w:r>
    </w:p>
    <w:p w:rsidR="00E469B1" w:rsidRPr="00E469B1" w:rsidRDefault="00E469B1" w:rsidP="00E469B1">
      <w:pPr>
        <w:spacing w:line="360" w:lineRule="auto"/>
        <w:ind w:firstLine="720"/>
      </w:pPr>
    </w:p>
    <w:p w:rsidR="00E469B1" w:rsidRPr="00E469B1" w:rsidRDefault="00E469B1" w:rsidP="00E469B1">
      <w:pPr>
        <w:spacing w:line="360" w:lineRule="auto"/>
        <w:rPr>
          <w:b/>
        </w:rPr>
      </w:pPr>
      <w:r w:rsidRPr="00E469B1">
        <w:rPr>
          <w:b/>
        </w:rPr>
        <w:t>2. Literature review and hypotheses</w:t>
      </w:r>
    </w:p>
    <w:p w:rsidR="00E469B1" w:rsidRPr="00E469B1" w:rsidRDefault="00E469B1" w:rsidP="00E469B1">
      <w:pPr>
        <w:spacing w:line="360" w:lineRule="auto"/>
        <w:ind w:firstLine="720"/>
        <w:rPr>
          <w:lang w:eastAsia="el-GR"/>
        </w:rPr>
      </w:pPr>
      <w:r w:rsidRPr="00E469B1">
        <w:rPr>
          <w:lang w:eastAsia="el-GR"/>
        </w:rPr>
        <w:t xml:space="preserve">Studies evaluate that six out of ten children have witnessed bullying incidents daily and one in three students in middle and high school experienced adverse mental health symptoms due to bullying (National Educational Association, 2012).The typical victim of bullying is one who is, among other traits, noticeably rejected and isolated by their peers (Cook et al., 2010). </w:t>
      </w:r>
    </w:p>
    <w:p w:rsidR="00E469B1" w:rsidRPr="00E469B1" w:rsidRDefault="00E469B1" w:rsidP="00E469B1">
      <w:pPr>
        <w:spacing w:line="360" w:lineRule="auto"/>
        <w:ind w:firstLine="720"/>
        <w:rPr>
          <w:color w:val="000000"/>
          <w:lang w:eastAsia="el-GR"/>
        </w:rPr>
      </w:pPr>
      <w:r w:rsidRPr="00E469B1">
        <w:rPr>
          <w:color w:val="000000"/>
          <w:lang w:eastAsia="el-GR"/>
        </w:rPr>
        <w:t>A 2015 review study of school-age bullying, regardless of one’s sexual orientation, found that victims between the age of 6 and 17 are more likely to develop anxiety disorders and depression disorder, psychotic experiences, increased risk of self-harm and poor well-being (</w:t>
      </w:r>
      <w:r w:rsidRPr="00E469B1">
        <w:t>Wolke and Lereya, 2015</w:t>
      </w:r>
      <w:r w:rsidRPr="00E469B1">
        <w:rPr>
          <w:color w:val="000000"/>
          <w:lang w:eastAsia="el-GR"/>
        </w:rPr>
        <w:t xml:space="preserve">). </w:t>
      </w:r>
      <w:r w:rsidRPr="00E469B1">
        <w:t>Studies have also found that the adverse effects of frequent bullying are just as detrimental 40 years later (Takizawa et al., 2014; Lund et al., 2008). For instance, compared to people who had never been bullied, those exposed to school-age bullying were at a significantly increased risk of having been diagnosed with depression between the ages of 31 and 51 (Lund et al., 2009). Being a victim of school-age bullying is associated with</w:t>
      </w:r>
      <w:r w:rsidR="00CD1E5D">
        <w:t xml:space="preserve"> internalising problems, recovering slowly</w:t>
      </w:r>
      <w:r w:rsidRPr="00E469B1">
        <w:t xml:space="preserve"> from illnesses and economic adaptation, </w:t>
      </w:r>
      <w:r w:rsidR="00CD1E5D">
        <w:t xml:space="preserve">experiencing </w:t>
      </w:r>
      <w:r w:rsidRPr="00E469B1">
        <w:t xml:space="preserve">more trouble making or keeping friends, and </w:t>
      </w:r>
      <w:r w:rsidR="00CD1E5D">
        <w:t xml:space="preserve">having </w:t>
      </w:r>
      <w:r w:rsidRPr="00E469B1">
        <w:t xml:space="preserve">a lower likelihood of living with a partner in young adulthood and middle adulthood (Wolke and Lereya, 2015). </w:t>
      </w:r>
      <w:r w:rsidRPr="00E469B1">
        <w:rPr>
          <w:color w:val="000000"/>
          <w:lang w:eastAsia="el-GR"/>
        </w:rPr>
        <w:t>It has also been estimated that school-age bullying is associated with lower human capital, including a lower probability of holding a higher education degree and lower wages (Drydakis, 2014).</w:t>
      </w:r>
    </w:p>
    <w:p w:rsidR="00E469B1" w:rsidRPr="00E469B1" w:rsidRDefault="00E469B1" w:rsidP="00E469B1">
      <w:pPr>
        <w:spacing w:line="360" w:lineRule="auto"/>
        <w:ind w:firstLine="720"/>
      </w:pPr>
      <w:r w:rsidRPr="00E469B1">
        <w:t>Review studies have provided potential channels by which school-bullying affects later life outcomes (Wolke and Lereya, 2015). Victimization is found to reduce physiological responses to stress, boost genetic vulnerability and ageing, and increase the risk of developing adverse mental health symptoms problems (Wolke and Lereya, 2015). It is suggested that victims of bullying might be vulnerable targets for bullies due to their sub-assertive behaviours and characteristics of vulnerability (Reijntjes et al., 2010; Newman et al., 2005; Meyers and Meyers, 2003).</w:t>
      </w:r>
    </w:p>
    <w:p w:rsidR="00E469B1" w:rsidRPr="00E469B1" w:rsidRDefault="00E469B1" w:rsidP="00E469B1">
      <w:pPr>
        <w:spacing w:line="360" w:lineRule="auto"/>
        <w:ind w:firstLine="720"/>
      </w:pPr>
      <w:r w:rsidRPr="00E469B1">
        <w:rPr>
          <w:lang w:eastAsia="el-GR"/>
        </w:rPr>
        <w:lastRenderedPageBreak/>
        <w:t>In relation to sexual orientation, international and UK studies have specified that between 44% and 96% of sexual orientation minority students experience bullying incidents (</w:t>
      </w:r>
      <w:r w:rsidRPr="00E469B1">
        <w:rPr>
          <w:color w:val="000000"/>
          <w:lang w:eastAsia="el-GR"/>
        </w:rPr>
        <w:t xml:space="preserve">Köllen, 2016; </w:t>
      </w:r>
      <w:r w:rsidRPr="00E469B1">
        <w:rPr>
          <w:lang w:eastAsia="el-GR"/>
        </w:rPr>
        <w:t xml:space="preserve">Guasp et al., 2012; Kosciw et al., 2008). </w:t>
      </w:r>
      <w:r w:rsidRPr="00E469B1">
        <w:rPr>
          <w:color w:val="000000"/>
          <w:lang w:eastAsia="el-GR"/>
        </w:rPr>
        <w:t>Review studies have also identified high rates of LGB stigma,</w:t>
      </w:r>
      <w:r w:rsidRPr="00E469B1">
        <w:t xml:space="preserve"> which is correlated with </w:t>
      </w:r>
      <w:r w:rsidRPr="00E469B1">
        <w:rPr>
          <w:color w:val="000000"/>
          <w:lang w:eastAsia="el-GR"/>
        </w:rPr>
        <w:t>instances of inequality, biased treatment, bullying, victimization, violence and murder (Köllen, 2016; Drydakis, 2014; 2017a; b). Further studies have evaluated that, due to societal bias and exposure to discrimination, sexual orientation minority children experience higher levels of</w:t>
      </w:r>
      <w:r w:rsidRPr="00E469B1">
        <w:t xml:space="preserve"> adverse </w:t>
      </w:r>
      <w:r w:rsidRPr="00E469B1">
        <w:rPr>
          <w:color w:val="000000"/>
          <w:lang w:eastAsia="el-GR"/>
        </w:rPr>
        <w:t>mental health problems, anxiety, depression, and suicide attempts</w:t>
      </w:r>
      <w:r w:rsidRPr="00E469B1">
        <w:t xml:space="preserve"> </w:t>
      </w:r>
      <w:r w:rsidRPr="00E469B1">
        <w:rPr>
          <w:color w:val="000000"/>
          <w:lang w:eastAsia="el-GR"/>
        </w:rPr>
        <w:t>relative to population averages</w:t>
      </w:r>
      <w:r w:rsidRPr="00E469B1">
        <w:rPr>
          <w:color w:val="000000"/>
          <w:vertAlign w:val="superscript"/>
          <w:lang w:eastAsia="el-GR"/>
        </w:rPr>
        <w:footnoteReference w:id="1"/>
      </w:r>
      <w:r w:rsidRPr="00E469B1">
        <w:rPr>
          <w:color w:val="000000"/>
          <w:lang w:eastAsia="el-GR"/>
        </w:rPr>
        <w:t xml:space="preserve"> (Hafeez, 2017; Kidd et al., 2016;</w:t>
      </w:r>
      <w:r w:rsidRPr="00E469B1">
        <w:t xml:space="preserve"> Lick et al., 2013; </w:t>
      </w:r>
      <w:r w:rsidRPr="00E469B1">
        <w:rPr>
          <w:color w:val="000000"/>
          <w:lang w:eastAsia="el-GR"/>
        </w:rPr>
        <w:t>British Psychological Society, 2012).</w:t>
      </w:r>
      <w:r w:rsidRPr="00E469B1">
        <w:t xml:space="preserve"> These adverse conditions for LGB people are found to persist over a long period of time and negatively affect their progression and well-being </w:t>
      </w:r>
      <w:r w:rsidRPr="00E469B1">
        <w:rPr>
          <w:color w:val="000000"/>
          <w:lang w:eastAsia="el-GR"/>
        </w:rPr>
        <w:t>(</w:t>
      </w:r>
      <w:r w:rsidRPr="00E469B1">
        <w:t xml:space="preserve">Lick et al., 2013; </w:t>
      </w:r>
      <w:r w:rsidRPr="00E469B1">
        <w:rPr>
          <w:color w:val="000000"/>
          <w:lang w:eastAsia="el-GR"/>
        </w:rPr>
        <w:t>British Psychological Society, 2012).</w:t>
      </w:r>
      <w:r w:rsidRPr="00E469B1">
        <w:t xml:space="preserve"> Drydakis (2018) suggested that school-age and workplace bullying might share some common underlying principles: sexual orientation minority groups attract societal biases and face adverse human capital and workplace outcomes. </w:t>
      </w:r>
      <w:r w:rsidR="007A0190">
        <w:t>Studies confirm</w:t>
      </w:r>
      <w:r w:rsidRPr="00E469B1">
        <w:t xml:space="preserve"> that LGB employees experience significant workplace bullying (Hoel et al., 2014; Drydakis, 2014; Ellison and Gustone, 2009).   </w:t>
      </w:r>
    </w:p>
    <w:p w:rsidR="00E469B1" w:rsidRPr="00E469B1" w:rsidRDefault="00E469B1" w:rsidP="00E469B1">
      <w:pPr>
        <w:spacing w:line="360" w:lineRule="auto"/>
        <w:ind w:firstLine="720"/>
        <w:rPr>
          <w:color w:val="000000"/>
          <w:lang w:eastAsia="el-GR"/>
        </w:rPr>
      </w:pPr>
      <w:r w:rsidRPr="00E469B1">
        <w:rPr>
          <w:color w:val="000000"/>
          <w:lang w:eastAsia="el-GR"/>
        </w:rPr>
        <w:t>According to a 2010 meta-analysis study utilizing 153 studies, a positive family environment can minimize bullying incidents (Cook et al., 2010). The study highlighted the important role family plays in the development and maintenance of bullying (Cook et al., 2010). Similarly, a review of 70 studies evaluated that high parental involvement and support, good family communication and supervision, as well as warm and affectionate relationships were most likely to protect children and adolescents against peer victimization (Lereya et al., 2013).</w:t>
      </w:r>
      <w:r w:rsidRPr="00E469B1">
        <w:t xml:space="preserve"> </w:t>
      </w:r>
      <w:r w:rsidRPr="00E469B1">
        <w:rPr>
          <w:color w:val="000000"/>
          <w:lang w:eastAsia="el-GR"/>
        </w:rPr>
        <w:t xml:space="preserve">A longitudinal study evaluated that warm parenting plays an important role in protecting children against ongoing victimization and depression (Healy and Sanders, 2018a), while a nationally representative sample study found that family factors, such as maternal warmth, sibling warmth and a positive atmosphere at home, are associated with resilience to bullying victimization (Bowes et al., 2010). On the other hand, negative parenting behaviour is related to an increase in the risk of becoming a bullying victim at school (Lereya et al., 2013). Abuse, neglect and maladaptive parenting were the best predictors of victimization (Lereya et al., 2013). </w:t>
      </w:r>
    </w:p>
    <w:p w:rsidR="00E469B1" w:rsidRPr="00E469B1" w:rsidRDefault="00E469B1" w:rsidP="00E469B1">
      <w:pPr>
        <w:spacing w:line="360" w:lineRule="auto"/>
        <w:ind w:firstLine="720"/>
        <w:rPr>
          <w:color w:val="000000"/>
          <w:lang w:eastAsia="el-GR"/>
        </w:rPr>
      </w:pPr>
      <w:r w:rsidRPr="00E469B1">
        <w:lastRenderedPageBreak/>
        <w:t xml:space="preserve">Adverse mental health issues in adolescence are perceived to be a vital concern for social planners as these are linked to suicide, which is found to be the third leading cause of death in youth aged 10 to 24 (Centers for Disease Control, 2015). Supportive family environments have been found to reduce depressive symptoms and increase emotional regulation and healthy development from childhood to adolescence (Bridgett et al., 2015; Auerbach et al., 2011). For instance, a 2017 meta-analytic review study of more than 340 studies suggested that support from family, school and peers is a protective factor during child and adolescent development (Rueger et al., 2017). </w:t>
      </w:r>
      <w:r w:rsidRPr="00E469B1">
        <w:rPr>
          <w:color w:val="000000"/>
          <w:lang w:eastAsia="el-GR"/>
        </w:rPr>
        <w:t>Social support models have also shown support can bring positive mental health outcomes and enhance self-worth (Cohen, 2004)</w:t>
      </w:r>
      <w:r w:rsidRPr="00E469B1">
        <w:t>, while support is found to be positively correlated with well-being and negatively correlated with depression incidents (Rueger et al., 2017).</w:t>
      </w:r>
      <w:r w:rsidRPr="00E469B1">
        <w:rPr>
          <w:color w:val="000000"/>
          <w:lang w:eastAsia="el-GR"/>
        </w:rPr>
        <w:t xml:space="preserve"> In addition, family support in childhood is associated with character traits in adulthood affecting the way adults deal with stress and label themselves as targets of bullying (Løkke Vie et al., 2010; Mikulincer and Shaver, 2007). Indeed, self-labelling as a victim plays an important role in the workplace victimizing process, and repeated exposure to adverse experiences at work might lead the target to define and/or label themselves as an easy victim of bullying (Løkke Vie et al., 2010).</w:t>
      </w:r>
    </w:p>
    <w:p w:rsidR="00E469B1" w:rsidRPr="00E469B1" w:rsidRDefault="00E469B1" w:rsidP="00E469B1">
      <w:pPr>
        <w:spacing w:line="360" w:lineRule="auto"/>
        <w:ind w:firstLine="720"/>
      </w:pPr>
      <w:r w:rsidRPr="00E469B1">
        <w:rPr>
          <w:color w:val="000000"/>
          <w:lang w:eastAsia="el-GR"/>
        </w:rPr>
        <w:t>In relation to LGB children,</w:t>
      </w:r>
      <w:r w:rsidRPr="00E469B1">
        <w:t xml:space="preserve"> </w:t>
      </w:r>
      <w:r w:rsidRPr="00E469B1">
        <w:rPr>
          <w:color w:val="000000"/>
          <w:lang w:eastAsia="el-GR"/>
        </w:rPr>
        <w:t xml:space="preserve">family acceptance and support in adolescence have been found to predict a greater level of self-esteem and health status, lower depression, substance abuse and suicidal ideation (Hall, 2018; Katz-Wise et al., 2016; Ryan et al., 2010). </w:t>
      </w:r>
      <w:r w:rsidR="00B859B4">
        <w:rPr>
          <w:color w:val="000000"/>
          <w:lang w:eastAsia="el-GR"/>
        </w:rPr>
        <w:t xml:space="preserve">A study found that </w:t>
      </w:r>
      <w:r w:rsidRPr="00E469B1">
        <w:rPr>
          <w:color w:val="000000"/>
          <w:lang w:eastAsia="el-GR"/>
        </w:rPr>
        <w:t>LGB children who have received family support can approach stressful situations in an adaptive manner, enabling them to develop and implement coping strategies to reduce the stressor (Rosario, 2015).</w:t>
      </w:r>
      <w:r w:rsidRPr="00E469B1">
        <w:t xml:space="preserve"> However, </w:t>
      </w:r>
      <w:r w:rsidRPr="00E469B1">
        <w:rPr>
          <w:color w:val="000000"/>
          <w:lang w:eastAsia="el-GR"/>
        </w:rPr>
        <w:t>representative samples of youth find that relative to heterosexual peers sexual orientation minorities report lower levels of parental closeness and elevated rates of parental abuse and homelessness (Pearson and Wilkinson, 2013</w:t>
      </w:r>
      <w:r w:rsidRPr="00E469B1">
        <w:t xml:space="preserve">; </w:t>
      </w:r>
      <w:r w:rsidRPr="00E469B1">
        <w:rPr>
          <w:color w:val="000000"/>
          <w:lang w:eastAsia="el-GR"/>
        </w:rPr>
        <w:t>Waller and Sanchez, 2011). Regularly, homophobia and deviations from expectations may lead parents to be less supportive of their children or even reject them (Ryan et al., 2009). High levels of family rejection affect children’s ability to accept their own minority sexual orientation (Bregman et al., 2013). Associations between parental rejecting behaviours during adolescence and more internalized homophobia, depression, attempted suicide, use of illegal drugs, and sexual health risk by LGB young adults  have been observed (Hall, 2018; Katz-Wise et al., 2016; D’Augelli, 2010; Ryan et al., 2009).</w:t>
      </w:r>
      <w:r w:rsidRPr="00E469B1">
        <w:t xml:space="preserve"> </w:t>
      </w:r>
      <w:r w:rsidRPr="00E469B1">
        <w:rPr>
          <w:color w:val="000000"/>
          <w:lang w:eastAsia="el-GR"/>
        </w:rPr>
        <w:t>In addition, low family support is consistently recognized as a risk factor for LGB victimization (Perren and Hornung, 2015).</w:t>
      </w:r>
    </w:p>
    <w:p w:rsidR="00E469B1" w:rsidRPr="00E469B1" w:rsidRDefault="00E469B1" w:rsidP="00E469B1">
      <w:pPr>
        <w:spacing w:line="360" w:lineRule="auto"/>
        <w:ind w:firstLine="720"/>
        <w:rPr>
          <w:color w:val="000000"/>
          <w:lang w:eastAsia="el-GR"/>
        </w:rPr>
      </w:pPr>
      <w:r w:rsidRPr="00E469B1">
        <w:rPr>
          <w:color w:val="000000"/>
          <w:lang w:eastAsia="el-GR"/>
        </w:rPr>
        <w:t>By considering the aforementioned patterns and working in a synthesizing way, we have established the following hypotheses:</w:t>
      </w:r>
    </w:p>
    <w:p w:rsidR="00E469B1" w:rsidRPr="00E469B1" w:rsidRDefault="00E469B1" w:rsidP="00E469B1">
      <w:pPr>
        <w:spacing w:line="360" w:lineRule="auto"/>
        <w:rPr>
          <w:i/>
          <w:color w:val="000000"/>
          <w:lang w:eastAsia="el-GR"/>
        </w:rPr>
      </w:pPr>
      <w:r w:rsidRPr="00E469B1">
        <w:rPr>
          <w:i/>
          <w:color w:val="000000"/>
          <w:lang w:eastAsia="el-GR"/>
        </w:rPr>
        <w:lastRenderedPageBreak/>
        <w:t>Hypothesis 1:</w:t>
      </w:r>
      <w:r w:rsidRPr="00E469B1">
        <w:rPr>
          <w:i/>
        </w:rPr>
        <w:t xml:space="preserve"> </w:t>
      </w:r>
      <w:r w:rsidRPr="00E469B1">
        <w:rPr>
          <w:i/>
          <w:color w:val="000000"/>
          <w:lang w:eastAsia="el-GR"/>
        </w:rPr>
        <w:t>Supportive family environments towards LGB children might reduce school-age bullying.</w:t>
      </w:r>
    </w:p>
    <w:p w:rsidR="00E469B1" w:rsidRPr="00E469B1" w:rsidRDefault="00E469B1" w:rsidP="00E469B1">
      <w:pPr>
        <w:spacing w:line="360" w:lineRule="auto"/>
        <w:rPr>
          <w:i/>
          <w:color w:val="000000"/>
          <w:lang w:eastAsia="el-GR"/>
        </w:rPr>
      </w:pPr>
      <w:r w:rsidRPr="00E469B1">
        <w:rPr>
          <w:i/>
          <w:color w:val="000000"/>
          <w:lang w:eastAsia="el-GR"/>
        </w:rPr>
        <w:t xml:space="preserve">Hypothesis 2: Supportive family environments towards LGB children might reduce </w:t>
      </w:r>
      <w:r w:rsidR="00DF1DE3">
        <w:rPr>
          <w:i/>
          <w:color w:val="000000"/>
          <w:lang w:eastAsia="el-GR"/>
        </w:rPr>
        <w:t xml:space="preserve">future </w:t>
      </w:r>
      <w:r w:rsidRPr="00E469B1">
        <w:rPr>
          <w:i/>
          <w:color w:val="000000"/>
          <w:lang w:eastAsia="el-GR"/>
        </w:rPr>
        <w:t xml:space="preserve">workplace bullying. </w:t>
      </w:r>
    </w:p>
    <w:p w:rsidR="00E469B1" w:rsidRPr="00E469B1" w:rsidRDefault="00E469B1" w:rsidP="00E469B1">
      <w:pPr>
        <w:spacing w:line="360" w:lineRule="auto"/>
        <w:ind w:firstLine="720"/>
        <w:rPr>
          <w:color w:val="000000"/>
          <w:lang w:eastAsia="el-GR"/>
        </w:rPr>
      </w:pPr>
      <w:r w:rsidRPr="00E469B1">
        <w:rPr>
          <w:color w:val="000000"/>
          <w:lang w:eastAsia="el-GR"/>
        </w:rPr>
        <w:t xml:space="preserve">In relation to </w:t>
      </w:r>
      <w:r w:rsidRPr="00E469B1">
        <w:rPr>
          <w:i/>
          <w:color w:val="000000"/>
          <w:lang w:eastAsia="el-GR"/>
        </w:rPr>
        <w:t>Hypothesis 1</w:t>
      </w:r>
      <w:r w:rsidRPr="00E469B1">
        <w:rPr>
          <w:color w:val="000000"/>
          <w:lang w:eastAsia="el-GR"/>
        </w:rPr>
        <w:t xml:space="preserve">, if an LGB child has felt accepted and comfortable with their sexuality through their family attitudes and received effective aid during hard times, due to societal homophobia, we might expect a positive relationship between supportive family environments and reduced school victimization. In relation to </w:t>
      </w:r>
      <w:r w:rsidRPr="00E469B1">
        <w:rPr>
          <w:i/>
          <w:color w:val="000000"/>
          <w:lang w:eastAsia="el-GR"/>
        </w:rPr>
        <w:t>Hypothesis 2</w:t>
      </w:r>
      <w:r w:rsidRPr="00E469B1">
        <w:rPr>
          <w:color w:val="000000"/>
          <w:lang w:eastAsia="el-GR"/>
        </w:rPr>
        <w:t xml:space="preserve">, if for LGB adults the burden of limited or no support from families and the potential corresponding internalized shame of rejection, combined with the enduring negative effects of potential school-age bullying, have made them easy targets for victimization, we might expect more frequent workplace bullying incidents. We suggest that supportive family environments might enable LGB children to meet developmental demands, thus enabling them to cope with homophobic peers in workplaces. </w:t>
      </w:r>
    </w:p>
    <w:p w:rsidR="00E469B1" w:rsidRPr="00E469B1" w:rsidRDefault="00E469B1" w:rsidP="00E469B1">
      <w:pPr>
        <w:spacing w:line="360" w:lineRule="auto"/>
        <w:rPr>
          <w:color w:val="000000"/>
          <w:lang w:eastAsia="el-GR"/>
        </w:rPr>
      </w:pPr>
    </w:p>
    <w:p w:rsidR="00E469B1" w:rsidRPr="00E469B1" w:rsidRDefault="00E469B1" w:rsidP="00E469B1">
      <w:pPr>
        <w:autoSpaceDE w:val="0"/>
        <w:autoSpaceDN w:val="0"/>
        <w:adjustRightInd w:val="0"/>
        <w:spacing w:line="360" w:lineRule="auto"/>
        <w:rPr>
          <w:b/>
          <w:iCs/>
        </w:rPr>
      </w:pPr>
      <w:r w:rsidRPr="00E469B1">
        <w:rPr>
          <w:rFonts w:eastAsia="Calibri"/>
          <w:b/>
          <w:lang w:eastAsia="en-US"/>
        </w:rPr>
        <w:t>3. Method and descriptive statistics</w:t>
      </w:r>
    </w:p>
    <w:p w:rsidR="00E469B1" w:rsidRPr="00E469B1" w:rsidRDefault="00E469B1" w:rsidP="00E469B1">
      <w:pPr>
        <w:autoSpaceDE w:val="0"/>
        <w:autoSpaceDN w:val="0"/>
        <w:adjustRightInd w:val="0"/>
        <w:spacing w:line="360" w:lineRule="auto"/>
        <w:ind w:firstLine="720"/>
        <w:rPr>
          <w:rFonts w:eastAsia="Calibri"/>
          <w:lang w:eastAsia="en-US"/>
        </w:rPr>
      </w:pPr>
      <w:r w:rsidRPr="00E469B1">
        <w:rPr>
          <w:rFonts w:eastAsia="Calibri"/>
          <w:lang w:eastAsia="en-US"/>
        </w:rPr>
        <w:t>We employ retrospective questions regarding family support</w:t>
      </w:r>
      <w:r w:rsidRPr="00E469B1">
        <w:rPr>
          <w:rFonts w:eastAsia="Calibri"/>
          <w:vertAlign w:val="superscript"/>
          <w:lang w:eastAsia="en-US"/>
        </w:rPr>
        <w:footnoteReference w:id="2"/>
      </w:r>
      <w:r w:rsidRPr="00E469B1">
        <w:rPr>
          <w:rFonts w:eastAsia="Calibri"/>
          <w:lang w:eastAsia="en-US"/>
        </w:rPr>
        <w:t xml:space="preserve"> due to a child’s minority sexual orientation and school-age bullying</w:t>
      </w:r>
      <w:r w:rsidRPr="00E469B1">
        <w:rPr>
          <w:rFonts w:eastAsia="Calibri"/>
          <w:vertAlign w:val="superscript"/>
          <w:lang w:eastAsia="en-US"/>
        </w:rPr>
        <w:footnoteReference w:id="3"/>
      </w:r>
      <w:r w:rsidRPr="00E469B1">
        <w:rPr>
          <w:rFonts w:eastAsia="Calibri"/>
          <w:lang w:eastAsia="en-US"/>
        </w:rPr>
        <w:t xml:space="preserve">, as well as questions regarding workplace </w:t>
      </w:r>
      <w:r w:rsidRPr="00E469B1">
        <w:rPr>
          <w:rFonts w:eastAsia="Calibri"/>
          <w:lang w:eastAsia="en-US"/>
        </w:rPr>
        <w:lastRenderedPageBreak/>
        <w:t>bullying</w:t>
      </w:r>
      <w:r w:rsidRPr="00E469B1">
        <w:rPr>
          <w:rFonts w:eastAsia="Calibri"/>
          <w:vertAlign w:val="superscript"/>
          <w:lang w:eastAsia="en-US"/>
        </w:rPr>
        <w:footnoteReference w:id="4"/>
      </w:r>
      <w:r w:rsidRPr="00E469B1">
        <w:rPr>
          <w:rFonts w:eastAsia="Calibri"/>
          <w:lang w:eastAsia="en-US"/>
        </w:rPr>
        <w:t xml:space="preserve"> in the respondents’ present job (Hamburger et al., 2011; Nielsen and Einarsen, 2012). The data gathering process took place in 2016 in London, Cambridge and Oxford during the LGBT History Month. The data gathering and variables’ coding are described in Drydakis (2018), where relationships between school-age bullying, workplace bullying and job satisfaction were presented. In Drydakis’ (2018) study no evaluation on family support</w:t>
      </w:r>
      <w:r w:rsidRPr="00E469B1">
        <w:t xml:space="preserve"> </w:t>
      </w:r>
      <w:r w:rsidRPr="00E469B1">
        <w:rPr>
          <w:rFonts w:eastAsia="Calibri"/>
          <w:lang w:eastAsia="en-US"/>
        </w:rPr>
        <w:t>during the school-age period was offered and no relevant data was utilized.</w:t>
      </w:r>
    </w:p>
    <w:p w:rsidR="00E469B1" w:rsidRPr="00E469B1" w:rsidRDefault="00E469B1" w:rsidP="00E469B1">
      <w:pPr>
        <w:autoSpaceDE w:val="0"/>
        <w:autoSpaceDN w:val="0"/>
        <w:adjustRightInd w:val="0"/>
        <w:spacing w:line="360" w:lineRule="auto"/>
        <w:ind w:firstLine="720"/>
        <w:rPr>
          <w:rFonts w:eastAsia="Calibri"/>
          <w:lang w:eastAsia="en-US"/>
        </w:rPr>
      </w:pPr>
      <w:r w:rsidRPr="00E469B1">
        <w:rPr>
          <w:rFonts w:eastAsia="Calibri"/>
          <w:lang w:eastAsia="en-US"/>
        </w:rPr>
        <w:t>In this study, the sample is restricted to those whose family was aware of their minority sexual orientation</w:t>
      </w:r>
      <w:r w:rsidRPr="00E469B1">
        <w:rPr>
          <w:rFonts w:eastAsia="Calibri"/>
          <w:vertAlign w:val="superscript"/>
          <w:lang w:eastAsia="en-US"/>
        </w:rPr>
        <w:footnoteReference w:id="5"/>
      </w:r>
      <w:r w:rsidRPr="00E469B1">
        <w:rPr>
          <w:rFonts w:eastAsia="Calibri"/>
          <w:lang w:eastAsia="en-US"/>
        </w:rPr>
        <w:t xml:space="preserve">. </w:t>
      </w:r>
      <w:r w:rsidRPr="00E469B1">
        <w:t>Given this restriction, the valid sample consists of 168 observations for gay/bisexual men and 103 observations for lesbian/bisexual women</w:t>
      </w:r>
      <w:r w:rsidRPr="00E469B1">
        <w:rPr>
          <w:vertAlign w:val="superscript"/>
        </w:rPr>
        <w:footnoteReference w:id="6"/>
      </w:r>
      <w:r w:rsidRPr="00E469B1">
        <w:t>.</w:t>
      </w:r>
      <w:r w:rsidRPr="00E469B1">
        <w:rPr>
          <w:rFonts w:eastAsia="Calibri"/>
          <w:lang w:eastAsia="en-US"/>
        </w:rPr>
        <w:t xml:space="preserve"> In </w:t>
      </w:r>
      <w:r w:rsidRPr="00E469B1">
        <w:rPr>
          <w:rFonts w:eastAsia="Calibri"/>
          <w:b/>
          <w:lang w:eastAsia="en-US"/>
        </w:rPr>
        <w:t>Table 1</w:t>
      </w:r>
      <w:r w:rsidRPr="00E469B1">
        <w:rPr>
          <w:rFonts w:eastAsia="Calibri"/>
          <w:lang w:eastAsia="en-US"/>
        </w:rPr>
        <w:t>, Panel I, we present the descriptive statistics for gay/bisexual men, while Panel II offers the descriptive statistics for lesbian/bisexual women. In Panel I, we observe that 86.9% are gay men and 13.1% are bisexual men: the mean age is 37.9 years; 59.5% hold a higher-education degree; 70.2% are white-collar employees; 22.6% are pink-collar employees; and 6.5% are blue-collar employees. In Panel II, we observe that 82.5% are lesbians and 17.5% are bise</w:t>
      </w:r>
      <w:r w:rsidR="00BD6214">
        <w:rPr>
          <w:rFonts w:eastAsia="Calibri"/>
          <w:lang w:eastAsia="en-US"/>
        </w:rPr>
        <w:t>xual women: the mean age is 35.2</w:t>
      </w:r>
      <w:r w:rsidRPr="00E469B1">
        <w:rPr>
          <w:rFonts w:eastAsia="Calibri"/>
          <w:lang w:eastAsia="en-US"/>
        </w:rPr>
        <w:t xml:space="preserve"> years; 54.3% hold a higher-education degree; and 59.2% are white-collar employees, 34.9% are pink-collar employees and 5.8% are blue-collar employees.</w:t>
      </w:r>
    </w:p>
    <w:p w:rsidR="00E469B1" w:rsidRPr="00E469B1" w:rsidRDefault="00E469B1" w:rsidP="00E469B1">
      <w:pPr>
        <w:autoSpaceDE w:val="0"/>
        <w:autoSpaceDN w:val="0"/>
        <w:adjustRightInd w:val="0"/>
        <w:spacing w:line="360" w:lineRule="auto"/>
        <w:ind w:firstLine="720"/>
        <w:rPr>
          <w:iCs/>
        </w:rPr>
      </w:pPr>
      <w:r w:rsidRPr="00E469B1">
        <w:rPr>
          <w:iCs/>
        </w:rPr>
        <w:t xml:space="preserve">In Table 1, we offer the mean values for the family support, school-age bullying, and workplace bullying indicators for both sexes. The statistics suggest that for both gay/bisexual men and lesbian/bisexual women family support is at very low levels and that school-age bullying levels are higher in comparison to workplace bullying. In addition, in all cases, </w:t>
      </w:r>
      <w:r w:rsidRPr="00E469B1">
        <w:rPr>
          <w:iCs/>
        </w:rPr>
        <w:lastRenderedPageBreak/>
        <w:t xml:space="preserve">gay/bisexual men have experienced higher school-age and workplace bullying levels than lesbian/bisexual women. Simultaneously, the level of family support has been lower for gay/bisexual men than for lesbian/bisexual women. </w:t>
      </w:r>
    </w:p>
    <w:p w:rsidR="00E469B1" w:rsidRPr="00E469B1" w:rsidRDefault="00E469B1" w:rsidP="00E469B1">
      <w:pPr>
        <w:autoSpaceDE w:val="0"/>
        <w:autoSpaceDN w:val="0"/>
        <w:adjustRightInd w:val="0"/>
        <w:spacing w:line="360" w:lineRule="auto"/>
        <w:ind w:firstLine="720"/>
        <w:rPr>
          <w:iCs/>
        </w:rPr>
      </w:pPr>
      <w:r w:rsidRPr="00E469B1">
        <w:rPr>
          <w:iCs/>
        </w:rPr>
        <w:t xml:space="preserve">Moreover, in Panel I, it is observed that for gay/bisexual men the mean value for family and support is ‘never’ or ‘rarely’, or 0.64; for school-age bullying it lies between ‘sometimes’ and ‘frequently bullied’, or 2.35; and for workplace bullying it lies between ‘rarely’ and ‘sometimes bullied’, or 1.88. In Panel II, we observe that for lesbian/bisexual women the mean value for family support lies between ‘rarely’ and ‘sometimes’, or 1.29; for school-age bullying lies between ‘rarely’ and ‘sometimes bullied’, or 1.79; and for workplace bullying it lies between ‘rarely’ and ‘sometimes bullied’, or 1.25. </w:t>
      </w:r>
    </w:p>
    <w:p w:rsidR="00E469B1" w:rsidRPr="00E469B1" w:rsidRDefault="00E469B1" w:rsidP="00E469B1">
      <w:pPr>
        <w:spacing w:line="360" w:lineRule="auto"/>
        <w:jc w:val="center"/>
        <w:rPr>
          <w:rFonts w:eastAsia="Calibri"/>
          <w:b/>
          <w:lang w:eastAsia="en-US"/>
        </w:rPr>
      </w:pPr>
      <w:r w:rsidRPr="00E469B1">
        <w:rPr>
          <w:rFonts w:eastAsia="Calibri"/>
          <w:b/>
          <w:lang w:eastAsia="en-US"/>
        </w:rPr>
        <w:t>[Table 1]</w:t>
      </w:r>
    </w:p>
    <w:p w:rsidR="00E469B1" w:rsidRPr="00E469B1" w:rsidRDefault="00E469B1" w:rsidP="00E469B1">
      <w:pPr>
        <w:spacing w:line="360" w:lineRule="auto"/>
        <w:ind w:firstLine="720"/>
        <w:rPr>
          <w:iCs/>
        </w:rPr>
      </w:pPr>
      <w:r w:rsidRPr="00E469B1">
        <w:rPr>
          <w:iCs/>
        </w:rPr>
        <w:t xml:space="preserve">To provide more insights into the aforementioned patterns, the proportions of the key variables of interest are presented in </w:t>
      </w:r>
      <w:r w:rsidRPr="00E469B1">
        <w:rPr>
          <w:b/>
          <w:iCs/>
        </w:rPr>
        <w:t>Table 2</w:t>
      </w:r>
      <w:r w:rsidRPr="00E469B1">
        <w:rPr>
          <w:iCs/>
        </w:rPr>
        <w:t>. In Panel I, for gay/bisexual men, the most frequent response for family support is ‘never’ (54.1%); for school-age bullying it is ‘frequently bullied’ (39.2%); and for workplace bullying it is ‘sometimes bullied’ (36.3%). In Panel II, we observe that for lesbian/bisexual women the most frequent response for family support is ‘never’ (49.5%); for school-age bullying it is ‘frequently bullied’ (33.9%); and for workplace bullying it is ‘rarely bullied’ (30%). The statistics suggest that</w:t>
      </w:r>
      <w:r w:rsidRPr="00E469B1">
        <w:t xml:space="preserve"> </w:t>
      </w:r>
      <w:r w:rsidRPr="00E469B1">
        <w:rPr>
          <w:iCs/>
        </w:rPr>
        <w:t xml:space="preserve">lesbian/bisexual women are more likely to get support from their family than gay/bisexual men. Furthermore, lesbian/bisexual women are less likely to experience frequent and constant school-age and workplace bullying than gay/bisexual men. </w:t>
      </w:r>
    </w:p>
    <w:p w:rsidR="00E469B1" w:rsidRPr="00E469B1" w:rsidRDefault="00E469B1" w:rsidP="00E469B1">
      <w:pPr>
        <w:spacing w:line="360" w:lineRule="auto"/>
        <w:jc w:val="center"/>
      </w:pPr>
      <w:r w:rsidRPr="00E469B1">
        <w:rPr>
          <w:rFonts w:eastAsia="Calibri"/>
          <w:b/>
          <w:lang w:eastAsia="en-US"/>
        </w:rPr>
        <w:t>[Table 2]</w:t>
      </w:r>
    </w:p>
    <w:p w:rsidR="00E469B1" w:rsidRPr="00E469B1" w:rsidRDefault="00E469B1" w:rsidP="00E469B1">
      <w:pPr>
        <w:autoSpaceDE w:val="0"/>
        <w:autoSpaceDN w:val="0"/>
        <w:adjustRightInd w:val="0"/>
        <w:spacing w:line="360" w:lineRule="auto"/>
        <w:ind w:firstLine="720"/>
      </w:pPr>
      <w:r w:rsidRPr="00E469B1">
        <w:rPr>
          <w:iCs/>
        </w:rPr>
        <w:t xml:space="preserve">Moreover, in </w:t>
      </w:r>
      <w:r w:rsidRPr="00E469B1">
        <w:rPr>
          <w:b/>
          <w:iCs/>
        </w:rPr>
        <w:t>Tables 3</w:t>
      </w:r>
      <w:r w:rsidRPr="00E469B1">
        <w:rPr>
          <w:iCs/>
        </w:rPr>
        <w:t xml:space="preserve"> and </w:t>
      </w:r>
      <w:r w:rsidRPr="00E469B1">
        <w:rPr>
          <w:b/>
          <w:iCs/>
        </w:rPr>
        <w:t>4</w:t>
      </w:r>
      <w:r w:rsidRPr="00E469B1">
        <w:rPr>
          <w:iCs/>
        </w:rPr>
        <w:t>, we provide the correlation matrixes</w:t>
      </w:r>
      <w:r w:rsidRPr="00E469B1">
        <w:t xml:space="preserve"> </w:t>
      </w:r>
      <w:r w:rsidRPr="00E469B1">
        <w:rPr>
          <w:iCs/>
        </w:rPr>
        <w:t xml:space="preserve">which are used to examine whether family support is associated with school-age bullying and workplace bullying. According to </w:t>
      </w:r>
      <w:r w:rsidRPr="00E469B1">
        <w:rPr>
          <w:b/>
          <w:iCs/>
        </w:rPr>
        <w:t>Table 3</w:t>
      </w:r>
      <w:r w:rsidRPr="00E469B1">
        <w:rPr>
          <w:iCs/>
        </w:rPr>
        <w:t>, for gay/bisexual men</w:t>
      </w:r>
      <w:r w:rsidRPr="00E469B1">
        <w:t xml:space="preserve"> there is a negative correlation between family support, school-age bullying (r=-0.678, p&lt;0.01) and workplace bullying (r=-0.550, p&lt;0.01). There is also a positive correlation between school-age bullying and workplace bullying (r=0.866, p&lt;0.01). </w:t>
      </w:r>
      <w:r w:rsidRPr="00E469B1">
        <w:rPr>
          <w:b/>
          <w:iCs/>
        </w:rPr>
        <w:t>Table 4</w:t>
      </w:r>
      <w:r w:rsidRPr="00E469B1">
        <w:rPr>
          <w:iCs/>
        </w:rPr>
        <w:t xml:space="preserve"> provides comparable patterns for lesbian/bisexual women. </w:t>
      </w:r>
    </w:p>
    <w:p w:rsidR="00E469B1" w:rsidRPr="00E469B1" w:rsidRDefault="00E469B1" w:rsidP="00E469B1">
      <w:pPr>
        <w:spacing w:line="360" w:lineRule="auto"/>
        <w:jc w:val="center"/>
        <w:rPr>
          <w:rFonts w:eastAsia="Calibri"/>
          <w:b/>
          <w:lang w:eastAsia="en-US"/>
        </w:rPr>
      </w:pPr>
      <w:r w:rsidRPr="00E469B1">
        <w:rPr>
          <w:rFonts w:eastAsia="Calibri"/>
          <w:b/>
          <w:lang w:eastAsia="en-US"/>
        </w:rPr>
        <w:t>[Table 3] - [Table 4]</w:t>
      </w:r>
    </w:p>
    <w:p w:rsidR="00E469B1" w:rsidRDefault="00E469B1" w:rsidP="00E469B1">
      <w:pPr>
        <w:spacing w:line="360" w:lineRule="auto"/>
        <w:rPr>
          <w:rFonts w:eastAsia="Calibri"/>
          <w:b/>
          <w:lang w:eastAsia="en-US"/>
        </w:rPr>
      </w:pPr>
    </w:p>
    <w:p w:rsidR="005D2509" w:rsidRDefault="005D2509" w:rsidP="00E469B1">
      <w:pPr>
        <w:spacing w:line="360" w:lineRule="auto"/>
        <w:rPr>
          <w:rFonts w:eastAsia="Calibri"/>
          <w:b/>
          <w:lang w:eastAsia="en-US"/>
        </w:rPr>
      </w:pPr>
    </w:p>
    <w:p w:rsidR="005D2509" w:rsidRDefault="005D2509" w:rsidP="00E469B1">
      <w:pPr>
        <w:spacing w:line="360" w:lineRule="auto"/>
        <w:rPr>
          <w:rFonts w:eastAsia="Calibri"/>
          <w:b/>
          <w:lang w:eastAsia="en-US"/>
        </w:rPr>
      </w:pPr>
    </w:p>
    <w:p w:rsidR="005D2509" w:rsidRPr="00E469B1" w:rsidRDefault="005D2509" w:rsidP="00E469B1">
      <w:pPr>
        <w:spacing w:line="360" w:lineRule="auto"/>
        <w:rPr>
          <w:rFonts w:eastAsia="Calibri"/>
          <w:b/>
          <w:lang w:eastAsia="en-US"/>
        </w:rPr>
      </w:pPr>
    </w:p>
    <w:p w:rsidR="00E469B1" w:rsidRPr="00E469B1" w:rsidRDefault="00E469B1" w:rsidP="00E469B1">
      <w:pPr>
        <w:autoSpaceDE w:val="0"/>
        <w:autoSpaceDN w:val="0"/>
        <w:adjustRightInd w:val="0"/>
        <w:spacing w:line="360" w:lineRule="auto"/>
        <w:rPr>
          <w:b/>
          <w:iCs/>
        </w:rPr>
      </w:pPr>
      <w:r w:rsidRPr="00E469B1">
        <w:rPr>
          <w:b/>
          <w:iCs/>
        </w:rPr>
        <w:lastRenderedPageBreak/>
        <w:t>4. Results</w:t>
      </w:r>
    </w:p>
    <w:p w:rsidR="00E469B1" w:rsidRPr="00E469B1" w:rsidRDefault="00E469B1" w:rsidP="00E469B1">
      <w:pPr>
        <w:autoSpaceDE w:val="0"/>
        <w:autoSpaceDN w:val="0"/>
        <w:adjustRightInd w:val="0"/>
        <w:spacing w:line="360" w:lineRule="auto"/>
        <w:rPr>
          <w:i/>
          <w:iCs/>
        </w:rPr>
      </w:pPr>
      <w:r w:rsidRPr="00E469B1">
        <w:rPr>
          <w:i/>
          <w:iCs/>
        </w:rPr>
        <w:t>4.1 Gay/bisexual men</w:t>
      </w:r>
    </w:p>
    <w:p w:rsidR="00E469B1" w:rsidRPr="00E469B1" w:rsidRDefault="00E469B1" w:rsidP="00E469B1">
      <w:pPr>
        <w:autoSpaceDE w:val="0"/>
        <w:autoSpaceDN w:val="0"/>
        <w:adjustRightInd w:val="0"/>
        <w:spacing w:line="360" w:lineRule="auto"/>
        <w:ind w:firstLine="720"/>
        <w:rPr>
          <w:iCs/>
        </w:rPr>
      </w:pPr>
      <w:r w:rsidRPr="00E469B1">
        <w:rPr>
          <w:iCs/>
        </w:rPr>
        <w:t>In Table 5, the estimations for gay/bisexual men are presented.</w:t>
      </w:r>
      <w:r w:rsidRPr="00E469B1">
        <w:t xml:space="preserve"> </w:t>
      </w:r>
      <w:r w:rsidRPr="00E469B1">
        <w:rPr>
          <w:iCs/>
        </w:rPr>
        <w:t xml:space="preserve">Model I presents the ordered-probit school-age bullying estimations, which suggest a negative association between family support and school-age bullying (b= -1.152, p &lt; 0.01). We accept Hypothesis 1 for gay/bisexual men. The marginal effect suggests that family support is associated with a 31% decrease in frequent school-age bullying (z=5.35, p&lt;0.01). </w:t>
      </w:r>
    </w:p>
    <w:p w:rsidR="00E469B1" w:rsidRPr="00E469B1" w:rsidRDefault="00E469B1" w:rsidP="00E469B1">
      <w:pPr>
        <w:autoSpaceDE w:val="0"/>
        <w:autoSpaceDN w:val="0"/>
        <w:adjustRightInd w:val="0"/>
        <w:spacing w:line="360" w:lineRule="auto"/>
        <w:ind w:firstLine="720"/>
        <w:rPr>
          <w:iCs/>
        </w:rPr>
      </w:pPr>
      <w:r w:rsidRPr="00E469B1">
        <w:rPr>
          <w:iCs/>
        </w:rPr>
        <w:t xml:space="preserve">In Model II, we present the ordered-probit workplace bullying estimations. A negative association between family </w:t>
      </w:r>
      <w:r w:rsidR="002120D3">
        <w:rPr>
          <w:iCs/>
        </w:rPr>
        <w:t xml:space="preserve">support and workplace bullying </w:t>
      </w:r>
      <w:r w:rsidRPr="00E469B1">
        <w:rPr>
          <w:iCs/>
        </w:rPr>
        <w:t>can be observed (b= -0.563, p &lt; 0.01).</w:t>
      </w:r>
      <w:r w:rsidRPr="00E469B1">
        <w:t xml:space="preserve"> Hence, </w:t>
      </w:r>
      <w:r w:rsidRPr="00E469B1">
        <w:rPr>
          <w:iCs/>
        </w:rPr>
        <w:t xml:space="preserve">we accept Hypothesis 2 for gay/bisexual men. </w:t>
      </w:r>
      <w:r w:rsidRPr="00E469B1">
        <w:t xml:space="preserve">The marginal effect suggests that family support is associated with a 12.5% decrease in frequent workplace bullying (z=4.08, p&lt;0.01). </w:t>
      </w:r>
    </w:p>
    <w:p w:rsidR="00E469B1" w:rsidRPr="00E469B1" w:rsidRDefault="00E469B1" w:rsidP="00E469B1">
      <w:pPr>
        <w:autoSpaceDE w:val="0"/>
        <w:autoSpaceDN w:val="0"/>
        <w:adjustRightInd w:val="0"/>
        <w:spacing w:line="360" w:lineRule="auto"/>
        <w:rPr>
          <w:i/>
          <w:iCs/>
        </w:rPr>
      </w:pPr>
    </w:p>
    <w:p w:rsidR="00E469B1" w:rsidRPr="00E469B1" w:rsidRDefault="00E469B1" w:rsidP="00E469B1">
      <w:pPr>
        <w:autoSpaceDE w:val="0"/>
        <w:autoSpaceDN w:val="0"/>
        <w:adjustRightInd w:val="0"/>
        <w:spacing w:line="360" w:lineRule="auto"/>
        <w:rPr>
          <w:i/>
          <w:iCs/>
        </w:rPr>
      </w:pPr>
      <w:r w:rsidRPr="00E469B1">
        <w:rPr>
          <w:i/>
          <w:iCs/>
        </w:rPr>
        <w:t>4.2 Lesbian/bisexual women</w:t>
      </w:r>
    </w:p>
    <w:p w:rsidR="00E469B1" w:rsidRPr="00E469B1" w:rsidRDefault="00E469B1" w:rsidP="00E469B1">
      <w:pPr>
        <w:autoSpaceDE w:val="0"/>
        <w:autoSpaceDN w:val="0"/>
        <w:adjustRightInd w:val="0"/>
        <w:spacing w:line="360" w:lineRule="auto"/>
        <w:ind w:firstLine="720"/>
        <w:rPr>
          <w:iCs/>
        </w:rPr>
      </w:pPr>
      <w:r w:rsidRPr="00E469B1">
        <w:rPr>
          <w:iCs/>
        </w:rPr>
        <w:t>In Table 6, the estimations for lesbian/bisexual women are presented. In Model I we present the ordered-probit school-age bullying estimations. There is a negative association between family support and school-age bullying (b= -1.268, p &lt; 0.01). Given this outcome, we accept Hypothesis 1 for lesbian/bisexual women. The marginal effect suggests that family support is associated with a 25.6% decrease in frequent school-age bullying (z=4.90, p&lt;0.01).</w:t>
      </w:r>
    </w:p>
    <w:p w:rsidR="00E469B1" w:rsidRPr="00E469B1" w:rsidRDefault="00E469B1" w:rsidP="00E469B1">
      <w:pPr>
        <w:autoSpaceDE w:val="0"/>
        <w:autoSpaceDN w:val="0"/>
        <w:adjustRightInd w:val="0"/>
        <w:spacing w:line="360" w:lineRule="auto"/>
        <w:ind w:firstLine="720"/>
        <w:rPr>
          <w:iCs/>
        </w:rPr>
      </w:pPr>
      <w:r w:rsidRPr="00E469B1">
        <w:rPr>
          <w:iCs/>
        </w:rPr>
        <w:t>In Model II, we present the ordered-probit workplace bullying estimations. A negative association between family support and workplace bullying can be observed (b= -0.705, p &lt; 0.01). So, we accept Hypotheses 2 for lesbian/bisexual women. The marginal effect suggests that family support is associated with a 4.6% decrease in frequent workplace bullying (z=2.54, p&lt;0.01).</w:t>
      </w:r>
    </w:p>
    <w:p w:rsidR="00E469B1" w:rsidRPr="00E469B1" w:rsidRDefault="00E469B1" w:rsidP="00E469B1">
      <w:pPr>
        <w:autoSpaceDE w:val="0"/>
        <w:autoSpaceDN w:val="0"/>
        <w:adjustRightInd w:val="0"/>
        <w:spacing w:line="360" w:lineRule="auto"/>
        <w:ind w:firstLine="720"/>
        <w:rPr>
          <w:iCs/>
        </w:rPr>
      </w:pPr>
    </w:p>
    <w:p w:rsidR="00E469B1" w:rsidRPr="00E469B1" w:rsidRDefault="00E469B1" w:rsidP="00E469B1">
      <w:pPr>
        <w:autoSpaceDE w:val="0"/>
        <w:autoSpaceDN w:val="0"/>
        <w:adjustRightInd w:val="0"/>
        <w:spacing w:line="360" w:lineRule="auto"/>
        <w:rPr>
          <w:i/>
          <w:iCs/>
        </w:rPr>
      </w:pPr>
      <w:r w:rsidRPr="00E469B1">
        <w:rPr>
          <w:i/>
          <w:iCs/>
        </w:rPr>
        <w:t>4.3 Total sample: Gay/bisexual men and lesbian/bisexual women</w:t>
      </w:r>
    </w:p>
    <w:p w:rsidR="00E469B1" w:rsidRPr="00E469B1" w:rsidRDefault="00E469B1" w:rsidP="00E469B1">
      <w:pPr>
        <w:autoSpaceDE w:val="0"/>
        <w:autoSpaceDN w:val="0"/>
        <w:adjustRightInd w:val="0"/>
        <w:spacing w:line="360" w:lineRule="auto"/>
        <w:ind w:firstLine="720"/>
        <w:rPr>
          <w:rFonts w:eastAsia="Calibri"/>
          <w:lang w:eastAsia="en-US"/>
        </w:rPr>
      </w:pPr>
      <w:r w:rsidRPr="00E469B1">
        <w:rPr>
          <w:rFonts w:eastAsia="Calibri"/>
          <w:lang w:eastAsia="en-US"/>
        </w:rPr>
        <w:t xml:space="preserve">In Table 7, we pool data for men (gay and bisexuals) and for women (lesbians and bisexuals). In Models I and II, it is evident that we have obtained qualitative comparable estimates as in Tables 5 and 6. So, we can accept both Hypotheses 1 and 2. In Models I and II, it is observed that men experience higher levels of school-age and workplace bullying compared to women (b=0.405, p&lt;0.05, and b=0.442, p&lt;0.05, respectively). The marginal effects suggest that men face 13.3% (z=2.15, p&lt;0.05) higher levels of frequent school-age bullying, and 7.2% (z=1.78, p&lt;0.05) higher levels of frequent workplace-age bullying in comparison to women. </w:t>
      </w:r>
    </w:p>
    <w:p w:rsidR="00E469B1" w:rsidRPr="00E469B1" w:rsidRDefault="00E469B1" w:rsidP="00E469B1">
      <w:pPr>
        <w:autoSpaceDE w:val="0"/>
        <w:autoSpaceDN w:val="0"/>
        <w:adjustRightInd w:val="0"/>
        <w:spacing w:line="360" w:lineRule="auto"/>
        <w:ind w:firstLine="720"/>
        <w:rPr>
          <w:rFonts w:eastAsia="Calibri"/>
          <w:lang w:eastAsia="en-US"/>
        </w:rPr>
      </w:pPr>
      <w:r w:rsidRPr="00E469B1">
        <w:rPr>
          <w:rFonts w:eastAsia="Calibri"/>
          <w:lang w:eastAsia="en-US"/>
        </w:rPr>
        <w:lastRenderedPageBreak/>
        <w:t xml:space="preserve">In addition, in Model I, the interaction effect between family support and </w:t>
      </w:r>
      <w:r w:rsidR="002120D3">
        <w:rPr>
          <w:rFonts w:eastAsia="Calibri"/>
          <w:lang w:eastAsia="en-US"/>
        </w:rPr>
        <w:t xml:space="preserve">men </w:t>
      </w:r>
      <w:r w:rsidRPr="00E469B1">
        <w:rPr>
          <w:rFonts w:eastAsia="Calibri"/>
          <w:lang w:eastAsia="en-US"/>
        </w:rPr>
        <w:t>suggests that family support for gay/bisexual men provides them with a lower level of school-age bullying compared to lesbian/bisexual women (</w:t>
      </w:r>
      <w:r w:rsidRPr="00E469B1">
        <w:rPr>
          <w:iCs/>
        </w:rPr>
        <w:t>b= -0.334, p &lt; 0.05</w:t>
      </w:r>
      <w:r w:rsidRPr="00E469B1">
        <w:rPr>
          <w:rFonts w:eastAsia="Calibri"/>
          <w:lang w:eastAsia="en-US"/>
        </w:rPr>
        <w:t>). The marginal effect indicates that the effect of family</w:t>
      </w:r>
      <w:r w:rsidRPr="00E469B1">
        <w:t xml:space="preserve"> </w:t>
      </w:r>
      <w:r w:rsidRPr="00E469B1">
        <w:rPr>
          <w:rFonts w:eastAsia="Calibri"/>
          <w:lang w:eastAsia="en-US"/>
        </w:rPr>
        <w:t>support in reducing frequent school-age bull</w:t>
      </w:r>
      <w:r w:rsidR="00A7774C">
        <w:rPr>
          <w:rFonts w:eastAsia="Calibri"/>
          <w:lang w:eastAsia="en-US"/>
        </w:rPr>
        <w:t>y</w:t>
      </w:r>
      <w:r w:rsidRPr="00E469B1">
        <w:rPr>
          <w:rFonts w:eastAsia="Calibri"/>
          <w:lang w:eastAsia="en-US"/>
        </w:rPr>
        <w:t>ing is 10.9% higher for gay/bisexual men than for lesbian/bisexual women (z=2.38, p &lt; 0.05).</w:t>
      </w:r>
      <w:r w:rsidRPr="00E469B1">
        <w:t xml:space="preserve"> </w:t>
      </w:r>
      <w:r w:rsidRPr="00E469B1">
        <w:rPr>
          <w:rFonts w:eastAsia="Calibri"/>
          <w:lang w:eastAsia="en-US"/>
        </w:rPr>
        <w:t>In Model II, the relevant interaction effect is not statistically significant.</w:t>
      </w:r>
    </w:p>
    <w:p w:rsidR="00E469B1" w:rsidRPr="00E469B1" w:rsidRDefault="00E469B1" w:rsidP="00E469B1">
      <w:pPr>
        <w:autoSpaceDE w:val="0"/>
        <w:autoSpaceDN w:val="0"/>
        <w:adjustRightInd w:val="0"/>
        <w:spacing w:line="360" w:lineRule="auto"/>
        <w:ind w:firstLine="720"/>
        <w:rPr>
          <w:rFonts w:eastAsia="Calibri"/>
          <w:lang w:eastAsia="en-US"/>
        </w:rPr>
      </w:pPr>
    </w:p>
    <w:p w:rsidR="00E469B1" w:rsidRPr="00E469B1" w:rsidRDefault="00E469B1" w:rsidP="00E469B1">
      <w:pPr>
        <w:autoSpaceDE w:val="0"/>
        <w:autoSpaceDN w:val="0"/>
        <w:adjustRightInd w:val="0"/>
        <w:spacing w:line="360" w:lineRule="auto"/>
        <w:rPr>
          <w:rFonts w:eastAsia="Calibri"/>
          <w:lang w:eastAsia="en-US"/>
        </w:rPr>
      </w:pPr>
      <w:r w:rsidRPr="00E469B1">
        <w:rPr>
          <w:rFonts w:eastAsia="Calibri"/>
          <w:b/>
          <w:lang w:eastAsia="en-US"/>
        </w:rPr>
        <w:t xml:space="preserve">5. </w:t>
      </w:r>
      <w:r w:rsidRPr="00E469B1">
        <w:rPr>
          <w:b/>
        </w:rPr>
        <w:t xml:space="preserve">Discussion and conclusions </w:t>
      </w:r>
    </w:p>
    <w:p w:rsidR="00E469B1" w:rsidRPr="00E469B1" w:rsidRDefault="00E469B1" w:rsidP="00E469B1">
      <w:pPr>
        <w:spacing w:line="360" w:lineRule="auto"/>
        <w:ind w:firstLine="720"/>
      </w:pPr>
      <w:r w:rsidRPr="00E469B1">
        <w:t>In this study, by utilizing British LGB data in 2016, we empirically tested two hypotheses. We examined whether supportive family environments towards LGB children can reduce school-age bullying (Hypothesis 1) and workplace bullying (Hypothesis 2). With retrospective data on both family support during the school-age period and school-age bullying, Hypothesis 1 was accepted. In addition, employing retrospective data on family support during the school-age period and data on workplace bullying in the present job meant that Hypothesis 2 was also accepted.</w:t>
      </w:r>
    </w:p>
    <w:p w:rsidR="00E469B1" w:rsidRPr="00E469B1" w:rsidRDefault="00E469B1" w:rsidP="00E469B1">
      <w:pPr>
        <w:spacing w:line="360" w:lineRule="auto"/>
        <w:ind w:firstLine="720"/>
      </w:pPr>
      <w:r w:rsidRPr="00E469B1">
        <w:t xml:space="preserve">This study is the first attempt, to examine whether family support during the school-age period can have long-term positive effects on LGB people’s </w:t>
      </w:r>
      <w:r w:rsidR="00F06CCB">
        <w:t xml:space="preserve">future </w:t>
      </w:r>
      <w:r w:rsidRPr="00E469B1">
        <w:t>workplace experiences, namely workplace victimization. Moreover, by utilizing the same data set, this study simultaneously assessed whether family support moderates both school- and workplace-bullying. Given the incre</w:t>
      </w:r>
      <w:r w:rsidR="00C162C0">
        <w:t>ased number of people identifying</w:t>
      </w:r>
      <w:r w:rsidRPr="00E469B1">
        <w:t xml:space="preserve"> as LGB in modern societies and the adverse effect of homophobia, it is important to consider the factors which reduce bullying in both school- and workplace- settings. This study </w:t>
      </w:r>
      <w:r w:rsidR="003060C3">
        <w:t xml:space="preserve">concluded </w:t>
      </w:r>
      <w:r w:rsidRPr="00E469B1">
        <w:t>that warm family environments towards LGB children</w:t>
      </w:r>
      <w:r w:rsidR="003060C3">
        <w:t>,</w:t>
      </w:r>
      <w:r w:rsidRPr="00E469B1">
        <w:t xml:space="preserve"> which enabled them to feel accepted and comfortable with their sexuality and having family member(s) stand by them during challenging times due to their sexuality might positively affect short-term (reduced school-age bullying) and long-term (reduced workplace bullying) experiences.   </w:t>
      </w:r>
    </w:p>
    <w:p w:rsidR="00E469B1" w:rsidRPr="00E469B1" w:rsidRDefault="00E469B1" w:rsidP="00E469B1">
      <w:pPr>
        <w:spacing w:line="360" w:lineRule="auto"/>
        <w:ind w:firstLine="720"/>
        <w:rPr>
          <w:rFonts w:eastAsia="Calibri"/>
          <w:lang w:eastAsia="en-US"/>
        </w:rPr>
      </w:pPr>
      <w:r w:rsidRPr="00E469B1">
        <w:t xml:space="preserve">For Hypothesis 1, the driving mechanisms of the associations might be straightforward. </w:t>
      </w:r>
      <w:r w:rsidRPr="00E469B1">
        <w:rPr>
          <w:color w:val="000000"/>
          <w:lang w:eastAsia="el-GR"/>
        </w:rPr>
        <w:t xml:space="preserve">If an LGB child has received effective aid whenever needed and their parents were (pro)active in preventing or/and addressing adverse consequences due to homophobia, we might expect a reduction in school bullying. For Hypotheses 2, we suggest that an accepted and welcoming environment for a minority sexual orientation child might ensure they do not internalize the adverse effect of homophobic incidents, such as feelings of inferiority, shame and pessimism. As we have </w:t>
      </w:r>
      <w:r w:rsidR="00F06CCB">
        <w:rPr>
          <w:color w:val="000000"/>
          <w:lang w:eastAsia="el-GR"/>
        </w:rPr>
        <w:t>reviewed</w:t>
      </w:r>
      <w:r w:rsidRPr="00E469B1">
        <w:rPr>
          <w:color w:val="000000"/>
          <w:lang w:eastAsia="el-GR"/>
        </w:rPr>
        <w:t xml:space="preserve">, bullying is found to be associated with internalizing disorders such as depression and anxiety in both children and adolescents </w:t>
      </w:r>
      <w:r w:rsidRPr="00E469B1">
        <w:rPr>
          <w:color w:val="000000"/>
          <w:lang w:eastAsia="el-GR"/>
        </w:rPr>
        <w:lastRenderedPageBreak/>
        <w:t xml:space="preserve">(Hawker and Boulton, 2000). However, </w:t>
      </w:r>
      <w:r w:rsidR="00F06CCB">
        <w:rPr>
          <w:color w:val="000000"/>
          <w:lang w:eastAsia="el-GR"/>
        </w:rPr>
        <w:t xml:space="preserve">in the literature, </w:t>
      </w:r>
      <w:r w:rsidRPr="00E469B1">
        <w:rPr>
          <w:color w:val="000000"/>
          <w:lang w:eastAsia="el-GR"/>
        </w:rPr>
        <w:t xml:space="preserve">supportive families are found to enable LGB children to meet developmental demands which are important in dealing with homophobic demonstrations. </w:t>
      </w:r>
      <w:r w:rsidRPr="00E469B1">
        <w:rPr>
          <w:rFonts w:eastAsia="Calibri"/>
          <w:lang w:eastAsia="en-US"/>
        </w:rPr>
        <w:t xml:space="preserve">Healy </w:t>
      </w:r>
      <w:r w:rsidR="003060C3">
        <w:rPr>
          <w:rFonts w:eastAsia="Calibri"/>
          <w:lang w:eastAsia="en-US"/>
        </w:rPr>
        <w:t xml:space="preserve">and Sanders </w:t>
      </w:r>
      <w:r w:rsidRPr="00E469B1">
        <w:rPr>
          <w:rFonts w:eastAsia="Calibri"/>
          <w:lang w:eastAsia="en-US"/>
        </w:rPr>
        <w:t xml:space="preserve">(2018b) argued that warm parenting reduces a child’s vulnerability to bullying and can protect them against the emotional consequences of bullying. </w:t>
      </w:r>
    </w:p>
    <w:p w:rsidR="00E469B1" w:rsidRPr="00E469B1" w:rsidRDefault="00E469B1" w:rsidP="00E469B1">
      <w:pPr>
        <w:spacing w:line="360" w:lineRule="auto"/>
        <w:ind w:firstLine="720"/>
      </w:pPr>
      <w:r w:rsidRPr="00E469B1">
        <w:t>If an LGB child has received support from their parents which has positively impacted on their self-esteem and self-worth, this pattern might have influence how adult LGB p</w:t>
      </w:r>
      <w:r w:rsidR="00025F7A">
        <w:t>eople prevent, avoid and/or deal</w:t>
      </w:r>
      <w:r w:rsidRPr="00E469B1">
        <w:t xml:space="preserve"> with victimization. Parents who have supported their children during difficult times might have taught them the appropriate attitudes and approaches to address homophobia as well as its adverse effects.</w:t>
      </w:r>
      <w:r w:rsidRPr="00E469B1">
        <w:rPr>
          <w:rFonts w:eastAsia="Calibri"/>
          <w:lang w:eastAsia="en-US"/>
        </w:rPr>
        <w:t xml:space="preserve"> </w:t>
      </w:r>
      <w:r w:rsidRPr="00E469B1">
        <w:t xml:space="preserve">LGB people with higher self-esteem and pride might not allow being humiliated. </w:t>
      </w:r>
      <w:r w:rsidR="00F06CCB">
        <w:t>F</w:t>
      </w:r>
      <w:r w:rsidRPr="00E469B1">
        <w:t>amily support in childhood seems to be correlated with character traits in adulthood and is regularly found to have positive implications in terms of helping cope with stressful incidents (</w:t>
      </w:r>
      <w:r w:rsidRPr="00E469B1">
        <w:rPr>
          <w:rFonts w:eastAsia="Calibri"/>
          <w:lang w:eastAsia="en-US"/>
        </w:rPr>
        <w:t xml:space="preserve">Lund et al., 2008; </w:t>
      </w:r>
      <w:r w:rsidRPr="00E469B1">
        <w:t>Mikulincer and Shaver, 2007). LGB people who have received support from their families might be able to cope with bullying incidents and will be less likely to internalize the magnitude of bullying and its corresponding negative effects. They might also downsize the victimization incident itself by effectively addressing it.</w:t>
      </w:r>
    </w:p>
    <w:p w:rsidR="006F74BD" w:rsidRDefault="00E469B1" w:rsidP="00E469B1">
      <w:pPr>
        <w:spacing w:line="360" w:lineRule="auto"/>
        <w:ind w:firstLine="720"/>
        <w:rPr>
          <w:rFonts w:eastAsia="Calibri"/>
          <w:lang w:eastAsia="en-US"/>
        </w:rPr>
      </w:pPr>
      <w:r w:rsidRPr="00E469B1">
        <w:rPr>
          <w:color w:val="000000"/>
          <w:lang w:eastAsia="el-GR"/>
        </w:rPr>
        <w:t xml:space="preserve">If we work with the Stress-Buffering model, it seems clear that emotional support can have positive effects on the psychological states of people who experience societal challenges (Cohen and Wills, 1985). In the same vein, the Main Effect model evaluates that support can boost one’s identity and self-worth and enhance feeling of controls (Cohen, 1988). If for LGB children family support results in building their sense of identity, self-esteem and control, we might suggest that all these psychological states during the school-age period might positively impact on psychological traits in adulthood. </w:t>
      </w:r>
      <w:r w:rsidRPr="00E469B1">
        <w:rPr>
          <w:rFonts w:eastAsia="Calibri"/>
          <w:lang w:eastAsia="en-US"/>
        </w:rPr>
        <w:t>Family acceptance seems to be crucial to ensure that LGB children develop a healthy sense of self while family rejection of LGB children can negatively affect their identity and well-being (Katz-Wise et al., 2016; Rosario, 2015). Those LGB children who have experienced a lower degree of rejection and loneliness from their families, or no such feelings at all, might be better equipped to cope in a heteronormative workplace environment compared to those who have experience</w:t>
      </w:r>
      <w:r w:rsidR="006F74BD">
        <w:rPr>
          <w:rFonts w:eastAsia="Calibri"/>
          <w:lang w:eastAsia="en-US"/>
        </w:rPr>
        <w:t>d a higher degree of rejection.</w:t>
      </w:r>
    </w:p>
    <w:p w:rsidR="00E469B1" w:rsidRPr="00E469B1" w:rsidRDefault="00E469B1" w:rsidP="00E469B1">
      <w:pPr>
        <w:spacing w:line="360" w:lineRule="auto"/>
        <w:ind w:firstLine="720"/>
      </w:pPr>
      <w:r w:rsidRPr="00E469B1">
        <w:t xml:space="preserve">Hypothesis 2 might also hold if LGB people </w:t>
      </w:r>
      <w:r w:rsidR="00025F7A">
        <w:t>work</w:t>
      </w:r>
      <w:r w:rsidRPr="00E469B1">
        <w:t xml:space="preserve"> in supportive environments that enable them to</w:t>
      </w:r>
      <w:r w:rsidR="00025F7A">
        <w:t xml:space="preserve"> avoid bullying incidents in their job</w:t>
      </w:r>
      <w:r w:rsidRPr="00E469B1">
        <w:t xml:space="preserve">. LGB people with a strong sense of self might have established a culture of diversity and inclusivity in the workplace that does not allow, by prevention, any incident of harassment due to sexual orientation. Moreover, it might be the case that these people apply for jobs where a supportive LGBT network exists. If LGB </w:t>
      </w:r>
      <w:r w:rsidRPr="00E469B1">
        <w:lastRenderedPageBreak/>
        <w:t>people have been raised in supportive families, they might want to work in accepting workplace environments and this pattern might reduce victimization incidents. In addition, we suggest that individuals exhibiting confident and open behaviours in the workplace due to better psychological well-being following supporting family environments and disclosure of their sexual orientation will be a protective factor against the likelihood of workplace bullying (Kosciw et al., 2010; Ryan et al., 2010).</w:t>
      </w:r>
    </w:p>
    <w:p w:rsidR="00E469B1" w:rsidRPr="00E469B1" w:rsidRDefault="00E469B1" w:rsidP="00E469B1">
      <w:pPr>
        <w:spacing w:line="360" w:lineRule="auto"/>
        <w:rPr>
          <w:rFonts w:eastAsia="Calibri"/>
          <w:lang w:eastAsia="en-US"/>
        </w:rPr>
      </w:pPr>
      <w:r w:rsidRPr="00E469B1">
        <w:rPr>
          <w:rFonts w:eastAsia="Calibri"/>
          <w:lang w:eastAsia="en-US"/>
        </w:rPr>
        <w:tab/>
        <w:t>We should highlight that the outcomes of this study do not call for generalizations. The sample is rather small, and new research projects should attempt to employ a larger population. In this study, we collected information from LGB events. Sample selection might be an issue. The unique characteristics of the participants in these events might not provide us with unbiased patterns. Efforts to approach LGB people in a more representative way are recommended.</w:t>
      </w:r>
    </w:p>
    <w:p w:rsidR="00E469B1" w:rsidRPr="00E469B1" w:rsidRDefault="00E469B1" w:rsidP="00E469B1">
      <w:pPr>
        <w:spacing w:line="360" w:lineRule="auto"/>
        <w:ind w:firstLine="720"/>
        <w:rPr>
          <w:rFonts w:eastAsia="Calibri"/>
          <w:lang w:eastAsia="en-US"/>
        </w:rPr>
      </w:pPr>
      <w:r w:rsidRPr="00E469B1">
        <w:rPr>
          <w:rFonts w:eastAsia="Calibri"/>
          <w:lang w:eastAsia="en-US"/>
        </w:rPr>
        <w:t xml:space="preserve">The nature of the family support and bullying questions used in this survey should have driven the results. One might decide to create family support and bullying indexes consisting of a plethora of items in order to construct better informed scales. Moreover, although this study has strongly suggested that bullying might entail adverse mental health symptoms, the reverse may be true; thus, causal inferences are not recommended. The direction of the effects should be properly assessed. Qualitative oriented research might be helpful in clarifying the direction of the effects. </w:t>
      </w:r>
    </w:p>
    <w:p w:rsidR="00E469B1" w:rsidRPr="00E469B1" w:rsidRDefault="00E469B1" w:rsidP="00E469B1">
      <w:pPr>
        <w:spacing w:line="360" w:lineRule="auto"/>
        <w:ind w:firstLine="720"/>
        <w:rPr>
          <w:rFonts w:eastAsia="Calibri"/>
          <w:lang w:eastAsia="en-US"/>
        </w:rPr>
      </w:pPr>
      <w:r w:rsidRPr="00E469B1">
        <w:rPr>
          <w:rFonts w:eastAsia="Calibri"/>
          <w:lang w:eastAsia="en-US"/>
        </w:rPr>
        <w:t>Based on the outcomes of this study, one might be surprised by the fact that although family member(s) were aware of their children’s sexuality only 50% of the LGB children had received some relevant support. As explained by Drydakis (2018), we have to recognize the demographics of the sample. The mean age of the participants was approximately 37 years, meaning that they were in school, approximately, in the 1985-1997 period. We expect that family acceptance and support towards</w:t>
      </w:r>
      <w:r w:rsidRPr="00E469B1">
        <w:t xml:space="preserve"> LGB children to be much lower </w:t>
      </w:r>
      <w:r w:rsidRPr="00E469B1">
        <w:rPr>
          <w:rFonts w:eastAsia="Calibri"/>
          <w:lang w:eastAsia="en-US"/>
        </w:rPr>
        <w:t xml:space="preserve">in past generations than today. Similarly, we expect that school-age bullying in past generations was more commonplace than in present periods. </w:t>
      </w:r>
    </w:p>
    <w:p w:rsidR="00E469B1" w:rsidRPr="00E469B1" w:rsidRDefault="00E469B1" w:rsidP="00E469B1">
      <w:pPr>
        <w:spacing w:line="360" w:lineRule="auto"/>
        <w:ind w:firstLine="720"/>
        <w:rPr>
          <w:rFonts w:eastAsia="Calibri"/>
          <w:lang w:eastAsia="en-US"/>
        </w:rPr>
      </w:pPr>
      <w:r w:rsidRPr="00E469B1">
        <w:rPr>
          <w:rFonts w:eastAsia="Calibri"/>
          <w:lang w:eastAsia="en-US"/>
        </w:rPr>
        <w:t xml:space="preserve">In this study, we did not differentiate between those employees who were open about their sexual orientation in work and those who were not. New research may wish to explore whether openness at work or suspicion of one’s minority sexual orientation moderate our study’s relationships. In addition, we suggest that not only might information regarding one’s sexual orientation affect workplace evaluations, but also other characteristics such as masculinity and femininity (Drydakis et al., 2018). In the regression stage, we did not control for masculine and feminine traits. Thus, workplace bullying might be driven by gender </w:t>
      </w:r>
      <w:r w:rsidRPr="00E469B1">
        <w:rPr>
          <w:rFonts w:eastAsia="Calibri"/>
          <w:lang w:eastAsia="en-US"/>
        </w:rPr>
        <w:lastRenderedPageBreak/>
        <w:t xml:space="preserve">identity traits and not only by a minority sexual orientation status. In this study, we could not estimate the actual magnitude of the effect. Comparable arguments hold for school-age bullying since we did not control whether LGB children were open about their sexuality in school.  </w:t>
      </w:r>
    </w:p>
    <w:p w:rsidR="00E469B1" w:rsidRPr="00E469B1" w:rsidRDefault="00E469B1" w:rsidP="00E469B1">
      <w:pPr>
        <w:spacing w:line="360" w:lineRule="auto"/>
        <w:ind w:firstLine="720"/>
        <w:rPr>
          <w:rFonts w:eastAsia="Calibri"/>
          <w:lang w:eastAsia="en-US"/>
        </w:rPr>
      </w:pPr>
      <w:r w:rsidRPr="00E469B1">
        <w:rPr>
          <w:rFonts w:eastAsia="Calibri"/>
          <w:lang w:eastAsia="en-US"/>
        </w:rPr>
        <w:t xml:space="preserve">The outcomes of the study suggested that family support can have a greater positive effect in reducing school-age bullying for gay/bisexual men than for lesbian/bisexual women. Further research is required in order to evaluate why gender moderates the relationship. One should focus on the actual characteristics of bullying experienced by gay/bisexual men and lesbian/bisexual women while approaching the assigned pattern. We do believe that qualitative oriented research is required for an in-depth understanding of the underlying mechanisms that drove the patterns ascertained in this study. Furthermore, whether supportive family environments during a person’s adult life affect </w:t>
      </w:r>
      <w:r w:rsidR="00666276">
        <w:rPr>
          <w:rFonts w:eastAsia="Calibri"/>
          <w:lang w:eastAsia="en-US"/>
        </w:rPr>
        <w:t xml:space="preserve">future </w:t>
      </w:r>
      <w:r w:rsidRPr="00E469B1">
        <w:rPr>
          <w:rFonts w:eastAsia="Calibri"/>
          <w:lang w:eastAsia="en-US"/>
        </w:rPr>
        <w:t xml:space="preserve">workplace bullying has not been explored in this study and we suggest that welcoming environments, regardless of a person’s age, can positively impact on workplace conditions. Additional work might be useful in exploring, as a protective factor, whether and how family support influences present and future victimization. This could be utilized to inform prevention policies against school-age and workplace bullying. Further, how school supportive settings and peer interactions affected the study’s research questions has not been examined but is of interest. We expect that the inter-correlation between family, school and peer environments has a notable impact on school and workplace experiences.  </w:t>
      </w:r>
    </w:p>
    <w:p w:rsidR="00E469B1" w:rsidRPr="00E469B1" w:rsidRDefault="00E469B1" w:rsidP="00E469B1">
      <w:pPr>
        <w:spacing w:line="360" w:lineRule="auto"/>
        <w:rPr>
          <w:rFonts w:eastAsia="Calibri"/>
          <w:lang w:eastAsia="en-US"/>
        </w:rPr>
      </w:pPr>
      <w:r w:rsidRPr="00E469B1">
        <w:rPr>
          <w:rFonts w:eastAsia="Calibri"/>
          <w:lang w:eastAsia="en-US"/>
        </w:rPr>
        <w:tab/>
      </w:r>
    </w:p>
    <w:p w:rsidR="00653866" w:rsidRPr="00E469B1" w:rsidRDefault="00653866" w:rsidP="00672F1E">
      <w:pPr>
        <w:spacing w:line="360" w:lineRule="auto"/>
        <w:rPr>
          <w:color w:val="000000"/>
          <w:lang w:eastAsia="el-GR"/>
        </w:rPr>
      </w:pPr>
    </w:p>
    <w:p w:rsidR="00E935AA" w:rsidRDefault="00E935AA" w:rsidP="00672F1E">
      <w:pPr>
        <w:spacing w:line="360" w:lineRule="auto"/>
        <w:rPr>
          <w:color w:val="000000"/>
          <w:lang w:val="en-US" w:eastAsia="el-GR"/>
        </w:rPr>
      </w:pPr>
    </w:p>
    <w:p w:rsidR="00E935AA" w:rsidRDefault="00E935AA" w:rsidP="00672F1E">
      <w:pPr>
        <w:spacing w:line="360" w:lineRule="auto"/>
        <w:rPr>
          <w:color w:val="000000"/>
          <w:lang w:val="en-US" w:eastAsia="el-GR"/>
        </w:rPr>
      </w:pPr>
    </w:p>
    <w:p w:rsidR="00653866" w:rsidRDefault="00653866" w:rsidP="00672F1E">
      <w:pPr>
        <w:spacing w:line="360" w:lineRule="auto"/>
        <w:rPr>
          <w:color w:val="000000"/>
          <w:lang w:val="en-US" w:eastAsia="el-GR"/>
        </w:rPr>
      </w:pPr>
    </w:p>
    <w:p w:rsidR="00E935AA" w:rsidRDefault="00E935AA" w:rsidP="00672F1E">
      <w:pPr>
        <w:spacing w:line="360" w:lineRule="auto"/>
        <w:rPr>
          <w:color w:val="000000"/>
          <w:lang w:val="en-US" w:eastAsia="el-GR"/>
        </w:rPr>
      </w:pPr>
    </w:p>
    <w:p w:rsidR="007A5072" w:rsidRDefault="007A5072" w:rsidP="00672F1E">
      <w:pPr>
        <w:spacing w:line="360" w:lineRule="auto"/>
        <w:rPr>
          <w:color w:val="000000"/>
          <w:lang w:val="en-US" w:eastAsia="el-GR"/>
        </w:rPr>
      </w:pPr>
    </w:p>
    <w:p w:rsidR="007A5072" w:rsidRDefault="007A5072" w:rsidP="00672F1E">
      <w:pPr>
        <w:spacing w:line="360" w:lineRule="auto"/>
        <w:rPr>
          <w:color w:val="000000"/>
          <w:lang w:val="en-US" w:eastAsia="el-GR"/>
        </w:rPr>
      </w:pPr>
    </w:p>
    <w:p w:rsidR="007A5072" w:rsidRDefault="007A5072" w:rsidP="00672F1E">
      <w:pPr>
        <w:spacing w:line="360" w:lineRule="auto"/>
        <w:rPr>
          <w:color w:val="000000"/>
          <w:lang w:val="en-US" w:eastAsia="el-GR"/>
        </w:rPr>
      </w:pPr>
    </w:p>
    <w:p w:rsidR="00F142C4" w:rsidRDefault="00F142C4" w:rsidP="00672F1E">
      <w:pPr>
        <w:spacing w:line="360" w:lineRule="auto"/>
        <w:rPr>
          <w:color w:val="000000"/>
          <w:lang w:val="en-US" w:eastAsia="el-GR"/>
        </w:rPr>
      </w:pPr>
    </w:p>
    <w:p w:rsidR="00F142C4" w:rsidRDefault="00F142C4" w:rsidP="00672F1E">
      <w:pPr>
        <w:spacing w:line="360" w:lineRule="auto"/>
        <w:rPr>
          <w:color w:val="000000"/>
          <w:lang w:val="en-US" w:eastAsia="el-GR"/>
        </w:rPr>
      </w:pPr>
    </w:p>
    <w:p w:rsidR="00F142C4" w:rsidRDefault="00F142C4" w:rsidP="00672F1E">
      <w:pPr>
        <w:spacing w:line="360" w:lineRule="auto"/>
        <w:rPr>
          <w:color w:val="000000"/>
          <w:lang w:val="en-US" w:eastAsia="el-GR"/>
        </w:rPr>
      </w:pPr>
    </w:p>
    <w:p w:rsidR="00F142C4" w:rsidRDefault="00F142C4" w:rsidP="00672F1E">
      <w:pPr>
        <w:spacing w:line="360" w:lineRule="auto"/>
        <w:rPr>
          <w:color w:val="000000"/>
          <w:lang w:val="en-US" w:eastAsia="el-GR"/>
        </w:rPr>
      </w:pPr>
    </w:p>
    <w:p w:rsidR="00F142C4" w:rsidRDefault="00F142C4" w:rsidP="00672F1E">
      <w:pPr>
        <w:spacing w:line="360" w:lineRule="auto"/>
        <w:rPr>
          <w:color w:val="000000"/>
          <w:lang w:val="en-US" w:eastAsia="el-GR"/>
        </w:rPr>
      </w:pPr>
    </w:p>
    <w:p w:rsidR="00565F79" w:rsidRPr="00565F79" w:rsidRDefault="00565F79" w:rsidP="00565F79">
      <w:pPr>
        <w:spacing w:line="360" w:lineRule="auto"/>
        <w:rPr>
          <w:rFonts w:eastAsia="Calibri"/>
          <w:lang w:val="en-US" w:eastAsia="en-US"/>
        </w:rPr>
      </w:pPr>
      <w:r w:rsidRPr="00565F79">
        <w:rPr>
          <w:rFonts w:eastAsia="Calibri"/>
          <w:b/>
          <w:lang w:val="en-US" w:eastAsia="en-US"/>
        </w:rPr>
        <w:lastRenderedPageBreak/>
        <w:t>References</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Bregman, H. R Malik, N. M. Page, M. J. L. Makynen, E. and Lindahl, K. M. (2013). Identity Profiles in Lesbian, Gay, and Bisexual Youth: The Role of Family Influences. </w:t>
      </w:r>
      <w:r w:rsidRPr="00E376F2">
        <w:rPr>
          <w:rFonts w:eastAsia="Calibri"/>
          <w:i/>
          <w:lang w:val="en-US" w:eastAsia="en-US"/>
        </w:rPr>
        <w:t>Journal of Youth Adolescence</w:t>
      </w:r>
      <w:r w:rsidRPr="00E376F2">
        <w:rPr>
          <w:rFonts w:eastAsia="Calibri"/>
          <w:lang w:val="en-US" w:eastAsia="en-US"/>
        </w:rPr>
        <w:t>, 42(3): 417–430.</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Bridgett, D. J. Burt, N. M. Edwards, E. S. and Deater-Deckard, K. (2015). Intergenerational Transmission of Self-Regulation: A Multidisciplinary Review and Integrative Conceptual Framework. </w:t>
      </w:r>
      <w:r w:rsidRPr="00E376F2">
        <w:rPr>
          <w:rFonts w:eastAsia="Calibri"/>
          <w:i/>
          <w:lang w:val="en-US" w:eastAsia="en-US"/>
        </w:rPr>
        <w:t>Psychological Bulletin</w:t>
      </w:r>
      <w:r w:rsidRPr="00E376F2">
        <w:rPr>
          <w:rFonts w:eastAsia="Calibri"/>
          <w:lang w:val="en-US" w:eastAsia="en-US"/>
        </w:rPr>
        <w:t>, 141(3): 602–654.</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Bowes, L. Maughan, B. Caspi, A. Moffitt, T. E. and Arseneault, L. (2010). Families Promote Emotional and Behavioural Resilience to Bullying: Evidence of an Environmental Effect. </w:t>
      </w:r>
      <w:r w:rsidRPr="00E376F2">
        <w:rPr>
          <w:rFonts w:eastAsia="Calibri"/>
          <w:i/>
          <w:lang w:val="en-US" w:eastAsia="en-US"/>
        </w:rPr>
        <w:t>Journal of Child Psychology Psychiatry</w:t>
      </w:r>
      <w:r w:rsidRPr="00E376F2">
        <w:rPr>
          <w:rFonts w:eastAsia="Calibri"/>
          <w:lang w:val="en-US" w:eastAsia="en-US"/>
        </w:rPr>
        <w:t>, 51(7):809-817.</w:t>
      </w:r>
    </w:p>
    <w:p w:rsidR="00221A5E" w:rsidRPr="00E376F2" w:rsidRDefault="00221A5E" w:rsidP="00221A5E">
      <w:pPr>
        <w:spacing w:line="360" w:lineRule="auto"/>
        <w:ind w:left="567" w:hanging="567"/>
        <w:rPr>
          <w:rFonts w:eastAsia="Calibri"/>
          <w:lang w:val="en-US" w:eastAsia="en-US"/>
        </w:rPr>
      </w:pPr>
      <w:r w:rsidRPr="00E376F2">
        <w:rPr>
          <w:color w:val="000000"/>
          <w:lang w:val="en-US" w:eastAsia="el-GR"/>
        </w:rPr>
        <w:t xml:space="preserve">British Psychological Society (2012). </w:t>
      </w:r>
      <w:r w:rsidRPr="00E376F2">
        <w:rPr>
          <w:i/>
          <w:color w:val="000000"/>
          <w:lang w:val="en-US" w:eastAsia="el-GR"/>
        </w:rPr>
        <w:t>Guidelines and Literature Review for Psychologists Working Therapeutically with Sexual and Gender Minority Clients</w:t>
      </w:r>
      <w:r w:rsidRPr="00E376F2">
        <w:rPr>
          <w:color w:val="000000"/>
          <w:lang w:val="en-US" w:eastAsia="el-GR"/>
        </w:rPr>
        <w:t xml:space="preserve">. Leicester: British Psychological Society. </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Centers for Disease Control and Prevention (2015). </w:t>
      </w:r>
      <w:r w:rsidRPr="00E376F2">
        <w:rPr>
          <w:rFonts w:eastAsia="Calibri"/>
          <w:i/>
          <w:lang w:val="en-US" w:eastAsia="en-US"/>
        </w:rPr>
        <w:t>Suicide Prevention</w:t>
      </w:r>
      <w:r w:rsidRPr="00E376F2">
        <w:rPr>
          <w:rFonts w:eastAsia="Calibri"/>
          <w:lang w:val="en-US" w:eastAsia="en-US"/>
        </w:rPr>
        <w:t>. Atlanta: Centers for Disease Control and Prevention.</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Cohen, S. (1988). Psychosocial Models of Social Support in the Etiology of Physical Disease. </w:t>
      </w:r>
      <w:r w:rsidRPr="00E376F2">
        <w:rPr>
          <w:rFonts w:eastAsia="Calibri"/>
          <w:i/>
          <w:lang w:val="en-US" w:eastAsia="en-US"/>
        </w:rPr>
        <w:t>Health Psychology</w:t>
      </w:r>
      <w:r w:rsidRPr="00E376F2">
        <w:rPr>
          <w:rFonts w:eastAsia="Calibri"/>
          <w:lang w:val="en-US" w:eastAsia="en-US"/>
        </w:rPr>
        <w:t>, 7(3): 269–297.</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Cohen, S. (2004). Social Relationships and Health. </w:t>
      </w:r>
      <w:r w:rsidRPr="00E376F2">
        <w:rPr>
          <w:rFonts w:eastAsia="Calibri"/>
          <w:i/>
          <w:lang w:val="en-US" w:eastAsia="en-US"/>
        </w:rPr>
        <w:t>American Psychologist</w:t>
      </w:r>
      <w:r w:rsidRPr="00E376F2">
        <w:rPr>
          <w:rFonts w:eastAsia="Calibri"/>
          <w:lang w:val="en-US" w:eastAsia="en-US"/>
        </w:rPr>
        <w:t>, 59(8): 676-684.</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Cohen, S. and Wills, T. A. (1985). Stress, Social Support, and the Buffering Hypothesis. </w:t>
      </w:r>
      <w:r w:rsidRPr="00E376F2">
        <w:rPr>
          <w:rFonts w:eastAsia="Calibri"/>
          <w:i/>
          <w:lang w:val="en-US" w:eastAsia="en-US"/>
        </w:rPr>
        <w:t>Psychological Bulletin</w:t>
      </w:r>
      <w:r w:rsidRPr="00E376F2">
        <w:rPr>
          <w:rFonts w:eastAsia="Calibri"/>
          <w:lang w:val="en-US" w:eastAsia="en-US"/>
        </w:rPr>
        <w:t>, 98(2): 310–357.</w:t>
      </w:r>
    </w:p>
    <w:p w:rsidR="00221A5E" w:rsidRPr="00E376F2" w:rsidRDefault="00221A5E" w:rsidP="00221A5E">
      <w:pPr>
        <w:spacing w:line="360" w:lineRule="auto"/>
        <w:ind w:left="567" w:hanging="567"/>
        <w:rPr>
          <w:rFonts w:eastAsia="Calibri"/>
          <w:lang w:val="en-US" w:eastAsia="en-US"/>
        </w:rPr>
      </w:pPr>
      <w:r w:rsidRPr="00E376F2">
        <w:rPr>
          <w:color w:val="000000"/>
          <w:lang w:val="en-US" w:eastAsia="el-GR"/>
        </w:rPr>
        <w:t>Cook, R. C. Williams, R. K. Guerra, G. N. Kim, T. E. and Sadek, S. (2010). Predictors of Bullying and Victimization in Childhood and Adolescence: A Meta-analytic Investigation.</w:t>
      </w:r>
      <w:r w:rsidRPr="00E376F2">
        <w:t xml:space="preserve"> </w:t>
      </w:r>
      <w:r w:rsidRPr="00E376F2">
        <w:rPr>
          <w:i/>
          <w:color w:val="000000"/>
          <w:lang w:val="en-US" w:eastAsia="el-GR"/>
        </w:rPr>
        <w:t>School Psychology Quarterly</w:t>
      </w:r>
      <w:r w:rsidRPr="00E376F2">
        <w:rPr>
          <w:color w:val="000000"/>
          <w:lang w:val="en-US" w:eastAsia="el-GR"/>
        </w:rPr>
        <w:t xml:space="preserve">, 25(2): 65-83.  </w:t>
      </w:r>
    </w:p>
    <w:p w:rsidR="00221A5E" w:rsidRPr="00E376F2" w:rsidRDefault="00221A5E" w:rsidP="00221A5E">
      <w:pPr>
        <w:spacing w:line="360" w:lineRule="auto"/>
        <w:ind w:left="567" w:hanging="567"/>
        <w:rPr>
          <w:rFonts w:eastAsia="Calibri"/>
          <w:lang w:val="en-US" w:eastAsia="en-US"/>
        </w:rPr>
      </w:pPr>
      <w:r w:rsidRPr="00E376F2">
        <w:rPr>
          <w:lang w:val="en-US"/>
        </w:rPr>
        <w:t xml:space="preserve">D’Augelli, A. R. Grossman, A. H. Starks, M. T. Sinclair, K. O. (2010). Factors Associated with Parents’ Knowledge of Gay, Lesbian, and Bisexual Youths’ Sexual Orientation. </w:t>
      </w:r>
      <w:r w:rsidRPr="00E376F2">
        <w:rPr>
          <w:i/>
          <w:lang w:val="en-US"/>
        </w:rPr>
        <w:t>Journal of GLBT Family Studies</w:t>
      </w:r>
      <w:r w:rsidRPr="00E376F2">
        <w:rPr>
          <w:lang w:val="en-US"/>
        </w:rPr>
        <w:t>. 6(2): 178–198.</w:t>
      </w:r>
    </w:p>
    <w:p w:rsidR="00221A5E" w:rsidRPr="00E376F2" w:rsidRDefault="00221A5E" w:rsidP="00221A5E">
      <w:pPr>
        <w:spacing w:line="360" w:lineRule="auto"/>
        <w:ind w:left="567" w:hanging="567"/>
        <w:rPr>
          <w:rFonts w:eastAsia="Calibri"/>
          <w:lang w:val="en-US" w:eastAsia="en-US"/>
        </w:rPr>
      </w:pPr>
      <w:r w:rsidRPr="00E376F2">
        <w:rPr>
          <w:color w:val="000000"/>
          <w:lang w:val="en-US" w:eastAsia="el-GR"/>
        </w:rPr>
        <w:t xml:space="preserve">Drydakis, N. (2014). </w:t>
      </w:r>
      <w:r w:rsidRPr="00E376F2">
        <w:rPr>
          <w:i/>
          <w:color w:val="000000"/>
          <w:lang w:val="en-US" w:eastAsia="el-GR"/>
        </w:rPr>
        <w:t>Sexual Orientation and Labor Market Outcomes</w:t>
      </w:r>
      <w:r w:rsidRPr="00E376F2">
        <w:rPr>
          <w:color w:val="000000"/>
          <w:lang w:val="en-US" w:eastAsia="el-GR"/>
        </w:rPr>
        <w:t>. Bonn: IZA World of Labor.</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t xml:space="preserve">Drydakis, N. (2016). Transgenderism, Sex Reassignment Surgery and Employees’ Job Satisfaction, in T. Köllen (Ed.), </w:t>
      </w:r>
      <w:r w:rsidRPr="00E376F2">
        <w:rPr>
          <w:i/>
          <w:color w:val="000000"/>
          <w:lang w:val="en-US" w:eastAsia="el-GR"/>
        </w:rPr>
        <w:t xml:space="preserve">Sexual Orientation and Transgender Issues in Organizations Global Perspectives on LGBT Workforce Diversity </w:t>
      </w:r>
      <w:r w:rsidRPr="00E376F2">
        <w:rPr>
          <w:color w:val="000000"/>
          <w:lang w:val="en-US" w:eastAsia="el-GR"/>
        </w:rPr>
        <w:t>(pp. 83-99). New York: Springer Publishing.</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t xml:space="preserve">Drydakis, N. (2017a). </w:t>
      </w:r>
      <w:r w:rsidRPr="00E376F2">
        <w:rPr>
          <w:i/>
          <w:color w:val="000000"/>
          <w:lang w:val="en-US" w:eastAsia="el-GR"/>
        </w:rPr>
        <w:t>Trans People, Well-Being, and Labor Market Outcomes</w:t>
      </w:r>
      <w:r w:rsidRPr="00E376F2">
        <w:rPr>
          <w:color w:val="000000"/>
          <w:lang w:val="en-US" w:eastAsia="el-GR"/>
        </w:rPr>
        <w:t>. Bonn: IZA World of Labor.</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lastRenderedPageBreak/>
        <w:t xml:space="preserve">Drydakis, N. (2017b). Trans Employees, Transitioning, and Job Satisfaction. </w:t>
      </w:r>
      <w:r w:rsidRPr="00E376F2">
        <w:rPr>
          <w:i/>
          <w:color w:val="000000"/>
          <w:lang w:val="en-US" w:eastAsia="el-GR"/>
        </w:rPr>
        <w:t>Journal of Vocational Behavior</w:t>
      </w:r>
      <w:r w:rsidRPr="00E376F2">
        <w:rPr>
          <w:color w:val="000000"/>
          <w:lang w:val="en-US" w:eastAsia="el-GR"/>
        </w:rPr>
        <w:t>, 78:1-16.</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Drydakis, N. Sidiropoulou, K. Patnaik, S. Selmanovic, S. and Bozani, V. (2018). Masculine vs Feminine Personality Traits and Women’s Employment Outcomes in Britain: A Field Experiment. </w:t>
      </w:r>
      <w:r w:rsidRPr="00E376F2">
        <w:rPr>
          <w:rFonts w:eastAsia="Calibri"/>
          <w:i/>
          <w:lang w:val="en-US" w:eastAsia="en-US"/>
        </w:rPr>
        <w:t>International Journal of Manpower</w:t>
      </w:r>
      <w:r w:rsidRPr="00E376F2">
        <w:rPr>
          <w:rFonts w:eastAsia="Calibri"/>
          <w:lang w:val="en-US" w:eastAsia="en-US"/>
        </w:rPr>
        <w:t>, 39(4): 621-630.</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Drydakis, N. (2018 on-line first). School‐Age Bullying, Workplace Bullying and Job Satisfaction: Experiences of LGB People in Britain. </w:t>
      </w:r>
      <w:r w:rsidRPr="00E376F2">
        <w:rPr>
          <w:rFonts w:eastAsia="Calibri"/>
          <w:i/>
          <w:lang w:val="en-US" w:eastAsia="en-US"/>
        </w:rPr>
        <w:t>The Manchester School</w:t>
      </w:r>
      <w:r w:rsidRPr="00E376F2">
        <w:rPr>
          <w:rFonts w:eastAsia="Calibri"/>
          <w:lang w:val="en-US" w:eastAsia="en-US"/>
        </w:rPr>
        <w:t>, doi.10.1111/manc.12257.</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Ellison, G. and Gustone, B. (2009). </w:t>
      </w:r>
      <w:r w:rsidRPr="00E376F2">
        <w:rPr>
          <w:rFonts w:eastAsia="Calibri"/>
          <w:i/>
          <w:lang w:val="en-US" w:eastAsia="en-US"/>
        </w:rPr>
        <w:t>Sexual Orientation Explored: A Study of Identity, Attraction, Behaviour and Attitudes in 2009</w:t>
      </w:r>
      <w:r w:rsidRPr="00E376F2">
        <w:rPr>
          <w:rFonts w:eastAsia="Calibri"/>
          <w:lang w:val="en-US" w:eastAsia="en-US"/>
        </w:rPr>
        <w:t>. Manchester: Equality and Human Rights Commission.</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Guasp, A. Statham, H. Jadva, V. and Daly, I. (2012). </w:t>
      </w:r>
      <w:r w:rsidRPr="00E376F2">
        <w:rPr>
          <w:rFonts w:eastAsia="Calibri"/>
          <w:i/>
          <w:lang w:val="en-US" w:eastAsia="en-US"/>
        </w:rPr>
        <w:t>The Experiences of Gay Young People in Britain’s Schools in 2012</w:t>
      </w:r>
      <w:r w:rsidRPr="00E376F2">
        <w:rPr>
          <w:rFonts w:eastAsia="Calibri"/>
          <w:lang w:val="en-US" w:eastAsia="en-US"/>
        </w:rPr>
        <w:t>. London: Stonewall.</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t>Hafeez, H. Zeshan, M. Tahir, M. A. Jahan, N. and Naveed, S. (2017). Health Care Disparities among Lesbian, Gay, Bisexual, and Transgender Youth: A Literature Review.</w:t>
      </w:r>
      <w:r w:rsidRPr="00E376F2">
        <w:t xml:space="preserve"> </w:t>
      </w:r>
      <w:r w:rsidRPr="00E376F2">
        <w:rPr>
          <w:i/>
          <w:color w:val="000000"/>
          <w:lang w:val="en-US" w:eastAsia="el-GR"/>
        </w:rPr>
        <w:t xml:space="preserve">Cureus </w:t>
      </w:r>
      <w:r w:rsidRPr="00E376F2">
        <w:rPr>
          <w:color w:val="000000"/>
          <w:lang w:val="en-US" w:eastAsia="el-GR"/>
        </w:rPr>
        <w:t>9(4):</w:t>
      </w:r>
      <w:r w:rsidRPr="00E376F2">
        <w:t xml:space="preserve"> </w:t>
      </w:r>
      <w:r w:rsidRPr="00E376F2">
        <w:rPr>
          <w:color w:val="000000"/>
          <w:lang w:val="en-US" w:eastAsia="el-GR"/>
        </w:rPr>
        <w:t xml:space="preserve">1-7. </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Hall, W. (2018). Psychosocial Risk and Protective Factors for Depression Among Lesbian, Gay, Bisexual, and Queer Youth: A Systematic Review. </w:t>
      </w:r>
      <w:r w:rsidRPr="00E376F2">
        <w:rPr>
          <w:rFonts w:eastAsia="Calibri"/>
          <w:i/>
          <w:lang w:val="en-US" w:eastAsia="en-US"/>
        </w:rPr>
        <w:t>Journal of Homosexuality</w:t>
      </w:r>
      <w:r w:rsidRPr="00E376F2">
        <w:rPr>
          <w:rFonts w:eastAsia="Calibri"/>
          <w:lang w:val="en-US" w:eastAsia="en-US"/>
        </w:rPr>
        <w:t>, 65(3): 263-316.</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Hamburger, M. E. Basile, K. C. and Vivolo, A. M. (2011). </w:t>
      </w:r>
      <w:r w:rsidRPr="00E376F2">
        <w:rPr>
          <w:rFonts w:eastAsia="Calibri"/>
          <w:i/>
          <w:lang w:val="en-US" w:eastAsia="en-US"/>
        </w:rPr>
        <w:t>Measuring Bullying Victimization, Perpetration, and Bystander Experiences: A Compendium of Assessment Tools</w:t>
      </w:r>
      <w:r w:rsidRPr="00E376F2">
        <w:rPr>
          <w:rFonts w:eastAsia="Calibri"/>
          <w:lang w:val="en-US" w:eastAsia="en-US"/>
        </w:rPr>
        <w:t>. Atlanta, GA, Center for Disease Control and Prevention, National Center for Injury Prevention and Control.</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Hawker, D. S. J. and Boulton M. J. (2000). Twenty Years’ Research on Peer Victimization and Psychosocial Maladjustment: A Meta-Analytic Review of Cross-Sectional Studies. </w:t>
      </w:r>
      <w:r w:rsidRPr="00E376F2">
        <w:rPr>
          <w:rFonts w:eastAsia="Calibri"/>
          <w:i/>
          <w:lang w:val="en-US" w:eastAsia="en-US"/>
        </w:rPr>
        <w:t>Journal of</w:t>
      </w:r>
      <w:r w:rsidRPr="00E376F2">
        <w:rPr>
          <w:rFonts w:eastAsia="Calibri"/>
          <w:lang w:val="en-US" w:eastAsia="en-US"/>
        </w:rPr>
        <w:t xml:space="preserve"> </w:t>
      </w:r>
      <w:r w:rsidRPr="00E376F2">
        <w:rPr>
          <w:rFonts w:eastAsia="Calibri"/>
          <w:i/>
          <w:lang w:val="en-US" w:eastAsia="en-US"/>
        </w:rPr>
        <w:t>Child Psychology and Psychiatry,</w:t>
      </w:r>
      <w:r w:rsidRPr="00E376F2">
        <w:rPr>
          <w:rFonts w:eastAsia="Calibri"/>
          <w:lang w:val="en-US" w:eastAsia="en-US"/>
        </w:rPr>
        <w:t xml:space="preserve"> 41(4): 441–455.</w:t>
      </w:r>
    </w:p>
    <w:p w:rsidR="00221A5E" w:rsidRPr="00E376F2" w:rsidRDefault="00221A5E" w:rsidP="00221A5E">
      <w:pPr>
        <w:spacing w:line="360" w:lineRule="auto"/>
        <w:ind w:left="567" w:hanging="567"/>
      </w:pPr>
      <w:r w:rsidRPr="00E376F2">
        <w:t xml:space="preserve">Healy, K. L. and Sanders, M. R. (2018a). Mechanisms Through Which Supportive Relationships with Parents and Peers Mitigate Victimization, Depression and Internalizing Problems in Children Bullied by Peers. </w:t>
      </w:r>
      <w:r w:rsidRPr="00E376F2">
        <w:rPr>
          <w:i/>
        </w:rPr>
        <w:t>Child Psychiatry and Human Development</w:t>
      </w:r>
      <w:r w:rsidRPr="00E376F2">
        <w:t>, 49(5): 800-813.</w:t>
      </w:r>
    </w:p>
    <w:p w:rsidR="00221A5E" w:rsidRPr="00E376F2" w:rsidRDefault="00221A5E" w:rsidP="00221A5E">
      <w:pPr>
        <w:spacing w:line="360" w:lineRule="auto"/>
        <w:ind w:left="567" w:hanging="567"/>
      </w:pPr>
      <w:r w:rsidRPr="00E376F2">
        <w:t xml:space="preserve">Healy, K. L. and Sanders, M. R. (2018b). </w:t>
      </w:r>
      <w:r w:rsidRPr="00E376F2">
        <w:rPr>
          <w:i/>
        </w:rPr>
        <w:t>Proposal for Anti-Bullying Taskforce: State-wide Implementation of Resilience Triple P</w:t>
      </w:r>
      <w:r w:rsidRPr="00E376F2">
        <w:t>. Queensland: The University of Queensland.</w:t>
      </w:r>
    </w:p>
    <w:p w:rsidR="00221A5E" w:rsidRPr="00E376F2" w:rsidRDefault="00221A5E" w:rsidP="00221A5E">
      <w:pPr>
        <w:spacing w:line="360" w:lineRule="auto"/>
        <w:ind w:left="567" w:hanging="567"/>
      </w:pPr>
      <w:r w:rsidRPr="00E376F2">
        <w:t xml:space="preserve">Hoel, H. Lewis, D. and Einarsdóttir, A. (2014). </w:t>
      </w:r>
      <w:r w:rsidRPr="00E376F2">
        <w:rPr>
          <w:i/>
        </w:rPr>
        <w:t>The Ups and Downs of LGBs’ Workplace Experiences</w:t>
      </w:r>
      <w:r w:rsidRPr="00E376F2">
        <w:t>. Manchester: Manchester Business School.</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lastRenderedPageBreak/>
        <w:t xml:space="preserve">Katz-Wise, S. L. Rosario, M. and Tsappis, M. (2016). LGBT Youth and Family Acceptance. </w:t>
      </w:r>
      <w:r w:rsidRPr="00E376F2">
        <w:rPr>
          <w:rFonts w:eastAsia="Calibri"/>
          <w:i/>
          <w:lang w:val="en-US" w:eastAsia="en-US"/>
        </w:rPr>
        <w:t>Pediatric Clinics of North America</w:t>
      </w:r>
      <w:r w:rsidRPr="00E376F2">
        <w:rPr>
          <w:rFonts w:eastAsia="Calibri"/>
          <w:lang w:val="en-US" w:eastAsia="en-US"/>
        </w:rPr>
        <w:t>, 63(3): 1011-1025.</w:t>
      </w:r>
    </w:p>
    <w:p w:rsidR="00221A5E" w:rsidRPr="00E376F2" w:rsidRDefault="00221A5E" w:rsidP="00221A5E">
      <w:pPr>
        <w:spacing w:line="360" w:lineRule="auto"/>
        <w:ind w:left="567" w:hanging="567"/>
        <w:rPr>
          <w:rFonts w:eastAsia="Calibri"/>
          <w:lang w:val="en-US" w:eastAsia="en-US"/>
        </w:rPr>
      </w:pPr>
      <w:r w:rsidRPr="00E376F2">
        <w:rPr>
          <w:color w:val="000000"/>
          <w:lang w:val="en-US" w:eastAsia="el-GR"/>
        </w:rPr>
        <w:t>Kidd, S. A. Howison, M. Pilling, M. Ross, L. E. and  McKenzie, K. (2016). Severe Mental Illness in LGBT Populations: A Scoping Review. Psychiatric Services, 67(7): 779–783.</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t xml:space="preserve">Köllen, T. (2016), </w:t>
      </w:r>
      <w:r w:rsidRPr="00E376F2">
        <w:rPr>
          <w:i/>
          <w:color w:val="000000"/>
          <w:lang w:val="en-US" w:eastAsia="el-GR"/>
        </w:rPr>
        <w:t>Sexual Orientation and Transgender Issues in Organizations. Global Perspectives on LGBT Workforce Diversity</w:t>
      </w:r>
      <w:r w:rsidRPr="00E376F2">
        <w:rPr>
          <w:color w:val="000000"/>
          <w:lang w:val="en-US" w:eastAsia="el-GR"/>
        </w:rPr>
        <w:t>. New York: Springer.</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t xml:space="preserve">Kosciw, J. G. Diaz, E. M. and Greytak, E. M. (2008). </w:t>
      </w:r>
      <w:r w:rsidRPr="00E376F2">
        <w:rPr>
          <w:i/>
          <w:color w:val="000000"/>
          <w:lang w:val="en-US" w:eastAsia="el-GR"/>
        </w:rPr>
        <w:t>The 2007 National School Climate Survey: the Experiences of Lesbian, Gay, Bisexual and Transgender Youth in our Nation’s Schools</w:t>
      </w:r>
      <w:r w:rsidRPr="00E376F2">
        <w:rPr>
          <w:color w:val="000000"/>
          <w:lang w:val="en-US" w:eastAsia="el-GR"/>
        </w:rPr>
        <w:t>. New York: GLSEN.</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t xml:space="preserve">Kosciw, J. G. Greytak, E. A. Diaz,  E. M. Bartkiewicz, M. J. (2010): </w:t>
      </w:r>
      <w:r w:rsidRPr="00E376F2">
        <w:rPr>
          <w:i/>
          <w:color w:val="000000"/>
          <w:lang w:val="en-US" w:eastAsia="el-GR"/>
        </w:rPr>
        <w:t>The 2009 National School Climate Survey: The experiences of lesbian, gay, bisexual and transgender youth in our nation’s schools</w:t>
      </w:r>
      <w:r w:rsidRPr="00E376F2">
        <w:rPr>
          <w:color w:val="000000"/>
          <w:lang w:val="en-US" w:eastAsia="el-GR"/>
        </w:rPr>
        <w:t xml:space="preserve">. New York: GLSEN. </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Lick, D. J. Durso, L. E. and Kerri L. Johnson, K. L. (2013). Minority Stress and Physical Health among Sexual Minorities. </w:t>
      </w:r>
      <w:r w:rsidRPr="00E376F2">
        <w:rPr>
          <w:rFonts w:eastAsia="Calibri"/>
          <w:i/>
          <w:lang w:val="en-US" w:eastAsia="en-US"/>
        </w:rPr>
        <w:t>Perspectives on Psychological Science</w:t>
      </w:r>
      <w:r w:rsidRPr="00E376F2">
        <w:rPr>
          <w:rFonts w:eastAsia="Calibri"/>
          <w:lang w:val="en-US" w:eastAsia="en-US"/>
        </w:rPr>
        <w:t>, 8(5): 521–548.</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Lereya, S. T. Samara, M. Wolke, D. (2013). Parenting Behavior and the Risk of Becoming a Victim and a Bully/Victim: A Meta-Analysis Study. </w:t>
      </w:r>
      <w:r w:rsidRPr="00E376F2">
        <w:rPr>
          <w:rFonts w:eastAsia="Calibri"/>
          <w:i/>
          <w:lang w:val="en-US" w:eastAsia="en-US"/>
        </w:rPr>
        <w:t>Child Abuse and Neglect</w:t>
      </w:r>
      <w:r w:rsidRPr="00E376F2">
        <w:rPr>
          <w:rFonts w:eastAsia="Calibri"/>
          <w:lang w:val="en-US" w:eastAsia="en-US"/>
        </w:rPr>
        <w:t>, 37(12): 1091-1108.</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Løkke Vie, T. Glasø, L. Einarsen, S. (2010). Health Outcomes and Self-Labeling as a Victim of Workplace Bullying. </w:t>
      </w:r>
      <w:r w:rsidRPr="00E376F2">
        <w:rPr>
          <w:rFonts w:eastAsia="Calibri"/>
          <w:i/>
          <w:lang w:val="en-US" w:eastAsia="en-US"/>
        </w:rPr>
        <w:t>Journal of Psychosomatic Research</w:t>
      </w:r>
      <w:r w:rsidRPr="00E376F2">
        <w:rPr>
          <w:rFonts w:eastAsia="Calibri"/>
          <w:lang w:val="en-US" w:eastAsia="en-US"/>
        </w:rPr>
        <w:t>, 70(1): 37-43.</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Lund, R.  Kragelund Nielsen, K. Hjorth Hansen, D. Kriegbaum, M. Molbo, D.  Due, P. and Christensen, U. (2009). Exposure to Bullying at School and Depression in Adulthood: A Study of Danish Men Born in 1953.</w:t>
      </w:r>
      <w:r w:rsidRPr="00E376F2">
        <w:t xml:space="preserve"> </w:t>
      </w:r>
      <w:r w:rsidRPr="00E376F2">
        <w:rPr>
          <w:rFonts w:eastAsia="Calibri"/>
          <w:i/>
          <w:lang w:val="en-US" w:eastAsia="en-US"/>
        </w:rPr>
        <w:t>European Journal of Public Health</w:t>
      </w:r>
      <w:r w:rsidRPr="00E376F2">
        <w:rPr>
          <w:rFonts w:eastAsia="Calibri"/>
          <w:lang w:val="en-US" w:eastAsia="en-US"/>
        </w:rPr>
        <w:t>, 19(1): 111–116.</w:t>
      </w:r>
    </w:p>
    <w:p w:rsidR="00221A5E" w:rsidRPr="00E376F2" w:rsidRDefault="00221A5E" w:rsidP="00221A5E">
      <w:pPr>
        <w:spacing w:line="360" w:lineRule="auto"/>
        <w:ind w:left="567" w:hanging="567"/>
        <w:rPr>
          <w:rFonts w:eastAsia="Calibri"/>
          <w:lang w:val="en-US" w:eastAsia="en-US"/>
        </w:rPr>
      </w:pPr>
      <w:r w:rsidRPr="00E376F2">
        <w:t xml:space="preserve">Meyers, J. and Meyers, B. (2003). Bidirectional Influences Between Positive Psychology and Primary Prevention, </w:t>
      </w:r>
      <w:r w:rsidRPr="00E376F2">
        <w:rPr>
          <w:i/>
        </w:rPr>
        <w:t>School Psychology Quarterly</w:t>
      </w:r>
      <w:r w:rsidRPr="00E376F2">
        <w:t>, 18(2): 222–229.</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Mikulincer, M. and Shaver, P. R. (2007). </w:t>
      </w:r>
      <w:r w:rsidRPr="00E376F2">
        <w:rPr>
          <w:rFonts w:eastAsia="Calibri"/>
          <w:i/>
          <w:lang w:val="en-US" w:eastAsia="en-US"/>
        </w:rPr>
        <w:t>Attachment in Adulthood: Structure, Dynamics, and Change</w:t>
      </w:r>
      <w:r w:rsidRPr="00E376F2">
        <w:rPr>
          <w:rFonts w:eastAsia="Calibri"/>
          <w:lang w:val="en-US" w:eastAsia="en-US"/>
        </w:rPr>
        <w:t>. NY: Guilford Press.</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National Education Association (2012). </w:t>
      </w:r>
      <w:r w:rsidRPr="00E376F2">
        <w:rPr>
          <w:rFonts w:eastAsia="Calibri"/>
          <w:i/>
          <w:lang w:val="en-US" w:eastAsia="en-US"/>
        </w:rPr>
        <w:t>Our Position and Actions of School Safety: Bullying and Harassment</w:t>
      </w:r>
      <w:r w:rsidRPr="00E376F2">
        <w:rPr>
          <w:rFonts w:eastAsia="Calibri"/>
          <w:lang w:val="en-US" w:eastAsia="en-US"/>
        </w:rPr>
        <w:t>.</w:t>
      </w:r>
      <w:r w:rsidRPr="00E376F2">
        <w:t xml:space="preserve"> Washington, D.C.</w:t>
      </w:r>
      <w:r w:rsidRPr="00E376F2">
        <w:rPr>
          <w:rFonts w:eastAsia="Calibri"/>
        </w:rPr>
        <w:t xml:space="preserve">: </w:t>
      </w:r>
      <w:r w:rsidRPr="00E376F2">
        <w:rPr>
          <w:rFonts w:eastAsia="Calibri"/>
          <w:lang w:val="en-US" w:eastAsia="en-US"/>
        </w:rPr>
        <w:t>National Education Association.</w:t>
      </w:r>
    </w:p>
    <w:p w:rsidR="00221A5E" w:rsidRPr="00E376F2" w:rsidRDefault="00221A5E" w:rsidP="00221A5E">
      <w:pPr>
        <w:spacing w:line="360" w:lineRule="auto"/>
        <w:ind w:left="567" w:hanging="567"/>
      </w:pPr>
      <w:r w:rsidRPr="00E376F2">
        <w:t xml:space="preserve">Newman, M. L. Holden, G. W. and Delville, Y. (2005). Isolation and the Stress of Being Bullied. </w:t>
      </w:r>
      <w:r w:rsidRPr="00E376F2">
        <w:rPr>
          <w:i/>
        </w:rPr>
        <w:t>Journal of Adolescence</w:t>
      </w:r>
      <w:r w:rsidRPr="00E376F2">
        <w:t>, 45(3): 343–357.</w:t>
      </w:r>
    </w:p>
    <w:p w:rsidR="00221A5E" w:rsidRPr="00E376F2" w:rsidRDefault="00221A5E" w:rsidP="00221A5E">
      <w:pPr>
        <w:spacing w:line="360" w:lineRule="auto"/>
        <w:ind w:left="567" w:hanging="567"/>
      </w:pPr>
      <w:r w:rsidRPr="00E376F2">
        <w:t xml:space="preserve">Nielsen, M. K. and Einarsen, S. (2012). Outcomes of Exposure to Workplace Bullying: a Meta-Analytic Review. </w:t>
      </w:r>
      <w:r w:rsidRPr="00E376F2">
        <w:rPr>
          <w:i/>
        </w:rPr>
        <w:t>Work and Stress</w:t>
      </w:r>
      <w:r w:rsidRPr="00E376F2">
        <w:t>, 26(4): 309–332.</w:t>
      </w:r>
    </w:p>
    <w:p w:rsidR="00221A5E" w:rsidRPr="00E376F2" w:rsidRDefault="00221A5E" w:rsidP="00221A5E">
      <w:pPr>
        <w:spacing w:line="360" w:lineRule="auto"/>
        <w:ind w:left="567" w:hanging="567"/>
      </w:pPr>
      <w:r w:rsidRPr="00E376F2">
        <w:lastRenderedPageBreak/>
        <w:t xml:space="preserve">Office for National Statistics (2018). </w:t>
      </w:r>
      <w:r w:rsidRPr="00E376F2">
        <w:rPr>
          <w:i/>
        </w:rPr>
        <w:t>National LGBT Survey</w:t>
      </w:r>
      <w:r w:rsidRPr="00E376F2">
        <w:t>. Manchester: Office for National Statistics.</w:t>
      </w:r>
    </w:p>
    <w:p w:rsidR="00221A5E" w:rsidRPr="00E376F2" w:rsidRDefault="00221A5E" w:rsidP="00221A5E">
      <w:pPr>
        <w:spacing w:line="360" w:lineRule="auto"/>
        <w:ind w:left="567" w:hanging="567"/>
      </w:pPr>
      <w:r w:rsidRPr="00E376F2">
        <w:t xml:space="preserve">Pearson J, and Wilkinson L. (2011). Family Relationships and Adolescent Well-Being: Are Families Equally Protective for Same-Sex Attracted Youth? </w:t>
      </w:r>
      <w:r w:rsidRPr="00E376F2">
        <w:rPr>
          <w:i/>
        </w:rPr>
        <w:t>Journal of Youth Adolescence</w:t>
      </w:r>
      <w:r w:rsidRPr="00E376F2">
        <w:t>, 42(3): 376–393.</w:t>
      </w:r>
    </w:p>
    <w:p w:rsidR="00221A5E" w:rsidRPr="00E376F2" w:rsidRDefault="00221A5E" w:rsidP="00221A5E">
      <w:pPr>
        <w:spacing w:line="360" w:lineRule="auto"/>
        <w:ind w:left="709" w:hanging="709"/>
        <w:rPr>
          <w:color w:val="000000"/>
          <w:lang w:val="en-US" w:eastAsia="el-GR"/>
        </w:rPr>
      </w:pPr>
      <w:r w:rsidRPr="00E376F2">
        <w:rPr>
          <w:color w:val="000000"/>
          <w:lang w:val="en-US" w:eastAsia="el-GR"/>
        </w:rPr>
        <w:t xml:space="preserve">Perren, S. and Hornung, R. (2005). Bullying and Delinquency in Adolescence: Victims’ and Perpetrators’ Family and Peer Relations. </w:t>
      </w:r>
      <w:r w:rsidRPr="00E376F2">
        <w:rPr>
          <w:i/>
          <w:color w:val="000000"/>
          <w:lang w:val="en-US" w:eastAsia="el-GR"/>
        </w:rPr>
        <w:t>Swiss Journal of Psychology</w:t>
      </w:r>
      <w:r w:rsidRPr="00E376F2">
        <w:rPr>
          <w:color w:val="000000"/>
          <w:lang w:val="en-US" w:eastAsia="el-GR"/>
        </w:rPr>
        <w:t>, 64(1), 51-64.</w:t>
      </w:r>
    </w:p>
    <w:p w:rsidR="00221A5E" w:rsidRPr="00E376F2" w:rsidRDefault="00221A5E" w:rsidP="00221A5E">
      <w:pPr>
        <w:spacing w:line="360" w:lineRule="auto"/>
        <w:ind w:left="709" w:hanging="709"/>
      </w:pPr>
      <w:r w:rsidRPr="00E376F2">
        <w:t xml:space="preserve">Reijntjes, A.  Kamphuis, J. H.  Prinzie, P. and Telch, M. J. (2010). Peer Victimization and Internalizing Problems in Children: A Meta-Analysis of Longitudinal Studies. </w:t>
      </w:r>
      <w:r w:rsidRPr="00E376F2">
        <w:rPr>
          <w:i/>
        </w:rPr>
        <w:t>Child Abuse and Neglect</w:t>
      </w:r>
      <w:r w:rsidRPr="00E376F2">
        <w:t>, 34(4): 244–252.</w:t>
      </w:r>
    </w:p>
    <w:p w:rsidR="00221A5E" w:rsidRPr="00E376F2" w:rsidRDefault="00221A5E" w:rsidP="00221A5E">
      <w:pPr>
        <w:spacing w:line="360" w:lineRule="auto"/>
        <w:ind w:left="709" w:hanging="709"/>
      </w:pPr>
      <w:r w:rsidRPr="00E376F2">
        <w:t xml:space="preserve">Rosario, M. Schrimshaw, E. W. Hunter, J. (2009). Disclosure of Sexual Orientation and Subsequent Substance Use and Abuse among Lesbian, Gay, and Bisexual Youths: Critical Role of Disclosure Reactions. </w:t>
      </w:r>
      <w:r w:rsidRPr="00E376F2">
        <w:rPr>
          <w:i/>
        </w:rPr>
        <w:t>Psychology of Addictive Behaviors</w:t>
      </w:r>
      <w:r w:rsidRPr="00E376F2">
        <w:t>, 23(1): 175–184.</w:t>
      </w:r>
    </w:p>
    <w:p w:rsidR="00221A5E" w:rsidRPr="00E376F2" w:rsidRDefault="00221A5E" w:rsidP="00221A5E">
      <w:pPr>
        <w:spacing w:line="360" w:lineRule="auto"/>
        <w:ind w:left="709" w:hanging="709"/>
      </w:pPr>
      <w:r w:rsidRPr="00E376F2">
        <w:rPr>
          <w:color w:val="000000"/>
          <w:lang w:val="en-US" w:eastAsia="el-GR"/>
        </w:rPr>
        <w:t xml:space="preserve">Rosario M. (2015). Implications of Childhood Experiences for the Health and Adaptation of Lesbian, Gay, and Bisexual Individuals: Sensitivity to Developmental Process in Future Research. </w:t>
      </w:r>
      <w:r w:rsidRPr="00E376F2">
        <w:rPr>
          <w:i/>
          <w:color w:val="000000"/>
          <w:lang w:val="en-US" w:eastAsia="el-GR"/>
        </w:rPr>
        <w:t>Psychology of Sexual Orientation and Gender Diversity</w:t>
      </w:r>
      <w:r w:rsidRPr="00E376F2">
        <w:rPr>
          <w:color w:val="000000"/>
          <w:lang w:val="en-US" w:eastAsia="el-GR"/>
        </w:rPr>
        <w:t>, 2(3): 214–224.</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Ryan, C., Huebner, D., Diaz, R. M., and Sanchez, J. (2009). Family Rejection as a Predictor of Negative Health Outcomes in White and Latino Lesbian, Gay and Bisexual Young Adults. </w:t>
      </w:r>
      <w:r w:rsidRPr="00E376F2">
        <w:rPr>
          <w:rFonts w:eastAsia="Calibri"/>
          <w:i/>
          <w:lang w:val="en-US" w:eastAsia="en-US"/>
        </w:rPr>
        <w:t>Pediatrics</w:t>
      </w:r>
      <w:r w:rsidRPr="00E376F2">
        <w:rPr>
          <w:rFonts w:eastAsia="Calibri"/>
          <w:lang w:val="en-US" w:eastAsia="en-US"/>
        </w:rPr>
        <w:t>, 123(1): 346–352.</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Ryan, C., Rusell, S. T. Huebner, D., Diaz, R. M., and Sanchez, J. (2010).</w:t>
      </w:r>
      <w:r w:rsidRPr="00E376F2">
        <w:t xml:space="preserve"> </w:t>
      </w:r>
      <w:r w:rsidRPr="00E376F2">
        <w:rPr>
          <w:rFonts w:eastAsia="Calibri"/>
          <w:lang w:val="en-US" w:eastAsia="en-US"/>
        </w:rPr>
        <w:t xml:space="preserve">Family Acceptance in Adolescence and the Health of LGBT Young Adults. </w:t>
      </w:r>
      <w:r w:rsidRPr="00E376F2">
        <w:rPr>
          <w:rFonts w:eastAsia="Calibri"/>
          <w:i/>
          <w:lang w:val="en-US" w:eastAsia="en-US"/>
        </w:rPr>
        <w:t>Journal of Child and Adolescent Psychiatric Nursing</w:t>
      </w:r>
      <w:r w:rsidRPr="00E376F2">
        <w:rPr>
          <w:rFonts w:eastAsia="Calibri"/>
          <w:lang w:val="en-US" w:eastAsia="en-US"/>
        </w:rPr>
        <w:t>, 23(4): 205–213.</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t xml:space="preserve">Rueger, S. Y. Malecki, C. K. Pyun, Y. Aycock, C. and Coyle, S. (2017). A Metaanalytic Review of the Association Between Perceived Social Support and Depression in Childhood and Adolescence. </w:t>
      </w:r>
      <w:r w:rsidRPr="00E376F2">
        <w:rPr>
          <w:rFonts w:eastAsia="Calibri"/>
          <w:i/>
          <w:lang w:val="en-US" w:eastAsia="en-US"/>
        </w:rPr>
        <w:t>Psychological Bulletin</w:t>
      </w:r>
      <w:r w:rsidRPr="00E376F2">
        <w:rPr>
          <w:rFonts w:eastAsia="Calibri"/>
          <w:lang w:val="en-US" w:eastAsia="en-US"/>
        </w:rPr>
        <w:t>,</w:t>
      </w:r>
      <w:r w:rsidRPr="00E376F2">
        <w:t xml:space="preserve"> </w:t>
      </w:r>
      <w:r w:rsidRPr="00E376F2">
        <w:rPr>
          <w:rFonts w:eastAsia="Calibri"/>
          <w:lang w:val="en-US" w:eastAsia="en-US"/>
        </w:rPr>
        <w:t>142(10): 1017-1067.</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t xml:space="preserve">Takizawa, R. Maughan, B. Arseneault, L. (2014). Adult Health Outcomes of Childhood Bullying Victimization: Evidence from a Five-Decade Longitudinal British Birth Cohort. </w:t>
      </w:r>
      <w:r w:rsidRPr="00E376F2">
        <w:rPr>
          <w:i/>
          <w:color w:val="000000"/>
          <w:lang w:val="en-US" w:eastAsia="el-GR"/>
        </w:rPr>
        <w:t>American Journal of Psychiatry</w:t>
      </w:r>
      <w:r w:rsidRPr="00E376F2">
        <w:rPr>
          <w:color w:val="000000"/>
          <w:lang w:val="en-US" w:eastAsia="el-GR"/>
        </w:rPr>
        <w:t>, 171(7): 777–84.</w:t>
      </w:r>
    </w:p>
    <w:p w:rsidR="00221A5E" w:rsidRPr="00E376F2" w:rsidRDefault="00221A5E" w:rsidP="00221A5E">
      <w:pPr>
        <w:spacing w:line="360" w:lineRule="auto"/>
        <w:ind w:left="567" w:hanging="567"/>
        <w:rPr>
          <w:color w:val="000000"/>
          <w:lang w:val="en-US" w:eastAsia="el-GR"/>
        </w:rPr>
      </w:pPr>
      <w:r w:rsidRPr="00E376F2">
        <w:rPr>
          <w:color w:val="000000"/>
          <w:lang w:val="en-US" w:eastAsia="el-GR"/>
        </w:rPr>
        <w:t xml:space="preserve">Waller, M. W. Sanchez, R. P. (2011). The Association between Same-Sex Romantic Attractions and Relationships and Running Away among a Nationally Representative Sample of Adolescents. </w:t>
      </w:r>
      <w:r w:rsidRPr="00E376F2">
        <w:rPr>
          <w:i/>
          <w:color w:val="000000"/>
          <w:lang w:val="en-US" w:eastAsia="el-GR"/>
        </w:rPr>
        <w:t>Child Adolescence Social Work Journal</w:t>
      </w:r>
      <w:r w:rsidRPr="00E376F2">
        <w:rPr>
          <w:color w:val="000000"/>
          <w:lang w:val="en-US" w:eastAsia="el-GR"/>
        </w:rPr>
        <w:t>, 28(6): 475–493.</w:t>
      </w:r>
    </w:p>
    <w:p w:rsidR="00221A5E" w:rsidRPr="00E376F2" w:rsidRDefault="00221A5E" w:rsidP="00221A5E">
      <w:pPr>
        <w:spacing w:line="360" w:lineRule="auto"/>
        <w:ind w:left="567" w:hanging="567"/>
        <w:rPr>
          <w:rFonts w:eastAsia="Calibri"/>
          <w:lang w:val="en-US" w:eastAsia="en-US"/>
        </w:rPr>
      </w:pPr>
      <w:r w:rsidRPr="00E376F2">
        <w:rPr>
          <w:rFonts w:eastAsia="Calibri"/>
          <w:lang w:val="en-US" w:eastAsia="en-US"/>
        </w:rPr>
        <w:lastRenderedPageBreak/>
        <w:t>Wolke, D. and Suzet Tanya Lereya, S. T. (2015).</w:t>
      </w:r>
      <w:r w:rsidRPr="00E376F2">
        <w:t xml:space="preserve"> Long-Term Effects of Bullying. </w:t>
      </w:r>
      <w:r w:rsidRPr="00E376F2">
        <w:rPr>
          <w:i/>
        </w:rPr>
        <w:t>Archives of Disease in Childhood</w:t>
      </w:r>
      <w:r w:rsidRPr="00E376F2">
        <w:t>, 100(9): 879–885.</w:t>
      </w:r>
    </w:p>
    <w:p w:rsidR="00565F79" w:rsidRPr="00565F79" w:rsidRDefault="00565F79" w:rsidP="00565F79">
      <w:pPr>
        <w:spacing w:line="360" w:lineRule="auto"/>
        <w:rPr>
          <w:rFonts w:eastAsia="Calibri"/>
          <w:lang w:val="en-US" w:eastAsia="en-US"/>
        </w:rPr>
      </w:pPr>
    </w:p>
    <w:p w:rsidR="005F6EB3" w:rsidRDefault="005F6EB3" w:rsidP="00BF3028">
      <w:pPr>
        <w:spacing w:line="360" w:lineRule="auto"/>
        <w:rPr>
          <w:rFonts w:eastAsia="Calibri"/>
          <w:lang w:val="en-US" w:eastAsia="en-US"/>
        </w:rPr>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D275D3" w:rsidRDefault="00D275D3" w:rsidP="0026685C">
      <w:pPr>
        <w:spacing w:line="360" w:lineRule="auto"/>
      </w:pPr>
    </w:p>
    <w:p w:rsidR="00565F79" w:rsidRDefault="00565F79" w:rsidP="0026685C">
      <w:pPr>
        <w:spacing w:line="360" w:lineRule="auto"/>
      </w:pPr>
    </w:p>
    <w:p w:rsidR="00565F79" w:rsidRDefault="00565F79" w:rsidP="0026685C">
      <w:pPr>
        <w:spacing w:line="360" w:lineRule="auto"/>
      </w:pPr>
    </w:p>
    <w:p w:rsidR="00565F79" w:rsidRDefault="00565F79" w:rsidP="0026685C">
      <w:pPr>
        <w:spacing w:line="360" w:lineRule="auto"/>
      </w:pPr>
    </w:p>
    <w:p w:rsidR="00565F79" w:rsidRDefault="00565F79" w:rsidP="0026685C">
      <w:pPr>
        <w:spacing w:line="360" w:lineRule="auto"/>
      </w:pPr>
    </w:p>
    <w:p w:rsidR="00D275D3" w:rsidRDefault="00D275D3" w:rsidP="0026685C">
      <w:pPr>
        <w:spacing w:line="360" w:lineRule="auto"/>
      </w:pPr>
    </w:p>
    <w:p w:rsidR="00221A5E" w:rsidRDefault="00221A5E" w:rsidP="0026685C">
      <w:pPr>
        <w:spacing w:line="360" w:lineRule="auto"/>
      </w:pPr>
    </w:p>
    <w:p w:rsidR="00221A5E" w:rsidRDefault="00221A5E" w:rsidP="0026685C">
      <w:pPr>
        <w:spacing w:line="360" w:lineRule="auto"/>
      </w:pPr>
    </w:p>
    <w:p w:rsidR="00221A5E" w:rsidRDefault="00221A5E" w:rsidP="0026685C">
      <w:pPr>
        <w:spacing w:line="360" w:lineRule="auto"/>
      </w:pPr>
    </w:p>
    <w:p w:rsidR="00221A5E" w:rsidRDefault="00221A5E" w:rsidP="0026685C">
      <w:pPr>
        <w:spacing w:line="360" w:lineRule="auto"/>
      </w:pPr>
    </w:p>
    <w:p w:rsidR="00E469B1" w:rsidRDefault="00E469B1" w:rsidP="0026685C">
      <w:pPr>
        <w:spacing w:line="360" w:lineRule="auto"/>
      </w:pPr>
    </w:p>
    <w:p w:rsidR="00E469B1" w:rsidRDefault="00E469B1" w:rsidP="0026685C">
      <w:pPr>
        <w:spacing w:line="360" w:lineRule="auto"/>
      </w:pPr>
    </w:p>
    <w:p w:rsidR="00E469B1" w:rsidRDefault="00E469B1" w:rsidP="0026685C">
      <w:pPr>
        <w:spacing w:line="360" w:lineRule="auto"/>
      </w:pPr>
    </w:p>
    <w:p w:rsidR="00D275D3" w:rsidRDefault="00D275D3" w:rsidP="0026685C">
      <w:pPr>
        <w:spacing w:line="360" w:lineRule="auto"/>
      </w:pPr>
    </w:p>
    <w:p w:rsidR="00B90EB4" w:rsidRDefault="00B90EB4" w:rsidP="0026685C">
      <w:pPr>
        <w:spacing w:line="360" w:lineRule="auto"/>
        <w:rPr>
          <w:rFonts w:eastAsia="Calibri"/>
          <w:b/>
          <w:lang w:val="en-US" w:eastAsia="en-US"/>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551"/>
        <w:gridCol w:w="3261"/>
      </w:tblGrid>
      <w:tr w:rsidR="00B60273" w:rsidTr="00B60273">
        <w:tc>
          <w:tcPr>
            <w:tcW w:w="10065" w:type="dxa"/>
            <w:gridSpan w:val="3"/>
            <w:tcBorders>
              <w:bottom w:val="single" w:sz="4" w:space="0" w:color="auto"/>
            </w:tcBorders>
          </w:tcPr>
          <w:p w:rsidR="00B60273" w:rsidRPr="00D44B56" w:rsidRDefault="00B60273" w:rsidP="00B60273">
            <w:pPr>
              <w:spacing w:line="276" w:lineRule="auto"/>
              <w:rPr>
                <w:b/>
              </w:rPr>
            </w:pPr>
            <w:r w:rsidRPr="00D44B56">
              <w:rPr>
                <w:b/>
              </w:rPr>
              <w:lastRenderedPageBreak/>
              <w:t>T</w:t>
            </w:r>
            <w:r>
              <w:rPr>
                <w:b/>
              </w:rPr>
              <w:t>able 1. Descriptive statistics</w:t>
            </w:r>
          </w:p>
          <w:p w:rsidR="00B60273" w:rsidRDefault="00B60273" w:rsidP="00B60273">
            <w:pPr>
              <w:spacing w:line="276" w:lineRule="auto"/>
            </w:pPr>
          </w:p>
        </w:tc>
      </w:tr>
      <w:tr w:rsidR="00B60273" w:rsidTr="00B60273">
        <w:tc>
          <w:tcPr>
            <w:tcW w:w="4253" w:type="dxa"/>
            <w:tcBorders>
              <w:top w:val="single" w:sz="4" w:space="0" w:color="auto"/>
              <w:bottom w:val="single" w:sz="4" w:space="0" w:color="auto"/>
            </w:tcBorders>
          </w:tcPr>
          <w:p w:rsidR="00B60273" w:rsidRDefault="00B60273" w:rsidP="00B60273">
            <w:pPr>
              <w:spacing w:line="276" w:lineRule="auto"/>
            </w:pPr>
          </w:p>
        </w:tc>
        <w:tc>
          <w:tcPr>
            <w:tcW w:w="2551" w:type="dxa"/>
            <w:tcBorders>
              <w:top w:val="single" w:sz="4" w:space="0" w:color="auto"/>
              <w:bottom w:val="single" w:sz="4" w:space="0" w:color="auto"/>
            </w:tcBorders>
          </w:tcPr>
          <w:p w:rsidR="00B60273" w:rsidRDefault="00B60273" w:rsidP="00B60273">
            <w:pPr>
              <w:spacing w:line="276" w:lineRule="auto"/>
            </w:pPr>
            <w:r>
              <w:t>Panel I</w:t>
            </w:r>
          </w:p>
          <w:p w:rsidR="00B60273" w:rsidRDefault="00B60273" w:rsidP="00B60273">
            <w:pPr>
              <w:spacing w:line="276" w:lineRule="auto"/>
            </w:pPr>
          </w:p>
          <w:p w:rsidR="00B60273" w:rsidRDefault="00B60273" w:rsidP="00B60273">
            <w:pPr>
              <w:spacing w:line="276" w:lineRule="auto"/>
            </w:pPr>
            <w:r>
              <w:t>Gay/bisexual men</w:t>
            </w:r>
          </w:p>
        </w:tc>
        <w:tc>
          <w:tcPr>
            <w:tcW w:w="3261" w:type="dxa"/>
            <w:tcBorders>
              <w:top w:val="single" w:sz="4" w:space="0" w:color="auto"/>
              <w:bottom w:val="single" w:sz="4" w:space="0" w:color="auto"/>
            </w:tcBorders>
          </w:tcPr>
          <w:p w:rsidR="00B60273" w:rsidRDefault="00B60273" w:rsidP="00B60273">
            <w:pPr>
              <w:spacing w:line="276" w:lineRule="auto"/>
            </w:pPr>
            <w:r>
              <w:t>Panel II</w:t>
            </w:r>
          </w:p>
          <w:p w:rsidR="00B60273" w:rsidRDefault="00B60273" w:rsidP="00B60273">
            <w:pPr>
              <w:spacing w:line="276" w:lineRule="auto"/>
            </w:pPr>
          </w:p>
          <w:p w:rsidR="00B60273" w:rsidRDefault="00B60273" w:rsidP="00B60273">
            <w:pPr>
              <w:spacing w:line="276" w:lineRule="auto"/>
            </w:pPr>
            <w:r>
              <w:t>Lesbians/bisexual women</w:t>
            </w:r>
          </w:p>
          <w:p w:rsidR="00B60273" w:rsidRDefault="00B60273" w:rsidP="00B60273">
            <w:pPr>
              <w:spacing w:line="276" w:lineRule="auto"/>
            </w:pPr>
          </w:p>
        </w:tc>
      </w:tr>
      <w:tr w:rsidR="00B60273" w:rsidTr="00B60273">
        <w:tc>
          <w:tcPr>
            <w:tcW w:w="4253" w:type="dxa"/>
            <w:tcBorders>
              <w:top w:val="single" w:sz="4" w:space="0" w:color="auto"/>
            </w:tcBorders>
          </w:tcPr>
          <w:p w:rsidR="00B60273" w:rsidRDefault="00B60273" w:rsidP="00B60273">
            <w:pPr>
              <w:spacing w:line="276" w:lineRule="auto"/>
            </w:pPr>
            <w:r>
              <w:t xml:space="preserve">Age </w:t>
            </w:r>
          </w:p>
          <w:p w:rsidR="00B60273" w:rsidRDefault="00B60273" w:rsidP="00B60273">
            <w:pPr>
              <w:spacing w:line="276" w:lineRule="auto"/>
            </w:pPr>
          </w:p>
        </w:tc>
        <w:tc>
          <w:tcPr>
            <w:tcW w:w="2551" w:type="dxa"/>
            <w:tcBorders>
              <w:top w:val="single" w:sz="4" w:space="0" w:color="auto"/>
            </w:tcBorders>
          </w:tcPr>
          <w:p w:rsidR="00B60273" w:rsidRDefault="00B60273" w:rsidP="00B60273">
            <w:pPr>
              <w:spacing w:line="276" w:lineRule="auto"/>
            </w:pPr>
            <w:r>
              <w:t>37.97 (0.786)</w:t>
            </w:r>
          </w:p>
        </w:tc>
        <w:tc>
          <w:tcPr>
            <w:tcW w:w="3261" w:type="dxa"/>
            <w:tcBorders>
              <w:top w:val="single" w:sz="4" w:space="0" w:color="auto"/>
            </w:tcBorders>
          </w:tcPr>
          <w:p w:rsidR="00B60273" w:rsidRDefault="00B60273" w:rsidP="00B60273">
            <w:pPr>
              <w:spacing w:line="276" w:lineRule="auto"/>
            </w:pPr>
            <w:r>
              <w:t>35.27 (0.744)</w:t>
            </w:r>
          </w:p>
        </w:tc>
      </w:tr>
      <w:tr w:rsidR="00B60273" w:rsidTr="00B60273">
        <w:tc>
          <w:tcPr>
            <w:tcW w:w="4253" w:type="dxa"/>
          </w:tcPr>
          <w:p w:rsidR="00B60273" w:rsidRDefault="00B60273" w:rsidP="00B60273">
            <w:pPr>
              <w:spacing w:line="276" w:lineRule="auto"/>
            </w:pPr>
            <w:r>
              <w:t xml:space="preserve">Gay men or lesbians^ </w:t>
            </w:r>
          </w:p>
          <w:p w:rsidR="00B60273" w:rsidRDefault="00B60273" w:rsidP="00B60273">
            <w:pPr>
              <w:spacing w:line="276" w:lineRule="auto"/>
            </w:pPr>
          </w:p>
        </w:tc>
        <w:tc>
          <w:tcPr>
            <w:tcW w:w="2551" w:type="dxa"/>
          </w:tcPr>
          <w:p w:rsidR="00B60273" w:rsidRDefault="00B60273" w:rsidP="00B60273">
            <w:pPr>
              <w:spacing w:line="276" w:lineRule="auto"/>
            </w:pPr>
            <w:r>
              <w:t>86.91 (0.026)</w:t>
            </w:r>
          </w:p>
        </w:tc>
        <w:tc>
          <w:tcPr>
            <w:tcW w:w="3261" w:type="dxa"/>
          </w:tcPr>
          <w:p w:rsidR="00B60273" w:rsidRDefault="00B60273" w:rsidP="00B60273">
            <w:pPr>
              <w:spacing w:line="276" w:lineRule="auto"/>
            </w:pPr>
            <w:r>
              <w:t>82.52 (0.037)</w:t>
            </w:r>
          </w:p>
        </w:tc>
      </w:tr>
      <w:tr w:rsidR="00B60273" w:rsidTr="00B60273">
        <w:tc>
          <w:tcPr>
            <w:tcW w:w="4253" w:type="dxa"/>
          </w:tcPr>
          <w:p w:rsidR="00B60273" w:rsidRDefault="00B60273" w:rsidP="00B60273">
            <w:pPr>
              <w:spacing w:line="276" w:lineRule="auto"/>
            </w:pPr>
            <w:r>
              <w:t xml:space="preserve">Higher education </w:t>
            </w:r>
          </w:p>
          <w:p w:rsidR="00B60273" w:rsidRDefault="00B60273" w:rsidP="00B60273">
            <w:pPr>
              <w:spacing w:line="276" w:lineRule="auto"/>
            </w:pPr>
          </w:p>
        </w:tc>
        <w:tc>
          <w:tcPr>
            <w:tcW w:w="2551" w:type="dxa"/>
          </w:tcPr>
          <w:p w:rsidR="00B60273" w:rsidRDefault="00B60273" w:rsidP="00B60273">
            <w:pPr>
              <w:spacing w:line="276" w:lineRule="auto"/>
            </w:pPr>
            <w:r>
              <w:t>59.52 (0.037)</w:t>
            </w:r>
          </w:p>
        </w:tc>
        <w:tc>
          <w:tcPr>
            <w:tcW w:w="3261" w:type="dxa"/>
          </w:tcPr>
          <w:p w:rsidR="00B60273" w:rsidRDefault="00B60273" w:rsidP="00B60273">
            <w:pPr>
              <w:spacing w:line="276" w:lineRule="auto"/>
            </w:pPr>
            <w:r>
              <w:t>54.36 (0.049)</w:t>
            </w:r>
          </w:p>
        </w:tc>
      </w:tr>
      <w:tr w:rsidR="00B60273" w:rsidTr="00B60273">
        <w:tc>
          <w:tcPr>
            <w:tcW w:w="4253" w:type="dxa"/>
          </w:tcPr>
          <w:p w:rsidR="00B60273" w:rsidRDefault="00B60273" w:rsidP="00B60273">
            <w:pPr>
              <w:spacing w:line="276" w:lineRule="auto"/>
            </w:pPr>
            <w:r>
              <w:t xml:space="preserve">Working experience </w:t>
            </w:r>
          </w:p>
          <w:p w:rsidR="00B60273" w:rsidRDefault="00B60273" w:rsidP="00B60273">
            <w:pPr>
              <w:spacing w:line="276" w:lineRule="auto"/>
            </w:pPr>
          </w:p>
        </w:tc>
        <w:tc>
          <w:tcPr>
            <w:tcW w:w="2551" w:type="dxa"/>
          </w:tcPr>
          <w:p w:rsidR="00B60273" w:rsidRDefault="00B60273" w:rsidP="00B60273">
            <w:pPr>
              <w:spacing w:line="276" w:lineRule="auto"/>
            </w:pPr>
            <w:r>
              <w:t>16.26 (0.786)</w:t>
            </w:r>
          </w:p>
        </w:tc>
        <w:tc>
          <w:tcPr>
            <w:tcW w:w="3261" w:type="dxa"/>
          </w:tcPr>
          <w:p w:rsidR="00B60273" w:rsidRDefault="00B60273" w:rsidP="00B60273">
            <w:pPr>
              <w:spacing w:line="276" w:lineRule="auto"/>
            </w:pPr>
            <w:r>
              <w:t>14.22 (0.863)</w:t>
            </w:r>
          </w:p>
        </w:tc>
      </w:tr>
      <w:tr w:rsidR="00B60273" w:rsidTr="00B60273">
        <w:tc>
          <w:tcPr>
            <w:tcW w:w="4253" w:type="dxa"/>
          </w:tcPr>
          <w:p w:rsidR="00B60273" w:rsidRDefault="00B60273" w:rsidP="00B60273">
            <w:pPr>
              <w:spacing w:line="276" w:lineRule="auto"/>
            </w:pPr>
            <w:r>
              <w:t xml:space="preserve">White-collar employees </w:t>
            </w:r>
          </w:p>
          <w:p w:rsidR="00B60273" w:rsidRDefault="00B60273" w:rsidP="00B60273">
            <w:pPr>
              <w:spacing w:line="276" w:lineRule="auto"/>
            </w:pPr>
          </w:p>
        </w:tc>
        <w:tc>
          <w:tcPr>
            <w:tcW w:w="2551" w:type="dxa"/>
          </w:tcPr>
          <w:p w:rsidR="00B60273" w:rsidRDefault="00B60273" w:rsidP="00B60273">
            <w:pPr>
              <w:spacing w:line="276" w:lineRule="auto"/>
            </w:pPr>
            <w:r>
              <w:t>70.23 (0.035)</w:t>
            </w:r>
          </w:p>
        </w:tc>
        <w:tc>
          <w:tcPr>
            <w:tcW w:w="3261" w:type="dxa"/>
          </w:tcPr>
          <w:p w:rsidR="00B60273" w:rsidRDefault="00B60273" w:rsidP="00B60273">
            <w:pPr>
              <w:spacing w:line="276" w:lineRule="auto"/>
            </w:pPr>
            <w:r>
              <w:t>59.22 (0.048)</w:t>
            </w:r>
          </w:p>
        </w:tc>
      </w:tr>
      <w:tr w:rsidR="00B60273" w:rsidTr="00B60273">
        <w:tc>
          <w:tcPr>
            <w:tcW w:w="4253" w:type="dxa"/>
          </w:tcPr>
          <w:p w:rsidR="00B60273" w:rsidRDefault="00B60273" w:rsidP="00B60273">
            <w:pPr>
              <w:spacing w:line="276" w:lineRule="auto"/>
            </w:pPr>
            <w:r>
              <w:t xml:space="preserve">Blue-collar employees </w:t>
            </w:r>
          </w:p>
          <w:p w:rsidR="00B60273" w:rsidRDefault="00B60273" w:rsidP="00B60273">
            <w:pPr>
              <w:spacing w:line="276" w:lineRule="auto"/>
            </w:pPr>
          </w:p>
        </w:tc>
        <w:tc>
          <w:tcPr>
            <w:tcW w:w="2551" w:type="dxa"/>
          </w:tcPr>
          <w:p w:rsidR="00B60273" w:rsidRDefault="00B60273" w:rsidP="00B60273">
            <w:pPr>
              <w:spacing w:line="276" w:lineRule="auto"/>
            </w:pPr>
            <w:r>
              <w:t>6.54 (0.019)</w:t>
            </w:r>
          </w:p>
        </w:tc>
        <w:tc>
          <w:tcPr>
            <w:tcW w:w="3261" w:type="dxa"/>
          </w:tcPr>
          <w:p w:rsidR="00B60273" w:rsidRDefault="00B60273" w:rsidP="00B60273">
            <w:pPr>
              <w:spacing w:line="276" w:lineRule="auto"/>
            </w:pPr>
            <w:r>
              <w:t>5.82 (0.023)</w:t>
            </w:r>
          </w:p>
        </w:tc>
      </w:tr>
      <w:tr w:rsidR="00B60273" w:rsidTr="00B60273">
        <w:tc>
          <w:tcPr>
            <w:tcW w:w="4253" w:type="dxa"/>
          </w:tcPr>
          <w:p w:rsidR="00B60273" w:rsidRDefault="00B60273" w:rsidP="00B60273">
            <w:pPr>
              <w:spacing w:line="276" w:lineRule="auto"/>
            </w:pPr>
            <w:r>
              <w:t xml:space="preserve">Pink-collar employees </w:t>
            </w:r>
          </w:p>
          <w:p w:rsidR="00B60273" w:rsidRDefault="00B60273" w:rsidP="00B60273">
            <w:pPr>
              <w:spacing w:line="276" w:lineRule="auto"/>
            </w:pPr>
          </w:p>
        </w:tc>
        <w:tc>
          <w:tcPr>
            <w:tcW w:w="2551" w:type="dxa"/>
          </w:tcPr>
          <w:p w:rsidR="00B60273" w:rsidRDefault="00B60273" w:rsidP="00B60273">
            <w:pPr>
              <w:spacing w:line="276" w:lineRule="auto"/>
            </w:pPr>
            <w:r>
              <w:t>22.61 (0.032)</w:t>
            </w:r>
          </w:p>
        </w:tc>
        <w:tc>
          <w:tcPr>
            <w:tcW w:w="3261" w:type="dxa"/>
          </w:tcPr>
          <w:p w:rsidR="00B60273" w:rsidRDefault="00B60273" w:rsidP="00B60273">
            <w:pPr>
              <w:spacing w:line="276" w:lineRule="auto"/>
            </w:pPr>
            <w:r>
              <w:t>34.95 (0.047)</w:t>
            </w:r>
          </w:p>
        </w:tc>
      </w:tr>
      <w:tr w:rsidR="00B60273" w:rsidTr="00B60273">
        <w:tc>
          <w:tcPr>
            <w:tcW w:w="4253" w:type="dxa"/>
          </w:tcPr>
          <w:p w:rsidR="00B60273" w:rsidRDefault="00B60273" w:rsidP="00B60273">
            <w:pPr>
              <w:spacing w:line="276" w:lineRule="auto"/>
            </w:pPr>
            <w:r>
              <w:t>School-age bullying</w:t>
            </w:r>
          </w:p>
          <w:p w:rsidR="00B60273" w:rsidRDefault="00B60273" w:rsidP="00B60273">
            <w:pPr>
              <w:spacing w:line="276" w:lineRule="auto"/>
            </w:pPr>
          </w:p>
        </w:tc>
        <w:tc>
          <w:tcPr>
            <w:tcW w:w="2551" w:type="dxa"/>
          </w:tcPr>
          <w:p w:rsidR="00B60273" w:rsidRDefault="00B60273" w:rsidP="00B60273">
            <w:pPr>
              <w:spacing w:line="276" w:lineRule="auto"/>
            </w:pPr>
            <w:r>
              <w:t>2.35 (0.092)</w:t>
            </w:r>
          </w:p>
        </w:tc>
        <w:tc>
          <w:tcPr>
            <w:tcW w:w="3261" w:type="dxa"/>
          </w:tcPr>
          <w:p w:rsidR="00B60273" w:rsidRDefault="00B60273" w:rsidP="00B60273">
            <w:pPr>
              <w:spacing w:line="276" w:lineRule="auto"/>
            </w:pPr>
            <w:r>
              <w:t>1.79 (0.116)</w:t>
            </w:r>
          </w:p>
        </w:tc>
      </w:tr>
      <w:tr w:rsidR="00B60273" w:rsidTr="00B60273">
        <w:tc>
          <w:tcPr>
            <w:tcW w:w="4253" w:type="dxa"/>
          </w:tcPr>
          <w:p w:rsidR="00B60273" w:rsidRDefault="00B60273" w:rsidP="00B60273">
            <w:pPr>
              <w:spacing w:line="276" w:lineRule="auto"/>
            </w:pPr>
            <w:r>
              <w:t>Workplace-bullying</w:t>
            </w:r>
          </w:p>
          <w:p w:rsidR="00B60273" w:rsidRDefault="00B60273" w:rsidP="00B60273">
            <w:pPr>
              <w:spacing w:line="276" w:lineRule="auto"/>
            </w:pPr>
          </w:p>
        </w:tc>
        <w:tc>
          <w:tcPr>
            <w:tcW w:w="2551" w:type="dxa"/>
          </w:tcPr>
          <w:p w:rsidR="00B60273" w:rsidRDefault="00B60273" w:rsidP="00B60273">
            <w:pPr>
              <w:spacing w:line="276" w:lineRule="auto"/>
            </w:pPr>
            <w:r>
              <w:t>1.88 (0.088)</w:t>
            </w:r>
          </w:p>
        </w:tc>
        <w:tc>
          <w:tcPr>
            <w:tcW w:w="3261" w:type="dxa"/>
          </w:tcPr>
          <w:p w:rsidR="00B60273" w:rsidRDefault="00B60273" w:rsidP="00B60273">
            <w:pPr>
              <w:spacing w:line="276" w:lineRule="auto"/>
            </w:pPr>
            <w:r>
              <w:t>1.25 (0.101)</w:t>
            </w:r>
          </w:p>
        </w:tc>
      </w:tr>
      <w:tr w:rsidR="00B60273" w:rsidTr="00B60273">
        <w:tc>
          <w:tcPr>
            <w:tcW w:w="4253" w:type="dxa"/>
          </w:tcPr>
          <w:p w:rsidR="00B60273" w:rsidRDefault="00B60273" w:rsidP="00B60273">
            <w:pPr>
              <w:spacing w:line="276" w:lineRule="auto"/>
            </w:pPr>
            <w:r>
              <w:t xml:space="preserve">Family support </w:t>
            </w:r>
          </w:p>
          <w:p w:rsidR="00B60273" w:rsidRDefault="00B60273" w:rsidP="00B60273">
            <w:pPr>
              <w:spacing w:line="276" w:lineRule="auto"/>
            </w:pPr>
          </w:p>
        </w:tc>
        <w:tc>
          <w:tcPr>
            <w:tcW w:w="2551" w:type="dxa"/>
          </w:tcPr>
          <w:p w:rsidR="00B60273" w:rsidRDefault="00B60273" w:rsidP="00B60273">
            <w:pPr>
              <w:spacing w:line="276" w:lineRule="auto"/>
            </w:pPr>
            <w:r>
              <w:t>0.648 (0.069)</w:t>
            </w:r>
          </w:p>
        </w:tc>
        <w:tc>
          <w:tcPr>
            <w:tcW w:w="3261" w:type="dxa"/>
          </w:tcPr>
          <w:p w:rsidR="00B60273" w:rsidRDefault="00B60273" w:rsidP="00B60273">
            <w:pPr>
              <w:spacing w:line="276" w:lineRule="auto"/>
            </w:pPr>
            <w:r>
              <w:t xml:space="preserve">1.291 (0.145) </w:t>
            </w:r>
          </w:p>
        </w:tc>
      </w:tr>
      <w:tr w:rsidR="00B60273" w:rsidTr="00B60273">
        <w:tc>
          <w:tcPr>
            <w:tcW w:w="4253" w:type="dxa"/>
            <w:tcBorders>
              <w:bottom w:val="single" w:sz="4" w:space="0" w:color="auto"/>
            </w:tcBorders>
          </w:tcPr>
          <w:p w:rsidR="00B60273" w:rsidRDefault="00B60273" w:rsidP="00B60273">
            <w:pPr>
              <w:spacing w:line="480" w:lineRule="auto"/>
            </w:pPr>
            <w:r>
              <w:t>Observations</w:t>
            </w:r>
          </w:p>
        </w:tc>
        <w:tc>
          <w:tcPr>
            <w:tcW w:w="2551" w:type="dxa"/>
            <w:tcBorders>
              <w:bottom w:val="single" w:sz="4" w:space="0" w:color="auto"/>
            </w:tcBorders>
          </w:tcPr>
          <w:p w:rsidR="00B60273" w:rsidRDefault="00B60273" w:rsidP="00B60273">
            <w:pPr>
              <w:spacing w:line="480" w:lineRule="auto"/>
            </w:pPr>
            <w:r>
              <w:t>168</w:t>
            </w:r>
          </w:p>
        </w:tc>
        <w:tc>
          <w:tcPr>
            <w:tcW w:w="3261" w:type="dxa"/>
            <w:tcBorders>
              <w:bottom w:val="single" w:sz="4" w:space="0" w:color="auto"/>
            </w:tcBorders>
          </w:tcPr>
          <w:p w:rsidR="00B60273" w:rsidRDefault="00B60273" w:rsidP="00B60273">
            <w:pPr>
              <w:spacing w:line="480" w:lineRule="auto"/>
            </w:pPr>
            <w:r>
              <w:t>103</w:t>
            </w:r>
          </w:p>
        </w:tc>
      </w:tr>
      <w:tr w:rsidR="00B60273" w:rsidTr="00B60273">
        <w:tc>
          <w:tcPr>
            <w:tcW w:w="10065" w:type="dxa"/>
            <w:gridSpan w:val="3"/>
            <w:tcBorders>
              <w:top w:val="single" w:sz="4" w:space="0" w:color="auto"/>
              <w:bottom w:val="single" w:sz="4" w:space="0" w:color="auto"/>
            </w:tcBorders>
          </w:tcPr>
          <w:p w:rsidR="00B60273" w:rsidRPr="00486FC5" w:rsidRDefault="00B60273" w:rsidP="00B60273">
            <w:pPr>
              <w:spacing w:line="480" w:lineRule="auto"/>
              <w:rPr>
                <w:i/>
              </w:rPr>
            </w:pPr>
            <w:r w:rsidRPr="00486FC5">
              <w:rPr>
                <w:i/>
              </w:rPr>
              <w:t>Notes: Standard deviations are in parentheses. (^) Bisexuals otherwise.</w:t>
            </w:r>
          </w:p>
        </w:tc>
      </w:tr>
    </w:tbl>
    <w:p w:rsidR="00CC07C0" w:rsidRDefault="00CC07C0" w:rsidP="00653866">
      <w:pPr>
        <w:spacing w:line="360" w:lineRule="auto"/>
        <w:jc w:val="center"/>
        <w:rPr>
          <w:rFonts w:eastAsia="Calibri"/>
          <w:b/>
          <w:lang w:val="en-US" w:eastAsia="en-US"/>
        </w:rPr>
      </w:pPr>
    </w:p>
    <w:p w:rsidR="00CC07C0" w:rsidRDefault="00CC07C0" w:rsidP="00653866">
      <w:pPr>
        <w:spacing w:line="360" w:lineRule="auto"/>
        <w:jc w:val="center"/>
        <w:rPr>
          <w:rFonts w:eastAsia="Calibri"/>
          <w:b/>
          <w:lang w:val="en-US" w:eastAsia="en-US"/>
        </w:rPr>
      </w:pPr>
    </w:p>
    <w:p w:rsidR="00CC07C0" w:rsidRDefault="00CC07C0" w:rsidP="00653866">
      <w:pPr>
        <w:spacing w:line="360" w:lineRule="auto"/>
        <w:jc w:val="center"/>
        <w:rPr>
          <w:rFonts w:eastAsia="Calibri"/>
          <w:b/>
          <w:lang w:val="en-US" w:eastAsia="en-US"/>
        </w:rPr>
      </w:pPr>
    </w:p>
    <w:p w:rsidR="00CC07C0" w:rsidRDefault="00CC07C0" w:rsidP="00653866">
      <w:pPr>
        <w:spacing w:line="360" w:lineRule="auto"/>
        <w:jc w:val="center"/>
        <w:rPr>
          <w:rFonts w:eastAsia="Calibri"/>
          <w:b/>
          <w:lang w:val="en-US" w:eastAsia="en-US"/>
        </w:rPr>
      </w:pPr>
    </w:p>
    <w:p w:rsidR="00CC07C0" w:rsidRDefault="00CC07C0" w:rsidP="00CC07C0">
      <w:pPr>
        <w:spacing w:line="360" w:lineRule="auto"/>
        <w:rPr>
          <w:rFonts w:eastAsia="Calibri"/>
          <w:b/>
          <w:lang w:val="en-US" w:eastAsia="en-US"/>
        </w:rPr>
      </w:pPr>
    </w:p>
    <w:p w:rsidR="00CC07C0" w:rsidRDefault="00CC07C0" w:rsidP="00CC07C0"/>
    <w:p w:rsidR="00CC07C0" w:rsidRDefault="00CC07C0" w:rsidP="00CC07C0"/>
    <w:p w:rsidR="00CC07C0" w:rsidRDefault="00CC07C0" w:rsidP="00CC07C0"/>
    <w:p w:rsidR="00CC07C0" w:rsidRDefault="00CC07C0" w:rsidP="00CC07C0"/>
    <w:p w:rsidR="00CC07C0" w:rsidRDefault="00CC07C0" w:rsidP="00CC07C0"/>
    <w:p w:rsidR="00CC07C0" w:rsidRDefault="00CC07C0" w:rsidP="00CC07C0"/>
    <w:p w:rsidR="00F958EB" w:rsidRDefault="00F958EB" w:rsidP="00CC07C0"/>
    <w:p w:rsidR="00CC07C0" w:rsidRDefault="00CC07C0" w:rsidP="00CC07C0"/>
    <w:tbl>
      <w:tblPr>
        <w:tblStyle w:val="TableGrid"/>
        <w:tblpPr w:leftFromText="180" w:rightFromText="180" w:vertAnchor="page" w:horzAnchor="margin" w:tblpXSpec="center" w:tblpY="237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693"/>
        <w:gridCol w:w="3261"/>
      </w:tblGrid>
      <w:tr w:rsidR="00F958EB" w:rsidTr="00F958EB">
        <w:tc>
          <w:tcPr>
            <w:tcW w:w="10065" w:type="dxa"/>
            <w:gridSpan w:val="3"/>
            <w:tcBorders>
              <w:bottom w:val="single" w:sz="4" w:space="0" w:color="auto"/>
            </w:tcBorders>
          </w:tcPr>
          <w:p w:rsidR="00F958EB" w:rsidRPr="00D44B56" w:rsidRDefault="00F958EB" w:rsidP="00F958EB">
            <w:pPr>
              <w:rPr>
                <w:b/>
              </w:rPr>
            </w:pPr>
            <w:r>
              <w:rPr>
                <w:b/>
              </w:rPr>
              <w:lastRenderedPageBreak/>
              <w:t>Table 2</w:t>
            </w:r>
            <w:r w:rsidRPr="00D44B56">
              <w:rPr>
                <w:b/>
              </w:rPr>
              <w:t>.</w:t>
            </w:r>
            <w:r>
              <w:rPr>
                <w:b/>
              </w:rPr>
              <w:t xml:space="preserve"> Proportions; Family suppo</w:t>
            </w:r>
            <w:r w:rsidR="00A41616">
              <w:rPr>
                <w:b/>
              </w:rPr>
              <w:t>rt, school-age bullying</w:t>
            </w:r>
            <w:r>
              <w:rPr>
                <w:b/>
              </w:rPr>
              <w:t xml:space="preserve"> </w:t>
            </w:r>
            <w:r w:rsidR="00A41616">
              <w:rPr>
                <w:b/>
              </w:rPr>
              <w:t xml:space="preserve">and </w:t>
            </w:r>
            <w:r>
              <w:rPr>
                <w:b/>
              </w:rPr>
              <w:t>work</w:t>
            </w:r>
            <w:r w:rsidR="00A41616">
              <w:rPr>
                <w:b/>
              </w:rPr>
              <w:t>place bullying</w:t>
            </w:r>
          </w:p>
          <w:p w:rsidR="00F958EB" w:rsidRDefault="00F958EB" w:rsidP="00F958EB"/>
        </w:tc>
      </w:tr>
      <w:tr w:rsidR="00F958EB" w:rsidTr="00F958EB">
        <w:tc>
          <w:tcPr>
            <w:tcW w:w="4111" w:type="dxa"/>
            <w:tcBorders>
              <w:top w:val="single" w:sz="4" w:space="0" w:color="auto"/>
              <w:bottom w:val="single" w:sz="4" w:space="0" w:color="auto"/>
            </w:tcBorders>
          </w:tcPr>
          <w:p w:rsidR="00F958EB" w:rsidRDefault="00F958EB" w:rsidP="00F958EB"/>
        </w:tc>
        <w:tc>
          <w:tcPr>
            <w:tcW w:w="2693" w:type="dxa"/>
            <w:tcBorders>
              <w:top w:val="single" w:sz="4" w:space="0" w:color="auto"/>
              <w:bottom w:val="single" w:sz="4" w:space="0" w:color="auto"/>
            </w:tcBorders>
          </w:tcPr>
          <w:p w:rsidR="00F958EB" w:rsidRDefault="00F958EB" w:rsidP="00F958EB">
            <w:r>
              <w:t>Panel I</w:t>
            </w:r>
          </w:p>
          <w:p w:rsidR="00F958EB" w:rsidRDefault="00F958EB" w:rsidP="00F958EB"/>
          <w:p w:rsidR="00F958EB" w:rsidRDefault="00F958EB" w:rsidP="00F958EB">
            <w:r>
              <w:t>Gay/bisexual men</w:t>
            </w:r>
          </w:p>
        </w:tc>
        <w:tc>
          <w:tcPr>
            <w:tcW w:w="3261" w:type="dxa"/>
            <w:tcBorders>
              <w:top w:val="single" w:sz="4" w:space="0" w:color="auto"/>
              <w:bottom w:val="single" w:sz="4" w:space="0" w:color="auto"/>
            </w:tcBorders>
          </w:tcPr>
          <w:p w:rsidR="00F958EB" w:rsidRDefault="00F958EB" w:rsidP="00F958EB">
            <w:r>
              <w:t>Panel II</w:t>
            </w:r>
          </w:p>
          <w:p w:rsidR="00F958EB" w:rsidRDefault="00F958EB" w:rsidP="00F958EB"/>
          <w:p w:rsidR="00F958EB" w:rsidRDefault="00F958EB" w:rsidP="00F958EB">
            <w:r>
              <w:t>Lesbians/bisexual women</w:t>
            </w:r>
          </w:p>
          <w:p w:rsidR="00F958EB" w:rsidRDefault="00F958EB" w:rsidP="00F958EB"/>
        </w:tc>
      </w:tr>
      <w:tr w:rsidR="00F958EB" w:rsidTr="00F958EB">
        <w:tc>
          <w:tcPr>
            <w:tcW w:w="4111" w:type="dxa"/>
            <w:tcBorders>
              <w:top w:val="single" w:sz="4" w:space="0" w:color="auto"/>
            </w:tcBorders>
          </w:tcPr>
          <w:p w:rsidR="00F958EB" w:rsidRDefault="00105893" w:rsidP="00F958EB">
            <w:r>
              <w:t xml:space="preserve">Family </w:t>
            </w:r>
            <w:r w:rsidR="00F958EB">
              <w:t>support:</w:t>
            </w:r>
          </w:p>
          <w:p w:rsidR="00F958EB" w:rsidRDefault="00F958EB" w:rsidP="00F958EB"/>
        </w:tc>
        <w:tc>
          <w:tcPr>
            <w:tcW w:w="2693" w:type="dxa"/>
          </w:tcPr>
          <w:p w:rsidR="00F958EB" w:rsidRDefault="00F958EB" w:rsidP="00F958EB"/>
        </w:tc>
        <w:tc>
          <w:tcPr>
            <w:tcW w:w="3261" w:type="dxa"/>
          </w:tcPr>
          <w:p w:rsidR="00F958EB" w:rsidRDefault="00F958EB" w:rsidP="00F958EB"/>
        </w:tc>
      </w:tr>
      <w:tr w:rsidR="00F958EB" w:rsidTr="00F958EB">
        <w:tc>
          <w:tcPr>
            <w:tcW w:w="4111" w:type="dxa"/>
          </w:tcPr>
          <w:p w:rsidR="00F958EB" w:rsidRDefault="00F958EB" w:rsidP="00F958EB">
            <w:r>
              <w:t>-Always</w:t>
            </w:r>
          </w:p>
        </w:tc>
        <w:tc>
          <w:tcPr>
            <w:tcW w:w="2693" w:type="dxa"/>
          </w:tcPr>
          <w:p w:rsidR="00F958EB" w:rsidRDefault="00F958EB" w:rsidP="00F958EB">
            <w:r>
              <w:t>1.19</w:t>
            </w:r>
          </w:p>
        </w:tc>
        <w:tc>
          <w:tcPr>
            <w:tcW w:w="3261" w:type="dxa"/>
          </w:tcPr>
          <w:p w:rsidR="00F958EB" w:rsidRDefault="00F958EB" w:rsidP="00F958EB">
            <w:r>
              <w:t>9.70</w:t>
            </w:r>
          </w:p>
        </w:tc>
      </w:tr>
      <w:tr w:rsidR="00F958EB" w:rsidTr="00F958EB">
        <w:tc>
          <w:tcPr>
            <w:tcW w:w="4111" w:type="dxa"/>
          </w:tcPr>
          <w:p w:rsidR="00F958EB" w:rsidRDefault="00F958EB" w:rsidP="00F958EB">
            <w:r>
              <w:t>-Very often</w:t>
            </w:r>
          </w:p>
        </w:tc>
        <w:tc>
          <w:tcPr>
            <w:tcW w:w="2693" w:type="dxa"/>
          </w:tcPr>
          <w:p w:rsidR="00F958EB" w:rsidRDefault="00F958EB" w:rsidP="00F958EB">
            <w:r>
              <w:t>5.95</w:t>
            </w:r>
          </w:p>
        </w:tc>
        <w:tc>
          <w:tcPr>
            <w:tcW w:w="3261" w:type="dxa"/>
          </w:tcPr>
          <w:p w:rsidR="00F958EB" w:rsidRDefault="00F958EB" w:rsidP="00F958EB">
            <w:r>
              <w:t>19.41</w:t>
            </w:r>
          </w:p>
        </w:tc>
      </w:tr>
      <w:tr w:rsidR="00F958EB" w:rsidTr="00F958EB">
        <w:tc>
          <w:tcPr>
            <w:tcW w:w="4111" w:type="dxa"/>
          </w:tcPr>
          <w:p w:rsidR="00F958EB" w:rsidRDefault="00F958EB" w:rsidP="00F958EB">
            <w:r>
              <w:t>-Sometimes</w:t>
            </w:r>
          </w:p>
        </w:tc>
        <w:tc>
          <w:tcPr>
            <w:tcW w:w="2693" w:type="dxa"/>
          </w:tcPr>
          <w:p w:rsidR="00F958EB" w:rsidRDefault="00F958EB" w:rsidP="00F958EB">
            <w:r>
              <w:t>3.57</w:t>
            </w:r>
          </w:p>
        </w:tc>
        <w:tc>
          <w:tcPr>
            <w:tcW w:w="3261" w:type="dxa"/>
          </w:tcPr>
          <w:p w:rsidR="00F958EB" w:rsidRDefault="00F958EB" w:rsidP="00F958EB">
            <w:r>
              <w:t>10.67</w:t>
            </w:r>
          </w:p>
        </w:tc>
      </w:tr>
      <w:tr w:rsidR="00F958EB" w:rsidTr="00F958EB">
        <w:tc>
          <w:tcPr>
            <w:tcW w:w="4111" w:type="dxa"/>
          </w:tcPr>
          <w:p w:rsidR="00F958EB" w:rsidRDefault="00F958EB" w:rsidP="00F958EB">
            <w:r>
              <w:t>-Rarely</w:t>
            </w:r>
          </w:p>
        </w:tc>
        <w:tc>
          <w:tcPr>
            <w:tcW w:w="2693" w:type="dxa"/>
          </w:tcPr>
          <w:p w:rsidR="00F958EB" w:rsidRDefault="00F958EB" w:rsidP="00F958EB">
            <w:r>
              <w:t>35.11</w:t>
            </w:r>
          </w:p>
        </w:tc>
        <w:tc>
          <w:tcPr>
            <w:tcW w:w="3261" w:type="dxa"/>
          </w:tcPr>
          <w:p w:rsidR="00F958EB" w:rsidRDefault="00F958EB" w:rsidP="00F958EB">
            <w:r>
              <w:t>10.67</w:t>
            </w:r>
          </w:p>
        </w:tc>
      </w:tr>
      <w:tr w:rsidR="00F958EB" w:rsidTr="00F958EB">
        <w:tc>
          <w:tcPr>
            <w:tcW w:w="4111" w:type="dxa"/>
          </w:tcPr>
          <w:p w:rsidR="00F958EB" w:rsidRDefault="00F958EB" w:rsidP="00F958EB">
            <w:r>
              <w:t>-Never</w:t>
            </w:r>
          </w:p>
        </w:tc>
        <w:tc>
          <w:tcPr>
            <w:tcW w:w="2693" w:type="dxa"/>
          </w:tcPr>
          <w:p w:rsidR="00F958EB" w:rsidRDefault="00F958EB" w:rsidP="00F958EB">
            <w:r>
              <w:t>54.16</w:t>
            </w:r>
          </w:p>
        </w:tc>
        <w:tc>
          <w:tcPr>
            <w:tcW w:w="3261" w:type="dxa"/>
          </w:tcPr>
          <w:p w:rsidR="00F958EB" w:rsidRDefault="00F958EB" w:rsidP="00F958EB">
            <w:r>
              <w:t>49.51</w:t>
            </w:r>
          </w:p>
        </w:tc>
      </w:tr>
      <w:tr w:rsidR="00F958EB" w:rsidTr="00F958EB">
        <w:tc>
          <w:tcPr>
            <w:tcW w:w="4111" w:type="dxa"/>
            <w:tcBorders>
              <w:bottom w:val="single" w:sz="4" w:space="0" w:color="auto"/>
            </w:tcBorders>
          </w:tcPr>
          <w:p w:rsidR="00F958EB" w:rsidRDefault="00F958EB" w:rsidP="00F958EB"/>
        </w:tc>
        <w:tc>
          <w:tcPr>
            <w:tcW w:w="2693" w:type="dxa"/>
            <w:tcBorders>
              <w:bottom w:val="single" w:sz="4" w:space="0" w:color="auto"/>
            </w:tcBorders>
          </w:tcPr>
          <w:p w:rsidR="00F958EB" w:rsidRDefault="00F958EB" w:rsidP="00F958EB"/>
        </w:tc>
        <w:tc>
          <w:tcPr>
            <w:tcW w:w="3261" w:type="dxa"/>
            <w:tcBorders>
              <w:bottom w:val="single" w:sz="4" w:space="0" w:color="auto"/>
            </w:tcBorders>
          </w:tcPr>
          <w:p w:rsidR="00F958EB" w:rsidRDefault="00F958EB" w:rsidP="00F958EB"/>
        </w:tc>
      </w:tr>
      <w:tr w:rsidR="00F958EB" w:rsidTr="00F958EB">
        <w:tc>
          <w:tcPr>
            <w:tcW w:w="4111" w:type="dxa"/>
            <w:tcBorders>
              <w:top w:val="single" w:sz="4" w:space="0" w:color="auto"/>
            </w:tcBorders>
          </w:tcPr>
          <w:p w:rsidR="00F958EB" w:rsidRDefault="00F958EB" w:rsidP="00F958EB">
            <w:r>
              <w:t>School-age bullying:</w:t>
            </w:r>
          </w:p>
          <w:p w:rsidR="00F958EB" w:rsidRDefault="00F958EB" w:rsidP="00F958EB"/>
        </w:tc>
        <w:tc>
          <w:tcPr>
            <w:tcW w:w="2693" w:type="dxa"/>
            <w:tcBorders>
              <w:top w:val="single" w:sz="4" w:space="0" w:color="auto"/>
            </w:tcBorders>
          </w:tcPr>
          <w:p w:rsidR="00F958EB" w:rsidRDefault="00F958EB" w:rsidP="00F958EB"/>
        </w:tc>
        <w:tc>
          <w:tcPr>
            <w:tcW w:w="3261" w:type="dxa"/>
            <w:tcBorders>
              <w:top w:val="single" w:sz="4" w:space="0" w:color="auto"/>
            </w:tcBorders>
          </w:tcPr>
          <w:p w:rsidR="00F958EB" w:rsidRDefault="00F958EB" w:rsidP="00F958EB"/>
        </w:tc>
      </w:tr>
      <w:tr w:rsidR="00F958EB" w:rsidTr="00F958EB">
        <w:tc>
          <w:tcPr>
            <w:tcW w:w="4111" w:type="dxa"/>
          </w:tcPr>
          <w:p w:rsidR="00F958EB" w:rsidRDefault="00F958EB" w:rsidP="00F958EB">
            <w:r>
              <w:t>-Never bullied</w:t>
            </w:r>
          </w:p>
        </w:tc>
        <w:tc>
          <w:tcPr>
            <w:tcW w:w="2693" w:type="dxa"/>
          </w:tcPr>
          <w:p w:rsidR="00F958EB" w:rsidRDefault="00F958EB" w:rsidP="00F958EB">
            <w:r>
              <w:t>8.92</w:t>
            </w:r>
          </w:p>
        </w:tc>
        <w:tc>
          <w:tcPr>
            <w:tcW w:w="3261" w:type="dxa"/>
          </w:tcPr>
          <w:p w:rsidR="00F958EB" w:rsidRDefault="00F958EB" w:rsidP="00F958EB">
            <w:r>
              <w:t>18.44</w:t>
            </w:r>
          </w:p>
        </w:tc>
      </w:tr>
      <w:tr w:rsidR="00F958EB" w:rsidTr="00F958EB">
        <w:tc>
          <w:tcPr>
            <w:tcW w:w="4111" w:type="dxa"/>
          </w:tcPr>
          <w:p w:rsidR="00F958EB" w:rsidRDefault="00F958EB" w:rsidP="00F958EB">
            <w:r>
              <w:t xml:space="preserve">-Rarely bullied </w:t>
            </w:r>
          </w:p>
        </w:tc>
        <w:tc>
          <w:tcPr>
            <w:tcW w:w="2693" w:type="dxa"/>
          </w:tcPr>
          <w:p w:rsidR="00F958EB" w:rsidRDefault="0061408D" w:rsidP="00F958EB">
            <w:r>
              <w:t>17.26</w:t>
            </w:r>
          </w:p>
        </w:tc>
        <w:tc>
          <w:tcPr>
            <w:tcW w:w="3261" w:type="dxa"/>
          </w:tcPr>
          <w:p w:rsidR="00F958EB" w:rsidRDefault="00F958EB" w:rsidP="00F958EB">
            <w:r>
              <w:t>23.30</w:t>
            </w:r>
          </w:p>
        </w:tc>
      </w:tr>
      <w:tr w:rsidR="00F958EB" w:rsidTr="00F958EB">
        <w:tc>
          <w:tcPr>
            <w:tcW w:w="4111" w:type="dxa"/>
          </w:tcPr>
          <w:p w:rsidR="00F958EB" w:rsidRDefault="00F958EB" w:rsidP="00F958EB">
            <w:r>
              <w:t xml:space="preserve">-Sometimes bullied </w:t>
            </w:r>
          </w:p>
        </w:tc>
        <w:tc>
          <w:tcPr>
            <w:tcW w:w="2693" w:type="dxa"/>
          </w:tcPr>
          <w:p w:rsidR="00F958EB" w:rsidRDefault="00F958EB" w:rsidP="00F958EB">
            <w:r>
              <w:t>19.04</w:t>
            </w:r>
          </w:p>
        </w:tc>
        <w:tc>
          <w:tcPr>
            <w:tcW w:w="3261" w:type="dxa"/>
          </w:tcPr>
          <w:p w:rsidR="00F958EB" w:rsidRDefault="00F958EB" w:rsidP="00F958EB">
            <w:r>
              <w:t>21.35</w:t>
            </w:r>
          </w:p>
        </w:tc>
      </w:tr>
      <w:tr w:rsidR="00F958EB" w:rsidTr="00F958EB">
        <w:tc>
          <w:tcPr>
            <w:tcW w:w="4111" w:type="dxa"/>
          </w:tcPr>
          <w:p w:rsidR="00F958EB" w:rsidRDefault="00F958EB" w:rsidP="00F958EB">
            <w:r>
              <w:t xml:space="preserve">-Frequently bullied </w:t>
            </w:r>
          </w:p>
        </w:tc>
        <w:tc>
          <w:tcPr>
            <w:tcW w:w="2693" w:type="dxa"/>
          </w:tcPr>
          <w:p w:rsidR="00F958EB" w:rsidRDefault="00F958EB" w:rsidP="00F958EB">
            <w:r>
              <w:t>39.28</w:t>
            </w:r>
          </w:p>
        </w:tc>
        <w:tc>
          <w:tcPr>
            <w:tcW w:w="3261" w:type="dxa"/>
          </w:tcPr>
          <w:p w:rsidR="00F958EB" w:rsidRDefault="00F958EB" w:rsidP="00F958EB">
            <w:r>
              <w:t>33.98</w:t>
            </w:r>
          </w:p>
        </w:tc>
      </w:tr>
      <w:tr w:rsidR="00F958EB" w:rsidTr="00F958EB">
        <w:tc>
          <w:tcPr>
            <w:tcW w:w="4111" w:type="dxa"/>
            <w:tcBorders>
              <w:bottom w:val="single" w:sz="4" w:space="0" w:color="auto"/>
            </w:tcBorders>
          </w:tcPr>
          <w:p w:rsidR="00F958EB" w:rsidRDefault="00F958EB" w:rsidP="00F958EB">
            <w:r>
              <w:t xml:space="preserve">-Constantly bullied </w:t>
            </w:r>
          </w:p>
          <w:p w:rsidR="00F958EB" w:rsidRDefault="00F958EB" w:rsidP="00F958EB"/>
        </w:tc>
        <w:tc>
          <w:tcPr>
            <w:tcW w:w="2693" w:type="dxa"/>
          </w:tcPr>
          <w:p w:rsidR="00F958EB" w:rsidRDefault="00F958EB" w:rsidP="00F958EB">
            <w:r>
              <w:t>15.47</w:t>
            </w:r>
          </w:p>
        </w:tc>
        <w:tc>
          <w:tcPr>
            <w:tcW w:w="3261" w:type="dxa"/>
          </w:tcPr>
          <w:p w:rsidR="00F958EB" w:rsidRDefault="0001711F" w:rsidP="00F958EB">
            <w:r>
              <w:t>2.91</w:t>
            </w:r>
          </w:p>
        </w:tc>
      </w:tr>
      <w:tr w:rsidR="00F958EB" w:rsidTr="00F958EB">
        <w:tc>
          <w:tcPr>
            <w:tcW w:w="4111" w:type="dxa"/>
            <w:tcBorders>
              <w:top w:val="single" w:sz="4" w:space="0" w:color="auto"/>
            </w:tcBorders>
          </w:tcPr>
          <w:p w:rsidR="00F958EB" w:rsidRDefault="00F958EB" w:rsidP="00F958EB">
            <w:r>
              <w:t>Workplace bullying:</w:t>
            </w:r>
          </w:p>
          <w:p w:rsidR="00F958EB" w:rsidRDefault="00F958EB" w:rsidP="00F958EB"/>
        </w:tc>
        <w:tc>
          <w:tcPr>
            <w:tcW w:w="2693" w:type="dxa"/>
            <w:tcBorders>
              <w:top w:val="single" w:sz="4" w:space="0" w:color="auto"/>
            </w:tcBorders>
          </w:tcPr>
          <w:p w:rsidR="00F958EB" w:rsidRDefault="00F958EB" w:rsidP="00F958EB"/>
        </w:tc>
        <w:tc>
          <w:tcPr>
            <w:tcW w:w="3261" w:type="dxa"/>
            <w:tcBorders>
              <w:top w:val="single" w:sz="4" w:space="0" w:color="auto"/>
            </w:tcBorders>
          </w:tcPr>
          <w:p w:rsidR="00F958EB" w:rsidRDefault="00F958EB" w:rsidP="00F958EB"/>
        </w:tc>
      </w:tr>
      <w:tr w:rsidR="00F958EB" w:rsidTr="00F958EB">
        <w:tc>
          <w:tcPr>
            <w:tcW w:w="4111" w:type="dxa"/>
          </w:tcPr>
          <w:p w:rsidR="00F958EB" w:rsidRDefault="00F958EB" w:rsidP="00F958EB">
            <w:r>
              <w:t xml:space="preserve">-Never bullied </w:t>
            </w:r>
          </w:p>
        </w:tc>
        <w:tc>
          <w:tcPr>
            <w:tcW w:w="2693" w:type="dxa"/>
          </w:tcPr>
          <w:p w:rsidR="00F958EB" w:rsidRDefault="00F958EB" w:rsidP="00F958EB">
            <w:r>
              <w:t>15.47</w:t>
            </w:r>
          </w:p>
        </w:tc>
        <w:tc>
          <w:tcPr>
            <w:tcW w:w="3261" w:type="dxa"/>
          </w:tcPr>
          <w:p w:rsidR="00F958EB" w:rsidRDefault="00F958EB" w:rsidP="00F958EB">
            <w:r>
              <w:t>29.12</w:t>
            </w:r>
          </w:p>
        </w:tc>
      </w:tr>
      <w:tr w:rsidR="00F958EB" w:rsidTr="00F958EB">
        <w:tc>
          <w:tcPr>
            <w:tcW w:w="4111" w:type="dxa"/>
          </w:tcPr>
          <w:p w:rsidR="00F958EB" w:rsidRDefault="00F958EB" w:rsidP="00F958EB">
            <w:r>
              <w:t xml:space="preserve">-Rarely bullied </w:t>
            </w:r>
          </w:p>
        </w:tc>
        <w:tc>
          <w:tcPr>
            <w:tcW w:w="2693" w:type="dxa"/>
          </w:tcPr>
          <w:p w:rsidR="00F958EB" w:rsidRDefault="00F958EB" w:rsidP="00F958EB">
            <w:r>
              <w:t>18.45</w:t>
            </w:r>
          </w:p>
        </w:tc>
        <w:tc>
          <w:tcPr>
            <w:tcW w:w="3261" w:type="dxa"/>
          </w:tcPr>
          <w:p w:rsidR="00F958EB" w:rsidRDefault="00F958EB" w:rsidP="00F958EB">
            <w:r>
              <w:t>30.09</w:t>
            </w:r>
          </w:p>
        </w:tc>
      </w:tr>
      <w:tr w:rsidR="00F958EB" w:rsidTr="00F958EB">
        <w:tc>
          <w:tcPr>
            <w:tcW w:w="4111" w:type="dxa"/>
          </w:tcPr>
          <w:p w:rsidR="00F958EB" w:rsidRDefault="00F958EB" w:rsidP="00F958EB">
            <w:r>
              <w:t xml:space="preserve">-Sometimes bullied </w:t>
            </w:r>
          </w:p>
        </w:tc>
        <w:tc>
          <w:tcPr>
            <w:tcW w:w="2693" w:type="dxa"/>
          </w:tcPr>
          <w:p w:rsidR="00F958EB" w:rsidRDefault="00F958EB" w:rsidP="00F958EB">
            <w:r>
              <w:t>36.30</w:t>
            </w:r>
          </w:p>
        </w:tc>
        <w:tc>
          <w:tcPr>
            <w:tcW w:w="3261" w:type="dxa"/>
          </w:tcPr>
          <w:p w:rsidR="00F958EB" w:rsidRDefault="00F958EB" w:rsidP="00F958EB">
            <w:r>
              <w:t>27.18</w:t>
            </w:r>
          </w:p>
        </w:tc>
      </w:tr>
      <w:tr w:rsidR="00F958EB" w:rsidTr="00F958EB">
        <w:tc>
          <w:tcPr>
            <w:tcW w:w="4111" w:type="dxa"/>
          </w:tcPr>
          <w:p w:rsidR="00F958EB" w:rsidRDefault="00F958EB" w:rsidP="00F958EB">
            <w:r>
              <w:t xml:space="preserve">-Frequently bullied </w:t>
            </w:r>
          </w:p>
        </w:tc>
        <w:tc>
          <w:tcPr>
            <w:tcW w:w="2693" w:type="dxa"/>
          </w:tcPr>
          <w:p w:rsidR="00F958EB" w:rsidRDefault="00F958EB" w:rsidP="00F958EB">
            <w:r>
              <w:t>22.02</w:t>
            </w:r>
          </w:p>
        </w:tc>
        <w:tc>
          <w:tcPr>
            <w:tcW w:w="3261" w:type="dxa"/>
          </w:tcPr>
          <w:p w:rsidR="00F958EB" w:rsidRDefault="00F958EB" w:rsidP="00F958EB">
            <w:r>
              <w:t>13.59</w:t>
            </w:r>
          </w:p>
        </w:tc>
      </w:tr>
      <w:tr w:rsidR="00F958EB" w:rsidTr="00F958EB">
        <w:tc>
          <w:tcPr>
            <w:tcW w:w="4111" w:type="dxa"/>
            <w:tcBorders>
              <w:bottom w:val="single" w:sz="4" w:space="0" w:color="auto"/>
            </w:tcBorders>
          </w:tcPr>
          <w:p w:rsidR="00F958EB" w:rsidRDefault="00F958EB" w:rsidP="00F958EB">
            <w:r>
              <w:t xml:space="preserve">-Constantly bullied </w:t>
            </w:r>
          </w:p>
          <w:p w:rsidR="00F958EB" w:rsidRDefault="00F958EB" w:rsidP="00F958EB"/>
        </w:tc>
        <w:tc>
          <w:tcPr>
            <w:tcW w:w="2693" w:type="dxa"/>
            <w:tcBorders>
              <w:bottom w:val="single" w:sz="4" w:space="0" w:color="auto"/>
            </w:tcBorders>
          </w:tcPr>
          <w:p w:rsidR="00F958EB" w:rsidRDefault="00F958EB" w:rsidP="00F958EB">
            <w:r>
              <w:t>7.73</w:t>
            </w:r>
          </w:p>
        </w:tc>
        <w:tc>
          <w:tcPr>
            <w:tcW w:w="3261" w:type="dxa"/>
            <w:tcBorders>
              <w:bottom w:val="single" w:sz="4" w:space="0" w:color="auto"/>
            </w:tcBorders>
          </w:tcPr>
          <w:p w:rsidR="00F958EB" w:rsidRDefault="00F958EB" w:rsidP="00F958EB">
            <w:r>
              <w:t>0</w:t>
            </w:r>
          </w:p>
        </w:tc>
      </w:tr>
      <w:tr w:rsidR="00F958EB" w:rsidTr="00F958EB">
        <w:tc>
          <w:tcPr>
            <w:tcW w:w="4111" w:type="dxa"/>
            <w:tcBorders>
              <w:bottom w:val="single" w:sz="4" w:space="0" w:color="auto"/>
            </w:tcBorders>
          </w:tcPr>
          <w:p w:rsidR="00F958EB" w:rsidRDefault="00F958EB" w:rsidP="00F958EB">
            <w:pPr>
              <w:spacing w:line="480" w:lineRule="auto"/>
            </w:pPr>
            <w:r>
              <w:t>Observations</w:t>
            </w:r>
          </w:p>
        </w:tc>
        <w:tc>
          <w:tcPr>
            <w:tcW w:w="2693" w:type="dxa"/>
            <w:tcBorders>
              <w:top w:val="single" w:sz="4" w:space="0" w:color="auto"/>
              <w:bottom w:val="single" w:sz="4" w:space="0" w:color="auto"/>
            </w:tcBorders>
          </w:tcPr>
          <w:p w:rsidR="00F958EB" w:rsidRDefault="00F958EB" w:rsidP="00F958EB">
            <w:pPr>
              <w:spacing w:line="480" w:lineRule="auto"/>
            </w:pPr>
            <w:r>
              <w:t>168</w:t>
            </w:r>
          </w:p>
        </w:tc>
        <w:tc>
          <w:tcPr>
            <w:tcW w:w="3261" w:type="dxa"/>
            <w:tcBorders>
              <w:top w:val="single" w:sz="4" w:space="0" w:color="auto"/>
              <w:bottom w:val="single" w:sz="4" w:space="0" w:color="auto"/>
            </w:tcBorders>
          </w:tcPr>
          <w:p w:rsidR="00F958EB" w:rsidRDefault="00F958EB" w:rsidP="00F958EB">
            <w:pPr>
              <w:spacing w:line="480" w:lineRule="auto"/>
            </w:pPr>
            <w:r>
              <w:t>103</w:t>
            </w:r>
          </w:p>
        </w:tc>
      </w:tr>
    </w:tbl>
    <w:p w:rsidR="00FE4D39" w:rsidRDefault="00FE4D39" w:rsidP="00150243">
      <w:pPr>
        <w:sectPr w:rsidR="00FE4D39" w:rsidSect="003F3AFF">
          <w:footerReference w:type="default" r:id="rId7"/>
          <w:pgSz w:w="11906" w:h="16838"/>
          <w:pgMar w:top="1418" w:right="1418" w:bottom="1418" w:left="1418" w:header="709" w:footer="709" w:gutter="0"/>
          <w:cols w:space="708"/>
          <w:docGrid w:linePitch="360"/>
        </w:sectPr>
      </w:pPr>
    </w:p>
    <w:tbl>
      <w:tblPr>
        <w:tblStyle w:val="TableGrid"/>
        <w:tblpPr w:leftFromText="180" w:rightFromText="180" w:vertAnchor="text" w:horzAnchor="margin" w:tblpXSpec="center" w:tblpY="1388"/>
        <w:tblW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3009"/>
        <w:gridCol w:w="3086"/>
      </w:tblGrid>
      <w:tr w:rsidR="00CF026F" w:rsidRPr="00393500" w:rsidTr="00C97017">
        <w:tc>
          <w:tcPr>
            <w:tcW w:w="12157" w:type="dxa"/>
            <w:gridSpan w:val="4"/>
            <w:tcBorders>
              <w:bottom w:val="single" w:sz="4" w:space="0" w:color="auto"/>
            </w:tcBorders>
          </w:tcPr>
          <w:p w:rsidR="00CF026F" w:rsidRPr="00393500" w:rsidRDefault="00CF026F" w:rsidP="002B2A1C">
            <w:pPr>
              <w:rPr>
                <w:b/>
                <w:sz w:val="22"/>
                <w:szCs w:val="22"/>
              </w:rPr>
            </w:pPr>
            <w:r w:rsidRPr="00393500">
              <w:rPr>
                <w:b/>
                <w:sz w:val="22"/>
                <w:szCs w:val="22"/>
              </w:rPr>
              <w:lastRenderedPageBreak/>
              <w:t>Table 3. Correlation matrix; Gay/bisexual men</w:t>
            </w:r>
          </w:p>
        </w:tc>
      </w:tr>
      <w:tr w:rsidR="00F958EB" w:rsidRPr="00393500" w:rsidTr="00C97017">
        <w:tc>
          <w:tcPr>
            <w:tcW w:w="3227" w:type="dxa"/>
            <w:tcBorders>
              <w:top w:val="single" w:sz="4" w:space="0" w:color="auto"/>
            </w:tcBorders>
          </w:tcPr>
          <w:p w:rsidR="00F958EB" w:rsidRPr="00393500" w:rsidRDefault="00F958EB" w:rsidP="00CF026F">
            <w:pPr>
              <w:rPr>
                <w:sz w:val="22"/>
                <w:szCs w:val="22"/>
              </w:rPr>
            </w:pPr>
          </w:p>
        </w:tc>
        <w:tc>
          <w:tcPr>
            <w:tcW w:w="2835" w:type="dxa"/>
            <w:tcBorders>
              <w:top w:val="single" w:sz="4" w:space="0" w:color="auto"/>
            </w:tcBorders>
          </w:tcPr>
          <w:p w:rsidR="00F958EB" w:rsidRPr="00131D8B" w:rsidRDefault="00F958EB" w:rsidP="00CF026F">
            <w:pPr>
              <w:rPr>
                <w:color w:val="FF0000"/>
                <w:sz w:val="22"/>
                <w:szCs w:val="22"/>
              </w:rPr>
            </w:pPr>
            <w:r w:rsidRPr="00393500">
              <w:rPr>
                <w:sz w:val="22"/>
                <w:szCs w:val="22"/>
              </w:rPr>
              <w:t>Family support</w:t>
            </w:r>
          </w:p>
        </w:tc>
        <w:tc>
          <w:tcPr>
            <w:tcW w:w="3009" w:type="dxa"/>
            <w:tcBorders>
              <w:top w:val="single" w:sz="4" w:space="0" w:color="auto"/>
            </w:tcBorders>
          </w:tcPr>
          <w:p w:rsidR="00F958EB" w:rsidRPr="00393500" w:rsidRDefault="00F958EB" w:rsidP="00CF026F">
            <w:pPr>
              <w:rPr>
                <w:sz w:val="22"/>
                <w:szCs w:val="22"/>
              </w:rPr>
            </w:pPr>
            <w:r w:rsidRPr="00EF6B83">
              <w:rPr>
                <w:sz w:val="22"/>
                <w:szCs w:val="22"/>
              </w:rPr>
              <w:t>School-age bullying</w:t>
            </w:r>
          </w:p>
        </w:tc>
        <w:tc>
          <w:tcPr>
            <w:tcW w:w="3086" w:type="dxa"/>
            <w:tcBorders>
              <w:top w:val="single" w:sz="4" w:space="0" w:color="auto"/>
            </w:tcBorders>
          </w:tcPr>
          <w:p w:rsidR="00F958EB" w:rsidRPr="00393500" w:rsidRDefault="00F958EB" w:rsidP="00CF026F">
            <w:pPr>
              <w:rPr>
                <w:sz w:val="22"/>
                <w:szCs w:val="22"/>
              </w:rPr>
            </w:pPr>
            <w:r w:rsidRPr="00EF6B83">
              <w:rPr>
                <w:sz w:val="22"/>
                <w:szCs w:val="22"/>
              </w:rPr>
              <w:t>Workplace bullying</w:t>
            </w:r>
          </w:p>
        </w:tc>
      </w:tr>
      <w:tr w:rsidR="00F958EB" w:rsidRPr="00393500" w:rsidTr="00C97017">
        <w:tc>
          <w:tcPr>
            <w:tcW w:w="3227" w:type="dxa"/>
          </w:tcPr>
          <w:p w:rsidR="00F958EB" w:rsidRPr="00393500" w:rsidRDefault="00F958EB" w:rsidP="00CF026F">
            <w:pPr>
              <w:rPr>
                <w:sz w:val="22"/>
                <w:szCs w:val="22"/>
              </w:rPr>
            </w:pPr>
            <w:r w:rsidRPr="00393500">
              <w:rPr>
                <w:sz w:val="22"/>
                <w:szCs w:val="22"/>
              </w:rPr>
              <w:t>Family support</w:t>
            </w:r>
          </w:p>
          <w:p w:rsidR="00F958EB" w:rsidRPr="00393500" w:rsidRDefault="00F958EB" w:rsidP="00CF026F">
            <w:pPr>
              <w:rPr>
                <w:sz w:val="22"/>
                <w:szCs w:val="22"/>
              </w:rPr>
            </w:pPr>
          </w:p>
        </w:tc>
        <w:tc>
          <w:tcPr>
            <w:tcW w:w="2835" w:type="dxa"/>
          </w:tcPr>
          <w:p w:rsidR="00F958EB" w:rsidRPr="00131D8B" w:rsidRDefault="00F958EB" w:rsidP="00CF026F">
            <w:pPr>
              <w:rPr>
                <w:color w:val="FF0000"/>
                <w:sz w:val="22"/>
                <w:szCs w:val="22"/>
              </w:rPr>
            </w:pPr>
            <w:r w:rsidRPr="00393500">
              <w:rPr>
                <w:sz w:val="22"/>
                <w:szCs w:val="22"/>
              </w:rPr>
              <w:t>1</w:t>
            </w:r>
          </w:p>
        </w:tc>
        <w:tc>
          <w:tcPr>
            <w:tcW w:w="3009" w:type="dxa"/>
          </w:tcPr>
          <w:p w:rsidR="00F958EB" w:rsidRPr="00393500" w:rsidRDefault="00F958EB" w:rsidP="00CF026F">
            <w:pPr>
              <w:rPr>
                <w:sz w:val="22"/>
                <w:szCs w:val="22"/>
              </w:rPr>
            </w:pPr>
          </w:p>
        </w:tc>
        <w:tc>
          <w:tcPr>
            <w:tcW w:w="3086" w:type="dxa"/>
          </w:tcPr>
          <w:p w:rsidR="00F958EB" w:rsidRPr="00393500" w:rsidRDefault="00F958EB" w:rsidP="00CF026F">
            <w:pPr>
              <w:rPr>
                <w:sz w:val="22"/>
                <w:szCs w:val="22"/>
              </w:rPr>
            </w:pPr>
          </w:p>
        </w:tc>
      </w:tr>
      <w:tr w:rsidR="00F958EB" w:rsidRPr="00393500" w:rsidTr="00C97017">
        <w:tc>
          <w:tcPr>
            <w:tcW w:w="3227" w:type="dxa"/>
          </w:tcPr>
          <w:p w:rsidR="00F958EB" w:rsidRPr="00393500" w:rsidRDefault="00F958EB" w:rsidP="00CF026F">
            <w:pPr>
              <w:rPr>
                <w:sz w:val="22"/>
                <w:szCs w:val="22"/>
              </w:rPr>
            </w:pPr>
            <w:r w:rsidRPr="00393500">
              <w:rPr>
                <w:sz w:val="22"/>
                <w:szCs w:val="22"/>
              </w:rPr>
              <w:t>School-age bullying</w:t>
            </w:r>
          </w:p>
          <w:p w:rsidR="00F958EB" w:rsidRPr="00393500" w:rsidRDefault="00F958EB" w:rsidP="00CF026F">
            <w:pPr>
              <w:rPr>
                <w:sz w:val="22"/>
                <w:szCs w:val="22"/>
              </w:rPr>
            </w:pPr>
          </w:p>
        </w:tc>
        <w:tc>
          <w:tcPr>
            <w:tcW w:w="2835" w:type="dxa"/>
          </w:tcPr>
          <w:p w:rsidR="00F958EB" w:rsidRPr="00131D8B" w:rsidRDefault="00F958EB" w:rsidP="00CF026F">
            <w:pPr>
              <w:rPr>
                <w:color w:val="FF0000"/>
                <w:sz w:val="22"/>
                <w:szCs w:val="22"/>
              </w:rPr>
            </w:pPr>
            <w:r w:rsidRPr="00393500">
              <w:rPr>
                <w:sz w:val="22"/>
                <w:szCs w:val="22"/>
              </w:rPr>
              <w:t>-0.678 (0.000)*</w:t>
            </w:r>
          </w:p>
        </w:tc>
        <w:tc>
          <w:tcPr>
            <w:tcW w:w="3009" w:type="dxa"/>
          </w:tcPr>
          <w:p w:rsidR="00F958EB" w:rsidRPr="00393500" w:rsidRDefault="00F958EB" w:rsidP="00CF026F">
            <w:pPr>
              <w:rPr>
                <w:sz w:val="22"/>
                <w:szCs w:val="22"/>
              </w:rPr>
            </w:pPr>
            <w:r w:rsidRPr="00393500">
              <w:rPr>
                <w:sz w:val="22"/>
                <w:szCs w:val="22"/>
              </w:rPr>
              <w:t>1</w:t>
            </w:r>
          </w:p>
        </w:tc>
        <w:tc>
          <w:tcPr>
            <w:tcW w:w="3086" w:type="dxa"/>
          </w:tcPr>
          <w:p w:rsidR="00F958EB" w:rsidRPr="00393500" w:rsidRDefault="00F958EB" w:rsidP="00CF026F">
            <w:pPr>
              <w:rPr>
                <w:sz w:val="22"/>
                <w:szCs w:val="22"/>
              </w:rPr>
            </w:pPr>
          </w:p>
        </w:tc>
      </w:tr>
      <w:tr w:rsidR="00F958EB" w:rsidRPr="00393500" w:rsidTr="00C97017">
        <w:tc>
          <w:tcPr>
            <w:tcW w:w="3227" w:type="dxa"/>
          </w:tcPr>
          <w:p w:rsidR="00F958EB" w:rsidRPr="00393500" w:rsidRDefault="00F958EB" w:rsidP="00CF026F">
            <w:pPr>
              <w:rPr>
                <w:sz w:val="22"/>
                <w:szCs w:val="22"/>
              </w:rPr>
            </w:pPr>
            <w:r w:rsidRPr="00393500">
              <w:rPr>
                <w:sz w:val="22"/>
                <w:szCs w:val="22"/>
              </w:rPr>
              <w:t>Workplace bullying</w:t>
            </w:r>
          </w:p>
          <w:p w:rsidR="00F958EB" w:rsidRPr="00393500" w:rsidRDefault="00F958EB" w:rsidP="00CF026F">
            <w:pPr>
              <w:rPr>
                <w:sz w:val="22"/>
                <w:szCs w:val="22"/>
              </w:rPr>
            </w:pPr>
          </w:p>
        </w:tc>
        <w:tc>
          <w:tcPr>
            <w:tcW w:w="2835" w:type="dxa"/>
          </w:tcPr>
          <w:p w:rsidR="00F958EB" w:rsidRPr="00131D8B" w:rsidRDefault="00F958EB" w:rsidP="00CF026F">
            <w:pPr>
              <w:rPr>
                <w:color w:val="FF0000"/>
                <w:sz w:val="22"/>
                <w:szCs w:val="22"/>
              </w:rPr>
            </w:pPr>
            <w:r w:rsidRPr="00393500">
              <w:rPr>
                <w:sz w:val="22"/>
                <w:szCs w:val="22"/>
              </w:rPr>
              <w:t>-0.550 (0.000)*</w:t>
            </w:r>
          </w:p>
        </w:tc>
        <w:tc>
          <w:tcPr>
            <w:tcW w:w="3009" w:type="dxa"/>
          </w:tcPr>
          <w:p w:rsidR="00F958EB" w:rsidRPr="00393500" w:rsidRDefault="003D1EEF" w:rsidP="00CF026F">
            <w:pPr>
              <w:rPr>
                <w:sz w:val="22"/>
                <w:szCs w:val="22"/>
              </w:rPr>
            </w:pPr>
            <w:r>
              <w:rPr>
                <w:sz w:val="22"/>
                <w:szCs w:val="22"/>
              </w:rPr>
              <w:t>0.866</w:t>
            </w:r>
            <w:r w:rsidR="00F958EB" w:rsidRPr="00393500">
              <w:rPr>
                <w:sz w:val="22"/>
                <w:szCs w:val="22"/>
              </w:rPr>
              <w:t xml:space="preserve"> (0.000)*</w:t>
            </w:r>
          </w:p>
        </w:tc>
        <w:tc>
          <w:tcPr>
            <w:tcW w:w="3086" w:type="dxa"/>
          </w:tcPr>
          <w:p w:rsidR="00F958EB" w:rsidRPr="00393500" w:rsidRDefault="00F958EB" w:rsidP="00CF026F">
            <w:pPr>
              <w:rPr>
                <w:sz w:val="22"/>
                <w:szCs w:val="22"/>
              </w:rPr>
            </w:pPr>
            <w:r w:rsidRPr="00393500">
              <w:rPr>
                <w:sz w:val="22"/>
                <w:szCs w:val="22"/>
              </w:rPr>
              <w:t>1</w:t>
            </w:r>
          </w:p>
        </w:tc>
      </w:tr>
      <w:tr w:rsidR="00CF026F" w:rsidRPr="00393500" w:rsidTr="00C97017">
        <w:tc>
          <w:tcPr>
            <w:tcW w:w="12157" w:type="dxa"/>
            <w:gridSpan w:val="4"/>
            <w:tcBorders>
              <w:top w:val="single" w:sz="4" w:space="0" w:color="auto"/>
              <w:bottom w:val="single" w:sz="4" w:space="0" w:color="auto"/>
            </w:tcBorders>
          </w:tcPr>
          <w:p w:rsidR="00CF026F" w:rsidRPr="00393500" w:rsidRDefault="00CF026F" w:rsidP="00C97017">
            <w:pPr>
              <w:rPr>
                <w:i/>
                <w:sz w:val="22"/>
                <w:szCs w:val="22"/>
              </w:rPr>
            </w:pPr>
            <w:r w:rsidRPr="00393500">
              <w:rPr>
                <w:i/>
                <w:sz w:val="22"/>
                <w:szCs w:val="22"/>
              </w:rPr>
              <w:t xml:space="preserve">Notes: N=168. P-values are in parentheses. (*) Significant at the 1 % level. </w:t>
            </w:r>
          </w:p>
        </w:tc>
      </w:tr>
    </w:tbl>
    <w:p w:rsidR="000230D1" w:rsidRDefault="000230D1" w:rsidP="00150243"/>
    <w:p w:rsidR="000230D1" w:rsidRPr="000230D1" w:rsidRDefault="000230D1" w:rsidP="000230D1"/>
    <w:p w:rsidR="000230D1" w:rsidRPr="000230D1" w:rsidRDefault="000230D1" w:rsidP="000230D1"/>
    <w:p w:rsidR="000230D1" w:rsidRPr="000230D1" w:rsidRDefault="000230D1" w:rsidP="000230D1"/>
    <w:p w:rsidR="000230D1" w:rsidRPr="000230D1" w:rsidRDefault="000230D1" w:rsidP="000230D1"/>
    <w:p w:rsidR="000230D1" w:rsidRPr="000230D1" w:rsidRDefault="000230D1" w:rsidP="000230D1"/>
    <w:p w:rsidR="000230D1" w:rsidRDefault="000230D1" w:rsidP="000230D1"/>
    <w:p w:rsidR="009B65FB" w:rsidRDefault="009B65FB" w:rsidP="000230D1"/>
    <w:p w:rsidR="009B65FB" w:rsidRDefault="009B65FB" w:rsidP="000230D1"/>
    <w:p w:rsidR="009B65FB" w:rsidRDefault="009B65FB" w:rsidP="000230D1"/>
    <w:p w:rsidR="009B65FB" w:rsidRDefault="009B65FB" w:rsidP="000230D1"/>
    <w:p w:rsidR="009B65FB" w:rsidRDefault="009B65FB" w:rsidP="000230D1"/>
    <w:p w:rsidR="009B65FB" w:rsidRDefault="009B65FB" w:rsidP="000230D1"/>
    <w:p w:rsidR="009B65FB" w:rsidRDefault="009B65FB" w:rsidP="000230D1"/>
    <w:p w:rsidR="009B65FB" w:rsidRPr="000230D1" w:rsidRDefault="009B65FB" w:rsidP="000230D1"/>
    <w:p w:rsidR="000230D1" w:rsidRPr="000230D1" w:rsidRDefault="000230D1" w:rsidP="000230D1"/>
    <w:p w:rsidR="000230D1" w:rsidRPr="000230D1" w:rsidRDefault="000230D1" w:rsidP="000230D1"/>
    <w:p w:rsidR="000230D1" w:rsidRPr="000230D1" w:rsidRDefault="000230D1" w:rsidP="000230D1"/>
    <w:p w:rsidR="000230D1" w:rsidRPr="000230D1" w:rsidRDefault="000230D1" w:rsidP="000230D1"/>
    <w:p w:rsidR="000230D1" w:rsidRDefault="000230D1" w:rsidP="000230D1"/>
    <w:p w:rsidR="000230D1" w:rsidRPr="000230D1" w:rsidRDefault="000230D1" w:rsidP="000230D1"/>
    <w:p w:rsidR="000230D1" w:rsidRDefault="000230D1" w:rsidP="000230D1">
      <w:pPr>
        <w:tabs>
          <w:tab w:val="left" w:pos="1800"/>
        </w:tabs>
      </w:pPr>
      <w:r>
        <w:tab/>
      </w:r>
    </w:p>
    <w:p w:rsidR="000230D1" w:rsidRDefault="000230D1" w:rsidP="000230D1">
      <w:pPr>
        <w:tabs>
          <w:tab w:val="left" w:pos="1800"/>
        </w:tabs>
      </w:pPr>
    </w:p>
    <w:p w:rsidR="003914F2" w:rsidRDefault="000230D1" w:rsidP="000230D1">
      <w:pPr>
        <w:tabs>
          <w:tab w:val="left" w:pos="1800"/>
        </w:tabs>
      </w:pPr>
      <w:r>
        <w:tab/>
      </w: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p w:rsidR="00C97017" w:rsidRDefault="00C97017" w:rsidP="000230D1">
      <w:pPr>
        <w:tabs>
          <w:tab w:val="left" w:pos="1800"/>
        </w:tabs>
      </w:pPr>
    </w:p>
    <w:tbl>
      <w:tblPr>
        <w:tblStyle w:val="TableGrid"/>
        <w:tblpPr w:leftFromText="180" w:rightFromText="180" w:vertAnchor="text" w:horzAnchor="margin" w:tblpXSpec="center" w:tblpY="2"/>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3009"/>
        <w:gridCol w:w="2661"/>
      </w:tblGrid>
      <w:tr w:rsidR="00C97017" w:rsidRPr="00393500" w:rsidTr="00C97017">
        <w:tc>
          <w:tcPr>
            <w:tcW w:w="11732" w:type="dxa"/>
            <w:gridSpan w:val="4"/>
            <w:tcBorders>
              <w:bottom w:val="single" w:sz="4" w:space="0" w:color="auto"/>
            </w:tcBorders>
          </w:tcPr>
          <w:p w:rsidR="00C97017" w:rsidRPr="00393500" w:rsidRDefault="00165D8D" w:rsidP="00A356E1">
            <w:pPr>
              <w:rPr>
                <w:b/>
                <w:sz w:val="22"/>
                <w:szCs w:val="22"/>
              </w:rPr>
            </w:pPr>
            <w:r>
              <w:rPr>
                <w:b/>
                <w:sz w:val="22"/>
                <w:szCs w:val="22"/>
              </w:rPr>
              <w:t>Table 4</w:t>
            </w:r>
            <w:r w:rsidR="00C97017" w:rsidRPr="00393500">
              <w:rPr>
                <w:b/>
                <w:sz w:val="22"/>
                <w:szCs w:val="22"/>
              </w:rPr>
              <w:t>. Correlation matrix;  Lesbians/bisexual women</w:t>
            </w:r>
          </w:p>
        </w:tc>
      </w:tr>
      <w:tr w:rsidR="00C97017" w:rsidRPr="00393500" w:rsidTr="00C97017">
        <w:tc>
          <w:tcPr>
            <w:tcW w:w="3227" w:type="dxa"/>
            <w:tcBorders>
              <w:top w:val="single" w:sz="4" w:space="0" w:color="auto"/>
            </w:tcBorders>
          </w:tcPr>
          <w:p w:rsidR="00C97017" w:rsidRPr="00393500" w:rsidRDefault="00C97017" w:rsidP="00A356E1">
            <w:pPr>
              <w:rPr>
                <w:sz w:val="22"/>
                <w:szCs w:val="22"/>
              </w:rPr>
            </w:pPr>
          </w:p>
        </w:tc>
        <w:tc>
          <w:tcPr>
            <w:tcW w:w="2835" w:type="dxa"/>
            <w:tcBorders>
              <w:top w:val="single" w:sz="4" w:space="0" w:color="auto"/>
            </w:tcBorders>
          </w:tcPr>
          <w:p w:rsidR="00C97017" w:rsidRPr="00131D8B" w:rsidRDefault="00C97017" w:rsidP="00A356E1">
            <w:pPr>
              <w:rPr>
                <w:color w:val="FF0000"/>
                <w:sz w:val="22"/>
                <w:szCs w:val="22"/>
              </w:rPr>
            </w:pPr>
            <w:r w:rsidRPr="00393500">
              <w:rPr>
                <w:sz w:val="22"/>
                <w:szCs w:val="22"/>
              </w:rPr>
              <w:t>Family support</w:t>
            </w:r>
          </w:p>
        </w:tc>
        <w:tc>
          <w:tcPr>
            <w:tcW w:w="3009" w:type="dxa"/>
            <w:tcBorders>
              <w:top w:val="single" w:sz="4" w:space="0" w:color="auto"/>
            </w:tcBorders>
          </w:tcPr>
          <w:p w:rsidR="00C97017" w:rsidRPr="00393500" w:rsidRDefault="00C97017" w:rsidP="00A356E1">
            <w:pPr>
              <w:rPr>
                <w:sz w:val="22"/>
                <w:szCs w:val="22"/>
              </w:rPr>
            </w:pPr>
            <w:r w:rsidRPr="00EF6B83">
              <w:rPr>
                <w:sz w:val="22"/>
                <w:szCs w:val="22"/>
              </w:rPr>
              <w:t>School-age bullying</w:t>
            </w:r>
          </w:p>
        </w:tc>
        <w:tc>
          <w:tcPr>
            <w:tcW w:w="2661" w:type="dxa"/>
            <w:tcBorders>
              <w:top w:val="single" w:sz="4" w:space="0" w:color="auto"/>
            </w:tcBorders>
          </w:tcPr>
          <w:p w:rsidR="00C97017" w:rsidRPr="00393500" w:rsidRDefault="00C97017" w:rsidP="00A356E1">
            <w:pPr>
              <w:rPr>
                <w:sz w:val="22"/>
                <w:szCs w:val="22"/>
              </w:rPr>
            </w:pPr>
            <w:r w:rsidRPr="00EF6B83">
              <w:rPr>
                <w:sz w:val="22"/>
                <w:szCs w:val="22"/>
              </w:rPr>
              <w:t>Workplace bullying</w:t>
            </w:r>
          </w:p>
        </w:tc>
      </w:tr>
      <w:tr w:rsidR="00C97017" w:rsidRPr="00393500" w:rsidTr="00C97017">
        <w:tc>
          <w:tcPr>
            <w:tcW w:w="3227" w:type="dxa"/>
          </w:tcPr>
          <w:p w:rsidR="00C97017" w:rsidRPr="00393500" w:rsidRDefault="00C97017" w:rsidP="00A356E1">
            <w:pPr>
              <w:rPr>
                <w:sz w:val="22"/>
                <w:szCs w:val="22"/>
              </w:rPr>
            </w:pPr>
            <w:r w:rsidRPr="00393500">
              <w:rPr>
                <w:sz w:val="22"/>
                <w:szCs w:val="22"/>
              </w:rPr>
              <w:t>Family support</w:t>
            </w:r>
          </w:p>
          <w:p w:rsidR="00C97017" w:rsidRPr="00393500" w:rsidRDefault="00C97017" w:rsidP="00A356E1">
            <w:pPr>
              <w:rPr>
                <w:sz w:val="22"/>
                <w:szCs w:val="22"/>
              </w:rPr>
            </w:pPr>
          </w:p>
        </w:tc>
        <w:tc>
          <w:tcPr>
            <w:tcW w:w="2835" w:type="dxa"/>
          </w:tcPr>
          <w:p w:rsidR="00C97017" w:rsidRPr="00131D8B" w:rsidRDefault="00C97017" w:rsidP="00A356E1">
            <w:pPr>
              <w:rPr>
                <w:color w:val="FF0000"/>
                <w:sz w:val="22"/>
                <w:szCs w:val="22"/>
              </w:rPr>
            </w:pPr>
            <w:r w:rsidRPr="00393500">
              <w:rPr>
                <w:sz w:val="22"/>
                <w:szCs w:val="22"/>
              </w:rPr>
              <w:t>1</w:t>
            </w:r>
          </w:p>
        </w:tc>
        <w:tc>
          <w:tcPr>
            <w:tcW w:w="3009" w:type="dxa"/>
          </w:tcPr>
          <w:p w:rsidR="00C97017" w:rsidRPr="00393500" w:rsidRDefault="00C97017" w:rsidP="00A356E1">
            <w:pPr>
              <w:rPr>
                <w:sz w:val="22"/>
                <w:szCs w:val="22"/>
              </w:rPr>
            </w:pPr>
          </w:p>
        </w:tc>
        <w:tc>
          <w:tcPr>
            <w:tcW w:w="2661" w:type="dxa"/>
          </w:tcPr>
          <w:p w:rsidR="00C97017" w:rsidRPr="00393500" w:rsidRDefault="00C97017" w:rsidP="00A356E1">
            <w:pPr>
              <w:rPr>
                <w:sz w:val="22"/>
                <w:szCs w:val="22"/>
              </w:rPr>
            </w:pPr>
          </w:p>
        </w:tc>
      </w:tr>
      <w:tr w:rsidR="00C97017" w:rsidRPr="00393500" w:rsidTr="00C97017">
        <w:tc>
          <w:tcPr>
            <w:tcW w:w="3227" w:type="dxa"/>
          </w:tcPr>
          <w:p w:rsidR="00C97017" w:rsidRPr="00393500" w:rsidRDefault="00C97017" w:rsidP="00A356E1">
            <w:pPr>
              <w:rPr>
                <w:sz w:val="22"/>
                <w:szCs w:val="22"/>
              </w:rPr>
            </w:pPr>
            <w:r w:rsidRPr="00393500">
              <w:rPr>
                <w:sz w:val="22"/>
                <w:szCs w:val="22"/>
              </w:rPr>
              <w:t>School-age bullying</w:t>
            </w:r>
          </w:p>
          <w:p w:rsidR="00C97017" w:rsidRPr="00393500" w:rsidRDefault="00C97017" w:rsidP="00A356E1">
            <w:pPr>
              <w:rPr>
                <w:sz w:val="22"/>
                <w:szCs w:val="22"/>
              </w:rPr>
            </w:pPr>
          </w:p>
        </w:tc>
        <w:tc>
          <w:tcPr>
            <w:tcW w:w="2835" w:type="dxa"/>
          </w:tcPr>
          <w:p w:rsidR="00C97017" w:rsidRPr="00393500" w:rsidRDefault="00C97017" w:rsidP="00A356E1">
            <w:pPr>
              <w:rPr>
                <w:sz w:val="22"/>
                <w:szCs w:val="22"/>
              </w:rPr>
            </w:pPr>
            <w:r w:rsidRPr="00393500">
              <w:rPr>
                <w:sz w:val="22"/>
                <w:szCs w:val="22"/>
              </w:rPr>
              <w:t>-0.862</w:t>
            </w:r>
            <w:r>
              <w:rPr>
                <w:sz w:val="22"/>
                <w:szCs w:val="22"/>
              </w:rPr>
              <w:t xml:space="preserve"> </w:t>
            </w:r>
            <w:r w:rsidRPr="00087014">
              <w:rPr>
                <w:sz w:val="22"/>
                <w:szCs w:val="22"/>
              </w:rPr>
              <w:t>(0.000)*</w:t>
            </w:r>
          </w:p>
        </w:tc>
        <w:tc>
          <w:tcPr>
            <w:tcW w:w="3009" w:type="dxa"/>
          </w:tcPr>
          <w:p w:rsidR="00C97017" w:rsidRPr="00393500" w:rsidRDefault="00C97017" w:rsidP="00A356E1">
            <w:pPr>
              <w:rPr>
                <w:sz w:val="22"/>
                <w:szCs w:val="22"/>
              </w:rPr>
            </w:pPr>
            <w:r w:rsidRPr="00393500">
              <w:rPr>
                <w:sz w:val="22"/>
                <w:szCs w:val="22"/>
              </w:rPr>
              <w:t>1</w:t>
            </w:r>
          </w:p>
        </w:tc>
        <w:tc>
          <w:tcPr>
            <w:tcW w:w="2661" w:type="dxa"/>
          </w:tcPr>
          <w:p w:rsidR="00C97017" w:rsidRPr="00393500" w:rsidRDefault="00C97017" w:rsidP="00A356E1">
            <w:pPr>
              <w:rPr>
                <w:sz w:val="22"/>
                <w:szCs w:val="22"/>
              </w:rPr>
            </w:pPr>
          </w:p>
        </w:tc>
      </w:tr>
      <w:tr w:rsidR="00C97017" w:rsidRPr="00393500" w:rsidTr="00C97017">
        <w:tc>
          <w:tcPr>
            <w:tcW w:w="3227" w:type="dxa"/>
          </w:tcPr>
          <w:p w:rsidR="00C97017" w:rsidRPr="00393500" w:rsidRDefault="00C97017" w:rsidP="00A356E1">
            <w:pPr>
              <w:rPr>
                <w:sz w:val="22"/>
                <w:szCs w:val="22"/>
              </w:rPr>
            </w:pPr>
            <w:r w:rsidRPr="00393500">
              <w:rPr>
                <w:sz w:val="22"/>
                <w:szCs w:val="22"/>
              </w:rPr>
              <w:t>Workplace bullying</w:t>
            </w:r>
          </w:p>
          <w:p w:rsidR="00C97017" w:rsidRPr="00393500" w:rsidRDefault="00C97017" w:rsidP="00A356E1">
            <w:pPr>
              <w:rPr>
                <w:sz w:val="22"/>
                <w:szCs w:val="22"/>
              </w:rPr>
            </w:pPr>
          </w:p>
        </w:tc>
        <w:tc>
          <w:tcPr>
            <w:tcW w:w="2835" w:type="dxa"/>
          </w:tcPr>
          <w:p w:rsidR="00C97017" w:rsidRPr="00393500" w:rsidRDefault="00C97017" w:rsidP="00A356E1">
            <w:pPr>
              <w:rPr>
                <w:sz w:val="22"/>
                <w:szCs w:val="22"/>
              </w:rPr>
            </w:pPr>
            <w:r w:rsidRPr="00393500">
              <w:rPr>
                <w:sz w:val="22"/>
                <w:szCs w:val="22"/>
              </w:rPr>
              <w:t>-0.694</w:t>
            </w:r>
            <w:r>
              <w:rPr>
                <w:sz w:val="22"/>
                <w:szCs w:val="22"/>
              </w:rPr>
              <w:t xml:space="preserve"> </w:t>
            </w:r>
            <w:r w:rsidRPr="00087014">
              <w:rPr>
                <w:sz w:val="22"/>
                <w:szCs w:val="22"/>
              </w:rPr>
              <w:t>(0.000)*</w:t>
            </w:r>
          </w:p>
        </w:tc>
        <w:tc>
          <w:tcPr>
            <w:tcW w:w="3009" w:type="dxa"/>
          </w:tcPr>
          <w:p w:rsidR="00C97017" w:rsidRPr="00393500" w:rsidRDefault="00C97017" w:rsidP="00A356E1">
            <w:pPr>
              <w:rPr>
                <w:sz w:val="22"/>
                <w:szCs w:val="22"/>
              </w:rPr>
            </w:pPr>
            <w:r w:rsidRPr="00393500">
              <w:rPr>
                <w:sz w:val="22"/>
                <w:szCs w:val="22"/>
              </w:rPr>
              <w:t>0.769</w:t>
            </w:r>
            <w:r>
              <w:rPr>
                <w:sz w:val="22"/>
                <w:szCs w:val="22"/>
              </w:rPr>
              <w:t xml:space="preserve"> </w:t>
            </w:r>
            <w:r w:rsidRPr="00087014">
              <w:rPr>
                <w:sz w:val="22"/>
                <w:szCs w:val="22"/>
              </w:rPr>
              <w:t>(0.000)*</w:t>
            </w:r>
          </w:p>
        </w:tc>
        <w:tc>
          <w:tcPr>
            <w:tcW w:w="2661" w:type="dxa"/>
          </w:tcPr>
          <w:p w:rsidR="00C97017" w:rsidRPr="00393500" w:rsidRDefault="00C97017" w:rsidP="00A356E1">
            <w:pPr>
              <w:rPr>
                <w:sz w:val="22"/>
                <w:szCs w:val="22"/>
              </w:rPr>
            </w:pPr>
            <w:r w:rsidRPr="00393500">
              <w:rPr>
                <w:sz w:val="22"/>
                <w:szCs w:val="22"/>
              </w:rPr>
              <w:t>1</w:t>
            </w:r>
          </w:p>
        </w:tc>
      </w:tr>
      <w:tr w:rsidR="00C97017" w:rsidRPr="00393500" w:rsidTr="00C97017">
        <w:tc>
          <w:tcPr>
            <w:tcW w:w="11732" w:type="dxa"/>
            <w:gridSpan w:val="4"/>
            <w:tcBorders>
              <w:top w:val="single" w:sz="4" w:space="0" w:color="auto"/>
              <w:bottom w:val="single" w:sz="4" w:space="0" w:color="auto"/>
            </w:tcBorders>
          </w:tcPr>
          <w:p w:rsidR="00C97017" w:rsidRPr="00393500" w:rsidRDefault="00697415" w:rsidP="00C97017">
            <w:pPr>
              <w:rPr>
                <w:i/>
                <w:sz w:val="22"/>
                <w:szCs w:val="22"/>
              </w:rPr>
            </w:pPr>
            <w:r>
              <w:rPr>
                <w:i/>
                <w:sz w:val="22"/>
                <w:szCs w:val="22"/>
              </w:rPr>
              <w:t>Notes: N=103</w:t>
            </w:r>
            <w:r w:rsidR="00C97017" w:rsidRPr="00393500">
              <w:rPr>
                <w:i/>
                <w:sz w:val="22"/>
                <w:szCs w:val="22"/>
              </w:rPr>
              <w:t xml:space="preserve">. P-values are in parentheses. (*) Significant at the 1 % level. </w:t>
            </w:r>
          </w:p>
        </w:tc>
      </w:tr>
    </w:tbl>
    <w:p w:rsidR="00C97017" w:rsidRPr="000230D1" w:rsidRDefault="00C97017" w:rsidP="000230D1">
      <w:pPr>
        <w:tabs>
          <w:tab w:val="left" w:pos="1800"/>
        </w:tabs>
        <w:sectPr w:rsidR="00C97017" w:rsidRPr="000230D1" w:rsidSect="00FE4D39">
          <w:pgSz w:w="16838" w:h="11906" w:orient="landscape"/>
          <w:pgMar w:top="1134" w:right="1134" w:bottom="1134" w:left="1134" w:header="709" w:footer="709" w:gutter="0"/>
          <w:cols w:space="708"/>
          <w:docGrid w:linePitch="360"/>
        </w:sectPr>
      </w:pPr>
    </w:p>
    <w:tbl>
      <w:tblPr>
        <w:tblStyle w:val="TableGrid"/>
        <w:tblpPr w:leftFromText="180" w:rightFromText="180" w:vertAnchor="text" w:horzAnchor="margin" w:tblpXSpec="center" w:tblpY="38"/>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43"/>
        <w:gridCol w:w="3850"/>
      </w:tblGrid>
      <w:tr w:rsidR="00D81CB3" w:rsidTr="00CC07C0">
        <w:tc>
          <w:tcPr>
            <w:tcW w:w="10195" w:type="dxa"/>
            <w:gridSpan w:val="3"/>
            <w:tcBorders>
              <w:bottom w:val="single" w:sz="4" w:space="0" w:color="auto"/>
            </w:tcBorders>
          </w:tcPr>
          <w:p w:rsidR="00D81CB3" w:rsidRPr="009A3AA5" w:rsidRDefault="00D81CB3" w:rsidP="00C97017">
            <w:pPr>
              <w:rPr>
                <w:b/>
              </w:rPr>
            </w:pPr>
            <w:r w:rsidRPr="009A3AA5">
              <w:rPr>
                <w:b/>
              </w:rPr>
              <w:lastRenderedPageBreak/>
              <w:t xml:space="preserve">Table 5: </w:t>
            </w:r>
            <w:r w:rsidR="00C97017">
              <w:rPr>
                <w:i/>
              </w:rPr>
              <w:t xml:space="preserve"> </w:t>
            </w:r>
            <w:r w:rsidR="00AA3E2D">
              <w:rPr>
                <w:b/>
              </w:rPr>
              <w:t>Ordered probit models</w:t>
            </w:r>
            <w:r w:rsidRPr="00C97017">
              <w:rPr>
                <w:b/>
              </w:rPr>
              <w:t>; Gay/bisexual men</w:t>
            </w:r>
            <w:r w:rsidRPr="009A3AA5">
              <w:rPr>
                <w:b/>
              </w:rPr>
              <w:t xml:space="preserve">  </w:t>
            </w:r>
          </w:p>
        </w:tc>
      </w:tr>
      <w:tr w:rsidR="00D81CB3" w:rsidTr="00F0453B">
        <w:tc>
          <w:tcPr>
            <w:tcW w:w="10195" w:type="dxa"/>
            <w:gridSpan w:val="3"/>
            <w:tcBorders>
              <w:top w:val="single" w:sz="4" w:space="0" w:color="auto"/>
            </w:tcBorders>
          </w:tcPr>
          <w:p w:rsidR="00D81CB3" w:rsidRPr="00131D8B" w:rsidRDefault="00D81CB3" w:rsidP="00D81CB3">
            <w:pPr>
              <w:rPr>
                <w:color w:val="FF0000"/>
              </w:rPr>
            </w:pPr>
          </w:p>
        </w:tc>
      </w:tr>
      <w:tr w:rsidR="00C97017" w:rsidTr="00C97017">
        <w:tc>
          <w:tcPr>
            <w:tcW w:w="2802" w:type="dxa"/>
            <w:tcBorders>
              <w:bottom w:val="single" w:sz="4" w:space="0" w:color="auto"/>
            </w:tcBorders>
          </w:tcPr>
          <w:p w:rsidR="00C97017" w:rsidRDefault="00C97017" w:rsidP="00D81CB3"/>
        </w:tc>
        <w:tc>
          <w:tcPr>
            <w:tcW w:w="3543" w:type="dxa"/>
            <w:tcBorders>
              <w:bottom w:val="single" w:sz="4" w:space="0" w:color="auto"/>
            </w:tcBorders>
          </w:tcPr>
          <w:p w:rsidR="00C97017" w:rsidRDefault="00C97017" w:rsidP="00AA062B">
            <w:r>
              <w:t>Model I</w:t>
            </w:r>
          </w:p>
          <w:p w:rsidR="00C97017" w:rsidRDefault="00C97017" w:rsidP="00AA062B">
            <w:r>
              <w:t>School-age bullying</w:t>
            </w:r>
          </w:p>
        </w:tc>
        <w:tc>
          <w:tcPr>
            <w:tcW w:w="3850" w:type="dxa"/>
            <w:tcBorders>
              <w:bottom w:val="single" w:sz="4" w:space="0" w:color="auto"/>
            </w:tcBorders>
          </w:tcPr>
          <w:p w:rsidR="00C97017" w:rsidRDefault="00C97017" w:rsidP="00D81CB3">
            <w:r>
              <w:t>Model II</w:t>
            </w:r>
          </w:p>
          <w:p w:rsidR="00C97017" w:rsidRDefault="00C97017" w:rsidP="00D81CB3">
            <w:r>
              <w:t>Workplace bullying</w:t>
            </w:r>
          </w:p>
          <w:p w:rsidR="00C97017" w:rsidRPr="00BB4973" w:rsidRDefault="00C97017" w:rsidP="00D81CB3"/>
        </w:tc>
      </w:tr>
      <w:tr w:rsidR="00C97017" w:rsidTr="00C97017">
        <w:tc>
          <w:tcPr>
            <w:tcW w:w="2802" w:type="dxa"/>
            <w:tcBorders>
              <w:top w:val="single" w:sz="4" w:space="0" w:color="auto"/>
            </w:tcBorders>
          </w:tcPr>
          <w:p w:rsidR="00C97017" w:rsidRDefault="00C97017" w:rsidP="00D81CB3">
            <w:r>
              <w:t>Family support</w:t>
            </w:r>
          </w:p>
        </w:tc>
        <w:tc>
          <w:tcPr>
            <w:tcW w:w="3543" w:type="dxa"/>
            <w:tcBorders>
              <w:top w:val="single" w:sz="4" w:space="0" w:color="auto"/>
            </w:tcBorders>
          </w:tcPr>
          <w:p w:rsidR="00C97017" w:rsidRDefault="00C97017" w:rsidP="00B96404">
            <w:r>
              <w:t>-1.152</w:t>
            </w:r>
          </w:p>
          <w:p w:rsidR="00C97017" w:rsidRDefault="00C97017" w:rsidP="00B96404">
            <w:r>
              <w:t>(0.123)*</w:t>
            </w:r>
          </w:p>
        </w:tc>
        <w:tc>
          <w:tcPr>
            <w:tcW w:w="3850" w:type="dxa"/>
            <w:tcBorders>
              <w:top w:val="single" w:sz="4" w:space="0" w:color="auto"/>
            </w:tcBorders>
          </w:tcPr>
          <w:p w:rsidR="00C97017" w:rsidRDefault="00C97017" w:rsidP="00D81CB3">
            <w:r>
              <w:t>-0.563</w:t>
            </w:r>
          </w:p>
          <w:p w:rsidR="00C97017" w:rsidRDefault="00C97017" w:rsidP="00D81CB3">
            <w:r>
              <w:t>(0.000)*</w:t>
            </w:r>
          </w:p>
        </w:tc>
      </w:tr>
      <w:tr w:rsidR="00C97017" w:rsidTr="00C97017">
        <w:tc>
          <w:tcPr>
            <w:tcW w:w="2802" w:type="dxa"/>
          </w:tcPr>
          <w:p w:rsidR="00C97017" w:rsidRPr="0042064B" w:rsidRDefault="00C97017" w:rsidP="00D81CB3">
            <w:pPr>
              <w:rPr>
                <w:vertAlign w:val="superscript"/>
              </w:rPr>
            </w:pPr>
            <w:r>
              <w:t>Gay</w:t>
            </w:r>
            <w:r>
              <w:rPr>
                <w:vertAlign w:val="superscript"/>
              </w:rPr>
              <w:t>#</w:t>
            </w:r>
          </w:p>
        </w:tc>
        <w:tc>
          <w:tcPr>
            <w:tcW w:w="3543" w:type="dxa"/>
          </w:tcPr>
          <w:p w:rsidR="00C97017" w:rsidRDefault="00BB040C" w:rsidP="00B96404">
            <w:r>
              <w:t>0.014</w:t>
            </w:r>
          </w:p>
          <w:p w:rsidR="00BB040C" w:rsidRDefault="00BB040C" w:rsidP="00B96404">
            <w:r>
              <w:t>(0.253)</w:t>
            </w:r>
          </w:p>
        </w:tc>
        <w:tc>
          <w:tcPr>
            <w:tcW w:w="3850" w:type="dxa"/>
          </w:tcPr>
          <w:p w:rsidR="00C97017" w:rsidRDefault="00C97017" w:rsidP="00D81CB3">
            <w:r>
              <w:t>0.317</w:t>
            </w:r>
          </w:p>
          <w:p w:rsidR="00C97017" w:rsidRDefault="00C97017" w:rsidP="00D81CB3">
            <w:r>
              <w:t>(0.260)</w:t>
            </w:r>
          </w:p>
        </w:tc>
      </w:tr>
      <w:tr w:rsidR="00C97017" w:rsidTr="00C97017">
        <w:tc>
          <w:tcPr>
            <w:tcW w:w="2802" w:type="dxa"/>
          </w:tcPr>
          <w:p w:rsidR="00C97017" w:rsidRDefault="00C97017" w:rsidP="00D81CB3">
            <w:r>
              <w:t>Age</w:t>
            </w:r>
          </w:p>
        </w:tc>
        <w:tc>
          <w:tcPr>
            <w:tcW w:w="3543" w:type="dxa"/>
          </w:tcPr>
          <w:p w:rsidR="00C97017" w:rsidRDefault="00C97017" w:rsidP="00D81CB3">
            <w:r>
              <w:t>-</w:t>
            </w:r>
          </w:p>
        </w:tc>
        <w:tc>
          <w:tcPr>
            <w:tcW w:w="3850" w:type="dxa"/>
          </w:tcPr>
          <w:p w:rsidR="00C97017" w:rsidRDefault="00C97017" w:rsidP="0014725C">
            <w:r>
              <w:t>0.073</w:t>
            </w:r>
          </w:p>
          <w:p w:rsidR="00C97017" w:rsidRDefault="00C97017" w:rsidP="0014725C">
            <w:r>
              <w:t>(0.029)**</w:t>
            </w:r>
          </w:p>
        </w:tc>
      </w:tr>
      <w:tr w:rsidR="00C97017" w:rsidTr="00C97017">
        <w:tc>
          <w:tcPr>
            <w:tcW w:w="2802" w:type="dxa"/>
          </w:tcPr>
          <w:p w:rsidR="00C97017" w:rsidRDefault="00C97017" w:rsidP="00D81CB3">
            <w:r>
              <w:t>Higher education</w:t>
            </w:r>
          </w:p>
          <w:p w:rsidR="00C97017" w:rsidRDefault="00C97017" w:rsidP="00D81CB3"/>
        </w:tc>
        <w:tc>
          <w:tcPr>
            <w:tcW w:w="3543" w:type="dxa"/>
          </w:tcPr>
          <w:p w:rsidR="00C97017" w:rsidRDefault="00C97017" w:rsidP="00D81CB3">
            <w:r>
              <w:t>-</w:t>
            </w:r>
          </w:p>
        </w:tc>
        <w:tc>
          <w:tcPr>
            <w:tcW w:w="3850" w:type="dxa"/>
          </w:tcPr>
          <w:p w:rsidR="00C97017" w:rsidRDefault="00C97017" w:rsidP="0014725C">
            <w:r>
              <w:t>-0.182</w:t>
            </w:r>
          </w:p>
          <w:p w:rsidR="00C97017" w:rsidRDefault="00C97017" w:rsidP="0014725C">
            <w:r>
              <w:t>(0.220)</w:t>
            </w:r>
          </w:p>
          <w:p w:rsidR="00C97017" w:rsidRDefault="00C97017" w:rsidP="00D81CB3"/>
        </w:tc>
      </w:tr>
      <w:tr w:rsidR="00C97017" w:rsidTr="00C97017">
        <w:tc>
          <w:tcPr>
            <w:tcW w:w="2802" w:type="dxa"/>
          </w:tcPr>
          <w:p w:rsidR="00C97017" w:rsidRDefault="00C97017" w:rsidP="00D81CB3">
            <w:r w:rsidRPr="0014725C">
              <w:t>Working experience</w:t>
            </w:r>
          </w:p>
        </w:tc>
        <w:tc>
          <w:tcPr>
            <w:tcW w:w="3543" w:type="dxa"/>
          </w:tcPr>
          <w:p w:rsidR="00C97017" w:rsidRDefault="00C97017" w:rsidP="00D81CB3">
            <w:r>
              <w:t>-</w:t>
            </w:r>
          </w:p>
        </w:tc>
        <w:tc>
          <w:tcPr>
            <w:tcW w:w="3850" w:type="dxa"/>
          </w:tcPr>
          <w:p w:rsidR="00C97017" w:rsidRDefault="00C97017" w:rsidP="00D81CB3">
            <w:r>
              <w:t>0.029</w:t>
            </w:r>
          </w:p>
          <w:p w:rsidR="00C97017" w:rsidRDefault="00C97017" w:rsidP="00D81CB3">
            <w:r>
              <w:t>(0.030)</w:t>
            </w:r>
          </w:p>
          <w:p w:rsidR="00C97017" w:rsidRDefault="00C97017" w:rsidP="00D81CB3"/>
        </w:tc>
      </w:tr>
      <w:tr w:rsidR="00C97017" w:rsidTr="00C97017">
        <w:tc>
          <w:tcPr>
            <w:tcW w:w="2802" w:type="dxa"/>
          </w:tcPr>
          <w:p w:rsidR="00C97017" w:rsidRDefault="00C97017" w:rsidP="00D81CB3">
            <w:r>
              <w:t>Occupations controls</w:t>
            </w:r>
          </w:p>
          <w:p w:rsidR="00C97017" w:rsidRDefault="00C97017" w:rsidP="00D81CB3"/>
        </w:tc>
        <w:tc>
          <w:tcPr>
            <w:tcW w:w="3543" w:type="dxa"/>
          </w:tcPr>
          <w:p w:rsidR="00C97017" w:rsidRDefault="00C97017" w:rsidP="00D81CB3">
            <w:r>
              <w:t>-</w:t>
            </w:r>
          </w:p>
        </w:tc>
        <w:tc>
          <w:tcPr>
            <w:tcW w:w="3850" w:type="dxa"/>
          </w:tcPr>
          <w:p w:rsidR="00C97017" w:rsidRDefault="00C97017" w:rsidP="00D81CB3">
            <w:r>
              <w:t>yes</w:t>
            </w:r>
          </w:p>
        </w:tc>
      </w:tr>
      <w:tr w:rsidR="00C97017" w:rsidTr="00C97017">
        <w:tc>
          <w:tcPr>
            <w:tcW w:w="2802" w:type="dxa"/>
          </w:tcPr>
          <w:p w:rsidR="00C97017" w:rsidRDefault="00C97017" w:rsidP="00D81CB3">
            <w:r>
              <w:t>Cities controls</w:t>
            </w:r>
          </w:p>
          <w:p w:rsidR="00C97017" w:rsidRDefault="00C97017" w:rsidP="00D81CB3"/>
        </w:tc>
        <w:tc>
          <w:tcPr>
            <w:tcW w:w="3543" w:type="dxa"/>
          </w:tcPr>
          <w:p w:rsidR="00C97017" w:rsidRDefault="00C97017" w:rsidP="00D81CB3">
            <w:r>
              <w:t>yes</w:t>
            </w:r>
          </w:p>
        </w:tc>
        <w:tc>
          <w:tcPr>
            <w:tcW w:w="3850" w:type="dxa"/>
          </w:tcPr>
          <w:p w:rsidR="00C97017" w:rsidRDefault="00C97017" w:rsidP="00D81CB3">
            <w:r>
              <w:t>yes</w:t>
            </w:r>
          </w:p>
        </w:tc>
      </w:tr>
      <w:tr w:rsidR="00C97017" w:rsidTr="00C97017">
        <w:tc>
          <w:tcPr>
            <w:tcW w:w="2802" w:type="dxa"/>
            <w:tcBorders>
              <w:bottom w:val="single" w:sz="4" w:space="0" w:color="auto"/>
            </w:tcBorders>
          </w:tcPr>
          <w:p w:rsidR="00C97017" w:rsidRDefault="00C97017" w:rsidP="00D81CB3">
            <w:r>
              <w:t>Events controls</w:t>
            </w:r>
          </w:p>
          <w:p w:rsidR="00C97017" w:rsidRDefault="00C97017" w:rsidP="00D81CB3"/>
        </w:tc>
        <w:tc>
          <w:tcPr>
            <w:tcW w:w="3543" w:type="dxa"/>
            <w:tcBorders>
              <w:bottom w:val="single" w:sz="4" w:space="0" w:color="auto"/>
            </w:tcBorders>
          </w:tcPr>
          <w:p w:rsidR="00C97017" w:rsidRDefault="00C97017" w:rsidP="00D81CB3">
            <w:r>
              <w:t>yes</w:t>
            </w:r>
          </w:p>
        </w:tc>
        <w:tc>
          <w:tcPr>
            <w:tcW w:w="3850" w:type="dxa"/>
            <w:tcBorders>
              <w:bottom w:val="single" w:sz="4" w:space="0" w:color="auto"/>
            </w:tcBorders>
          </w:tcPr>
          <w:p w:rsidR="00C97017" w:rsidRDefault="00C97017" w:rsidP="00D81CB3">
            <w:r>
              <w:t>yes</w:t>
            </w:r>
          </w:p>
        </w:tc>
      </w:tr>
      <w:tr w:rsidR="00C97017" w:rsidTr="00C97017">
        <w:tc>
          <w:tcPr>
            <w:tcW w:w="2802" w:type="dxa"/>
            <w:tcBorders>
              <w:top w:val="single" w:sz="4" w:space="0" w:color="auto"/>
            </w:tcBorders>
          </w:tcPr>
          <w:p w:rsidR="00C97017" w:rsidRDefault="00C97017" w:rsidP="00AD3B09">
            <w:r>
              <w:t>LR x</w:t>
            </w:r>
            <w:r>
              <w:rPr>
                <w:vertAlign w:val="superscript"/>
              </w:rPr>
              <w:t>2</w:t>
            </w:r>
            <w:r>
              <w:t xml:space="preserve"> </w:t>
            </w:r>
          </w:p>
          <w:p w:rsidR="00C97017" w:rsidRPr="00F35F14" w:rsidRDefault="00C97017" w:rsidP="00AD3B09"/>
        </w:tc>
        <w:tc>
          <w:tcPr>
            <w:tcW w:w="3543" w:type="dxa"/>
            <w:tcBorders>
              <w:top w:val="single" w:sz="4" w:space="0" w:color="auto"/>
            </w:tcBorders>
          </w:tcPr>
          <w:p w:rsidR="00C97017" w:rsidRDefault="00C97017" w:rsidP="00AD3B09">
            <w:r>
              <w:t>117.773</w:t>
            </w:r>
          </w:p>
        </w:tc>
        <w:tc>
          <w:tcPr>
            <w:tcW w:w="3850" w:type="dxa"/>
            <w:tcBorders>
              <w:top w:val="single" w:sz="4" w:space="0" w:color="auto"/>
            </w:tcBorders>
          </w:tcPr>
          <w:p w:rsidR="00C97017" w:rsidRDefault="00C97017" w:rsidP="00AD3B09">
            <w:r>
              <w:t>157.812</w:t>
            </w:r>
          </w:p>
        </w:tc>
      </w:tr>
      <w:tr w:rsidR="00C97017" w:rsidTr="00C97017">
        <w:tc>
          <w:tcPr>
            <w:tcW w:w="2802" w:type="dxa"/>
          </w:tcPr>
          <w:p w:rsidR="00C97017" w:rsidRDefault="00C97017" w:rsidP="00AD3B09">
            <w:pPr>
              <w:rPr>
                <w:vertAlign w:val="superscript"/>
              </w:rPr>
            </w:pPr>
            <w:r>
              <w:t>Prob&gt; x</w:t>
            </w:r>
            <w:r>
              <w:rPr>
                <w:vertAlign w:val="superscript"/>
              </w:rPr>
              <w:t>2</w:t>
            </w:r>
          </w:p>
          <w:p w:rsidR="00C97017" w:rsidRDefault="00C97017" w:rsidP="00AD3B09"/>
        </w:tc>
        <w:tc>
          <w:tcPr>
            <w:tcW w:w="3543" w:type="dxa"/>
          </w:tcPr>
          <w:p w:rsidR="00C97017" w:rsidRDefault="00C97017" w:rsidP="00AD3B09">
            <w:r>
              <w:t>0.000</w:t>
            </w:r>
          </w:p>
        </w:tc>
        <w:tc>
          <w:tcPr>
            <w:tcW w:w="3850" w:type="dxa"/>
          </w:tcPr>
          <w:p w:rsidR="00C97017" w:rsidRDefault="00C97017" w:rsidP="00AD3B09">
            <w:r>
              <w:t>0.000</w:t>
            </w:r>
          </w:p>
        </w:tc>
      </w:tr>
      <w:tr w:rsidR="00C97017" w:rsidTr="00C97017">
        <w:tc>
          <w:tcPr>
            <w:tcW w:w="2802" w:type="dxa"/>
          </w:tcPr>
          <w:p w:rsidR="00C97017" w:rsidRDefault="00C97017" w:rsidP="00AD3B09">
            <w:pPr>
              <w:rPr>
                <w:vertAlign w:val="superscript"/>
              </w:rPr>
            </w:pPr>
            <w:r>
              <w:t>Pseudo R</w:t>
            </w:r>
            <w:r>
              <w:rPr>
                <w:vertAlign w:val="superscript"/>
              </w:rPr>
              <w:t>2</w:t>
            </w:r>
          </w:p>
          <w:p w:rsidR="00C97017" w:rsidRPr="00F35F14" w:rsidRDefault="00C97017" w:rsidP="00AD3B09">
            <w:pPr>
              <w:rPr>
                <w:vertAlign w:val="superscript"/>
              </w:rPr>
            </w:pPr>
          </w:p>
        </w:tc>
        <w:tc>
          <w:tcPr>
            <w:tcW w:w="3543" w:type="dxa"/>
          </w:tcPr>
          <w:p w:rsidR="00C97017" w:rsidRDefault="00C97017" w:rsidP="00AD3B09">
            <w:r>
              <w:t>0.235</w:t>
            </w:r>
          </w:p>
        </w:tc>
        <w:tc>
          <w:tcPr>
            <w:tcW w:w="3850" w:type="dxa"/>
          </w:tcPr>
          <w:p w:rsidR="00C97017" w:rsidRDefault="00C97017" w:rsidP="00AD3B09">
            <w:r>
              <w:t>0.313</w:t>
            </w:r>
          </w:p>
        </w:tc>
      </w:tr>
      <w:tr w:rsidR="00C97017" w:rsidTr="00C97017">
        <w:tc>
          <w:tcPr>
            <w:tcW w:w="2802" w:type="dxa"/>
          </w:tcPr>
          <w:p w:rsidR="00C97017" w:rsidRDefault="00C97017" w:rsidP="00AD3B09">
            <w:r>
              <w:t>Log likelihood</w:t>
            </w:r>
          </w:p>
          <w:p w:rsidR="00C97017" w:rsidRDefault="00C97017" w:rsidP="00AD3B09"/>
        </w:tc>
        <w:tc>
          <w:tcPr>
            <w:tcW w:w="3543" w:type="dxa"/>
          </w:tcPr>
          <w:p w:rsidR="00C97017" w:rsidRDefault="00C97017" w:rsidP="00AD3B09">
            <w:r>
              <w:t>-191.536</w:t>
            </w:r>
          </w:p>
        </w:tc>
        <w:tc>
          <w:tcPr>
            <w:tcW w:w="3850" w:type="dxa"/>
          </w:tcPr>
          <w:p w:rsidR="00C97017" w:rsidRDefault="00C97017" w:rsidP="00AD3B09">
            <w:r>
              <w:t>-173.007</w:t>
            </w:r>
          </w:p>
        </w:tc>
      </w:tr>
      <w:tr w:rsidR="00C97017" w:rsidTr="00C97017">
        <w:tc>
          <w:tcPr>
            <w:tcW w:w="2802" w:type="dxa"/>
            <w:tcBorders>
              <w:bottom w:val="single" w:sz="4" w:space="0" w:color="auto"/>
            </w:tcBorders>
          </w:tcPr>
          <w:p w:rsidR="00C97017" w:rsidRDefault="00C97017" w:rsidP="00AD3B09">
            <w:r>
              <w:t>Observations</w:t>
            </w:r>
          </w:p>
          <w:p w:rsidR="00C97017" w:rsidRDefault="00C97017" w:rsidP="00AD3B09"/>
        </w:tc>
        <w:tc>
          <w:tcPr>
            <w:tcW w:w="3543" w:type="dxa"/>
            <w:tcBorders>
              <w:bottom w:val="single" w:sz="4" w:space="0" w:color="auto"/>
            </w:tcBorders>
          </w:tcPr>
          <w:p w:rsidR="00C97017" w:rsidRDefault="00C97017" w:rsidP="00AD3B09">
            <w:r>
              <w:t>168</w:t>
            </w:r>
          </w:p>
        </w:tc>
        <w:tc>
          <w:tcPr>
            <w:tcW w:w="3850" w:type="dxa"/>
            <w:tcBorders>
              <w:bottom w:val="single" w:sz="4" w:space="0" w:color="auto"/>
            </w:tcBorders>
          </w:tcPr>
          <w:p w:rsidR="00C97017" w:rsidRDefault="00C97017" w:rsidP="00AD3B09">
            <w:r>
              <w:t>168</w:t>
            </w:r>
          </w:p>
        </w:tc>
      </w:tr>
      <w:tr w:rsidR="00AD3B09" w:rsidTr="007D00AD">
        <w:tc>
          <w:tcPr>
            <w:tcW w:w="10195" w:type="dxa"/>
            <w:gridSpan w:val="3"/>
            <w:tcBorders>
              <w:top w:val="single" w:sz="4" w:space="0" w:color="auto"/>
            </w:tcBorders>
          </w:tcPr>
          <w:p w:rsidR="00AD3B09" w:rsidRPr="00547BA8" w:rsidRDefault="00AD3B09" w:rsidP="00C97017">
            <w:pPr>
              <w:rPr>
                <w:i/>
              </w:rPr>
            </w:pPr>
            <w:r w:rsidRPr="00E83827">
              <w:rPr>
                <w:i/>
              </w:rPr>
              <w:t>Notes:</w:t>
            </w:r>
            <w:r>
              <w:rPr>
                <w:i/>
              </w:rPr>
              <w:t xml:space="preserve"> (</w:t>
            </w:r>
            <w:r w:rsidR="00E14B81">
              <w:rPr>
                <w:i/>
                <w:vertAlign w:val="superscript"/>
              </w:rPr>
              <w:t>#</w:t>
            </w:r>
            <w:r w:rsidR="00AA3E2D">
              <w:rPr>
                <w:i/>
              </w:rPr>
              <w:t xml:space="preserve">) Bisexuals otherwise. </w:t>
            </w:r>
            <w:r>
              <w:rPr>
                <w:i/>
                <w:sz w:val="22"/>
                <w:szCs w:val="22"/>
              </w:rPr>
              <w:t>Standard errors are in parentheses. (*</w:t>
            </w:r>
            <w:r w:rsidRPr="00CB5377">
              <w:rPr>
                <w:i/>
                <w:sz w:val="22"/>
                <w:szCs w:val="22"/>
              </w:rPr>
              <w:t>) Significant at the 1 % level</w:t>
            </w:r>
            <w:r>
              <w:rPr>
                <w:i/>
                <w:sz w:val="22"/>
                <w:szCs w:val="22"/>
              </w:rPr>
              <w:t>. (**) Significant at the 5</w:t>
            </w:r>
            <w:r w:rsidRPr="00CB5377">
              <w:rPr>
                <w:i/>
                <w:sz w:val="22"/>
                <w:szCs w:val="22"/>
              </w:rPr>
              <w:t xml:space="preserve"> % level</w:t>
            </w:r>
            <w:r>
              <w:rPr>
                <w:i/>
                <w:sz w:val="22"/>
                <w:szCs w:val="22"/>
              </w:rPr>
              <w:t xml:space="preserve">. </w:t>
            </w:r>
          </w:p>
        </w:tc>
      </w:tr>
    </w:tbl>
    <w:p w:rsidR="00FE4D39" w:rsidRDefault="00FE4D39" w:rsidP="00150243"/>
    <w:p w:rsidR="00CB5377" w:rsidRDefault="00CB5377" w:rsidP="00150243"/>
    <w:p w:rsidR="00F0453B" w:rsidRDefault="00F0453B" w:rsidP="00150243"/>
    <w:p w:rsidR="00CB5377" w:rsidRDefault="00CB5377" w:rsidP="00CB5377"/>
    <w:p w:rsidR="0014725C" w:rsidRDefault="0014725C" w:rsidP="00CB5377"/>
    <w:p w:rsidR="0014725C" w:rsidRDefault="0014725C" w:rsidP="00CB5377"/>
    <w:p w:rsidR="0014725C" w:rsidRDefault="0014725C" w:rsidP="00CB5377"/>
    <w:p w:rsidR="0014725C" w:rsidRDefault="0014725C" w:rsidP="00CB5377"/>
    <w:p w:rsidR="0014725C" w:rsidRDefault="0014725C" w:rsidP="00CB5377"/>
    <w:p w:rsidR="0014725C" w:rsidRDefault="0014725C" w:rsidP="00CB5377"/>
    <w:p w:rsidR="0014725C" w:rsidRDefault="0014725C" w:rsidP="00CB5377"/>
    <w:p w:rsidR="00C97017" w:rsidRDefault="00C97017" w:rsidP="00CB5377"/>
    <w:p w:rsidR="00C97017" w:rsidRDefault="00C97017" w:rsidP="00CB5377"/>
    <w:p w:rsidR="00AA3E2D" w:rsidRDefault="00AA3E2D" w:rsidP="00CB5377">
      <w:bookmarkStart w:id="0" w:name="_GoBack"/>
      <w:bookmarkEnd w:id="0"/>
    </w:p>
    <w:p w:rsidR="00C97017" w:rsidRDefault="00C97017" w:rsidP="00CB5377"/>
    <w:p w:rsidR="00C97017" w:rsidRDefault="00C97017" w:rsidP="00CB5377"/>
    <w:p w:rsidR="0014725C" w:rsidRPr="00CB5377" w:rsidRDefault="0014725C" w:rsidP="00CB5377"/>
    <w:p w:rsidR="00CB5377" w:rsidRPr="00CB5377" w:rsidRDefault="00CB5377" w:rsidP="00CB5377"/>
    <w:tbl>
      <w:tblPr>
        <w:tblStyle w:val="TableGrid"/>
        <w:tblpPr w:leftFromText="180" w:rightFromText="180" w:tblpY="405"/>
        <w:tblW w:w="10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3544"/>
        <w:gridCol w:w="3827"/>
      </w:tblGrid>
      <w:tr w:rsidR="00645712" w:rsidTr="00AA3E2D">
        <w:tc>
          <w:tcPr>
            <w:tcW w:w="10603" w:type="dxa"/>
            <w:gridSpan w:val="3"/>
            <w:tcBorders>
              <w:bottom w:val="single" w:sz="4" w:space="0" w:color="auto"/>
            </w:tcBorders>
          </w:tcPr>
          <w:p w:rsidR="00645712" w:rsidRPr="009A3AA5" w:rsidRDefault="00FE09D7" w:rsidP="00AA3E2D">
            <w:pPr>
              <w:rPr>
                <w:b/>
              </w:rPr>
            </w:pPr>
            <w:r>
              <w:rPr>
                <w:b/>
              </w:rPr>
              <w:t>Table 6</w:t>
            </w:r>
            <w:r w:rsidR="00645712" w:rsidRPr="009A3AA5">
              <w:rPr>
                <w:b/>
              </w:rPr>
              <w:t xml:space="preserve">: </w:t>
            </w:r>
            <w:r w:rsidR="00AA3E2D">
              <w:rPr>
                <w:b/>
              </w:rPr>
              <w:t>Ordered probit models</w:t>
            </w:r>
            <w:r w:rsidR="00645712" w:rsidRPr="009A3AA5">
              <w:rPr>
                <w:b/>
              </w:rPr>
              <w:t xml:space="preserve">; </w:t>
            </w:r>
            <w:r w:rsidR="00424765">
              <w:rPr>
                <w:b/>
              </w:rPr>
              <w:t>Lesbian/bisexual w</w:t>
            </w:r>
            <w:r w:rsidR="00645712">
              <w:rPr>
                <w:b/>
              </w:rPr>
              <w:t>om</w:t>
            </w:r>
            <w:r w:rsidR="00645712" w:rsidRPr="009A3AA5">
              <w:rPr>
                <w:b/>
              </w:rPr>
              <w:t xml:space="preserve">en  </w:t>
            </w:r>
          </w:p>
        </w:tc>
      </w:tr>
      <w:tr w:rsidR="00645712" w:rsidTr="00AA3E2D">
        <w:tc>
          <w:tcPr>
            <w:tcW w:w="10603" w:type="dxa"/>
            <w:gridSpan w:val="3"/>
            <w:tcBorders>
              <w:top w:val="single" w:sz="4" w:space="0" w:color="auto"/>
            </w:tcBorders>
          </w:tcPr>
          <w:p w:rsidR="00645712" w:rsidRPr="00131D8B" w:rsidRDefault="00645712" w:rsidP="00AA3E2D">
            <w:pPr>
              <w:rPr>
                <w:color w:val="FF0000"/>
              </w:rPr>
            </w:pPr>
          </w:p>
        </w:tc>
      </w:tr>
      <w:tr w:rsidR="00C97017" w:rsidTr="00AA3E2D">
        <w:tc>
          <w:tcPr>
            <w:tcW w:w="3232" w:type="dxa"/>
            <w:tcBorders>
              <w:bottom w:val="single" w:sz="4" w:space="0" w:color="auto"/>
            </w:tcBorders>
          </w:tcPr>
          <w:p w:rsidR="00C97017" w:rsidRDefault="00C97017" w:rsidP="00AA3E2D"/>
        </w:tc>
        <w:tc>
          <w:tcPr>
            <w:tcW w:w="3544" w:type="dxa"/>
            <w:tcBorders>
              <w:bottom w:val="single" w:sz="4" w:space="0" w:color="auto"/>
            </w:tcBorders>
          </w:tcPr>
          <w:p w:rsidR="00C97017" w:rsidRDefault="00C97017" w:rsidP="00AA3E2D">
            <w:r>
              <w:t>Model I</w:t>
            </w:r>
          </w:p>
          <w:p w:rsidR="00C97017" w:rsidRDefault="00C97017" w:rsidP="00AA3E2D">
            <w:r>
              <w:t>School-age bullying</w:t>
            </w:r>
          </w:p>
        </w:tc>
        <w:tc>
          <w:tcPr>
            <w:tcW w:w="3827" w:type="dxa"/>
            <w:tcBorders>
              <w:bottom w:val="single" w:sz="4" w:space="0" w:color="auto"/>
            </w:tcBorders>
          </w:tcPr>
          <w:p w:rsidR="00C97017" w:rsidRDefault="00C97017" w:rsidP="00AA3E2D">
            <w:r>
              <w:t>Model II</w:t>
            </w:r>
          </w:p>
          <w:p w:rsidR="00C97017" w:rsidRDefault="00C97017" w:rsidP="00AA3E2D">
            <w:r>
              <w:t>Workplace bullying</w:t>
            </w:r>
          </w:p>
          <w:p w:rsidR="00C97017" w:rsidRPr="00BB4973" w:rsidRDefault="00C97017" w:rsidP="00AA3E2D"/>
        </w:tc>
      </w:tr>
      <w:tr w:rsidR="00C97017" w:rsidTr="00AA3E2D">
        <w:tc>
          <w:tcPr>
            <w:tcW w:w="3232" w:type="dxa"/>
            <w:tcBorders>
              <w:top w:val="single" w:sz="4" w:space="0" w:color="auto"/>
            </w:tcBorders>
          </w:tcPr>
          <w:p w:rsidR="00C97017" w:rsidRDefault="00C97017" w:rsidP="00AA3E2D">
            <w:r>
              <w:t>Family support</w:t>
            </w:r>
          </w:p>
        </w:tc>
        <w:tc>
          <w:tcPr>
            <w:tcW w:w="3544" w:type="dxa"/>
            <w:tcBorders>
              <w:top w:val="single" w:sz="4" w:space="0" w:color="auto"/>
            </w:tcBorders>
          </w:tcPr>
          <w:p w:rsidR="00C97017" w:rsidRDefault="00C97017" w:rsidP="00AA3E2D">
            <w:r>
              <w:t>-1.268</w:t>
            </w:r>
          </w:p>
          <w:p w:rsidR="00C97017" w:rsidRDefault="00C97017" w:rsidP="00AA3E2D">
            <w:r>
              <w:t>(0.150)*</w:t>
            </w:r>
          </w:p>
          <w:p w:rsidR="00C97017" w:rsidRDefault="00C97017" w:rsidP="00AA3E2D"/>
        </w:tc>
        <w:tc>
          <w:tcPr>
            <w:tcW w:w="3827" w:type="dxa"/>
            <w:tcBorders>
              <w:top w:val="single" w:sz="4" w:space="0" w:color="auto"/>
            </w:tcBorders>
          </w:tcPr>
          <w:p w:rsidR="00C97017" w:rsidRDefault="00C97017" w:rsidP="00AA3E2D">
            <w:r>
              <w:t>-0.705</w:t>
            </w:r>
          </w:p>
          <w:p w:rsidR="00C97017" w:rsidRDefault="00C97017" w:rsidP="00AA3E2D">
            <w:r>
              <w:t>(0.111)*</w:t>
            </w:r>
          </w:p>
        </w:tc>
      </w:tr>
      <w:tr w:rsidR="00C97017" w:rsidTr="00AA3E2D">
        <w:tc>
          <w:tcPr>
            <w:tcW w:w="3232" w:type="dxa"/>
          </w:tcPr>
          <w:p w:rsidR="00C97017" w:rsidRPr="0042064B" w:rsidRDefault="00C97017" w:rsidP="00AA3E2D">
            <w:pPr>
              <w:rPr>
                <w:vertAlign w:val="superscript"/>
              </w:rPr>
            </w:pPr>
            <w:r>
              <w:t>Lesbians</w:t>
            </w:r>
            <w:r>
              <w:rPr>
                <w:vertAlign w:val="superscript"/>
              </w:rPr>
              <w:t>#</w:t>
            </w:r>
          </w:p>
        </w:tc>
        <w:tc>
          <w:tcPr>
            <w:tcW w:w="3544" w:type="dxa"/>
          </w:tcPr>
          <w:p w:rsidR="00C97017" w:rsidRDefault="00C97017" w:rsidP="00AA3E2D">
            <w:r>
              <w:t>0.173</w:t>
            </w:r>
          </w:p>
          <w:p w:rsidR="00C97017" w:rsidRDefault="00C97017" w:rsidP="00AA3E2D">
            <w:r>
              <w:t>(0.314)</w:t>
            </w:r>
          </w:p>
          <w:p w:rsidR="00C97017" w:rsidRDefault="00C97017" w:rsidP="00AA3E2D"/>
        </w:tc>
        <w:tc>
          <w:tcPr>
            <w:tcW w:w="3827" w:type="dxa"/>
          </w:tcPr>
          <w:p w:rsidR="00C97017" w:rsidRDefault="00C97017" w:rsidP="00AA3E2D">
            <w:r>
              <w:t>0.168</w:t>
            </w:r>
          </w:p>
          <w:p w:rsidR="00C97017" w:rsidRDefault="00C97017" w:rsidP="00AA3E2D">
            <w:r>
              <w:t>(0.325)</w:t>
            </w:r>
          </w:p>
        </w:tc>
      </w:tr>
      <w:tr w:rsidR="00C97017" w:rsidTr="00AA3E2D">
        <w:tc>
          <w:tcPr>
            <w:tcW w:w="3232" w:type="dxa"/>
          </w:tcPr>
          <w:p w:rsidR="00C97017" w:rsidRDefault="00C97017" w:rsidP="00AA3E2D">
            <w:r>
              <w:t>Age</w:t>
            </w:r>
          </w:p>
        </w:tc>
        <w:tc>
          <w:tcPr>
            <w:tcW w:w="3544" w:type="dxa"/>
          </w:tcPr>
          <w:p w:rsidR="00C97017" w:rsidRDefault="00C97017" w:rsidP="00AA3E2D">
            <w:r>
              <w:t>-</w:t>
            </w:r>
          </w:p>
        </w:tc>
        <w:tc>
          <w:tcPr>
            <w:tcW w:w="3827" w:type="dxa"/>
          </w:tcPr>
          <w:p w:rsidR="00C97017" w:rsidRDefault="00C97017" w:rsidP="00AA3E2D">
            <w:r>
              <w:t>-0.109</w:t>
            </w:r>
          </w:p>
          <w:p w:rsidR="00C97017" w:rsidRDefault="00C97017" w:rsidP="00AA3E2D">
            <w:r>
              <w:t>(0.077)</w:t>
            </w:r>
          </w:p>
          <w:p w:rsidR="00C97017" w:rsidRDefault="00C97017" w:rsidP="00AA3E2D"/>
        </w:tc>
      </w:tr>
      <w:tr w:rsidR="00C97017" w:rsidTr="00AA3E2D">
        <w:tc>
          <w:tcPr>
            <w:tcW w:w="3232" w:type="dxa"/>
          </w:tcPr>
          <w:p w:rsidR="00C97017" w:rsidRDefault="00C97017" w:rsidP="00AA3E2D">
            <w:r>
              <w:t>Higher education</w:t>
            </w:r>
          </w:p>
          <w:p w:rsidR="00C97017" w:rsidRDefault="00C97017" w:rsidP="00AA3E2D"/>
        </w:tc>
        <w:tc>
          <w:tcPr>
            <w:tcW w:w="3544" w:type="dxa"/>
          </w:tcPr>
          <w:p w:rsidR="00C97017" w:rsidRDefault="00C97017" w:rsidP="00AA3E2D">
            <w:r>
              <w:t>-</w:t>
            </w:r>
          </w:p>
        </w:tc>
        <w:tc>
          <w:tcPr>
            <w:tcW w:w="3827" w:type="dxa"/>
          </w:tcPr>
          <w:p w:rsidR="00C97017" w:rsidRDefault="00C97017" w:rsidP="00AA3E2D">
            <w:r>
              <w:t>0.549</w:t>
            </w:r>
          </w:p>
          <w:p w:rsidR="00C97017" w:rsidRDefault="00C97017" w:rsidP="00AA3E2D">
            <w:r>
              <w:t>(0.538)</w:t>
            </w:r>
          </w:p>
          <w:p w:rsidR="00C97017" w:rsidRDefault="00C97017" w:rsidP="00AA3E2D"/>
        </w:tc>
      </w:tr>
      <w:tr w:rsidR="00C97017" w:rsidTr="00AA3E2D">
        <w:tc>
          <w:tcPr>
            <w:tcW w:w="3232" w:type="dxa"/>
          </w:tcPr>
          <w:p w:rsidR="00C97017" w:rsidRDefault="00C97017" w:rsidP="00AA3E2D">
            <w:r w:rsidRPr="0014725C">
              <w:t>Working experience</w:t>
            </w:r>
          </w:p>
        </w:tc>
        <w:tc>
          <w:tcPr>
            <w:tcW w:w="3544" w:type="dxa"/>
          </w:tcPr>
          <w:p w:rsidR="00C97017" w:rsidRDefault="00C97017" w:rsidP="00AA3E2D">
            <w:r>
              <w:t>-</w:t>
            </w:r>
          </w:p>
        </w:tc>
        <w:tc>
          <w:tcPr>
            <w:tcW w:w="3827" w:type="dxa"/>
          </w:tcPr>
          <w:p w:rsidR="00C97017" w:rsidRDefault="00C97017" w:rsidP="00AA3E2D">
            <w:r>
              <w:t>0.161</w:t>
            </w:r>
          </w:p>
          <w:p w:rsidR="00C97017" w:rsidRDefault="00C97017" w:rsidP="00AA3E2D">
            <w:r>
              <w:t>(0.077)*</w:t>
            </w:r>
          </w:p>
          <w:p w:rsidR="00C97017" w:rsidRDefault="00C97017" w:rsidP="00AA3E2D"/>
        </w:tc>
      </w:tr>
      <w:tr w:rsidR="00C97017" w:rsidTr="00AA3E2D">
        <w:tc>
          <w:tcPr>
            <w:tcW w:w="3232" w:type="dxa"/>
          </w:tcPr>
          <w:p w:rsidR="00C97017" w:rsidRDefault="00C97017" w:rsidP="00AA3E2D">
            <w:r>
              <w:t>Occupations controls</w:t>
            </w:r>
          </w:p>
          <w:p w:rsidR="00C97017" w:rsidRDefault="00C97017" w:rsidP="00AA3E2D"/>
        </w:tc>
        <w:tc>
          <w:tcPr>
            <w:tcW w:w="3544" w:type="dxa"/>
          </w:tcPr>
          <w:p w:rsidR="00C97017" w:rsidRDefault="00C97017" w:rsidP="00AA3E2D">
            <w:r>
              <w:t>-</w:t>
            </w:r>
          </w:p>
        </w:tc>
        <w:tc>
          <w:tcPr>
            <w:tcW w:w="3827" w:type="dxa"/>
          </w:tcPr>
          <w:p w:rsidR="00C97017" w:rsidRDefault="00C97017" w:rsidP="00AA3E2D">
            <w:r>
              <w:t>yes</w:t>
            </w:r>
          </w:p>
        </w:tc>
      </w:tr>
      <w:tr w:rsidR="00C97017" w:rsidTr="00AA3E2D">
        <w:tc>
          <w:tcPr>
            <w:tcW w:w="3232" w:type="dxa"/>
          </w:tcPr>
          <w:p w:rsidR="00C97017" w:rsidRDefault="00C97017" w:rsidP="00AA3E2D">
            <w:r>
              <w:t>Cities controls</w:t>
            </w:r>
          </w:p>
          <w:p w:rsidR="00C97017" w:rsidRDefault="00C97017" w:rsidP="00AA3E2D"/>
        </w:tc>
        <w:tc>
          <w:tcPr>
            <w:tcW w:w="3544" w:type="dxa"/>
          </w:tcPr>
          <w:p w:rsidR="00C97017" w:rsidRDefault="00C97017" w:rsidP="00AA3E2D">
            <w:r>
              <w:t>yes</w:t>
            </w:r>
          </w:p>
        </w:tc>
        <w:tc>
          <w:tcPr>
            <w:tcW w:w="3827" w:type="dxa"/>
          </w:tcPr>
          <w:p w:rsidR="00C97017" w:rsidRDefault="00C97017" w:rsidP="00AA3E2D">
            <w:r>
              <w:t>yes</w:t>
            </w:r>
          </w:p>
        </w:tc>
      </w:tr>
      <w:tr w:rsidR="00C97017" w:rsidTr="00AA3E2D">
        <w:tc>
          <w:tcPr>
            <w:tcW w:w="3232" w:type="dxa"/>
            <w:tcBorders>
              <w:bottom w:val="single" w:sz="4" w:space="0" w:color="auto"/>
            </w:tcBorders>
          </w:tcPr>
          <w:p w:rsidR="00C97017" w:rsidRDefault="00C97017" w:rsidP="00AA3E2D">
            <w:r>
              <w:t>Events controls</w:t>
            </w:r>
          </w:p>
          <w:p w:rsidR="00C97017" w:rsidRDefault="00C97017" w:rsidP="00AA3E2D"/>
        </w:tc>
        <w:tc>
          <w:tcPr>
            <w:tcW w:w="3544" w:type="dxa"/>
            <w:tcBorders>
              <w:bottom w:val="single" w:sz="4" w:space="0" w:color="auto"/>
            </w:tcBorders>
          </w:tcPr>
          <w:p w:rsidR="00C97017" w:rsidRDefault="00C97017" w:rsidP="00AA3E2D">
            <w:r>
              <w:t>yes</w:t>
            </w:r>
          </w:p>
        </w:tc>
        <w:tc>
          <w:tcPr>
            <w:tcW w:w="3827" w:type="dxa"/>
            <w:tcBorders>
              <w:bottom w:val="single" w:sz="4" w:space="0" w:color="auto"/>
            </w:tcBorders>
          </w:tcPr>
          <w:p w:rsidR="00C97017" w:rsidRDefault="00C97017" w:rsidP="00AA3E2D">
            <w:r>
              <w:t>yes</w:t>
            </w:r>
          </w:p>
        </w:tc>
      </w:tr>
      <w:tr w:rsidR="00C97017" w:rsidTr="00AA3E2D">
        <w:tc>
          <w:tcPr>
            <w:tcW w:w="3232" w:type="dxa"/>
            <w:tcBorders>
              <w:top w:val="single" w:sz="4" w:space="0" w:color="auto"/>
            </w:tcBorders>
          </w:tcPr>
          <w:p w:rsidR="00C97017" w:rsidRDefault="00C97017" w:rsidP="00AA3E2D">
            <w:r>
              <w:t>LR x</w:t>
            </w:r>
            <w:r>
              <w:rPr>
                <w:vertAlign w:val="superscript"/>
              </w:rPr>
              <w:t>2</w:t>
            </w:r>
            <w:r>
              <w:t xml:space="preserve"> </w:t>
            </w:r>
          </w:p>
          <w:p w:rsidR="00C97017" w:rsidRPr="00F35F14" w:rsidRDefault="00C97017" w:rsidP="00AA3E2D"/>
        </w:tc>
        <w:tc>
          <w:tcPr>
            <w:tcW w:w="3544" w:type="dxa"/>
            <w:tcBorders>
              <w:top w:val="single" w:sz="4" w:space="0" w:color="auto"/>
            </w:tcBorders>
          </w:tcPr>
          <w:p w:rsidR="00C97017" w:rsidRDefault="00C97017" w:rsidP="00AA3E2D">
            <w:r>
              <w:t>126.587</w:t>
            </w:r>
          </w:p>
        </w:tc>
        <w:tc>
          <w:tcPr>
            <w:tcW w:w="3827" w:type="dxa"/>
            <w:tcBorders>
              <w:top w:val="single" w:sz="4" w:space="0" w:color="auto"/>
            </w:tcBorders>
          </w:tcPr>
          <w:p w:rsidR="00C97017" w:rsidRDefault="00C97017" w:rsidP="00AA3E2D">
            <w:r>
              <w:t>90.132</w:t>
            </w:r>
          </w:p>
        </w:tc>
      </w:tr>
      <w:tr w:rsidR="00C97017" w:rsidTr="00AA3E2D">
        <w:tc>
          <w:tcPr>
            <w:tcW w:w="3232" w:type="dxa"/>
          </w:tcPr>
          <w:p w:rsidR="00C97017" w:rsidRDefault="00C97017" w:rsidP="00AA3E2D">
            <w:pPr>
              <w:rPr>
                <w:vertAlign w:val="superscript"/>
              </w:rPr>
            </w:pPr>
            <w:r>
              <w:t>Prob&gt; x</w:t>
            </w:r>
            <w:r>
              <w:rPr>
                <w:vertAlign w:val="superscript"/>
              </w:rPr>
              <w:t>2</w:t>
            </w:r>
          </w:p>
          <w:p w:rsidR="00C97017" w:rsidRDefault="00C97017" w:rsidP="00AA3E2D"/>
        </w:tc>
        <w:tc>
          <w:tcPr>
            <w:tcW w:w="3544" w:type="dxa"/>
          </w:tcPr>
          <w:p w:rsidR="00C97017" w:rsidRDefault="00C97017" w:rsidP="00AA3E2D">
            <w:r>
              <w:t>0.000</w:t>
            </w:r>
          </w:p>
        </w:tc>
        <w:tc>
          <w:tcPr>
            <w:tcW w:w="3827" w:type="dxa"/>
          </w:tcPr>
          <w:p w:rsidR="00C97017" w:rsidRDefault="00C97017" w:rsidP="00AA3E2D">
            <w:r>
              <w:t>0.000</w:t>
            </w:r>
          </w:p>
        </w:tc>
      </w:tr>
      <w:tr w:rsidR="00C97017" w:rsidTr="00AA3E2D">
        <w:tc>
          <w:tcPr>
            <w:tcW w:w="3232" w:type="dxa"/>
          </w:tcPr>
          <w:p w:rsidR="00C97017" w:rsidRDefault="00C97017" w:rsidP="00AA3E2D">
            <w:pPr>
              <w:rPr>
                <w:vertAlign w:val="superscript"/>
              </w:rPr>
            </w:pPr>
            <w:r>
              <w:t>Pseudo R</w:t>
            </w:r>
            <w:r>
              <w:rPr>
                <w:vertAlign w:val="superscript"/>
              </w:rPr>
              <w:t>2</w:t>
            </w:r>
          </w:p>
          <w:p w:rsidR="00C97017" w:rsidRPr="00F35F14" w:rsidRDefault="00C97017" w:rsidP="00AA3E2D">
            <w:pPr>
              <w:rPr>
                <w:vertAlign w:val="superscript"/>
              </w:rPr>
            </w:pPr>
          </w:p>
        </w:tc>
        <w:tc>
          <w:tcPr>
            <w:tcW w:w="3544" w:type="dxa"/>
          </w:tcPr>
          <w:p w:rsidR="00C97017" w:rsidRDefault="00C97017" w:rsidP="00AA3E2D">
            <w:r>
              <w:t>0.423</w:t>
            </w:r>
          </w:p>
        </w:tc>
        <w:tc>
          <w:tcPr>
            <w:tcW w:w="3827" w:type="dxa"/>
          </w:tcPr>
          <w:p w:rsidR="00C97017" w:rsidRDefault="00C97017" w:rsidP="00AA3E2D">
            <w:r>
              <w:t>0.325</w:t>
            </w:r>
          </w:p>
        </w:tc>
      </w:tr>
      <w:tr w:rsidR="00C97017" w:rsidTr="00AA3E2D">
        <w:tc>
          <w:tcPr>
            <w:tcW w:w="3232" w:type="dxa"/>
          </w:tcPr>
          <w:p w:rsidR="00C97017" w:rsidRDefault="00C97017" w:rsidP="00AA3E2D">
            <w:r>
              <w:t>Log likelihood</w:t>
            </w:r>
          </w:p>
          <w:p w:rsidR="00C97017" w:rsidRDefault="00C97017" w:rsidP="00AA3E2D"/>
        </w:tc>
        <w:tc>
          <w:tcPr>
            <w:tcW w:w="3544" w:type="dxa"/>
          </w:tcPr>
          <w:p w:rsidR="00C97017" w:rsidRDefault="00C97017" w:rsidP="00AA3E2D">
            <w:r>
              <w:t>-86.134</w:t>
            </w:r>
          </w:p>
        </w:tc>
        <w:tc>
          <w:tcPr>
            <w:tcW w:w="3827" w:type="dxa"/>
          </w:tcPr>
          <w:p w:rsidR="00C97017" w:rsidRDefault="00C97017" w:rsidP="00AA3E2D">
            <w:r>
              <w:t>-93.575</w:t>
            </w:r>
          </w:p>
        </w:tc>
      </w:tr>
      <w:tr w:rsidR="00C97017" w:rsidTr="00AA3E2D">
        <w:tc>
          <w:tcPr>
            <w:tcW w:w="3232" w:type="dxa"/>
            <w:tcBorders>
              <w:bottom w:val="single" w:sz="4" w:space="0" w:color="auto"/>
            </w:tcBorders>
          </w:tcPr>
          <w:p w:rsidR="00C97017" w:rsidRDefault="00C97017" w:rsidP="00AA3E2D">
            <w:r>
              <w:t>Observations</w:t>
            </w:r>
          </w:p>
          <w:p w:rsidR="00C97017" w:rsidRDefault="00C97017" w:rsidP="00AA3E2D"/>
        </w:tc>
        <w:tc>
          <w:tcPr>
            <w:tcW w:w="3544" w:type="dxa"/>
            <w:tcBorders>
              <w:bottom w:val="single" w:sz="4" w:space="0" w:color="auto"/>
            </w:tcBorders>
          </w:tcPr>
          <w:p w:rsidR="00C97017" w:rsidRDefault="00C97017" w:rsidP="00AA3E2D">
            <w:r>
              <w:t>103</w:t>
            </w:r>
          </w:p>
        </w:tc>
        <w:tc>
          <w:tcPr>
            <w:tcW w:w="3827" w:type="dxa"/>
            <w:tcBorders>
              <w:bottom w:val="single" w:sz="4" w:space="0" w:color="auto"/>
            </w:tcBorders>
          </w:tcPr>
          <w:p w:rsidR="00C97017" w:rsidRDefault="00C97017" w:rsidP="00AA3E2D">
            <w:r>
              <w:t>103</w:t>
            </w:r>
          </w:p>
        </w:tc>
      </w:tr>
      <w:tr w:rsidR="00AA062B" w:rsidTr="00AA3E2D">
        <w:trPr>
          <w:trHeight w:val="230"/>
        </w:trPr>
        <w:tc>
          <w:tcPr>
            <w:tcW w:w="10603" w:type="dxa"/>
            <w:gridSpan w:val="3"/>
            <w:tcBorders>
              <w:top w:val="single" w:sz="4" w:space="0" w:color="auto"/>
            </w:tcBorders>
          </w:tcPr>
          <w:p w:rsidR="00AA062B" w:rsidRPr="00547BA8" w:rsidRDefault="00E14B81" w:rsidP="00AA3E2D">
            <w:pPr>
              <w:rPr>
                <w:i/>
              </w:rPr>
            </w:pPr>
            <w:r>
              <w:rPr>
                <w:i/>
              </w:rPr>
              <w:t>Notes: (</w:t>
            </w:r>
            <w:r w:rsidRPr="00E14B81">
              <w:rPr>
                <w:i/>
                <w:vertAlign w:val="superscript"/>
              </w:rPr>
              <w:t>#</w:t>
            </w:r>
            <w:r w:rsidR="00D51C87" w:rsidRPr="00D51C87">
              <w:rPr>
                <w:i/>
              </w:rPr>
              <w:t xml:space="preserve">)Bisexuals otherwise. Standard errors are in parentheses. (*) Significant at the 1 % level. </w:t>
            </w:r>
          </w:p>
        </w:tc>
      </w:tr>
    </w:tbl>
    <w:p w:rsidR="00CB5377" w:rsidRPr="00CB5377" w:rsidRDefault="00CB5377" w:rsidP="00CB5377"/>
    <w:p w:rsidR="003914F2" w:rsidRDefault="003914F2" w:rsidP="00CB5377"/>
    <w:p w:rsidR="0014725C" w:rsidRDefault="0014725C" w:rsidP="00CB5377">
      <w:pPr>
        <w:sectPr w:rsidR="0014725C" w:rsidSect="003914F2">
          <w:pgSz w:w="11906" w:h="16838"/>
          <w:pgMar w:top="1134" w:right="1134" w:bottom="1134" w:left="1134" w:header="709" w:footer="709" w:gutter="0"/>
          <w:cols w:space="708"/>
          <w:docGrid w:linePitch="360"/>
        </w:sectPr>
      </w:pPr>
    </w:p>
    <w:p w:rsidR="00395D1C" w:rsidRDefault="00395D1C" w:rsidP="00CB5377">
      <w:pPr>
        <w:tabs>
          <w:tab w:val="left" w:pos="3735"/>
        </w:tabs>
      </w:pPr>
    </w:p>
    <w:tbl>
      <w:tblPr>
        <w:tblStyle w:val="TableGrid"/>
        <w:tblpPr w:leftFromText="180" w:rightFromText="180" w:horzAnchor="margin" w:tblpXSpec="center" w:tblpY="484"/>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708"/>
      </w:tblGrid>
      <w:tr w:rsidR="009F6385" w:rsidTr="00D727F6">
        <w:tc>
          <w:tcPr>
            <w:tcW w:w="10195" w:type="dxa"/>
            <w:gridSpan w:val="3"/>
            <w:tcBorders>
              <w:bottom w:val="single" w:sz="4" w:space="0" w:color="auto"/>
            </w:tcBorders>
          </w:tcPr>
          <w:p w:rsidR="009F6385" w:rsidRPr="009A3AA5" w:rsidRDefault="009F6385" w:rsidP="000971E9">
            <w:pPr>
              <w:rPr>
                <w:b/>
              </w:rPr>
            </w:pPr>
            <w:r>
              <w:rPr>
                <w:b/>
              </w:rPr>
              <w:t>Table 7</w:t>
            </w:r>
            <w:r w:rsidRPr="009A3AA5">
              <w:rPr>
                <w:b/>
              </w:rPr>
              <w:t xml:space="preserve">: </w:t>
            </w:r>
            <w:r w:rsidR="00AA3E2D">
              <w:rPr>
                <w:b/>
              </w:rPr>
              <w:t>Order Probit models</w:t>
            </w:r>
            <w:r w:rsidRPr="009A3AA5">
              <w:rPr>
                <w:b/>
              </w:rPr>
              <w:t xml:space="preserve">; </w:t>
            </w:r>
            <w:r w:rsidR="00DE7EBC">
              <w:rPr>
                <w:b/>
              </w:rPr>
              <w:t xml:space="preserve">Gay/bisexual men </w:t>
            </w:r>
            <w:r>
              <w:rPr>
                <w:b/>
              </w:rPr>
              <w:t>and lesbian/bisexual wom</w:t>
            </w:r>
            <w:r w:rsidRPr="009A3AA5">
              <w:rPr>
                <w:b/>
              </w:rPr>
              <w:t xml:space="preserve">en  </w:t>
            </w:r>
          </w:p>
        </w:tc>
      </w:tr>
      <w:tr w:rsidR="009F6385" w:rsidTr="00D727F6">
        <w:tc>
          <w:tcPr>
            <w:tcW w:w="10195" w:type="dxa"/>
            <w:gridSpan w:val="3"/>
            <w:tcBorders>
              <w:top w:val="single" w:sz="4" w:space="0" w:color="auto"/>
            </w:tcBorders>
          </w:tcPr>
          <w:p w:rsidR="009F6385" w:rsidRDefault="009F6385" w:rsidP="000971E9"/>
        </w:tc>
      </w:tr>
      <w:tr w:rsidR="00D727F6" w:rsidTr="00D727F6">
        <w:tc>
          <w:tcPr>
            <w:tcW w:w="2943" w:type="dxa"/>
            <w:tcBorders>
              <w:bottom w:val="single" w:sz="4" w:space="0" w:color="auto"/>
            </w:tcBorders>
          </w:tcPr>
          <w:p w:rsidR="00D727F6" w:rsidRDefault="00D727F6" w:rsidP="000971E9"/>
        </w:tc>
        <w:tc>
          <w:tcPr>
            <w:tcW w:w="3544" w:type="dxa"/>
            <w:tcBorders>
              <w:bottom w:val="single" w:sz="4" w:space="0" w:color="auto"/>
            </w:tcBorders>
          </w:tcPr>
          <w:p w:rsidR="00D727F6" w:rsidRDefault="00D727F6" w:rsidP="000971E9">
            <w:r>
              <w:t>Model I</w:t>
            </w:r>
          </w:p>
          <w:p w:rsidR="00D727F6" w:rsidRDefault="00D727F6" w:rsidP="000971E9">
            <w:r>
              <w:t>School-age bullying</w:t>
            </w:r>
          </w:p>
          <w:p w:rsidR="00D727F6" w:rsidRDefault="00D727F6" w:rsidP="000971E9"/>
        </w:tc>
        <w:tc>
          <w:tcPr>
            <w:tcW w:w="3708" w:type="dxa"/>
            <w:tcBorders>
              <w:bottom w:val="single" w:sz="4" w:space="0" w:color="auto"/>
            </w:tcBorders>
          </w:tcPr>
          <w:p w:rsidR="00D727F6" w:rsidRDefault="00D727F6" w:rsidP="000971E9">
            <w:r>
              <w:t>Model II</w:t>
            </w:r>
          </w:p>
          <w:p w:rsidR="00D727F6" w:rsidRDefault="00D727F6" w:rsidP="000971E9">
            <w:r>
              <w:t>Workplace bullying</w:t>
            </w:r>
          </w:p>
          <w:p w:rsidR="00D727F6" w:rsidRPr="00BB4973" w:rsidRDefault="00D727F6" w:rsidP="000971E9"/>
        </w:tc>
      </w:tr>
      <w:tr w:rsidR="00D727F6" w:rsidTr="00D727F6">
        <w:tc>
          <w:tcPr>
            <w:tcW w:w="2943" w:type="dxa"/>
            <w:tcBorders>
              <w:top w:val="single" w:sz="4" w:space="0" w:color="auto"/>
            </w:tcBorders>
          </w:tcPr>
          <w:p w:rsidR="00D727F6" w:rsidRDefault="00D727F6" w:rsidP="000971E9">
            <w:r>
              <w:t>Family support</w:t>
            </w:r>
          </w:p>
        </w:tc>
        <w:tc>
          <w:tcPr>
            <w:tcW w:w="3544" w:type="dxa"/>
            <w:tcBorders>
              <w:top w:val="single" w:sz="4" w:space="0" w:color="auto"/>
            </w:tcBorders>
          </w:tcPr>
          <w:p w:rsidR="00D727F6" w:rsidRDefault="00D727F6" w:rsidP="000971E9">
            <w:r>
              <w:t>-0.940</w:t>
            </w:r>
          </w:p>
          <w:p w:rsidR="00D727F6" w:rsidRDefault="00D727F6" w:rsidP="000971E9">
            <w:r>
              <w:t>(0.095)*</w:t>
            </w:r>
          </w:p>
          <w:p w:rsidR="00D727F6" w:rsidRDefault="00D727F6" w:rsidP="000971E9"/>
        </w:tc>
        <w:tc>
          <w:tcPr>
            <w:tcW w:w="3708" w:type="dxa"/>
            <w:tcBorders>
              <w:top w:val="single" w:sz="4" w:space="0" w:color="auto"/>
            </w:tcBorders>
          </w:tcPr>
          <w:p w:rsidR="00D727F6" w:rsidRDefault="00D727F6" w:rsidP="000971E9">
            <w:r>
              <w:t>-0.552</w:t>
            </w:r>
          </w:p>
          <w:p w:rsidR="00D727F6" w:rsidRDefault="00D727F6" w:rsidP="000971E9">
            <w:r>
              <w:t>(0.091)*</w:t>
            </w:r>
          </w:p>
        </w:tc>
      </w:tr>
      <w:tr w:rsidR="00D727F6" w:rsidTr="00D727F6">
        <w:tc>
          <w:tcPr>
            <w:tcW w:w="2943" w:type="dxa"/>
          </w:tcPr>
          <w:p w:rsidR="00D727F6" w:rsidRPr="009B6C77" w:rsidRDefault="00D727F6" w:rsidP="000971E9">
            <w:pPr>
              <w:rPr>
                <w:vertAlign w:val="superscript"/>
              </w:rPr>
            </w:pPr>
            <w:r>
              <w:t>Gay or lesbians</w:t>
            </w:r>
            <w:r w:rsidR="009B6C77">
              <w:rPr>
                <w:vertAlign w:val="superscript"/>
              </w:rPr>
              <w:t>#</w:t>
            </w:r>
          </w:p>
        </w:tc>
        <w:tc>
          <w:tcPr>
            <w:tcW w:w="3544" w:type="dxa"/>
          </w:tcPr>
          <w:p w:rsidR="00D727F6" w:rsidRDefault="00D727F6" w:rsidP="000971E9">
            <w:r>
              <w:t>0.065</w:t>
            </w:r>
          </w:p>
          <w:p w:rsidR="00D727F6" w:rsidRDefault="00D727F6" w:rsidP="000971E9">
            <w:r>
              <w:t>(0.192)</w:t>
            </w:r>
          </w:p>
          <w:p w:rsidR="00D727F6" w:rsidRDefault="00D727F6" w:rsidP="000971E9"/>
        </w:tc>
        <w:tc>
          <w:tcPr>
            <w:tcW w:w="3708" w:type="dxa"/>
          </w:tcPr>
          <w:p w:rsidR="00D727F6" w:rsidRDefault="00D727F6" w:rsidP="000971E9">
            <w:r>
              <w:t>0.231</w:t>
            </w:r>
          </w:p>
          <w:p w:rsidR="00D727F6" w:rsidRDefault="00D727F6" w:rsidP="000971E9">
            <w:r>
              <w:t>(0.197)</w:t>
            </w:r>
          </w:p>
        </w:tc>
      </w:tr>
      <w:tr w:rsidR="00D727F6" w:rsidTr="00D727F6">
        <w:tc>
          <w:tcPr>
            <w:tcW w:w="2943" w:type="dxa"/>
          </w:tcPr>
          <w:p w:rsidR="00D727F6" w:rsidRDefault="00D727F6" w:rsidP="000971E9">
            <w:r>
              <w:t>Men</w:t>
            </w:r>
          </w:p>
          <w:p w:rsidR="00D727F6" w:rsidRDefault="00D727F6" w:rsidP="000971E9"/>
          <w:p w:rsidR="00D727F6" w:rsidRDefault="00D727F6" w:rsidP="000971E9"/>
        </w:tc>
        <w:tc>
          <w:tcPr>
            <w:tcW w:w="3544" w:type="dxa"/>
          </w:tcPr>
          <w:p w:rsidR="00D727F6" w:rsidRDefault="00D727F6" w:rsidP="000971E9">
            <w:r>
              <w:t>0.405</w:t>
            </w:r>
          </w:p>
          <w:p w:rsidR="00D727F6" w:rsidRDefault="00D727F6" w:rsidP="000971E9">
            <w:r>
              <w:t>(0.184)**</w:t>
            </w:r>
          </w:p>
        </w:tc>
        <w:tc>
          <w:tcPr>
            <w:tcW w:w="3708" w:type="dxa"/>
          </w:tcPr>
          <w:p w:rsidR="00D727F6" w:rsidRDefault="00D727F6" w:rsidP="000971E9">
            <w:r>
              <w:t>0.442</w:t>
            </w:r>
          </w:p>
          <w:p w:rsidR="00D727F6" w:rsidRDefault="00D727F6" w:rsidP="000971E9">
            <w:r>
              <w:t>(0.188)**</w:t>
            </w:r>
          </w:p>
        </w:tc>
      </w:tr>
      <w:tr w:rsidR="00D727F6" w:rsidTr="00D727F6">
        <w:tc>
          <w:tcPr>
            <w:tcW w:w="2943" w:type="dxa"/>
          </w:tcPr>
          <w:p w:rsidR="00D727F6" w:rsidRDefault="00D727F6" w:rsidP="000971E9">
            <w:r>
              <w:t>Men x f</w:t>
            </w:r>
            <w:r w:rsidRPr="009A59D0">
              <w:t>amily support</w:t>
            </w:r>
          </w:p>
          <w:p w:rsidR="00D727F6" w:rsidRDefault="00D727F6" w:rsidP="000971E9"/>
        </w:tc>
        <w:tc>
          <w:tcPr>
            <w:tcW w:w="3544" w:type="dxa"/>
          </w:tcPr>
          <w:p w:rsidR="00D727F6" w:rsidRDefault="00D727F6" w:rsidP="000971E9">
            <w:r>
              <w:t>-0.334</w:t>
            </w:r>
          </w:p>
          <w:p w:rsidR="00D727F6" w:rsidRDefault="00D727F6" w:rsidP="000971E9">
            <w:r>
              <w:t>(0.137)**</w:t>
            </w:r>
          </w:p>
          <w:p w:rsidR="00D727F6" w:rsidRDefault="00D727F6" w:rsidP="000971E9"/>
        </w:tc>
        <w:tc>
          <w:tcPr>
            <w:tcW w:w="3708" w:type="dxa"/>
          </w:tcPr>
          <w:p w:rsidR="00D727F6" w:rsidRDefault="00D727F6" w:rsidP="000971E9">
            <w:r>
              <w:t>-0.060</w:t>
            </w:r>
          </w:p>
          <w:p w:rsidR="00D727F6" w:rsidRDefault="00D727F6" w:rsidP="000971E9">
            <w:r>
              <w:t>(0.138)</w:t>
            </w:r>
          </w:p>
        </w:tc>
      </w:tr>
      <w:tr w:rsidR="00D727F6" w:rsidTr="00D727F6">
        <w:tc>
          <w:tcPr>
            <w:tcW w:w="2943" w:type="dxa"/>
          </w:tcPr>
          <w:p w:rsidR="00D727F6" w:rsidRDefault="00D727F6" w:rsidP="000971E9">
            <w:r>
              <w:t>Age</w:t>
            </w:r>
          </w:p>
        </w:tc>
        <w:tc>
          <w:tcPr>
            <w:tcW w:w="3544" w:type="dxa"/>
          </w:tcPr>
          <w:p w:rsidR="00D727F6" w:rsidRDefault="00D727F6" w:rsidP="000971E9">
            <w:r>
              <w:t>-</w:t>
            </w:r>
          </w:p>
        </w:tc>
        <w:tc>
          <w:tcPr>
            <w:tcW w:w="3708" w:type="dxa"/>
          </w:tcPr>
          <w:p w:rsidR="00D727F6" w:rsidRDefault="00D727F6" w:rsidP="000971E9">
            <w:r>
              <w:t>0.052</w:t>
            </w:r>
          </w:p>
          <w:p w:rsidR="00D727F6" w:rsidRDefault="00D727F6" w:rsidP="000971E9">
            <w:r>
              <w:t>(0.024)**</w:t>
            </w:r>
          </w:p>
          <w:p w:rsidR="00D727F6" w:rsidRDefault="00D727F6" w:rsidP="000971E9"/>
        </w:tc>
      </w:tr>
      <w:tr w:rsidR="00D727F6" w:rsidTr="00D727F6">
        <w:tc>
          <w:tcPr>
            <w:tcW w:w="2943" w:type="dxa"/>
          </w:tcPr>
          <w:p w:rsidR="00D727F6" w:rsidRDefault="00D727F6" w:rsidP="000971E9">
            <w:r>
              <w:t>Higher education</w:t>
            </w:r>
          </w:p>
          <w:p w:rsidR="00D727F6" w:rsidRDefault="00D727F6" w:rsidP="000971E9"/>
        </w:tc>
        <w:tc>
          <w:tcPr>
            <w:tcW w:w="3544" w:type="dxa"/>
          </w:tcPr>
          <w:p w:rsidR="00D727F6" w:rsidRDefault="00D727F6" w:rsidP="000971E9">
            <w:r>
              <w:t>-</w:t>
            </w:r>
          </w:p>
        </w:tc>
        <w:tc>
          <w:tcPr>
            <w:tcW w:w="3708" w:type="dxa"/>
          </w:tcPr>
          <w:p w:rsidR="00D727F6" w:rsidRDefault="00D727F6" w:rsidP="000971E9">
            <w:r>
              <w:t>-0.021</w:t>
            </w:r>
          </w:p>
          <w:p w:rsidR="00D727F6" w:rsidRDefault="00D727F6" w:rsidP="000971E9">
            <w:r>
              <w:t>(0.194)</w:t>
            </w:r>
          </w:p>
          <w:p w:rsidR="00D727F6" w:rsidRDefault="00D727F6" w:rsidP="000971E9"/>
        </w:tc>
      </w:tr>
      <w:tr w:rsidR="00D727F6" w:rsidTr="00D727F6">
        <w:tc>
          <w:tcPr>
            <w:tcW w:w="2943" w:type="dxa"/>
          </w:tcPr>
          <w:p w:rsidR="00D727F6" w:rsidRDefault="00D727F6" w:rsidP="000971E9">
            <w:r w:rsidRPr="0014725C">
              <w:t>Working experience</w:t>
            </w:r>
          </w:p>
        </w:tc>
        <w:tc>
          <w:tcPr>
            <w:tcW w:w="3544" w:type="dxa"/>
          </w:tcPr>
          <w:p w:rsidR="00D727F6" w:rsidRDefault="00D727F6" w:rsidP="000971E9">
            <w:r>
              <w:t>-</w:t>
            </w:r>
          </w:p>
        </w:tc>
        <w:tc>
          <w:tcPr>
            <w:tcW w:w="3708" w:type="dxa"/>
          </w:tcPr>
          <w:p w:rsidR="00D727F6" w:rsidRDefault="00D727F6" w:rsidP="000971E9">
            <w:r>
              <w:t>0.037</w:t>
            </w:r>
          </w:p>
          <w:p w:rsidR="00D727F6" w:rsidRDefault="00D727F6" w:rsidP="000971E9">
            <w:r>
              <w:t>(0.026)</w:t>
            </w:r>
          </w:p>
          <w:p w:rsidR="00D727F6" w:rsidRDefault="00D727F6" w:rsidP="000971E9"/>
        </w:tc>
      </w:tr>
      <w:tr w:rsidR="00D727F6" w:rsidTr="00D727F6">
        <w:tc>
          <w:tcPr>
            <w:tcW w:w="2943" w:type="dxa"/>
          </w:tcPr>
          <w:p w:rsidR="00D727F6" w:rsidRDefault="00D727F6" w:rsidP="000971E9">
            <w:r>
              <w:t>Occupations controls</w:t>
            </w:r>
          </w:p>
          <w:p w:rsidR="00D727F6" w:rsidRDefault="00D727F6" w:rsidP="000971E9"/>
        </w:tc>
        <w:tc>
          <w:tcPr>
            <w:tcW w:w="3544" w:type="dxa"/>
          </w:tcPr>
          <w:p w:rsidR="00D727F6" w:rsidRDefault="00D727F6" w:rsidP="000971E9">
            <w:r>
              <w:t>-</w:t>
            </w:r>
          </w:p>
        </w:tc>
        <w:tc>
          <w:tcPr>
            <w:tcW w:w="3708" w:type="dxa"/>
          </w:tcPr>
          <w:p w:rsidR="00D727F6" w:rsidRDefault="00D727F6" w:rsidP="000971E9">
            <w:r>
              <w:t>yes</w:t>
            </w:r>
          </w:p>
        </w:tc>
      </w:tr>
      <w:tr w:rsidR="00D727F6" w:rsidTr="00D727F6">
        <w:tc>
          <w:tcPr>
            <w:tcW w:w="2943" w:type="dxa"/>
          </w:tcPr>
          <w:p w:rsidR="00D727F6" w:rsidRDefault="00D727F6" w:rsidP="000971E9">
            <w:r>
              <w:t>Cities controls</w:t>
            </w:r>
          </w:p>
          <w:p w:rsidR="00D727F6" w:rsidRDefault="00D727F6" w:rsidP="000971E9"/>
        </w:tc>
        <w:tc>
          <w:tcPr>
            <w:tcW w:w="3544" w:type="dxa"/>
          </w:tcPr>
          <w:p w:rsidR="00D727F6" w:rsidRDefault="00D727F6" w:rsidP="000971E9">
            <w:r>
              <w:t>yes</w:t>
            </w:r>
          </w:p>
        </w:tc>
        <w:tc>
          <w:tcPr>
            <w:tcW w:w="3708" w:type="dxa"/>
          </w:tcPr>
          <w:p w:rsidR="00D727F6" w:rsidRDefault="00D727F6" w:rsidP="000971E9">
            <w:r>
              <w:t>yes</w:t>
            </w:r>
          </w:p>
        </w:tc>
      </w:tr>
      <w:tr w:rsidR="00D727F6" w:rsidTr="00D727F6">
        <w:tc>
          <w:tcPr>
            <w:tcW w:w="2943" w:type="dxa"/>
          </w:tcPr>
          <w:p w:rsidR="00D727F6" w:rsidRDefault="00D727F6" w:rsidP="000971E9">
            <w:r>
              <w:t>Events controls</w:t>
            </w:r>
          </w:p>
          <w:p w:rsidR="00D727F6" w:rsidRDefault="00D727F6" w:rsidP="000971E9"/>
        </w:tc>
        <w:tc>
          <w:tcPr>
            <w:tcW w:w="3544" w:type="dxa"/>
          </w:tcPr>
          <w:p w:rsidR="00D727F6" w:rsidRDefault="00D727F6" w:rsidP="000971E9">
            <w:r>
              <w:t>yes</w:t>
            </w:r>
          </w:p>
        </w:tc>
        <w:tc>
          <w:tcPr>
            <w:tcW w:w="3708" w:type="dxa"/>
          </w:tcPr>
          <w:p w:rsidR="00D727F6" w:rsidRDefault="00D727F6" w:rsidP="000971E9">
            <w:r>
              <w:t>yes</w:t>
            </w:r>
          </w:p>
        </w:tc>
      </w:tr>
      <w:tr w:rsidR="00D727F6" w:rsidTr="00D727F6">
        <w:tc>
          <w:tcPr>
            <w:tcW w:w="2943" w:type="dxa"/>
          </w:tcPr>
          <w:p w:rsidR="00D727F6" w:rsidRDefault="00D727F6" w:rsidP="000971E9">
            <w:r>
              <w:t>LR x</w:t>
            </w:r>
            <w:r>
              <w:rPr>
                <w:vertAlign w:val="superscript"/>
              </w:rPr>
              <w:t>2</w:t>
            </w:r>
            <w:r>
              <w:t xml:space="preserve"> </w:t>
            </w:r>
          </w:p>
          <w:p w:rsidR="00D727F6" w:rsidRPr="00F35F14" w:rsidRDefault="00D727F6" w:rsidP="000971E9"/>
        </w:tc>
        <w:tc>
          <w:tcPr>
            <w:tcW w:w="3544" w:type="dxa"/>
          </w:tcPr>
          <w:p w:rsidR="00D727F6" w:rsidRDefault="00D727F6" w:rsidP="000971E9">
            <w:r>
              <w:t>236.792</w:t>
            </w:r>
          </w:p>
        </w:tc>
        <w:tc>
          <w:tcPr>
            <w:tcW w:w="3708" w:type="dxa"/>
          </w:tcPr>
          <w:p w:rsidR="00D727F6" w:rsidRDefault="00D727F6" w:rsidP="000971E9">
            <w:r>
              <w:t>249.881</w:t>
            </w:r>
          </w:p>
        </w:tc>
      </w:tr>
      <w:tr w:rsidR="00D727F6" w:rsidTr="00D727F6">
        <w:tc>
          <w:tcPr>
            <w:tcW w:w="2943" w:type="dxa"/>
          </w:tcPr>
          <w:p w:rsidR="00D727F6" w:rsidRDefault="00D727F6" w:rsidP="000971E9">
            <w:pPr>
              <w:rPr>
                <w:vertAlign w:val="superscript"/>
              </w:rPr>
            </w:pPr>
            <w:r>
              <w:t>Prob&gt; x</w:t>
            </w:r>
            <w:r>
              <w:rPr>
                <w:vertAlign w:val="superscript"/>
              </w:rPr>
              <w:t>2</w:t>
            </w:r>
          </w:p>
          <w:p w:rsidR="00D727F6" w:rsidRDefault="00D727F6" w:rsidP="000971E9"/>
        </w:tc>
        <w:tc>
          <w:tcPr>
            <w:tcW w:w="3544" w:type="dxa"/>
          </w:tcPr>
          <w:p w:rsidR="00D727F6" w:rsidRDefault="00D727F6" w:rsidP="000971E9">
            <w:r>
              <w:t>0.000</w:t>
            </w:r>
          </w:p>
        </w:tc>
        <w:tc>
          <w:tcPr>
            <w:tcW w:w="3708" w:type="dxa"/>
          </w:tcPr>
          <w:p w:rsidR="00D727F6" w:rsidRDefault="00D727F6" w:rsidP="000971E9">
            <w:r>
              <w:t>0.000</w:t>
            </w:r>
          </w:p>
        </w:tc>
      </w:tr>
      <w:tr w:rsidR="00D727F6" w:rsidTr="00D727F6">
        <w:tc>
          <w:tcPr>
            <w:tcW w:w="2943" w:type="dxa"/>
          </w:tcPr>
          <w:p w:rsidR="00D727F6" w:rsidRDefault="00D727F6" w:rsidP="000971E9">
            <w:pPr>
              <w:rPr>
                <w:vertAlign w:val="superscript"/>
              </w:rPr>
            </w:pPr>
            <w:r>
              <w:t>Pseudo R</w:t>
            </w:r>
            <w:r>
              <w:rPr>
                <w:vertAlign w:val="superscript"/>
              </w:rPr>
              <w:t>2</w:t>
            </w:r>
          </w:p>
          <w:p w:rsidR="00D727F6" w:rsidRPr="00F35F14" w:rsidRDefault="00D727F6" w:rsidP="000971E9">
            <w:pPr>
              <w:rPr>
                <w:vertAlign w:val="superscript"/>
              </w:rPr>
            </w:pPr>
          </w:p>
        </w:tc>
        <w:tc>
          <w:tcPr>
            <w:tcW w:w="3544" w:type="dxa"/>
          </w:tcPr>
          <w:p w:rsidR="00D727F6" w:rsidRDefault="00D727F6" w:rsidP="000971E9">
            <w:r w:rsidRPr="001E742E">
              <w:t>0.289</w:t>
            </w:r>
          </w:p>
        </w:tc>
        <w:tc>
          <w:tcPr>
            <w:tcW w:w="3708" w:type="dxa"/>
          </w:tcPr>
          <w:p w:rsidR="00D727F6" w:rsidRDefault="00D727F6" w:rsidP="000971E9">
            <w:r>
              <w:t>0.309</w:t>
            </w:r>
          </w:p>
        </w:tc>
      </w:tr>
      <w:tr w:rsidR="00D727F6" w:rsidTr="00D727F6">
        <w:tc>
          <w:tcPr>
            <w:tcW w:w="2943" w:type="dxa"/>
          </w:tcPr>
          <w:p w:rsidR="00D727F6" w:rsidRDefault="00D727F6" w:rsidP="000971E9">
            <w:r>
              <w:t>Log likelihood</w:t>
            </w:r>
          </w:p>
          <w:p w:rsidR="00D727F6" w:rsidRDefault="00D727F6" w:rsidP="000971E9"/>
        </w:tc>
        <w:tc>
          <w:tcPr>
            <w:tcW w:w="3544" w:type="dxa"/>
          </w:tcPr>
          <w:p w:rsidR="00D727F6" w:rsidRDefault="00D727F6" w:rsidP="000971E9">
            <w:r>
              <w:t>-290.275</w:t>
            </w:r>
          </w:p>
        </w:tc>
        <w:tc>
          <w:tcPr>
            <w:tcW w:w="3708" w:type="dxa"/>
          </w:tcPr>
          <w:p w:rsidR="00D727F6" w:rsidRDefault="00D727F6" w:rsidP="000971E9">
            <w:r>
              <w:t>-278.573</w:t>
            </w:r>
          </w:p>
        </w:tc>
      </w:tr>
      <w:tr w:rsidR="00D727F6" w:rsidTr="00D727F6">
        <w:tc>
          <w:tcPr>
            <w:tcW w:w="2943" w:type="dxa"/>
            <w:tcBorders>
              <w:bottom w:val="single" w:sz="4" w:space="0" w:color="auto"/>
            </w:tcBorders>
          </w:tcPr>
          <w:p w:rsidR="00D727F6" w:rsidRDefault="00D727F6" w:rsidP="000971E9">
            <w:r>
              <w:t>Observations</w:t>
            </w:r>
          </w:p>
          <w:p w:rsidR="00D727F6" w:rsidRDefault="00D727F6" w:rsidP="000971E9"/>
        </w:tc>
        <w:tc>
          <w:tcPr>
            <w:tcW w:w="3544" w:type="dxa"/>
            <w:tcBorders>
              <w:bottom w:val="single" w:sz="4" w:space="0" w:color="auto"/>
            </w:tcBorders>
          </w:tcPr>
          <w:p w:rsidR="00D727F6" w:rsidRPr="00131D8B" w:rsidRDefault="00D727F6" w:rsidP="000971E9">
            <w:pPr>
              <w:rPr>
                <w:color w:val="FF0000"/>
              </w:rPr>
            </w:pPr>
            <w:r w:rsidRPr="00D727F6">
              <w:t>271</w:t>
            </w:r>
          </w:p>
        </w:tc>
        <w:tc>
          <w:tcPr>
            <w:tcW w:w="3708" w:type="dxa"/>
            <w:tcBorders>
              <w:bottom w:val="single" w:sz="4" w:space="0" w:color="auto"/>
            </w:tcBorders>
          </w:tcPr>
          <w:p w:rsidR="00D727F6" w:rsidRDefault="00D727F6" w:rsidP="000971E9">
            <w:r>
              <w:t>271</w:t>
            </w:r>
          </w:p>
        </w:tc>
      </w:tr>
      <w:tr w:rsidR="009F6385" w:rsidTr="00D727F6">
        <w:tc>
          <w:tcPr>
            <w:tcW w:w="10195" w:type="dxa"/>
            <w:gridSpan w:val="3"/>
            <w:tcBorders>
              <w:top w:val="single" w:sz="4" w:space="0" w:color="auto"/>
            </w:tcBorders>
          </w:tcPr>
          <w:p w:rsidR="009F6385" w:rsidRPr="00547BA8" w:rsidRDefault="009F6385" w:rsidP="00886653">
            <w:pPr>
              <w:rPr>
                <w:i/>
              </w:rPr>
            </w:pPr>
            <w:r w:rsidRPr="00E83827">
              <w:rPr>
                <w:i/>
              </w:rPr>
              <w:t>Notes:</w:t>
            </w:r>
            <w:r>
              <w:rPr>
                <w:i/>
              </w:rPr>
              <w:t xml:space="preserve"> </w:t>
            </w:r>
            <w:r w:rsidR="00D727F6">
              <w:rPr>
                <w:i/>
              </w:rPr>
              <w:t>(</w:t>
            </w:r>
            <w:r w:rsidR="00D727F6" w:rsidRPr="00D727F6">
              <w:rPr>
                <w:i/>
                <w:vertAlign w:val="superscript"/>
              </w:rPr>
              <w:t>#</w:t>
            </w:r>
            <w:r w:rsidR="00AA3E2D">
              <w:rPr>
                <w:i/>
              </w:rPr>
              <w:t xml:space="preserve">)Bisexuals otherwise. </w:t>
            </w:r>
            <w:r w:rsidRPr="002A3068">
              <w:rPr>
                <w:i/>
              </w:rPr>
              <w:t>Standard errors are in parentheses. (*) Significant at the 1 % level. (**) Significant at the 5 % level.</w:t>
            </w:r>
          </w:p>
        </w:tc>
      </w:tr>
    </w:tbl>
    <w:p w:rsidR="009F6385" w:rsidRDefault="009F6385" w:rsidP="00CB5377">
      <w:pPr>
        <w:tabs>
          <w:tab w:val="left" w:pos="3735"/>
        </w:tabs>
      </w:pPr>
    </w:p>
    <w:p w:rsidR="009F6385" w:rsidRDefault="009F6385" w:rsidP="00CB5377">
      <w:pPr>
        <w:tabs>
          <w:tab w:val="left" w:pos="3735"/>
        </w:tabs>
      </w:pPr>
    </w:p>
    <w:p w:rsidR="009F6385" w:rsidRDefault="009F6385" w:rsidP="00CB5377">
      <w:pPr>
        <w:tabs>
          <w:tab w:val="left" w:pos="3735"/>
        </w:tabs>
      </w:pPr>
    </w:p>
    <w:p w:rsidR="009F6385" w:rsidRDefault="009F6385" w:rsidP="00CB5377">
      <w:pPr>
        <w:tabs>
          <w:tab w:val="left" w:pos="3735"/>
        </w:tabs>
      </w:pPr>
    </w:p>
    <w:p w:rsidR="002849B2" w:rsidRPr="002849B2" w:rsidRDefault="002849B2" w:rsidP="00CB5377">
      <w:pPr>
        <w:tabs>
          <w:tab w:val="left" w:pos="3735"/>
        </w:tabs>
        <w:rPr>
          <w:lang w:val="en-US"/>
        </w:rPr>
      </w:pPr>
    </w:p>
    <w:sectPr w:rsidR="002849B2" w:rsidRPr="002849B2" w:rsidSect="00C16CB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1D" w:rsidRDefault="0025791D" w:rsidP="00A06D80">
      <w:r>
        <w:separator/>
      </w:r>
    </w:p>
  </w:endnote>
  <w:endnote w:type="continuationSeparator" w:id="0">
    <w:p w:rsidR="0025791D" w:rsidRDefault="0025791D" w:rsidP="00A0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13852"/>
      <w:docPartObj>
        <w:docPartGallery w:val="Page Numbers (Bottom of Page)"/>
        <w:docPartUnique/>
      </w:docPartObj>
    </w:sdtPr>
    <w:sdtEndPr>
      <w:rPr>
        <w:noProof/>
      </w:rPr>
    </w:sdtEndPr>
    <w:sdtContent>
      <w:p w:rsidR="0025791D" w:rsidRDefault="0025791D">
        <w:pPr>
          <w:pStyle w:val="Footer"/>
          <w:jc w:val="right"/>
        </w:pPr>
        <w:r>
          <w:fldChar w:fldCharType="begin"/>
        </w:r>
        <w:r>
          <w:instrText xml:space="preserve"> PAGE   \* MERGEFORMAT </w:instrText>
        </w:r>
        <w:r>
          <w:fldChar w:fldCharType="separate"/>
        </w:r>
        <w:r w:rsidR="00AA3E2D">
          <w:rPr>
            <w:noProof/>
          </w:rPr>
          <w:t>26</w:t>
        </w:r>
        <w:r>
          <w:rPr>
            <w:noProof/>
          </w:rPr>
          <w:fldChar w:fldCharType="end"/>
        </w:r>
      </w:p>
    </w:sdtContent>
  </w:sdt>
  <w:p w:rsidR="0025791D" w:rsidRDefault="0025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1D" w:rsidRDefault="0025791D" w:rsidP="00A06D80">
      <w:r>
        <w:separator/>
      </w:r>
    </w:p>
  </w:footnote>
  <w:footnote w:type="continuationSeparator" w:id="0">
    <w:p w:rsidR="0025791D" w:rsidRDefault="0025791D" w:rsidP="00A06D80">
      <w:r>
        <w:continuationSeparator/>
      </w:r>
    </w:p>
  </w:footnote>
  <w:footnote w:id="1">
    <w:p w:rsidR="0025791D" w:rsidRPr="000A1E13" w:rsidRDefault="0025791D" w:rsidP="00E469B1">
      <w:pPr>
        <w:pStyle w:val="FootnoteText"/>
        <w:spacing w:line="360" w:lineRule="auto"/>
        <w:rPr>
          <w:sz w:val="24"/>
          <w:szCs w:val="24"/>
          <w:lang w:val="en-US"/>
        </w:rPr>
      </w:pPr>
      <w:r w:rsidRPr="000A1E13">
        <w:rPr>
          <w:rStyle w:val="FootnoteReference"/>
        </w:rPr>
        <w:footnoteRef/>
      </w:r>
      <w:r w:rsidRPr="000A1E13">
        <w:rPr>
          <w:sz w:val="24"/>
          <w:szCs w:val="24"/>
          <w:lang w:val="en-US"/>
        </w:rPr>
        <w:t xml:space="preserve"> In this study, we did not focus on the gender identity literature. Workplace studies on biased treatments due to trans statuses can inform interested readers (Drydakis, 2017a; b; 2016). </w:t>
      </w:r>
    </w:p>
  </w:footnote>
  <w:footnote w:id="2">
    <w:p w:rsidR="0025791D" w:rsidRPr="000A1E13" w:rsidRDefault="0025791D" w:rsidP="00E469B1">
      <w:pPr>
        <w:pStyle w:val="FootnoteText"/>
        <w:spacing w:line="360" w:lineRule="auto"/>
        <w:rPr>
          <w:sz w:val="24"/>
          <w:szCs w:val="24"/>
          <w:lang w:val="en-US"/>
        </w:rPr>
      </w:pPr>
      <w:r w:rsidRPr="000A1E13">
        <w:rPr>
          <w:rStyle w:val="FootnoteReference"/>
        </w:rPr>
        <w:footnoteRef/>
      </w:r>
      <w:r w:rsidRPr="000A1E13">
        <w:rPr>
          <w:sz w:val="24"/>
          <w:szCs w:val="24"/>
          <w:lang w:val="en-US"/>
        </w:rPr>
        <w:t xml:space="preserve"> The question asked: ‘Did your family provide you with a supportive environment due to your minority sexual orientation during your school-age period (up to </w:t>
      </w:r>
      <w:r>
        <w:rPr>
          <w:sz w:val="24"/>
          <w:szCs w:val="24"/>
          <w:lang w:val="en-US"/>
        </w:rPr>
        <w:t>18</w:t>
      </w:r>
      <w:r w:rsidRPr="000A1E13">
        <w:rPr>
          <w:sz w:val="24"/>
          <w:szCs w:val="24"/>
          <w:lang w:val="en-US"/>
        </w:rPr>
        <w:t xml:space="preserve"> years old). By the term supportive environment</w:t>
      </w:r>
      <w:r>
        <w:rPr>
          <w:sz w:val="24"/>
          <w:szCs w:val="24"/>
          <w:lang w:val="en-US"/>
        </w:rPr>
        <w:t>,</w:t>
      </w:r>
      <w:r w:rsidRPr="000A1E13">
        <w:rPr>
          <w:sz w:val="24"/>
          <w:szCs w:val="24"/>
          <w:lang w:val="en-US"/>
        </w:rPr>
        <w:t xml:space="preserve"> we mean a warm family setting that enabled you to feel accepted and comfortable with your sexuality and you had family member(s) to stand by you during challenging times due to your sexuality’. The options </w:t>
      </w:r>
      <w:r>
        <w:rPr>
          <w:sz w:val="24"/>
          <w:szCs w:val="24"/>
          <w:lang w:val="en-US"/>
        </w:rPr>
        <w:t>for</w:t>
      </w:r>
      <w:r w:rsidRPr="000A1E13">
        <w:rPr>
          <w:sz w:val="24"/>
          <w:szCs w:val="24"/>
          <w:lang w:val="en-US"/>
        </w:rPr>
        <w:t xml:space="preserve"> this question were: Always, very often, sometimes, rarely, or never.</w:t>
      </w:r>
    </w:p>
  </w:footnote>
  <w:footnote w:id="3">
    <w:p w:rsidR="0025791D" w:rsidRPr="000A1E13" w:rsidRDefault="0025791D" w:rsidP="00E469B1">
      <w:pPr>
        <w:pStyle w:val="FootnoteText"/>
        <w:spacing w:line="360" w:lineRule="auto"/>
        <w:rPr>
          <w:sz w:val="24"/>
          <w:szCs w:val="24"/>
          <w:lang w:val="en-US"/>
        </w:rPr>
      </w:pPr>
      <w:r w:rsidRPr="000A1E13">
        <w:rPr>
          <w:rStyle w:val="FootnoteReference"/>
        </w:rPr>
        <w:footnoteRef/>
      </w:r>
      <w:r w:rsidRPr="000A1E13">
        <w:rPr>
          <w:sz w:val="24"/>
          <w:szCs w:val="24"/>
          <w:lang w:val="en-US"/>
        </w:rPr>
        <w:t xml:space="preserve"> The question asked: ‘Think back to your school days, up to </w:t>
      </w:r>
      <w:r>
        <w:rPr>
          <w:sz w:val="24"/>
          <w:szCs w:val="24"/>
          <w:lang w:val="en-US"/>
        </w:rPr>
        <w:t>18</w:t>
      </w:r>
      <w:r w:rsidRPr="000A1E13">
        <w:rPr>
          <w:sz w:val="24"/>
          <w:szCs w:val="24"/>
          <w:lang w:val="en-US"/>
        </w:rPr>
        <w:t xml:space="preserve"> years old. You may have been bullied by others due to your minority sexual orientation (i.e. for being gay, lesbian, bisexual or other sexual orientation minority) in some way, such as verbally (e.g. name calling), physically (e.g. hitting) </w:t>
      </w:r>
      <w:r>
        <w:rPr>
          <w:sz w:val="24"/>
          <w:szCs w:val="24"/>
          <w:lang w:val="en-US"/>
        </w:rPr>
        <w:t>or</w:t>
      </w:r>
      <w:r w:rsidRPr="000A1E13">
        <w:rPr>
          <w:sz w:val="24"/>
          <w:szCs w:val="24"/>
          <w:lang w:val="en-US"/>
        </w:rPr>
        <w:t xml:space="preserve"> socially (e.g. spreading rumours, social rejection, extortion, and isolation). Please, choose which best describes your own experience at workplace’. The options </w:t>
      </w:r>
      <w:r>
        <w:rPr>
          <w:sz w:val="24"/>
          <w:szCs w:val="24"/>
          <w:lang w:val="en-US"/>
        </w:rPr>
        <w:t>for</w:t>
      </w:r>
      <w:r w:rsidRPr="000A1E13">
        <w:rPr>
          <w:sz w:val="24"/>
          <w:szCs w:val="24"/>
          <w:lang w:val="en-US"/>
        </w:rPr>
        <w:t xml:space="preserve"> this question were: Never bullied, rarely bullied, sometimes bullied, frequently bullied, or constantly bullied.</w:t>
      </w:r>
    </w:p>
  </w:footnote>
  <w:footnote w:id="4">
    <w:p w:rsidR="0025791D" w:rsidRPr="000A1E13" w:rsidRDefault="0025791D" w:rsidP="00E469B1">
      <w:pPr>
        <w:pStyle w:val="FootnoteText"/>
        <w:spacing w:line="360" w:lineRule="auto"/>
        <w:rPr>
          <w:sz w:val="24"/>
          <w:szCs w:val="24"/>
          <w:lang w:val="en-US"/>
        </w:rPr>
      </w:pPr>
      <w:r w:rsidRPr="000A1E13">
        <w:rPr>
          <w:rStyle w:val="FootnoteReference"/>
        </w:rPr>
        <w:footnoteRef/>
      </w:r>
      <w:r w:rsidRPr="000A1E13">
        <w:rPr>
          <w:sz w:val="24"/>
          <w:szCs w:val="24"/>
          <w:lang w:val="en-US"/>
        </w:rPr>
        <w:t xml:space="preserve"> The question asked: ‘You may have been bullied in your present job by others due to your minority sexual orientation (i.e. for being gay, lesbian, bisexual or other sexual orientation minority) in some way, such as unfair treatment, ridiculing, shouting and verbal abuse, ostracism, denying training or promotion opportunities, and spreading malicious rumours. Please, choose which best describes your own experience at workplace’. The options </w:t>
      </w:r>
      <w:r>
        <w:rPr>
          <w:sz w:val="24"/>
          <w:szCs w:val="24"/>
          <w:lang w:val="en-US"/>
        </w:rPr>
        <w:t>for</w:t>
      </w:r>
      <w:r w:rsidRPr="000A1E13">
        <w:rPr>
          <w:sz w:val="24"/>
          <w:szCs w:val="24"/>
          <w:lang w:val="en-US"/>
        </w:rPr>
        <w:t xml:space="preserve"> this question were: Never bullied, rarely bullied, sometimes bullied, frequently bullied, or constantly bullied.</w:t>
      </w:r>
    </w:p>
  </w:footnote>
  <w:footnote w:id="5">
    <w:p w:rsidR="0025791D" w:rsidRPr="000A1E13" w:rsidRDefault="0025791D" w:rsidP="00E469B1">
      <w:pPr>
        <w:pStyle w:val="FootnoteText"/>
        <w:spacing w:line="360" w:lineRule="auto"/>
        <w:rPr>
          <w:sz w:val="24"/>
          <w:szCs w:val="24"/>
          <w:lang w:val="en-US"/>
        </w:rPr>
      </w:pPr>
      <w:r w:rsidRPr="000A1E13">
        <w:rPr>
          <w:rStyle w:val="FootnoteReference"/>
        </w:rPr>
        <w:footnoteRef/>
      </w:r>
      <w:r w:rsidRPr="000A1E13">
        <w:rPr>
          <w:sz w:val="24"/>
          <w:szCs w:val="24"/>
          <w:lang w:val="en-US"/>
        </w:rPr>
        <w:t xml:space="preserve"> The question asked: ‘Were your parents or other member(s) in your household aware of your minority sexual orientation during your school-age period (up to 18 years of age)</w:t>
      </w:r>
      <w:r>
        <w:rPr>
          <w:sz w:val="24"/>
          <w:szCs w:val="24"/>
          <w:lang w:val="en-US"/>
        </w:rPr>
        <w:t>?</w:t>
      </w:r>
      <w:r w:rsidRPr="000A1E13">
        <w:rPr>
          <w:sz w:val="24"/>
          <w:szCs w:val="24"/>
          <w:lang w:val="en-US"/>
        </w:rPr>
        <w:t>’. The options</w:t>
      </w:r>
      <w:r>
        <w:rPr>
          <w:sz w:val="24"/>
          <w:szCs w:val="24"/>
          <w:lang w:val="en-US"/>
        </w:rPr>
        <w:t xml:space="preserve"> for</w:t>
      </w:r>
      <w:r w:rsidRPr="000A1E13">
        <w:rPr>
          <w:sz w:val="24"/>
          <w:szCs w:val="24"/>
          <w:lang w:val="en-US"/>
        </w:rPr>
        <w:t xml:space="preserve"> this question were: Yes or no. </w:t>
      </w:r>
    </w:p>
  </w:footnote>
  <w:footnote w:id="6">
    <w:p w:rsidR="0025791D" w:rsidRPr="00426CD6" w:rsidRDefault="0025791D" w:rsidP="00E469B1">
      <w:pPr>
        <w:pStyle w:val="FootnoteText"/>
        <w:spacing w:line="360" w:lineRule="auto"/>
        <w:rPr>
          <w:sz w:val="24"/>
          <w:szCs w:val="24"/>
          <w:lang w:val="en-US"/>
        </w:rPr>
      </w:pPr>
      <w:r w:rsidRPr="000A1E13">
        <w:rPr>
          <w:rStyle w:val="FootnoteReference"/>
        </w:rPr>
        <w:footnoteRef/>
      </w:r>
      <w:r w:rsidRPr="000A1E13">
        <w:rPr>
          <w:sz w:val="24"/>
          <w:szCs w:val="24"/>
          <w:lang w:val="en-US"/>
        </w:rPr>
        <w:t xml:space="preserve"> Disclosure of sexual orientation to family members is suggested to be common among sexual orientation minority youth (Rosario et al., 2009).</w:t>
      </w:r>
      <w:r>
        <w:rPr>
          <w:sz w:val="24"/>
          <w:szCs w:val="24"/>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0"/>
    <w:rsid w:val="00000754"/>
    <w:rsid w:val="00001F14"/>
    <w:rsid w:val="0001059C"/>
    <w:rsid w:val="00010AB8"/>
    <w:rsid w:val="00010CDE"/>
    <w:rsid w:val="000118AC"/>
    <w:rsid w:val="00013E0F"/>
    <w:rsid w:val="0001552A"/>
    <w:rsid w:val="00016872"/>
    <w:rsid w:val="0001711F"/>
    <w:rsid w:val="00017B16"/>
    <w:rsid w:val="00021841"/>
    <w:rsid w:val="00021CBE"/>
    <w:rsid w:val="000230D1"/>
    <w:rsid w:val="00023C48"/>
    <w:rsid w:val="00023C71"/>
    <w:rsid w:val="00024F92"/>
    <w:rsid w:val="00025BDD"/>
    <w:rsid w:val="00025F7A"/>
    <w:rsid w:val="00030020"/>
    <w:rsid w:val="00030D5A"/>
    <w:rsid w:val="00030DC2"/>
    <w:rsid w:val="0003203E"/>
    <w:rsid w:val="000327BE"/>
    <w:rsid w:val="0003306D"/>
    <w:rsid w:val="0003568F"/>
    <w:rsid w:val="000373A2"/>
    <w:rsid w:val="00040AE7"/>
    <w:rsid w:val="0004108E"/>
    <w:rsid w:val="0004141C"/>
    <w:rsid w:val="0004149E"/>
    <w:rsid w:val="00041BEF"/>
    <w:rsid w:val="0004303A"/>
    <w:rsid w:val="00043A5E"/>
    <w:rsid w:val="00045C55"/>
    <w:rsid w:val="000472A0"/>
    <w:rsid w:val="00050388"/>
    <w:rsid w:val="00051311"/>
    <w:rsid w:val="00051455"/>
    <w:rsid w:val="00051DB1"/>
    <w:rsid w:val="00052F67"/>
    <w:rsid w:val="0005553D"/>
    <w:rsid w:val="000609E2"/>
    <w:rsid w:val="00060E72"/>
    <w:rsid w:val="000619DA"/>
    <w:rsid w:val="0006301B"/>
    <w:rsid w:val="00064EEE"/>
    <w:rsid w:val="00066957"/>
    <w:rsid w:val="000671A8"/>
    <w:rsid w:val="000678F4"/>
    <w:rsid w:val="00067A20"/>
    <w:rsid w:val="00067D8A"/>
    <w:rsid w:val="00070CC0"/>
    <w:rsid w:val="00072295"/>
    <w:rsid w:val="00074370"/>
    <w:rsid w:val="000760A4"/>
    <w:rsid w:val="00076DA3"/>
    <w:rsid w:val="0008165A"/>
    <w:rsid w:val="00081EF6"/>
    <w:rsid w:val="00083714"/>
    <w:rsid w:val="00084501"/>
    <w:rsid w:val="00084EC8"/>
    <w:rsid w:val="0008642E"/>
    <w:rsid w:val="00086EC8"/>
    <w:rsid w:val="00087014"/>
    <w:rsid w:val="0009125F"/>
    <w:rsid w:val="00091C4C"/>
    <w:rsid w:val="00092585"/>
    <w:rsid w:val="00093929"/>
    <w:rsid w:val="00094F08"/>
    <w:rsid w:val="00095AE0"/>
    <w:rsid w:val="000971E9"/>
    <w:rsid w:val="000A013C"/>
    <w:rsid w:val="000A256D"/>
    <w:rsid w:val="000A358D"/>
    <w:rsid w:val="000A5725"/>
    <w:rsid w:val="000A5A88"/>
    <w:rsid w:val="000A5B77"/>
    <w:rsid w:val="000B0895"/>
    <w:rsid w:val="000B0AC5"/>
    <w:rsid w:val="000B126F"/>
    <w:rsid w:val="000B39C1"/>
    <w:rsid w:val="000B7DB9"/>
    <w:rsid w:val="000C25DC"/>
    <w:rsid w:val="000C2BEB"/>
    <w:rsid w:val="000C32D7"/>
    <w:rsid w:val="000C3434"/>
    <w:rsid w:val="000C3627"/>
    <w:rsid w:val="000C41C2"/>
    <w:rsid w:val="000C5640"/>
    <w:rsid w:val="000D1663"/>
    <w:rsid w:val="000D36AC"/>
    <w:rsid w:val="000D4199"/>
    <w:rsid w:val="000E284A"/>
    <w:rsid w:val="000E35DF"/>
    <w:rsid w:val="000E4371"/>
    <w:rsid w:val="000E4804"/>
    <w:rsid w:val="000E5F29"/>
    <w:rsid w:val="000E66C5"/>
    <w:rsid w:val="000F1498"/>
    <w:rsid w:val="000F1B32"/>
    <w:rsid w:val="000F1FEE"/>
    <w:rsid w:val="000F2123"/>
    <w:rsid w:val="000F2B96"/>
    <w:rsid w:val="000F31D6"/>
    <w:rsid w:val="000F39C8"/>
    <w:rsid w:val="000F4B01"/>
    <w:rsid w:val="000F5A93"/>
    <w:rsid w:val="000F5C97"/>
    <w:rsid w:val="00101E4E"/>
    <w:rsid w:val="001037E3"/>
    <w:rsid w:val="00104BB0"/>
    <w:rsid w:val="00105893"/>
    <w:rsid w:val="001069DA"/>
    <w:rsid w:val="0011099B"/>
    <w:rsid w:val="00111F2D"/>
    <w:rsid w:val="00112B79"/>
    <w:rsid w:val="0011455B"/>
    <w:rsid w:val="00116E02"/>
    <w:rsid w:val="001170C3"/>
    <w:rsid w:val="0011761E"/>
    <w:rsid w:val="00117FB0"/>
    <w:rsid w:val="00121284"/>
    <w:rsid w:val="00123CB3"/>
    <w:rsid w:val="00124F26"/>
    <w:rsid w:val="00125A0A"/>
    <w:rsid w:val="00126430"/>
    <w:rsid w:val="001277BA"/>
    <w:rsid w:val="00127B20"/>
    <w:rsid w:val="00131243"/>
    <w:rsid w:val="00131591"/>
    <w:rsid w:val="00131D8B"/>
    <w:rsid w:val="00131EA7"/>
    <w:rsid w:val="00132F7B"/>
    <w:rsid w:val="00133D21"/>
    <w:rsid w:val="0013698C"/>
    <w:rsid w:val="00136F50"/>
    <w:rsid w:val="0013702B"/>
    <w:rsid w:val="00145077"/>
    <w:rsid w:val="00145852"/>
    <w:rsid w:val="00145D6E"/>
    <w:rsid w:val="0014725C"/>
    <w:rsid w:val="00150243"/>
    <w:rsid w:val="001528AD"/>
    <w:rsid w:val="00155F3D"/>
    <w:rsid w:val="0015723C"/>
    <w:rsid w:val="001605EA"/>
    <w:rsid w:val="00160BC8"/>
    <w:rsid w:val="00160F80"/>
    <w:rsid w:val="001627B5"/>
    <w:rsid w:val="00163864"/>
    <w:rsid w:val="00163F09"/>
    <w:rsid w:val="001647A5"/>
    <w:rsid w:val="00165680"/>
    <w:rsid w:val="00165D8D"/>
    <w:rsid w:val="00167B25"/>
    <w:rsid w:val="00173690"/>
    <w:rsid w:val="001748A4"/>
    <w:rsid w:val="001758F7"/>
    <w:rsid w:val="00175E9C"/>
    <w:rsid w:val="001762E5"/>
    <w:rsid w:val="00182A3B"/>
    <w:rsid w:val="0018406D"/>
    <w:rsid w:val="0018566C"/>
    <w:rsid w:val="001861AA"/>
    <w:rsid w:val="00190638"/>
    <w:rsid w:val="001915BC"/>
    <w:rsid w:val="0019357D"/>
    <w:rsid w:val="00194EB0"/>
    <w:rsid w:val="001A10EF"/>
    <w:rsid w:val="001A28C2"/>
    <w:rsid w:val="001A3298"/>
    <w:rsid w:val="001A467F"/>
    <w:rsid w:val="001A485C"/>
    <w:rsid w:val="001A5506"/>
    <w:rsid w:val="001A5A18"/>
    <w:rsid w:val="001A7205"/>
    <w:rsid w:val="001A7F6E"/>
    <w:rsid w:val="001B0841"/>
    <w:rsid w:val="001B0DD1"/>
    <w:rsid w:val="001B16C2"/>
    <w:rsid w:val="001B4210"/>
    <w:rsid w:val="001B515C"/>
    <w:rsid w:val="001B6C96"/>
    <w:rsid w:val="001B7A01"/>
    <w:rsid w:val="001B7F7A"/>
    <w:rsid w:val="001C0AAF"/>
    <w:rsid w:val="001C2E4B"/>
    <w:rsid w:val="001C3F70"/>
    <w:rsid w:val="001C411D"/>
    <w:rsid w:val="001C605F"/>
    <w:rsid w:val="001D0601"/>
    <w:rsid w:val="001D0B0A"/>
    <w:rsid w:val="001D0F0F"/>
    <w:rsid w:val="001D17FB"/>
    <w:rsid w:val="001D262D"/>
    <w:rsid w:val="001D2B5F"/>
    <w:rsid w:val="001D6DBC"/>
    <w:rsid w:val="001D7662"/>
    <w:rsid w:val="001D7F17"/>
    <w:rsid w:val="001E1DCB"/>
    <w:rsid w:val="001E27E1"/>
    <w:rsid w:val="001E3CA7"/>
    <w:rsid w:val="001E6147"/>
    <w:rsid w:val="001E742E"/>
    <w:rsid w:val="001F0290"/>
    <w:rsid w:val="001F19A4"/>
    <w:rsid w:val="001F2CAA"/>
    <w:rsid w:val="001F3986"/>
    <w:rsid w:val="001F59EF"/>
    <w:rsid w:val="001F60D6"/>
    <w:rsid w:val="001F63FE"/>
    <w:rsid w:val="001F714F"/>
    <w:rsid w:val="00200BF7"/>
    <w:rsid w:val="00201658"/>
    <w:rsid w:val="00205E18"/>
    <w:rsid w:val="0020692C"/>
    <w:rsid w:val="0021022A"/>
    <w:rsid w:val="002120D3"/>
    <w:rsid w:val="002141A5"/>
    <w:rsid w:val="00220B80"/>
    <w:rsid w:val="00221A5E"/>
    <w:rsid w:val="00222E8F"/>
    <w:rsid w:val="00223CAE"/>
    <w:rsid w:val="00226A5A"/>
    <w:rsid w:val="00227213"/>
    <w:rsid w:val="00232DC2"/>
    <w:rsid w:val="00232E3A"/>
    <w:rsid w:val="00233F87"/>
    <w:rsid w:val="00235106"/>
    <w:rsid w:val="00235AC7"/>
    <w:rsid w:val="00235D36"/>
    <w:rsid w:val="0023764D"/>
    <w:rsid w:val="00240B8D"/>
    <w:rsid w:val="002433BC"/>
    <w:rsid w:val="00243D9A"/>
    <w:rsid w:val="002529A4"/>
    <w:rsid w:val="00252E8B"/>
    <w:rsid w:val="00254AD6"/>
    <w:rsid w:val="00255855"/>
    <w:rsid w:val="0025604D"/>
    <w:rsid w:val="00256B18"/>
    <w:rsid w:val="0025791D"/>
    <w:rsid w:val="002600BF"/>
    <w:rsid w:val="00265EBC"/>
    <w:rsid w:val="00265F96"/>
    <w:rsid w:val="0026685C"/>
    <w:rsid w:val="00271F07"/>
    <w:rsid w:val="00272CD3"/>
    <w:rsid w:val="0027669F"/>
    <w:rsid w:val="00277908"/>
    <w:rsid w:val="00277B2F"/>
    <w:rsid w:val="00280C28"/>
    <w:rsid w:val="002818A2"/>
    <w:rsid w:val="00282776"/>
    <w:rsid w:val="002849B2"/>
    <w:rsid w:val="00286DE3"/>
    <w:rsid w:val="00287645"/>
    <w:rsid w:val="00287C61"/>
    <w:rsid w:val="00291302"/>
    <w:rsid w:val="002915BA"/>
    <w:rsid w:val="0029260F"/>
    <w:rsid w:val="00292B9F"/>
    <w:rsid w:val="00294525"/>
    <w:rsid w:val="00294E58"/>
    <w:rsid w:val="002A0084"/>
    <w:rsid w:val="002A0780"/>
    <w:rsid w:val="002A0B6A"/>
    <w:rsid w:val="002A0FEF"/>
    <w:rsid w:val="002A1203"/>
    <w:rsid w:val="002A2DED"/>
    <w:rsid w:val="002A3068"/>
    <w:rsid w:val="002A3C67"/>
    <w:rsid w:val="002A3D5C"/>
    <w:rsid w:val="002A4D8A"/>
    <w:rsid w:val="002A602D"/>
    <w:rsid w:val="002A7424"/>
    <w:rsid w:val="002B0EC9"/>
    <w:rsid w:val="002B1D99"/>
    <w:rsid w:val="002B2A06"/>
    <w:rsid w:val="002B2A1C"/>
    <w:rsid w:val="002B3990"/>
    <w:rsid w:val="002B5124"/>
    <w:rsid w:val="002B5998"/>
    <w:rsid w:val="002B6AD6"/>
    <w:rsid w:val="002C44E8"/>
    <w:rsid w:val="002C4DA8"/>
    <w:rsid w:val="002C5697"/>
    <w:rsid w:val="002C5A14"/>
    <w:rsid w:val="002C74C9"/>
    <w:rsid w:val="002D081E"/>
    <w:rsid w:val="002D0EC0"/>
    <w:rsid w:val="002D20B6"/>
    <w:rsid w:val="002D3D25"/>
    <w:rsid w:val="002D40BA"/>
    <w:rsid w:val="002D4EA2"/>
    <w:rsid w:val="002D63F9"/>
    <w:rsid w:val="002E0AAC"/>
    <w:rsid w:val="002E6094"/>
    <w:rsid w:val="002E64EF"/>
    <w:rsid w:val="002E7B84"/>
    <w:rsid w:val="002E7FF2"/>
    <w:rsid w:val="002F2126"/>
    <w:rsid w:val="002F2ED9"/>
    <w:rsid w:val="002F4EF9"/>
    <w:rsid w:val="00300622"/>
    <w:rsid w:val="00300BFB"/>
    <w:rsid w:val="00301763"/>
    <w:rsid w:val="00302655"/>
    <w:rsid w:val="003060C3"/>
    <w:rsid w:val="00307101"/>
    <w:rsid w:val="00307454"/>
    <w:rsid w:val="00310E57"/>
    <w:rsid w:val="003113B1"/>
    <w:rsid w:val="003139D8"/>
    <w:rsid w:val="003154D3"/>
    <w:rsid w:val="00316560"/>
    <w:rsid w:val="00320220"/>
    <w:rsid w:val="003209FB"/>
    <w:rsid w:val="00321BD0"/>
    <w:rsid w:val="003238F7"/>
    <w:rsid w:val="00324366"/>
    <w:rsid w:val="003329C0"/>
    <w:rsid w:val="003332B8"/>
    <w:rsid w:val="00335119"/>
    <w:rsid w:val="003366EE"/>
    <w:rsid w:val="00340400"/>
    <w:rsid w:val="003408C6"/>
    <w:rsid w:val="0034168B"/>
    <w:rsid w:val="00342E3A"/>
    <w:rsid w:val="00342E48"/>
    <w:rsid w:val="003435E8"/>
    <w:rsid w:val="00344829"/>
    <w:rsid w:val="00344987"/>
    <w:rsid w:val="00344E3D"/>
    <w:rsid w:val="00345162"/>
    <w:rsid w:val="00345DFF"/>
    <w:rsid w:val="00345F94"/>
    <w:rsid w:val="00347C79"/>
    <w:rsid w:val="00350F27"/>
    <w:rsid w:val="003512DC"/>
    <w:rsid w:val="00353607"/>
    <w:rsid w:val="00354985"/>
    <w:rsid w:val="003553EB"/>
    <w:rsid w:val="00356BED"/>
    <w:rsid w:val="003606EB"/>
    <w:rsid w:val="0036371C"/>
    <w:rsid w:val="00363C87"/>
    <w:rsid w:val="0036567E"/>
    <w:rsid w:val="003669AF"/>
    <w:rsid w:val="00367190"/>
    <w:rsid w:val="00367C04"/>
    <w:rsid w:val="00370C7B"/>
    <w:rsid w:val="00373492"/>
    <w:rsid w:val="00374A1D"/>
    <w:rsid w:val="00374FE4"/>
    <w:rsid w:val="00376AF4"/>
    <w:rsid w:val="00377708"/>
    <w:rsid w:val="00377D6E"/>
    <w:rsid w:val="0038374D"/>
    <w:rsid w:val="00384134"/>
    <w:rsid w:val="0038413B"/>
    <w:rsid w:val="00386955"/>
    <w:rsid w:val="00387BD4"/>
    <w:rsid w:val="003914F2"/>
    <w:rsid w:val="00393092"/>
    <w:rsid w:val="00393500"/>
    <w:rsid w:val="003949AB"/>
    <w:rsid w:val="00395734"/>
    <w:rsid w:val="00395D1C"/>
    <w:rsid w:val="003969B0"/>
    <w:rsid w:val="0039701E"/>
    <w:rsid w:val="003A1DC9"/>
    <w:rsid w:val="003A266A"/>
    <w:rsid w:val="003A403E"/>
    <w:rsid w:val="003A40AD"/>
    <w:rsid w:val="003A74F8"/>
    <w:rsid w:val="003B0D63"/>
    <w:rsid w:val="003B1A6C"/>
    <w:rsid w:val="003B1AF6"/>
    <w:rsid w:val="003B29E2"/>
    <w:rsid w:val="003B3195"/>
    <w:rsid w:val="003B48B3"/>
    <w:rsid w:val="003B50DF"/>
    <w:rsid w:val="003B57DC"/>
    <w:rsid w:val="003C02FC"/>
    <w:rsid w:val="003C164F"/>
    <w:rsid w:val="003C1A23"/>
    <w:rsid w:val="003C239D"/>
    <w:rsid w:val="003C27BE"/>
    <w:rsid w:val="003C303F"/>
    <w:rsid w:val="003C5886"/>
    <w:rsid w:val="003C605E"/>
    <w:rsid w:val="003C625D"/>
    <w:rsid w:val="003C7700"/>
    <w:rsid w:val="003D0C13"/>
    <w:rsid w:val="003D18E1"/>
    <w:rsid w:val="003D1EEF"/>
    <w:rsid w:val="003D3598"/>
    <w:rsid w:val="003D3AAA"/>
    <w:rsid w:val="003D3B78"/>
    <w:rsid w:val="003D5643"/>
    <w:rsid w:val="003D691D"/>
    <w:rsid w:val="003E0C5A"/>
    <w:rsid w:val="003E203A"/>
    <w:rsid w:val="003E2494"/>
    <w:rsid w:val="003E29C3"/>
    <w:rsid w:val="003E2CEF"/>
    <w:rsid w:val="003E448F"/>
    <w:rsid w:val="003E6D19"/>
    <w:rsid w:val="003E7A26"/>
    <w:rsid w:val="003F20FC"/>
    <w:rsid w:val="003F29BB"/>
    <w:rsid w:val="003F3AFF"/>
    <w:rsid w:val="003F71B2"/>
    <w:rsid w:val="003F7C8E"/>
    <w:rsid w:val="00400554"/>
    <w:rsid w:val="004012EA"/>
    <w:rsid w:val="00401969"/>
    <w:rsid w:val="00401DB7"/>
    <w:rsid w:val="00402235"/>
    <w:rsid w:val="0040273D"/>
    <w:rsid w:val="00404459"/>
    <w:rsid w:val="00407F46"/>
    <w:rsid w:val="004105E3"/>
    <w:rsid w:val="004119CD"/>
    <w:rsid w:val="004128A3"/>
    <w:rsid w:val="00413034"/>
    <w:rsid w:val="0041539E"/>
    <w:rsid w:val="004176D1"/>
    <w:rsid w:val="0042064B"/>
    <w:rsid w:val="00423399"/>
    <w:rsid w:val="00424765"/>
    <w:rsid w:val="0042482E"/>
    <w:rsid w:val="00425145"/>
    <w:rsid w:val="00426CD6"/>
    <w:rsid w:val="00426DB5"/>
    <w:rsid w:val="00427AA2"/>
    <w:rsid w:val="00427C0B"/>
    <w:rsid w:val="004310F3"/>
    <w:rsid w:val="0043226E"/>
    <w:rsid w:val="004324B5"/>
    <w:rsid w:val="00433105"/>
    <w:rsid w:val="00433345"/>
    <w:rsid w:val="0043342C"/>
    <w:rsid w:val="00433510"/>
    <w:rsid w:val="004352A8"/>
    <w:rsid w:val="004352C6"/>
    <w:rsid w:val="004405E1"/>
    <w:rsid w:val="004414FD"/>
    <w:rsid w:val="004424BC"/>
    <w:rsid w:val="00443B25"/>
    <w:rsid w:val="00444240"/>
    <w:rsid w:val="00444F41"/>
    <w:rsid w:val="00445B1A"/>
    <w:rsid w:val="00445B2D"/>
    <w:rsid w:val="00447061"/>
    <w:rsid w:val="004474F8"/>
    <w:rsid w:val="00450352"/>
    <w:rsid w:val="00451C90"/>
    <w:rsid w:val="0045225D"/>
    <w:rsid w:val="00455E40"/>
    <w:rsid w:val="0046115D"/>
    <w:rsid w:val="00461B98"/>
    <w:rsid w:val="004629EA"/>
    <w:rsid w:val="004648E8"/>
    <w:rsid w:val="0046550C"/>
    <w:rsid w:val="0046562B"/>
    <w:rsid w:val="00466976"/>
    <w:rsid w:val="00467700"/>
    <w:rsid w:val="00470DF7"/>
    <w:rsid w:val="00474521"/>
    <w:rsid w:val="00475214"/>
    <w:rsid w:val="004773AE"/>
    <w:rsid w:val="00480329"/>
    <w:rsid w:val="0048085A"/>
    <w:rsid w:val="0048085D"/>
    <w:rsid w:val="00481C52"/>
    <w:rsid w:val="00483E59"/>
    <w:rsid w:val="0048503E"/>
    <w:rsid w:val="004863A2"/>
    <w:rsid w:val="00486FC5"/>
    <w:rsid w:val="0048711E"/>
    <w:rsid w:val="00490C63"/>
    <w:rsid w:val="00490DA1"/>
    <w:rsid w:val="0049107F"/>
    <w:rsid w:val="004914E9"/>
    <w:rsid w:val="00491FC6"/>
    <w:rsid w:val="004923AE"/>
    <w:rsid w:val="0049411C"/>
    <w:rsid w:val="0049461D"/>
    <w:rsid w:val="00495D26"/>
    <w:rsid w:val="004A57A3"/>
    <w:rsid w:val="004A64B6"/>
    <w:rsid w:val="004A6C50"/>
    <w:rsid w:val="004A788E"/>
    <w:rsid w:val="004B3074"/>
    <w:rsid w:val="004B4AF6"/>
    <w:rsid w:val="004C32E4"/>
    <w:rsid w:val="004C4052"/>
    <w:rsid w:val="004C4ED2"/>
    <w:rsid w:val="004C4F41"/>
    <w:rsid w:val="004C5EF8"/>
    <w:rsid w:val="004D0C17"/>
    <w:rsid w:val="004D1F06"/>
    <w:rsid w:val="004D2942"/>
    <w:rsid w:val="004D2F27"/>
    <w:rsid w:val="004D354F"/>
    <w:rsid w:val="004D4B62"/>
    <w:rsid w:val="004D5801"/>
    <w:rsid w:val="004D6342"/>
    <w:rsid w:val="004D69EB"/>
    <w:rsid w:val="004D6D67"/>
    <w:rsid w:val="004D6EC2"/>
    <w:rsid w:val="004E0067"/>
    <w:rsid w:val="004E240C"/>
    <w:rsid w:val="004E3F3C"/>
    <w:rsid w:val="004E4B21"/>
    <w:rsid w:val="004E663C"/>
    <w:rsid w:val="004E7D50"/>
    <w:rsid w:val="004F1139"/>
    <w:rsid w:val="004F15BE"/>
    <w:rsid w:val="004F2F9E"/>
    <w:rsid w:val="004F5776"/>
    <w:rsid w:val="004F6D1A"/>
    <w:rsid w:val="004F7201"/>
    <w:rsid w:val="004F7B4F"/>
    <w:rsid w:val="005004A2"/>
    <w:rsid w:val="00500B8B"/>
    <w:rsid w:val="00502F04"/>
    <w:rsid w:val="00503D76"/>
    <w:rsid w:val="00505559"/>
    <w:rsid w:val="00505D8B"/>
    <w:rsid w:val="00505DD0"/>
    <w:rsid w:val="00507A10"/>
    <w:rsid w:val="0051001C"/>
    <w:rsid w:val="0051030E"/>
    <w:rsid w:val="00512736"/>
    <w:rsid w:val="005149A8"/>
    <w:rsid w:val="00516D4D"/>
    <w:rsid w:val="005170EB"/>
    <w:rsid w:val="0051748E"/>
    <w:rsid w:val="00517846"/>
    <w:rsid w:val="00520C59"/>
    <w:rsid w:val="00523CD2"/>
    <w:rsid w:val="0052409D"/>
    <w:rsid w:val="00524B9B"/>
    <w:rsid w:val="00526A7D"/>
    <w:rsid w:val="00527073"/>
    <w:rsid w:val="0053006E"/>
    <w:rsid w:val="00530CD7"/>
    <w:rsid w:val="00534AC3"/>
    <w:rsid w:val="005379F0"/>
    <w:rsid w:val="00537E5F"/>
    <w:rsid w:val="00541284"/>
    <w:rsid w:val="00541CF1"/>
    <w:rsid w:val="00541E76"/>
    <w:rsid w:val="00542666"/>
    <w:rsid w:val="00543DB7"/>
    <w:rsid w:val="005455D8"/>
    <w:rsid w:val="0054664F"/>
    <w:rsid w:val="00547BA8"/>
    <w:rsid w:val="005517FD"/>
    <w:rsid w:val="00553D52"/>
    <w:rsid w:val="005549E1"/>
    <w:rsid w:val="00560C4F"/>
    <w:rsid w:val="00560CB6"/>
    <w:rsid w:val="00560FC0"/>
    <w:rsid w:val="00561A50"/>
    <w:rsid w:val="005620DB"/>
    <w:rsid w:val="00563E14"/>
    <w:rsid w:val="0056488C"/>
    <w:rsid w:val="00565039"/>
    <w:rsid w:val="00565F79"/>
    <w:rsid w:val="00567416"/>
    <w:rsid w:val="00570DAF"/>
    <w:rsid w:val="0057126E"/>
    <w:rsid w:val="005713AC"/>
    <w:rsid w:val="00572008"/>
    <w:rsid w:val="005721D1"/>
    <w:rsid w:val="00572DCD"/>
    <w:rsid w:val="00573280"/>
    <w:rsid w:val="00574421"/>
    <w:rsid w:val="00574654"/>
    <w:rsid w:val="00580A7F"/>
    <w:rsid w:val="00580C6D"/>
    <w:rsid w:val="00583773"/>
    <w:rsid w:val="00584D25"/>
    <w:rsid w:val="0058703E"/>
    <w:rsid w:val="00587CDC"/>
    <w:rsid w:val="00591AF3"/>
    <w:rsid w:val="0059301C"/>
    <w:rsid w:val="0059433B"/>
    <w:rsid w:val="005947B3"/>
    <w:rsid w:val="00594879"/>
    <w:rsid w:val="00594ABD"/>
    <w:rsid w:val="00595743"/>
    <w:rsid w:val="005957FA"/>
    <w:rsid w:val="00595EC9"/>
    <w:rsid w:val="0059649E"/>
    <w:rsid w:val="005A03C3"/>
    <w:rsid w:val="005A06F9"/>
    <w:rsid w:val="005A12EE"/>
    <w:rsid w:val="005A17E9"/>
    <w:rsid w:val="005A32C0"/>
    <w:rsid w:val="005A4073"/>
    <w:rsid w:val="005A57AF"/>
    <w:rsid w:val="005A66D1"/>
    <w:rsid w:val="005A764C"/>
    <w:rsid w:val="005A778D"/>
    <w:rsid w:val="005B17F8"/>
    <w:rsid w:val="005B2283"/>
    <w:rsid w:val="005B27D0"/>
    <w:rsid w:val="005B3127"/>
    <w:rsid w:val="005B3341"/>
    <w:rsid w:val="005B3664"/>
    <w:rsid w:val="005B4200"/>
    <w:rsid w:val="005B560F"/>
    <w:rsid w:val="005B5E05"/>
    <w:rsid w:val="005B6559"/>
    <w:rsid w:val="005C08DB"/>
    <w:rsid w:val="005C0B7C"/>
    <w:rsid w:val="005C18FB"/>
    <w:rsid w:val="005C1F07"/>
    <w:rsid w:val="005C3653"/>
    <w:rsid w:val="005C3C1B"/>
    <w:rsid w:val="005C4999"/>
    <w:rsid w:val="005C4BB7"/>
    <w:rsid w:val="005C5513"/>
    <w:rsid w:val="005C695C"/>
    <w:rsid w:val="005C7E3D"/>
    <w:rsid w:val="005D2509"/>
    <w:rsid w:val="005D326E"/>
    <w:rsid w:val="005D45F9"/>
    <w:rsid w:val="005D5336"/>
    <w:rsid w:val="005D55B1"/>
    <w:rsid w:val="005D7957"/>
    <w:rsid w:val="005D7C53"/>
    <w:rsid w:val="005D7F9E"/>
    <w:rsid w:val="005E0882"/>
    <w:rsid w:val="005E126F"/>
    <w:rsid w:val="005E1B5A"/>
    <w:rsid w:val="005E2316"/>
    <w:rsid w:val="005E3800"/>
    <w:rsid w:val="005E3A88"/>
    <w:rsid w:val="005E3D46"/>
    <w:rsid w:val="005E6271"/>
    <w:rsid w:val="005E69B6"/>
    <w:rsid w:val="005E6CD3"/>
    <w:rsid w:val="005E7102"/>
    <w:rsid w:val="005E7A2E"/>
    <w:rsid w:val="005F0BD2"/>
    <w:rsid w:val="005F2DEB"/>
    <w:rsid w:val="005F403F"/>
    <w:rsid w:val="005F5885"/>
    <w:rsid w:val="005F6B31"/>
    <w:rsid w:val="005F6EB3"/>
    <w:rsid w:val="005F780B"/>
    <w:rsid w:val="006028EF"/>
    <w:rsid w:val="00602939"/>
    <w:rsid w:val="00605623"/>
    <w:rsid w:val="00605E11"/>
    <w:rsid w:val="00606576"/>
    <w:rsid w:val="00607C46"/>
    <w:rsid w:val="00607E43"/>
    <w:rsid w:val="00610488"/>
    <w:rsid w:val="00613CBB"/>
    <w:rsid w:val="0061408D"/>
    <w:rsid w:val="006142C9"/>
    <w:rsid w:val="006153DB"/>
    <w:rsid w:val="00615ACA"/>
    <w:rsid w:val="00615DDB"/>
    <w:rsid w:val="0061675C"/>
    <w:rsid w:val="00620E10"/>
    <w:rsid w:val="006231B1"/>
    <w:rsid w:val="00623BB7"/>
    <w:rsid w:val="0062400A"/>
    <w:rsid w:val="006245B0"/>
    <w:rsid w:val="006273A8"/>
    <w:rsid w:val="00630D5A"/>
    <w:rsid w:val="00634303"/>
    <w:rsid w:val="00637FD6"/>
    <w:rsid w:val="00640DDF"/>
    <w:rsid w:val="00640F7A"/>
    <w:rsid w:val="00643487"/>
    <w:rsid w:val="00643506"/>
    <w:rsid w:val="00643E7E"/>
    <w:rsid w:val="00644F46"/>
    <w:rsid w:val="0064500F"/>
    <w:rsid w:val="0064556E"/>
    <w:rsid w:val="00645712"/>
    <w:rsid w:val="006461CC"/>
    <w:rsid w:val="00647520"/>
    <w:rsid w:val="00651AE7"/>
    <w:rsid w:val="00652A23"/>
    <w:rsid w:val="00653866"/>
    <w:rsid w:val="00654723"/>
    <w:rsid w:val="0065655E"/>
    <w:rsid w:val="00661C66"/>
    <w:rsid w:val="00661E6E"/>
    <w:rsid w:val="00662CED"/>
    <w:rsid w:val="006640A4"/>
    <w:rsid w:val="00664640"/>
    <w:rsid w:val="00666276"/>
    <w:rsid w:val="006675C9"/>
    <w:rsid w:val="00667E7B"/>
    <w:rsid w:val="006713C1"/>
    <w:rsid w:val="00672085"/>
    <w:rsid w:val="00672F1E"/>
    <w:rsid w:val="00677D6E"/>
    <w:rsid w:val="00681F1B"/>
    <w:rsid w:val="00682066"/>
    <w:rsid w:val="0068231F"/>
    <w:rsid w:val="00683931"/>
    <w:rsid w:val="00684FA4"/>
    <w:rsid w:val="0068568F"/>
    <w:rsid w:val="00686BBC"/>
    <w:rsid w:val="0069029E"/>
    <w:rsid w:val="00691A2D"/>
    <w:rsid w:val="0069395B"/>
    <w:rsid w:val="006946F9"/>
    <w:rsid w:val="00695A43"/>
    <w:rsid w:val="00695C3B"/>
    <w:rsid w:val="00697415"/>
    <w:rsid w:val="006A0BCD"/>
    <w:rsid w:val="006A1672"/>
    <w:rsid w:val="006A2771"/>
    <w:rsid w:val="006A450F"/>
    <w:rsid w:val="006A522C"/>
    <w:rsid w:val="006A54D6"/>
    <w:rsid w:val="006A561C"/>
    <w:rsid w:val="006A5F1A"/>
    <w:rsid w:val="006A6ECF"/>
    <w:rsid w:val="006B24D8"/>
    <w:rsid w:val="006B2721"/>
    <w:rsid w:val="006B2D98"/>
    <w:rsid w:val="006B36EB"/>
    <w:rsid w:val="006B7BCD"/>
    <w:rsid w:val="006C0C9F"/>
    <w:rsid w:val="006C3878"/>
    <w:rsid w:val="006C59AA"/>
    <w:rsid w:val="006C6EFB"/>
    <w:rsid w:val="006D29C0"/>
    <w:rsid w:val="006D401F"/>
    <w:rsid w:val="006D574A"/>
    <w:rsid w:val="006D7FF2"/>
    <w:rsid w:val="006E0687"/>
    <w:rsid w:val="006E12EB"/>
    <w:rsid w:val="006E1D31"/>
    <w:rsid w:val="006E4BD8"/>
    <w:rsid w:val="006E6F0D"/>
    <w:rsid w:val="006E6F65"/>
    <w:rsid w:val="006E6F6E"/>
    <w:rsid w:val="006F00FD"/>
    <w:rsid w:val="006F03F6"/>
    <w:rsid w:val="006F0D4B"/>
    <w:rsid w:val="006F3D4F"/>
    <w:rsid w:val="006F4417"/>
    <w:rsid w:val="006F5071"/>
    <w:rsid w:val="006F5B3E"/>
    <w:rsid w:val="006F60B1"/>
    <w:rsid w:val="006F6B94"/>
    <w:rsid w:val="006F74BD"/>
    <w:rsid w:val="006F76C3"/>
    <w:rsid w:val="00700116"/>
    <w:rsid w:val="00700F23"/>
    <w:rsid w:val="0070123B"/>
    <w:rsid w:val="00701275"/>
    <w:rsid w:val="00701D86"/>
    <w:rsid w:val="00704A3A"/>
    <w:rsid w:val="00707577"/>
    <w:rsid w:val="007108EF"/>
    <w:rsid w:val="00712772"/>
    <w:rsid w:val="00712813"/>
    <w:rsid w:val="00712BAE"/>
    <w:rsid w:val="00712CA8"/>
    <w:rsid w:val="007136DF"/>
    <w:rsid w:val="007146D6"/>
    <w:rsid w:val="007147C8"/>
    <w:rsid w:val="00714CE3"/>
    <w:rsid w:val="007165C0"/>
    <w:rsid w:val="0071745D"/>
    <w:rsid w:val="007177BA"/>
    <w:rsid w:val="00721CBB"/>
    <w:rsid w:val="00721CF9"/>
    <w:rsid w:val="00723601"/>
    <w:rsid w:val="00725773"/>
    <w:rsid w:val="00727DC8"/>
    <w:rsid w:val="007302BB"/>
    <w:rsid w:val="007322ED"/>
    <w:rsid w:val="00736517"/>
    <w:rsid w:val="00736DD3"/>
    <w:rsid w:val="00737399"/>
    <w:rsid w:val="007403B7"/>
    <w:rsid w:val="007410EC"/>
    <w:rsid w:val="00743920"/>
    <w:rsid w:val="00743CE3"/>
    <w:rsid w:val="00744052"/>
    <w:rsid w:val="00744F3F"/>
    <w:rsid w:val="00745A92"/>
    <w:rsid w:val="0074680F"/>
    <w:rsid w:val="00747EF8"/>
    <w:rsid w:val="0075003F"/>
    <w:rsid w:val="00751C16"/>
    <w:rsid w:val="0075236D"/>
    <w:rsid w:val="00752CDC"/>
    <w:rsid w:val="0075558C"/>
    <w:rsid w:val="00756B9B"/>
    <w:rsid w:val="00761D37"/>
    <w:rsid w:val="007620F7"/>
    <w:rsid w:val="007622B5"/>
    <w:rsid w:val="00762AA2"/>
    <w:rsid w:val="007637F7"/>
    <w:rsid w:val="00763B0B"/>
    <w:rsid w:val="00763C0B"/>
    <w:rsid w:val="007644A1"/>
    <w:rsid w:val="00764D11"/>
    <w:rsid w:val="007670D9"/>
    <w:rsid w:val="00767BE5"/>
    <w:rsid w:val="00770393"/>
    <w:rsid w:val="007708CD"/>
    <w:rsid w:val="00770AB6"/>
    <w:rsid w:val="00771F29"/>
    <w:rsid w:val="0077230F"/>
    <w:rsid w:val="00774808"/>
    <w:rsid w:val="0077718C"/>
    <w:rsid w:val="007776B8"/>
    <w:rsid w:val="00777E1F"/>
    <w:rsid w:val="007804C7"/>
    <w:rsid w:val="007837D1"/>
    <w:rsid w:val="007846E5"/>
    <w:rsid w:val="00784F7D"/>
    <w:rsid w:val="0079166E"/>
    <w:rsid w:val="0079414F"/>
    <w:rsid w:val="00794495"/>
    <w:rsid w:val="007956BA"/>
    <w:rsid w:val="007A0190"/>
    <w:rsid w:val="007A0C04"/>
    <w:rsid w:val="007A1ED0"/>
    <w:rsid w:val="007A3088"/>
    <w:rsid w:val="007A41EA"/>
    <w:rsid w:val="007A5072"/>
    <w:rsid w:val="007A53C0"/>
    <w:rsid w:val="007A5919"/>
    <w:rsid w:val="007A5B9D"/>
    <w:rsid w:val="007A6409"/>
    <w:rsid w:val="007A7103"/>
    <w:rsid w:val="007A7416"/>
    <w:rsid w:val="007B19BE"/>
    <w:rsid w:val="007B1AC5"/>
    <w:rsid w:val="007B1D68"/>
    <w:rsid w:val="007B398C"/>
    <w:rsid w:val="007B5C88"/>
    <w:rsid w:val="007B797E"/>
    <w:rsid w:val="007C34CB"/>
    <w:rsid w:val="007C3511"/>
    <w:rsid w:val="007C3D76"/>
    <w:rsid w:val="007C481B"/>
    <w:rsid w:val="007C5B20"/>
    <w:rsid w:val="007C5CBA"/>
    <w:rsid w:val="007C706D"/>
    <w:rsid w:val="007D00AD"/>
    <w:rsid w:val="007D2490"/>
    <w:rsid w:val="007D26C6"/>
    <w:rsid w:val="007D46B1"/>
    <w:rsid w:val="007D4C0F"/>
    <w:rsid w:val="007D6049"/>
    <w:rsid w:val="007D6C6C"/>
    <w:rsid w:val="007D7297"/>
    <w:rsid w:val="007E2176"/>
    <w:rsid w:val="007E2391"/>
    <w:rsid w:val="007E3260"/>
    <w:rsid w:val="007E3C3E"/>
    <w:rsid w:val="007E48CF"/>
    <w:rsid w:val="007E5A4D"/>
    <w:rsid w:val="007E6777"/>
    <w:rsid w:val="007E7473"/>
    <w:rsid w:val="007F02E2"/>
    <w:rsid w:val="007F056B"/>
    <w:rsid w:val="007F0C4B"/>
    <w:rsid w:val="007F0F5B"/>
    <w:rsid w:val="007F1085"/>
    <w:rsid w:val="007F1457"/>
    <w:rsid w:val="007F24FE"/>
    <w:rsid w:val="007F2D9E"/>
    <w:rsid w:val="007F715D"/>
    <w:rsid w:val="007F7678"/>
    <w:rsid w:val="00800225"/>
    <w:rsid w:val="0080028C"/>
    <w:rsid w:val="008041F7"/>
    <w:rsid w:val="0080618E"/>
    <w:rsid w:val="008063DB"/>
    <w:rsid w:val="0080675C"/>
    <w:rsid w:val="00806E06"/>
    <w:rsid w:val="0081043B"/>
    <w:rsid w:val="008114C3"/>
    <w:rsid w:val="00813394"/>
    <w:rsid w:val="008148A0"/>
    <w:rsid w:val="00816F15"/>
    <w:rsid w:val="00816F58"/>
    <w:rsid w:val="00817F4A"/>
    <w:rsid w:val="0082156D"/>
    <w:rsid w:val="00822F3D"/>
    <w:rsid w:val="00824203"/>
    <w:rsid w:val="008246DC"/>
    <w:rsid w:val="00826419"/>
    <w:rsid w:val="00827B7F"/>
    <w:rsid w:val="00830815"/>
    <w:rsid w:val="00831353"/>
    <w:rsid w:val="00833743"/>
    <w:rsid w:val="00834847"/>
    <w:rsid w:val="0083518A"/>
    <w:rsid w:val="00835F8B"/>
    <w:rsid w:val="008371DC"/>
    <w:rsid w:val="008418FA"/>
    <w:rsid w:val="00842784"/>
    <w:rsid w:val="00845A26"/>
    <w:rsid w:val="00847657"/>
    <w:rsid w:val="00855245"/>
    <w:rsid w:val="0085535E"/>
    <w:rsid w:val="008567D6"/>
    <w:rsid w:val="00861B8A"/>
    <w:rsid w:val="00863227"/>
    <w:rsid w:val="00863CA2"/>
    <w:rsid w:val="008665F7"/>
    <w:rsid w:val="00866E60"/>
    <w:rsid w:val="00870473"/>
    <w:rsid w:val="00870662"/>
    <w:rsid w:val="008711C9"/>
    <w:rsid w:val="00871F1D"/>
    <w:rsid w:val="00872637"/>
    <w:rsid w:val="00874AD8"/>
    <w:rsid w:val="008771A8"/>
    <w:rsid w:val="0088005B"/>
    <w:rsid w:val="00880B4E"/>
    <w:rsid w:val="00881F1F"/>
    <w:rsid w:val="0088609A"/>
    <w:rsid w:val="00886210"/>
    <w:rsid w:val="008865A6"/>
    <w:rsid w:val="00886653"/>
    <w:rsid w:val="00886951"/>
    <w:rsid w:val="008900F2"/>
    <w:rsid w:val="00890874"/>
    <w:rsid w:val="00891921"/>
    <w:rsid w:val="0089223F"/>
    <w:rsid w:val="008935FF"/>
    <w:rsid w:val="00894F0A"/>
    <w:rsid w:val="00895044"/>
    <w:rsid w:val="008A11D4"/>
    <w:rsid w:val="008A30EC"/>
    <w:rsid w:val="008A439E"/>
    <w:rsid w:val="008A498C"/>
    <w:rsid w:val="008A6A2C"/>
    <w:rsid w:val="008B09F6"/>
    <w:rsid w:val="008B1BF3"/>
    <w:rsid w:val="008B255E"/>
    <w:rsid w:val="008B3228"/>
    <w:rsid w:val="008B33DE"/>
    <w:rsid w:val="008B5DFA"/>
    <w:rsid w:val="008B694B"/>
    <w:rsid w:val="008B6B82"/>
    <w:rsid w:val="008B7208"/>
    <w:rsid w:val="008C01DF"/>
    <w:rsid w:val="008C137E"/>
    <w:rsid w:val="008C1472"/>
    <w:rsid w:val="008C2938"/>
    <w:rsid w:val="008C3D54"/>
    <w:rsid w:val="008C49DB"/>
    <w:rsid w:val="008C4A3E"/>
    <w:rsid w:val="008C6ADD"/>
    <w:rsid w:val="008D0A48"/>
    <w:rsid w:val="008D0F7C"/>
    <w:rsid w:val="008D2216"/>
    <w:rsid w:val="008D2C48"/>
    <w:rsid w:val="008D3E0C"/>
    <w:rsid w:val="008D4305"/>
    <w:rsid w:val="008D5F37"/>
    <w:rsid w:val="008E04C9"/>
    <w:rsid w:val="008E2CF3"/>
    <w:rsid w:val="008E4C6F"/>
    <w:rsid w:val="008E5448"/>
    <w:rsid w:val="008E5EA8"/>
    <w:rsid w:val="008E6B0D"/>
    <w:rsid w:val="008E7875"/>
    <w:rsid w:val="008F2867"/>
    <w:rsid w:val="008F4C5A"/>
    <w:rsid w:val="008F5101"/>
    <w:rsid w:val="008F5BFD"/>
    <w:rsid w:val="008F6F2B"/>
    <w:rsid w:val="008F78CA"/>
    <w:rsid w:val="008F7DBE"/>
    <w:rsid w:val="009014F3"/>
    <w:rsid w:val="00902D14"/>
    <w:rsid w:val="009042C3"/>
    <w:rsid w:val="009046FD"/>
    <w:rsid w:val="0090483C"/>
    <w:rsid w:val="00904EA1"/>
    <w:rsid w:val="00906F87"/>
    <w:rsid w:val="00907137"/>
    <w:rsid w:val="009100C4"/>
    <w:rsid w:val="00910411"/>
    <w:rsid w:val="00911C82"/>
    <w:rsid w:val="00914BB5"/>
    <w:rsid w:val="00915BAA"/>
    <w:rsid w:val="009164BB"/>
    <w:rsid w:val="009173B8"/>
    <w:rsid w:val="00920152"/>
    <w:rsid w:val="009211D3"/>
    <w:rsid w:val="00921DE2"/>
    <w:rsid w:val="00923194"/>
    <w:rsid w:val="0092525A"/>
    <w:rsid w:val="00925B9A"/>
    <w:rsid w:val="00931918"/>
    <w:rsid w:val="00931E98"/>
    <w:rsid w:val="00931EEF"/>
    <w:rsid w:val="00933ADD"/>
    <w:rsid w:val="009344B2"/>
    <w:rsid w:val="00935597"/>
    <w:rsid w:val="00936B40"/>
    <w:rsid w:val="00936E8C"/>
    <w:rsid w:val="00937612"/>
    <w:rsid w:val="009408F4"/>
    <w:rsid w:val="00942A52"/>
    <w:rsid w:val="00942DB4"/>
    <w:rsid w:val="009503B7"/>
    <w:rsid w:val="00953283"/>
    <w:rsid w:val="009538D1"/>
    <w:rsid w:val="00954E76"/>
    <w:rsid w:val="00954F59"/>
    <w:rsid w:val="00955142"/>
    <w:rsid w:val="0095534D"/>
    <w:rsid w:val="00955819"/>
    <w:rsid w:val="0095588C"/>
    <w:rsid w:val="009563B1"/>
    <w:rsid w:val="00956FBA"/>
    <w:rsid w:val="00960747"/>
    <w:rsid w:val="00961EC5"/>
    <w:rsid w:val="0096308F"/>
    <w:rsid w:val="0096415B"/>
    <w:rsid w:val="0096782F"/>
    <w:rsid w:val="009706F1"/>
    <w:rsid w:val="00970CAC"/>
    <w:rsid w:val="00973CAD"/>
    <w:rsid w:val="00975754"/>
    <w:rsid w:val="0098025A"/>
    <w:rsid w:val="009813E0"/>
    <w:rsid w:val="009827C0"/>
    <w:rsid w:val="00982E49"/>
    <w:rsid w:val="0098385D"/>
    <w:rsid w:val="00983BD6"/>
    <w:rsid w:val="00990683"/>
    <w:rsid w:val="00990F11"/>
    <w:rsid w:val="00990F29"/>
    <w:rsid w:val="00991D83"/>
    <w:rsid w:val="00992AF9"/>
    <w:rsid w:val="009953CA"/>
    <w:rsid w:val="009964CC"/>
    <w:rsid w:val="00997A86"/>
    <w:rsid w:val="00997D2D"/>
    <w:rsid w:val="00997DDD"/>
    <w:rsid w:val="009A3AA5"/>
    <w:rsid w:val="009A59D0"/>
    <w:rsid w:val="009A6243"/>
    <w:rsid w:val="009A7C2D"/>
    <w:rsid w:val="009B110D"/>
    <w:rsid w:val="009B28F4"/>
    <w:rsid w:val="009B340E"/>
    <w:rsid w:val="009B65FB"/>
    <w:rsid w:val="009B6C77"/>
    <w:rsid w:val="009C0856"/>
    <w:rsid w:val="009C3190"/>
    <w:rsid w:val="009C3DF0"/>
    <w:rsid w:val="009C46BB"/>
    <w:rsid w:val="009C47D0"/>
    <w:rsid w:val="009C4850"/>
    <w:rsid w:val="009C53D7"/>
    <w:rsid w:val="009C6A75"/>
    <w:rsid w:val="009C6D2C"/>
    <w:rsid w:val="009C7295"/>
    <w:rsid w:val="009C7A9B"/>
    <w:rsid w:val="009C7FFE"/>
    <w:rsid w:val="009D0A30"/>
    <w:rsid w:val="009D3A4A"/>
    <w:rsid w:val="009D3E1E"/>
    <w:rsid w:val="009D4828"/>
    <w:rsid w:val="009D4A69"/>
    <w:rsid w:val="009D4BAA"/>
    <w:rsid w:val="009D54A1"/>
    <w:rsid w:val="009D7164"/>
    <w:rsid w:val="009D7EFB"/>
    <w:rsid w:val="009E0825"/>
    <w:rsid w:val="009E2BD8"/>
    <w:rsid w:val="009E413F"/>
    <w:rsid w:val="009E616C"/>
    <w:rsid w:val="009E68C0"/>
    <w:rsid w:val="009E7608"/>
    <w:rsid w:val="009E77D8"/>
    <w:rsid w:val="009E7F93"/>
    <w:rsid w:val="009F0BCD"/>
    <w:rsid w:val="009F0EDD"/>
    <w:rsid w:val="009F1B3E"/>
    <w:rsid w:val="009F4CC8"/>
    <w:rsid w:val="009F5A1A"/>
    <w:rsid w:val="009F6385"/>
    <w:rsid w:val="009F7581"/>
    <w:rsid w:val="00A00209"/>
    <w:rsid w:val="00A02A86"/>
    <w:rsid w:val="00A045E9"/>
    <w:rsid w:val="00A060A7"/>
    <w:rsid w:val="00A06D80"/>
    <w:rsid w:val="00A07B87"/>
    <w:rsid w:val="00A1013D"/>
    <w:rsid w:val="00A1036F"/>
    <w:rsid w:val="00A1195E"/>
    <w:rsid w:val="00A11ED8"/>
    <w:rsid w:val="00A1358F"/>
    <w:rsid w:val="00A13B76"/>
    <w:rsid w:val="00A167BE"/>
    <w:rsid w:val="00A1706B"/>
    <w:rsid w:val="00A20413"/>
    <w:rsid w:val="00A2286F"/>
    <w:rsid w:val="00A22DD9"/>
    <w:rsid w:val="00A23C72"/>
    <w:rsid w:val="00A24D99"/>
    <w:rsid w:val="00A33AD9"/>
    <w:rsid w:val="00A356E1"/>
    <w:rsid w:val="00A41616"/>
    <w:rsid w:val="00A42333"/>
    <w:rsid w:val="00A42A4E"/>
    <w:rsid w:val="00A454CE"/>
    <w:rsid w:val="00A4757E"/>
    <w:rsid w:val="00A47D6E"/>
    <w:rsid w:val="00A51555"/>
    <w:rsid w:val="00A51DDC"/>
    <w:rsid w:val="00A5457A"/>
    <w:rsid w:val="00A547B9"/>
    <w:rsid w:val="00A60C9E"/>
    <w:rsid w:val="00A615BB"/>
    <w:rsid w:val="00A61F27"/>
    <w:rsid w:val="00A621BD"/>
    <w:rsid w:val="00A64498"/>
    <w:rsid w:val="00A64D3C"/>
    <w:rsid w:val="00A65283"/>
    <w:rsid w:val="00A657B0"/>
    <w:rsid w:val="00A65883"/>
    <w:rsid w:val="00A73A89"/>
    <w:rsid w:val="00A73FEC"/>
    <w:rsid w:val="00A7774C"/>
    <w:rsid w:val="00A77987"/>
    <w:rsid w:val="00A80027"/>
    <w:rsid w:val="00A80058"/>
    <w:rsid w:val="00A8104B"/>
    <w:rsid w:val="00A812D2"/>
    <w:rsid w:val="00A82508"/>
    <w:rsid w:val="00A83C96"/>
    <w:rsid w:val="00A8747A"/>
    <w:rsid w:val="00A87624"/>
    <w:rsid w:val="00A87E61"/>
    <w:rsid w:val="00A90D87"/>
    <w:rsid w:val="00A90EE7"/>
    <w:rsid w:val="00A92727"/>
    <w:rsid w:val="00A92DB2"/>
    <w:rsid w:val="00A92F88"/>
    <w:rsid w:val="00A94159"/>
    <w:rsid w:val="00A949F7"/>
    <w:rsid w:val="00A964D8"/>
    <w:rsid w:val="00AA062B"/>
    <w:rsid w:val="00AA287B"/>
    <w:rsid w:val="00AA2CC9"/>
    <w:rsid w:val="00AA3B47"/>
    <w:rsid w:val="00AA3E2D"/>
    <w:rsid w:val="00AA42AA"/>
    <w:rsid w:val="00AA4C51"/>
    <w:rsid w:val="00AA5CB8"/>
    <w:rsid w:val="00AA76FD"/>
    <w:rsid w:val="00AA77BF"/>
    <w:rsid w:val="00AA7E10"/>
    <w:rsid w:val="00AB3C56"/>
    <w:rsid w:val="00AB44CC"/>
    <w:rsid w:val="00AB6BDF"/>
    <w:rsid w:val="00AB77B3"/>
    <w:rsid w:val="00AC0AC1"/>
    <w:rsid w:val="00AC1434"/>
    <w:rsid w:val="00AC2ACE"/>
    <w:rsid w:val="00AC3599"/>
    <w:rsid w:val="00AC4E86"/>
    <w:rsid w:val="00AC5F1C"/>
    <w:rsid w:val="00AC6D05"/>
    <w:rsid w:val="00AC6D36"/>
    <w:rsid w:val="00AD05AA"/>
    <w:rsid w:val="00AD0CC4"/>
    <w:rsid w:val="00AD14B1"/>
    <w:rsid w:val="00AD3B09"/>
    <w:rsid w:val="00AD3C8A"/>
    <w:rsid w:val="00AD441D"/>
    <w:rsid w:val="00AD5AEB"/>
    <w:rsid w:val="00AD61F7"/>
    <w:rsid w:val="00AE004E"/>
    <w:rsid w:val="00AE01BE"/>
    <w:rsid w:val="00AE1082"/>
    <w:rsid w:val="00AE1EAD"/>
    <w:rsid w:val="00AE1F7E"/>
    <w:rsid w:val="00AE34C3"/>
    <w:rsid w:val="00AE56EF"/>
    <w:rsid w:val="00AE5F23"/>
    <w:rsid w:val="00AE68D0"/>
    <w:rsid w:val="00AE778E"/>
    <w:rsid w:val="00AF206D"/>
    <w:rsid w:val="00AF4F57"/>
    <w:rsid w:val="00AF5784"/>
    <w:rsid w:val="00AF58BC"/>
    <w:rsid w:val="00AF5BAA"/>
    <w:rsid w:val="00AF5FDE"/>
    <w:rsid w:val="00AF6090"/>
    <w:rsid w:val="00AF6C68"/>
    <w:rsid w:val="00AF6E01"/>
    <w:rsid w:val="00AF7712"/>
    <w:rsid w:val="00AF7ACA"/>
    <w:rsid w:val="00B0190A"/>
    <w:rsid w:val="00B029E1"/>
    <w:rsid w:val="00B02F32"/>
    <w:rsid w:val="00B035EC"/>
    <w:rsid w:val="00B049D2"/>
    <w:rsid w:val="00B057DC"/>
    <w:rsid w:val="00B05A52"/>
    <w:rsid w:val="00B07859"/>
    <w:rsid w:val="00B1177F"/>
    <w:rsid w:val="00B12F5D"/>
    <w:rsid w:val="00B13190"/>
    <w:rsid w:val="00B13FA4"/>
    <w:rsid w:val="00B140CF"/>
    <w:rsid w:val="00B15F6F"/>
    <w:rsid w:val="00B16AF8"/>
    <w:rsid w:val="00B2020E"/>
    <w:rsid w:val="00B20E13"/>
    <w:rsid w:val="00B23E7B"/>
    <w:rsid w:val="00B252AC"/>
    <w:rsid w:val="00B2684C"/>
    <w:rsid w:val="00B26E0C"/>
    <w:rsid w:val="00B33A96"/>
    <w:rsid w:val="00B351D3"/>
    <w:rsid w:val="00B36DF4"/>
    <w:rsid w:val="00B36F84"/>
    <w:rsid w:val="00B4026A"/>
    <w:rsid w:val="00B40A8D"/>
    <w:rsid w:val="00B42C1C"/>
    <w:rsid w:val="00B446DD"/>
    <w:rsid w:val="00B474AC"/>
    <w:rsid w:val="00B537E6"/>
    <w:rsid w:val="00B54F24"/>
    <w:rsid w:val="00B5548E"/>
    <w:rsid w:val="00B60273"/>
    <w:rsid w:val="00B608C9"/>
    <w:rsid w:val="00B60E8C"/>
    <w:rsid w:val="00B61DE4"/>
    <w:rsid w:val="00B625E9"/>
    <w:rsid w:val="00B65FE9"/>
    <w:rsid w:val="00B67414"/>
    <w:rsid w:val="00B70780"/>
    <w:rsid w:val="00B70F44"/>
    <w:rsid w:val="00B735BF"/>
    <w:rsid w:val="00B74B01"/>
    <w:rsid w:val="00B74B81"/>
    <w:rsid w:val="00B755E8"/>
    <w:rsid w:val="00B77CAF"/>
    <w:rsid w:val="00B81309"/>
    <w:rsid w:val="00B82447"/>
    <w:rsid w:val="00B82BEE"/>
    <w:rsid w:val="00B82DB0"/>
    <w:rsid w:val="00B83158"/>
    <w:rsid w:val="00B836E8"/>
    <w:rsid w:val="00B859B4"/>
    <w:rsid w:val="00B86FC7"/>
    <w:rsid w:val="00B908A8"/>
    <w:rsid w:val="00B90EB4"/>
    <w:rsid w:val="00B917B9"/>
    <w:rsid w:val="00B9235C"/>
    <w:rsid w:val="00B92E96"/>
    <w:rsid w:val="00B93C08"/>
    <w:rsid w:val="00B93C95"/>
    <w:rsid w:val="00B952A1"/>
    <w:rsid w:val="00B96090"/>
    <w:rsid w:val="00B96404"/>
    <w:rsid w:val="00BA3FAA"/>
    <w:rsid w:val="00BA40DB"/>
    <w:rsid w:val="00BA4CE9"/>
    <w:rsid w:val="00BA56F8"/>
    <w:rsid w:val="00BA5AE2"/>
    <w:rsid w:val="00BB040C"/>
    <w:rsid w:val="00BB0557"/>
    <w:rsid w:val="00BB1C13"/>
    <w:rsid w:val="00BB39F8"/>
    <w:rsid w:val="00BB4124"/>
    <w:rsid w:val="00BB4973"/>
    <w:rsid w:val="00BB53B4"/>
    <w:rsid w:val="00BB657A"/>
    <w:rsid w:val="00BB70F5"/>
    <w:rsid w:val="00BB71AE"/>
    <w:rsid w:val="00BC0093"/>
    <w:rsid w:val="00BC1787"/>
    <w:rsid w:val="00BC53C5"/>
    <w:rsid w:val="00BC7405"/>
    <w:rsid w:val="00BC7DAB"/>
    <w:rsid w:val="00BD01AD"/>
    <w:rsid w:val="00BD026B"/>
    <w:rsid w:val="00BD1132"/>
    <w:rsid w:val="00BD1D34"/>
    <w:rsid w:val="00BD218B"/>
    <w:rsid w:val="00BD2992"/>
    <w:rsid w:val="00BD4D74"/>
    <w:rsid w:val="00BD5C8B"/>
    <w:rsid w:val="00BD6214"/>
    <w:rsid w:val="00BD6787"/>
    <w:rsid w:val="00BD7C6B"/>
    <w:rsid w:val="00BD7E96"/>
    <w:rsid w:val="00BE0A83"/>
    <w:rsid w:val="00BE1794"/>
    <w:rsid w:val="00BE24FE"/>
    <w:rsid w:val="00BE3A19"/>
    <w:rsid w:val="00BE3AB1"/>
    <w:rsid w:val="00BE4C00"/>
    <w:rsid w:val="00BE5740"/>
    <w:rsid w:val="00BF3028"/>
    <w:rsid w:val="00BF6750"/>
    <w:rsid w:val="00BF7201"/>
    <w:rsid w:val="00C0175E"/>
    <w:rsid w:val="00C03A9A"/>
    <w:rsid w:val="00C04A6A"/>
    <w:rsid w:val="00C04F0B"/>
    <w:rsid w:val="00C0505F"/>
    <w:rsid w:val="00C0788C"/>
    <w:rsid w:val="00C07B0E"/>
    <w:rsid w:val="00C10163"/>
    <w:rsid w:val="00C11060"/>
    <w:rsid w:val="00C132A9"/>
    <w:rsid w:val="00C162C0"/>
    <w:rsid w:val="00C16CB7"/>
    <w:rsid w:val="00C16F3E"/>
    <w:rsid w:val="00C217B3"/>
    <w:rsid w:val="00C248B8"/>
    <w:rsid w:val="00C24B3F"/>
    <w:rsid w:val="00C2527E"/>
    <w:rsid w:val="00C26CDB"/>
    <w:rsid w:val="00C26E39"/>
    <w:rsid w:val="00C33224"/>
    <w:rsid w:val="00C33C28"/>
    <w:rsid w:val="00C3435B"/>
    <w:rsid w:val="00C343C4"/>
    <w:rsid w:val="00C347FA"/>
    <w:rsid w:val="00C35D92"/>
    <w:rsid w:val="00C40E6C"/>
    <w:rsid w:val="00C412DE"/>
    <w:rsid w:val="00C4148E"/>
    <w:rsid w:val="00C4200D"/>
    <w:rsid w:val="00C42DA0"/>
    <w:rsid w:val="00C51D69"/>
    <w:rsid w:val="00C562A1"/>
    <w:rsid w:val="00C56BE2"/>
    <w:rsid w:val="00C63060"/>
    <w:rsid w:val="00C633A8"/>
    <w:rsid w:val="00C63A14"/>
    <w:rsid w:val="00C65FF9"/>
    <w:rsid w:val="00C6610D"/>
    <w:rsid w:val="00C6695A"/>
    <w:rsid w:val="00C674B6"/>
    <w:rsid w:val="00C67C94"/>
    <w:rsid w:val="00C67E80"/>
    <w:rsid w:val="00C70337"/>
    <w:rsid w:val="00C7075E"/>
    <w:rsid w:val="00C708CC"/>
    <w:rsid w:val="00C714CD"/>
    <w:rsid w:val="00C72B63"/>
    <w:rsid w:val="00C73FEB"/>
    <w:rsid w:val="00C77B3E"/>
    <w:rsid w:val="00C77C12"/>
    <w:rsid w:val="00C77FBF"/>
    <w:rsid w:val="00C816DC"/>
    <w:rsid w:val="00C903B4"/>
    <w:rsid w:val="00C91D75"/>
    <w:rsid w:val="00C925DA"/>
    <w:rsid w:val="00C93361"/>
    <w:rsid w:val="00C94166"/>
    <w:rsid w:val="00C946D2"/>
    <w:rsid w:val="00C95CCA"/>
    <w:rsid w:val="00C963FC"/>
    <w:rsid w:val="00C97017"/>
    <w:rsid w:val="00CA0B1B"/>
    <w:rsid w:val="00CA1199"/>
    <w:rsid w:val="00CA1456"/>
    <w:rsid w:val="00CA2EBE"/>
    <w:rsid w:val="00CA386F"/>
    <w:rsid w:val="00CA580C"/>
    <w:rsid w:val="00CA5972"/>
    <w:rsid w:val="00CA736F"/>
    <w:rsid w:val="00CA7C35"/>
    <w:rsid w:val="00CB0B18"/>
    <w:rsid w:val="00CB1760"/>
    <w:rsid w:val="00CB433A"/>
    <w:rsid w:val="00CB4590"/>
    <w:rsid w:val="00CB4824"/>
    <w:rsid w:val="00CB4BC9"/>
    <w:rsid w:val="00CB5377"/>
    <w:rsid w:val="00CB572E"/>
    <w:rsid w:val="00CB6951"/>
    <w:rsid w:val="00CB71E0"/>
    <w:rsid w:val="00CB77B7"/>
    <w:rsid w:val="00CC07C0"/>
    <w:rsid w:val="00CC10A2"/>
    <w:rsid w:val="00CC111C"/>
    <w:rsid w:val="00CC22CF"/>
    <w:rsid w:val="00CC2AE5"/>
    <w:rsid w:val="00CC2D9F"/>
    <w:rsid w:val="00CC3C97"/>
    <w:rsid w:val="00CC486A"/>
    <w:rsid w:val="00CC64DE"/>
    <w:rsid w:val="00CC7264"/>
    <w:rsid w:val="00CC7D78"/>
    <w:rsid w:val="00CD0460"/>
    <w:rsid w:val="00CD13FE"/>
    <w:rsid w:val="00CD1E5D"/>
    <w:rsid w:val="00CD2CD0"/>
    <w:rsid w:val="00CD2CEA"/>
    <w:rsid w:val="00CD6C03"/>
    <w:rsid w:val="00CD7FCF"/>
    <w:rsid w:val="00CE0387"/>
    <w:rsid w:val="00CE051D"/>
    <w:rsid w:val="00CE2AC7"/>
    <w:rsid w:val="00CE422A"/>
    <w:rsid w:val="00CE5097"/>
    <w:rsid w:val="00CE598D"/>
    <w:rsid w:val="00CE6352"/>
    <w:rsid w:val="00CE72DC"/>
    <w:rsid w:val="00CF026F"/>
    <w:rsid w:val="00CF2C1B"/>
    <w:rsid w:val="00CF356C"/>
    <w:rsid w:val="00CF3B2C"/>
    <w:rsid w:val="00CF4ADC"/>
    <w:rsid w:val="00CF5CFA"/>
    <w:rsid w:val="00CF6EC9"/>
    <w:rsid w:val="00CF7C4D"/>
    <w:rsid w:val="00D00825"/>
    <w:rsid w:val="00D0190A"/>
    <w:rsid w:val="00D022CD"/>
    <w:rsid w:val="00D039AD"/>
    <w:rsid w:val="00D03B08"/>
    <w:rsid w:val="00D04991"/>
    <w:rsid w:val="00D04F2C"/>
    <w:rsid w:val="00D056CF"/>
    <w:rsid w:val="00D0692F"/>
    <w:rsid w:val="00D11366"/>
    <w:rsid w:val="00D115AA"/>
    <w:rsid w:val="00D117D4"/>
    <w:rsid w:val="00D11A83"/>
    <w:rsid w:val="00D13C79"/>
    <w:rsid w:val="00D141FD"/>
    <w:rsid w:val="00D1603E"/>
    <w:rsid w:val="00D21727"/>
    <w:rsid w:val="00D22357"/>
    <w:rsid w:val="00D22B3F"/>
    <w:rsid w:val="00D23079"/>
    <w:rsid w:val="00D262B5"/>
    <w:rsid w:val="00D26D61"/>
    <w:rsid w:val="00D2714A"/>
    <w:rsid w:val="00D273D2"/>
    <w:rsid w:val="00D275D3"/>
    <w:rsid w:val="00D3040C"/>
    <w:rsid w:val="00D30CC5"/>
    <w:rsid w:val="00D31B49"/>
    <w:rsid w:val="00D41149"/>
    <w:rsid w:val="00D424EA"/>
    <w:rsid w:val="00D43753"/>
    <w:rsid w:val="00D444F7"/>
    <w:rsid w:val="00D44B56"/>
    <w:rsid w:val="00D4551A"/>
    <w:rsid w:val="00D46A2E"/>
    <w:rsid w:val="00D46BFE"/>
    <w:rsid w:val="00D473D4"/>
    <w:rsid w:val="00D47F12"/>
    <w:rsid w:val="00D501B2"/>
    <w:rsid w:val="00D5057C"/>
    <w:rsid w:val="00D51C87"/>
    <w:rsid w:val="00D53600"/>
    <w:rsid w:val="00D61C57"/>
    <w:rsid w:val="00D635A8"/>
    <w:rsid w:val="00D6489F"/>
    <w:rsid w:val="00D658F1"/>
    <w:rsid w:val="00D70E7D"/>
    <w:rsid w:val="00D727F6"/>
    <w:rsid w:val="00D72C49"/>
    <w:rsid w:val="00D72E3B"/>
    <w:rsid w:val="00D7419D"/>
    <w:rsid w:val="00D754F3"/>
    <w:rsid w:val="00D7624D"/>
    <w:rsid w:val="00D77E21"/>
    <w:rsid w:val="00D77EA9"/>
    <w:rsid w:val="00D80236"/>
    <w:rsid w:val="00D8134E"/>
    <w:rsid w:val="00D8180C"/>
    <w:rsid w:val="00D81CB3"/>
    <w:rsid w:val="00D84758"/>
    <w:rsid w:val="00D87D99"/>
    <w:rsid w:val="00D87F74"/>
    <w:rsid w:val="00D90FBC"/>
    <w:rsid w:val="00D91603"/>
    <w:rsid w:val="00D91D35"/>
    <w:rsid w:val="00D92027"/>
    <w:rsid w:val="00D9224E"/>
    <w:rsid w:val="00D94129"/>
    <w:rsid w:val="00D950D6"/>
    <w:rsid w:val="00D961A4"/>
    <w:rsid w:val="00DA1047"/>
    <w:rsid w:val="00DA3F1A"/>
    <w:rsid w:val="00DA5116"/>
    <w:rsid w:val="00DB0379"/>
    <w:rsid w:val="00DB2924"/>
    <w:rsid w:val="00DB30AD"/>
    <w:rsid w:val="00DB4040"/>
    <w:rsid w:val="00DB5172"/>
    <w:rsid w:val="00DB5785"/>
    <w:rsid w:val="00DB5C2C"/>
    <w:rsid w:val="00DB6CE8"/>
    <w:rsid w:val="00DC029A"/>
    <w:rsid w:val="00DC094B"/>
    <w:rsid w:val="00DC0BB5"/>
    <w:rsid w:val="00DC0D7F"/>
    <w:rsid w:val="00DC36A3"/>
    <w:rsid w:val="00DC5089"/>
    <w:rsid w:val="00DC5340"/>
    <w:rsid w:val="00DC64C9"/>
    <w:rsid w:val="00DC7314"/>
    <w:rsid w:val="00DD1173"/>
    <w:rsid w:val="00DD34C4"/>
    <w:rsid w:val="00DD3A52"/>
    <w:rsid w:val="00DD432E"/>
    <w:rsid w:val="00DD5AE7"/>
    <w:rsid w:val="00DD6051"/>
    <w:rsid w:val="00DD6B3C"/>
    <w:rsid w:val="00DD706C"/>
    <w:rsid w:val="00DD72F6"/>
    <w:rsid w:val="00DD79E7"/>
    <w:rsid w:val="00DE0291"/>
    <w:rsid w:val="00DE0E8E"/>
    <w:rsid w:val="00DE3292"/>
    <w:rsid w:val="00DE5A81"/>
    <w:rsid w:val="00DE6D17"/>
    <w:rsid w:val="00DE7999"/>
    <w:rsid w:val="00DE7A43"/>
    <w:rsid w:val="00DE7EBC"/>
    <w:rsid w:val="00DF1816"/>
    <w:rsid w:val="00DF1DE3"/>
    <w:rsid w:val="00DF213F"/>
    <w:rsid w:val="00DF31DB"/>
    <w:rsid w:val="00DF3B6A"/>
    <w:rsid w:val="00DF3DCA"/>
    <w:rsid w:val="00DF53BF"/>
    <w:rsid w:val="00DF5D4E"/>
    <w:rsid w:val="00DF5E64"/>
    <w:rsid w:val="00DF5F10"/>
    <w:rsid w:val="00E01B28"/>
    <w:rsid w:val="00E05008"/>
    <w:rsid w:val="00E058B9"/>
    <w:rsid w:val="00E101F6"/>
    <w:rsid w:val="00E10839"/>
    <w:rsid w:val="00E118D1"/>
    <w:rsid w:val="00E12F0E"/>
    <w:rsid w:val="00E14B81"/>
    <w:rsid w:val="00E1564C"/>
    <w:rsid w:val="00E160FD"/>
    <w:rsid w:val="00E16346"/>
    <w:rsid w:val="00E1686D"/>
    <w:rsid w:val="00E173E3"/>
    <w:rsid w:val="00E23977"/>
    <w:rsid w:val="00E23FDD"/>
    <w:rsid w:val="00E2533D"/>
    <w:rsid w:val="00E277F6"/>
    <w:rsid w:val="00E3087A"/>
    <w:rsid w:val="00E30BE2"/>
    <w:rsid w:val="00E31CF4"/>
    <w:rsid w:val="00E32099"/>
    <w:rsid w:val="00E3300D"/>
    <w:rsid w:val="00E347E5"/>
    <w:rsid w:val="00E35156"/>
    <w:rsid w:val="00E36574"/>
    <w:rsid w:val="00E36606"/>
    <w:rsid w:val="00E376F2"/>
    <w:rsid w:val="00E378DA"/>
    <w:rsid w:val="00E37E8A"/>
    <w:rsid w:val="00E40082"/>
    <w:rsid w:val="00E40BFC"/>
    <w:rsid w:val="00E45148"/>
    <w:rsid w:val="00E46871"/>
    <w:rsid w:val="00E469B1"/>
    <w:rsid w:val="00E46B35"/>
    <w:rsid w:val="00E47096"/>
    <w:rsid w:val="00E50798"/>
    <w:rsid w:val="00E51FA8"/>
    <w:rsid w:val="00E5293A"/>
    <w:rsid w:val="00E53985"/>
    <w:rsid w:val="00E55562"/>
    <w:rsid w:val="00E567DA"/>
    <w:rsid w:val="00E60307"/>
    <w:rsid w:val="00E611F9"/>
    <w:rsid w:val="00E61414"/>
    <w:rsid w:val="00E61E73"/>
    <w:rsid w:val="00E626A6"/>
    <w:rsid w:val="00E62999"/>
    <w:rsid w:val="00E636A5"/>
    <w:rsid w:val="00E64AD0"/>
    <w:rsid w:val="00E6565D"/>
    <w:rsid w:val="00E66D84"/>
    <w:rsid w:val="00E70C9F"/>
    <w:rsid w:val="00E70F92"/>
    <w:rsid w:val="00E71A17"/>
    <w:rsid w:val="00E72315"/>
    <w:rsid w:val="00E73B6D"/>
    <w:rsid w:val="00E745D7"/>
    <w:rsid w:val="00E77C56"/>
    <w:rsid w:val="00E80913"/>
    <w:rsid w:val="00E82F5A"/>
    <w:rsid w:val="00E83827"/>
    <w:rsid w:val="00E84A62"/>
    <w:rsid w:val="00E85677"/>
    <w:rsid w:val="00E869A8"/>
    <w:rsid w:val="00E877CA"/>
    <w:rsid w:val="00E878C9"/>
    <w:rsid w:val="00E87E0C"/>
    <w:rsid w:val="00E903AD"/>
    <w:rsid w:val="00E917D5"/>
    <w:rsid w:val="00E92ABF"/>
    <w:rsid w:val="00E93345"/>
    <w:rsid w:val="00E933D3"/>
    <w:rsid w:val="00E935AA"/>
    <w:rsid w:val="00E9492F"/>
    <w:rsid w:val="00E97229"/>
    <w:rsid w:val="00EA084C"/>
    <w:rsid w:val="00EA1737"/>
    <w:rsid w:val="00EA2327"/>
    <w:rsid w:val="00EA46EF"/>
    <w:rsid w:val="00EA4B35"/>
    <w:rsid w:val="00EA58D1"/>
    <w:rsid w:val="00EA5DF5"/>
    <w:rsid w:val="00EB259F"/>
    <w:rsid w:val="00EB31AA"/>
    <w:rsid w:val="00EB39D7"/>
    <w:rsid w:val="00EB49F7"/>
    <w:rsid w:val="00EB5F07"/>
    <w:rsid w:val="00EC5A9D"/>
    <w:rsid w:val="00EC7237"/>
    <w:rsid w:val="00EC7641"/>
    <w:rsid w:val="00EC7B55"/>
    <w:rsid w:val="00ED0D26"/>
    <w:rsid w:val="00ED0FA1"/>
    <w:rsid w:val="00ED1896"/>
    <w:rsid w:val="00ED4C0B"/>
    <w:rsid w:val="00ED5C93"/>
    <w:rsid w:val="00ED6490"/>
    <w:rsid w:val="00ED6A20"/>
    <w:rsid w:val="00ED72D8"/>
    <w:rsid w:val="00ED7872"/>
    <w:rsid w:val="00ED78A9"/>
    <w:rsid w:val="00ED7E4F"/>
    <w:rsid w:val="00EE0B31"/>
    <w:rsid w:val="00EE1B09"/>
    <w:rsid w:val="00EE1D5D"/>
    <w:rsid w:val="00EE3BDA"/>
    <w:rsid w:val="00EE40B6"/>
    <w:rsid w:val="00EE6262"/>
    <w:rsid w:val="00EE6B8D"/>
    <w:rsid w:val="00EE7B7D"/>
    <w:rsid w:val="00EF053B"/>
    <w:rsid w:val="00EF42E0"/>
    <w:rsid w:val="00EF5099"/>
    <w:rsid w:val="00EF69AD"/>
    <w:rsid w:val="00EF6B83"/>
    <w:rsid w:val="00F00508"/>
    <w:rsid w:val="00F005C2"/>
    <w:rsid w:val="00F016A4"/>
    <w:rsid w:val="00F03BAC"/>
    <w:rsid w:val="00F03BD7"/>
    <w:rsid w:val="00F03CA0"/>
    <w:rsid w:val="00F04084"/>
    <w:rsid w:val="00F0453B"/>
    <w:rsid w:val="00F04575"/>
    <w:rsid w:val="00F04FDE"/>
    <w:rsid w:val="00F0536C"/>
    <w:rsid w:val="00F059F0"/>
    <w:rsid w:val="00F064D5"/>
    <w:rsid w:val="00F06CCB"/>
    <w:rsid w:val="00F11BC4"/>
    <w:rsid w:val="00F123E1"/>
    <w:rsid w:val="00F141AF"/>
    <w:rsid w:val="00F14292"/>
    <w:rsid w:val="00F142C4"/>
    <w:rsid w:val="00F144A5"/>
    <w:rsid w:val="00F15B9B"/>
    <w:rsid w:val="00F16626"/>
    <w:rsid w:val="00F2141E"/>
    <w:rsid w:val="00F2180F"/>
    <w:rsid w:val="00F258C4"/>
    <w:rsid w:val="00F25F29"/>
    <w:rsid w:val="00F31F6A"/>
    <w:rsid w:val="00F337A4"/>
    <w:rsid w:val="00F33F75"/>
    <w:rsid w:val="00F35F14"/>
    <w:rsid w:val="00F36BB4"/>
    <w:rsid w:val="00F4128D"/>
    <w:rsid w:val="00F41443"/>
    <w:rsid w:val="00F43150"/>
    <w:rsid w:val="00F44D5A"/>
    <w:rsid w:val="00F46B3B"/>
    <w:rsid w:val="00F50D28"/>
    <w:rsid w:val="00F5281A"/>
    <w:rsid w:val="00F5589F"/>
    <w:rsid w:val="00F5629F"/>
    <w:rsid w:val="00F56AFD"/>
    <w:rsid w:val="00F577E2"/>
    <w:rsid w:val="00F604B7"/>
    <w:rsid w:val="00F63552"/>
    <w:rsid w:val="00F65C7E"/>
    <w:rsid w:val="00F65D13"/>
    <w:rsid w:val="00F700E0"/>
    <w:rsid w:val="00F76BE0"/>
    <w:rsid w:val="00F80422"/>
    <w:rsid w:val="00F81627"/>
    <w:rsid w:val="00F81D80"/>
    <w:rsid w:val="00F825A3"/>
    <w:rsid w:val="00F82ECE"/>
    <w:rsid w:val="00F83113"/>
    <w:rsid w:val="00F83DBB"/>
    <w:rsid w:val="00F84812"/>
    <w:rsid w:val="00F84C95"/>
    <w:rsid w:val="00F857F1"/>
    <w:rsid w:val="00F85ADB"/>
    <w:rsid w:val="00F86103"/>
    <w:rsid w:val="00F86785"/>
    <w:rsid w:val="00F86A95"/>
    <w:rsid w:val="00F86CA8"/>
    <w:rsid w:val="00F90B2F"/>
    <w:rsid w:val="00F927FD"/>
    <w:rsid w:val="00F958EB"/>
    <w:rsid w:val="00F9594A"/>
    <w:rsid w:val="00F96ABB"/>
    <w:rsid w:val="00F9789E"/>
    <w:rsid w:val="00F97C80"/>
    <w:rsid w:val="00FA065B"/>
    <w:rsid w:val="00FA2D0B"/>
    <w:rsid w:val="00FA5D75"/>
    <w:rsid w:val="00FA64ED"/>
    <w:rsid w:val="00FB0EF5"/>
    <w:rsid w:val="00FB1F9C"/>
    <w:rsid w:val="00FB28BF"/>
    <w:rsid w:val="00FB5D95"/>
    <w:rsid w:val="00FB6594"/>
    <w:rsid w:val="00FB7074"/>
    <w:rsid w:val="00FC484F"/>
    <w:rsid w:val="00FC510F"/>
    <w:rsid w:val="00FC7CD0"/>
    <w:rsid w:val="00FD1964"/>
    <w:rsid w:val="00FD2E29"/>
    <w:rsid w:val="00FD42D8"/>
    <w:rsid w:val="00FD62F8"/>
    <w:rsid w:val="00FD63E8"/>
    <w:rsid w:val="00FD7F39"/>
    <w:rsid w:val="00FD7FC4"/>
    <w:rsid w:val="00FE06B3"/>
    <w:rsid w:val="00FE09D7"/>
    <w:rsid w:val="00FE3650"/>
    <w:rsid w:val="00FE3BDA"/>
    <w:rsid w:val="00FE4D39"/>
    <w:rsid w:val="00FE6610"/>
    <w:rsid w:val="00FF0131"/>
    <w:rsid w:val="00FF19D1"/>
    <w:rsid w:val="00FF3111"/>
    <w:rsid w:val="00FF4A7A"/>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ACBE"/>
  <w15:docId w15:val="{EA7CCAE3-8BFB-454E-9D5B-7BB31016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98"/>
    <w:pPr>
      <w:ind w:left="720"/>
      <w:contextualSpacing/>
    </w:pPr>
  </w:style>
  <w:style w:type="paragraph" w:styleId="Header">
    <w:name w:val="header"/>
    <w:basedOn w:val="Normal"/>
    <w:link w:val="HeaderChar"/>
    <w:rsid w:val="00A06D80"/>
    <w:pPr>
      <w:tabs>
        <w:tab w:val="center" w:pos="4513"/>
        <w:tab w:val="right" w:pos="9026"/>
      </w:tabs>
    </w:pPr>
  </w:style>
  <w:style w:type="character" w:customStyle="1" w:styleId="HeaderChar">
    <w:name w:val="Header Char"/>
    <w:basedOn w:val="DefaultParagraphFont"/>
    <w:link w:val="Header"/>
    <w:rsid w:val="00A06D80"/>
    <w:rPr>
      <w:sz w:val="24"/>
      <w:szCs w:val="24"/>
    </w:rPr>
  </w:style>
  <w:style w:type="paragraph" w:styleId="Footer">
    <w:name w:val="footer"/>
    <w:basedOn w:val="Normal"/>
    <w:link w:val="FooterChar"/>
    <w:uiPriority w:val="99"/>
    <w:rsid w:val="00A06D80"/>
    <w:pPr>
      <w:tabs>
        <w:tab w:val="center" w:pos="4513"/>
        <w:tab w:val="right" w:pos="9026"/>
      </w:tabs>
    </w:pPr>
  </w:style>
  <w:style w:type="character" w:customStyle="1" w:styleId="FooterChar">
    <w:name w:val="Footer Char"/>
    <w:basedOn w:val="DefaultParagraphFont"/>
    <w:link w:val="Footer"/>
    <w:uiPriority w:val="99"/>
    <w:rsid w:val="00A06D80"/>
    <w:rPr>
      <w:sz w:val="24"/>
      <w:szCs w:val="24"/>
    </w:rPr>
  </w:style>
  <w:style w:type="table" w:styleId="TableGrid">
    <w:name w:val="Table Grid"/>
    <w:basedOn w:val="TableNormal"/>
    <w:rsid w:val="00C8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0DD1"/>
    <w:rPr>
      <w:rFonts w:ascii="Segoe UI" w:hAnsi="Segoe UI" w:cs="Segoe UI"/>
      <w:sz w:val="18"/>
      <w:szCs w:val="18"/>
    </w:rPr>
  </w:style>
  <w:style w:type="character" w:customStyle="1" w:styleId="BalloonTextChar">
    <w:name w:val="Balloon Text Char"/>
    <w:basedOn w:val="DefaultParagraphFont"/>
    <w:link w:val="BalloonText"/>
    <w:rsid w:val="001B0DD1"/>
    <w:rPr>
      <w:rFonts w:ascii="Segoe UI" w:hAnsi="Segoe UI" w:cs="Segoe UI"/>
      <w:sz w:val="18"/>
      <w:szCs w:val="18"/>
    </w:rPr>
  </w:style>
  <w:style w:type="character" w:styleId="Hyperlink">
    <w:name w:val="Hyperlink"/>
    <w:basedOn w:val="DefaultParagraphFont"/>
    <w:uiPriority w:val="99"/>
    <w:rsid w:val="00BC0093"/>
    <w:rPr>
      <w:color w:val="0563C1" w:themeColor="hyperlink"/>
      <w:u w:val="single"/>
    </w:rPr>
  </w:style>
  <w:style w:type="numbering" w:customStyle="1" w:styleId="1">
    <w:name w:val="Χωρίς λίστα1"/>
    <w:next w:val="NoList"/>
    <w:uiPriority w:val="99"/>
    <w:semiHidden/>
    <w:unhideWhenUsed/>
    <w:rsid w:val="0041539E"/>
  </w:style>
  <w:style w:type="numbering" w:customStyle="1" w:styleId="11">
    <w:name w:val="Χωρίς λίστα11"/>
    <w:next w:val="NoList"/>
    <w:uiPriority w:val="99"/>
    <w:semiHidden/>
    <w:unhideWhenUsed/>
    <w:rsid w:val="0041539E"/>
  </w:style>
  <w:style w:type="table" w:customStyle="1" w:styleId="10">
    <w:name w:val="Πλέγμα πίνακα1"/>
    <w:basedOn w:val="TableNormal"/>
    <w:next w:val="TableGrid"/>
    <w:rsid w:val="0041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Υπερ-σύνδεση1"/>
    <w:basedOn w:val="DefaultParagraphFont"/>
    <w:rsid w:val="0041539E"/>
    <w:rPr>
      <w:color w:val="0563C1"/>
      <w:u w:val="single"/>
    </w:rPr>
  </w:style>
  <w:style w:type="character" w:styleId="CommentReference">
    <w:name w:val="annotation reference"/>
    <w:basedOn w:val="DefaultParagraphFont"/>
    <w:uiPriority w:val="99"/>
    <w:semiHidden/>
    <w:unhideWhenUsed/>
    <w:rsid w:val="0041539E"/>
    <w:rPr>
      <w:sz w:val="16"/>
      <w:szCs w:val="16"/>
    </w:rPr>
  </w:style>
  <w:style w:type="paragraph" w:styleId="CommentText">
    <w:name w:val="annotation text"/>
    <w:basedOn w:val="Normal"/>
    <w:link w:val="CommentTextChar"/>
    <w:uiPriority w:val="99"/>
    <w:semiHidden/>
    <w:unhideWhenUsed/>
    <w:rsid w:val="0041539E"/>
    <w:pPr>
      <w:spacing w:after="200"/>
    </w:pPr>
    <w:rPr>
      <w:rFonts w:ascii="Calibri" w:eastAsia="Calibri" w:hAnsi="Calibri"/>
      <w:sz w:val="20"/>
      <w:szCs w:val="20"/>
      <w:lang w:val="el-GR" w:eastAsia="en-US"/>
    </w:rPr>
  </w:style>
  <w:style w:type="character" w:customStyle="1" w:styleId="CommentTextChar">
    <w:name w:val="Comment Text Char"/>
    <w:basedOn w:val="DefaultParagraphFont"/>
    <w:link w:val="CommentText"/>
    <w:uiPriority w:val="99"/>
    <w:semiHidden/>
    <w:rsid w:val="0041539E"/>
    <w:rPr>
      <w:rFonts w:ascii="Calibri" w:eastAsia="Calibri" w:hAnsi="Calibri"/>
      <w:lang w:val="el-GR" w:eastAsia="en-US"/>
    </w:rPr>
  </w:style>
  <w:style w:type="paragraph" w:styleId="CommentSubject">
    <w:name w:val="annotation subject"/>
    <w:basedOn w:val="CommentText"/>
    <w:next w:val="CommentText"/>
    <w:link w:val="CommentSubjectChar"/>
    <w:uiPriority w:val="99"/>
    <w:semiHidden/>
    <w:unhideWhenUsed/>
    <w:rsid w:val="0041539E"/>
    <w:rPr>
      <w:b/>
      <w:bCs/>
    </w:rPr>
  </w:style>
  <w:style w:type="character" w:customStyle="1" w:styleId="CommentSubjectChar">
    <w:name w:val="Comment Subject Char"/>
    <w:basedOn w:val="CommentTextChar"/>
    <w:link w:val="CommentSubject"/>
    <w:uiPriority w:val="99"/>
    <w:semiHidden/>
    <w:rsid w:val="0041539E"/>
    <w:rPr>
      <w:rFonts w:ascii="Calibri" w:eastAsia="Calibri" w:hAnsi="Calibri"/>
      <w:b/>
      <w:bCs/>
      <w:lang w:val="el-GR" w:eastAsia="en-US"/>
    </w:rPr>
  </w:style>
  <w:style w:type="character" w:styleId="PlaceholderText">
    <w:name w:val="Placeholder Text"/>
    <w:basedOn w:val="DefaultParagraphFont"/>
    <w:uiPriority w:val="99"/>
    <w:semiHidden/>
    <w:rsid w:val="0041539E"/>
    <w:rPr>
      <w:color w:val="808080"/>
    </w:rPr>
  </w:style>
  <w:style w:type="paragraph" w:styleId="FootnoteText">
    <w:name w:val="footnote text"/>
    <w:basedOn w:val="Normal"/>
    <w:link w:val="FootnoteTextChar"/>
    <w:semiHidden/>
    <w:unhideWhenUsed/>
    <w:rsid w:val="002D4EA2"/>
    <w:rPr>
      <w:sz w:val="20"/>
      <w:szCs w:val="20"/>
    </w:rPr>
  </w:style>
  <w:style w:type="character" w:customStyle="1" w:styleId="FootnoteTextChar">
    <w:name w:val="Footnote Text Char"/>
    <w:basedOn w:val="DefaultParagraphFont"/>
    <w:link w:val="FootnoteText"/>
    <w:semiHidden/>
    <w:rsid w:val="002D4EA2"/>
  </w:style>
  <w:style w:type="character" w:styleId="FootnoteReference">
    <w:name w:val="footnote reference"/>
    <w:basedOn w:val="DefaultParagraphFont"/>
    <w:semiHidden/>
    <w:unhideWhenUsed/>
    <w:rsid w:val="002D4EA2"/>
    <w:rPr>
      <w:vertAlign w:val="superscript"/>
    </w:rPr>
  </w:style>
  <w:style w:type="character" w:styleId="FollowedHyperlink">
    <w:name w:val="FollowedHyperlink"/>
    <w:basedOn w:val="DefaultParagraphFont"/>
    <w:semiHidden/>
    <w:unhideWhenUsed/>
    <w:rsid w:val="00F14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4243">
      <w:bodyDiv w:val="1"/>
      <w:marLeft w:val="0"/>
      <w:marRight w:val="0"/>
      <w:marTop w:val="0"/>
      <w:marBottom w:val="0"/>
      <w:divBdr>
        <w:top w:val="none" w:sz="0" w:space="0" w:color="auto"/>
        <w:left w:val="none" w:sz="0" w:space="0" w:color="auto"/>
        <w:bottom w:val="none" w:sz="0" w:space="0" w:color="auto"/>
        <w:right w:val="none" w:sz="0" w:space="0" w:color="auto"/>
      </w:divBdr>
    </w:div>
    <w:div w:id="373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59EB-394E-4F8C-9DB4-A95D40AE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447E3C12</Template>
  <TotalTime>254</TotalTime>
  <Pages>26</Pages>
  <Words>6802</Words>
  <Characters>38776</Characters>
  <Application>Microsoft Office Word</Application>
  <DocSecurity>0</DocSecurity>
  <Lines>323</Lines>
  <Paragraphs>90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Anglia Ruskin University</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Drydakis, Nick</dc:creator>
  <cp:lastModifiedBy>Drydakis, Nick</cp:lastModifiedBy>
  <cp:revision>47</cp:revision>
  <cp:lastPrinted>2019-01-22T15:33:00Z</cp:lastPrinted>
  <dcterms:created xsi:type="dcterms:W3CDTF">2019-02-11T07:42:00Z</dcterms:created>
  <dcterms:modified xsi:type="dcterms:W3CDTF">2019-05-13T17:35:00Z</dcterms:modified>
</cp:coreProperties>
</file>