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E50CC" w14:textId="66F533E9" w:rsidR="00867D47" w:rsidRPr="0053048D" w:rsidRDefault="00867D47" w:rsidP="0053048D">
      <w:pPr>
        <w:spacing w:line="480" w:lineRule="auto"/>
        <w:rPr>
          <w:i/>
        </w:rPr>
      </w:pPr>
      <w:r w:rsidRPr="0053048D">
        <w:rPr>
          <w:i/>
        </w:rPr>
        <w:t xml:space="preserve">This is the accepted version of the following article: </w:t>
      </w:r>
      <w:r w:rsidR="0053048D" w:rsidRPr="0053048D">
        <w:t>Wilson C, King M, Russell J. A mixed</w:t>
      </w:r>
      <w:r w:rsidR="0053048D" w:rsidRPr="0053048D">
        <w:rPr>
          <w:rFonts w:hint="eastAsia"/>
        </w:rPr>
        <w:t>‐</w:t>
      </w:r>
      <w:r w:rsidR="0053048D" w:rsidRPr="0053048D">
        <w:t>methods evaluation of a Recovery College in South East Essex for people with mental health difficulties</w:t>
      </w:r>
      <w:r w:rsidR="0053048D" w:rsidRPr="0053048D">
        <w:rPr>
          <w:i/>
        </w:rPr>
        <w:t xml:space="preserve">. </w:t>
      </w:r>
      <w:r w:rsidR="0053048D" w:rsidRPr="0053048D">
        <w:rPr>
          <w:i/>
          <w:iCs/>
        </w:rPr>
        <w:t>Health</w:t>
      </w:r>
      <w:r w:rsidR="0053048D" w:rsidRPr="0053048D">
        <w:rPr>
          <w:i/>
        </w:rPr>
        <w:t xml:space="preserve"> </w:t>
      </w:r>
      <w:proofErr w:type="spellStart"/>
      <w:r w:rsidR="0053048D" w:rsidRPr="0053048D">
        <w:rPr>
          <w:i/>
          <w:iCs/>
        </w:rPr>
        <w:t>Soc</w:t>
      </w:r>
      <w:proofErr w:type="spellEnd"/>
      <w:r w:rsidR="0053048D" w:rsidRPr="0053048D">
        <w:rPr>
          <w:i/>
          <w:iCs/>
        </w:rPr>
        <w:t xml:space="preserve"> Care Community</w:t>
      </w:r>
      <w:r w:rsidR="0053048D" w:rsidRPr="0053048D">
        <w:rPr>
          <w:i/>
        </w:rPr>
        <w:t xml:space="preserve">. </w:t>
      </w:r>
      <w:r w:rsidR="0053048D" w:rsidRPr="0053048D">
        <w:t>2019; 00:1</w:t>
      </w:r>
      <w:r w:rsidR="0053048D" w:rsidRPr="0053048D">
        <w:rPr>
          <w:rFonts w:hint="eastAsia"/>
        </w:rPr>
        <w:t>–</w:t>
      </w:r>
      <w:r w:rsidR="0053048D" w:rsidRPr="0053048D">
        <w:t>10</w:t>
      </w:r>
      <w:r w:rsidR="0053048D" w:rsidRPr="0053048D">
        <w:rPr>
          <w:i/>
        </w:rPr>
        <w:t>;</w:t>
      </w:r>
      <w:r w:rsidRPr="0053048D">
        <w:rPr>
          <w:i/>
        </w:rPr>
        <w:t xml:space="preserve"> which has </w:t>
      </w:r>
      <w:bookmarkStart w:id="0" w:name="_GoBack"/>
      <w:bookmarkEnd w:id="0"/>
      <w:r w:rsidRPr="0053048D">
        <w:rPr>
          <w:i/>
        </w:rPr>
        <w:t>b</w:t>
      </w:r>
      <w:r w:rsidR="0053048D" w:rsidRPr="0053048D">
        <w:rPr>
          <w:i/>
        </w:rPr>
        <w:t xml:space="preserve">een published in final form at </w:t>
      </w:r>
      <w:hyperlink r:id="rId8" w:history="1">
        <w:r w:rsidR="0053048D" w:rsidRPr="0053048D">
          <w:rPr>
            <w:rStyle w:val="Hyperlink"/>
            <w:i/>
          </w:rPr>
          <w:t>https://onlinelibrary.wiley.com/doi/10.1111/hsc.12774</w:t>
        </w:r>
      </w:hyperlink>
      <w:r w:rsidR="0053048D" w:rsidRPr="0053048D">
        <w:rPr>
          <w:i/>
        </w:rPr>
        <w:t xml:space="preserve"> </w:t>
      </w:r>
    </w:p>
    <w:p w14:paraId="38AD748D" w14:textId="77777777" w:rsidR="00867D47" w:rsidRDefault="00867D47" w:rsidP="0094477D">
      <w:pPr>
        <w:spacing w:line="480" w:lineRule="auto"/>
        <w:jc w:val="center"/>
        <w:rPr>
          <w:b/>
        </w:rPr>
      </w:pPr>
    </w:p>
    <w:p w14:paraId="7F898C6A" w14:textId="5A6A3CDB" w:rsidR="00012665" w:rsidRPr="00270674" w:rsidRDefault="00386A60" w:rsidP="0094477D">
      <w:pPr>
        <w:spacing w:line="480" w:lineRule="auto"/>
        <w:jc w:val="center"/>
        <w:rPr>
          <w:b/>
        </w:rPr>
      </w:pPr>
      <w:r w:rsidRPr="00270674">
        <w:rPr>
          <w:b/>
        </w:rPr>
        <w:t xml:space="preserve">A mixed-methods evaluation of a Recovery College </w:t>
      </w:r>
      <w:r w:rsidR="00C53921" w:rsidRPr="00270674">
        <w:rPr>
          <w:b/>
        </w:rPr>
        <w:t>in South East Essex</w:t>
      </w:r>
      <w:r w:rsidRPr="00270674">
        <w:rPr>
          <w:b/>
        </w:rPr>
        <w:t xml:space="preserve"> for people with mental health difficulties</w:t>
      </w:r>
      <w:r w:rsidR="00012665" w:rsidRPr="00270674">
        <w:rPr>
          <w:b/>
        </w:rPr>
        <w:t>.</w:t>
      </w:r>
    </w:p>
    <w:p w14:paraId="53D7A5ED" w14:textId="72074CD3" w:rsidR="006C172A" w:rsidRPr="00270674" w:rsidRDefault="006C172A" w:rsidP="00012665">
      <w:pPr>
        <w:spacing w:line="480" w:lineRule="auto"/>
        <w:jc w:val="center"/>
        <w:rPr>
          <w:b/>
        </w:rPr>
      </w:pPr>
      <w:r w:rsidRPr="00270674">
        <w:rPr>
          <w:b/>
        </w:rPr>
        <w:t>Abstract</w:t>
      </w:r>
    </w:p>
    <w:p w14:paraId="69301071" w14:textId="3148A67D" w:rsidR="00D460E3" w:rsidRPr="00270674" w:rsidRDefault="00D460E3" w:rsidP="00E95962">
      <w:pPr>
        <w:spacing w:line="480" w:lineRule="auto"/>
        <w:ind w:firstLine="720"/>
        <w:jc w:val="both"/>
      </w:pPr>
      <w:r w:rsidRPr="00270674">
        <w:t>Recovery Colleges aim to assist people with mental health difficulties in the journey to recovery through education. They bring together professional and lived experience of mental health challenges in a non-stigmatising college environment and operate on college principles. All courses are designed to contribute tow</w:t>
      </w:r>
      <w:r w:rsidR="001E72A4" w:rsidRPr="00270674">
        <w:t>ards wellbeing and recovery</w:t>
      </w:r>
      <w:r w:rsidRPr="00270674">
        <w:t xml:space="preserve">. </w:t>
      </w:r>
      <w:r w:rsidR="0029016D" w:rsidRPr="00270674">
        <w:t>Despite the ever-g</w:t>
      </w:r>
      <w:r w:rsidRPr="00270674">
        <w:t>rowing number of Recovery Colleges</w:t>
      </w:r>
      <w:r w:rsidR="001E72A4" w:rsidRPr="00270674">
        <w:t xml:space="preserve"> (both in the UK and internationally)</w:t>
      </w:r>
      <w:r w:rsidRPr="00270674">
        <w:t xml:space="preserve">, the evaluative evidence is limited; comprising mostly non-peer-reviewed evaluations, audits and case studies. The present article comprises a mixed-methods evaluation of a newly established Recovery College in South East Essex, UK. The evaluation comprised questionnaires of mental wellbeing and social inclusion </w:t>
      </w:r>
      <w:r w:rsidR="001E72A4" w:rsidRPr="00270674">
        <w:t>at baseline, and three and six month follow-up</w:t>
      </w:r>
      <w:r w:rsidR="0029016D" w:rsidRPr="00270674">
        <w:t>; in addition to three focus groups</w:t>
      </w:r>
      <w:r w:rsidRPr="00270674">
        <w:t xml:space="preserve">. </w:t>
      </w:r>
      <w:r w:rsidR="001E72A4" w:rsidRPr="00270674">
        <w:t>There were significant improvements in both mental wellbeing and social inclusion from baseline to six month follow-up</w:t>
      </w:r>
      <w:r w:rsidR="001D7B4E" w:rsidRPr="00270674">
        <w:t xml:space="preserve"> (25 participants completed the measure of wellbeing at both time points, and 19 completed the measure of social inclusion)</w:t>
      </w:r>
      <w:r w:rsidR="001E72A4" w:rsidRPr="00270674">
        <w:t>. This was</w:t>
      </w:r>
      <w:r w:rsidRPr="00270674">
        <w:t xml:space="preserve"> supported by additional free-text questionnaire comments and focus group findings</w:t>
      </w:r>
      <w:r w:rsidR="001D7B4E" w:rsidRPr="00270674">
        <w:t xml:space="preserve"> (17 participants participated across the focus groups)</w:t>
      </w:r>
      <w:r w:rsidRPr="00270674">
        <w:t xml:space="preserve">, with reports of increased confidence, reduced anxiety, and increased social inclusion/reduced social isolation. </w:t>
      </w:r>
      <w:r w:rsidR="001E72A4" w:rsidRPr="00270674">
        <w:t>Additionally,</w:t>
      </w:r>
      <w:r w:rsidR="0029016D" w:rsidRPr="00270674">
        <w:t xml:space="preserve"> at </w:t>
      </w:r>
      <w:r w:rsidR="009919C0" w:rsidRPr="00270674">
        <w:t xml:space="preserve">six month </w:t>
      </w:r>
      <w:r w:rsidR="0029016D" w:rsidRPr="00270674">
        <w:t>follow-up</w:t>
      </w:r>
      <w:r w:rsidRPr="00270674">
        <w:t xml:space="preserve"> </w:t>
      </w:r>
      <w:r w:rsidR="004E1D68" w:rsidRPr="0053048D">
        <w:t>the majority</w:t>
      </w:r>
      <w:r w:rsidRPr="0053048D">
        <w:t xml:space="preserve"> </w:t>
      </w:r>
      <w:r w:rsidR="004E1D68" w:rsidRPr="0053048D">
        <w:t>of respondents</w:t>
      </w:r>
      <w:r w:rsidR="004E1D68">
        <w:t xml:space="preserve"> </w:t>
      </w:r>
      <w:r w:rsidRPr="00270674">
        <w:t xml:space="preserve">were planning on attending courses </w:t>
      </w:r>
      <w:r w:rsidRPr="00270674">
        <w:lastRenderedPageBreak/>
        <w:t>exte</w:t>
      </w:r>
      <w:r w:rsidR="004E1D68">
        <w:t xml:space="preserve">rnal to the Recovery College, volunteering, and/or </w:t>
      </w:r>
      <w:r w:rsidRPr="00270674">
        <w:t xml:space="preserve">gaining paid employment. </w:t>
      </w:r>
      <w:r w:rsidR="0029016D" w:rsidRPr="00270674">
        <w:t xml:space="preserve">Challenges and recommendations identified through the focus groups indicate </w:t>
      </w:r>
      <w:r w:rsidR="009919C0" w:rsidRPr="00270674">
        <w:t>the importance for</w:t>
      </w:r>
      <w:r w:rsidR="0029016D" w:rsidRPr="00270674">
        <w:t xml:space="preserve"> standardisation of processes </w:t>
      </w:r>
      <w:r w:rsidR="009919C0" w:rsidRPr="00270674">
        <w:t>(</w:t>
      </w:r>
      <w:r w:rsidR="0029016D" w:rsidRPr="00270674">
        <w:t>which is particularly important when multiple organisations are involved in the running of a Recovery College</w:t>
      </w:r>
      <w:r w:rsidR="009919C0" w:rsidRPr="00270674">
        <w:t>)</w:t>
      </w:r>
      <w:r w:rsidR="0029016D" w:rsidRPr="00270674">
        <w:t xml:space="preserve">, as well as consideration of longer-running courses. Funders should continue to invest in the Recovery College movement as the growing evidence-base is demonstrating how these colleges can help address the </w:t>
      </w:r>
      <w:r w:rsidR="00F914A1" w:rsidRPr="00270674">
        <w:t>high</w:t>
      </w:r>
      <w:r w:rsidR="00712328" w:rsidRPr="00270674">
        <w:t xml:space="preserve"> </w:t>
      </w:r>
      <w:r w:rsidR="0029016D" w:rsidRPr="00270674">
        <w:t>prevalence of mental health difficulties, by promoting mental wellbeing and social inclusion.</w:t>
      </w:r>
    </w:p>
    <w:p w14:paraId="60026DA4" w14:textId="679CFEFB" w:rsidR="00775325" w:rsidRDefault="00775325" w:rsidP="006C172A">
      <w:pPr>
        <w:spacing w:line="480" w:lineRule="auto"/>
      </w:pPr>
      <w:r w:rsidRPr="00270674">
        <w:rPr>
          <w:i/>
        </w:rPr>
        <w:t>Keywords</w:t>
      </w:r>
      <w:r w:rsidRPr="00270674">
        <w:t xml:space="preserve">: Mental health; </w:t>
      </w:r>
      <w:proofErr w:type="gramStart"/>
      <w:r w:rsidRPr="00270674">
        <w:t>Mental</w:t>
      </w:r>
      <w:proofErr w:type="gramEnd"/>
      <w:r w:rsidRPr="00270674">
        <w:t xml:space="preserve"> wellbeing; Mixed methods; Recovery, Recovery College; Social inclusion.</w:t>
      </w:r>
    </w:p>
    <w:p w14:paraId="0CEEE171" w14:textId="77777777" w:rsidR="0053048D" w:rsidRPr="00270674" w:rsidRDefault="0053048D" w:rsidP="006C172A">
      <w:pPr>
        <w:spacing w:line="480" w:lineRule="auto"/>
      </w:pPr>
    </w:p>
    <w:p w14:paraId="6B307BC7" w14:textId="72242D9D" w:rsidR="006C172A" w:rsidRPr="00270674" w:rsidRDefault="006C172A" w:rsidP="006C172A">
      <w:pPr>
        <w:spacing w:line="480" w:lineRule="auto"/>
        <w:rPr>
          <w:b/>
        </w:rPr>
      </w:pPr>
      <w:r w:rsidRPr="00270674">
        <w:rPr>
          <w:b/>
        </w:rPr>
        <w:t>What is known about this topic?</w:t>
      </w:r>
    </w:p>
    <w:p w14:paraId="70F6C184" w14:textId="1D304C8D" w:rsidR="006C172A" w:rsidRPr="00270674" w:rsidRDefault="001E5350" w:rsidP="001E5350">
      <w:pPr>
        <w:pStyle w:val="ListParagraph"/>
        <w:numPr>
          <w:ilvl w:val="0"/>
          <w:numId w:val="21"/>
        </w:numPr>
        <w:spacing w:line="480" w:lineRule="auto"/>
      </w:pPr>
      <w:r w:rsidRPr="00270674">
        <w:t>Recovery Colleges are growing in number across the UK and internationally.</w:t>
      </w:r>
    </w:p>
    <w:p w14:paraId="60F57A4A" w14:textId="4A2CEED3" w:rsidR="001E5350" w:rsidRPr="00270674" w:rsidRDefault="001E5350" w:rsidP="001E5350">
      <w:pPr>
        <w:pStyle w:val="ListParagraph"/>
        <w:numPr>
          <w:ilvl w:val="0"/>
          <w:numId w:val="21"/>
        </w:numPr>
        <w:spacing w:line="480" w:lineRule="auto"/>
      </w:pPr>
      <w:r w:rsidRPr="00270674">
        <w:t>Initial evidence indicates some improvement to mental wellbeing and social inclusion.</w:t>
      </w:r>
    </w:p>
    <w:p w14:paraId="6CC1807F" w14:textId="495A7571" w:rsidR="001E5350" w:rsidRPr="00270674" w:rsidRDefault="001E5350" w:rsidP="001E5350">
      <w:pPr>
        <w:pStyle w:val="ListParagraph"/>
        <w:numPr>
          <w:ilvl w:val="0"/>
          <w:numId w:val="21"/>
        </w:numPr>
        <w:spacing w:line="480" w:lineRule="auto"/>
      </w:pPr>
      <w:r w:rsidRPr="00270674">
        <w:t>The evaluative evidence is limited; comprising mostly non-peer-reviewed evaluations, audits and case studies.</w:t>
      </w:r>
    </w:p>
    <w:p w14:paraId="3C9EED48" w14:textId="69FA852B" w:rsidR="006C172A" w:rsidRPr="00270674" w:rsidRDefault="006C172A" w:rsidP="006C172A">
      <w:pPr>
        <w:spacing w:line="480" w:lineRule="auto"/>
        <w:rPr>
          <w:b/>
        </w:rPr>
      </w:pPr>
      <w:r w:rsidRPr="00270674">
        <w:rPr>
          <w:b/>
        </w:rPr>
        <w:t>What this paper adds</w:t>
      </w:r>
    </w:p>
    <w:p w14:paraId="746F2F42" w14:textId="42702E51" w:rsidR="001E5350" w:rsidRPr="00270674" w:rsidRDefault="001E5350" w:rsidP="001E5350">
      <w:pPr>
        <w:pStyle w:val="ListParagraph"/>
        <w:numPr>
          <w:ilvl w:val="0"/>
          <w:numId w:val="22"/>
        </w:numPr>
        <w:spacing w:line="480" w:lineRule="auto"/>
      </w:pPr>
      <w:r w:rsidRPr="00270674">
        <w:t xml:space="preserve">Evaluation of a Recovery College exploring mental wellbeing and social inclusion impacts, with </w:t>
      </w:r>
      <w:r w:rsidR="00BC3920" w:rsidRPr="00270674">
        <w:t>six month</w:t>
      </w:r>
      <w:r w:rsidRPr="00270674">
        <w:t xml:space="preserve"> follow-up.</w:t>
      </w:r>
    </w:p>
    <w:p w14:paraId="4AD3BCFB" w14:textId="444A67EC" w:rsidR="001E5350" w:rsidRPr="00270674" w:rsidRDefault="001E5350" w:rsidP="001E5350">
      <w:pPr>
        <w:pStyle w:val="ListParagraph"/>
        <w:numPr>
          <w:ilvl w:val="0"/>
          <w:numId w:val="22"/>
        </w:numPr>
        <w:spacing w:line="480" w:lineRule="auto"/>
      </w:pPr>
      <w:r w:rsidRPr="00270674">
        <w:t>There were significant improvements in</w:t>
      </w:r>
      <w:r w:rsidR="001D7B4E" w:rsidRPr="00270674">
        <w:t xml:space="preserve"> self-reported</w:t>
      </w:r>
      <w:r w:rsidRPr="00270674">
        <w:t xml:space="preserve"> mental wellbeing and social inclusion from baseline to six month follow-up</w:t>
      </w:r>
      <w:r w:rsidR="00651C0F" w:rsidRPr="00270674">
        <w:t>, with wellbeing and social impacts</w:t>
      </w:r>
      <w:r w:rsidRPr="00270674">
        <w:t xml:space="preserve"> further supported by qualitative findings.</w:t>
      </w:r>
    </w:p>
    <w:p w14:paraId="7BD6D761" w14:textId="2919906E" w:rsidR="00F11EFC" w:rsidRPr="00270674" w:rsidRDefault="001E5350" w:rsidP="006C172A">
      <w:pPr>
        <w:pStyle w:val="ListParagraph"/>
        <w:numPr>
          <w:ilvl w:val="0"/>
          <w:numId w:val="22"/>
        </w:numPr>
        <w:spacing w:line="480" w:lineRule="auto"/>
      </w:pPr>
      <w:r w:rsidRPr="00270674">
        <w:t xml:space="preserve">Challenges and recommendations identified through the focus groups indicate the importance for standardisation of processes when multiple organisations </w:t>
      </w:r>
      <w:r w:rsidRPr="00270674">
        <w:lastRenderedPageBreak/>
        <w:t>are involved in the running of a college, as well as consideration of longer-running courses.</w:t>
      </w:r>
    </w:p>
    <w:p w14:paraId="0D6FC7FC" w14:textId="77777777" w:rsidR="00F11EFC" w:rsidRPr="00270674" w:rsidRDefault="00F11EFC" w:rsidP="006C172A">
      <w:pPr>
        <w:spacing w:line="480" w:lineRule="auto"/>
      </w:pPr>
    </w:p>
    <w:p w14:paraId="6EADA468" w14:textId="52925BC6" w:rsidR="0001142C" w:rsidRPr="00270674" w:rsidRDefault="00CA410D" w:rsidP="00012665">
      <w:pPr>
        <w:spacing w:line="480" w:lineRule="auto"/>
        <w:jc w:val="center"/>
        <w:rPr>
          <w:b/>
        </w:rPr>
      </w:pPr>
      <w:r w:rsidRPr="00270674">
        <w:rPr>
          <w:b/>
        </w:rPr>
        <w:t>Introduction</w:t>
      </w:r>
    </w:p>
    <w:p w14:paraId="2D0EF61B" w14:textId="5EEE5EC9" w:rsidR="00187D61" w:rsidRPr="00270674" w:rsidRDefault="00273455" w:rsidP="00273455">
      <w:pPr>
        <w:spacing w:line="480" w:lineRule="auto"/>
        <w:ind w:firstLine="720"/>
        <w:jc w:val="both"/>
      </w:pPr>
      <w:r w:rsidRPr="00270674">
        <w:t>Every wee</w:t>
      </w:r>
      <w:r w:rsidR="00145DDF" w:rsidRPr="00270674">
        <w:t>k</w:t>
      </w:r>
      <w:r w:rsidRPr="00270674">
        <w:t xml:space="preserve"> one in six adults experience symptoms of</w:t>
      </w:r>
      <w:r w:rsidR="00145DDF" w:rsidRPr="00270674">
        <w:t xml:space="preserve"> a common mental health problem</w:t>
      </w:r>
      <w:r w:rsidRPr="00270674">
        <w:t xml:space="preserve"> such as </w:t>
      </w:r>
      <w:r w:rsidR="00AB1E43" w:rsidRPr="00270674">
        <w:t>anxiety or depression, and</w:t>
      </w:r>
      <w:r w:rsidRPr="00270674">
        <w:t xml:space="preserve"> </w:t>
      </w:r>
      <w:r w:rsidR="00AB1E43" w:rsidRPr="00270674">
        <w:t>n</w:t>
      </w:r>
      <w:r w:rsidRPr="00270674">
        <w:t xml:space="preserve">early half of </w:t>
      </w:r>
      <w:r w:rsidR="00AB1E43" w:rsidRPr="00270674">
        <w:t xml:space="preserve">all </w:t>
      </w:r>
      <w:r w:rsidRPr="00270674">
        <w:t xml:space="preserve">adults </w:t>
      </w:r>
      <w:r w:rsidR="00145DDF" w:rsidRPr="00270674">
        <w:t>believe that</w:t>
      </w:r>
      <w:r w:rsidRPr="00270674">
        <w:t xml:space="preserve"> in their lifeti</w:t>
      </w:r>
      <w:r w:rsidR="00145DDF" w:rsidRPr="00270674">
        <w:t>me</w:t>
      </w:r>
      <w:r w:rsidRPr="00270674">
        <w:t xml:space="preserve"> they have had a diagnosable </w:t>
      </w:r>
      <w:r w:rsidR="00AB1E43" w:rsidRPr="00270674">
        <w:t xml:space="preserve">mental health problem </w:t>
      </w:r>
      <w:r w:rsidRPr="00270674">
        <w:t xml:space="preserve">(Mental Health Foundation, 2016). </w:t>
      </w:r>
      <w:r w:rsidR="0094477D" w:rsidRPr="00270674">
        <w:t>Mental health difficulties impact on individual, societal, and financial level</w:t>
      </w:r>
      <w:r w:rsidR="00CD57F4" w:rsidRPr="00270674">
        <w:t>s: for example;</w:t>
      </w:r>
      <w:r w:rsidR="0094477D" w:rsidRPr="00270674">
        <w:t xml:space="preserve"> at least a third of all families include someone who is currently mentally unwell</w:t>
      </w:r>
      <w:r w:rsidR="007E27C4" w:rsidRPr="00270674">
        <w:t xml:space="preserve"> (Centre for Economic Performance, 2012)</w:t>
      </w:r>
      <w:r w:rsidR="0094477D" w:rsidRPr="00270674">
        <w:t xml:space="preserve">, </w:t>
      </w:r>
      <w:r w:rsidR="00A155CD" w:rsidRPr="00270674">
        <w:t xml:space="preserve">mental illness accounts for nearly half of all </w:t>
      </w:r>
      <w:r w:rsidR="0094477D" w:rsidRPr="00270674">
        <w:t xml:space="preserve">work </w:t>
      </w:r>
      <w:r w:rsidR="00A155CD" w:rsidRPr="00270674">
        <w:t>absenteeism</w:t>
      </w:r>
      <w:r w:rsidR="007E27C4" w:rsidRPr="00270674">
        <w:t xml:space="preserve"> (Centre for Mental Health, 2010)</w:t>
      </w:r>
      <w:r w:rsidR="00A155CD" w:rsidRPr="00270674">
        <w:t>,</w:t>
      </w:r>
      <w:r w:rsidR="0094477D" w:rsidRPr="00270674">
        <w:t xml:space="preserve"> </w:t>
      </w:r>
      <w:r w:rsidR="00B6486C" w:rsidRPr="00270674">
        <w:t>and</w:t>
      </w:r>
      <w:r w:rsidR="00A155CD" w:rsidRPr="00270674">
        <w:t xml:space="preserve"> mental ill-health costs the UK economy an estimated £105 billion</w:t>
      </w:r>
      <w:r w:rsidR="0094477D" w:rsidRPr="00270674">
        <w:t xml:space="preserve"> annually </w:t>
      </w:r>
      <w:r w:rsidR="00A155CD" w:rsidRPr="00270674">
        <w:t>(</w:t>
      </w:r>
      <w:r w:rsidR="00B6486C" w:rsidRPr="00270674">
        <w:t xml:space="preserve">Sainsbury Centre for </w:t>
      </w:r>
      <w:r w:rsidR="00CC4BF7" w:rsidRPr="00270674">
        <w:t>Mental</w:t>
      </w:r>
      <w:r w:rsidR="00B6486C" w:rsidRPr="00270674">
        <w:t xml:space="preserve"> Health, 2007</w:t>
      </w:r>
      <w:r w:rsidR="007E27C4" w:rsidRPr="00270674">
        <w:t>).</w:t>
      </w:r>
    </w:p>
    <w:p w14:paraId="1762D2BF" w14:textId="2EFD3E12" w:rsidR="00187D61" w:rsidRPr="00270674" w:rsidRDefault="00810CED" w:rsidP="00187D61">
      <w:pPr>
        <w:spacing w:line="480" w:lineRule="auto"/>
        <w:ind w:firstLine="720"/>
        <w:jc w:val="both"/>
      </w:pPr>
      <w:r w:rsidRPr="00270674">
        <w:t xml:space="preserve">It has been suggested that </w:t>
      </w:r>
      <w:r w:rsidR="0001142C" w:rsidRPr="00270674">
        <w:t>‘</w:t>
      </w:r>
      <w:r w:rsidRPr="00270674">
        <w:t>r</w:t>
      </w:r>
      <w:r w:rsidR="0001142C" w:rsidRPr="00270674">
        <w:t>ecovery’ from mental health difficulties involves a process of making sense of what has happened, becoming an expert in self-care, building a new sense of purpose, discovering your own resourcefulness, and using resources in order to pursue goals</w:t>
      </w:r>
      <w:r w:rsidR="0082311E" w:rsidRPr="00270674">
        <w:t xml:space="preserve"> </w:t>
      </w:r>
      <w:r w:rsidR="00E14944" w:rsidRPr="00270674">
        <w:t>(</w:t>
      </w:r>
      <w:r w:rsidR="00536C32" w:rsidRPr="00270674">
        <w:t xml:space="preserve">Perkins, </w:t>
      </w:r>
      <w:proofErr w:type="spellStart"/>
      <w:r w:rsidR="00536C32" w:rsidRPr="00270674">
        <w:t>Repper</w:t>
      </w:r>
      <w:proofErr w:type="spellEnd"/>
      <w:r w:rsidR="00536C32" w:rsidRPr="00270674">
        <w:t xml:space="preserve">, Rinaldi &amp; Brown, </w:t>
      </w:r>
      <w:r w:rsidR="0082311E" w:rsidRPr="00270674">
        <w:t>2012)</w:t>
      </w:r>
      <w:r w:rsidR="0001142C" w:rsidRPr="00270674">
        <w:t xml:space="preserve">. </w:t>
      </w:r>
      <w:proofErr w:type="spellStart"/>
      <w:r w:rsidR="008F3C49" w:rsidRPr="00270674">
        <w:t>Leamy</w:t>
      </w:r>
      <w:proofErr w:type="spellEnd"/>
      <w:r w:rsidR="008F3C49" w:rsidRPr="00270674">
        <w:t xml:space="preserve"> et </w:t>
      </w:r>
      <w:proofErr w:type="spellStart"/>
      <w:r w:rsidR="008F3C49" w:rsidRPr="00270674">
        <w:t>al’s</w:t>
      </w:r>
      <w:proofErr w:type="spellEnd"/>
      <w:r w:rsidR="008F3C49" w:rsidRPr="00270674">
        <w:t xml:space="preserve"> (2011) conceptual framework of personal recovery identifies</w:t>
      </w:r>
      <w:r w:rsidR="00BE0122" w:rsidRPr="00270674">
        <w:t>: 1. C</w:t>
      </w:r>
      <w:r w:rsidR="008F3C49" w:rsidRPr="00270674">
        <w:t>haracteristics of the recovery journey (e.g. recovery is an active</w:t>
      </w:r>
      <w:r w:rsidR="00145DDF" w:rsidRPr="00270674">
        <w:t>, individual, unique and gradual process</w:t>
      </w:r>
      <w:r w:rsidR="008F3C49" w:rsidRPr="00270674">
        <w:t xml:space="preserve">); 2. </w:t>
      </w:r>
      <w:r w:rsidR="00BE0122" w:rsidRPr="00270674">
        <w:t>Recovery</w:t>
      </w:r>
      <w:r w:rsidR="008F3C49" w:rsidRPr="00270674">
        <w:t xml:space="preserve"> p</w:t>
      </w:r>
      <w:r w:rsidR="005021C7" w:rsidRPr="00270674">
        <w:t>rocesses (CHIME: Connectedness;</w:t>
      </w:r>
      <w:r w:rsidR="008124D0" w:rsidRPr="00270674">
        <w:t xml:space="preserve"> Hope and o</w:t>
      </w:r>
      <w:r w:rsidR="005021C7" w:rsidRPr="00270674">
        <w:t>ptimism about the future; Identity; Meaning in life;</w:t>
      </w:r>
      <w:r w:rsidR="008F3C49" w:rsidRPr="00270674">
        <w:t xml:space="preserve"> Empowerment); and recovery stages (</w:t>
      </w:r>
      <w:proofErr w:type="spellStart"/>
      <w:r w:rsidR="008F3C49" w:rsidRPr="00270674">
        <w:t>Precontemplation</w:t>
      </w:r>
      <w:proofErr w:type="spellEnd"/>
      <w:r w:rsidR="008F3C49" w:rsidRPr="00270674">
        <w:t xml:space="preserve">, contemplation, preparation, action, maintenance and growth). </w:t>
      </w:r>
      <w:r w:rsidR="0001142C" w:rsidRPr="00270674">
        <w:t>Recovery Colleges aim to assist people</w:t>
      </w:r>
      <w:r w:rsidR="00132505" w:rsidRPr="00270674">
        <w:t xml:space="preserve"> with mental health difficulties</w:t>
      </w:r>
      <w:r w:rsidR="0001142C" w:rsidRPr="00270674">
        <w:t xml:space="preserve"> in the journey to recovery through education. </w:t>
      </w:r>
      <w:r w:rsidR="004633EA" w:rsidRPr="00270674">
        <w:t>They</w:t>
      </w:r>
      <w:r w:rsidR="0001142C" w:rsidRPr="00270674">
        <w:t xml:space="preserve"> bring together both professional and lived experience of mental health challenges in a non-st</w:t>
      </w:r>
      <w:r w:rsidR="004633EA" w:rsidRPr="00270674">
        <w:t>igmatising</w:t>
      </w:r>
      <w:r w:rsidR="008C1DF4" w:rsidRPr="00270674">
        <w:t xml:space="preserve"> community-based</w:t>
      </w:r>
      <w:r w:rsidR="004633EA" w:rsidRPr="00270674">
        <w:t xml:space="preserve"> college environment and operate on </w:t>
      </w:r>
      <w:r w:rsidR="004633EA" w:rsidRPr="00270674">
        <w:lastRenderedPageBreak/>
        <w:t xml:space="preserve">college principles (but </w:t>
      </w:r>
      <w:r w:rsidR="0001142C" w:rsidRPr="00270674">
        <w:t>are not a substitute for traditional assessment/treatment or mainstream colleges</w:t>
      </w:r>
      <w:r w:rsidR="004633EA" w:rsidRPr="00270674">
        <w:t>)</w:t>
      </w:r>
      <w:r w:rsidR="0001142C" w:rsidRPr="00270674">
        <w:t xml:space="preserve">. All of the courses provided are </w:t>
      </w:r>
      <w:r w:rsidR="004633EA" w:rsidRPr="00270674">
        <w:t>designed</w:t>
      </w:r>
      <w:r w:rsidR="0001142C" w:rsidRPr="00270674">
        <w:t xml:space="preserve"> to contribute tow</w:t>
      </w:r>
      <w:r w:rsidR="006C2BB1" w:rsidRPr="00270674">
        <w:t xml:space="preserve">ards wellbeing and recovery, </w:t>
      </w:r>
      <w:r w:rsidR="0001142C" w:rsidRPr="00270674">
        <w:t xml:space="preserve">to put people back in control of their lives, increase their confidence and skills, and provide support for accessing further opportunities. </w:t>
      </w:r>
    </w:p>
    <w:p w14:paraId="48CC634F" w14:textId="421E26FB" w:rsidR="00187D61" w:rsidRPr="00270674" w:rsidRDefault="00374543" w:rsidP="00A95C3F">
      <w:pPr>
        <w:spacing w:line="480" w:lineRule="auto"/>
        <w:ind w:firstLine="720"/>
        <w:jc w:val="both"/>
      </w:pPr>
      <w:r w:rsidRPr="00270674">
        <w:t xml:space="preserve">Recovery Colleges </w:t>
      </w:r>
      <w:r w:rsidR="0001142C" w:rsidRPr="00270674">
        <w:t>provi</w:t>
      </w:r>
      <w:r w:rsidRPr="00270674">
        <w:t xml:space="preserve">de a base for recovery resources; </w:t>
      </w:r>
      <w:r w:rsidR="0001142C" w:rsidRPr="00270674">
        <w:t>promote an educational model in supporting people to become experts in self-care on their recovery journey</w:t>
      </w:r>
      <w:r w:rsidRPr="00270674">
        <w:t xml:space="preserve">; </w:t>
      </w:r>
      <w:r w:rsidR="0001142C" w:rsidRPr="00270674">
        <w:t>break down barriers between ‘us’ and ‘them’ by offering training run for and by people with professional experience and lived experience of mental health challenges</w:t>
      </w:r>
      <w:r w:rsidRPr="00270674">
        <w:t xml:space="preserve">; </w:t>
      </w:r>
      <w:r w:rsidR="0001142C" w:rsidRPr="00270674">
        <w:t>provide peer support</w:t>
      </w:r>
      <w:r w:rsidRPr="00270674">
        <w:t xml:space="preserve">; </w:t>
      </w:r>
      <w:r w:rsidR="00B6486C" w:rsidRPr="00270674">
        <w:t>allow choice and control</w:t>
      </w:r>
      <w:r w:rsidRPr="00270674">
        <w:t xml:space="preserve">; and </w:t>
      </w:r>
      <w:r w:rsidR="0001142C" w:rsidRPr="00270674">
        <w:t>promote participation in the local community</w:t>
      </w:r>
      <w:r w:rsidR="00F5177F" w:rsidRPr="00270674">
        <w:t>.</w:t>
      </w:r>
      <w:r w:rsidR="00CE328A" w:rsidRPr="00270674">
        <w:t xml:space="preserve"> </w:t>
      </w:r>
      <w:r w:rsidR="00A006B2" w:rsidRPr="00270674">
        <w:t>Recovery Colleges</w:t>
      </w:r>
      <w:r w:rsidR="00A95C3F" w:rsidRPr="00270674">
        <w:t xml:space="preserve"> reflect recovery principles in all aspects of </w:t>
      </w:r>
      <w:r w:rsidR="00A006B2" w:rsidRPr="00270674">
        <w:t>their</w:t>
      </w:r>
      <w:r w:rsidR="00A95C3F" w:rsidRPr="00270674">
        <w:t xml:space="preserve"> culture and operation. </w:t>
      </w:r>
      <w:r w:rsidR="00CE328A" w:rsidRPr="00270674">
        <w:t>Recovery Colleges form a core part of the development of more recovery-focused mental health services that enable people to grow; discover a new sense of self, meaning and purpose in life; explore their possibilities and rebuild a satisfying life (Perkins</w:t>
      </w:r>
      <w:r w:rsidR="00536C32" w:rsidRPr="00270674">
        <w:t xml:space="preserve">, </w:t>
      </w:r>
      <w:proofErr w:type="spellStart"/>
      <w:r w:rsidR="00536C32" w:rsidRPr="00270674">
        <w:t>Meddings</w:t>
      </w:r>
      <w:proofErr w:type="spellEnd"/>
      <w:r w:rsidR="00536C32" w:rsidRPr="00270674">
        <w:t xml:space="preserve">, Williams &amp; </w:t>
      </w:r>
      <w:proofErr w:type="spellStart"/>
      <w:r w:rsidR="00536C32" w:rsidRPr="00270674">
        <w:t>Repper</w:t>
      </w:r>
      <w:proofErr w:type="spellEnd"/>
      <w:r w:rsidR="00536C32" w:rsidRPr="00270674">
        <w:t xml:space="preserve">, </w:t>
      </w:r>
      <w:r w:rsidR="00CE328A" w:rsidRPr="00270674">
        <w:t>2018).</w:t>
      </w:r>
    </w:p>
    <w:p w14:paraId="5DD82CC2" w14:textId="154B0167" w:rsidR="00187D61" w:rsidRPr="00270674" w:rsidRDefault="008A1909" w:rsidP="00187D61">
      <w:pPr>
        <w:spacing w:line="480" w:lineRule="auto"/>
        <w:ind w:firstLine="720"/>
        <w:jc w:val="both"/>
      </w:pPr>
      <w:r w:rsidRPr="00270674">
        <w:t>The first Recovery College was established in</w:t>
      </w:r>
      <w:r w:rsidR="00D92456" w:rsidRPr="00270674">
        <w:t xml:space="preserve"> South West London</w:t>
      </w:r>
      <w:r w:rsidRPr="00270674">
        <w:t>, UK</w:t>
      </w:r>
      <w:r w:rsidR="00D92456" w:rsidRPr="00270674">
        <w:t xml:space="preserve"> in 2009</w:t>
      </w:r>
      <w:r w:rsidRPr="00270674">
        <w:t xml:space="preserve">, </w:t>
      </w:r>
      <w:r w:rsidR="00507D2E" w:rsidRPr="00270674">
        <w:t>later</w:t>
      </w:r>
      <w:r w:rsidRPr="00270674">
        <w:t xml:space="preserve"> followed by</w:t>
      </w:r>
      <w:r w:rsidR="00507D2E" w:rsidRPr="00270674">
        <w:t xml:space="preserve"> </w:t>
      </w:r>
      <w:r w:rsidRPr="00270674">
        <w:t>a Recovery College</w:t>
      </w:r>
      <w:r w:rsidR="00132505" w:rsidRPr="00270674">
        <w:t xml:space="preserve"> in</w:t>
      </w:r>
      <w:r w:rsidRPr="00270674">
        <w:t xml:space="preserve"> </w:t>
      </w:r>
      <w:r w:rsidR="00D92456" w:rsidRPr="00270674">
        <w:t xml:space="preserve">Nottingham in 2011. </w:t>
      </w:r>
      <w:r w:rsidRPr="00270674">
        <w:t>Since these initial Recovery Colleges, many more have been set up across the UK</w:t>
      </w:r>
      <w:r w:rsidR="009A39FB" w:rsidRPr="00270674">
        <w:t xml:space="preserve"> (</w:t>
      </w:r>
      <w:r w:rsidR="008C1DF4" w:rsidRPr="00270674">
        <w:t xml:space="preserve">totalling </w:t>
      </w:r>
      <w:r w:rsidR="00EB4450" w:rsidRPr="00270674">
        <w:t xml:space="preserve">85: </w:t>
      </w:r>
      <w:proofErr w:type="spellStart"/>
      <w:r w:rsidR="00EB4450" w:rsidRPr="00270674">
        <w:t>Anfossi</w:t>
      </w:r>
      <w:proofErr w:type="spellEnd"/>
      <w:r w:rsidR="00EB4450" w:rsidRPr="00270674">
        <w:t>, 2017</w:t>
      </w:r>
      <w:r w:rsidR="009A39FB" w:rsidRPr="00270674">
        <w:t>)</w:t>
      </w:r>
      <w:r w:rsidRPr="00270674">
        <w:t xml:space="preserve">; for example in Southampton, Cambridge, </w:t>
      </w:r>
      <w:r w:rsidR="00F23722" w:rsidRPr="00270674">
        <w:t>Devon</w:t>
      </w:r>
      <w:r w:rsidR="0074388C" w:rsidRPr="00270674">
        <w:t>, and Northern Ireland</w:t>
      </w:r>
      <w:r w:rsidR="00D13BFA" w:rsidRPr="00270674">
        <w:t xml:space="preserve">. </w:t>
      </w:r>
      <w:r w:rsidRPr="00270674">
        <w:t>Recovery College</w:t>
      </w:r>
      <w:r w:rsidR="00D13BFA" w:rsidRPr="00270674">
        <w:t>s</w:t>
      </w:r>
      <w:r w:rsidRPr="00270674">
        <w:t xml:space="preserve"> </w:t>
      </w:r>
      <w:r w:rsidR="00D13BFA" w:rsidRPr="00270674">
        <w:t>have also been</w:t>
      </w:r>
      <w:r w:rsidRPr="00270674">
        <w:t xml:space="preserve"> established in</w:t>
      </w:r>
      <w:r w:rsidR="007A03D3" w:rsidRPr="00270674">
        <w:t>ternationally, for example in</w:t>
      </w:r>
      <w:r w:rsidRPr="00270674">
        <w:t xml:space="preserve"> </w:t>
      </w:r>
      <w:r w:rsidR="00CE328A" w:rsidRPr="00270674">
        <w:t xml:space="preserve">Australia, </w:t>
      </w:r>
      <w:r w:rsidR="00D13BFA" w:rsidRPr="00270674">
        <w:t>Italy</w:t>
      </w:r>
      <w:r w:rsidR="006C2BB1" w:rsidRPr="00270674">
        <w:t>,</w:t>
      </w:r>
      <w:r w:rsidR="00D13BFA" w:rsidRPr="00270674">
        <w:t xml:space="preserve"> </w:t>
      </w:r>
      <w:r w:rsidR="00CE328A" w:rsidRPr="00270674">
        <w:t xml:space="preserve">Canada, </w:t>
      </w:r>
      <w:r w:rsidR="005021C7" w:rsidRPr="00270674">
        <w:t>and</w:t>
      </w:r>
      <w:r w:rsidR="00CE328A" w:rsidRPr="00270674">
        <w:t xml:space="preserve"> Japan.</w:t>
      </w:r>
      <w:r w:rsidRPr="00270674">
        <w:t xml:space="preserve"> Despite the growi</w:t>
      </w:r>
      <w:r w:rsidR="00B6486C" w:rsidRPr="00270674">
        <w:t>ng number of Recovery Colleges</w:t>
      </w:r>
      <w:r w:rsidRPr="00270674">
        <w:t>, the evaluative evidence is limited</w:t>
      </w:r>
      <w:r w:rsidR="00CD57F4" w:rsidRPr="00270674">
        <w:t>;</w:t>
      </w:r>
      <w:r w:rsidRPr="00270674">
        <w:t xml:space="preserve"> comprising mostly non-peer-reviewed evalua</w:t>
      </w:r>
      <w:r w:rsidR="00446F49" w:rsidRPr="00270674">
        <w:t>tions, audits and case studies.</w:t>
      </w:r>
    </w:p>
    <w:p w14:paraId="50C18295" w14:textId="5A1719F7" w:rsidR="00187D61" w:rsidRPr="00270674" w:rsidRDefault="00F23722" w:rsidP="00187D61">
      <w:pPr>
        <w:spacing w:line="480" w:lineRule="auto"/>
        <w:ind w:firstLine="720"/>
        <w:jc w:val="both"/>
      </w:pPr>
      <w:r w:rsidRPr="00270674">
        <w:rPr>
          <w:lang w:val="en"/>
        </w:rPr>
        <w:t>T</w:t>
      </w:r>
      <w:r w:rsidR="006C2BB1" w:rsidRPr="00270674">
        <w:rPr>
          <w:lang w:val="en"/>
        </w:rPr>
        <w:t>he emerging evaluative evidence</w:t>
      </w:r>
      <w:r w:rsidRPr="00270674">
        <w:rPr>
          <w:lang w:val="en"/>
        </w:rPr>
        <w:t xml:space="preserve"> for the benefits of Recovery Colleges</w:t>
      </w:r>
      <w:r w:rsidR="00545E28" w:rsidRPr="00270674">
        <w:rPr>
          <w:lang w:val="en"/>
        </w:rPr>
        <w:t xml:space="preserve"> for their students</w:t>
      </w:r>
      <w:r w:rsidRPr="00270674">
        <w:rPr>
          <w:lang w:val="en"/>
        </w:rPr>
        <w:t xml:space="preserve"> began with</w:t>
      </w:r>
      <w:r w:rsidR="006C2BB1" w:rsidRPr="00270674">
        <w:rPr>
          <w:lang w:val="en"/>
        </w:rPr>
        <w:t xml:space="preserve"> </w:t>
      </w:r>
      <w:r w:rsidR="00187893" w:rsidRPr="00270674">
        <w:rPr>
          <w:lang w:val="en"/>
        </w:rPr>
        <w:t xml:space="preserve">Rinaldi, </w:t>
      </w:r>
      <w:proofErr w:type="spellStart"/>
      <w:r w:rsidR="00187893" w:rsidRPr="00270674">
        <w:rPr>
          <w:lang w:val="en"/>
        </w:rPr>
        <w:t>Morland</w:t>
      </w:r>
      <w:proofErr w:type="spellEnd"/>
      <w:r w:rsidR="00187893" w:rsidRPr="00270674">
        <w:rPr>
          <w:lang w:val="en"/>
        </w:rPr>
        <w:t xml:space="preserve"> and </w:t>
      </w:r>
      <w:proofErr w:type="spellStart"/>
      <w:r w:rsidR="00187893" w:rsidRPr="00270674">
        <w:rPr>
          <w:lang w:val="en"/>
        </w:rPr>
        <w:t>Wybourn’s</w:t>
      </w:r>
      <w:proofErr w:type="spellEnd"/>
      <w:r w:rsidR="00187893" w:rsidRPr="00270674">
        <w:rPr>
          <w:lang w:val="en"/>
        </w:rPr>
        <w:t xml:space="preserve"> (2012) evaluation of the South West London Recovery College</w:t>
      </w:r>
      <w:r w:rsidRPr="00270674">
        <w:rPr>
          <w:lang w:val="en"/>
        </w:rPr>
        <w:t>. They reported</w:t>
      </w:r>
      <w:r w:rsidR="00187893" w:rsidRPr="00270674">
        <w:rPr>
          <w:lang w:val="en"/>
        </w:rPr>
        <w:t xml:space="preserve"> that 84% of attenders felt more </w:t>
      </w:r>
      <w:r w:rsidR="00187893" w:rsidRPr="00270674">
        <w:rPr>
          <w:lang w:val="en"/>
        </w:rPr>
        <w:lastRenderedPageBreak/>
        <w:t xml:space="preserve">hopeful for the future, 85% said the course/s helped </w:t>
      </w:r>
      <w:proofErr w:type="gramStart"/>
      <w:r w:rsidR="00187893" w:rsidRPr="00270674">
        <w:rPr>
          <w:lang w:val="en"/>
        </w:rPr>
        <w:t>them</w:t>
      </w:r>
      <w:proofErr w:type="gramEnd"/>
      <w:r w:rsidR="00187893" w:rsidRPr="00270674">
        <w:rPr>
          <w:lang w:val="en"/>
        </w:rPr>
        <w:t xml:space="preserve"> set goals, and 75% were able to do the things they wanted to do in life as a result of </w:t>
      </w:r>
      <w:r w:rsidR="004C6547" w:rsidRPr="00270674">
        <w:rPr>
          <w:lang w:val="en"/>
        </w:rPr>
        <w:t>attendance</w:t>
      </w:r>
      <w:r w:rsidR="00187893" w:rsidRPr="00270674">
        <w:rPr>
          <w:lang w:val="en"/>
        </w:rPr>
        <w:t>. </w:t>
      </w:r>
      <w:r w:rsidR="006C2BB1" w:rsidRPr="00270674">
        <w:rPr>
          <w:lang w:val="en"/>
        </w:rPr>
        <w:t>After</w:t>
      </w:r>
      <w:r w:rsidR="00187893" w:rsidRPr="00270674">
        <w:rPr>
          <w:lang w:val="en"/>
        </w:rPr>
        <w:t xml:space="preserve"> 12 months there was a significant reduction in mean community </w:t>
      </w:r>
      <w:r w:rsidR="00B6486C" w:rsidRPr="00270674">
        <w:rPr>
          <w:lang w:val="en"/>
        </w:rPr>
        <w:t xml:space="preserve">mental health </w:t>
      </w:r>
      <w:r w:rsidR="00187893" w:rsidRPr="00270674">
        <w:rPr>
          <w:lang w:val="en"/>
        </w:rPr>
        <w:t xml:space="preserve">contacts and occupied </w:t>
      </w:r>
      <w:r w:rsidR="00B6486C" w:rsidRPr="00270674">
        <w:rPr>
          <w:lang w:val="en"/>
        </w:rPr>
        <w:t xml:space="preserve">hospital </w:t>
      </w:r>
      <w:r w:rsidR="00187893" w:rsidRPr="00270674">
        <w:rPr>
          <w:lang w:val="en"/>
        </w:rPr>
        <w:t>bed days.</w:t>
      </w:r>
      <w:r w:rsidR="00024060" w:rsidRPr="00270674">
        <w:rPr>
          <w:lang w:val="en"/>
        </w:rPr>
        <w:t xml:space="preserve"> </w:t>
      </w:r>
      <w:proofErr w:type="spellStart"/>
      <w:r w:rsidR="00024060" w:rsidRPr="00270674">
        <w:rPr>
          <w:lang w:val="en"/>
        </w:rPr>
        <w:t>Zucchelli</w:t>
      </w:r>
      <w:proofErr w:type="spellEnd"/>
      <w:r w:rsidR="00024060" w:rsidRPr="00270674">
        <w:rPr>
          <w:lang w:val="en"/>
        </w:rPr>
        <w:t xml:space="preserve"> and Skinner (2013)</w:t>
      </w:r>
      <w:r w:rsidR="006C2BB1" w:rsidRPr="00270674">
        <w:rPr>
          <w:lang w:val="en"/>
        </w:rPr>
        <w:t xml:space="preserve"> later</w:t>
      </w:r>
      <w:r w:rsidR="00024060" w:rsidRPr="00270674">
        <w:rPr>
          <w:lang w:val="en"/>
        </w:rPr>
        <w:t xml:space="preserve"> conducted a qualitative evaluation of the Central and North West London</w:t>
      </w:r>
      <w:r w:rsidR="00256BDE" w:rsidRPr="00270674">
        <w:rPr>
          <w:lang w:val="en"/>
        </w:rPr>
        <w:t xml:space="preserve"> (CNWL)</w:t>
      </w:r>
      <w:r w:rsidR="00024060" w:rsidRPr="00270674">
        <w:rPr>
          <w:lang w:val="en"/>
        </w:rPr>
        <w:t xml:space="preserve"> Recovery College</w:t>
      </w:r>
      <w:r w:rsidR="006C2BB1" w:rsidRPr="00270674">
        <w:rPr>
          <w:lang w:val="en"/>
        </w:rPr>
        <w:t>, and put emphasis on</w:t>
      </w:r>
      <w:r w:rsidR="00024060" w:rsidRPr="00270674">
        <w:rPr>
          <w:lang w:val="en"/>
        </w:rPr>
        <w:t xml:space="preserve"> the power of the peer (</w:t>
      </w:r>
      <w:r w:rsidR="006C2BB1" w:rsidRPr="00270674">
        <w:rPr>
          <w:lang w:val="en"/>
        </w:rPr>
        <w:t>with peers</w:t>
      </w:r>
      <w:r w:rsidR="00024060" w:rsidRPr="00270674">
        <w:rPr>
          <w:lang w:val="en"/>
        </w:rPr>
        <w:t xml:space="preserve"> found to be empowering and inspiring</w:t>
      </w:r>
      <w:r w:rsidR="006C2BB1" w:rsidRPr="00270674">
        <w:rPr>
          <w:lang w:val="en"/>
        </w:rPr>
        <w:t xml:space="preserve"> with</w:t>
      </w:r>
      <w:r w:rsidR="00685020" w:rsidRPr="00270674">
        <w:rPr>
          <w:lang w:val="en"/>
        </w:rPr>
        <w:t>in</w:t>
      </w:r>
      <w:r w:rsidR="006C2BB1" w:rsidRPr="00270674">
        <w:rPr>
          <w:lang w:val="en"/>
        </w:rPr>
        <w:t xml:space="preserve"> the Recovery College setting</w:t>
      </w:r>
      <w:r w:rsidR="00024060" w:rsidRPr="00270674">
        <w:rPr>
          <w:lang w:val="en"/>
        </w:rPr>
        <w:t>).</w:t>
      </w:r>
      <w:r w:rsidR="00256BDE" w:rsidRPr="00270674">
        <w:rPr>
          <w:lang w:val="en"/>
        </w:rPr>
        <w:t xml:space="preserve"> The CNWL NHS Foundation Trust’s (2015) annual report 2014-2015</w:t>
      </w:r>
      <w:r w:rsidR="006C2BB1" w:rsidRPr="00270674">
        <w:rPr>
          <w:lang w:val="en"/>
        </w:rPr>
        <w:t xml:space="preserve"> later</w:t>
      </w:r>
      <w:r w:rsidR="00256BDE" w:rsidRPr="00270674">
        <w:rPr>
          <w:lang w:val="en"/>
        </w:rPr>
        <w:t xml:space="preserve"> reported on a mixed-methods evaluatio</w:t>
      </w:r>
      <w:r w:rsidR="007A03D3" w:rsidRPr="00270674">
        <w:rPr>
          <w:lang w:val="en"/>
        </w:rPr>
        <w:t xml:space="preserve">n of the CNWL Recovery College. </w:t>
      </w:r>
      <w:r w:rsidR="00256BDE" w:rsidRPr="00270674">
        <w:rPr>
          <w:lang w:val="en"/>
        </w:rPr>
        <w:t xml:space="preserve">The evaluation did not comprise the use of a validated questionnaire and did not ask questions specifically related to mental wellbeing and social inclusion, but rather asked questions about learning and skill development. </w:t>
      </w:r>
      <w:r w:rsidR="006C2BB1" w:rsidRPr="00270674">
        <w:rPr>
          <w:lang w:val="en"/>
        </w:rPr>
        <w:t>However, i</w:t>
      </w:r>
      <w:r w:rsidR="00256BDE" w:rsidRPr="00270674">
        <w:rPr>
          <w:lang w:val="en"/>
        </w:rPr>
        <w:t xml:space="preserve">nterviews </w:t>
      </w:r>
      <w:r w:rsidR="00810CED" w:rsidRPr="00270674">
        <w:rPr>
          <w:lang w:val="en"/>
        </w:rPr>
        <w:t xml:space="preserve">indicated </w:t>
      </w:r>
      <w:r w:rsidR="00256BDE" w:rsidRPr="00270674">
        <w:rPr>
          <w:lang w:val="en"/>
        </w:rPr>
        <w:t xml:space="preserve">that students increased in confidence and </w:t>
      </w:r>
      <w:proofErr w:type="spellStart"/>
      <w:r w:rsidR="00256BDE" w:rsidRPr="00270674">
        <w:rPr>
          <w:lang w:val="en"/>
        </w:rPr>
        <w:t>socialising</w:t>
      </w:r>
      <w:proofErr w:type="spellEnd"/>
      <w:r w:rsidR="00256BDE" w:rsidRPr="00270674">
        <w:rPr>
          <w:lang w:val="en"/>
        </w:rPr>
        <w:t xml:space="preserve">.  </w:t>
      </w:r>
    </w:p>
    <w:p w14:paraId="0F104884" w14:textId="7E30BA7E" w:rsidR="00187D61" w:rsidRPr="00270674" w:rsidRDefault="00562DE7" w:rsidP="00187D61">
      <w:pPr>
        <w:spacing w:line="480" w:lineRule="auto"/>
        <w:ind w:firstLine="720"/>
        <w:jc w:val="both"/>
      </w:pPr>
      <w:r w:rsidRPr="00270674">
        <w:rPr>
          <w:lang w:val="en"/>
        </w:rPr>
        <w:t xml:space="preserve">In 2014 a mixed-methods evaluation of </w:t>
      </w:r>
      <w:r w:rsidR="00F23722" w:rsidRPr="00270674">
        <w:rPr>
          <w:lang w:val="en"/>
        </w:rPr>
        <w:t xml:space="preserve">the first term of a </w:t>
      </w:r>
      <w:r w:rsidRPr="00270674">
        <w:rPr>
          <w:lang w:val="en"/>
        </w:rPr>
        <w:t>Recovery College in Mid-Essex was completed (NERN, SE-SURG, Wilson, &amp; Secker, 2014).</w:t>
      </w:r>
      <w:r w:rsidRPr="00270674">
        <w:t xml:space="preserve"> </w:t>
      </w:r>
      <w:r w:rsidRPr="00270674">
        <w:rPr>
          <w:lang w:val="en"/>
        </w:rPr>
        <w:t>Quantitative results revealed a significant increase in wellbeing scores from baseline to three month follow-up, and a non-significant incr</w:t>
      </w:r>
      <w:r w:rsidR="00F23722" w:rsidRPr="00270674">
        <w:rPr>
          <w:lang w:val="en"/>
        </w:rPr>
        <w:t>ease in social inclusion</w:t>
      </w:r>
      <w:r w:rsidRPr="00270674">
        <w:rPr>
          <w:lang w:val="en"/>
        </w:rPr>
        <w:t xml:space="preserve">. Participants’ additional comments and </w:t>
      </w:r>
      <w:r w:rsidR="004C6547" w:rsidRPr="00270674">
        <w:rPr>
          <w:lang w:val="en"/>
        </w:rPr>
        <w:t>focus group</w:t>
      </w:r>
      <w:r w:rsidRPr="00270674">
        <w:rPr>
          <w:lang w:val="en"/>
        </w:rPr>
        <w:t xml:space="preserve"> findings supported the quantitative results in that the benefits attributed by participants to attending included important aspects of mental wellbeing, such as increased confidence, self-worth, coping skills and positive thinking. Participants also reported benefits of significance for social inclusion, including reduced isolation and increased social activity. Subsequently, a follow-up qualitative evaluation of the second term of the </w:t>
      </w:r>
      <w:r w:rsidR="005021C7" w:rsidRPr="00270674">
        <w:rPr>
          <w:lang w:val="en"/>
        </w:rPr>
        <w:t>c</w:t>
      </w:r>
      <w:r w:rsidRPr="00270674">
        <w:rPr>
          <w:lang w:val="en"/>
        </w:rPr>
        <w:t xml:space="preserve">ollege was conducted (NERN, SE-SURG, &amp; Secker, 2014). </w:t>
      </w:r>
      <w:r w:rsidR="00CD57F4" w:rsidRPr="00270674">
        <w:rPr>
          <w:lang w:val="en"/>
        </w:rPr>
        <w:t>T</w:t>
      </w:r>
      <w:r w:rsidRPr="00270674">
        <w:rPr>
          <w:lang w:val="en"/>
        </w:rPr>
        <w:t>he most commonly mentioned benefits revolved around aspects of recovery, including improved self-worth, c</w:t>
      </w:r>
      <w:r w:rsidR="00CD57F4" w:rsidRPr="00270674">
        <w:rPr>
          <w:lang w:val="en"/>
        </w:rPr>
        <w:t>oping strategies and motivation; alongside</w:t>
      </w:r>
      <w:r w:rsidRPr="00270674">
        <w:rPr>
          <w:lang w:val="en"/>
        </w:rPr>
        <w:t xml:space="preserve"> social benefits</w:t>
      </w:r>
      <w:r w:rsidR="00B6486C" w:rsidRPr="00270674">
        <w:rPr>
          <w:lang w:val="en"/>
        </w:rPr>
        <w:t>.</w:t>
      </w:r>
    </w:p>
    <w:p w14:paraId="68BFFF10" w14:textId="2259061E" w:rsidR="00827C16" w:rsidRPr="00270674" w:rsidRDefault="00446F49" w:rsidP="007B4C55">
      <w:pPr>
        <w:spacing w:line="480" w:lineRule="auto"/>
        <w:ind w:firstLine="720"/>
        <w:jc w:val="both"/>
        <w:rPr>
          <w:lang w:val="en"/>
        </w:rPr>
      </w:pPr>
      <w:proofErr w:type="spellStart"/>
      <w:r w:rsidRPr="00270674">
        <w:rPr>
          <w:lang w:val="en"/>
        </w:rPr>
        <w:lastRenderedPageBreak/>
        <w:t>Meddings</w:t>
      </w:r>
      <w:proofErr w:type="spellEnd"/>
      <w:r w:rsidR="00980EF7" w:rsidRPr="00270674">
        <w:rPr>
          <w:lang w:val="en"/>
        </w:rPr>
        <w:t>,</w:t>
      </w:r>
      <w:r w:rsidRPr="00270674">
        <w:rPr>
          <w:lang w:val="en"/>
        </w:rPr>
        <w:t xml:space="preserve"> </w:t>
      </w:r>
      <w:r w:rsidR="00980EF7" w:rsidRPr="00270674">
        <w:rPr>
          <w:lang w:val="en"/>
        </w:rPr>
        <w:t xml:space="preserve">Guglietti, </w:t>
      </w:r>
      <w:proofErr w:type="spellStart"/>
      <w:r w:rsidR="00980EF7" w:rsidRPr="00270674">
        <w:rPr>
          <w:lang w:val="en"/>
        </w:rPr>
        <w:t>Lambe</w:t>
      </w:r>
      <w:proofErr w:type="spellEnd"/>
      <w:r w:rsidR="00980EF7" w:rsidRPr="00270674">
        <w:rPr>
          <w:lang w:val="en"/>
        </w:rPr>
        <w:t xml:space="preserve"> and</w:t>
      </w:r>
      <w:r w:rsidR="0074388C" w:rsidRPr="00270674">
        <w:rPr>
          <w:lang w:val="en"/>
        </w:rPr>
        <w:t xml:space="preserve"> Byrne</w:t>
      </w:r>
      <w:r w:rsidR="00980EF7" w:rsidRPr="00270674">
        <w:rPr>
          <w:lang w:val="en"/>
        </w:rPr>
        <w:t xml:space="preserve"> </w:t>
      </w:r>
      <w:r w:rsidRPr="00270674">
        <w:rPr>
          <w:lang w:val="en"/>
        </w:rPr>
        <w:t>(2014) published a small-scale evaluation of the Sussex Recovery College</w:t>
      </w:r>
      <w:r w:rsidR="00B223D8" w:rsidRPr="00270674">
        <w:rPr>
          <w:lang w:val="en"/>
        </w:rPr>
        <w:t xml:space="preserve"> in the same year</w:t>
      </w:r>
      <w:r w:rsidRPr="00270674">
        <w:rPr>
          <w:lang w:val="en"/>
        </w:rPr>
        <w:t xml:space="preserve">, finding from four interviews the key importance of peer support and social opportunities that </w:t>
      </w:r>
      <w:r w:rsidR="00B91F2C" w:rsidRPr="00270674">
        <w:rPr>
          <w:lang w:val="en"/>
        </w:rPr>
        <w:t xml:space="preserve">were reported to have </w:t>
      </w:r>
      <w:r w:rsidRPr="00270674">
        <w:rPr>
          <w:lang w:val="en"/>
        </w:rPr>
        <w:t xml:space="preserve">resulted from the college. </w:t>
      </w:r>
      <w:r w:rsidR="00685020" w:rsidRPr="00270674">
        <w:rPr>
          <w:lang w:val="en"/>
        </w:rPr>
        <w:t>T</w:t>
      </w:r>
      <w:r w:rsidR="001E473E" w:rsidRPr="00270674">
        <w:rPr>
          <w:lang w:val="en"/>
        </w:rPr>
        <w:t>he following year</w:t>
      </w:r>
      <w:r w:rsidRPr="00270674">
        <w:rPr>
          <w:lang w:val="en"/>
        </w:rPr>
        <w:t xml:space="preserve"> </w:t>
      </w:r>
      <w:proofErr w:type="spellStart"/>
      <w:r w:rsidRPr="00270674">
        <w:rPr>
          <w:lang w:val="en"/>
        </w:rPr>
        <w:t>Me</w:t>
      </w:r>
      <w:r w:rsidR="001E473E" w:rsidRPr="00270674">
        <w:rPr>
          <w:lang w:val="en"/>
        </w:rPr>
        <w:t>ddings</w:t>
      </w:r>
      <w:proofErr w:type="spellEnd"/>
      <w:r w:rsidR="001E473E" w:rsidRPr="00270674">
        <w:rPr>
          <w:lang w:val="en"/>
        </w:rPr>
        <w:t xml:space="preserve"> et al</w:t>
      </w:r>
      <w:r w:rsidR="004C6547" w:rsidRPr="00270674">
        <w:rPr>
          <w:lang w:val="en"/>
        </w:rPr>
        <w:t>.</w:t>
      </w:r>
      <w:r w:rsidR="001E473E" w:rsidRPr="00270674">
        <w:rPr>
          <w:lang w:val="en"/>
        </w:rPr>
        <w:t xml:space="preserve"> (2015)</w:t>
      </w:r>
      <w:r w:rsidRPr="00270674">
        <w:rPr>
          <w:lang w:val="en"/>
        </w:rPr>
        <w:t xml:space="preserve"> published</w:t>
      </w:r>
      <w:r w:rsidR="001E473E" w:rsidRPr="00270674">
        <w:rPr>
          <w:lang w:val="en"/>
        </w:rPr>
        <w:t xml:space="preserve"> quantitative data using validated measures of quality of life and wellbeing; finding significant improvements in both measures from </w:t>
      </w:r>
      <w:r w:rsidR="00C12718" w:rsidRPr="00270674">
        <w:rPr>
          <w:lang w:val="en"/>
        </w:rPr>
        <w:t>pre-to-post-</w:t>
      </w:r>
      <w:r w:rsidR="001E473E" w:rsidRPr="00270674">
        <w:rPr>
          <w:lang w:val="en"/>
        </w:rPr>
        <w:t>Recovery College attendance.</w:t>
      </w:r>
      <w:r w:rsidR="007D3F1E" w:rsidRPr="00270674">
        <w:rPr>
          <w:lang w:val="en"/>
        </w:rPr>
        <w:t xml:space="preserve"> Bourne, </w:t>
      </w:r>
      <w:proofErr w:type="spellStart"/>
      <w:r w:rsidR="007D3F1E" w:rsidRPr="00270674">
        <w:rPr>
          <w:lang w:val="en"/>
        </w:rPr>
        <w:t>Meddings</w:t>
      </w:r>
      <w:proofErr w:type="spellEnd"/>
      <w:r w:rsidR="007D3F1E" w:rsidRPr="00270674">
        <w:rPr>
          <w:lang w:val="en"/>
        </w:rPr>
        <w:t xml:space="preserve"> and Whittington </w:t>
      </w:r>
      <w:r w:rsidR="005021C7" w:rsidRPr="00270674">
        <w:rPr>
          <w:lang w:val="en"/>
        </w:rPr>
        <w:t xml:space="preserve">(2018) later </w:t>
      </w:r>
      <w:r w:rsidR="007D3F1E" w:rsidRPr="00270674">
        <w:rPr>
          <w:lang w:val="en"/>
        </w:rPr>
        <w:t xml:space="preserve">found significant reductions </w:t>
      </w:r>
      <w:r w:rsidR="007B4C55" w:rsidRPr="00270674">
        <w:rPr>
          <w:lang w:val="en"/>
        </w:rPr>
        <w:t xml:space="preserve">amongst students </w:t>
      </w:r>
      <w:r w:rsidR="007D3F1E" w:rsidRPr="00270674">
        <w:rPr>
          <w:lang w:val="en"/>
        </w:rPr>
        <w:t xml:space="preserve">in occupied bed days, </w:t>
      </w:r>
      <w:r w:rsidR="005021C7" w:rsidRPr="00270674">
        <w:rPr>
          <w:lang w:val="en"/>
        </w:rPr>
        <w:t>overall</w:t>
      </w:r>
      <w:r w:rsidR="007D3F1E" w:rsidRPr="00270674">
        <w:rPr>
          <w:lang w:val="en"/>
        </w:rPr>
        <w:t xml:space="preserve"> admissions, admissions under a Mental Health Act, and community</w:t>
      </w:r>
      <w:r w:rsidR="007B4C55" w:rsidRPr="00270674">
        <w:rPr>
          <w:lang w:val="en"/>
        </w:rPr>
        <w:t xml:space="preserve"> mental health</w:t>
      </w:r>
      <w:r w:rsidR="007D3F1E" w:rsidRPr="00270674">
        <w:rPr>
          <w:lang w:val="en"/>
        </w:rPr>
        <w:t xml:space="preserve"> contacts</w:t>
      </w:r>
      <w:r w:rsidR="007B4C55" w:rsidRPr="00270674">
        <w:rPr>
          <w:lang w:val="en"/>
        </w:rPr>
        <w:t xml:space="preserve"> from the 18-month period before to the 18-month period after registration at the Sussex Recovery College</w:t>
      </w:r>
      <w:r w:rsidR="007D3F1E" w:rsidRPr="00270674">
        <w:rPr>
          <w:lang w:val="en"/>
        </w:rPr>
        <w:t xml:space="preserve">. </w:t>
      </w:r>
      <w:r w:rsidR="004C6547" w:rsidRPr="00270674">
        <w:rPr>
          <w:lang w:val="en"/>
        </w:rPr>
        <w:t xml:space="preserve">There were also trends of a larger reduction in service use compared to course non-completers. </w:t>
      </w:r>
      <w:r w:rsidR="007B4C55" w:rsidRPr="00270674">
        <w:rPr>
          <w:lang w:val="en"/>
        </w:rPr>
        <w:t>Furthermore, a</w:t>
      </w:r>
      <w:r w:rsidR="006439A2" w:rsidRPr="00270674">
        <w:rPr>
          <w:lang w:val="en"/>
        </w:rPr>
        <w:t>ttendance at an arts-based recovery college hosted within Sussex Partnership NHS Foundation Trust, has been found to coincide with significant improvements to wellbeing</w:t>
      </w:r>
      <w:r w:rsidR="00EA73AE" w:rsidRPr="00270674">
        <w:rPr>
          <w:lang w:val="en"/>
        </w:rPr>
        <w:t xml:space="preserve"> (Stevens et al., 2018)</w:t>
      </w:r>
      <w:r w:rsidR="006439A2" w:rsidRPr="00270674">
        <w:rPr>
          <w:lang w:val="en"/>
        </w:rPr>
        <w:t>. Interviews conducted at three, six and nine month follow-up indicated that some participants</w:t>
      </w:r>
      <w:r w:rsidR="007B4C55" w:rsidRPr="00270674">
        <w:rPr>
          <w:lang w:val="en"/>
        </w:rPr>
        <w:t>’ wellbeing had been maintained</w:t>
      </w:r>
      <w:r w:rsidR="006439A2" w:rsidRPr="00270674">
        <w:rPr>
          <w:lang w:val="en"/>
        </w:rPr>
        <w:t xml:space="preserve">. Qualitative data indicated that there were some positive social impacts, but the authors recommended that a measure of social inclusion such as the Social Inclusion Scale (Secker et al., 2009) should be </w:t>
      </w:r>
      <w:proofErr w:type="spellStart"/>
      <w:r w:rsidR="006439A2" w:rsidRPr="00270674">
        <w:rPr>
          <w:lang w:val="en"/>
        </w:rPr>
        <w:t>utilised</w:t>
      </w:r>
      <w:proofErr w:type="spellEnd"/>
      <w:r w:rsidR="006439A2" w:rsidRPr="00270674">
        <w:rPr>
          <w:lang w:val="en"/>
        </w:rPr>
        <w:t xml:space="preserve"> in </w:t>
      </w:r>
      <w:r w:rsidR="007B4C55" w:rsidRPr="00270674">
        <w:rPr>
          <w:lang w:val="en"/>
        </w:rPr>
        <w:t xml:space="preserve">future </w:t>
      </w:r>
      <w:r w:rsidR="006439A2" w:rsidRPr="00270674">
        <w:rPr>
          <w:lang w:val="en"/>
        </w:rPr>
        <w:t>evaluations.</w:t>
      </w:r>
    </w:p>
    <w:p w14:paraId="4E97CEE6" w14:textId="42D33A15" w:rsidR="00187D61" w:rsidRPr="00270674" w:rsidRDefault="00827C16" w:rsidP="0074388C">
      <w:pPr>
        <w:spacing w:line="480" w:lineRule="auto"/>
        <w:ind w:firstLine="720"/>
        <w:jc w:val="both"/>
        <w:rPr>
          <w:lang w:val="en"/>
        </w:rPr>
      </w:pPr>
      <w:r w:rsidRPr="00270674">
        <w:rPr>
          <w:lang w:val="en"/>
        </w:rPr>
        <w:t xml:space="preserve">Looking internationally, </w:t>
      </w:r>
      <w:r w:rsidR="00DD0B7E" w:rsidRPr="00270674">
        <w:t>an evaluation</w:t>
      </w:r>
      <w:r w:rsidR="00AE29A5" w:rsidRPr="00270674">
        <w:t xml:space="preserve"> of Mind Recovery College in Australia </w:t>
      </w:r>
      <w:r w:rsidR="00924C30" w:rsidRPr="00270674">
        <w:t>concluded</w:t>
      </w:r>
      <w:r w:rsidR="00AE29A5" w:rsidRPr="00270674">
        <w:t xml:space="preserve"> that</w:t>
      </w:r>
      <w:r w:rsidR="00994015" w:rsidRPr="00270674">
        <w:t xml:space="preserve"> amongst attenders</w:t>
      </w:r>
      <w:r w:rsidR="00AE29A5" w:rsidRPr="00270674">
        <w:t xml:space="preserve"> there were high levels of satisfaction, educatio</w:t>
      </w:r>
      <w:r w:rsidR="00994015" w:rsidRPr="00270674">
        <w:t>n and learning, which encouraged</w:t>
      </w:r>
      <w:r w:rsidR="00AE29A5" w:rsidRPr="00270674">
        <w:t xml:space="preserve"> students to adopt and maintain a healthy lifestyle and employment</w:t>
      </w:r>
      <w:r w:rsidR="00DD0B7E" w:rsidRPr="00270674">
        <w:t xml:space="preserve"> (Hall, </w:t>
      </w:r>
      <w:proofErr w:type="spellStart"/>
      <w:r w:rsidR="00DD0B7E" w:rsidRPr="00270674">
        <w:t>Brophy</w:t>
      </w:r>
      <w:proofErr w:type="spellEnd"/>
      <w:r w:rsidR="00DD0B7E" w:rsidRPr="00270674">
        <w:t xml:space="preserve"> &amp; Jordan, 2016; Hall et al., 2018)</w:t>
      </w:r>
      <w:r w:rsidR="00AE29A5" w:rsidRPr="00270674">
        <w:t xml:space="preserve">. </w:t>
      </w:r>
      <w:r w:rsidR="007A03D3" w:rsidRPr="00270674">
        <w:t xml:space="preserve">Finally, </w:t>
      </w:r>
      <w:r w:rsidR="00ED285C" w:rsidRPr="00270674">
        <w:t>Lucc</w:t>
      </w:r>
      <w:r w:rsidR="00DB7CB4" w:rsidRPr="00270674">
        <w:t>h</w:t>
      </w:r>
      <w:r w:rsidR="00ED285C" w:rsidRPr="00270674">
        <w:t>i</w:t>
      </w:r>
      <w:r w:rsidR="00D13BFA" w:rsidRPr="00270674">
        <w:t xml:space="preserve"> et al (2018) described the implementation of the first Recovery College in Italy. Surveys explored </w:t>
      </w:r>
      <w:r w:rsidR="00B223D8" w:rsidRPr="00270674">
        <w:t>student and staff views</w:t>
      </w:r>
      <w:r w:rsidR="00D13BFA" w:rsidRPr="00270674">
        <w:t xml:space="preserve"> of quality, expectations, and the learning process (with one question </w:t>
      </w:r>
      <w:r w:rsidR="00B223D8" w:rsidRPr="00270674">
        <w:t xml:space="preserve">asking if the courses were helpful in improving their quality of life, of </w:t>
      </w:r>
      <w:r w:rsidR="00B223D8" w:rsidRPr="00270674">
        <w:lastRenderedPageBreak/>
        <w:t>which 70% responded positively).</w:t>
      </w:r>
      <w:r w:rsidR="00D13BFA" w:rsidRPr="00270674">
        <w:t xml:space="preserve"> Focus groups also </w:t>
      </w:r>
      <w:r w:rsidR="00B91F2C" w:rsidRPr="00270674">
        <w:t xml:space="preserve">suggested </w:t>
      </w:r>
      <w:r w:rsidR="00D13BFA" w:rsidRPr="00270674">
        <w:t xml:space="preserve">that service users gained new social connections and felt that their relationships had improved. </w:t>
      </w:r>
    </w:p>
    <w:p w14:paraId="3E4FAE9C" w14:textId="62C16BCD" w:rsidR="00B6486C" w:rsidRPr="00270674" w:rsidRDefault="006C67DE" w:rsidP="00FE1342">
      <w:pPr>
        <w:spacing w:line="480" w:lineRule="auto"/>
        <w:ind w:firstLine="720"/>
        <w:jc w:val="both"/>
      </w:pPr>
      <w:r w:rsidRPr="00270674">
        <w:t>The present article comprises a mixed-methods evaluation of a newly established Recovery College in South East Essex</w:t>
      </w:r>
      <w:r w:rsidR="003C2CAD" w:rsidRPr="00270674">
        <w:t>. This adds to the sparse robust evaluative evidence for the impact of Recovery Colleges on mental wellbeing and social inclusion. The majority of Recovery Colleges in the UK are run by mental health trusts; however, the South East Essex Recovery College is a unique partnership hosted by a local third sector provider</w:t>
      </w:r>
      <w:r w:rsidR="0053048D">
        <w:t xml:space="preserve"> (Trust Links), working with the Essex Partnership NHS Foundation Trust, </w:t>
      </w:r>
      <w:r w:rsidR="003C2CAD" w:rsidRPr="00270674">
        <w:t xml:space="preserve">and a range of other local and national third sector providers through a Consortium Board. </w:t>
      </w:r>
      <w:r w:rsidR="008F74E0" w:rsidRPr="00270674">
        <w:t>T</w:t>
      </w:r>
      <w:r w:rsidR="0052621C" w:rsidRPr="00270674">
        <w:t>he</w:t>
      </w:r>
      <w:r w:rsidR="003C2CAD" w:rsidRPr="00270674">
        <w:t xml:space="preserve"> South East Essex</w:t>
      </w:r>
      <w:r w:rsidR="0052621C" w:rsidRPr="00270674">
        <w:t xml:space="preserve"> Recovery College aims to support people through</w:t>
      </w:r>
      <w:r w:rsidR="008F74E0" w:rsidRPr="00270674">
        <w:t xml:space="preserve"> </w:t>
      </w:r>
      <w:r w:rsidR="0052621C" w:rsidRPr="00270674">
        <w:t>an individu</w:t>
      </w:r>
      <w:r w:rsidR="0074388C" w:rsidRPr="00270674">
        <w:t>al recovery journey and support</w:t>
      </w:r>
      <w:r w:rsidR="0052621C" w:rsidRPr="00270674">
        <w:t xml:space="preserve"> transition from dependency to self</w:t>
      </w:r>
      <w:r w:rsidR="008F74E0" w:rsidRPr="00270674">
        <w:t>-</w:t>
      </w:r>
      <w:r w:rsidR="0052621C" w:rsidRPr="00270674">
        <w:t>management</w:t>
      </w:r>
      <w:r w:rsidR="008F74E0" w:rsidRPr="00270674">
        <w:t xml:space="preserve"> </w:t>
      </w:r>
      <w:r w:rsidR="00AF5FC2" w:rsidRPr="00270674">
        <w:t>in the longer-</w:t>
      </w:r>
      <w:r w:rsidR="0052621C" w:rsidRPr="00270674">
        <w:t>term. Through an educational approach, the Recovery</w:t>
      </w:r>
      <w:r w:rsidR="008F74E0" w:rsidRPr="00270674">
        <w:t xml:space="preserve"> </w:t>
      </w:r>
      <w:r w:rsidR="0052621C" w:rsidRPr="00270674">
        <w:t>College use</w:t>
      </w:r>
      <w:r w:rsidR="006164D1" w:rsidRPr="00270674">
        <w:t>s</w:t>
      </w:r>
      <w:r w:rsidR="0052621C" w:rsidRPr="00270674">
        <w:t xml:space="preserve"> psychoeducational and vocational training as well as social and peer</w:t>
      </w:r>
      <w:r w:rsidR="008F74E0" w:rsidRPr="00270674">
        <w:t xml:space="preserve"> </w:t>
      </w:r>
      <w:r w:rsidR="0052621C" w:rsidRPr="00270674">
        <w:t>support as tools to promote mental health recovery.</w:t>
      </w:r>
      <w:r w:rsidR="008F74E0" w:rsidRPr="00270674">
        <w:t xml:space="preserve"> </w:t>
      </w:r>
      <w:r w:rsidR="00F122E5" w:rsidRPr="00270674">
        <w:t xml:space="preserve">The Recovery College Manager </w:t>
      </w:r>
      <w:r w:rsidR="00B6486C" w:rsidRPr="00270674">
        <w:t>first started in September 2016 and</w:t>
      </w:r>
      <w:r w:rsidR="00F122E5" w:rsidRPr="00270674">
        <w:t xml:space="preserve"> the formal launch was in January 2017. </w:t>
      </w:r>
      <w:r w:rsidR="00FE1342" w:rsidRPr="00270674">
        <w:t>Over the first year 403 students enrolled.</w:t>
      </w:r>
    </w:p>
    <w:p w14:paraId="665593D0" w14:textId="442294AF" w:rsidR="00187D61" w:rsidRPr="00270674" w:rsidRDefault="0065462F" w:rsidP="00B6486C">
      <w:pPr>
        <w:spacing w:line="480" w:lineRule="auto"/>
        <w:ind w:firstLine="720"/>
        <w:jc w:val="both"/>
      </w:pPr>
      <w:r w:rsidRPr="00270674">
        <w:t xml:space="preserve">As part of the pilot phase, branding was developed for the South East Essex Recovery College in co-production with students. The College was named ‘REACH’, which is an acronym for Recovery, Empowerment, </w:t>
      </w:r>
      <w:r w:rsidR="007A03D3" w:rsidRPr="00270674">
        <w:t>Achievement, Community and Hope:</w:t>
      </w:r>
      <w:r w:rsidR="00545E28" w:rsidRPr="00270674">
        <w:t xml:space="preserve"> the principles of the c</w:t>
      </w:r>
      <w:r w:rsidRPr="00270674">
        <w:t xml:space="preserve">ollege. </w:t>
      </w:r>
      <w:r w:rsidR="00EB7524" w:rsidRPr="00270674">
        <w:t xml:space="preserve">The college offers courses related to </w:t>
      </w:r>
      <w:r w:rsidR="00545E28" w:rsidRPr="00270674">
        <w:t>‘Mental Health and</w:t>
      </w:r>
      <w:r w:rsidR="00EB7524" w:rsidRPr="00270674">
        <w:t xml:space="preserve"> Self-Management</w:t>
      </w:r>
      <w:r w:rsidR="00545E28" w:rsidRPr="00270674">
        <w:t>’</w:t>
      </w:r>
      <w:r w:rsidR="00EB7524" w:rsidRPr="00270674">
        <w:t xml:space="preserve"> (e.g. Anxiety Management, Confidence Building), </w:t>
      </w:r>
      <w:r w:rsidR="00545E28" w:rsidRPr="00270674">
        <w:t>‘</w:t>
      </w:r>
      <w:r w:rsidR="00EB7524" w:rsidRPr="00270674">
        <w:t>Life Skills</w:t>
      </w:r>
      <w:r w:rsidR="00545E28" w:rsidRPr="00270674">
        <w:t>’</w:t>
      </w:r>
      <w:r w:rsidR="00EB7524" w:rsidRPr="00270674">
        <w:t xml:space="preserve"> (e.g. Preparing to Volunteer, Work Preparation), and </w:t>
      </w:r>
      <w:r w:rsidR="00545E28" w:rsidRPr="00270674">
        <w:t>‘Creative and</w:t>
      </w:r>
      <w:r w:rsidR="00EB7524" w:rsidRPr="00270674">
        <w:t xml:space="preserve"> Wellbeing</w:t>
      </w:r>
      <w:r w:rsidR="00545E28" w:rsidRPr="00270674">
        <w:t>’</w:t>
      </w:r>
      <w:r w:rsidR="00EB7524" w:rsidRPr="00270674">
        <w:t xml:space="preserve"> (e.g. Healthy Living, Writing for Wellbeing). Course length</w:t>
      </w:r>
      <w:r w:rsidR="00B6486C" w:rsidRPr="00270674">
        <w:t>s range</w:t>
      </w:r>
      <w:r w:rsidR="00EB7524" w:rsidRPr="00270674">
        <w:t xml:space="preserve"> f</w:t>
      </w:r>
      <w:r w:rsidR="008C1DF4" w:rsidRPr="00270674">
        <w:t>rom once weekly for four</w:t>
      </w:r>
      <w:r w:rsidR="008B19C2" w:rsidRPr="00270674">
        <w:t xml:space="preserve"> weeks to 12</w:t>
      </w:r>
      <w:r w:rsidR="00EB7524" w:rsidRPr="00270674">
        <w:t xml:space="preserve"> weeks. </w:t>
      </w:r>
    </w:p>
    <w:p w14:paraId="753EB609" w14:textId="1FA2E7EB" w:rsidR="00E710A4" w:rsidRPr="00270674" w:rsidRDefault="0053048D" w:rsidP="00187D61">
      <w:pPr>
        <w:spacing w:line="480" w:lineRule="auto"/>
        <w:ind w:firstLine="720"/>
        <w:jc w:val="both"/>
      </w:pPr>
      <w:r>
        <w:lastRenderedPageBreak/>
        <w:t>Anglia Ruskin University</w:t>
      </w:r>
      <w:r w:rsidR="00612269" w:rsidRPr="00270674">
        <w:t xml:space="preserve"> </w:t>
      </w:r>
      <w:r w:rsidR="005A2033" w:rsidRPr="00270674">
        <w:t xml:space="preserve">were commissioned to conduct an independent evaluation </w:t>
      </w:r>
      <w:r w:rsidR="00F12359" w:rsidRPr="00270674">
        <w:t>over</w:t>
      </w:r>
      <w:r w:rsidR="005A2033" w:rsidRPr="00270674">
        <w:t xml:space="preserve"> the first </w:t>
      </w:r>
      <w:r w:rsidR="004C6547" w:rsidRPr="00270674">
        <w:t>year</w:t>
      </w:r>
      <w:r w:rsidR="005A2033" w:rsidRPr="00270674">
        <w:t xml:space="preserve"> of the </w:t>
      </w:r>
      <w:r w:rsidR="00F12359" w:rsidRPr="00270674">
        <w:t xml:space="preserve">running of the </w:t>
      </w:r>
      <w:r w:rsidR="005A2033" w:rsidRPr="00270674">
        <w:t>South East Essex Recovery College</w:t>
      </w:r>
      <w:r w:rsidR="00053DBA" w:rsidRPr="00270674">
        <w:t xml:space="preserve"> pilot</w:t>
      </w:r>
      <w:r w:rsidR="005A2033" w:rsidRPr="00270674">
        <w:t xml:space="preserve"> through qualitative and quantitative </w:t>
      </w:r>
      <w:r w:rsidR="002B5872" w:rsidRPr="00270674">
        <w:t>methods</w:t>
      </w:r>
      <w:r w:rsidR="007A03D3" w:rsidRPr="00270674">
        <w:t>; exploring the mental wellbeing and social inclusion impacts.</w:t>
      </w:r>
      <w:r w:rsidR="005A2033" w:rsidRPr="00270674">
        <w:t xml:space="preserve"> </w:t>
      </w:r>
      <w:r w:rsidR="006C172A" w:rsidRPr="00270674">
        <w:t>This paper reports on these findings.</w:t>
      </w:r>
    </w:p>
    <w:p w14:paraId="1FC92AB2" w14:textId="137D71B8" w:rsidR="0001142C" w:rsidRPr="00270674" w:rsidRDefault="000174C6" w:rsidP="00012665">
      <w:pPr>
        <w:spacing w:line="480" w:lineRule="auto"/>
        <w:jc w:val="center"/>
      </w:pPr>
      <w:r w:rsidRPr="00270674">
        <w:rPr>
          <w:b/>
        </w:rPr>
        <w:t>M</w:t>
      </w:r>
      <w:r w:rsidR="00D95448" w:rsidRPr="00270674">
        <w:rPr>
          <w:b/>
        </w:rPr>
        <w:t>ethods</w:t>
      </w:r>
    </w:p>
    <w:p w14:paraId="5E3FE660" w14:textId="79053647" w:rsidR="00273455" w:rsidRPr="00270674" w:rsidRDefault="00273455" w:rsidP="001C63A7">
      <w:pPr>
        <w:spacing w:line="480" w:lineRule="auto"/>
        <w:jc w:val="both"/>
        <w:rPr>
          <w:b/>
        </w:rPr>
      </w:pPr>
      <w:r w:rsidRPr="00270674">
        <w:rPr>
          <w:b/>
        </w:rPr>
        <w:t>Design</w:t>
      </w:r>
    </w:p>
    <w:p w14:paraId="76A21564" w14:textId="53CC4355" w:rsidR="00481DD2" w:rsidRPr="00270674" w:rsidRDefault="00B47521" w:rsidP="001C63A7">
      <w:pPr>
        <w:spacing w:line="480" w:lineRule="auto"/>
        <w:jc w:val="both"/>
      </w:pPr>
      <w:r w:rsidRPr="00270674">
        <w:t>This was a mixed-</w:t>
      </w:r>
      <w:r w:rsidR="00481DD2" w:rsidRPr="00270674">
        <w:t>methods design comprising:</w:t>
      </w:r>
    </w:p>
    <w:p w14:paraId="1312B695" w14:textId="27394746" w:rsidR="00481DD2" w:rsidRPr="00270674" w:rsidRDefault="00481DD2" w:rsidP="00187D61">
      <w:pPr>
        <w:pStyle w:val="ListParagraph"/>
        <w:numPr>
          <w:ilvl w:val="0"/>
          <w:numId w:val="20"/>
        </w:numPr>
        <w:spacing w:line="480" w:lineRule="auto"/>
        <w:jc w:val="both"/>
      </w:pPr>
      <w:r w:rsidRPr="00270674">
        <w:t>A quantitative strand: pre/post</w:t>
      </w:r>
      <w:r w:rsidR="00BC03D9" w:rsidRPr="00270674">
        <w:t xml:space="preserve"> intervention group only design;</w:t>
      </w:r>
      <w:r w:rsidRPr="00270674">
        <w:t xml:space="preserve"> whereby questionnaire measures of wellbeing and social inclusion were completed at baseline, and three and six month follow-up by attending students.</w:t>
      </w:r>
    </w:p>
    <w:p w14:paraId="550D9156" w14:textId="4D82FB68" w:rsidR="00327E13" w:rsidRPr="00270674" w:rsidRDefault="00481DD2" w:rsidP="00187D61">
      <w:pPr>
        <w:pStyle w:val="ListParagraph"/>
        <w:numPr>
          <w:ilvl w:val="0"/>
          <w:numId w:val="20"/>
        </w:numPr>
        <w:spacing w:line="480" w:lineRule="auto"/>
        <w:jc w:val="both"/>
      </w:pPr>
      <w:r w:rsidRPr="00270674">
        <w:t>A qualitative strand: three focus groups with attending students within the first year of the college’s operation.</w:t>
      </w:r>
    </w:p>
    <w:p w14:paraId="5E16CD0E" w14:textId="5A56FC28" w:rsidR="00D037F2" w:rsidRPr="00270674" w:rsidRDefault="00D037F2" w:rsidP="00216C26">
      <w:pPr>
        <w:spacing w:line="480" w:lineRule="auto"/>
        <w:jc w:val="both"/>
      </w:pPr>
      <w:r w:rsidRPr="00270674">
        <w:t xml:space="preserve">A mixed-methods design was chosen in order to gain a deeper, broader understanding of the </w:t>
      </w:r>
      <w:r w:rsidR="00216C26" w:rsidRPr="00270674">
        <w:t xml:space="preserve">experience of and benefits from the Recovery College. </w:t>
      </w:r>
      <w:r w:rsidR="007F21FC" w:rsidRPr="0053048D">
        <w:t xml:space="preserve">Mixed-methods allow </w:t>
      </w:r>
      <w:r w:rsidR="00CC000B" w:rsidRPr="0053048D">
        <w:t>for</w:t>
      </w:r>
      <w:r w:rsidR="007F21FC" w:rsidRPr="0053048D">
        <w:t xml:space="preserve"> bring</w:t>
      </w:r>
      <w:r w:rsidR="00CC000B" w:rsidRPr="0053048D">
        <w:t>ing</w:t>
      </w:r>
      <w:r w:rsidR="007F21FC" w:rsidRPr="0053048D">
        <w:t xml:space="preserve"> together a more comprehensive account, </w:t>
      </w:r>
      <w:r w:rsidR="00CC000B" w:rsidRPr="0053048D">
        <w:t>enhance</w:t>
      </w:r>
      <w:r w:rsidR="007F21FC" w:rsidRPr="0053048D">
        <w:t xml:space="preserve"> the integrity of the findings, draw on the strengths</w:t>
      </w:r>
      <w:r w:rsidR="00CC000B" w:rsidRPr="0053048D">
        <w:t xml:space="preserve"> of each method, and allow for</w:t>
      </w:r>
      <w:r w:rsidR="007F21FC" w:rsidRPr="0053048D">
        <w:t xml:space="preserve"> qualitative lines of enquiry to provide context to</w:t>
      </w:r>
      <w:r w:rsidR="00CC000B" w:rsidRPr="0053048D">
        <w:t xml:space="preserve"> the</w:t>
      </w:r>
      <w:r w:rsidR="007F21FC" w:rsidRPr="0053048D">
        <w:t xml:space="preserve"> quantitative findings (</w:t>
      </w:r>
      <w:proofErr w:type="spellStart"/>
      <w:r w:rsidR="007F21FC" w:rsidRPr="0053048D">
        <w:t>Bryman</w:t>
      </w:r>
      <w:proofErr w:type="spellEnd"/>
      <w:r w:rsidR="007F21FC" w:rsidRPr="0053048D">
        <w:t>, 2006).</w:t>
      </w:r>
    </w:p>
    <w:p w14:paraId="1067AA8B" w14:textId="24CE5BD3" w:rsidR="00327E13" w:rsidRPr="00270674" w:rsidRDefault="00355647" w:rsidP="00187D61">
      <w:pPr>
        <w:spacing w:line="480" w:lineRule="auto"/>
        <w:jc w:val="both"/>
        <w:rPr>
          <w:b/>
        </w:rPr>
      </w:pPr>
      <w:r w:rsidRPr="00270674">
        <w:rPr>
          <w:b/>
        </w:rPr>
        <w:t>Participants</w:t>
      </w:r>
    </w:p>
    <w:p w14:paraId="4A73E2A7" w14:textId="0CCF448A" w:rsidR="00A1081E" w:rsidRPr="00270674" w:rsidRDefault="00327E13" w:rsidP="00187D61">
      <w:pPr>
        <w:spacing w:line="480" w:lineRule="auto"/>
        <w:ind w:firstLine="720"/>
        <w:jc w:val="both"/>
      </w:pPr>
      <w:r w:rsidRPr="00270674">
        <w:t xml:space="preserve">All students who attended the Recovery College were invited to take part in both components of the research. Recovery College staff invited students to take part using participant information sheets (which made it clear that participation was voluntary). </w:t>
      </w:r>
    </w:p>
    <w:p w14:paraId="6C717C64" w14:textId="2E497D2B" w:rsidR="00A1081E" w:rsidRPr="00270674" w:rsidRDefault="00A1081E" w:rsidP="00187D61">
      <w:pPr>
        <w:spacing w:line="480" w:lineRule="auto"/>
        <w:jc w:val="both"/>
        <w:rPr>
          <w:b/>
        </w:rPr>
      </w:pPr>
      <w:r w:rsidRPr="00270674">
        <w:rPr>
          <w:b/>
        </w:rPr>
        <w:t>Ethics</w:t>
      </w:r>
    </w:p>
    <w:p w14:paraId="3B0C6B3B" w14:textId="3A3F99A1" w:rsidR="00187D61" w:rsidRPr="00270674" w:rsidRDefault="00A1081E" w:rsidP="00187D61">
      <w:pPr>
        <w:spacing w:line="480" w:lineRule="auto"/>
        <w:ind w:firstLine="720"/>
        <w:jc w:val="both"/>
      </w:pPr>
      <w:r w:rsidRPr="00270674">
        <w:t xml:space="preserve">Ethical approval was obtained from </w:t>
      </w:r>
      <w:r w:rsidR="0053048D">
        <w:t xml:space="preserve">the formerly named South Essex Partnership NHS Foundation Trust (now Essex Partnership University NHS Foundation </w:t>
      </w:r>
      <w:r w:rsidR="0053048D">
        <w:lastRenderedPageBreak/>
        <w:t xml:space="preserve">Trust) </w:t>
      </w:r>
      <w:r w:rsidR="002A6103" w:rsidRPr="00270674">
        <w:t xml:space="preserve">Research Governance Group </w:t>
      </w:r>
      <w:r w:rsidRPr="00270674">
        <w:t>in November 2016.</w:t>
      </w:r>
      <w:r w:rsidR="009F3D06" w:rsidRPr="00270674">
        <w:t xml:space="preserve"> All participants provided written informed consent prior to taking part.</w:t>
      </w:r>
    </w:p>
    <w:p w14:paraId="3502C2CB" w14:textId="77DB541E" w:rsidR="00664E52" w:rsidRPr="00270674" w:rsidRDefault="00F12359" w:rsidP="00187D61">
      <w:pPr>
        <w:spacing w:line="480" w:lineRule="auto"/>
        <w:jc w:val="both"/>
        <w:rPr>
          <w:b/>
        </w:rPr>
      </w:pPr>
      <w:r w:rsidRPr="00270674">
        <w:rPr>
          <w:b/>
        </w:rPr>
        <w:t xml:space="preserve">Quantitative </w:t>
      </w:r>
      <w:r w:rsidR="001E3844" w:rsidRPr="00270674">
        <w:rPr>
          <w:b/>
        </w:rPr>
        <w:t>measures</w:t>
      </w:r>
    </w:p>
    <w:p w14:paraId="6E3C04AE" w14:textId="265518E6" w:rsidR="00187D61" w:rsidRPr="00270674" w:rsidRDefault="001E3844" w:rsidP="00012665">
      <w:pPr>
        <w:spacing w:line="480" w:lineRule="auto"/>
        <w:ind w:firstLine="720"/>
        <w:jc w:val="both"/>
        <w:rPr>
          <w:b/>
          <w:iCs/>
        </w:rPr>
      </w:pPr>
      <w:r w:rsidRPr="00270674">
        <w:rPr>
          <w:b/>
          <w:iCs/>
        </w:rPr>
        <w:t>The Short Warwick–Edinburgh Mental Well-being Scale (SWEMWBS: Tennant et al., 2007)</w:t>
      </w:r>
      <w:r w:rsidR="00012665" w:rsidRPr="00270674">
        <w:rPr>
          <w:b/>
          <w:iCs/>
        </w:rPr>
        <w:t xml:space="preserve">. </w:t>
      </w:r>
      <w:r w:rsidRPr="00270674">
        <w:t xml:space="preserve">The WEMWBS measures positive affect, psychological functioning and interpersonal relationships. This measure has been employed in evaluations of recovery-oriented services since 2008. </w:t>
      </w:r>
      <w:r w:rsidR="00664E52" w:rsidRPr="00270674">
        <w:t>The</w:t>
      </w:r>
      <w:r w:rsidR="001C63A7" w:rsidRPr="00270674">
        <w:t xml:space="preserve"> short </w:t>
      </w:r>
      <w:r w:rsidR="00664E52" w:rsidRPr="00270674">
        <w:t xml:space="preserve">measure consists of </w:t>
      </w:r>
      <w:r w:rsidR="001C63A7" w:rsidRPr="00270674">
        <w:t>seven positively-</w:t>
      </w:r>
      <w:r w:rsidRPr="00270674">
        <w:t>phrased statements (e.g. ‘I’ve been feeli</w:t>
      </w:r>
      <w:r w:rsidR="00DD1773" w:rsidRPr="00270674">
        <w:t>ng optimistic about the future’</w:t>
      </w:r>
      <w:r w:rsidRPr="00270674">
        <w:t>) rated on Likert scales: ‘None of the time’,</w:t>
      </w:r>
      <w:r w:rsidR="00664E52" w:rsidRPr="00270674">
        <w:t xml:space="preserve"> </w:t>
      </w:r>
      <w:r w:rsidRPr="00270674">
        <w:t>‘</w:t>
      </w:r>
      <w:proofErr w:type="gramStart"/>
      <w:r w:rsidRPr="00270674">
        <w:t>Rarely</w:t>
      </w:r>
      <w:proofErr w:type="gramEnd"/>
      <w:r w:rsidRPr="00270674">
        <w:t>’, ‘Some of the time’, ‘Often’ and ‘All of the time’. The overall score is the sum of each item</w:t>
      </w:r>
      <w:r w:rsidR="00664E52" w:rsidRPr="00270674">
        <w:t xml:space="preserve"> </w:t>
      </w:r>
      <w:r w:rsidRPr="00270674">
        <w:t>with a higher scor</w:t>
      </w:r>
      <w:r w:rsidR="001C63A7" w:rsidRPr="00270674">
        <w:t>e reflecting higher mental well</w:t>
      </w:r>
      <w:r w:rsidRPr="00270674">
        <w:t>being. This scale has demonstrated high</w:t>
      </w:r>
      <w:r w:rsidR="00664E52" w:rsidRPr="00270674">
        <w:t xml:space="preserve"> </w:t>
      </w:r>
      <w:r w:rsidR="001C63A7" w:rsidRPr="00270674">
        <w:t>levels of reliability and validity</w:t>
      </w:r>
      <w:r w:rsidR="00664E52" w:rsidRPr="00270674">
        <w:t xml:space="preserve"> (e.g. </w:t>
      </w:r>
      <w:r w:rsidR="00B47521" w:rsidRPr="00270674">
        <w:t xml:space="preserve">Tennant et al., 2007; Stewart-Brown et al., 2009; </w:t>
      </w:r>
      <w:r w:rsidR="00A9736C" w:rsidRPr="00270674">
        <w:t xml:space="preserve">Bartram et al., </w:t>
      </w:r>
      <w:r w:rsidR="00B47521" w:rsidRPr="00270674">
        <w:t>2011; Clarke et al., 2011</w:t>
      </w:r>
      <w:r w:rsidRPr="00270674">
        <w:t>).</w:t>
      </w:r>
    </w:p>
    <w:p w14:paraId="44ECB687" w14:textId="73FA1698" w:rsidR="001E3844" w:rsidRDefault="001E3844" w:rsidP="00012665">
      <w:pPr>
        <w:spacing w:line="480" w:lineRule="auto"/>
        <w:ind w:firstLine="720"/>
        <w:jc w:val="both"/>
      </w:pPr>
      <w:r w:rsidRPr="00270674">
        <w:rPr>
          <w:b/>
          <w:iCs/>
        </w:rPr>
        <w:t>The Social Inclusion Scale (</w:t>
      </w:r>
      <w:r w:rsidR="00E623A8" w:rsidRPr="00270674">
        <w:rPr>
          <w:b/>
          <w:iCs/>
        </w:rPr>
        <w:t xml:space="preserve">SIS: </w:t>
      </w:r>
      <w:r w:rsidRPr="00270674">
        <w:rPr>
          <w:b/>
          <w:iCs/>
        </w:rPr>
        <w:t>Secker et al., 2009)</w:t>
      </w:r>
      <w:r w:rsidR="00012665" w:rsidRPr="00270674">
        <w:rPr>
          <w:b/>
          <w:iCs/>
        </w:rPr>
        <w:t>.</w:t>
      </w:r>
      <w:r w:rsidR="00012665" w:rsidRPr="00270674">
        <w:rPr>
          <w:b/>
        </w:rPr>
        <w:t xml:space="preserve"> </w:t>
      </w:r>
      <w:r w:rsidRPr="00270674">
        <w:t>The original SIS consisted of 22 items and three subscales: social isolation, social relations</w:t>
      </w:r>
      <w:r w:rsidR="00E623A8" w:rsidRPr="00270674">
        <w:t xml:space="preserve"> </w:t>
      </w:r>
      <w:r w:rsidRPr="00270674">
        <w:t xml:space="preserve">and social acceptance. This measure has demonstrated good </w:t>
      </w:r>
      <w:r w:rsidR="00B47521" w:rsidRPr="00270674">
        <w:t>reliability and validity</w:t>
      </w:r>
      <w:r w:rsidRPr="00270674">
        <w:t xml:space="preserve"> (Secker et al., 2009</w:t>
      </w:r>
      <w:r w:rsidR="00B47521" w:rsidRPr="00270674">
        <w:t>; Wilson &amp; Secker, 2015</w:t>
      </w:r>
      <w:r w:rsidRPr="00270674">
        <w:t>). The shortened version (12 items) used in the present</w:t>
      </w:r>
      <w:r w:rsidR="00E623A8" w:rsidRPr="00270674">
        <w:t xml:space="preserve"> study</w:t>
      </w:r>
      <w:r w:rsidRPr="00270674">
        <w:t xml:space="preserve"> has also demonstrated good internal consistency (</w:t>
      </w:r>
      <w:proofErr w:type="spellStart"/>
      <w:r w:rsidRPr="00270674">
        <w:t>Margrove</w:t>
      </w:r>
      <w:proofErr w:type="spellEnd"/>
      <w:r w:rsidRPr="00270674">
        <w:t xml:space="preserve"> et al., 2013). The scale</w:t>
      </w:r>
      <w:r w:rsidR="00E623A8" w:rsidRPr="00270674">
        <w:t xml:space="preserve"> </w:t>
      </w:r>
      <w:r w:rsidRPr="00270674">
        <w:t>consists of statements (e.g. ‘I have friends I see or talk to every</w:t>
      </w:r>
      <w:r w:rsidR="00DD1773" w:rsidRPr="00270674">
        <w:t xml:space="preserve"> week’</w:t>
      </w:r>
      <w:r w:rsidRPr="00270674">
        <w:t>) in which participants choose</w:t>
      </w:r>
      <w:r w:rsidR="00E623A8" w:rsidRPr="00270674">
        <w:t xml:space="preserve"> </w:t>
      </w:r>
      <w:r w:rsidRPr="00270674">
        <w:t>the option on a Likert scale (‘Not at all’, ‘Not particularly’, ‘Yes a bit’ and ‘Yes definitely’) that</w:t>
      </w:r>
      <w:r w:rsidR="00E623A8" w:rsidRPr="00270674">
        <w:t xml:space="preserve"> </w:t>
      </w:r>
      <w:r w:rsidRPr="00270674">
        <w:t xml:space="preserve">best describes their </w:t>
      </w:r>
      <w:r w:rsidR="00E623A8" w:rsidRPr="00270674">
        <w:t xml:space="preserve">experience </w:t>
      </w:r>
      <w:r w:rsidRPr="00270674">
        <w:t>over the last month. The overall score is</w:t>
      </w:r>
      <w:r w:rsidR="00E623A8" w:rsidRPr="00270674">
        <w:t xml:space="preserve"> </w:t>
      </w:r>
      <w:r w:rsidRPr="00270674">
        <w:t>the sum of each item; the score of each subscale is the sum of items in that subscale.</w:t>
      </w:r>
    </w:p>
    <w:p w14:paraId="5C41B430" w14:textId="2857768D" w:rsidR="0053048D" w:rsidRDefault="0053048D" w:rsidP="00012665">
      <w:pPr>
        <w:spacing w:line="480" w:lineRule="auto"/>
        <w:ind w:firstLine="720"/>
        <w:jc w:val="both"/>
      </w:pPr>
    </w:p>
    <w:p w14:paraId="3E6BBD30" w14:textId="77777777" w:rsidR="0053048D" w:rsidRPr="00270674" w:rsidRDefault="0053048D" w:rsidP="00012665">
      <w:pPr>
        <w:spacing w:line="480" w:lineRule="auto"/>
        <w:ind w:firstLine="720"/>
        <w:jc w:val="both"/>
        <w:rPr>
          <w:b/>
        </w:rPr>
      </w:pPr>
    </w:p>
    <w:p w14:paraId="1F3814E4" w14:textId="7B0B6579" w:rsidR="0001142C" w:rsidRPr="00270674" w:rsidRDefault="001E3844" w:rsidP="00187D61">
      <w:pPr>
        <w:spacing w:line="480" w:lineRule="auto"/>
        <w:jc w:val="both"/>
        <w:rPr>
          <w:b/>
        </w:rPr>
      </w:pPr>
      <w:r w:rsidRPr="00270674">
        <w:rPr>
          <w:b/>
        </w:rPr>
        <w:lastRenderedPageBreak/>
        <w:t>Quantitative data collection</w:t>
      </w:r>
      <w:r w:rsidR="00734724" w:rsidRPr="00270674">
        <w:rPr>
          <w:b/>
        </w:rPr>
        <w:t xml:space="preserve"> and analysis</w:t>
      </w:r>
    </w:p>
    <w:p w14:paraId="48517FD1" w14:textId="60DE13BB" w:rsidR="00D85A31" w:rsidRPr="00270674" w:rsidRDefault="00B13F9A" w:rsidP="00D04FFC">
      <w:pPr>
        <w:spacing w:line="480" w:lineRule="auto"/>
        <w:ind w:firstLine="720"/>
        <w:jc w:val="both"/>
      </w:pPr>
      <w:r w:rsidRPr="00270674">
        <w:t>Questionnaire</w:t>
      </w:r>
      <w:r w:rsidR="0001142C" w:rsidRPr="00270674">
        <w:t xml:space="preserve"> measures</w:t>
      </w:r>
      <w:r w:rsidR="002F6F74" w:rsidRPr="00270674">
        <w:t xml:space="preserve"> were </w:t>
      </w:r>
      <w:r w:rsidR="00AC1ECA">
        <w:t>passed on</w:t>
      </w:r>
      <w:r w:rsidR="002F6F74" w:rsidRPr="00270674">
        <w:t xml:space="preserve"> to Recovery College staff </w:t>
      </w:r>
      <w:r w:rsidR="002F6F74" w:rsidRPr="0053048D">
        <w:t xml:space="preserve">who </w:t>
      </w:r>
      <w:r w:rsidR="00972A8B" w:rsidRPr="0053048D">
        <w:t>then provided</w:t>
      </w:r>
      <w:r w:rsidR="002F6F74" w:rsidRPr="0053048D">
        <w:t xml:space="preserve"> these </w:t>
      </w:r>
      <w:r w:rsidR="00972A8B" w:rsidRPr="0053048D">
        <w:t>to</w:t>
      </w:r>
      <w:r w:rsidR="002F6F74" w:rsidRPr="00270674">
        <w:t xml:space="preserve"> the Recovery College attendees at, or shortly after, enrolment</w:t>
      </w:r>
      <w:r w:rsidR="00D10575" w:rsidRPr="00270674">
        <w:t xml:space="preserve"> of individual students. All students who enrolled at the college were invited by Recovery College staff to take part in the research and were provided a participant information sheet</w:t>
      </w:r>
      <w:r w:rsidRPr="00270674">
        <w:t xml:space="preserve"> (but were reassured </w:t>
      </w:r>
      <w:r w:rsidR="00A006B2" w:rsidRPr="00270674">
        <w:t xml:space="preserve">both verbally and in the information sheet </w:t>
      </w:r>
      <w:r w:rsidRPr="00270674">
        <w:t>that taking part in the research was not a requirement of attending</w:t>
      </w:r>
      <w:r w:rsidR="00A006B2" w:rsidRPr="00270674">
        <w:t xml:space="preserve"> and a decision not</w:t>
      </w:r>
      <w:r w:rsidR="00DD1773" w:rsidRPr="00270674">
        <w:t xml:space="preserve"> to take part </w:t>
      </w:r>
      <w:r w:rsidR="00A006B2" w:rsidRPr="00270674">
        <w:t>would not affect their service or treatment at the College</w:t>
      </w:r>
      <w:r w:rsidRPr="00270674">
        <w:t>)</w:t>
      </w:r>
      <w:r w:rsidR="00D10575" w:rsidRPr="00270674">
        <w:t>. As individuals enrolled at different times</w:t>
      </w:r>
      <w:r w:rsidR="00F458FA" w:rsidRPr="00270674">
        <w:t>,</w:t>
      </w:r>
      <w:r w:rsidR="00D10575" w:rsidRPr="00270674">
        <w:t xml:space="preserve"> the baseline questionnaires were not completed at the same time for all participants</w:t>
      </w:r>
      <w:r w:rsidR="00C01BBF" w:rsidRPr="00270674">
        <w:t xml:space="preserve"> (</w:t>
      </w:r>
      <w:r w:rsidR="00D10575" w:rsidRPr="00270674">
        <w:t xml:space="preserve">baseline questionnaires were completed </w:t>
      </w:r>
      <w:r w:rsidR="00C01BBF" w:rsidRPr="00270674">
        <w:t xml:space="preserve">between January and </w:t>
      </w:r>
      <w:r w:rsidR="00D10575" w:rsidRPr="00270674">
        <w:t xml:space="preserve">May </w:t>
      </w:r>
      <w:r w:rsidR="00C01BBF" w:rsidRPr="00270674">
        <w:t>2017</w:t>
      </w:r>
      <w:r w:rsidR="00D04FFC" w:rsidRPr="00270674">
        <w:t>, during which time 280 students enrolled</w:t>
      </w:r>
      <w:r w:rsidR="00C01BBF" w:rsidRPr="00270674">
        <w:t>)</w:t>
      </w:r>
      <w:r w:rsidR="002F6F74" w:rsidRPr="00270674">
        <w:t>.</w:t>
      </w:r>
      <w:r w:rsidR="0001142C" w:rsidRPr="00270674">
        <w:t xml:space="preserve"> </w:t>
      </w:r>
      <w:r w:rsidR="002F6F74" w:rsidRPr="00270674">
        <w:t>These</w:t>
      </w:r>
      <w:r w:rsidR="00D10575" w:rsidRPr="00270674">
        <w:t xml:space="preserve"> baseline</w:t>
      </w:r>
      <w:r w:rsidR="002F6F74" w:rsidRPr="00270674">
        <w:t xml:space="preserve"> questionnaires were also accompanied by </w:t>
      </w:r>
      <w:r w:rsidR="0001142C" w:rsidRPr="00270674">
        <w:t xml:space="preserve">questions asking about gender, age, ethnicity, and whether the student </w:t>
      </w:r>
      <w:r w:rsidR="00D4493F" w:rsidRPr="00270674">
        <w:t>was</w:t>
      </w:r>
      <w:r w:rsidR="0001142C" w:rsidRPr="00270674">
        <w:t xml:space="preserve"> a mental health </w:t>
      </w:r>
      <w:r w:rsidR="00F5177F" w:rsidRPr="00270674">
        <w:t>service user</w:t>
      </w:r>
      <w:r w:rsidR="0001142C" w:rsidRPr="00270674">
        <w:t xml:space="preserve">, carer or staff </w:t>
      </w:r>
      <w:r w:rsidR="00F5177F" w:rsidRPr="00270674">
        <w:t xml:space="preserve">member </w:t>
      </w:r>
      <w:r w:rsidR="002F6F74" w:rsidRPr="00270674">
        <w:t>in mental health services</w:t>
      </w:r>
      <w:r w:rsidR="00F458FA" w:rsidRPr="00270674">
        <w:t xml:space="preserve"> (all indicated that they were mental health service users)</w:t>
      </w:r>
      <w:r w:rsidR="0001142C" w:rsidRPr="00270674">
        <w:t xml:space="preserve">. </w:t>
      </w:r>
      <w:r w:rsidR="000174C6" w:rsidRPr="00270674">
        <w:t>Students</w:t>
      </w:r>
      <w:r w:rsidR="00A60215" w:rsidRPr="00270674">
        <w:t xml:space="preserve"> </w:t>
      </w:r>
      <w:r w:rsidR="00D4493F" w:rsidRPr="00270674">
        <w:t>w</w:t>
      </w:r>
      <w:r w:rsidR="00F12359" w:rsidRPr="00270674">
        <w:t xml:space="preserve">ere </w:t>
      </w:r>
      <w:r w:rsidR="00D01F83" w:rsidRPr="00270674">
        <w:t>asked</w:t>
      </w:r>
      <w:r w:rsidR="005F091D" w:rsidRPr="00270674">
        <w:t xml:space="preserve"> in person whilst attending the Recovery College sites</w:t>
      </w:r>
      <w:r w:rsidR="008D0B58" w:rsidRPr="00270674">
        <w:t xml:space="preserve"> </w:t>
      </w:r>
      <w:r w:rsidR="00F12359" w:rsidRPr="00270674">
        <w:t>at approximately three months and six</w:t>
      </w:r>
      <w:r w:rsidR="00D10575" w:rsidRPr="00270674">
        <w:t xml:space="preserve"> months after they </w:t>
      </w:r>
      <w:r w:rsidR="00DD1773" w:rsidRPr="00270674">
        <w:t xml:space="preserve">had </w:t>
      </w:r>
      <w:r w:rsidR="00D10575" w:rsidRPr="00270674">
        <w:t xml:space="preserve">completed their baseline questionnaire </w:t>
      </w:r>
      <w:r w:rsidR="00F5177F" w:rsidRPr="00270674">
        <w:t xml:space="preserve">to complete </w:t>
      </w:r>
      <w:r w:rsidR="0001142C" w:rsidRPr="00270674">
        <w:t>the SIS</w:t>
      </w:r>
      <w:r w:rsidR="000174C6" w:rsidRPr="00270674">
        <w:t xml:space="preserve"> and</w:t>
      </w:r>
      <w:r w:rsidR="0001142C" w:rsidRPr="00270674">
        <w:t xml:space="preserve"> </w:t>
      </w:r>
      <w:r w:rsidR="00D12371" w:rsidRPr="00270674">
        <w:t>S</w:t>
      </w:r>
      <w:r w:rsidR="000174C6" w:rsidRPr="00270674">
        <w:t>WEMWBS,</w:t>
      </w:r>
      <w:r w:rsidR="00490477" w:rsidRPr="00270674">
        <w:t xml:space="preserve"> </w:t>
      </w:r>
      <w:r w:rsidR="0001142C" w:rsidRPr="00270674">
        <w:t xml:space="preserve">along with </w:t>
      </w:r>
      <w:r w:rsidR="00490477" w:rsidRPr="00270674">
        <w:t xml:space="preserve">additional </w:t>
      </w:r>
      <w:r w:rsidR="0001142C" w:rsidRPr="00270674">
        <w:t>questions (e.g. concerning enjoyment of the course</w:t>
      </w:r>
      <w:r w:rsidR="00F458FA" w:rsidRPr="00270674">
        <w:t>, confidence, motivation</w:t>
      </w:r>
      <w:r w:rsidR="00E70656" w:rsidRPr="00270674">
        <w:t>, as used in previous mental health intervention evaluations e.g. Wilson et al., 2014; Wilson et al., 2017</w:t>
      </w:r>
      <w:r w:rsidR="001927CA" w:rsidRPr="00270674">
        <w:t>)</w:t>
      </w:r>
      <w:r w:rsidR="00490477" w:rsidRPr="00270674">
        <w:t xml:space="preserve"> alongside questions related to future plans in terms of </w:t>
      </w:r>
      <w:r w:rsidR="00967780" w:rsidRPr="00270674">
        <w:t>course attendance</w:t>
      </w:r>
      <w:r w:rsidR="00490477" w:rsidRPr="00270674">
        <w:t>, volunteering or employment</w:t>
      </w:r>
      <w:r w:rsidR="008D0B58" w:rsidRPr="00270674">
        <w:t xml:space="preserve"> (which were analysed thematically)</w:t>
      </w:r>
      <w:r w:rsidR="0001142C" w:rsidRPr="00270674">
        <w:t>.</w:t>
      </w:r>
      <w:r w:rsidR="00D41B88" w:rsidRPr="00270674">
        <w:t xml:space="preserve"> </w:t>
      </w:r>
      <w:r w:rsidR="005F091D" w:rsidRPr="00270674">
        <w:t xml:space="preserve">Participants were reminded that they did not have to take part if they did not wish to. </w:t>
      </w:r>
      <w:r w:rsidR="0001142C" w:rsidRPr="00270674">
        <w:t xml:space="preserve">A participant code </w:t>
      </w:r>
      <w:r w:rsidR="00D4493F" w:rsidRPr="00270674">
        <w:t>was</w:t>
      </w:r>
      <w:r w:rsidR="0001142C" w:rsidRPr="00270674">
        <w:t xml:space="preserve"> allocated to each participant in</w:t>
      </w:r>
      <w:r w:rsidR="00F458FA" w:rsidRPr="00270674">
        <w:t xml:space="preserve"> order to link up pre</w:t>
      </w:r>
      <w:r w:rsidR="00D45CED" w:rsidRPr="00270674">
        <w:t>-</w:t>
      </w:r>
      <w:r w:rsidR="00F458FA" w:rsidRPr="00270674">
        <w:t xml:space="preserve"> and post</w:t>
      </w:r>
      <w:r w:rsidR="00D45CED" w:rsidRPr="00270674">
        <w:t>-</w:t>
      </w:r>
      <w:r w:rsidR="0001142C" w:rsidRPr="00270674">
        <w:t xml:space="preserve">questionnaires whilst retaining confidentiality. </w:t>
      </w:r>
      <w:r w:rsidR="00256E2D" w:rsidRPr="00270674">
        <w:t>Following tests of normal distribution</w:t>
      </w:r>
      <w:r w:rsidR="009F4B31" w:rsidRPr="00270674">
        <w:t xml:space="preserve"> (all data were normally distributed)</w:t>
      </w:r>
      <w:r w:rsidR="00256E2D" w:rsidRPr="00270674">
        <w:t xml:space="preserve">, </w:t>
      </w:r>
      <w:r w:rsidR="00D841A8" w:rsidRPr="00270674">
        <w:t>SWEMWBS and SIS scores</w:t>
      </w:r>
      <w:r w:rsidRPr="00270674">
        <w:t xml:space="preserve"> were analysed using </w:t>
      </w:r>
      <w:r w:rsidR="00D841A8" w:rsidRPr="00270674">
        <w:t xml:space="preserve">paired t-tests using </w:t>
      </w:r>
      <w:r w:rsidRPr="00270674">
        <w:t xml:space="preserve">SPSS in order to assess whether there was a </w:t>
      </w:r>
      <w:r w:rsidRPr="00270674">
        <w:lastRenderedPageBreak/>
        <w:t xml:space="preserve">statistically significant difference between </w:t>
      </w:r>
      <w:r w:rsidR="00D841A8" w:rsidRPr="00270674">
        <w:t>time points.</w:t>
      </w:r>
      <w:r w:rsidR="008B07E6" w:rsidRPr="00270674">
        <w:t xml:space="preserve"> The significance level was set at 0.05.</w:t>
      </w:r>
    </w:p>
    <w:p w14:paraId="39DF2354" w14:textId="664ABFD9" w:rsidR="0001142C" w:rsidRPr="00270674" w:rsidRDefault="00F12359" w:rsidP="00187D61">
      <w:pPr>
        <w:spacing w:line="480" w:lineRule="auto"/>
        <w:jc w:val="both"/>
        <w:rPr>
          <w:b/>
        </w:rPr>
      </w:pPr>
      <w:r w:rsidRPr="00270674">
        <w:rPr>
          <w:b/>
        </w:rPr>
        <w:t xml:space="preserve">Qualitative </w:t>
      </w:r>
      <w:r w:rsidR="009A65B4" w:rsidRPr="00270674">
        <w:rPr>
          <w:b/>
        </w:rPr>
        <w:t>data collection and analysis</w:t>
      </w:r>
    </w:p>
    <w:p w14:paraId="2C492DE6" w14:textId="220579FB" w:rsidR="00F11EFC" w:rsidRPr="00270674" w:rsidRDefault="00F1029A" w:rsidP="0088578C">
      <w:pPr>
        <w:spacing w:line="480" w:lineRule="auto"/>
        <w:ind w:firstLine="720"/>
        <w:jc w:val="both"/>
      </w:pPr>
      <w:r w:rsidRPr="00270674">
        <w:t>Three</w:t>
      </w:r>
      <w:r w:rsidR="0001142C" w:rsidRPr="00270674">
        <w:t xml:space="preserve"> focus group</w:t>
      </w:r>
      <w:r w:rsidR="001A67F2" w:rsidRPr="00270674">
        <w:t>s</w:t>
      </w:r>
      <w:r w:rsidR="0001142C" w:rsidRPr="00270674">
        <w:t xml:space="preserve"> </w:t>
      </w:r>
      <w:r w:rsidR="00C8747F" w:rsidRPr="00270674">
        <w:t>were</w:t>
      </w:r>
      <w:r w:rsidR="0001142C" w:rsidRPr="00270674">
        <w:t xml:space="preserve"> </w:t>
      </w:r>
      <w:r w:rsidR="009A65B4" w:rsidRPr="00270674">
        <w:t>conducted</w:t>
      </w:r>
      <w:r w:rsidR="00A006B2" w:rsidRPr="00270674">
        <w:t xml:space="preserve">, one </w:t>
      </w:r>
      <w:r w:rsidR="009A65B4" w:rsidRPr="00270674">
        <w:t>in</w:t>
      </w:r>
      <w:r w:rsidR="0011761E" w:rsidRPr="00270674">
        <w:t xml:space="preserve"> May</w:t>
      </w:r>
      <w:r w:rsidR="009A65B4" w:rsidRPr="00270674">
        <w:t xml:space="preserve">, </w:t>
      </w:r>
      <w:r w:rsidR="00A006B2" w:rsidRPr="00270674">
        <w:t xml:space="preserve">one in </w:t>
      </w:r>
      <w:r w:rsidR="009A65B4" w:rsidRPr="00270674">
        <w:t xml:space="preserve">June and </w:t>
      </w:r>
      <w:r w:rsidR="00A006B2" w:rsidRPr="00270674">
        <w:t xml:space="preserve">one in </w:t>
      </w:r>
      <w:r w:rsidR="009A65B4" w:rsidRPr="00270674">
        <w:t>August</w:t>
      </w:r>
      <w:r w:rsidR="0011761E" w:rsidRPr="00270674">
        <w:t xml:space="preserve"> 2017</w:t>
      </w:r>
      <w:r w:rsidR="00617BA6" w:rsidRPr="00270674">
        <w:t xml:space="preserve"> by independent researchers from [</w:t>
      </w:r>
      <w:r w:rsidR="00617BA6" w:rsidRPr="00270674">
        <w:rPr>
          <w:i/>
        </w:rPr>
        <w:t>Name of University</w:t>
      </w:r>
      <w:r w:rsidR="00617BA6" w:rsidRPr="00270674">
        <w:t>]</w:t>
      </w:r>
      <w:r w:rsidR="009A65B4" w:rsidRPr="00270674">
        <w:t>.</w:t>
      </w:r>
      <w:r w:rsidR="0011761E" w:rsidRPr="00270674">
        <w:t xml:space="preserve"> </w:t>
      </w:r>
      <w:r w:rsidR="0083489D" w:rsidRPr="00270674">
        <w:t xml:space="preserve">A list of questions </w:t>
      </w:r>
      <w:r w:rsidR="005021C7" w:rsidRPr="00270674">
        <w:t>were</w:t>
      </w:r>
      <w:r w:rsidR="0083489D" w:rsidRPr="00270674">
        <w:t xml:space="preserve"> used as a guide for the discussion (including questions about reasons for attending, whether they had benefitted from the course/s, whether the course/s had made a difference to their lives, what was helpful and not helpful. </w:t>
      </w:r>
      <w:r w:rsidR="00CF18BC" w:rsidRPr="00270674">
        <w:t>S</w:t>
      </w:r>
      <w:r w:rsidR="0083489D" w:rsidRPr="00270674">
        <w:t xml:space="preserve">ee Appendix for </w:t>
      </w:r>
      <w:r w:rsidR="00CF18BC" w:rsidRPr="00270674">
        <w:t xml:space="preserve">the </w:t>
      </w:r>
      <w:r w:rsidR="0083489D" w:rsidRPr="00270674">
        <w:t>topic guide).</w:t>
      </w:r>
      <w:r w:rsidR="00DE75A4" w:rsidRPr="00270674">
        <w:t xml:space="preserve"> Focus groups took approximately one hour and participants were offered a £15 voucher as a ‘thank you’ gift for their time and assistance. </w:t>
      </w:r>
      <w:r w:rsidR="00617BA6" w:rsidRPr="00270674">
        <w:t xml:space="preserve">Focus groups took place at Recovery College sites. </w:t>
      </w:r>
      <w:r w:rsidR="00E30BA9" w:rsidRPr="00270674">
        <w:t>Audio recordings of the</w:t>
      </w:r>
      <w:r w:rsidR="0001142C" w:rsidRPr="00270674">
        <w:t xml:space="preserve"> </w:t>
      </w:r>
      <w:r w:rsidR="0011761E" w:rsidRPr="00270674">
        <w:t>focus groups were transcribed</w:t>
      </w:r>
      <w:r w:rsidR="0001142C" w:rsidRPr="00270674">
        <w:t xml:space="preserve"> </w:t>
      </w:r>
      <w:r w:rsidR="00E30BA9" w:rsidRPr="00270674">
        <w:t>and a</w:t>
      </w:r>
      <w:r w:rsidR="0001142C" w:rsidRPr="00270674">
        <w:t xml:space="preserve">ll identifying data </w:t>
      </w:r>
      <w:r w:rsidR="00E30BA9" w:rsidRPr="00270674">
        <w:t xml:space="preserve">were </w:t>
      </w:r>
      <w:r w:rsidR="0001142C" w:rsidRPr="00270674">
        <w:t>anonymised.</w:t>
      </w:r>
      <w:r w:rsidR="00226B60" w:rsidRPr="00270674">
        <w:t xml:space="preserve"> Thematic analysis (Braun &amp; Clarke, 2006) </w:t>
      </w:r>
      <w:r w:rsidR="00D4493F" w:rsidRPr="00270674">
        <w:t xml:space="preserve">was used to </w:t>
      </w:r>
      <w:r w:rsidR="008D0B58" w:rsidRPr="00270674">
        <w:t xml:space="preserve">inductively </w:t>
      </w:r>
      <w:r w:rsidR="00D4493F" w:rsidRPr="00270674">
        <w:t>identify key themes.</w:t>
      </w:r>
      <w:r w:rsidR="008D0B58" w:rsidRPr="00270674">
        <w:t xml:space="preserve"> The data analysis was carried out primarily by the first author, who transcribed the focus groups, repeatedly listened to the audio recordings, and read and re-read the transcripts. The first author initially coded and reviewed the data, and the themes were checked and revi</w:t>
      </w:r>
      <w:r w:rsidR="0053048D">
        <w:t xml:space="preserve">ewed by two other academics at Anglia Ruskin University </w:t>
      </w:r>
      <w:r w:rsidR="008D0B58" w:rsidRPr="00270674">
        <w:t xml:space="preserve">who </w:t>
      </w:r>
      <w:r w:rsidR="00607CBC" w:rsidRPr="00270674">
        <w:t xml:space="preserve">had </w:t>
      </w:r>
      <w:r w:rsidR="008D0B58" w:rsidRPr="00270674">
        <w:t>also read through each of the transcripts.</w:t>
      </w:r>
    </w:p>
    <w:p w14:paraId="156E2072" w14:textId="4682B4F8" w:rsidR="002C7FB7" w:rsidRPr="00270674" w:rsidRDefault="009F3D06" w:rsidP="00012665">
      <w:pPr>
        <w:spacing w:line="480" w:lineRule="auto"/>
        <w:jc w:val="center"/>
        <w:rPr>
          <w:b/>
        </w:rPr>
      </w:pPr>
      <w:r w:rsidRPr="00270674">
        <w:rPr>
          <w:b/>
        </w:rPr>
        <w:t>Findings</w:t>
      </w:r>
    </w:p>
    <w:p w14:paraId="41807FEE" w14:textId="77777777" w:rsidR="00C16F44" w:rsidRPr="00270674" w:rsidRDefault="00C16F44" w:rsidP="00C16F44">
      <w:pPr>
        <w:spacing w:line="480" w:lineRule="auto"/>
        <w:rPr>
          <w:b/>
        </w:rPr>
      </w:pPr>
      <w:r w:rsidRPr="00270674">
        <w:rPr>
          <w:b/>
        </w:rPr>
        <w:t>Quantitative findings</w:t>
      </w:r>
    </w:p>
    <w:p w14:paraId="79B8A6C6" w14:textId="58497677" w:rsidR="00C16F44" w:rsidRPr="00270674" w:rsidRDefault="00C16F44" w:rsidP="00C16F44">
      <w:pPr>
        <w:spacing w:line="480" w:lineRule="auto"/>
        <w:ind w:firstLine="720"/>
        <w:rPr>
          <w:b/>
        </w:rPr>
      </w:pPr>
      <w:r w:rsidRPr="00270674">
        <w:rPr>
          <w:b/>
        </w:rPr>
        <w:t xml:space="preserve">Demographics. </w:t>
      </w:r>
      <w:r w:rsidRPr="00270674">
        <w:t>Baseline questionnaires were completed by 101 students</w:t>
      </w:r>
      <w:r w:rsidR="00D04FFC" w:rsidRPr="00270674">
        <w:t xml:space="preserve"> (out of 280 who were enrolled during the </w:t>
      </w:r>
      <w:r w:rsidR="00CF18BC" w:rsidRPr="00270674">
        <w:t xml:space="preserve">baseline </w:t>
      </w:r>
      <w:r w:rsidR="00D04FFC" w:rsidRPr="00270674">
        <w:t>data collection period)</w:t>
      </w:r>
      <w:r w:rsidRPr="00270674">
        <w:t xml:space="preserve">. Smaller numbers completed questionnaires at baseline </w:t>
      </w:r>
      <w:r w:rsidRPr="00270674">
        <w:rPr>
          <w:u w:val="single"/>
        </w:rPr>
        <w:t>and</w:t>
      </w:r>
      <w:r w:rsidRPr="00270674">
        <w:t xml:space="preserve"> at either three or six month follow-up. Only those participants who completed questionnaires on at least two time points were included in the statistical analysis. </w:t>
      </w:r>
    </w:p>
    <w:p w14:paraId="1F25EF12" w14:textId="29F89DD2" w:rsidR="00D427C6" w:rsidRPr="00270674" w:rsidRDefault="00C16F44" w:rsidP="00D427C6">
      <w:pPr>
        <w:spacing w:line="480" w:lineRule="auto"/>
        <w:ind w:firstLine="720"/>
      </w:pPr>
      <w:r w:rsidRPr="00270674">
        <w:lastRenderedPageBreak/>
        <w:t xml:space="preserve">All participants included in the analysis identified as someone with mental health difficulties. Eleven participants completed the SWEMWBS and SIS at both baseline and three month follow-up; </w:t>
      </w:r>
      <w:r w:rsidR="007C3611" w:rsidRPr="00270674">
        <w:t>25</w:t>
      </w:r>
      <w:r w:rsidRPr="00270674">
        <w:t xml:space="preserve"> completed the SWEMWBS at both baseline and six month follow-up; </w:t>
      </w:r>
      <w:r w:rsidR="00151691" w:rsidRPr="00270674">
        <w:t xml:space="preserve">and </w:t>
      </w:r>
      <w:r w:rsidR="007C3611" w:rsidRPr="00270674">
        <w:t xml:space="preserve">19 </w:t>
      </w:r>
      <w:r w:rsidRPr="00270674">
        <w:t>completed the SIS at both baseline and six month follow-up</w:t>
      </w:r>
      <w:r w:rsidR="007C3611" w:rsidRPr="00270674">
        <w:t xml:space="preserve"> (see Table 1 for demographics)</w:t>
      </w:r>
      <w:r w:rsidRPr="00270674">
        <w:t>. Information was not collected</w:t>
      </w:r>
      <w:r w:rsidR="00D427C6" w:rsidRPr="00270674">
        <w:t xml:space="preserve"> </w:t>
      </w:r>
      <w:r w:rsidRPr="00270674">
        <w:t xml:space="preserve">on specific diagnosis </w:t>
      </w:r>
      <w:r w:rsidR="00D427C6" w:rsidRPr="00270674">
        <w:t xml:space="preserve">for the purposes of the research evaluation, </w:t>
      </w:r>
      <w:r w:rsidR="00AE18BD" w:rsidRPr="00270674">
        <w:t>as</w:t>
      </w:r>
      <w:r w:rsidRPr="00270674">
        <w:t xml:space="preserve"> the aim was to focus on impact on mental wellbeing and social inclusion; not on clinical diagnosis or symptom incidence/changes.</w:t>
      </w:r>
      <w:r w:rsidR="00D427C6" w:rsidRPr="00270674">
        <w:t xml:space="preserve"> Diagnosis information is routinely collected </w:t>
      </w:r>
      <w:r w:rsidR="00D046C7" w:rsidRPr="00270674">
        <w:t xml:space="preserve">by the Recovery College </w:t>
      </w:r>
      <w:r w:rsidR="00D427C6" w:rsidRPr="00270674">
        <w:t>at the point of enrolment, but we do not have details of diagnosis for the participants who specifically took part in the evaluation.</w:t>
      </w:r>
    </w:p>
    <w:p w14:paraId="188D2D70" w14:textId="4C11A5BF" w:rsidR="00CC367B" w:rsidRPr="00270674" w:rsidRDefault="00CC367B" w:rsidP="00CC367B">
      <w:pPr>
        <w:spacing w:line="480" w:lineRule="auto"/>
        <w:jc w:val="center"/>
      </w:pPr>
      <w:r w:rsidRPr="00270674">
        <w:t>[INSERT TABLE 1 HERE]</w:t>
      </w:r>
    </w:p>
    <w:p w14:paraId="62E0568E" w14:textId="5B52DCBD" w:rsidR="00C16F44" w:rsidRPr="00270674" w:rsidRDefault="00C16F44" w:rsidP="00672E77">
      <w:pPr>
        <w:spacing w:line="480" w:lineRule="auto"/>
        <w:ind w:firstLine="720"/>
      </w:pPr>
      <w:r w:rsidRPr="00270674">
        <w:rPr>
          <w:b/>
        </w:rPr>
        <w:t xml:space="preserve">Mental wellbeing. </w:t>
      </w:r>
      <w:r w:rsidR="009F4B31" w:rsidRPr="00270674">
        <w:t xml:space="preserve">A paired t-test found no significant difference between </w:t>
      </w:r>
      <w:r w:rsidRPr="00270674">
        <w:t>SWEMWBS</w:t>
      </w:r>
      <w:r w:rsidR="009F4B31" w:rsidRPr="00270674">
        <w:t xml:space="preserve"> scores</w:t>
      </w:r>
      <w:r w:rsidRPr="00270674">
        <w:t xml:space="preserve"> at baseline and three month follow-up: </w:t>
      </w:r>
      <w:r w:rsidRPr="00270674">
        <w:rPr>
          <w:i/>
        </w:rPr>
        <w:t>t</w:t>
      </w:r>
      <w:r w:rsidRPr="00270674">
        <w:t xml:space="preserve">=.603, </w:t>
      </w:r>
      <w:proofErr w:type="spellStart"/>
      <w:proofErr w:type="gramStart"/>
      <w:r w:rsidRPr="00270674">
        <w:rPr>
          <w:i/>
        </w:rPr>
        <w:t>df</w:t>
      </w:r>
      <w:proofErr w:type="spellEnd"/>
      <w:r w:rsidRPr="00270674">
        <w:t>=</w:t>
      </w:r>
      <w:proofErr w:type="gramEnd"/>
      <w:r w:rsidRPr="00270674">
        <w:t xml:space="preserve">10, </w:t>
      </w:r>
      <w:r w:rsidRPr="00270674">
        <w:rPr>
          <w:i/>
        </w:rPr>
        <w:t>p</w:t>
      </w:r>
      <w:r w:rsidRPr="00270674">
        <w:t xml:space="preserve">=.560. </w:t>
      </w:r>
      <w:r w:rsidR="009F4B31" w:rsidRPr="00270674">
        <w:t>However, a</w:t>
      </w:r>
      <w:r w:rsidRPr="00270674">
        <w:t xml:space="preserve"> paired t-test revealed a significant increase in wellbeing from baseline to six month follow-up: </w:t>
      </w:r>
      <w:r w:rsidRPr="00270674">
        <w:rPr>
          <w:i/>
        </w:rPr>
        <w:t>t</w:t>
      </w:r>
      <w:r w:rsidRPr="00270674">
        <w:t xml:space="preserve">=2.563, </w:t>
      </w:r>
      <w:proofErr w:type="spellStart"/>
      <w:proofErr w:type="gramStart"/>
      <w:r w:rsidRPr="00270674">
        <w:rPr>
          <w:i/>
        </w:rPr>
        <w:t>df</w:t>
      </w:r>
      <w:proofErr w:type="spellEnd"/>
      <w:r w:rsidRPr="00270674">
        <w:t>=</w:t>
      </w:r>
      <w:proofErr w:type="gramEnd"/>
      <w:r w:rsidRPr="00270674">
        <w:t xml:space="preserve">24, </w:t>
      </w:r>
      <w:r w:rsidRPr="00270674">
        <w:rPr>
          <w:i/>
        </w:rPr>
        <w:t>p</w:t>
      </w:r>
      <w:r w:rsidRPr="00270674">
        <w:t xml:space="preserve">=.017 (see Table </w:t>
      </w:r>
      <w:r w:rsidR="00AF3EC6" w:rsidRPr="00270674">
        <w:t>2</w:t>
      </w:r>
      <w:r w:rsidRPr="00270674">
        <w:t>).</w:t>
      </w:r>
    </w:p>
    <w:p w14:paraId="536565DE" w14:textId="07FE5606" w:rsidR="00C16F44" w:rsidRPr="00270674" w:rsidRDefault="00C16F44" w:rsidP="00C16F44">
      <w:pPr>
        <w:spacing w:line="480" w:lineRule="auto"/>
        <w:jc w:val="center"/>
      </w:pPr>
      <w:r w:rsidRPr="00270674">
        <w:t xml:space="preserve">[INSERT TABLE </w:t>
      </w:r>
      <w:r w:rsidR="00AF3EC6" w:rsidRPr="00270674">
        <w:t>2</w:t>
      </w:r>
      <w:r w:rsidRPr="00270674">
        <w:t xml:space="preserve"> HERE]</w:t>
      </w:r>
    </w:p>
    <w:p w14:paraId="7401DF25" w14:textId="08ED34ED" w:rsidR="00C16F44" w:rsidRPr="00270674" w:rsidRDefault="00C16F44" w:rsidP="00C16F44">
      <w:pPr>
        <w:spacing w:line="480" w:lineRule="auto"/>
        <w:ind w:firstLine="720"/>
        <w:rPr>
          <w:b/>
        </w:rPr>
      </w:pPr>
      <w:r w:rsidRPr="00270674">
        <w:rPr>
          <w:b/>
        </w:rPr>
        <w:t xml:space="preserve">Social inclusion. </w:t>
      </w:r>
      <w:r w:rsidR="00F06BC1" w:rsidRPr="00270674">
        <w:t>Social Inclusion s</w:t>
      </w:r>
      <w:r w:rsidRPr="00270674">
        <w:t xml:space="preserve">cores increased from baseline to three month follow-up, however this was non-significant: </w:t>
      </w:r>
      <w:r w:rsidRPr="00270674">
        <w:rPr>
          <w:i/>
        </w:rPr>
        <w:t>t</w:t>
      </w:r>
      <w:r w:rsidRPr="00270674">
        <w:t xml:space="preserve">=1.56, </w:t>
      </w:r>
      <w:proofErr w:type="spellStart"/>
      <w:proofErr w:type="gramStart"/>
      <w:r w:rsidRPr="00270674">
        <w:rPr>
          <w:i/>
        </w:rPr>
        <w:t>df</w:t>
      </w:r>
      <w:proofErr w:type="spellEnd"/>
      <w:r w:rsidRPr="00270674">
        <w:t>=</w:t>
      </w:r>
      <w:proofErr w:type="gramEnd"/>
      <w:r w:rsidRPr="00270674">
        <w:t xml:space="preserve">10, </w:t>
      </w:r>
      <w:r w:rsidRPr="00270674">
        <w:rPr>
          <w:i/>
        </w:rPr>
        <w:t>p</w:t>
      </w:r>
      <w:r w:rsidRPr="00270674">
        <w:t xml:space="preserve">=.150. There were also increases in scores from baseline to three month follow-up on each individual subscale of the SIS; however these were also non-significant (all </w:t>
      </w:r>
      <w:r w:rsidRPr="00270674">
        <w:rPr>
          <w:i/>
        </w:rPr>
        <w:t>p</w:t>
      </w:r>
      <w:r w:rsidRPr="00270674">
        <w:t xml:space="preserve">&gt;.05). </w:t>
      </w:r>
    </w:p>
    <w:p w14:paraId="06DA850F" w14:textId="05BEF562" w:rsidR="00C16F44" w:rsidRPr="00270674" w:rsidRDefault="00F06BC1" w:rsidP="00C16F44">
      <w:pPr>
        <w:spacing w:line="480" w:lineRule="auto"/>
        <w:ind w:firstLine="720"/>
      </w:pPr>
      <w:r w:rsidRPr="00270674">
        <w:t xml:space="preserve">However, </w:t>
      </w:r>
      <w:r w:rsidR="00C16F44" w:rsidRPr="00270674">
        <w:t xml:space="preserve">a paired t-test revealed a significant increase from baseline to </w:t>
      </w:r>
      <w:r w:rsidRPr="00270674">
        <w:t xml:space="preserve">six month </w:t>
      </w:r>
      <w:r w:rsidR="00C16F44" w:rsidRPr="00270674">
        <w:t xml:space="preserve">follow-up: </w:t>
      </w:r>
      <w:r w:rsidR="00C16F44" w:rsidRPr="00270674">
        <w:rPr>
          <w:i/>
        </w:rPr>
        <w:t>t</w:t>
      </w:r>
      <w:r w:rsidR="00C16F44" w:rsidRPr="00270674">
        <w:t xml:space="preserve">=2.529, </w:t>
      </w:r>
      <w:proofErr w:type="spellStart"/>
      <w:proofErr w:type="gramStart"/>
      <w:r w:rsidR="00C16F44" w:rsidRPr="00270674">
        <w:rPr>
          <w:i/>
        </w:rPr>
        <w:t>df</w:t>
      </w:r>
      <w:proofErr w:type="spellEnd"/>
      <w:r w:rsidR="00C16F44" w:rsidRPr="00270674">
        <w:t>=</w:t>
      </w:r>
      <w:proofErr w:type="gramEnd"/>
      <w:r w:rsidR="00C16F44" w:rsidRPr="00270674">
        <w:t xml:space="preserve">18, </w:t>
      </w:r>
      <w:r w:rsidR="00C16F44" w:rsidRPr="00270674">
        <w:rPr>
          <w:i/>
        </w:rPr>
        <w:t>p</w:t>
      </w:r>
      <w:r w:rsidR="00C16F44" w:rsidRPr="00270674">
        <w:t xml:space="preserve">=.021 (see Table </w:t>
      </w:r>
      <w:r w:rsidR="00AF3EC6" w:rsidRPr="00270674">
        <w:t>3</w:t>
      </w:r>
      <w:r w:rsidR="00C16F44" w:rsidRPr="00270674">
        <w:t xml:space="preserve">). Out of the individual subscales, scores increased significantly on the social relations subscale (see Table </w:t>
      </w:r>
      <w:r w:rsidR="002D1F21" w:rsidRPr="00270674">
        <w:t>3</w:t>
      </w:r>
      <w:r w:rsidR="00C16F44" w:rsidRPr="00270674">
        <w:t>).</w:t>
      </w:r>
    </w:p>
    <w:p w14:paraId="082F323F" w14:textId="2317CD63" w:rsidR="00C16F44" w:rsidRPr="00270674" w:rsidRDefault="00C16F44" w:rsidP="00C16F44">
      <w:pPr>
        <w:spacing w:line="480" w:lineRule="auto"/>
        <w:jc w:val="center"/>
      </w:pPr>
      <w:r w:rsidRPr="00270674">
        <w:t xml:space="preserve">[INSERT TABLE </w:t>
      </w:r>
      <w:r w:rsidR="00AF3EC6" w:rsidRPr="00270674">
        <w:t>3</w:t>
      </w:r>
      <w:r w:rsidRPr="00270674">
        <w:t xml:space="preserve"> HERE]</w:t>
      </w:r>
    </w:p>
    <w:p w14:paraId="15A74B4B" w14:textId="59CE6772" w:rsidR="00C16F44" w:rsidRPr="0053048D" w:rsidRDefault="00C16F44" w:rsidP="00C16F44">
      <w:pPr>
        <w:spacing w:line="480" w:lineRule="auto"/>
        <w:ind w:firstLine="720"/>
        <w:rPr>
          <w:b/>
        </w:rPr>
      </w:pPr>
      <w:r w:rsidRPr="00270674">
        <w:rPr>
          <w:b/>
        </w:rPr>
        <w:lastRenderedPageBreak/>
        <w:t xml:space="preserve">Follow-up questions about the Recovery College. </w:t>
      </w:r>
      <w:r w:rsidRPr="00270674">
        <w:t>When asked at three month follow-up whether they would recommend th</w:t>
      </w:r>
      <w:r w:rsidR="004E1D68">
        <w:t xml:space="preserve">e Recovery College to a friend, </w:t>
      </w:r>
      <w:r w:rsidR="004E1D68" w:rsidRPr="0053048D">
        <w:t>13</w:t>
      </w:r>
      <w:r w:rsidRPr="0053048D">
        <w:t xml:space="preserve"> </w:t>
      </w:r>
      <w:r w:rsidR="004E1D68" w:rsidRPr="0053048D">
        <w:t>said ‘Yes’, one said ‘Maybe’, and one</w:t>
      </w:r>
      <w:r w:rsidRPr="0053048D">
        <w:t xml:space="preserve"> said ‘No’. Table </w:t>
      </w:r>
      <w:r w:rsidR="00C744BA" w:rsidRPr="0053048D">
        <w:t>4</w:t>
      </w:r>
      <w:r w:rsidRPr="0053048D">
        <w:t xml:space="preserve"> shows responses to the questions included in the three month follow-up survey asking participants to rate their enjoyment of the College, and whether they had gained from attending</w:t>
      </w:r>
      <w:r w:rsidR="004E1D68" w:rsidRPr="0053048D">
        <w:t xml:space="preserve"> (individual question response rates varied)</w:t>
      </w:r>
      <w:r w:rsidRPr="0053048D">
        <w:t xml:space="preserve">. Notably, </w:t>
      </w:r>
      <w:r w:rsidR="004E1D68" w:rsidRPr="0053048D">
        <w:t>11 out of 13</w:t>
      </w:r>
      <w:r w:rsidRPr="0053048D">
        <w:t xml:space="preserve"> responding participants said that they</w:t>
      </w:r>
      <w:r w:rsidR="004E1D68" w:rsidRPr="0053048D">
        <w:t xml:space="preserve"> enjoyed their course/s; and 10 out of 11 responding participants</w:t>
      </w:r>
      <w:r w:rsidRPr="0053048D">
        <w:t xml:space="preserve"> said that their relationships with other people had improved, their skills had developed, and their confidence increased as a result of attending.</w:t>
      </w:r>
    </w:p>
    <w:p w14:paraId="4E003CC2" w14:textId="3839EE71" w:rsidR="00C16F44" w:rsidRPr="0053048D" w:rsidRDefault="00C16F44" w:rsidP="00C16F44">
      <w:pPr>
        <w:spacing w:line="480" w:lineRule="auto"/>
        <w:jc w:val="center"/>
      </w:pPr>
      <w:r w:rsidRPr="0053048D">
        <w:t xml:space="preserve">[INSERT TABLE </w:t>
      </w:r>
      <w:r w:rsidR="00AF3EC6" w:rsidRPr="0053048D">
        <w:t>4</w:t>
      </w:r>
      <w:r w:rsidRPr="0053048D">
        <w:t xml:space="preserve"> HERE]</w:t>
      </w:r>
    </w:p>
    <w:p w14:paraId="7A27C75F" w14:textId="58CC4977" w:rsidR="00C16F44" w:rsidRPr="00270674" w:rsidRDefault="00C16F44" w:rsidP="00C16F44">
      <w:pPr>
        <w:spacing w:line="480" w:lineRule="auto"/>
        <w:ind w:firstLine="720"/>
      </w:pPr>
      <w:r w:rsidRPr="0053048D">
        <w:t>When asked at six month follow-up whether they would recommend the Rec</w:t>
      </w:r>
      <w:r w:rsidR="004E1D68" w:rsidRPr="0053048D">
        <w:t xml:space="preserve">overy College to a friend, 20 out of 23 </w:t>
      </w:r>
      <w:r w:rsidRPr="0053048D">
        <w:t>responding students</w:t>
      </w:r>
      <w:r w:rsidR="004E1D68" w:rsidRPr="0053048D">
        <w:t xml:space="preserve"> said ‘Yes’, one</w:t>
      </w:r>
      <w:r w:rsidRPr="0053048D">
        <w:t xml:space="preserve"> said ‘Maybe’, and </w:t>
      </w:r>
      <w:r w:rsidR="004E1D68" w:rsidRPr="0053048D">
        <w:t>two</w:t>
      </w:r>
      <w:r w:rsidRPr="0053048D">
        <w:t xml:space="preserve"> said ‘No’. Table </w:t>
      </w:r>
      <w:r w:rsidR="00C744BA" w:rsidRPr="0053048D">
        <w:t>5</w:t>
      </w:r>
      <w:r w:rsidRPr="0053048D">
        <w:t xml:space="preserve"> shows responses to the questions included in the six month follow-up survey asking participants to rate their enjoyment of the College, and whether they had gai</w:t>
      </w:r>
      <w:r w:rsidR="00224CEF" w:rsidRPr="0053048D">
        <w:t>ned from attending. Notably, 22 out of 23</w:t>
      </w:r>
      <w:r w:rsidRPr="0053048D">
        <w:t xml:space="preserve"> responding participants said that they enjoyed their course</w:t>
      </w:r>
      <w:r w:rsidR="00224CEF" w:rsidRPr="0053048D">
        <w:t xml:space="preserve">/s’; and 21 out of 23 </w:t>
      </w:r>
      <w:r w:rsidRPr="0053048D">
        <w:t>said their skills</w:t>
      </w:r>
      <w:r w:rsidRPr="00270674">
        <w:t xml:space="preserve"> had developed as a result of attending; and </w:t>
      </w:r>
      <w:r w:rsidR="00224CEF">
        <w:t>that</w:t>
      </w:r>
      <w:r w:rsidRPr="00270674">
        <w:t xml:space="preserve"> their wellbeing had been maintained.</w:t>
      </w:r>
    </w:p>
    <w:p w14:paraId="6318931A" w14:textId="76FB7B6B" w:rsidR="00C16F44" w:rsidRPr="00270674" w:rsidRDefault="00C16F44" w:rsidP="00C16F44">
      <w:pPr>
        <w:spacing w:line="480" w:lineRule="auto"/>
        <w:jc w:val="center"/>
      </w:pPr>
      <w:r w:rsidRPr="00270674">
        <w:t xml:space="preserve">[INSERT TABLE </w:t>
      </w:r>
      <w:r w:rsidR="00AF3EC6" w:rsidRPr="00270674">
        <w:t>5</w:t>
      </w:r>
      <w:r w:rsidRPr="00270674">
        <w:t xml:space="preserve"> HERE]</w:t>
      </w:r>
    </w:p>
    <w:p w14:paraId="40D03592" w14:textId="4C940566" w:rsidR="00C16F44" w:rsidRPr="0053048D" w:rsidRDefault="00C16F44" w:rsidP="00C16F44">
      <w:pPr>
        <w:autoSpaceDE w:val="0"/>
        <w:autoSpaceDN w:val="0"/>
        <w:adjustRightInd w:val="0"/>
        <w:spacing w:line="480" w:lineRule="auto"/>
        <w:ind w:firstLine="720"/>
      </w:pPr>
      <w:r w:rsidRPr="00270674">
        <w:rPr>
          <w:b/>
        </w:rPr>
        <w:t xml:space="preserve">Follow-up questions about future plans. </w:t>
      </w:r>
      <w:r w:rsidRPr="00270674">
        <w:t xml:space="preserve">At three and six month follow-up participants were asked about their future plans in terms of attendance at further </w:t>
      </w:r>
      <w:r w:rsidRPr="0053048D">
        <w:t xml:space="preserve">Recovery College or external courses, volunteering or paid work. </w:t>
      </w:r>
      <w:r w:rsidR="00432B20" w:rsidRPr="0053048D">
        <w:t xml:space="preserve">Individual question response rates varied. </w:t>
      </w:r>
      <w:r w:rsidRPr="0053048D">
        <w:t>Out of nine respondents at three month follow-up, all nine said that they were planning on attending further Recovery College courses. Three out of seve</w:t>
      </w:r>
      <w:r w:rsidR="00432B20" w:rsidRPr="0053048D">
        <w:t>n respondents</w:t>
      </w:r>
      <w:r w:rsidRPr="0053048D">
        <w:t xml:space="preserve"> said that they were planning on attending another course external to the Recovery College, sev</w:t>
      </w:r>
      <w:r w:rsidR="00432B20" w:rsidRPr="0053048D">
        <w:t>en out of nine respondents</w:t>
      </w:r>
      <w:r w:rsidRPr="0053048D">
        <w:t xml:space="preserve"> said they were planning on </w:t>
      </w:r>
      <w:r w:rsidRPr="0053048D">
        <w:lastRenderedPageBreak/>
        <w:t>volunteer</w:t>
      </w:r>
      <w:r w:rsidR="00432B20" w:rsidRPr="0053048D">
        <w:t xml:space="preserve">ing, and two out of seven </w:t>
      </w:r>
      <w:r w:rsidRPr="0053048D">
        <w:t xml:space="preserve">said they were planning to obtain paid employment. </w:t>
      </w:r>
    </w:p>
    <w:p w14:paraId="0EA3F5D0" w14:textId="030FB5DC" w:rsidR="00C16F44" w:rsidRPr="00270674" w:rsidRDefault="00C16F44" w:rsidP="00C16F44">
      <w:pPr>
        <w:autoSpaceDE w:val="0"/>
        <w:autoSpaceDN w:val="0"/>
        <w:adjustRightInd w:val="0"/>
        <w:spacing w:line="480" w:lineRule="auto"/>
        <w:ind w:firstLine="720"/>
      </w:pPr>
      <w:r w:rsidRPr="0053048D">
        <w:t>At six month follow-up</w:t>
      </w:r>
      <w:r w:rsidR="00432B20" w:rsidRPr="0053048D">
        <w:t>, 16 out of 17 respondents</w:t>
      </w:r>
      <w:r w:rsidRPr="0053048D">
        <w:t xml:space="preserve"> said they were planning on attending further Recovery Colle</w:t>
      </w:r>
      <w:r w:rsidR="00432B20" w:rsidRPr="0053048D">
        <w:t xml:space="preserve">ge courses, nine out of 14 </w:t>
      </w:r>
      <w:r w:rsidRPr="0053048D">
        <w:t>were planning on attending other courses external to the Recov</w:t>
      </w:r>
      <w:r w:rsidR="00432B20" w:rsidRPr="0053048D">
        <w:t>ery College, six out of 10</w:t>
      </w:r>
      <w:r w:rsidRPr="0053048D">
        <w:t xml:space="preserve"> were planni</w:t>
      </w:r>
      <w:r w:rsidR="00432B20" w:rsidRPr="0053048D">
        <w:t xml:space="preserve">ng to volunteer, and four out of 10 </w:t>
      </w:r>
      <w:r w:rsidRPr="0053048D">
        <w:t>were planning on obtaining paid employment.</w:t>
      </w:r>
      <w:r w:rsidRPr="00270674">
        <w:t xml:space="preserve"> </w:t>
      </w:r>
    </w:p>
    <w:p w14:paraId="4319E2E3" w14:textId="77777777" w:rsidR="00C16F44" w:rsidRPr="00270674" w:rsidRDefault="00C16F44" w:rsidP="00C16F44">
      <w:pPr>
        <w:spacing w:line="480" w:lineRule="auto"/>
        <w:ind w:firstLine="720"/>
        <w:rPr>
          <w:b/>
        </w:rPr>
      </w:pPr>
      <w:r w:rsidRPr="00270674">
        <w:rPr>
          <w:b/>
        </w:rPr>
        <w:t xml:space="preserve">Participant’s additional comments. </w:t>
      </w:r>
      <w:r w:rsidRPr="00270674">
        <w:t>When asked if they had benefitted in any other way from attending the Recovery College, seven participants at three month follow-up provided free-text responses citing improved confidence, reduced anxiety and being given tools for recovery, for example:</w:t>
      </w:r>
    </w:p>
    <w:p w14:paraId="5321EC64" w14:textId="77777777" w:rsidR="00C16F44" w:rsidRPr="00270674" w:rsidRDefault="00C16F44" w:rsidP="00C16F44">
      <w:pPr>
        <w:ind w:left="567"/>
      </w:pPr>
    </w:p>
    <w:p w14:paraId="57768E92" w14:textId="77777777" w:rsidR="00C16F44" w:rsidRPr="00270674" w:rsidRDefault="00C16F44" w:rsidP="00C16F44">
      <w:pPr>
        <w:ind w:left="567"/>
        <w:rPr>
          <w:i/>
        </w:rPr>
      </w:pPr>
      <w:r w:rsidRPr="00270674">
        <w:rPr>
          <w:i/>
        </w:rPr>
        <w:t>Been given the tools for recovery. Now I just need to use them effectively.</w:t>
      </w:r>
    </w:p>
    <w:p w14:paraId="7A48537F" w14:textId="77777777" w:rsidR="00C16F44" w:rsidRPr="00270674" w:rsidRDefault="00C16F44" w:rsidP="00C16F44">
      <w:pPr>
        <w:ind w:left="567"/>
        <w:rPr>
          <w:i/>
        </w:rPr>
      </w:pPr>
    </w:p>
    <w:p w14:paraId="43B834E2" w14:textId="77777777" w:rsidR="00C16F44" w:rsidRPr="00270674" w:rsidRDefault="00C16F44" w:rsidP="00C16F44">
      <w:pPr>
        <w:ind w:left="567"/>
        <w:rPr>
          <w:i/>
        </w:rPr>
      </w:pPr>
      <w:r w:rsidRPr="00270674">
        <w:rPr>
          <w:i/>
        </w:rPr>
        <w:t>It gave me more confidence and meeting others.</w:t>
      </w:r>
    </w:p>
    <w:p w14:paraId="0CD1A4C9" w14:textId="77777777" w:rsidR="00C16F44" w:rsidRPr="00270674" w:rsidRDefault="00C16F44" w:rsidP="00C16F44">
      <w:pPr>
        <w:ind w:left="567"/>
        <w:rPr>
          <w:i/>
        </w:rPr>
      </w:pPr>
    </w:p>
    <w:p w14:paraId="61AB6EF6" w14:textId="77777777" w:rsidR="00C16F44" w:rsidRPr="00270674" w:rsidRDefault="00C16F44" w:rsidP="00C16F44">
      <w:pPr>
        <w:ind w:left="567"/>
        <w:rPr>
          <w:i/>
        </w:rPr>
      </w:pPr>
      <w:r w:rsidRPr="00270674">
        <w:rPr>
          <w:i/>
        </w:rPr>
        <w:t>I've got more used to being around people and speaking in group situations.</w:t>
      </w:r>
    </w:p>
    <w:p w14:paraId="08CCB933" w14:textId="77777777" w:rsidR="00C16F44" w:rsidRPr="00270674" w:rsidRDefault="00C16F44" w:rsidP="00C16F44">
      <w:pPr>
        <w:spacing w:line="480" w:lineRule="auto"/>
      </w:pPr>
    </w:p>
    <w:p w14:paraId="30E9873C" w14:textId="77777777" w:rsidR="00C16F44" w:rsidRPr="00270674" w:rsidRDefault="00C16F44" w:rsidP="00C16F44">
      <w:pPr>
        <w:spacing w:line="480" w:lineRule="auto"/>
        <w:ind w:firstLine="720"/>
      </w:pPr>
      <w:r w:rsidRPr="00270674">
        <w:t>When asked if they had benefitted in any other way from attending the Recovery College at six month follow-up, 18 participants provided free-text responses. These participants cited enjoyment, improvements to mental health, increased confidence, and gaining new skills; along with social benefits such as feeling less isolated, meeting new people, and making friends. For example:</w:t>
      </w:r>
    </w:p>
    <w:p w14:paraId="06C4A503" w14:textId="0F7DEC1B" w:rsidR="00C16F44" w:rsidRPr="00270674" w:rsidRDefault="00C16F44" w:rsidP="004A5669">
      <w:pPr>
        <w:rPr>
          <w:i/>
        </w:rPr>
      </w:pPr>
    </w:p>
    <w:p w14:paraId="40FB0C1A" w14:textId="77777777" w:rsidR="00C16F44" w:rsidRPr="00270674" w:rsidRDefault="00C16F44" w:rsidP="00C16F44">
      <w:pPr>
        <w:ind w:left="709"/>
        <w:rPr>
          <w:i/>
        </w:rPr>
      </w:pPr>
      <w:r w:rsidRPr="00270674">
        <w:rPr>
          <w:i/>
        </w:rPr>
        <w:t>I have learnt a lot of new skills.</w:t>
      </w:r>
    </w:p>
    <w:p w14:paraId="7A0C1B22" w14:textId="77777777" w:rsidR="00C16F44" w:rsidRPr="00270674" w:rsidRDefault="00C16F44" w:rsidP="00C16F44">
      <w:pPr>
        <w:ind w:left="709"/>
        <w:rPr>
          <w:i/>
        </w:rPr>
      </w:pPr>
    </w:p>
    <w:p w14:paraId="3D79D173" w14:textId="77777777" w:rsidR="00C16F44" w:rsidRPr="00270674" w:rsidRDefault="00C16F44" w:rsidP="00C16F44">
      <w:pPr>
        <w:ind w:left="709"/>
        <w:rPr>
          <w:i/>
        </w:rPr>
      </w:pPr>
      <w:r w:rsidRPr="00270674">
        <w:rPr>
          <w:i/>
        </w:rPr>
        <w:t xml:space="preserve">I feel that I have gained my confidence and I feel much better within myself. </w:t>
      </w:r>
    </w:p>
    <w:p w14:paraId="05650A6A" w14:textId="77777777" w:rsidR="00C16F44" w:rsidRPr="00270674" w:rsidRDefault="00C16F44" w:rsidP="00C16F44">
      <w:pPr>
        <w:ind w:left="709"/>
        <w:rPr>
          <w:i/>
        </w:rPr>
      </w:pPr>
    </w:p>
    <w:p w14:paraId="104D2BA0" w14:textId="77777777" w:rsidR="00C16F44" w:rsidRPr="00270674" w:rsidRDefault="00C16F44" w:rsidP="00C16F44">
      <w:pPr>
        <w:ind w:left="709"/>
        <w:rPr>
          <w:i/>
        </w:rPr>
      </w:pPr>
      <w:r w:rsidRPr="00270674">
        <w:rPr>
          <w:i/>
        </w:rPr>
        <w:t>I have socialised much more than previously.</w:t>
      </w:r>
    </w:p>
    <w:p w14:paraId="7B8F458E" w14:textId="77777777" w:rsidR="00C16F44" w:rsidRPr="00270674" w:rsidRDefault="00C16F44" w:rsidP="00C16F44">
      <w:pPr>
        <w:spacing w:line="480" w:lineRule="auto"/>
        <w:ind w:left="567"/>
        <w:rPr>
          <w:i/>
        </w:rPr>
      </w:pPr>
    </w:p>
    <w:p w14:paraId="426C4DC6" w14:textId="77777777" w:rsidR="00C16F44" w:rsidRPr="00270674" w:rsidRDefault="00C16F44" w:rsidP="00C16F44">
      <w:pPr>
        <w:spacing w:line="480" w:lineRule="auto"/>
        <w:ind w:firstLine="720"/>
      </w:pPr>
      <w:r w:rsidRPr="00270674">
        <w:t xml:space="preserve">When asked to provide any additional comments at six months, nine provided free-text responses. Respondents used this as an opportunity to cite further benefits of </w:t>
      </w:r>
      <w:r w:rsidRPr="00270674">
        <w:lastRenderedPageBreak/>
        <w:t>attending, express a desire for the courses to continue, as well as to praise the staff at the Recovery College, for example:</w:t>
      </w:r>
    </w:p>
    <w:p w14:paraId="4FF08211" w14:textId="77777777" w:rsidR="00C16F44" w:rsidRPr="00270674" w:rsidRDefault="00C16F44" w:rsidP="00C16F44">
      <w:pPr>
        <w:ind w:firstLine="720"/>
      </w:pPr>
    </w:p>
    <w:p w14:paraId="58BA978C" w14:textId="77777777" w:rsidR="00C16F44" w:rsidRPr="00270674" w:rsidRDefault="00C16F44" w:rsidP="00C16F44">
      <w:pPr>
        <w:ind w:left="567"/>
        <w:rPr>
          <w:i/>
        </w:rPr>
      </w:pPr>
      <w:r w:rsidRPr="00270674">
        <w:rPr>
          <w:i/>
        </w:rPr>
        <w:t>If these courses can continue as they are very helpful to people like myself.</w:t>
      </w:r>
    </w:p>
    <w:p w14:paraId="0954B9BE" w14:textId="77777777" w:rsidR="00C16F44" w:rsidRPr="00270674" w:rsidRDefault="00C16F44" w:rsidP="00C16F44">
      <w:pPr>
        <w:ind w:left="567"/>
        <w:rPr>
          <w:i/>
        </w:rPr>
      </w:pPr>
    </w:p>
    <w:p w14:paraId="1266665F" w14:textId="77777777" w:rsidR="00C16F44" w:rsidRPr="00270674" w:rsidRDefault="00C16F44" w:rsidP="00C16F44">
      <w:pPr>
        <w:ind w:left="567"/>
        <w:rPr>
          <w:i/>
        </w:rPr>
      </w:pPr>
      <w:r w:rsidRPr="00270674">
        <w:rPr>
          <w:i/>
        </w:rPr>
        <w:t>I would recommend this course to other people. Also I feel that staff at REACH are not judgemental.</w:t>
      </w:r>
    </w:p>
    <w:p w14:paraId="7D7214C3" w14:textId="77777777" w:rsidR="00C16F44" w:rsidRPr="00270674" w:rsidRDefault="00C16F44" w:rsidP="00C16F44">
      <w:pPr>
        <w:rPr>
          <w:i/>
        </w:rPr>
      </w:pPr>
    </w:p>
    <w:p w14:paraId="1C937D45" w14:textId="77777777" w:rsidR="00C16F44" w:rsidRPr="00270674" w:rsidRDefault="00C16F44" w:rsidP="00C16F44">
      <w:pPr>
        <w:ind w:left="567"/>
        <w:rPr>
          <w:i/>
        </w:rPr>
      </w:pPr>
      <w:r w:rsidRPr="00270674">
        <w:rPr>
          <w:i/>
        </w:rPr>
        <w:t>It’s been great coming here, encouraged me to do a lot of other things like talking to people. I’ve been feeling better and more accepted.</w:t>
      </w:r>
    </w:p>
    <w:p w14:paraId="317A31F1" w14:textId="77777777" w:rsidR="00C16F44" w:rsidRPr="00270674" w:rsidRDefault="00C16F44" w:rsidP="00187D61">
      <w:pPr>
        <w:spacing w:line="480" w:lineRule="auto"/>
        <w:rPr>
          <w:b/>
        </w:rPr>
      </w:pPr>
    </w:p>
    <w:p w14:paraId="736CF9BD" w14:textId="1C883C33" w:rsidR="002C7FB7" w:rsidRPr="00270674" w:rsidRDefault="002C7FB7" w:rsidP="00187D61">
      <w:pPr>
        <w:spacing w:line="480" w:lineRule="auto"/>
        <w:rPr>
          <w:b/>
        </w:rPr>
      </w:pPr>
      <w:r w:rsidRPr="00270674">
        <w:rPr>
          <w:b/>
        </w:rPr>
        <w:t xml:space="preserve">Qualitative </w:t>
      </w:r>
      <w:r w:rsidR="00EA29B7" w:rsidRPr="00270674">
        <w:rPr>
          <w:b/>
        </w:rPr>
        <w:t>findings</w:t>
      </w:r>
    </w:p>
    <w:p w14:paraId="2748BBD0" w14:textId="1863DDB6" w:rsidR="002C7FB7" w:rsidRPr="00270674" w:rsidRDefault="009F3D06" w:rsidP="00187D61">
      <w:pPr>
        <w:spacing w:line="480" w:lineRule="auto"/>
        <w:ind w:firstLine="720"/>
      </w:pPr>
      <w:r w:rsidRPr="0053048D">
        <w:t>In total 17 Recovery College students attended the focus groups (seven females and ten males of varying ages).</w:t>
      </w:r>
      <w:r w:rsidR="00EA29B7" w:rsidRPr="0053048D">
        <w:t xml:space="preserve"> </w:t>
      </w:r>
      <w:r w:rsidR="002C7FB7" w:rsidRPr="0053048D">
        <w:t xml:space="preserve">The </w:t>
      </w:r>
      <w:r w:rsidR="00EA29B7" w:rsidRPr="0053048D">
        <w:t>findings</w:t>
      </w:r>
      <w:r w:rsidR="002C7FB7" w:rsidRPr="0053048D">
        <w:t xml:space="preserve"> are presented under the following </w:t>
      </w:r>
      <w:r w:rsidR="00251BCB" w:rsidRPr="0053048D">
        <w:t xml:space="preserve">main </w:t>
      </w:r>
      <w:r w:rsidR="002C7FB7" w:rsidRPr="0053048D">
        <w:t>themes</w:t>
      </w:r>
      <w:r w:rsidR="00251BCB" w:rsidRPr="0053048D">
        <w:t xml:space="preserve"> which were identified</w:t>
      </w:r>
      <w:r w:rsidR="0092207A" w:rsidRPr="0053048D">
        <w:t xml:space="preserve"> through the data</w:t>
      </w:r>
      <w:r w:rsidR="002C7FB7" w:rsidRPr="0053048D">
        <w:t>:</w:t>
      </w:r>
      <w:r w:rsidR="001F123B" w:rsidRPr="0053048D">
        <w:t xml:space="preserve"> </w:t>
      </w:r>
      <w:r w:rsidR="0092207A" w:rsidRPr="0053048D">
        <w:t xml:space="preserve">1) </w:t>
      </w:r>
      <w:r w:rsidR="001F123B" w:rsidRPr="0053048D">
        <w:t>e</w:t>
      </w:r>
      <w:r w:rsidR="002C7FB7" w:rsidRPr="0053048D">
        <w:t>njoyment</w:t>
      </w:r>
      <w:r w:rsidR="001F123B" w:rsidRPr="0053048D">
        <w:t xml:space="preserve">; </w:t>
      </w:r>
      <w:r w:rsidR="0092207A" w:rsidRPr="0053048D">
        <w:t xml:space="preserve">2) </w:t>
      </w:r>
      <w:r w:rsidR="001F123B" w:rsidRPr="0053048D">
        <w:t>m</w:t>
      </w:r>
      <w:r w:rsidR="002C7FB7" w:rsidRPr="0053048D">
        <w:t>ental health benefits</w:t>
      </w:r>
      <w:r w:rsidR="001F123B" w:rsidRPr="0053048D">
        <w:t xml:space="preserve">; </w:t>
      </w:r>
      <w:r w:rsidR="0092207A" w:rsidRPr="0053048D">
        <w:t xml:space="preserve">3) </w:t>
      </w:r>
      <w:r w:rsidR="001F123B" w:rsidRPr="0053048D">
        <w:t>s</w:t>
      </w:r>
      <w:r w:rsidR="002C7FB7" w:rsidRPr="0053048D">
        <w:t>ocial benefits</w:t>
      </w:r>
      <w:r w:rsidR="0092207A" w:rsidRPr="0053048D">
        <w:t xml:space="preserve"> (representing the positive experience of and impact from the Recovery College)</w:t>
      </w:r>
      <w:r w:rsidR="001F123B" w:rsidRPr="0053048D">
        <w:t>;</w:t>
      </w:r>
      <w:r w:rsidR="0092207A" w:rsidRPr="0053048D">
        <w:t xml:space="preserve"> and 4) </w:t>
      </w:r>
      <w:r w:rsidR="001F123B" w:rsidRPr="0053048D">
        <w:t xml:space="preserve">communication and organisation; </w:t>
      </w:r>
      <w:r w:rsidR="0092207A" w:rsidRPr="0053048D">
        <w:t xml:space="preserve">and 5) </w:t>
      </w:r>
      <w:r w:rsidR="001F123B" w:rsidRPr="0053048D">
        <w:t>course length and follow-up</w:t>
      </w:r>
      <w:r w:rsidR="0092207A" w:rsidRPr="0053048D">
        <w:t xml:space="preserve"> (reflecting identified challenges and suggestions for further improvement)</w:t>
      </w:r>
      <w:r w:rsidR="001F123B" w:rsidRPr="0053048D">
        <w:t xml:space="preserve">. </w:t>
      </w:r>
      <w:r w:rsidR="002C7FB7" w:rsidRPr="0053048D">
        <w:t>When extracts from the data are presented to illustrate key themes, three dots (…) indicates that material less relevant to that theme has been omitted. A forward slash (/) indicates a change of speaker.</w:t>
      </w:r>
      <w:r w:rsidR="002C7FB7" w:rsidRPr="00270674">
        <w:t xml:space="preserve"> </w:t>
      </w:r>
    </w:p>
    <w:p w14:paraId="47288A97" w14:textId="21A7BE01" w:rsidR="002C7FB7" w:rsidRPr="00270674" w:rsidRDefault="002C7FB7" w:rsidP="00012665">
      <w:pPr>
        <w:spacing w:line="480" w:lineRule="auto"/>
        <w:ind w:firstLine="720"/>
        <w:rPr>
          <w:b/>
        </w:rPr>
      </w:pPr>
      <w:r w:rsidRPr="00270674">
        <w:rPr>
          <w:b/>
        </w:rPr>
        <w:t>Enjoyment</w:t>
      </w:r>
      <w:r w:rsidR="00012665" w:rsidRPr="00270674">
        <w:rPr>
          <w:b/>
        </w:rPr>
        <w:t xml:space="preserve">. </w:t>
      </w:r>
      <w:r w:rsidRPr="00270674">
        <w:t xml:space="preserve">Enjoyment of the courses was </w:t>
      </w:r>
      <w:r w:rsidR="0092207A">
        <w:t xml:space="preserve">emphasised </w:t>
      </w:r>
      <w:r w:rsidRPr="00270674">
        <w:t>across all three focus groups, with students expressing enjoyment of the content and structure, and the Recovery College staff and ethos:</w:t>
      </w:r>
    </w:p>
    <w:p w14:paraId="7C02DFAC" w14:textId="4D8082BA" w:rsidR="002C7FB7" w:rsidRPr="00270674" w:rsidRDefault="002C7FB7" w:rsidP="00187D61">
      <w:pPr>
        <w:ind w:left="567"/>
        <w:rPr>
          <w:i/>
        </w:rPr>
      </w:pPr>
      <w:r w:rsidRPr="00270674">
        <w:rPr>
          <w:i/>
        </w:rPr>
        <w:t>For many people who attend the courses this may be the highlight of their week…for some people that’s something they look forward to, that’s literally</w:t>
      </w:r>
      <w:r w:rsidR="00EA29B7" w:rsidRPr="00270674">
        <w:rPr>
          <w:i/>
        </w:rPr>
        <w:t xml:space="preserve"> the best part of their week… </w:t>
      </w:r>
      <w:r w:rsidRPr="00270674">
        <w:rPr>
          <w:i/>
        </w:rPr>
        <w:t>(Focus group 1)</w:t>
      </w:r>
    </w:p>
    <w:p w14:paraId="5623E88B" w14:textId="77777777" w:rsidR="00187D61" w:rsidRPr="00270674" w:rsidRDefault="00187D61" w:rsidP="00187D61">
      <w:pPr>
        <w:ind w:left="567"/>
        <w:rPr>
          <w:i/>
        </w:rPr>
      </w:pPr>
    </w:p>
    <w:p w14:paraId="7F0A5852" w14:textId="73E6CEB3" w:rsidR="002C7FB7" w:rsidRPr="00270674" w:rsidRDefault="00015880" w:rsidP="00012665">
      <w:pPr>
        <w:ind w:left="567"/>
        <w:rPr>
          <w:i/>
        </w:rPr>
      </w:pPr>
      <w:r w:rsidRPr="00270674">
        <w:rPr>
          <w:i/>
        </w:rPr>
        <w:t>I’ve enjoyed them</w:t>
      </w:r>
      <w:r w:rsidR="002C7FB7" w:rsidRPr="00270674">
        <w:rPr>
          <w:i/>
        </w:rPr>
        <w:t>… / I liked it when they asked questions and put them on the board and when they put papers on the table that we could sort out. I enjoyed that very much. But I enjoyed the course as a whole really. / …I’ve enjoyed every one of them</w:t>
      </w:r>
      <w:r w:rsidRPr="00270674">
        <w:rPr>
          <w:i/>
        </w:rPr>
        <w:t>…</w:t>
      </w:r>
      <w:r w:rsidR="002C7FB7" w:rsidRPr="00270674">
        <w:rPr>
          <w:i/>
        </w:rPr>
        <w:t xml:space="preserve">I can’t wait to </w:t>
      </w:r>
      <w:r w:rsidR="00EA29B7" w:rsidRPr="00270674">
        <w:rPr>
          <w:i/>
        </w:rPr>
        <w:t>go back next week… /</w:t>
      </w:r>
      <w:r w:rsidR="002C7FB7" w:rsidRPr="00270674">
        <w:rPr>
          <w:i/>
        </w:rPr>
        <w:t xml:space="preserve"> The anxiety [course] </w:t>
      </w:r>
      <w:r w:rsidR="002C7FB7" w:rsidRPr="00270674">
        <w:rPr>
          <w:i/>
        </w:rPr>
        <w:lastRenderedPageBreak/>
        <w:t>I’ve done twice because I thought it was so good./ …I enjoyed the staff so much and the ethos… (Focus group 2)</w:t>
      </w:r>
    </w:p>
    <w:p w14:paraId="6086E87D" w14:textId="77777777" w:rsidR="00012665" w:rsidRPr="00270674" w:rsidRDefault="00012665" w:rsidP="00012665">
      <w:pPr>
        <w:ind w:left="567"/>
        <w:rPr>
          <w:i/>
        </w:rPr>
      </w:pPr>
    </w:p>
    <w:p w14:paraId="0D15FE02" w14:textId="7248C639" w:rsidR="002C7FB7" w:rsidRPr="00270674" w:rsidRDefault="002C7FB7" w:rsidP="00012665">
      <w:pPr>
        <w:spacing w:line="480" w:lineRule="auto"/>
        <w:ind w:firstLine="720"/>
        <w:rPr>
          <w:b/>
        </w:rPr>
      </w:pPr>
      <w:r w:rsidRPr="0053048D">
        <w:rPr>
          <w:b/>
        </w:rPr>
        <w:t>Mental health benefits</w:t>
      </w:r>
      <w:r w:rsidR="00012665" w:rsidRPr="0053048D">
        <w:rPr>
          <w:b/>
        </w:rPr>
        <w:t xml:space="preserve">. </w:t>
      </w:r>
      <w:r w:rsidRPr="0053048D">
        <w:t xml:space="preserve">A number of mental health benefits were </w:t>
      </w:r>
      <w:r w:rsidR="00340506" w:rsidRPr="0053048D">
        <w:t>described</w:t>
      </w:r>
      <w:r w:rsidRPr="0053048D">
        <w:t xml:space="preserve"> in two of the focus groups, including improved mental health in general, increased confidence and mo</w:t>
      </w:r>
      <w:r w:rsidR="00685373" w:rsidRPr="0053048D">
        <w:t>tivation, and decreased anxiety. S</w:t>
      </w:r>
      <w:r w:rsidR="0092207A" w:rsidRPr="0053048D">
        <w:t xml:space="preserve">tudents </w:t>
      </w:r>
      <w:r w:rsidR="00685373" w:rsidRPr="0053048D">
        <w:t>identified</w:t>
      </w:r>
      <w:r w:rsidR="0092207A" w:rsidRPr="0053048D">
        <w:t xml:space="preserve"> these </w:t>
      </w:r>
      <w:r w:rsidR="00685373" w:rsidRPr="0053048D">
        <w:t xml:space="preserve">improvements to their mental health </w:t>
      </w:r>
      <w:r w:rsidR="0092207A" w:rsidRPr="0053048D">
        <w:t xml:space="preserve">as </w:t>
      </w:r>
      <w:r w:rsidR="00685373" w:rsidRPr="0053048D">
        <w:t>direct consequences of the Recovery College courses, with improvements being noticed by others as well:</w:t>
      </w:r>
    </w:p>
    <w:p w14:paraId="1FBE5B09" w14:textId="68B32AD8" w:rsidR="002C7FB7" w:rsidRPr="00270674" w:rsidRDefault="002C7FB7" w:rsidP="00187D61">
      <w:pPr>
        <w:ind w:left="567"/>
        <w:rPr>
          <w:i/>
        </w:rPr>
      </w:pPr>
      <w:r w:rsidRPr="00270674">
        <w:rPr>
          <w:i/>
        </w:rPr>
        <w:t>It helped me emotionally, a lot. My psychiatrist told me I look better than when she first know me. / It’s</w:t>
      </w:r>
      <w:r w:rsidR="003B6F5F" w:rsidRPr="00270674">
        <w:rPr>
          <w:i/>
        </w:rPr>
        <w:t xml:space="preserve"> given me a lot more confidence…</w:t>
      </w:r>
      <w:r w:rsidRPr="00270674">
        <w:rPr>
          <w:i/>
        </w:rPr>
        <w:t>the confidence to go out and meet people</w:t>
      </w:r>
      <w:r w:rsidR="003B6F5F" w:rsidRPr="00270674">
        <w:rPr>
          <w:i/>
        </w:rPr>
        <w:t>…</w:t>
      </w:r>
      <w:r w:rsidRPr="00270674">
        <w:rPr>
          <w:i/>
        </w:rPr>
        <w:t xml:space="preserve"> / I’m able to go to different places whereas before I wouldn’t go to certain places if I didn’t know the place. But now I go to different p</w:t>
      </w:r>
      <w:r w:rsidR="00340506" w:rsidRPr="00270674">
        <w:rPr>
          <w:i/>
        </w:rPr>
        <w:t>laces and meet different people…</w:t>
      </w:r>
      <w:r w:rsidR="00EA29B7" w:rsidRPr="00270674">
        <w:rPr>
          <w:i/>
        </w:rPr>
        <w:t xml:space="preserve"> / I feel better in myself</w:t>
      </w:r>
      <w:r w:rsidRPr="00270674">
        <w:rPr>
          <w:i/>
        </w:rPr>
        <w:t>…/ it’s given me the drive and impetus…it has added motivation…/</w:t>
      </w:r>
      <w:r w:rsidR="00F458FA" w:rsidRPr="00270674">
        <w:rPr>
          <w:i/>
        </w:rPr>
        <w:t xml:space="preserve"> </w:t>
      </w:r>
      <w:r w:rsidRPr="00270674">
        <w:rPr>
          <w:i/>
        </w:rPr>
        <w:t>…when you do it you go home and you feel a lot better. A lot more confident. /…all the staff… they’ve pushed me on and now I’m going to start a journalism course at college and they’ve helped me to become confident enough. (Focus group 2)</w:t>
      </w:r>
    </w:p>
    <w:p w14:paraId="64B7269C" w14:textId="77777777" w:rsidR="002C7FB7" w:rsidRPr="00270674" w:rsidRDefault="002C7FB7" w:rsidP="00187D61">
      <w:pPr>
        <w:ind w:left="567"/>
        <w:rPr>
          <w:i/>
        </w:rPr>
      </w:pPr>
    </w:p>
    <w:p w14:paraId="7D7852FB" w14:textId="5048C9B9" w:rsidR="002C7FB7" w:rsidRPr="00270674" w:rsidRDefault="002C7FB7" w:rsidP="00187D61">
      <w:pPr>
        <w:ind w:left="567"/>
      </w:pPr>
      <w:r w:rsidRPr="00270674">
        <w:rPr>
          <w:i/>
        </w:rPr>
        <w:t xml:space="preserve">I felt a lot better when I left here because I hadn’t been going out an awful lot, I’d been staying in and not going to the shops. Well I’ve got a bit of a phobia about going to the shops and after I left here I walked in to town, I had a cup of coffee and sat there and I </w:t>
      </w:r>
      <w:r w:rsidR="00CF18BC" w:rsidRPr="00270674">
        <w:rPr>
          <w:i/>
        </w:rPr>
        <w:t>thought ‘ooh I’ve done this’…</w:t>
      </w:r>
      <w:r w:rsidRPr="00270674">
        <w:rPr>
          <w:i/>
        </w:rPr>
        <w:t>I feel quite pleased with myse</w:t>
      </w:r>
      <w:r w:rsidR="00CF18BC" w:rsidRPr="00270674">
        <w:rPr>
          <w:i/>
        </w:rPr>
        <w:t>lf…/ I stand up for myself more..</w:t>
      </w:r>
      <w:r w:rsidRPr="00270674">
        <w:rPr>
          <w:i/>
        </w:rPr>
        <w:t>. / …When you leave here from a group you feel a lot more up, a lot more confident in yourself. (Focus Group 3)</w:t>
      </w:r>
    </w:p>
    <w:p w14:paraId="09207DF8" w14:textId="7306949D" w:rsidR="00673232" w:rsidRPr="00270674" w:rsidRDefault="00673232" w:rsidP="00187D61">
      <w:pPr>
        <w:rPr>
          <w:i/>
        </w:rPr>
      </w:pPr>
    </w:p>
    <w:p w14:paraId="7001AE21" w14:textId="1AE1B385" w:rsidR="002C7FB7" w:rsidRPr="00270674" w:rsidRDefault="002C7FB7" w:rsidP="00340506">
      <w:pPr>
        <w:spacing w:line="480" w:lineRule="auto"/>
        <w:ind w:firstLine="720"/>
        <w:rPr>
          <w:b/>
        </w:rPr>
      </w:pPr>
      <w:r w:rsidRPr="0053048D">
        <w:rPr>
          <w:b/>
        </w:rPr>
        <w:t>Social benefits</w:t>
      </w:r>
      <w:r w:rsidR="00012665" w:rsidRPr="0053048D">
        <w:rPr>
          <w:b/>
        </w:rPr>
        <w:t>.</w:t>
      </w:r>
      <w:r w:rsidRPr="0053048D">
        <w:rPr>
          <w:b/>
        </w:rPr>
        <w:t xml:space="preserve"> </w:t>
      </w:r>
      <w:r w:rsidRPr="0053048D">
        <w:t>A number of social benefits were reported, such as the opportunity for social interaction (with staff and other students), increased social inclusion, peer support, development of new friendships, a sense of belo</w:t>
      </w:r>
      <w:r w:rsidR="00685373" w:rsidRPr="0053048D">
        <w:t>nging, and shared understanding. This was particularly valued by the students. A camaraderie and a sense of mutual support and encouragement between students was also apparent in the focus groups themselves.</w:t>
      </w:r>
    </w:p>
    <w:p w14:paraId="0B822E30" w14:textId="77777777" w:rsidR="002C7FB7" w:rsidRPr="00270674" w:rsidRDefault="002C7FB7" w:rsidP="00340506">
      <w:pPr>
        <w:pStyle w:val="NormalWeb"/>
        <w:spacing w:before="0" w:beforeAutospacing="0" w:after="0" w:afterAutospacing="0"/>
        <w:ind w:left="567"/>
        <w:rPr>
          <w:rStyle w:val="Strong"/>
          <w:b w:val="0"/>
          <w:i/>
          <w:color w:val="000000"/>
        </w:rPr>
      </w:pPr>
      <w:r w:rsidRPr="00270674">
        <w:rPr>
          <w:rStyle w:val="Strong"/>
          <w:b w:val="0"/>
          <w:i/>
          <w:color w:val="000000"/>
        </w:rPr>
        <w:t>For many people who attend the courses this may be…the only chance to socialise and make new friends./ ...everybody there has some form of mental illness, so if you have absences you’re not expected to catch up or anything, it’s just accepted. (Focus Group 1)</w:t>
      </w:r>
    </w:p>
    <w:p w14:paraId="1C32A734" w14:textId="2CF1E505" w:rsidR="002C7FB7" w:rsidRPr="00270674" w:rsidRDefault="002C7FB7" w:rsidP="00187D61">
      <w:pPr>
        <w:pStyle w:val="NormalWeb"/>
        <w:ind w:left="567"/>
        <w:rPr>
          <w:rStyle w:val="Strong"/>
          <w:b w:val="0"/>
          <w:i/>
          <w:color w:val="000000"/>
        </w:rPr>
      </w:pPr>
      <w:r w:rsidRPr="00270674">
        <w:rPr>
          <w:rStyle w:val="Strong"/>
          <w:b w:val="0"/>
          <w:i/>
          <w:color w:val="000000"/>
        </w:rPr>
        <w:t xml:space="preserve">You learn new ways to cope from other people on the course. You can learn from other people... / I enjoyed going out every week to the mindfulness group. </w:t>
      </w:r>
      <w:r w:rsidRPr="00270674">
        <w:rPr>
          <w:rStyle w:val="Strong"/>
          <w:b w:val="0"/>
          <w:i/>
          <w:color w:val="000000"/>
        </w:rPr>
        <w:lastRenderedPageBreak/>
        <w:t xml:space="preserve">It helped me speak about how I feel. Like around me I don’t speak to anyone and now I’m speaking to other people. / You don’t feel so cross or lonely in a way. You feel part of things. / Everybody encourages everybody else and people bounce off each other. As soon as somebody starts saying something it gives </w:t>
      </w:r>
      <w:proofErr w:type="spellStart"/>
      <w:r w:rsidRPr="00270674">
        <w:rPr>
          <w:rStyle w:val="Strong"/>
          <w:b w:val="0"/>
          <w:i/>
          <w:color w:val="000000"/>
        </w:rPr>
        <w:t>you</w:t>
      </w:r>
      <w:proofErr w:type="spellEnd"/>
      <w:r w:rsidRPr="00270674">
        <w:rPr>
          <w:rStyle w:val="Strong"/>
          <w:b w:val="0"/>
          <w:i/>
          <w:color w:val="000000"/>
        </w:rPr>
        <w:t xml:space="preserve"> ideas because you are thinking along similar lines so it promotes you to discuss things. / …It makes you feel a part of something doesn’t it? / …It lets you get out and talk to people whereas I’d just stay indoors otherwise. I wouldn’t see anybody for weeks. (Focus Group 2)</w:t>
      </w:r>
    </w:p>
    <w:p w14:paraId="2EAD9C0C" w14:textId="0613421A" w:rsidR="00187D61" w:rsidRPr="00270674" w:rsidRDefault="001F123B" w:rsidP="00A40C95">
      <w:pPr>
        <w:pStyle w:val="NormalWeb"/>
        <w:spacing w:before="0" w:beforeAutospacing="0" w:after="0" w:afterAutospacing="0" w:line="480" w:lineRule="auto"/>
        <w:ind w:firstLine="720"/>
        <w:rPr>
          <w:color w:val="000000"/>
        </w:rPr>
      </w:pPr>
      <w:r w:rsidRPr="00270674">
        <w:rPr>
          <w:b/>
          <w:color w:val="000000"/>
        </w:rPr>
        <w:t>C</w:t>
      </w:r>
      <w:r w:rsidR="002C7FB7" w:rsidRPr="00270674">
        <w:rPr>
          <w:b/>
          <w:color w:val="000000"/>
        </w:rPr>
        <w:t>ommunication and organisation</w:t>
      </w:r>
      <w:r w:rsidR="00012665" w:rsidRPr="00270674">
        <w:rPr>
          <w:b/>
          <w:color w:val="000000"/>
        </w:rPr>
        <w:t>.</w:t>
      </w:r>
      <w:r w:rsidR="002C7FB7" w:rsidRPr="00270674">
        <w:rPr>
          <w:b/>
          <w:color w:val="000000"/>
        </w:rPr>
        <w:t xml:space="preserve"> </w:t>
      </w:r>
      <w:r w:rsidR="002C7FB7" w:rsidRPr="00270674">
        <w:rPr>
          <w:color w:val="000000"/>
        </w:rPr>
        <w:t xml:space="preserve">The participants in the </w:t>
      </w:r>
      <w:r w:rsidRPr="00270674">
        <w:rPr>
          <w:color w:val="000000"/>
        </w:rPr>
        <w:t xml:space="preserve">first </w:t>
      </w:r>
      <w:r w:rsidR="002C7FB7" w:rsidRPr="00270674">
        <w:rPr>
          <w:color w:val="000000"/>
        </w:rPr>
        <w:t xml:space="preserve">focus group identified </w:t>
      </w:r>
      <w:r w:rsidRPr="00270674">
        <w:rPr>
          <w:color w:val="000000"/>
        </w:rPr>
        <w:t>some</w:t>
      </w:r>
      <w:r w:rsidR="002C7FB7" w:rsidRPr="00270674">
        <w:rPr>
          <w:color w:val="000000"/>
        </w:rPr>
        <w:t xml:space="preserve"> challenges with the </w:t>
      </w:r>
      <w:r w:rsidR="00317DCE" w:rsidRPr="00270674">
        <w:rPr>
          <w:color w:val="000000"/>
        </w:rPr>
        <w:t xml:space="preserve">consistency and clarity </w:t>
      </w:r>
      <w:r w:rsidR="002C7FB7" w:rsidRPr="00270674">
        <w:rPr>
          <w:color w:val="000000"/>
        </w:rPr>
        <w:t xml:space="preserve">of communication </w:t>
      </w:r>
      <w:r w:rsidR="00210997" w:rsidRPr="00270674">
        <w:rPr>
          <w:color w:val="000000"/>
        </w:rPr>
        <w:t>across</w:t>
      </w:r>
      <w:r w:rsidR="002C7FB7" w:rsidRPr="00270674">
        <w:rPr>
          <w:color w:val="000000"/>
        </w:rPr>
        <w:t xml:space="preserve"> the </w:t>
      </w:r>
      <w:r w:rsidR="00E93962" w:rsidRPr="00270674">
        <w:rPr>
          <w:color w:val="000000"/>
        </w:rPr>
        <w:t>multiple organisations involved</w:t>
      </w:r>
      <w:r w:rsidR="00A40C95" w:rsidRPr="00270674">
        <w:rPr>
          <w:color w:val="000000"/>
        </w:rPr>
        <w:t xml:space="preserve"> in the implementation of the college</w:t>
      </w:r>
      <w:r w:rsidR="002C7FB7" w:rsidRPr="00270674">
        <w:rPr>
          <w:color w:val="000000"/>
        </w:rPr>
        <w:t xml:space="preserve">. The later focus groups did not identify the same challenges and frustrations, suggesting that </w:t>
      </w:r>
      <w:r w:rsidR="002D699D" w:rsidRPr="00270674">
        <w:rPr>
          <w:color w:val="000000"/>
        </w:rPr>
        <w:t>many</w:t>
      </w:r>
      <w:r w:rsidR="002C7FB7" w:rsidRPr="00270674">
        <w:rPr>
          <w:color w:val="000000"/>
        </w:rPr>
        <w:t xml:space="preserve"> early challenges were resolved over time and represented early teething problems with the setting u</w:t>
      </w:r>
      <w:r w:rsidR="002D699D" w:rsidRPr="00270674">
        <w:rPr>
          <w:color w:val="000000"/>
        </w:rPr>
        <w:t xml:space="preserve">p of </w:t>
      </w:r>
      <w:r w:rsidR="00A40C95" w:rsidRPr="00270674">
        <w:rPr>
          <w:color w:val="000000"/>
        </w:rPr>
        <w:t>a</w:t>
      </w:r>
      <w:r w:rsidR="002D699D" w:rsidRPr="00270674">
        <w:rPr>
          <w:color w:val="000000"/>
        </w:rPr>
        <w:t xml:space="preserve"> college </w:t>
      </w:r>
      <w:r w:rsidR="00A40C95" w:rsidRPr="00270674">
        <w:rPr>
          <w:color w:val="000000"/>
        </w:rPr>
        <w:t>which had the added complexity of</w:t>
      </w:r>
      <w:r w:rsidR="002D699D" w:rsidRPr="00270674">
        <w:rPr>
          <w:color w:val="000000"/>
        </w:rPr>
        <w:t xml:space="preserve"> </w:t>
      </w:r>
      <w:r w:rsidR="00A40C95" w:rsidRPr="00270674">
        <w:rPr>
          <w:color w:val="000000"/>
        </w:rPr>
        <w:t>being implemented</w:t>
      </w:r>
      <w:r w:rsidR="002D699D" w:rsidRPr="00270674">
        <w:rPr>
          <w:color w:val="000000"/>
        </w:rPr>
        <w:t xml:space="preserve"> </w:t>
      </w:r>
      <w:r w:rsidR="00A40C95" w:rsidRPr="00270674">
        <w:rPr>
          <w:color w:val="000000"/>
        </w:rPr>
        <w:t>collaboratively between</w:t>
      </w:r>
      <w:r w:rsidRPr="00270674">
        <w:rPr>
          <w:color w:val="000000"/>
        </w:rPr>
        <w:t xml:space="preserve"> multiple organisations. </w:t>
      </w:r>
    </w:p>
    <w:p w14:paraId="2BDB849C" w14:textId="2A67027E" w:rsidR="00626D98" w:rsidRPr="00270674" w:rsidRDefault="00872CFC" w:rsidP="00872CFC">
      <w:pPr>
        <w:pStyle w:val="NormalWeb"/>
        <w:spacing w:before="0" w:beforeAutospacing="0" w:after="0" w:afterAutospacing="0"/>
        <w:ind w:left="567"/>
        <w:rPr>
          <w:i/>
          <w:color w:val="000000"/>
        </w:rPr>
      </w:pPr>
      <w:r w:rsidRPr="00270674">
        <w:rPr>
          <w:i/>
          <w:color w:val="000000"/>
        </w:rPr>
        <w:t>…one of the issues is you’ve got all these different organisations…people get confused…you’ve got Rethink, Trust Links, Ways for Wellbeing, you know there’s so many. (Focus Group 1)</w:t>
      </w:r>
    </w:p>
    <w:p w14:paraId="2C2B5398" w14:textId="77777777" w:rsidR="00872CFC" w:rsidRPr="00270674" w:rsidRDefault="00872CFC" w:rsidP="00872CFC">
      <w:pPr>
        <w:pStyle w:val="NormalWeb"/>
        <w:spacing w:before="0" w:beforeAutospacing="0" w:after="0" w:afterAutospacing="0"/>
        <w:ind w:left="567"/>
        <w:rPr>
          <w:i/>
          <w:color w:val="000000"/>
        </w:rPr>
      </w:pPr>
    </w:p>
    <w:p w14:paraId="584520EF" w14:textId="47C63C65" w:rsidR="002C7FB7" w:rsidRPr="00270674" w:rsidRDefault="008B19C2" w:rsidP="00340506">
      <w:pPr>
        <w:pStyle w:val="NormalWeb"/>
        <w:spacing w:before="0" w:beforeAutospacing="0" w:after="0" w:afterAutospacing="0" w:line="480" w:lineRule="auto"/>
        <w:ind w:firstLine="720"/>
        <w:rPr>
          <w:b/>
          <w:color w:val="000000"/>
        </w:rPr>
      </w:pPr>
      <w:r w:rsidRPr="00270674">
        <w:rPr>
          <w:b/>
          <w:color w:val="000000"/>
        </w:rPr>
        <w:t>Course length and</w:t>
      </w:r>
      <w:r w:rsidR="002C7FB7" w:rsidRPr="00270674">
        <w:rPr>
          <w:b/>
          <w:color w:val="000000"/>
        </w:rPr>
        <w:t xml:space="preserve"> follow-up</w:t>
      </w:r>
      <w:r w:rsidR="00012665" w:rsidRPr="00270674">
        <w:rPr>
          <w:b/>
          <w:color w:val="000000"/>
        </w:rPr>
        <w:t xml:space="preserve">. </w:t>
      </w:r>
      <w:r w:rsidRPr="00270674">
        <w:rPr>
          <w:color w:val="000000"/>
        </w:rPr>
        <w:t>A point raised across all three focus groups</w:t>
      </w:r>
      <w:r w:rsidR="002C7FB7" w:rsidRPr="00270674">
        <w:rPr>
          <w:color w:val="000000"/>
        </w:rPr>
        <w:t xml:space="preserve"> was that the courses </w:t>
      </w:r>
      <w:r w:rsidRPr="00270674">
        <w:rPr>
          <w:color w:val="000000"/>
        </w:rPr>
        <w:t>were</w:t>
      </w:r>
      <w:r w:rsidR="002C7FB7" w:rsidRPr="00270674">
        <w:rPr>
          <w:color w:val="000000"/>
        </w:rPr>
        <w:t xml:space="preserve"> considered to be too short and there </w:t>
      </w:r>
      <w:r w:rsidRPr="00270674">
        <w:rPr>
          <w:color w:val="000000"/>
        </w:rPr>
        <w:t>was an expressed desire for</w:t>
      </w:r>
      <w:r w:rsidR="002C7FB7" w:rsidRPr="00270674">
        <w:rPr>
          <w:color w:val="000000"/>
        </w:rPr>
        <w:t xml:space="preserve"> </w:t>
      </w:r>
      <w:r w:rsidR="00E27E3E" w:rsidRPr="00270674">
        <w:rPr>
          <w:color w:val="000000"/>
        </w:rPr>
        <w:t>longer courses</w:t>
      </w:r>
      <w:r w:rsidR="00A40C95" w:rsidRPr="00270674">
        <w:rPr>
          <w:color w:val="000000"/>
        </w:rPr>
        <w:t>, for example</w:t>
      </w:r>
      <w:r w:rsidR="002C7FB7" w:rsidRPr="00270674">
        <w:rPr>
          <w:color w:val="000000"/>
        </w:rPr>
        <w:t>:</w:t>
      </w:r>
    </w:p>
    <w:p w14:paraId="6D211FFA" w14:textId="5DEC63F2" w:rsidR="002C7FB7" w:rsidRPr="00270674" w:rsidRDefault="002C7FB7" w:rsidP="00340506">
      <w:pPr>
        <w:pStyle w:val="NormalWeb"/>
        <w:spacing w:before="0" w:beforeAutospacing="0" w:after="0" w:afterAutospacing="0"/>
        <w:ind w:left="567"/>
        <w:rPr>
          <w:i/>
          <w:color w:val="000000"/>
        </w:rPr>
      </w:pPr>
      <w:r w:rsidRPr="00270674">
        <w:rPr>
          <w:i/>
          <w:color w:val="000000"/>
        </w:rPr>
        <w:t xml:space="preserve">…I’ve enjoyed them but they don’t last. / …Once you’ve done that what’s next? </w:t>
      </w:r>
      <w:r w:rsidR="00A40C95" w:rsidRPr="00270674">
        <w:rPr>
          <w:i/>
          <w:color w:val="000000"/>
        </w:rPr>
        <w:t>...</w:t>
      </w:r>
      <w:r w:rsidR="00E27E3E" w:rsidRPr="00270674">
        <w:rPr>
          <w:i/>
          <w:color w:val="000000"/>
        </w:rPr>
        <w:t xml:space="preserve">The courses, you just get into it and then you sort of come up to the next week and then you’ve only got one week left and you think what am I </w:t>
      </w:r>
      <w:proofErr w:type="spellStart"/>
      <w:r w:rsidR="00E27E3E" w:rsidRPr="00270674">
        <w:rPr>
          <w:i/>
          <w:color w:val="000000"/>
        </w:rPr>
        <w:t>gonna</w:t>
      </w:r>
      <w:proofErr w:type="spellEnd"/>
      <w:r w:rsidR="00E27E3E" w:rsidRPr="00270674">
        <w:rPr>
          <w:i/>
          <w:color w:val="000000"/>
        </w:rPr>
        <w:t xml:space="preserve"> do now. </w:t>
      </w:r>
      <w:r w:rsidRPr="00270674">
        <w:rPr>
          <w:i/>
          <w:color w:val="000000"/>
        </w:rPr>
        <w:t>(Focus Group 2)</w:t>
      </w:r>
    </w:p>
    <w:p w14:paraId="0B3CEC1A" w14:textId="660B9BD7" w:rsidR="00AB55AB" w:rsidRPr="00270674" w:rsidRDefault="002C7FB7" w:rsidP="00187D61">
      <w:pPr>
        <w:pStyle w:val="NormalWeb"/>
        <w:ind w:left="567"/>
        <w:rPr>
          <w:i/>
          <w:color w:val="000000"/>
        </w:rPr>
      </w:pPr>
      <w:r w:rsidRPr="00270674">
        <w:rPr>
          <w:i/>
          <w:color w:val="000000"/>
        </w:rPr>
        <w:t>…I would have felt better if we could have had more time on the course, like another few weeks</w:t>
      </w:r>
      <w:r w:rsidR="00E27E3E" w:rsidRPr="00270674">
        <w:rPr>
          <w:i/>
          <w:color w:val="000000"/>
        </w:rPr>
        <w:t>..</w:t>
      </w:r>
      <w:r w:rsidRPr="00270674">
        <w:rPr>
          <w:i/>
          <w:color w:val="000000"/>
        </w:rPr>
        <w:t>. / …I don’t like it when they end, I always feel better when I know t</w:t>
      </w:r>
      <w:r w:rsidR="00A40C95" w:rsidRPr="00270674">
        <w:rPr>
          <w:i/>
          <w:color w:val="000000"/>
        </w:rPr>
        <w:t>hat I’ve got something to do. /</w:t>
      </w:r>
      <w:r w:rsidRPr="00270674">
        <w:rPr>
          <w:i/>
          <w:color w:val="000000"/>
        </w:rPr>
        <w:t>…</w:t>
      </w:r>
      <w:r w:rsidR="00A40C95" w:rsidRPr="00270674">
        <w:rPr>
          <w:i/>
          <w:color w:val="000000"/>
        </w:rPr>
        <w:t>we need more sessions</w:t>
      </w:r>
      <w:r w:rsidR="00E27E3E" w:rsidRPr="00270674">
        <w:rPr>
          <w:i/>
          <w:color w:val="000000"/>
        </w:rPr>
        <w:t>…they ought to go on a bit longer…</w:t>
      </w:r>
      <w:r w:rsidRPr="00270674">
        <w:rPr>
          <w:i/>
          <w:color w:val="000000"/>
        </w:rPr>
        <w:t xml:space="preserve"> (Focus Group 3)</w:t>
      </w:r>
    </w:p>
    <w:p w14:paraId="7AFDE996" w14:textId="4268B992" w:rsidR="004A25D7" w:rsidRPr="00270674" w:rsidRDefault="00EE585A" w:rsidP="00012665">
      <w:pPr>
        <w:spacing w:line="480" w:lineRule="auto"/>
        <w:jc w:val="center"/>
        <w:rPr>
          <w:b/>
        </w:rPr>
      </w:pPr>
      <w:r w:rsidRPr="00270674">
        <w:rPr>
          <w:b/>
        </w:rPr>
        <w:t>Discussion</w:t>
      </w:r>
    </w:p>
    <w:p w14:paraId="21C575F2" w14:textId="3FBFFB72" w:rsidR="00B6263E" w:rsidRPr="00270674" w:rsidRDefault="007846CF" w:rsidP="00440DB3">
      <w:pPr>
        <w:spacing w:line="480" w:lineRule="auto"/>
        <w:ind w:firstLine="720"/>
      </w:pPr>
      <w:r w:rsidRPr="0053048D">
        <w:t xml:space="preserve">The results presented in this </w:t>
      </w:r>
      <w:r w:rsidR="00BB1983" w:rsidRPr="0053048D">
        <w:t>paper</w:t>
      </w:r>
      <w:r w:rsidRPr="0053048D">
        <w:t xml:space="preserve"> </w:t>
      </w:r>
      <w:r w:rsidR="00064638" w:rsidRPr="0053048D">
        <w:t xml:space="preserve">indicate numerous </w:t>
      </w:r>
      <w:r w:rsidR="00270674" w:rsidRPr="0053048D">
        <w:t xml:space="preserve">self-reported </w:t>
      </w:r>
      <w:r w:rsidR="00064638" w:rsidRPr="0053048D">
        <w:t>mental health and social benefits to</w:t>
      </w:r>
      <w:r w:rsidR="00EE67F8" w:rsidRPr="0053048D">
        <w:t xml:space="preserve"> those</w:t>
      </w:r>
      <w:r w:rsidR="00064638" w:rsidRPr="0053048D">
        <w:t xml:space="preserve"> </w:t>
      </w:r>
      <w:r w:rsidR="00270674" w:rsidRPr="0053048D">
        <w:t xml:space="preserve">participating </w:t>
      </w:r>
      <w:r w:rsidR="00064638" w:rsidRPr="0053048D">
        <w:t xml:space="preserve">Recovery College </w:t>
      </w:r>
      <w:r w:rsidR="009E0058" w:rsidRPr="0053048D">
        <w:t>students</w:t>
      </w:r>
      <w:r w:rsidR="00AF3EC6" w:rsidRPr="0053048D">
        <w:t xml:space="preserve"> such as </w:t>
      </w:r>
      <w:r w:rsidR="0090102C" w:rsidRPr="0053048D">
        <w:lastRenderedPageBreak/>
        <w:t>increased</w:t>
      </w:r>
      <w:r w:rsidR="00AF3EC6" w:rsidRPr="0053048D">
        <w:t xml:space="preserve"> confidence, </w:t>
      </w:r>
      <w:r w:rsidR="0090102C" w:rsidRPr="0053048D">
        <w:t>social inclusion, peer support, and reduced</w:t>
      </w:r>
      <w:r w:rsidR="0090102C" w:rsidRPr="00270674">
        <w:t xml:space="preserve"> anxiety</w:t>
      </w:r>
      <w:r w:rsidR="00064638" w:rsidRPr="00270674">
        <w:t xml:space="preserve">. The quantitative results showed significant improvements in both mental wellbeing and social inclusion from baseline to final follow-up (six months later). </w:t>
      </w:r>
      <w:r w:rsidR="00B6263E" w:rsidRPr="00270674">
        <w:t>Significant improvements in one subscale of the SIS (Social Relations) and nearing significant improvements in another (Social Isolation) indicate that the Recovery College was associated with increased feelings of playing a useful role in society, feeling valued by oth</w:t>
      </w:r>
      <w:r w:rsidR="00C744BA" w:rsidRPr="00270674">
        <w:t xml:space="preserve">ers, having been to new places </w:t>
      </w:r>
      <w:r w:rsidR="00B6263E" w:rsidRPr="00270674">
        <w:t>a</w:t>
      </w:r>
      <w:r w:rsidR="00C744BA" w:rsidRPr="00270674">
        <w:t>nd feel</w:t>
      </w:r>
      <w:r w:rsidR="0090102C" w:rsidRPr="00270674">
        <w:t>ing</w:t>
      </w:r>
      <w:r w:rsidR="00C744BA" w:rsidRPr="00270674">
        <w:t xml:space="preserve"> less socially isolated</w:t>
      </w:r>
      <w:r w:rsidR="00B6263E" w:rsidRPr="00270674">
        <w:t>.</w:t>
      </w:r>
      <w:r w:rsidR="00BE18A2" w:rsidRPr="00270674">
        <w:t xml:space="preserve"> However, there was only a small non-significant increase on the Social Acceptance subscale, indicating that the Recovery College was not associated with increased feelings of acceptance from significant others. </w:t>
      </w:r>
      <w:r w:rsidR="00064638" w:rsidRPr="00270674">
        <w:t>There were no significant differences between baseline and three month follow-up scores; however, this may be due to smaller numbers completing the questionnaires at this time point</w:t>
      </w:r>
      <w:r w:rsidR="009A7E22" w:rsidRPr="00270674">
        <w:t xml:space="preserve"> meaning there may have not been sufficient statistical power</w:t>
      </w:r>
      <w:r w:rsidR="00D00E34" w:rsidRPr="00270674">
        <w:t xml:space="preserve"> to detect significant differences</w:t>
      </w:r>
      <w:r w:rsidR="009A7E22" w:rsidRPr="00270674">
        <w:t>.</w:t>
      </w:r>
      <w:r w:rsidR="00B6263E" w:rsidRPr="00270674">
        <w:t xml:space="preserve"> </w:t>
      </w:r>
    </w:p>
    <w:p w14:paraId="55EE175A" w14:textId="63A62CF3" w:rsidR="00B6263E" w:rsidRPr="0053048D" w:rsidRDefault="00064638" w:rsidP="00440DB3">
      <w:pPr>
        <w:spacing w:line="480" w:lineRule="auto"/>
        <w:ind w:firstLine="720"/>
      </w:pPr>
      <w:r w:rsidRPr="00270674">
        <w:t xml:space="preserve">The </w:t>
      </w:r>
      <w:r w:rsidRPr="0053048D">
        <w:t xml:space="preserve">significant increases in mental wellbeing and social inclusion were supported by additional free-text questionnaire comments and focus group findings, with reports of increased confidence, reduced anxiety, and increased social inclusion/reduced social isolation. </w:t>
      </w:r>
      <w:r w:rsidR="00685373" w:rsidRPr="0053048D">
        <w:t>Participants directly related these benefits with their attendance at the Recovery College</w:t>
      </w:r>
      <w:r w:rsidR="009302EA" w:rsidRPr="0053048D">
        <w:t>.</w:t>
      </w:r>
      <w:r w:rsidR="00685373" w:rsidRPr="0053048D">
        <w:t xml:space="preserve"> </w:t>
      </w:r>
      <w:r w:rsidR="00365F94" w:rsidRPr="0053048D">
        <w:t xml:space="preserve">Answers to follow-up questions about the Recovery College were </w:t>
      </w:r>
      <w:r w:rsidR="005029DA" w:rsidRPr="0053048D">
        <w:t xml:space="preserve">also </w:t>
      </w:r>
      <w:r w:rsidR="00365F94" w:rsidRPr="0053048D">
        <w:t>answered largely po</w:t>
      </w:r>
      <w:r w:rsidR="00E31E55" w:rsidRPr="0053048D">
        <w:t>sitively. At final follow-up 20/23 responding students</w:t>
      </w:r>
      <w:r w:rsidR="00365F94" w:rsidRPr="0053048D">
        <w:t xml:space="preserve"> said they would recommend the R</w:t>
      </w:r>
      <w:r w:rsidR="00E31E55" w:rsidRPr="0053048D">
        <w:t xml:space="preserve">ecovery College to a friend, 22/23 said they enjoyed attending, 21/23 </w:t>
      </w:r>
      <w:r w:rsidR="00365F94" w:rsidRPr="0053048D">
        <w:t>said</w:t>
      </w:r>
      <w:r w:rsidR="00AE7E8B" w:rsidRPr="0053048D">
        <w:t xml:space="preserve"> their skills had developed, 19/23</w:t>
      </w:r>
      <w:r w:rsidR="00365F94" w:rsidRPr="0053048D">
        <w:t xml:space="preserve"> said th</w:t>
      </w:r>
      <w:r w:rsidR="00AE7E8B" w:rsidRPr="0053048D">
        <w:t>eir confidence had increased,</w:t>
      </w:r>
      <w:r w:rsidR="00747969" w:rsidRPr="0053048D">
        <w:t xml:space="preserve"> and</w:t>
      </w:r>
      <w:r w:rsidR="00AE7E8B" w:rsidRPr="0053048D">
        <w:t xml:space="preserve"> 20/23 </w:t>
      </w:r>
      <w:r w:rsidR="00365F94" w:rsidRPr="0053048D">
        <w:t>said that they felt m</w:t>
      </w:r>
      <w:r w:rsidR="00AE7E8B" w:rsidRPr="0053048D">
        <w:t>ore positive about things and that</w:t>
      </w:r>
      <w:r w:rsidR="00365F94" w:rsidRPr="0053048D">
        <w:t xml:space="preserve"> their relationships with others had improved as a result of attending.</w:t>
      </w:r>
      <w:r w:rsidR="00B03063" w:rsidRPr="0053048D">
        <w:t xml:space="preserve"> In terms of future plans following Recovery College att</w:t>
      </w:r>
      <w:r w:rsidR="00747969" w:rsidRPr="0053048D">
        <w:t>endance, at final follow-up: 9/14</w:t>
      </w:r>
      <w:r w:rsidR="00B03063" w:rsidRPr="00270674">
        <w:t xml:space="preserve"> </w:t>
      </w:r>
      <w:r w:rsidR="00747969">
        <w:t xml:space="preserve">responding students </w:t>
      </w:r>
      <w:r w:rsidR="00B03063" w:rsidRPr="00270674">
        <w:t>were planning on attending courses exter</w:t>
      </w:r>
      <w:r w:rsidR="00747969">
        <w:t xml:space="preserve">nal to the Recovery </w:t>
      </w:r>
      <w:r w:rsidR="00747969" w:rsidRPr="0053048D">
        <w:lastRenderedPageBreak/>
        <w:t>College, 6/10</w:t>
      </w:r>
      <w:r w:rsidR="00B03063" w:rsidRPr="0053048D">
        <w:t xml:space="preserve"> wer</w:t>
      </w:r>
      <w:r w:rsidR="00747969" w:rsidRPr="0053048D">
        <w:t>e planning to volunteer, and 4/10</w:t>
      </w:r>
      <w:r w:rsidR="00B03063" w:rsidRPr="0053048D">
        <w:t xml:space="preserve"> were planning on gaining paid employment. </w:t>
      </w:r>
    </w:p>
    <w:p w14:paraId="27DA839C" w14:textId="38B21960" w:rsidR="00440DB3" w:rsidRPr="00270674" w:rsidRDefault="00745319" w:rsidP="00440DB3">
      <w:pPr>
        <w:spacing w:line="480" w:lineRule="auto"/>
        <w:ind w:firstLine="720"/>
      </w:pPr>
      <w:r w:rsidRPr="0053048D">
        <w:t xml:space="preserve">The findings </w:t>
      </w:r>
      <w:r w:rsidR="00270674" w:rsidRPr="0053048D">
        <w:t xml:space="preserve">build on earlier evaluations of Recovery Colleges both in the UK (e.g. NERN et al., 2014; </w:t>
      </w:r>
      <w:proofErr w:type="spellStart"/>
      <w:r w:rsidR="00270674" w:rsidRPr="0053048D">
        <w:t>Meddings</w:t>
      </w:r>
      <w:proofErr w:type="spellEnd"/>
      <w:r w:rsidR="00270674" w:rsidRPr="0053048D">
        <w:t xml:space="preserve"> et al., 2015) and internationally (e.g. </w:t>
      </w:r>
      <w:proofErr w:type="spellStart"/>
      <w:r w:rsidR="00270674" w:rsidRPr="0053048D">
        <w:t>Lucchi</w:t>
      </w:r>
      <w:proofErr w:type="spellEnd"/>
      <w:r w:rsidR="00270674" w:rsidRPr="0053048D">
        <w:t xml:space="preserve"> et al., 2018); and </w:t>
      </w:r>
      <w:r w:rsidR="00D00E34" w:rsidRPr="0053048D">
        <w:t>indicate</w:t>
      </w:r>
      <w:r w:rsidRPr="0053048D">
        <w:t xml:space="preserve"> that the Recovery College facilitated/enabled the CHIME recovery process </w:t>
      </w:r>
      <w:r w:rsidR="00D00E34" w:rsidRPr="0053048D">
        <w:t>(</w:t>
      </w:r>
      <w:proofErr w:type="spellStart"/>
      <w:r w:rsidR="00D00E34" w:rsidRPr="0053048D">
        <w:t>Leamy</w:t>
      </w:r>
      <w:proofErr w:type="spellEnd"/>
      <w:r w:rsidR="00D00E34" w:rsidRPr="0053048D">
        <w:t xml:space="preserve"> et al., </w:t>
      </w:r>
      <w:r w:rsidRPr="0053048D">
        <w:t>2011).</w:t>
      </w:r>
      <w:r w:rsidRPr="00270674">
        <w:t xml:space="preserve"> In particular it enabled </w:t>
      </w:r>
      <w:r w:rsidR="00050963" w:rsidRPr="00270674">
        <w:t>C</w:t>
      </w:r>
      <w:r w:rsidRPr="00270674">
        <w:t>onnecte</w:t>
      </w:r>
      <w:r w:rsidR="004A6ABD" w:rsidRPr="00270674">
        <w:t>dness;</w:t>
      </w:r>
      <w:r w:rsidRPr="00270674">
        <w:t xml:space="preserve"> </w:t>
      </w:r>
      <w:r w:rsidR="004A6ABD" w:rsidRPr="00270674">
        <w:t xml:space="preserve">as demonstrated </w:t>
      </w:r>
      <w:r w:rsidRPr="00270674">
        <w:t>through significant improvements in the SIS, in particular the Social Relations subscale which measures</w:t>
      </w:r>
      <w:r w:rsidR="00296B1C" w:rsidRPr="00270674">
        <w:t xml:space="preserve"> </w:t>
      </w:r>
      <w:r w:rsidRPr="00270674">
        <w:t>how much an individual feels they are p</w:t>
      </w:r>
      <w:r w:rsidR="008D3021" w:rsidRPr="00270674">
        <w:t>laying a useful role in society and feels that what t</w:t>
      </w:r>
      <w:r w:rsidR="004A6ABD" w:rsidRPr="00270674">
        <w:t xml:space="preserve">hey do is valued by others. </w:t>
      </w:r>
      <w:r w:rsidR="00D00E34" w:rsidRPr="00270674">
        <w:t>T</w:t>
      </w:r>
      <w:r w:rsidR="008D3021" w:rsidRPr="00270674">
        <w:t xml:space="preserve">he qualitative data </w:t>
      </w:r>
      <w:r w:rsidR="00D00E34" w:rsidRPr="00270674">
        <w:t>also</w:t>
      </w:r>
      <w:r w:rsidR="008D3021" w:rsidRPr="00270674">
        <w:t xml:space="preserve"> </w:t>
      </w:r>
      <w:r w:rsidR="004A6ABD" w:rsidRPr="00270674">
        <w:t>indicated</w:t>
      </w:r>
      <w:r w:rsidR="008D3021" w:rsidRPr="00270674">
        <w:t xml:space="preserve"> that the Recovery College gave an opportunity for social interaction</w:t>
      </w:r>
      <w:r w:rsidR="00D00E34" w:rsidRPr="00270674">
        <w:t xml:space="preserve"> and development of</w:t>
      </w:r>
      <w:r w:rsidR="00296B1C" w:rsidRPr="00270674">
        <w:t xml:space="preserve"> friendships</w:t>
      </w:r>
      <w:r w:rsidR="008D3021" w:rsidRPr="00270674">
        <w:t xml:space="preserve"> (with staff and other students), </w:t>
      </w:r>
      <w:r w:rsidR="005A3437" w:rsidRPr="00270674">
        <w:t>reduced social isolation</w:t>
      </w:r>
      <w:r w:rsidR="008D3021" w:rsidRPr="00270674">
        <w:t xml:space="preserve">, </w:t>
      </w:r>
      <w:r w:rsidR="004A6ABD" w:rsidRPr="00270674">
        <w:t xml:space="preserve">provided </w:t>
      </w:r>
      <w:r w:rsidR="00296B1C" w:rsidRPr="00270674">
        <w:t>peer support, and a sense of belonging</w:t>
      </w:r>
      <w:r w:rsidR="008D3021" w:rsidRPr="00270674">
        <w:t xml:space="preserve">. </w:t>
      </w:r>
      <w:r w:rsidR="00050963" w:rsidRPr="00270674">
        <w:t>The findings also indicate that the Recovery College facilitated Empowerment, as demonstrated by the significant</w:t>
      </w:r>
      <w:r w:rsidR="004A6ABD" w:rsidRPr="00270674">
        <w:t xml:space="preserve"> improvements</w:t>
      </w:r>
      <w:r w:rsidR="00050963" w:rsidRPr="00270674">
        <w:t xml:space="preserve"> in the </w:t>
      </w:r>
      <w:r w:rsidR="004A6ABD" w:rsidRPr="00270674">
        <w:t>S</w:t>
      </w:r>
      <w:r w:rsidR="00050963" w:rsidRPr="00270674">
        <w:t xml:space="preserve">WEMWBS </w:t>
      </w:r>
      <w:r w:rsidR="00C42127" w:rsidRPr="00270674">
        <w:t>(which includes statements such as “I’ve been dealing with problems well”</w:t>
      </w:r>
      <w:r w:rsidR="004A6ABD" w:rsidRPr="00270674">
        <w:t>),</w:t>
      </w:r>
      <w:r w:rsidR="00C42127" w:rsidRPr="00270674">
        <w:t xml:space="preserve"> </w:t>
      </w:r>
      <w:r w:rsidR="00050963" w:rsidRPr="00270674">
        <w:t>and the qualitative data which indicated increased confidence</w:t>
      </w:r>
      <w:r w:rsidR="004A6ABD" w:rsidRPr="00270674">
        <w:t xml:space="preserve">, </w:t>
      </w:r>
      <w:r w:rsidR="00050963" w:rsidRPr="00270674">
        <w:t xml:space="preserve">motivation, </w:t>
      </w:r>
      <w:r w:rsidR="004A6ABD" w:rsidRPr="00270674">
        <w:t xml:space="preserve">and overall </w:t>
      </w:r>
      <w:r w:rsidR="00050963" w:rsidRPr="00270674">
        <w:t>mental health</w:t>
      </w:r>
      <w:r w:rsidR="004A6ABD" w:rsidRPr="00270674">
        <w:t>.</w:t>
      </w:r>
    </w:p>
    <w:p w14:paraId="0E4565EA" w14:textId="4A52ED52" w:rsidR="00440DB3" w:rsidRPr="00270674" w:rsidRDefault="00A24281" w:rsidP="00440DB3">
      <w:pPr>
        <w:spacing w:line="480" w:lineRule="auto"/>
        <w:ind w:firstLine="720"/>
      </w:pPr>
      <w:r w:rsidRPr="00270674">
        <w:t xml:space="preserve">In addition to numerous mental health and social benefits </w:t>
      </w:r>
      <w:r w:rsidR="00C23B82" w:rsidRPr="00270674">
        <w:t xml:space="preserve">indicated </w:t>
      </w:r>
      <w:r w:rsidRPr="00270674">
        <w:t xml:space="preserve">in the </w:t>
      </w:r>
      <w:r w:rsidR="00BB1983" w:rsidRPr="00270674">
        <w:t>study</w:t>
      </w:r>
      <w:r w:rsidRPr="00270674">
        <w:t xml:space="preserve">, the focus group data </w:t>
      </w:r>
      <w:r w:rsidR="00C1030A" w:rsidRPr="00270674">
        <w:t>identified</w:t>
      </w:r>
      <w:r w:rsidR="007846CF" w:rsidRPr="00270674">
        <w:t xml:space="preserve"> </w:t>
      </w:r>
      <w:r w:rsidR="00270625" w:rsidRPr="00270674">
        <w:t>some</w:t>
      </w:r>
      <w:r w:rsidR="007846CF" w:rsidRPr="00270674">
        <w:t xml:space="preserve"> </w:t>
      </w:r>
      <w:r w:rsidR="00BB1983" w:rsidRPr="00270674">
        <w:t xml:space="preserve">early teething problems around communication and organisation. This was due to the complexity of working collaboratively across multiple organisations, and the latter two focus groups no longer identified communication and organisational concerns indicating that these early teething problems settled down as the college had more time to establish itself. </w:t>
      </w:r>
      <w:r w:rsidR="002A74B4" w:rsidRPr="00270674">
        <w:t>Through the research it is clear that there is a need for standardisation of processes which is particularly important when multiple organisations are involved</w:t>
      </w:r>
      <w:r w:rsidR="00F64013" w:rsidRPr="00270674">
        <w:t xml:space="preserve"> in the running of a Recovery College</w:t>
      </w:r>
      <w:r w:rsidR="002A74B4" w:rsidRPr="00270674">
        <w:t xml:space="preserve">. </w:t>
      </w:r>
      <w:r w:rsidR="00530BAE" w:rsidRPr="00270674">
        <w:t>The South East Essex Recovery College</w:t>
      </w:r>
      <w:r w:rsidR="002A74B4" w:rsidRPr="00270674">
        <w:t xml:space="preserve"> recognise the </w:t>
      </w:r>
      <w:r w:rsidR="002A74B4" w:rsidRPr="00270674">
        <w:lastRenderedPageBreak/>
        <w:t xml:space="preserve">need to standardise the process across the delivery locations which they are </w:t>
      </w:r>
      <w:r w:rsidR="00F64013" w:rsidRPr="00270674">
        <w:t xml:space="preserve">now </w:t>
      </w:r>
      <w:r w:rsidR="002A74B4" w:rsidRPr="00270674">
        <w:t xml:space="preserve">enacting </w:t>
      </w:r>
      <w:r w:rsidR="00530BAE" w:rsidRPr="00270674">
        <w:t>in the form of a</w:t>
      </w:r>
      <w:r w:rsidR="002A74B4" w:rsidRPr="00270674">
        <w:t xml:space="preserve"> REACH operations manual. </w:t>
      </w:r>
      <w:r w:rsidR="00270625" w:rsidRPr="00270674">
        <w:t xml:space="preserve">Additionally, across the focus groups there was a desire for longer courses and follow-up after courses </w:t>
      </w:r>
      <w:r w:rsidR="001B23D6" w:rsidRPr="00270674">
        <w:t xml:space="preserve">had ended which </w:t>
      </w:r>
      <w:r w:rsidR="001B23D6" w:rsidRPr="0053048D">
        <w:t>is an important consideration for futu</w:t>
      </w:r>
      <w:r w:rsidR="009302EA" w:rsidRPr="0053048D">
        <w:t>re running of Recovery Colleges; although it is recognised that financial/resource constraints may impact on the feasibility of this.</w:t>
      </w:r>
      <w:r w:rsidR="002A74B4" w:rsidRPr="00270674">
        <w:t xml:space="preserve"> </w:t>
      </w:r>
    </w:p>
    <w:p w14:paraId="3D49BBD9" w14:textId="70DBB5F6" w:rsidR="00440DB3" w:rsidRPr="00270674" w:rsidRDefault="00BE023E" w:rsidP="00440DB3">
      <w:pPr>
        <w:spacing w:line="480" w:lineRule="auto"/>
        <w:ind w:firstLine="720"/>
      </w:pPr>
      <w:r w:rsidRPr="00270674">
        <w:t>L</w:t>
      </w:r>
      <w:r w:rsidR="004D0421" w:rsidRPr="00270674">
        <w:t xml:space="preserve">imitations of the research need acknowledgement. </w:t>
      </w:r>
      <w:r w:rsidRPr="00270674">
        <w:t>Firstly,</w:t>
      </w:r>
      <w:r w:rsidR="004D0421" w:rsidRPr="00270674">
        <w:t xml:space="preserve"> due to time and funding constraints it was not feasible to include a control group in the quantitative strand. This means that we cannot conclude that the changes in mental wellbeing and social inclusion over time would not have happened simply due to passing of time alone and cannot reliably conclude that the changes happened as a result of Recovery College attendance. Recovery College staff also experienced ch</w:t>
      </w:r>
      <w:r w:rsidR="008C1DF4" w:rsidRPr="00270674">
        <w:t>allenges in recruitment at the three</w:t>
      </w:r>
      <w:r w:rsidR="004D0421" w:rsidRPr="00270674">
        <w:t xml:space="preserve"> month follow-up point meaning that we had a small sample size for th</w:t>
      </w:r>
      <w:r w:rsidRPr="00270674">
        <w:t>is time point which may have meant we did not have sufficient power to detect significant differences at this time point.</w:t>
      </w:r>
      <w:r w:rsidR="00F71C36" w:rsidRPr="00270674">
        <w:t xml:space="preserve"> I</w:t>
      </w:r>
      <w:r w:rsidR="00EA5E73" w:rsidRPr="00270674">
        <w:t xml:space="preserve">t is </w:t>
      </w:r>
      <w:r w:rsidR="00F71C36" w:rsidRPr="00270674">
        <w:t xml:space="preserve">also </w:t>
      </w:r>
      <w:r w:rsidR="00EA5E73" w:rsidRPr="00270674">
        <w:t>acknowledged that in addition to asking participants about their future plans in the questionnaire</w:t>
      </w:r>
      <w:r w:rsidR="00C5666F" w:rsidRPr="00270674">
        <w:t>,</w:t>
      </w:r>
      <w:r w:rsidR="00EA5E73" w:rsidRPr="00270674">
        <w:t xml:space="preserve"> it would have also been valuable to ask about current social participation. </w:t>
      </w:r>
      <w:r w:rsidR="00F71C36" w:rsidRPr="00270674">
        <w:t xml:space="preserve">Finally, it is also worth reflecting on the possibility </w:t>
      </w:r>
      <w:r w:rsidR="009201B4" w:rsidRPr="00270674">
        <w:t>that</w:t>
      </w:r>
      <w:r w:rsidR="00F71C36" w:rsidRPr="00270674">
        <w:t xml:space="preserve"> those participants who self-selected to take part may have represented a group who were particularly in engaged in the college</w:t>
      </w:r>
      <w:r w:rsidR="009201B4" w:rsidRPr="00270674">
        <w:t>.</w:t>
      </w:r>
      <w:r w:rsidR="0090102C" w:rsidRPr="00270674">
        <w:t xml:space="preserve"> </w:t>
      </w:r>
      <w:r w:rsidR="00EA5E73" w:rsidRPr="00270674">
        <w:t>D</w:t>
      </w:r>
      <w:r w:rsidRPr="00270674">
        <w:t>espite these limitations these find</w:t>
      </w:r>
      <w:r w:rsidR="00530BAE" w:rsidRPr="00270674">
        <w:t>ings add to the sparse evidence-</w:t>
      </w:r>
      <w:r w:rsidRPr="00270674">
        <w:t xml:space="preserve">base for the mental wellbeing and social inclusion benefits </w:t>
      </w:r>
      <w:r w:rsidR="00530BAE" w:rsidRPr="00270674">
        <w:t xml:space="preserve">of Recovery Colleges; through </w:t>
      </w:r>
      <w:r w:rsidR="00F64013" w:rsidRPr="00270674">
        <w:t>mixed-</w:t>
      </w:r>
      <w:r w:rsidRPr="00270674">
        <w:t>methods research including the use of validated questionnaire measures at three time points</w:t>
      </w:r>
      <w:r w:rsidR="00BC3920" w:rsidRPr="00270674">
        <w:t xml:space="preserve">: baseline, three month and six month follow-up. </w:t>
      </w:r>
    </w:p>
    <w:p w14:paraId="46A61CBA" w14:textId="730E50DB" w:rsidR="004A25D7" w:rsidRPr="0053048D" w:rsidRDefault="00A24281" w:rsidP="0094456A">
      <w:pPr>
        <w:spacing w:line="480" w:lineRule="auto"/>
        <w:ind w:firstLine="720"/>
      </w:pPr>
      <w:r w:rsidRPr="00270674">
        <w:t xml:space="preserve">In </w:t>
      </w:r>
      <w:r w:rsidR="00270674" w:rsidRPr="0053048D">
        <w:t>summary</w:t>
      </w:r>
      <w:r w:rsidRPr="00270674">
        <w:t xml:space="preserve">, attendance at the South East Essex Recovery College </w:t>
      </w:r>
      <w:r w:rsidR="00530BAE" w:rsidRPr="00270674">
        <w:t>coincides</w:t>
      </w:r>
      <w:r w:rsidRPr="00270674">
        <w:t xml:space="preserve"> with significant improvements to mental wellbeing and social inclusion, with </w:t>
      </w:r>
      <w:r w:rsidRPr="00270674">
        <w:lastRenderedPageBreak/>
        <w:t xml:space="preserve">attenders </w:t>
      </w:r>
      <w:r w:rsidRPr="0053048D">
        <w:t xml:space="preserve">enjoying their courses and making future plans as a result of attending (such as volunteering or obtaining paid employment). </w:t>
      </w:r>
      <w:r w:rsidR="0076428C" w:rsidRPr="0053048D">
        <w:t xml:space="preserve">This fits well with UK Governmental policies (e.g. </w:t>
      </w:r>
      <w:r w:rsidR="004E54F3" w:rsidRPr="0053048D">
        <w:t>DH, 2011</w:t>
      </w:r>
      <w:r w:rsidR="006234C6" w:rsidRPr="0053048D">
        <w:t xml:space="preserve">; </w:t>
      </w:r>
      <w:r w:rsidR="001915DD" w:rsidRPr="0053048D">
        <w:t xml:space="preserve">Independent </w:t>
      </w:r>
      <w:r w:rsidR="006234C6" w:rsidRPr="0053048D">
        <w:t>Mental Health Task Force, 2016</w:t>
      </w:r>
      <w:r w:rsidR="004E54F3" w:rsidRPr="0053048D">
        <w:t>)</w:t>
      </w:r>
      <w:r w:rsidR="0076428C" w:rsidRPr="0053048D">
        <w:t xml:space="preserve"> where the importance of recovery</w:t>
      </w:r>
      <w:r w:rsidR="004E54F3" w:rsidRPr="0053048D">
        <w:t xml:space="preserve"> </w:t>
      </w:r>
      <w:r w:rsidR="0094456A" w:rsidRPr="0053048D">
        <w:t>(</w:t>
      </w:r>
      <w:r w:rsidR="006234C6" w:rsidRPr="0053048D">
        <w:t xml:space="preserve">and </w:t>
      </w:r>
      <w:r w:rsidR="004E54F3" w:rsidRPr="0053048D">
        <w:t>r</w:t>
      </w:r>
      <w:r w:rsidR="006234C6" w:rsidRPr="0053048D">
        <w:t xml:space="preserve">ecovery-focused </w:t>
      </w:r>
      <w:r w:rsidR="004E54F3" w:rsidRPr="0053048D">
        <w:t>community-based care</w:t>
      </w:r>
      <w:r w:rsidR="0094456A" w:rsidRPr="0053048D">
        <w:t>)</w:t>
      </w:r>
      <w:r w:rsidR="006234C6" w:rsidRPr="0053048D">
        <w:t xml:space="preserve"> </w:t>
      </w:r>
      <w:r w:rsidR="0094456A" w:rsidRPr="0053048D">
        <w:t>is emphasised</w:t>
      </w:r>
      <w:r w:rsidR="006234C6" w:rsidRPr="0053048D">
        <w:t>. These policies emphasise the need for</w:t>
      </w:r>
      <w:r w:rsidR="0076428C" w:rsidRPr="0053048D">
        <w:t xml:space="preserve"> improving people’s quality of life, ability to self-manage, social relationships, skills needed for living and working, and improved </w:t>
      </w:r>
      <w:r w:rsidR="004E54F3" w:rsidRPr="0053048D">
        <w:t>opportunities for</w:t>
      </w:r>
      <w:r w:rsidR="0076428C" w:rsidRPr="0053048D">
        <w:t xml:space="preserve"> education and employment</w:t>
      </w:r>
      <w:r w:rsidR="0094456A" w:rsidRPr="0053048D">
        <w:t>:</w:t>
      </w:r>
      <w:r w:rsidR="006234C6" w:rsidRPr="0053048D">
        <w:t xml:space="preserve"> all of which </w:t>
      </w:r>
      <w:r w:rsidR="00CA55C5" w:rsidRPr="0053048D">
        <w:t>are addressed</w:t>
      </w:r>
      <w:r w:rsidR="006234C6" w:rsidRPr="0053048D">
        <w:t xml:space="preserve"> with</w:t>
      </w:r>
      <w:r w:rsidR="00CA55C5" w:rsidRPr="0053048D">
        <w:t>in</w:t>
      </w:r>
      <w:r w:rsidR="006234C6" w:rsidRPr="0053048D">
        <w:t xml:space="preserve"> the Recovery College framework.</w:t>
      </w:r>
      <w:r w:rsidR="004E54F3" w:rsidRPr="0053048D">
        <w:t xml:space="preserve"> </w:t>
      </w:r>
      <w:r w:rsidR="002A74B4" w:rsidRPr="0053048D">
        <w:t>The Recovery College is still in its early stages and needs long-term investment to make it work</w:t>
      </w:r>
      <w:r w:rsidR="002A74B4" w:rsidRPr="00270674">
        <w:t xml:space="preserve"> and provide stability for students. </w:t>
      </w:r>
      <w:r w:rsidR="00BE023E" w:rsidRPr="00270674">
        <w:t xml:space="preserve">Funders should continue to invest in the Recovery College movement as the growing </w:t>
      </w:r>
      <w:r w:rsidR="00BE023E" w:rsidRPr="0053048D">
        <w:t xml:space="preserve">evidence-base is demonstrating how these colleges can help address the </w:t>
      </w:r>
      <w:r w:rsidR="00F914A1" w:rsidRPr="0053048D">
        <w:t>high</w:t>
      </w:r>
      <w:r w:rsidR="00712328" w:rsidRPr="0053048D">
        <w:t xml:space="preserve"> </w:t>
      </w:r>
      <w:r w:rsidR="00BE023E" w:rsidRPr="0053048D">
        <w:t>prevalence of mental health difficultie</w:t>
      </w:r>
      <w:r w:rsidR="008C20F3" w:rsidRPr="0053048D">
        <w:t>s, by promoting mental</w:t>
      </w:r>
      <w:r w:rsidR="007346BF" w:rsidRPr="0053048D">
        <w:t xml:space="preserve"> wellbeing and social inclusion and fulfilling governmental recommendations</w:t>
      </w:r>
      <w:r w:rsidR="0094456A" w:rsidRPr="0053048D">
        <w:t xml:space="preserve"> for mental health promotion</w:t>
      </w:r>
      <w:r w:rsidR="007346BF" w:rsidRPr="0053048D">
        <w:t>.</w:t>
      </w:r>
    </w:p>
    <w:p w14:paraId="6DA8F1FF" w14:textId="77777777" w:rsidR="004A25D7" w:rsidRPr="00270674" w:rsidRDefault="004A25D7" w:rsidP="00187D61">
      <w:pPr>
        <w:spacing w:line="480" w:lineRule="auto"/>
        <w:rPr>
          <w:b/>
        </w:rPr>
      </w:pPr>
    </w:p>
    <w:p w14:paraId="355BAF19" w14:textId="77777777" w:rsidR="00C1030A" w:rsidRPr="00270674" w:rsidRDefault="00C1030A" w:rsidP="00187D61">
      <w:pPr>
        <w:spacing w:line="480" w:lineRule="auto"/>
        <w:rPr>
          <w:b/>
        </w:rPr>
      </w:pPr>
    </w:p>
    <w:p w14:paraId="19592076" w14:textId="77777777" w:rsidR="00C1030A" w:rsidRPr="00270674" w:rsidRDefault="00C1030A" w:rsidP="00187D61">
      <w:pPr>
        <w:spacing w:line="480" w:lineRule="auto"/>
        <w:rPr>
          <w:b/>
        </w:rPr>
      </w:pPr>
    </w:p>
    <w:p w14:paraId="6E6217EA" w14:textId="20178193" w:rsidR="00C35100" w:rsidRDefault="00C35100" w:rsidP="00187D61">
      <w:pPr>
        <w:spacing w:line="480" w:lineRule="auto"/>
        <w:rPr>
          <w:b/>
        </w:rPr>
      </w:pPr>
    </w:p>
    <w:p w14:paraId="40D2B673" w14:textId="350AD806" w:rsidR="00F7316E" w:rsidRDefault="00F7316E" w:rsidP="00187D61">
      <w:pPr>
        <w:spacing w:line="480" w:lineRule="auto"/>
        <w:rPr>
          <w:b/>
        </w:rPr>
      </w:pPr>
    </w:p>
    <w:p w14:paraId="7C0E3C70" w14:textId="0C6D21E3" w:rsidR="00F7316E" w:rsidRDefault="00F7316E" w:rsidP="00187D61">
      <w:pPr>
        <w:spacing w:line="480" w:lineRule="auto"/>
        <w:rPr>
          <w:b/>
        </w:rPr>
      </w:pPr>
    </w:p>
    <w:p w14:paraId="51B9BF21" w14:textId="68BFE92C" w:rsidR="00F7316E" w:rsidRDefault="00F7316E" w:rsidP="00187D61">
      <w:pPr>
        <w:spacing w:line="480" w:lineRule="auto"/>
        <w:rPr>
          <w:b/>
        </w:rPr>
      </w:pPr>
    </w:p>
    <w:p w14:paraId="256137A5" w14:textId="06304DAF" w:rsidR="00F7316E" w:rsidRDefault="00F7316E" w:rsidP="00187D61">
      <w:pPr>
        <w:spacing w:line="480" w:lineRule="auto"/>
        <w:rPr>
          <w:b/>
        </w:rPr>
      </w:pPr>
    </w:p>
    <w:p w14:paraId="0620DAD1" w14:textId="0EA9F3CE" w:rsidR="00F7316E" w:rsidRDefault="00F7316E" w:rsidP="00187D61">
      <w:pPr>
        <w:spacing w:line="480" w:lineRule="auto"/>
        <w:rPr>
          <w:b/>
        </w:rPr>
      </w:pPr>
    </w:p>
    <w:p w14:paraId="5FD3F5C8" w14:textId="25100726" w:rsidR="00911AF6" w:rsidRPr="00270674" w:rsidRDefault="00911AF6" w:rsidP="00187D61">
      <w:pPr>
        <w:spacing w:line="480" w:lineRule="auto"/>
        <w:rPr>
          <w:b/>
        </w:rPr>
      </w:pPr>
    </w:p>
    <w:p w14:paraId="6BEA1E8D" w14:textId="2470694D" w:rsidR="0088578C" w:rsidRPr="00270674" w:rsidRDefault="0088578C" w:rsidP="00187D61">
      <w:pPr>
        <w:spacing w:line="480" w:lineRule="auto"/>
        <w:rPr>
          <w:b/>
        </w:rPr>
      </w:pPr>
    </w:p>
    <w:p w14:paraId="07846FA4" w14:textId="77777777" w:rsidR="0088578C" w:rsidRPr="00270674" w:rsidRDefault="0088578C" w:rsidP="00187D61">
      <w:pPr>
        <w:spacing w:line="480" w:lineRule="auto"/>
        <w:rPr>
          <w:b/>
        </w:rPr>
      </w:pPr>
    </w:p>
    <w:p w14:paraId="443C6EAF" w14:textId="77777777" w:rsidR="0001142C" w:rsidRPr="00270674" w:rsidRDefault="00A10FCB" w:rsidP="00012665">
      <w:pPr>
        <w:spacing w:line="480" w:lineRule="auto"/>
        <w:jc w:val="center"/>
        <w:rPr>
          <w:b/>
        </w:rPr>
      </w:pPr>
      <w:r w:rsidRPr="00270674">
        <w:rPr>
          <w:b/>
        </w:rPr>
        <w:lastRenderedPageBreak/>
        <w:t>References</w:t>
      </w:r>
    </w:p>
    <w:p w14:paraId="38A9BF2D" w14:textId="55C78815" w:rsidR="00EB4450" w:rsidRPr="00270674" w:rsidRDefault="00EB4450" w:rsidP="00A42FCD">
      <w:pPr>
        <w:spacing w:line="480" w:lineRule="auto"/>
        <w:ind w:left="720" w:hanging="720"/>
      </w:pPr>
      <w:proofErr w:type="spellStart"/>
      <w:r w:rsidRPr="00270674">
        <w:t>Anfossi</w:t>
      </w:r>
      <w:proofErr w:type="spellEnd"/>
      <w:r w:rsidRPr="00270674">
        <w:t xml:space="preserve">, A. (2017). </w:t>
      </w:r>
      <w:r w:rsidRPr="00270674">
        <w:rPr>
          <w:i/>
        </w:rPr>
        <w:t>The current state of Recovery Colleges in the UK: final report</w:t>
      </w:r>
      <w:r w:rsidRPr="00270674">
        <w:t>. Nottingham: ImROC.</w:t>
      </w:r>
    </w:p>
    <w:p w14:paraId="2A56EEC6" w14:textId="1471D637" w:rsidR="00A42FCD" w:rsidRPr="00270674" w:rsidRDefault="00A42FCD" w:rsidP="00A42FCD">
      <w:pPr>
        <w:spacing w:line="480" w:lineRule="auto"/>
        <w:ind w:left="720" w:hanging="720"/>
      </w:pPr>
      <w:r w:rsidRPr="00270674">
        <w:t xml:space="preserve">Bartram, D. J., </w:t>
      </w:r>
      <w:proofErr w:type="spellStart"/>
      <w:r w:rsidRPr="00270674">
        <w:t>Yadegarfer</w:t>
      </w:r>
      <w:proofErr w:type="spellEnd"/>
      <w:r w:rsidRPr="00270674">
        <w:t xml:space="preserve">, G., Sinclair, J. M. A., &amp; Baldwin, D. S. (2011). Validation of the Warwick-Edinburgh Mental Well-being Scale (WEMWBS) as an overall indicator of population mental health and well-being in the UK veterinary profession. </w:t>
      </w:r>
      <w:r w:rsidRPr="00270674">
        <w:rPr>
          <w:i/>
          <w:iCs/>
        </w:rPr>
        <w:t>The Veterinary Journal, 187</w:t>
      </w:r>
      <w:r w:rsidRPr="00270674">
        <w:t xml:space="preserve">, 397–398. </w:t>
      </w:r>
      <w:proofErr w:type="spellStart"/>
      <w:proofErr w:type="gramStart"/>
      <w:r w:rsidR="00796C70" w:rsidRPr="00270674">
        <w:t>doi</w:t>
      </w:r>
      <w:proofErr w:type="spellEnd"/>
      <w:proofErr w:type="gramEnd"/>
      <w:r w:rsidR="00796C70" w:rsidRPr="00270674">
        <w:t>: 10.1016/j.tvjl.2010.02.010.</w:t>
      </w:r>
    </w:p>
    <w:p w14:paraId="5D6F0105" w14:textId="7D60EB2D" w:rsidR="00A10FCB" w:rsidRPr="00270674" w:rsidRDefault="00A42FCD" w:rsidP="00A42FCD">
      <w:pPr>
        <w:spacing w:line="480" w:lineRule="auto"/>
        <w:ind w:left="720" w:hanging="720"/>
      </w:pPr>
      <w:r w:rsidRPr="00270674">
        <w:t xml:space="preserve">Clarke, A., </w:t>
      </w:r>
      <w:proofErr w:type="spellStart"/>
      <w:r w:rsidRPr="00270674">
        <w:t>Friede</w:t>
      </w:r>
      <w:proofErr w:type="spellEnd"/>
      <w:r w:rsidRPr="00270674">
        <w:t xml:space="preserve">, T., </w:t>
      </w:r>
      <w:proofErr w:type="spellStart"/>
      <w:r w:rsidRPr="00270674">
        <w:t>Putz</w:t>
      </w:r>
      <w:proofErr w:type="spellEnd"/>
      <w:r w:rsidRPr="00270674">
        <w:t>, R., Ashdown, J., Martin, S., Blake, A</w:t>
      </w:r>
      <w:proofErr w:type="gramStart"/>
      <w:r w:rsidRPr="00270674">
        <w:t>., …</w:t>
      </w:r>
      <w:proofErr w:type="gramEnd"/>
      <w:r w:rsidRPr="00270674">
        <w:t xml:space="preserve"> Stewart-Brown, S. (2011). Warwick-Edinburgh Mental Well-being Scale (WEMWBS): Validated for teenage school students in England and Scotland. A mixed methods assessment. </w:t>
      </w:r>
      <w:r w:rsidRPr="00270674">
        <w:rPr>
          <w:i/>
          <w:iCs/>
        </w:rPr>
        <w:t>BMC Public Health, 11</w:t>
      </w:r>
      <w:r w:rsidRPr="00270674">
        <w:t xml:space="preserve">, 487–495. </w:t>
      </w:r>
      <w:hyperlink r:id="rId9" w:history="1">
        <w:r w:rsidR="00796C70" w:rsidRPr="00270674">
          <w:rPr>
            <w:rStyle w:val="Hyperlink"/>
          </w:rPr>
          <w:t>https://doi.org/10.1186/1471-2458-11-487</w:t>
        </w:r>
      </w:hyperlink>
      <w:r w:rsidR="00796C70" w:rsidRPr="00270674">
        <w:t xml:space="preserve">. </w:t>
      </w:r>
    </w:p>
    <w:p w14:paraId="0A2B0A86" w14:textId="15425137" w:rsidR="00194090" w:rsidRPr="00270674" w:rsidRDefault="00194090" w:rsidP="00194090">
      <w:pPr>
        <w:spacing w:line="480" w:lineRule="auto"/>
        <w:ind w:left="720" w:hanging="720"/>
      </w:pPr>
      <w:r w:rsidRPr="00270674">
        <w:t xml:space="preserve">Bourne, P., </w:t>
      </w:r>
      <w:proofErr w:type="spellStart"/>
      <w:r w:rsidRPr="00270674">
        <w:t>Meddings</w:t>
      </w:r>
      <w:proofErr w:type="spellEnd"/>
      <w:r w:rsidRPr="00270674">
        <w:t xml:space="preserve">, S. &amp; Whittington, A. (2018). An evaluation of service use outcomes in a Recovery College. </w:t>
      </w:r>
      <w:r w:rsidRPr="00270674">
        <w:rPr>
          <w:i/>
        </w:rPr>
        <w:t>Journal of Mental Health, 27</w:t>
      </w:r>
      <w:r w:rsidRPr="00270674">
        <w:t xml:space="preserve">, 359-366. </w:t>
      </w:r>
      <w:proofErr w:type="spellStart"/>
      <w:proofErr w:type="gramStart"/>
      <w:r w:rsidRPr="00270674">
        <w:t>doi</w:t>
      </w:r>
      <w:proofErr w:type="spellEnd"/>
      <w:proofErr w:type="gramEnd"/>
      <w:r w:rsidRPr="00270674">
        <w:t>: 10.1080/09638237.2017.1417557</w:t>
      </w:r>
    </w:p>
    <w:p w14:paraId="31AE23F6" w14:textId="0A53D47A" w:rsidR="004A25D7" w:rsidRPr="0053048D" w:rsidRDefault="004A25D7" w:rsidP="00CC4BF7">
      <w:pPr>
        <w:spacing w:line="480" w:lineRule="auto"/>
        <w:ind w:left="720" w:hanging="720"/>
      </w:pPr>
      <w:r w:rsidRPr="0053048D">
        <w:t>Braun, V.</w:t>
      </w:r>
      <w:r w:rsidR="00D940E3" w:rsidRPr="0053048D">
        <w:t>,</w:t>
      </w:r>
      <w:r w:rsidRPr="0053048D">
        <w:t xml:space="preserve"> &amp; Clark, V. (2006)</w:t>
      </w:r>
      <w:r w:rsidR="00D940E3" w:rsidRPr="0053048D">
        <w:t>.</w:t>
      </w:r>
      <w:r w:rsidRPr="0053048D">
        <w:t xml:space="preserve"> Using thematic analysis in psychology. </w:t>
      </w:r>
      <w:r w:rsidRPr="0053048D">
        <w:rPr>
          <w:i/>
          <w:iCs/>
        </w:rPr>
        <w:t>Qualitative Research in Psychology</w:t>
      </w:r>
      <w:r w:rsidRPr="0053048D">
        <w:t xml:space="preserve">, </w:t>
      </w:r>
      <w:r w:rsidRPr="0053048D">
        <w:rPr>
          <w:i/>
        </w:rPr>
        <w:t>3</w:t>
      </w:r>
      <w:r w:rsidRPr="0053048D">
        <w:t>, 77-101.</w:t>
      </w:r>
      <w:r w:rsidR="00796C70" w:rsidRPr="0053048D">
        <w:t xml:space="preserve"> </w:t>
      </w:r>
      <w:hyperlink r:id="rId10" w:history="1">
        <w:r w:rsidR="00796C70" w:rsidRPr="0053048D">
          <w:rPr>
            <w:rStyle w:val="Hyperlink"/>
          </w:rPr>
          <w:t>https://doi.org/10.1191/1478088706qp063oa</w:t>
        </w:r>
      </w:hyperlink>
      <w:r w:rsidR="00796C70" w:rsidRPr="0053048D">
        <w:t xml:space="preserve">. </w:t>
      </w:r>
    </w:p>
    <w:p w14:paraId="4D0B0484" w14:textId="2F81450D" w:rsidR="00A736F9" w:rsidRPr="00270674" w:rsidRDefault="00A736F9" w:rsidP="00A736F9">
      <w:pPr>
        <w:spacing w:line="480" w:lineRule="auto"/>
        <w:ind w:left="720" w:hanging="720"/>
      </w:pPr>
      <w:proofErr w:type="spellStart"/>
      <w:r w:rsidRPr="0053048D">
        <w:t>Bryman</w:t>
      </w:r>
      <w:proofErr w:type="spellEnd"/>
      <w:r w:rsidRPr="0053048D">
        <w:t xml:space="preserve">, A. (2006). Integrating quantitative and qualitative research: how is it done? </w:t>
      </w:r>
      <w:r w:rsidRPr="0053048D">
        <w:rPr>
          <w:i/>
          <w:iCs/>
        </w:rPr>
        <w:t>Qualitative Research</w:t>
      </w:r>
      <w:r w:rsidRPr="0053048D">
        <w:t xml:space="preserve">, </w:t>
      </w:r>
      <w:r w:rsidRPr="0053048D">
        <w:rPr>
          <w:i/>
          <w:iCs/>
        </w:rPr>
        <w:t>6</w:t>
      </w:r>
      <w:r w:rsidRPr="0053048D">
        <w:t xml:space="preserve">(1), 97–113. </w:t>
      </w:r>
      <w:hyperlink r:id="rId11" w:history="1">
        <w:r w:rsidRPr="0053048D">
          <w:rPr>
            <w:rStyle w:val="Hyperlink"/>
          </w:rPr>
          <w:t>https://doi.org/10.1177/1468794106058877</w:t>
        </w:r>
      </w:hyperlink>
    </w:p>
    <w:p w14:paraId="5207484A" w14:textId="7BA68ADD" w:rsidR="005A6324" w:rsidRPr="00270674" w:rsidRDefault="005A6324" w:rsidP="005A6324">
      <w:pPr>
        <w:spacing w:line="480" w:lineRule="auto"/>
        <w:ind w:left="720" w:hanging="720"/>
        <w:rPr>
          <w:i/>
          <w:iCs/>
          <w:lang w:val="en"/>
        </w:rPr>
      </w:pPr>
      <w:r w:rsidRPr="00270674">
        <w:rPr>
          <w:lang w:val="en"/>
        </w:rPr>
        <w:t>Central and North West London NHS Foundation Trust</w:t>
      </w:r>
      <w:r w:rsidR="00D940E3" w:rsidRPr="00270674">
        <w:rPr>
          <w:lang w:val="en"/>
        </w:rPr>
        <w:t>.</w:t>
      </w:r>
      <w:r w:rsidRPr="00270674">
        <w:rPr>
          <w:lang w:val="en"/>
        </w:rPr>
        <w:t xml:space="preserve"> (2015)</w:t>
      </w:r>
      <w:r w:rsidR="00D940E3" w:rsidRPr="00270674">
        <w:rPr>
          <w:lang w:val="en"/>
        </w:rPr>
        <w:t>.</w:t>
      </w:r>
      <w:r w:rsidRPr="00270674">
        <w:rPr>
          <w:lang w:val="en"/>
        </w:rPr>
        <w:t> </w:t>
      </w:r>
      <w:r w:rsidRPr="00270674">
        <w:rPr>
          <w:i/>
          <w:iCs/>
          <w:lang w:val="en"/>
        </w:rPr>
        <w:t>CNWL Recovery &amp; Wellbeing College Annual Report April 2014 - July 2015.</w:t>
      </w:r>
    </w:p>
    <w:p w14:paraId="00A66AEA" w14:textId="168E861C" w:rsidR="004A25D7" w:rsidRPr="00270674" w:rsidRDefault="00642C5D" w:rsidP="00CC4BF7">
      <w:pPr>
        <w:spacing w:line="480" w:lineRule="auto"/>
        <w:ind w:left="720" w:hanging="720"/>
      </w:pPr>
      <w:r w:rsidRPr="00270674">
        <w:lastRenderedPageBreak/>
        <w:t xml:space="preserve">Centre for Economic Performance. (2012). </w:t>
      </w:r>
      <w:r w:rsidR="00D940E3" w:rsidRPr="00270674">
        <w:rPr>
          <w:i/>
        </w:rPr>
        <w:t>How Mental Illness Loses Out i</w:t>
      </w:r>
      <w:r w:rsidRPr="00270674">
        <w:rPr>
          <w:i/>
        </w:rPr>
        <w:t>n the NHS</w:t>
      </w:r>
      <w:r w:rsidRPr="00270674">
        <w:t>. London: Centre for Economic Performance.</w:t>
      </w:r>
    </w:p>
    <w:p w14:paraId="67DAAF15" w14:textId="08F53218" w:rsidR="00642C5D" w:rsidRPr="0053048D" w:rsidRDefault="00251F2F" w:rsidP="00CC4BF7">
      <w:pPr>
        <w:spacing w:line="480" w:lineRule="auto"/>
        <w:ind w:left="720" w:hanging="720"/>
      </w:pPr>
      <w:r w:rsidRPr="00270674">
        <w:t xml:space="preserve">Centre </w:t>
      </w:r>
      <w:r w:rsidRPr="0053048D">
        <w:t xml:space="preserve">for Mental Health. (2010). </w:t>
      </w:r>
      <w:proofErr w:type="gramStart"/>
      <w:r w:rsidRPr="0053048D">
        <w:rPr>
          <w:i/>
        </w:rPr>
        <w:t>The</w:t>
      </w:r>
      <w:proofErr w:type="gramEnd"/>
      <w:r w:rsidRPr="0053048D">
        <w:rPr>
          <w:i/>
        </w:rPr>
        <w:t xml:space="preserve"> economic and social costs of mental health problems in 2009/10.</w:t>
      </w:r>
      <w:r w:rsidRPr="0053048D">
        <w:t xml:space="preserve"> London: Centre for Mental Health. </w:t>
      </w:r>
    </w:p>
    <w:p w14:paraId="418F6E1A" w14:textId="28217DD5" w:rsidR="001915DD" w:rsidRPr="00F7316E" w:rsidRDefault="001915DD" w:rsidP="00F7316E">
      <w:pPr>
        <w:spacing w:line="480" w:lineRule="auto"/>
        <w:ind w:left="720" w:hanging="720"/>
        <w:rPr>
          <w:bCs/>
        </w:rPr>
      </w:pPr>
      <w:r w:rsidRPr="0053048D">
        <w:t xml:space="preserve">Department of Health. (2011). </w:t>
      </w:r>
      <w:r w:rsidRPr="0053048D">
        <w:rPr>
          <w:bCs/>
          <w:i/>
        </w:rPr>
        <w:t>No Health without Mental Health: A Cross-Government Mental Health Outcomes Strategy for People of all Ages</w:t>
      </w:r>
      <w:r w:rsidRPr="0053048D">
        <w:t>. London: Department of Health.</w:t>
      </w:r>
      <w:r w:rsidRPr="001915DD">
        <w:rPr>
          <w:bCs/>
        </w:rPr>
        <w:t xml:space="preserve"> </w:t>
      </w:r>
    </w:p>
    <w:p w14:paraId="42F08BFE" w14:textId="15FE54DA" w:rsidR="00A42FCD" w:rsidRPr="00270674" w:rsidRDefault="00A42FCD" w:rsidP="00A42FCD">
      <w:pPr>
        <w:spacing w:line="480" w:lineRule="auto"/>
        <w:ind w:left="720" w:hanging="720"/>
        <w:rPr>
          <w:lang w:val="en"/>
        </w:rPr>
      </w:pPr>
      <w:r w:rsidRPr="00270674">
        <w:rPr>
          <w:lang w:val="en"/>
        </w:rPr>
        <w:t>Hall</w:t>
      </w:r>
      <w:r w:rsidR="00D940E3" w:rsidRPr="00270674">
        <w:rPr>
          <w:lang w:val="en"/>
        </w:rPr>
        <w:t>,</w:t>
      </w:r>
      <w:r w:rsidRPr="00270674">
        <w:rPr>
          <w:lang w:val="en"/>
        </w:rPr>
        <w:t xml:space="preserve"> T</w:t>
      </w:r>
      <w:r w:rsidR="00D940E3" w:rsidRPr="00270674">
        <w:rPr>
          <w:lang w:val="en"/>
        </w:rPr>
        <w:t>.</w:t>
      </w:r>
      <w:r w:rsidRPr="00270674">
        <w:rPr>
          <w:lang w:val="en"/>
        </w:rPr>
        <w:t xml:space="preserve">, </w:t>
      </w:r>
      <w:proofErr w:type="spellStart"/>
      <w:r w:rsidRPr="00270674">
        <w:rPr>
          <w:lang w:val="en"/>
        </w:rPr>
        <w:t>Brophy</w:t>
      </w:r>
      <w:proofErr w:type="spellEnd"/>
      <w:r w:rsidR="00D940E3" w:rsidRPr="00270674">
        <w:rPr>
          <w:lang w:val="en"/>
        </w:rPr>
        <w:t>,</w:t>
      </w:r>
      <w:r w:rsidRPr="00270674">
        <w:rPr>
          <w:lang w:val="en"/>
        </w:rPr>
        <w:t xml:space="preserve"> L</w:t>
      </w:r>
      <w:r w:rsidR="00D940E3" w:rsidRPr="00270674">
        <w:rPr>
          <w:lang w:val="en"/>
        </w:rPr>
        <w:t>.</w:t>
      </w:r>
      <w:r w:rsidRPr="00270674">
        <w:rPr>
          <w:lang w:val="en"/>
        </w:rPr>
        <w:t>,</w:t>
      </w:r>
      <w:r w:rsidR="00D940E3" w:rsidRPr="00270674">
        <w:rPr>
          <w:lang w:val="en"/>
        </w:rPr>
        <w:t xml:space="preserve"> &amp;</w:t>
      </w:r>
      <w:r w:rsidRPr="00270674">
        <w:rPr>
          <w:lang w:val="en"/>
        </w:rPr>
        <w:t xml:space="preserve"> Jordan</w:t>
      </w:r>
      <w:r w:rsidR="00D940E3" w:rsidRPr="00270674">
        <w:rPr>
          <w:lang w:val="en"/>
        </w:rPr>
        <w:t>,</w:t>
      </w:r>
      <w:r w:rsidRPr="00270674">
        <w:rPr>
          <w:lang w:val="en"/>
        </w:rPr>
        <w:t xml:space="preserve"> H</w:t>
      </w:r>
      <w:r w:rsidR="00D940E3" w:rsidRPr="00270674">
        <w:rPr>
          <w:lang w:val="en"/>
        </w:rPr>
        <w:t>.</w:t>
      </w:r>
      <w:r w:rsidRPr="00270674">
        <w:rPr>
          <w:lang w:val="en"/>
        </w:rPr>
        <w:t xml:space="preserve"> (2016)</w:t>
      </w:r>
      <w:r w:rsidR="00D940E3" w:rsidRPr="00270674">
        <w:rPr>
          <w:lang w:val="en"/>
        </w:rPr>
        <w:t>.</w:t>
      </w:r>
      <w:r w:rsidRPr="00270674">
        <w:rPr>
          <w:lang w:val="en"/>
        </w:rPr>
        <w:t> </w:t>
      </w:r>
      <w:r w:rsidRPr="00270674">
        <w:rPr>
          <w:i/>
          <w:iCs/>
          <w:lang w:val="en"/>
        </w:rPr>
        <w:t>A report on the early outcomes of the Mind Recovery College</w:t>
      </w:r>
      <w:r w:rsidR="00DB3F35" w:rsidRPr="00270674">
        <w:rPr>
          <w:i/>
          <w:iCs/>
          <w:lang w:val="en"/>
        </w:rPr>
        <w:t>.</w:t>
      </w:r>
      <w:r w:rsidRPr="00270674">
        <w:rPr>
          <w:lang w:val="en"/>
        </w:rPr>
        <w:t> The University of Melbourne, Centre for Mental Health.</w:t>
      </w:r>
    </w:p>
    <w:p w14:paraId="5909F1F5" w14:textId="2873AA08" w:rsidR="00D76969" w:rsidRPr="0053048D" w:rsidRDefault="00D76969" w:rsidP="00796C70">
      <w:pPr>
        <w:spacing w:line="480" w:lineRule="auto"/>
        <w:ind w:left="720" w:hanging="720"/>
      </w:pPr>
      <w:r w:rsidRPr="00270674">
        <w:rPr>
          <w:lang w:val="en"/>
        </w:rPr>
        <w:t xml:space="preserve">Hall, T., Jordan, H., Lennart, R., Belmore, S., Hardy, D., Thompson, H., &amp; </w:t>
      </w:r>
      <w:proofErr w:type="spellStart"/>
      <w:r w:rsidRPr="00270674">
        <w:rPr>
          <w:lang w:val="en"/>
        </w:rPr>
        <w:t>Brophy</w:t>
      </w:r>
      <w:proofErr w:type="spellEnd"/>
      <w:r w:rsidRPr="00270674">
        <w:rPr>
          <w:lang w:val="en"/>
        </w:rPr>
        <w:t>, L. (</w:t>
      </w:r>
      <w:r w:rsidRPr="0053048D">
        <w:rPr>
          <w:lang w:val="en"/>
        </w:rPr>
        <w:t xml:space="preserve">2018). A Process and Intermediate Outcomes Evaluation of an Australian Recovery College. </w:t>
      </w:r>
      <w:r w:rsidRPr="0053048D">
        <w:rPr>
          <w:i/>
        </w:rPr>
        <w:t>Journal of Recovery in Mental Health, 1</w:t>
      </w:r>
      <w:r w:rsidRPr="0053048D">
        <w:t>(3), 7-20.</w:t>
      </w:r>
    </w:p>
    <w:p w14:paraId="5C764DF4" w14:textId="40DD3CA3" w:rsidR="001915DD" w:rsidRPr="001915DD" w:rsidRDefault="001915DD" w:rsidP="001915DD">
      <w:pPr>
        <w:spacing w:line="480" w:lineRule="auto"/>
        <w:ind w:left="720" w:hanging="720"/>
      </w:pPr>
      <w:r w:rsidRPr="0053048D">
        <w:t xml:space="preserve">Independent Mental Health Taskforce to the NHS in England. (2016). </w:t>
      </w:r>
      <w:proofErr w:type="gramStart"/>
      <w:r w:rsidRPr="0053048D">
        <w:rPr>
          <w:i/>
        </w:rPr>
        <w:t>The</w:t>
      </w:r>
      <w:proofErr w:type="gramEnd"/>
      <w:r w:rsidRPr="0053048D">
        <w:rPr>
          <w:i/>
        </w:rPr>
        <w:t xml:space="preserve"> Five Year Forward View for Mental Health. </w:t>
      </w:r>
      <w:r w:rsidRPr="0053048D">
        <w:t xml:space="preserve">Available at: </w:t>
      </w:r>
      <w:hyperlink r:id="rId12" w:history="1">
        <w:r w:rsidRPr="0053048D">
          <w:rPr>
            <w:rStyle w:val="Hyperlink"/>
          </w:rPr>
          <w:t>https://www.england.nhs.uk/wp-content/uploads/2016/02/Mental-Health-Taskforce-FYFV-final.pdf</w:t>
        </w:r>
      </w:hyperlink>
      <w:r>
        <w:t xml:space="preserve"> </w:t>
      </w:r>
    </w:p>
    <w:p w14:paraId="784ECC6B" w14:textId="2465478A" w:rsidR="008D2039" w:rsidRPr="00270674" w:rsidRDefault="008D2039" w:rsidP="008D2039">
      <w:pPr>
        <w:spacing w:line="480" w:lineRule="auto"/>
        <w:ind w:left="720" w:hanging="720"/>
      </w:pPr>
      <w:proofErr w:type="spellStart"/>
      <w:r w:rsidRPr="00270674">
        <w:t>Leamy</w:t>
      </w:r>
      <w:proofErr w:type="spellEnd"/>
      <w:r w:rsidRPr="00270674">
        <w:t xml:space="preserve">, M., Bird, V., Le </w:t>
      </w:r>
      <w:proofErr w:type="spellStart"/>
      <w:r w:rsidRPr="00270674">
        <w:t>Boutillier</w:t>
      </w:r>
      <w:proofErr w:type="spellEnd"/>
      <w:r w:rsidRPr="00270674">
        <w:t xml:space="preserve">, C., Williams, J. &amp; Slade, </w:t>
      </w:r>
      <w:proofErr w:type="gramStart"/>
      <w:r w:rsidRPr="00270674">
        <w:t>M</w:t>
      </w:r>
      <w:proofErr w:type="gramEnd"/>
      <w:r w:rsidRPr="00270674">
        <w:t xml:space="preserve">. (2011). Conceptual framework for personal recovery in mental health: systematic review and narrative synthesis. </w:t>
      </w:r>
      <w:r w:rsidRPr="00270674">
        <w:rPr>
          <w:i/>
        </w:rPr>
        <w:t>The British Journal of Psychiatry, 199</w:t>
      </w:r>
      <w:r w:rsidRPr="00270674">
        <w:t xml:space="preserve">, 445–452. </w:t>
      </w:r>
      <w:proofErr w:type="spellStart"/>
      <w:proofErr w:type="gramStart"/>
      <w:r w:rsidRPr="00270674">
        <w:t>doi</w:t>
      </w:r>
      <w:proofErr w:type="spellEnd"/>
      <w:proofErr w:type="gramEnd"/>
      <w:r w:rsidRPr="00270674">
        <w:t xml:space="preserve">: 10.1192/bjp.bp.110.083733 </w:t>
      </w:r>
    </w:p>
    <w:p w14:paraId="6679EC6D" w14:textId="6D8DEE4E" w:rsidR="005A6324" w:rsidRPr="00270674" w:rsidRDefault="005A6324" w:rsidP="005A6324">
      <w:pPr>
        <w:spacing w:line="480" w:lineRule="auto"/>
        <w:ind w:left="720" w:hanging="720"/>
        <w:rPr>
          <w:lang w:val="en"/>
        </w:rPr>
      </w:pPr>
      <w:proofErr w:type="spellStart"/>
      <w:r w:rsidRPr="00270674">
        <w:rPr>
          <w:lang w:val="en"/>
        </w:rPr>
        <w:t>Lucchi</w:t>
      </w:r>
      <w:proofErr w:type="spellEnd"/>
      <w:r w:rsidR="00BB50A6" w:rsidRPr="00270674">
        <w:rPr>
          <w:lang w:val="en"/>
        </w:rPr>
        <w:t>,</w:t>
      </w:r>
      <w:r w:rsidRPr="00270674">
        <w:rPr>
          <w:lang w:val="en"/>
        </w:rPr>
        <w:t xml:space="preserve"> F</w:t>
      </w:r>
      <w:r w:rsidR="00BB50A6" w:rsidRPr="00270674">
        <w:rPr>
          <w:lang w:val="en"/>
        </w:rPr>
        <w:t>.</w:t>
      </w:r>
      <w:r w:rsidRPr="00270674">
        <w:rPr>
          <w:lang w:val="en"/>
        </w:rPr>
        <w:t xml:space="preserve">, </w:t>
      </w:r>
      <w:proofErr w:type="spellStart"/>
      <w:r w:rsidRPr="00270674">
        <w:rPr>
          <w:lang w:val="en"/>
        </w:rPr>
        <w:t>Chiaf</w:t>
      </w:r>
      <w:proofErr w:type="spellEnd"/>
      <w:r w:rsidR="00BB50A6" w:rsidRPr="00270674">
        <w:rPr>
          <w:lang w:val="en"/>
        </w:rPr>
        <w:t>,</w:t>
      </w:r>
      <w:r w:rsidRPr="00270674">
        <w:rPr>
          <w:lang w:val="en"/>
        </w:rPr>
        <w:t xml:space="preserve"> E</w:t>
      </w:r>
      <w:r w:rsidR="00BB50A6" w:rsidRPr="00270674">
        <w:rPr>
          <w:lang w:val="en"/>
        </w:rPr>
        <w:t>.</w:t>
      </w:r>
      <w:r w:rsidRPr="00270674">
        <w:rPr>
          <w:lang w:val="en"/>
        </w:rPr>
        <w:t xml:space="preserve">, </w:t>
      </w:r>
      <w:proofErr w:type="spellStart"/>
      <w:r w:rsidRPr="00270674">
        <w:rPr>
          <w:lang w:val="en"/>
        </w:rPr>
        <w:t>Piacentino</w:t>
      </w:r>
      <w:proofErr w:type="spellEnd"/>
      <w:r w:rsidR="00BB50A6" w:rsidRPr="00270674">
        <w:rPr>
          <w:lang w:val="en"/>
        </w:rPr>
        <w:t>,</w:t>
      </w:r>
      <w:r w:rsidRPr="00270674">
        <w:rPr>
          <w:lang w:val="en"/>
        </w:rPr>
        <w:t xml:space="preserve"> A</w:t>
      </w:r>
      <w:r w:rsidR="00BB50A6" w:rsidRPr="00270674">
        <w:rPr>
          <w:lang w:val="en"/>
        </w:rPr>
        <w:t>.</w:t>
      </w:r>
      <w:r w:rsidRPr="00270674">
        <w:rPr>
          <w:lang w:val="en"/>
        </w:rPr>
        <w:t>,</w:t>
      </w:r>
      <w:r w:rsidR="00BB50A6" w:rsidRPr="00270674">
        <w:rPr>
          <w:lang w:val="en"/>
        </w:rPr>
        <w:t xml:space="preserve"> &amp;</w:t>
      </w:r>
      <w:r w:rsidRPr="00270674">
        <w:rPr>
          <w:lang w:val="en"/>
        </w:rPr>
        <w:t xml:space="preserve"> </w:t>
      </w:r>
      <w:proofErr w:type="spellStart"/>
      <w:r w:rsidRPr="00270674">
        <w:rPr>
          <w:lang w:val="en"/>
        </w:rPr>
        <w:t>Scarsato</w:t>
      </w:r>
      <w:proofErr w:type="spellEnd"/>
      <w:r w:rsidR="00BB50A6" w:rsidRPr="00270674">
        <w:rPr>
          <w:lang w:val="en"/>
        </w:rPr>
        <w:t>,</w:t>
      </w:r>
      <w:r w:rsidRPr="00270674">
        <w:rPr>
          <w:lang w:val="en"/>
        </w:rPr>
        <w:t xml:space="preserve"> G</w:t>
      </w:r>
      <w:r w:rsidR="00BB50A6" w:rsidRPr="00270674">
        <w:rPr>
          <w:lang w:val="en"/>
        </w:rPr>
        <w:t>.</w:t>
      </w:r>
      <w:r w:rsidRPr="00270674">
        <w:rPr>
          <w:lang w:val="en"/>
        </w:rPr>
        <w:t xml:space="preserve"> (2018)</w:t>
      </w:r>
      <w:r w:rsidR="00BB50A6" w:rsidRPr="00270674">
        <w:rPr>
          <w:lang w:val="en"/>
        </w:rPr>
        <w:t>.</w:t>
      </w:r>
      <w:r w:rsidRPr="00270674">
        <w:rPr>
          <w:lang w:val="en"/>
        </w:rPr>
        <w:t xml:space="preserve"> </w:t>
      </w:r>
      <w:proofErr w:type="spellStart"/>
      <w:r w:rsidRPr="00270674">
        <w:rPr>
          <w:iCs/>
          <w:lang w:val="en"/>
        </w:rPr>
        <w:t>Programma</w:t>
      </w:r>
      <w:proofErr w:type="spellEnd"/>
      <w:r w:rsidRPr="00270674">
        <w:rPr>
          <w:iCs/>
          <w:lang w:val="en"/>
        </w:rPr>
        <w:t xml:space="preserve"> FOR: A Recovery College in Italy</w:t>
      </w:r>
      <w:r w:rsidR="00BB50A6" w:rsidRPr="00270674">
        <w:rPr>
          <w:lang w:val="en"/>
        </w:rPr>
        <w:t>.</w:t>
      </w:r>
      <w:r w:rsidRPr="00270674">
        <w:rPr>
          <w:lang w:val="en"/>
        </w:rPr>
        <w:t xml:space="preserve"> </w:t>
      </w:r>
      <w:r w:rsidRPr="00270674">
        <w:rPr>
          <w:i/>
          <w:lang w:val="en"/>
        </w:rPr>
        <w:t>Journal of Recovery in Mental Health,</w:t>
      </w:r>
      <w:r w:rsidRPr="00270674">
        <w:rPr>
          <w:lang w:val="en"/>
        </w:rPr>
        <w:t xml:space="preserve"> </w:t>
      </w:r>
      <w:r w:rsidRPr="00270674">
        <w:rPr>
          <w:bCs/>
          <w:i/>
          <w:lang w:val="en"/>
        </w:rPr>
        <w:t>3</w:t>
      </w:r>
      <w:r w:rsidRPr="00270674">
        <w:rPr>
          <w:lang w:val="en"/>
        </w:rPr>
        <w:t>, 29-37.</w:t>
      </w:r>
    </w:p>
    <w:p w14:paraId="24DDA88C" w14:textId="5673964F" w:rsidR="00A42FCD" w:rsidRPr="00270674" w:rsidRDefault="00A42FCD" w:rsidP="00C8321C">
      <w:pPr>
        <w:spacing w:line="480" w:lineRule="auto"/>
        <w:ind w:left="720" w:hanging="720"/>
      </w:pPr>
      <w:proofErr w:type="spellStart"/>
      <w:r w:rsidRPr="00270674">
        <w:t>Margrove</w:t>
      </w:r>
      <w:proofErr w:type="spellEnd"/>
      <w:r w:rsidRPr="00270674">
        <w:t xml:space="preserve">, K., </w:t>
      </w:r>
      <w:proofErr w:type="spellStart"/>
      <w:r w:rsidRPr="00270674">
        <w:t>Heydinrych</w:t>
      </w:r>
      <w:proofErr w:type="spellEnd"/>
      <w:r w:rsidRPr="00270674">
        <w:t xml:space="preserve">, K., &amp; Secker, J. (2013). Waiting list controlled evaluation of a participatory arts course for people experiencing mental health problems. </w:t>
      </w:r>
      <w:r w:rsidRPr="00270674">
        <w:rPr>
          <w:i/>
          <w:iCs/>
        </w:rPr>
        <w:t>Perspectives in Public Health, 133</w:t>
      </w:r>
      <w:r w:rsidRPr="00270674">
        <w:t>, 28–35.</w:t>
      </w:r>
      <w:r w:rsidR="00C8321C" w:rsidRPr="00270674">
        <w:t xml:space="preserve"> </w:t>
      </w:r>
      <w:proofErr w:type="spellStart"/>
      <w:proofErr w:type="gramStart"/>
      <w:r w:rsidR="00C8321C" w:rsidRPr="00270674">
        <w:t>doi</w:t>
      </w:r>
      <w:proofErr w:type="spellEnd"/>
      <w:proofErr w:type="gramEnd"/>
      <w:r w:rsidR="00C8321C" w:rsidRPr="00270674">
        <w:t>: 10.1177/1757913912461587.</w:t>
      </w:r>
    </w:p>
    <w:p w14:paraId="33F2ABFF" w14:textId="18124636" w:rsidR="005A6324" w:rsidRPr="00270674" w:rsidRDefault="005A6324" w:rsidP="005A6324">
      <w:pPr>
        <w:spacing w:line="480" w:lineRule="auto"/>
        <w:ind w:left="720" w:hanging="720"/>
      </w:pPr>
      <w:proofErr w:type="spellStart"/>
      <w:r w:rsidRPr="00270674">
        <w:lastRenderedPageBreak/>
        <w:t>Meddings</w:t>
      </w:r>
      <w:proofErr w:type="spellEnd"/>
      <w:r w:rsidRPr="00270674">
        <w:t xml:space="preserve">, S., Guglietti, S., </w:t>
      </w:r>
      <w:proofErr w:type="spellStart"/>
      <w:r w:rsidRPr="00270674">
        <w:t>Lambe</w:t>
      </w:r>
      <w:proofErr w:type="spellEnd"/>
      <w:r w:rsidRPr="00270674">
        <w:t xml:space="preserve">, H. &amp; Byrne, D. (2014). Student perspectives: recovery college experience. </w:t>
      </w:r>
      <w:r w:rsidRPr="00270674">
        <w:rPr>
          <w:i/>
          <w:iCs/>
        </w:rPr>
        <w:t xml:space="preserve">Mental Health and Social Inclusion, </w:t>
      </w:r>
      <w:r w:rsidRPr="00270674">
        <w:rPr>
          <w:bCs/>
          <w:i/>
        </w:rPr>
        <w:t>18</w:t>
      </w:r>
      <w:r w:rsidRPr="00270674">
        <w:t>, 142-150.</w:t>
      </w:r>
      <w:r w:rsidR="00C8321C" w:rsidRPr="00270674">
        <w:t xml:space="preserve"> </w:t>
      </w:r>
      <w:hyperlink r:id="rId13" w:history="1">
        <w:r w:rsidR="00C8321C" w:rsidRPr="00270674">
          <w:rPr>
            <w:rStyle w:val="Hyperlink"/>
          </w:rPr>
          <w:t>https://doi.org/10.1108/MHSI-05-2014-0016</w:t>
        </w:r>
      </w:hyperlink>
      <w:r w:rsidR="00C8321C" w:rsidRPr="00270674">
        <w:t xml:space="preserve"> </w:t>
      </w:r>
    </w:p>
    <w:p w14:paraId="7F417984" w14:textId="7EFE5FAE" w:rsidR="005A6324" w:rsidRPr="00270674" w:rsidRDefault="005A6324" w:rsidP="005A6324">
      <w:pPr>
        <w:spacing w:line="480" w:lineRule="auto"/>
        <w:ind w:left="720" w:hanging="720"/>
      </w:pPr>
      <w:proofErr w:type="spellStart"/>
      <w:r w:rsidRPr="00270674">
        <w:t>Meddings</w:t>
      </w:r>
      <w:proofErr w:type="spellEnd"/>
      <w:r w:rsidRPr="00270674">
        <w:t>, S, Campbell,</w:t>
      </w:r>
      <w:r w:rsidR="00116C14" w:rsidRPr="00270674">
        <w:t xml:space="preserve"> </w:t>
      </w:r>
      <w:r w:rsidRPr="00270674">
        <w:t xml:space="preserve">E., Guglietti, S., </w:t>
      </w:r>
      <w:proofErr w:type="spellStart"/>
      <w:r w:rsidRPr="00270674">
        <w:t>Lambe</w:t>
      </w:r>
      <w:proofErr w:type="spellEnd"/>
      <w:r w:rsidRPr="00270674">
        <w:t xml:space="preserve">, H., Locks, L., Byrne, D. </w:t>
      </w:r>
      <w:r w:rsidR="00116C14" w:rsidRPr="00270674">
        <w:t>&amp;</w:t>
      </w:r>
      <w:r w:rsidRPr="00270674">
        <w:t xml:space="preserve"> Whittington, A. (2015). From Service User to Student – The Benefits of Recovery College. </w:t>
      </w:r>
      <w:r w:rsidRPr="00270674">
        <w:rPr>
          <w:i/>
          <w:iCs/>
        </w:rPr>
        <w:t>Clinical Psychology Forum</w:t>
      </w:r>
      <w:r w:rsidR="00116C14" w:rsidRPr="00270674">
        <w:t>,</w:t>
      </w:r>
      <w:r w:rsidRPr="00270674">
        <w:t xml:space="preserve"> </w:t>
      </w:r>
      <w:r w:rsidRPr="00270674">
        <w:rPr>
          <w:bCs/>
          <w:i/>
        </w:rPr>
        <w:t>268</w:t>
      </w:r>
      <w:r w:rsidRPr="00270674">
        <w:t>, 32-37.</w:t>
      </w:r>
    </w:p>
    <w:p w14:paraId="7FA9A432" w14:textId="32C98968" w:rsidR="004323E0" w:rsidRPr="00270674" w:rsidRDefault="004323E0" w:rsidP="004323E0">
      <w:pPr>
        <w:spacing w:line="480" w:lineRule="auto"/>
        <w:ind w:left="720" w:hanging="720"/>
      </w:pPr>
      <w:r w:rsidRPr="00270674">
        <w:rPr>
          <w:bCs/>
        </w:rPr>
        <w:t xml:space="preserve">Mental Health Foundation. (2016). </w:t>
      </w:r>
      <w:r w:rsidRPr="00270674">
        <w:rPr>
          <w:bCs/>
          <w:i/>
        </w:rPr>
        <w:t>Fundamental facts about mental health</w:t>
      </w:r>
      <w:r w:rsidRPr="00270674">
        <w:rPr>
          <w:bCs/>
        </w:rPr>
        <w:t>. London: Mental Health Foundation.</w:t>
      </w:r>
      <w:r w:rsidR="00953BF7" w:rsidRPr="00270674">
        <w:rPr>
          <w:bCs/>
        </w:rPr>
        <w:t xml:space="preserve"> Available at: </w:t>
      </w:r>
      <w:hyperlink r:id="rId14" w:history="1">
        <w:r w:rsidR="00953BF7" w:rsidRPr="00270674">
          <w:rPr>
            <w:rStyle w:val="Hyperlink"/>
            <w:bCs/>
          </w:rPr>
          <w:t>https://www.mentalhealth.org.uk/publications/fundamental-facts-about-mental-health-2016</w:t>
        </w:r>
      </w:hyperlink>
      <w:r w:rsidR="00953BF7" w:rsidRPr="00270674">
        <w:rPr>
          <w:bCs/>
        </w:rPr>
        <w:t xml:space="preserve"> </w:t>
      </w:r>
    </w:p>
    <w:p w14:paraId="6371A766" w14:textId="5ED041CF" w:rsidR="005A6324" w:rsidRPr="00270674" w:rsidRDefault="005A6324" w:rsidP="005A6324">
      <w:pPr>
        <w:spacing w:line="480" w:lineRule="auto"/>
        <w:ind w:left="720" w:hanging="720"/>
      </w:pPr>
      <w:r w:rsidRPr="00270674">
        <w:t xml:space="preserve">North Essex Research Network (NERN), South Essex Service User Research Group (SE-SURG), &amp; Secker, J. (2014). </w:t>
      </w:r>
      <w:r w:rsidRPr="00270674">
        <w:rPr>
          <w:i/>
        </w:rPr>
        <w:t>Evaluation of the Mid Essex Recovery College January – April 2014</w:t>
      </w:r>
      <w:r w:rsidRPr="00270674">
        <w:t xml:space="preserve">. Available at: </w:t>
      </w:r>
      <w:r w:rsidRPr="00270674">
        <w:rPr>
          <w:rStyle w:val="Hyperlink"/>
        </w:rPr>
        <w:t>http://arro.anglia.ac.uk/550182/</w:t>
      </w:r>
    </w:p>
    <w:p w14:paraId="59E174A6" w14:textId="4CAA9787" w:rsidR="005A6324" w:rsidRPr="00270674" w:rsidRDefault="004B0EB8" w:rsidP="005A6324">
      <w:pPr>
        <w:spacing w:line="480" w:lineRule="auto"/>
        <w:ind w:left="720" w:hanging="720"/>
        <w:rPr>
          <w:color w:val="0563C1"/>
          <w:u w:val="single"/>
        </w:rPr>
      </w:pPr>
      <w:r w:rsidRPr="00270674">
        <w:t>NERN, SE-SURG</w:t>
      </w:r>
      <w:r w:rsidR="005A6324" w:rsidRPr="00270674">
        <w:t xml:space="preserve">, Wilson, C., &amp; Secker, J. (2014). </w:t>
      </w:r>
      <w:r w:rsidR="005A6324" w:rsidRPr="00270674">
        <w:rPr>
          <w:i/>
        </w:rPr>
        <w:t>Evaluation of the Mid Essex Recovery College October – December 2013</w:t>
      </w:r>
      <w:r w:rsidR="005A6324" w:rsidRPr="00270674">
        <w:t xml:space="preserve">. Available at: </w:t>
      </w:r>
      <w:hyperlink r:id="rId15" w:history="1">
        <w:r w:rsidR="005A6324" w:rsidRPr="00270674">
          <w:rPr>
            <w:rStyle w:val="Hyperlink"/>
          </w:rPr>
          <w:t>http://arro.anglia.ac.uk/347125/</w:t>
        </w:r>
      </w:hyperlink>
    </w:p>
    <w:p w14:paraId="0B603E9F" w14:textId="77777777" w:rsidR="007A556E" w:rsidRPr="00270674" w:rsidRDefault="007A556E" w:rsidP="00A42FCD">
      <w:pPr>
        <w:spacing w:line="480" w:lineRule="auto"/>
        <w:rPr>
          <w:i/>
          <w:iCs/>
        </w:rPr>
      </w:pPr>
      <w:r w:rsidRPr="00270674">
        <w:t xml:space="preserve">Perkins, R., </w:t>
      </w:r>
      <w:proofErr w:type="spellStart"/>
      <w:r w:rsidRPr="00270674">
        <w:t>Repper</w:t>
      </w:r>
      <w:proofErr w:type="spellEnd"/>
      <w:r w:rsidRPr="00270674">
        <w:t xml:space="preserve">, J., Rinaldi, M., &amp; Brown, H. (2012). </w:t>
      </w:r>
      <w:r w:rsidRPr="00270674">
        <w:rPr>
          <w:i/>
          <w:iCs/>
        </w:rPr>
        <w:t>Recovery Colleges:</w:t>
      </w:r>
    </w:p>
    <w:p w14:paraId="064F024E" w14:textId="77777777" w:rsidR="007A556E" w:rsidRPr="00270674" w:rsidRDefault="007A556E" w:rsidP="00A42FCD">
      <w:pPr>
        <w:spacing w:line="480" w:lineRule="auto"/>
        <w:ind w:left="709"/>
      </w:pPr>
      <w:r w:rsidRPr="00270674">
        <w:rPr>
          <w:i/>
          <w:iCs/>
        </w:rPr>
        <w:t>Implementing Recovery through Organisational Change</w:t>
      </w:r>
      <w:r w:rsidRPr="00270674">
        <w:t>. London: Centre for</w:t>
      </w:r>
    </w:p>
    <w:p w14:paraId="20180D38" w14:textId="223AC250" w:rsidR="007A556E" w:rsidRPr="00270674" w:rsidRDefault="007A556E" w:rsidP="00A42FCD">
      <w:pPr>
        <w:spacing w:line="480" w:lineRule="auto"/>
        <w:ind w:left="709"/>
      </w:pPr>
      <w:r w:rsidRPr="00270674">
        <w:t>Mental Health. Available at:</w:t>
      </w:r>
      <w:r w:rsidR="00A42FCD" w:rsidRPr="00270674">
        <w:t xml:space="preserve"> </w:t>
      </w:r>
      <w:hyperlink r:id="rId16" w:history="1">
        <w:r w:rsidRPr="00270674">
          <w:rPr>
            <w:rStyle w:val="Hyperlink"/>
          </w:rPr>
          <w:t>https://www.centreformentalhealth.org.uk/recovery/Recovery_Colleges.aspx</w:t>
        </w:r>
      </w:hyperlink>
      <w:r w:rsidRPr="00270674">
        <w:t xml:space="preserve"> </w:t>
      </w:r>
    </w:p>
    <w:p w14:paraId="433D4C1B" w14:textId="662BDAB3" w:rsidR="005A6324" w:rsidRPr="00270674" w:rsidRDefault="005A6324" w:rsidP="005A6324">
      <w:pPr>
        <w:spacing w:line="480" w:lineRule="auto"/>
        <w:ind w:left="720" w:hanging="720"/>
      </w:pPr>
      <w:r w:rsidRPr="00270674">
        <w:t>Perkins, R</w:t>
      </w:r>
      <w:r w:rsidR="004B0EB8" w:rsidRPr="00270674">
        <w:t>.</w:t>
      </w:r>
      <w:r w:rsidRPr="00270674">
        <w:t xml:space="preserve">, </w:t>
      </w:r>
      <w:proofErr w:type="spellStart"/>
      <w:r w:rsidRPr="00270674">
        <w:t>Meddings</w:t>
      </w:r>
      <w:proofErr w:type="spellEnd"/>
      <w:r w:rsidR="004B0EB8" w:rsidRPr="00270674">
        <w:t>,</w:t>
      </w:r>
      <w:r w:rsidRPr="00270674">
        <w:t xml:space="preserve"> S</w:t>
      </w:r>
      <w:r w:rsidR="004B0EB8" w:rsidRPr="00270674">
        <w:t>.</w:t>
      </w:r>
      <w:r w:rsidRPr="00270674">
        <w:t>, Williams</w:t>
      </w:r>
      <w:r w:rsidR="004B0EB8" w:rsidRPr="00270674">
        <w:t>,</w:t>
      </w:r>
      <w:r w:rsidRPr="00270674">
        <w:t xml:space="preserve"> S</w:t>
      </w:r>
      <w:r w:rsidR="004B0EB8" w:rsidRPr="00270674">
        <w:t>.</w:t>
      </w:r>
      <w:r w:rsidRPr="00270674">
        <w:t xml:space="preserve">, </w:t>
      </w:r>
      <w:r w:rsidR="004B0EB8" w:rsidRPr="00270674">
        <w:t xml:space="preserve">&amp; </w:t>
      </w:r>
      <w:proofErr w:type="spellStart"/>
      <w:r w:rsidRPr="00270674">
        <w:t>Repper</w:t>
      </w:r>
      <w:proofErr w:type="spellEnd"/>
      <w:r w:rsidR="004B0EB8" w:rsidRPr="00270674">
        <w:t>,</w:t>
      </w:r>
      <w:r w:rsidRPr="00270674">
        <w:t xml:space="preserve"> J</w:t>
      </w:r>
      <w:r w:rsidR="004B0EB8" w:rsidRPr="00270674">
        <w:t>.</w:t>
      </w:r>
      <w:r w:rsidRPr="00270674">
        <w:t xml:space="preserve"> (2018)</w:t>
      </w:r>
      <w:r w:rsidR="004B0EB8" w:rsidRPr="00270674">
        <w:t>.</w:t>
      </w:r>
      <w:r w:rsidRPr="00270674">
        <w:rPr>
          <w:i/>
          <w:iCs/>
        </w:rPr>
        <w:t> Recovery Colleges 10 Years On</w:t>
      </w:r>
      <w:r w:rsidR="004B0EB8" w:rsidRPr="00270674">
        <w:t>.</w:t>
      </w:r>
      <w:r w:rsidRPr="00270674">
        <w:t xml:space="preserve"> Nottingham: ImROC.</w:t>
      </w:r>
      <w:r w:rsidR="00C8321C" w:rsidRPr="00270674">
        <w:t xml:space="preserve"> Available at: </w:t>
      </w:r>
      <w:hyperlink r:id="rId17" w:history="1">
        <w:r w:rsidR="00C8321C" w:rsidRPr="00270674">
          <w:rPr>
            <w:rStyle w:val="Hyperlink"/>
          </w:rPr>
          <w:t>https://imroc.org/resources/15-recovery-colleges-10-years/</w:t>
        </w:r>
      </w:hyperlink>
      <w:r w:rsidR="00C8321C" w:rsidRPr="00270674">
        <w:t xml:space="preserve"> </w:t>
      </w:r>
    </w:p>
    <w:p w14:paraId="701CB4EC" w14:textId="6BC9BCA6" w:rsidR="005A6324" w:rsidRPr="00270674" w:rsidRDefault="005A6324" w:rsidP="005A6324">
      <w:pPr>
        <w:spacing w:line="480" w:lineRule="auto"/>
        <w:ind w:left="720" w:hanging="720"/>
      </w:pPr>
      <w:r w:rsidRPr="00270674">
        <w:rPr>
          <w:lang w:val="en"/>
        </w:rPr>
        <w:lastRenderedPageBreak/>
        <w:t>Rinaldi</w:t>
      </w:r>
      <w:r w:rsidR="004B0EB8" w:rsidRPr="00270674">
        <w:rPr>
          <w:lang w:val="en"/>
        </w:rPr>
        <w:t>,</w:t>
      </w:r>
      <w:r w:rsidRPr="00270674">
        <w:rPr>
          <w:lang w:val="en"/>
        </w:rPr>
        <w:t xml:space="preserve"> M</w:t>
      </w:r>
      <w:r w:rsidR="004B0EB8" w:rsidRPr="00270674">
        <w:rPr>
          <w:lang w:val="en"/>
        </w:rPr>
        <w:t>.</w:t>
      </w:r>
      <w:r w:rsidRPr="00270674">
        <w:rPr>
          <w:lang w:val="en"/>
        </w:rPr>
        <w:t xml:space="preserve">, </w:t>
      </w:r>
      <w:proofErr w:type="spellStart"/>
      <w:r w:rsidRPr="00270674">
        <w:rPr>
          <w:lang w:val="en"/>
        </w:rPr>
        <w:t>Morland</w:t>
      </w:r>
      <w:proofErr w:type="spellEnd"/>
      <w:r w:rsidR="004B0EB8" w:rsidRPr="00270674">
        <w:rPr>
          <w:lang w:val="en"/>
        </w:rPr>
        <w:t>,</w:t>
      </w:r>
      <w:r w:rsidRPr="00270674">
        <w:rPr>
          <w:lang w:val="en"/>
        </w:rPr>
        <w:t xml:space="preserve"> M</w:t>
      </w:r>
      <w:r w:rsidR="004B0EB8" w:rsidRPr="00270674">
        <w:rPr>
          <w:lang w:val="en"/>
        </w:rPr>
        <w:t>.</w:t>
      </w:r>
      <w:r w:rsidRPr="00270674">
        <w:rPr>
          <w:lang w:val="en"/>
        </w:rPr>
        <w:t>,</w:t>
      </w:r>
      <w:r w:rsidR="004B0EB8" w:rsidRPr="00270674">
        <w:rPr>
          <w:lang w:val="en"/>
        </w:rPr>
        <w:t xml:space="preserve"> &amp;</w:t>
      </w:r>
      <w:r w:rsidRPr="00270674">
        <w:rPr>
          <w:lang w:val="en"/>
        </w:rPr>
        <w:t xml:space="preserve"> </w:t>
      </w:r>
      <w:proofErr w:type="spellStart"/>
      <w:r w:rsidRPr="00270674">
        <w:rPr>
          <w:lang w:val="en"/>
        </w:rPr>
        <w:t>Wybourn</w:t>
      </w:r>
      <w:proofErr w:type="spellEnd"/>
      <w:r w:rsidR="004B0EB8" w:rsidRPr="00270674">
        <w:rPr>
          <w:lang w:val="en"/>
        </w:rPr>
        <w:t>,</w:t>
      </w:r>
      <w:r w:rsidRPr="00270674">
        <w:rPr>
          <w:lang w:val="en"/>
        </w:rPr>
        <w:t xml:space="preserve"> S</w:t>
      </w:r>
      <w:r w:rsidR="004B0EB8" w:rsidRPr="00270674">
        <w:rPr>
          <w:lang w:val="en"/>
        </w:rPr>
        <w:t>.</w:t>
      </w:r>
      <w:r w:rsidRPr="00270674">
        <w:rPr>
          <w:lang w:val="en"/>
        </w:rPr>
        <w:t xml:space="preserve"> (2012)</w:t>
      </w:r>
      <w:r w:rsidR="004B0EB8" w:rsidRPr="00270674">
        <w:rPr>
          <w:lang w:val="en"/>
        </w:rPr>
        <w:t>.</w:t>
      </w:r>
      <w:r w:rsidRPr="00270674">
        <w:rPr>
          <w:lang w:val="en"/>
        </w:rPr>
        <w:t> </w:t>
      </w:r>
      <w:r w:rsidRPr="00270674">
        <w:rPr>
          <w:i/>
          <w:iCs/>
          <w:lang w:val="en"/>
        </w:rPr>
        <w:t>Annual Report 2011 – 2012 South West London Recovery College</w:t>
      </w:r>
      <w:r w:rsidR="004B0EB8" w:rsidRPr="00270674">
        <w:rPr>
          <w:lang w:val="en"/>
        </w:rPr>
        <w:t>. London:</w:t>
      </w:r>
      <w:r w:rsidRPr="00270674">
        <w:rPr>
          <w:lang w:val="en"/>
        </w:rPr>
        <w:t xml:space="preserve"> South West London and St George’s Mental Health NHS Trust.</w:t>
      </w:r>
    </w:p>
    <w:p w14:paraId="55BFD2E1" w14:textId="37D4B6E8" w:rsidR="007A556E" w:rsidRPr="00270674" w:rsidRDefault="00642C5D" w:rsidP="00A42FCD">
      <w:pPr>
        <w:spacing w:line="480" w:lineRule="auto"/>
        <w:ind w:left="720" w:hanging="720"/>
      </w:pPr>
      <w:r w:rsidRPr="00270674">
        <w:t>Sainsbury Centre for Mental Health</w:t>
      </w:r>
      <w:r w:rsidR="004B0EB8" w:rsidRPr="00270674">
        <w:t>.</w:t>
      </w:r>
      <w:r w:rsidRPr="00270674">
        <w:t xml:space="preserve"> (2007). </w:t>
      </w:r>
      <w:proofErr w:type="gramStart"/>
      <w:r w:rsidRPr="00270674">
        <w:rPr>
          <w:i/>
        </w:rPr>
        <w:t>Mental</w:t>
      </w:r>
      <w:proofErr w:type="gramEnd"/>
      <w:r w:rsidRPr="00270674">
        <w:rPr>
          <w:i/>
        </w:rPr>
        <w:t xml:space="preserve"> health at work: developing the business case</w:t>
      </w:r>
      <w:r w:rsidRPr="00270674">
        <w:t xml:space="preserve">. London: Sainsbury Centre for Mental Health. </w:t>
      </w:r>
    </w:p>
    <w:p w14:paraId="05D8EBB7" w14:textId="69EFCCCB" w:rsidR="00023D9B" w:rsidRPr="00270674" w:rsidRDefault="00023D9B" w:rsidP="00A42FCD">
      <w:pPr>
        <w:spacing w:line="480" w:lineRule="auto"/>
        <w:ind w:left="720" w:hanging="720"/>
      </w:pPr>
      <w:r w:rsidRPr="00270674">
        <w:t xml:space="preserve">Secker, J., Hacking, S., Kent, L., Shenton, J., &amp; </w:t>
      </w:r>
      <w:proofErr w:type="spellStart"/>
      <w:r w:rsidRPr="00270674">
        <w:t>Spandler</w:t>
      </w:r>
      <w:proofErr w:type="spellEnd"/>
      <w:r w:rsidRPr="00270674">
        <w:t xml:space="preserve">, H. (2009). Development of a measure of social inclusion for arts and mental health project participants. </w:t>
      </w:r>
      <w:r w:rsidRPr="00270674">
        <w:rPr>
          <w:i/>
          <w:iCs/>
        </w:rPr>
        <w:t xml:space="preserve">Journal of Mental Health, </w:t>
      </w:r>
      <w:r w:rsidRPr="00270674">
        <w:rPr>
          <w:i/>
        </w:rPr>
        <w:t>18</w:t>
      </w:r>
      <w:r w:rsidRPr="00270674">
        <w:t xml:space="preserve">(1), 65-72. </w:t>
      </w:r>
      <w:hyperlink r:id="rId18" w:history="1">
        <w:r w:rsidR="00C8321C" w:rsidRPr="00270674">
          <w:rPr>
            <w:rStyle w:val="Hyperlink"/>
          </w:rPr>
          <w:t>https://doi.org/10.1080/09638230701677803</w:t>
        </w:r>
      </w:hyperlink>
      <w:r w:rsidR="00C8321C" w:rsidRPr="00270674">
        <w:t xml:space="preserve"> </w:t>
      </w:r>
    </w:p>
    <w:p w14:paraId="2F908900" w14:textId="033520CC" w:rsidR="00852BA6" w:rsidRPr="00270674" w:rsidRDefault="00852BA6" w:rsidP="00852BA6">
      <w:pPr>
        <w:spacing w:line="480" w:lineRule="auto"/>
        <w:ind w:left="720" w:hanging="720"/>
        <w:rPr>
          <w:bCs/>
        </w:rPr>
      </w:pPr>
      <w:r w:rsidRPr="00270674">
        <w:rPr>
          <w:bCs/>
        </w:rPr>
        <w:t xml:space="preserve">Stevens, J., Butterfield, C., Whittington, A. &amp; </w:t>
      </w:r>
      <w:proofErr w:type="spellStart"/>
      <w:r w:rsidRPr="00270674">
        <w:rPr>
          <w:bCs/>
        </w:rPr>
        <w:t>Holttum</w:t>
      </w:r>
      <w:proofErr w:type="spellEnd"/>
      <w:r w:rsidRPr="00270674">
        <w:rPr>
          <w:bCs/>
        </w:rPr>
        <w:t xml:space="preserve">, S. (2018). Evaluation of arts based courses within a UK Recovery College for people with mental health challenges. </w:t>
      </w:r>
      <w:r w:rsidRPr="00270674">
        <w:rPr>
          <w:bCs/>
          <w:i/>
        </w:rPr>
        <w:t>International Journal of Environmental Research and Public Health</w:t>
      </w:r>
      <w:r w:rsidRPr="00270674">
        <w:rPr>
          <w:bCs/>
        </w:rPr>
        <w:t xml:space="preserve">, 15, 1170. </w:t>
      </w:r>
      <w:proofErr w:type="gramStart"/>
      <w:r w:rsidRPr="00270674">
        <w:rPr>
          <w:bCs/>
        </w:rPr>
        <w:t>doi:</w:t>
      </w:r>
      <w:proofErr w:type="gramEnd"/>
      <w:r w:rsidRPr="00270674">
        <w:rPr>
          <w:bCs/>
        </w:rPr>
        <w:t>10.3390/ijerph15061170</w:t>
      </w:r>
    </w:p>
    <w:p w14:paraId="1C7719D7" w14:textId="3B19D272" w:rsidR="00A42FCD" w:rsidRPr="00270674" w:rsidRDefault="003B6D77" w:rsidP="00A42FCD">
      <w:pPr>
        <w:spacing w:line="480" w:lineRule="auto"/>
        <w:ind w:left="720" w:hanging="720"/>
      </w:pPr>
      <w:r w:rsidRPr="00270674">
        <w:t>Stewart-Brown, S., Tennant, A</w:t>
      </w:r>
      <w:r w:rsidR="00A42FCD" w:rsidRPr="00270674">
        <w:t>.</w:t>
      </w:r>
      <w:r w:rsidRPr="00270674">
        <w:t>, Tennant, R., Platt, S., Parkinson, J., &amp; Welch, S.</w:t>
      </w:r>
      <w:r w:rsidR="00A42FCD" w:rsidRPr="00270674">
        <w:t xml:space="preserve"> (2009). Internal construct validity of the Warwick-Edinburgh Mental Wellbeing Scale (WEMWBS): a </w:t>
      </w:r>
      <w:proofErr w:type="spellStart"/>
      <w:r w:rsidR="00A42FCD" w:rsidRPr="00270674">
        <w:t>Rasch</w:t>
      </w:r>
      <w:proofErr w:type="spellEnd"/>
      <w:r w:rsidR="00A42FCD" w:rsidRPr="00270674">
        <w:t xml:space="preserve"> analysis using data from the Scottish Health Education Population Survey. </w:t>
      </w:r>
      <w:r w:rsidR="00A42FCD" w:rsidRPr="00270674">
        <w:rPr>
          <w:i/>
          <w:iCs/>
        </w:rPr>
        <w:t>Health &amp; Quality of Life Outcomes, 7</w:t>
      </w:r>
      <w:r w:rsidR="004A5BB7" w:rsidRPr="00270674">
        <w:t>,</w:t>
      </w:r>
      <w:r w:rsidR="00A42FCD" w:rsidRPr="00270674">
        <w:t xml:space="preserve"> 15.</w:t>
      </w:r>
      <w:r w:rsidR="00C8321C" w:rsidRPr="00270674">
        <w:t xml:space="preserve"> </w:t>
      </w:r>
      <w:hyperlink r:id="rId19" w:history="1">
        <w:r w:rsidR="00C8321C" w:rsidRPr="00270674">
          <w:rPr>
            <w:rStyle w:val="Hyperlink"/>
          </w:rPr>
          <w:t>https://doi.org/10.1186/1477-7525-7-15</w:t>
        </w:r>
      </w:hyperlink>
      <w:r w:rsidR="00C8321C" w:rsidRPr="00270674">
        <w:t xml:space="preserve"> </w:t>
      </w:r>
    </w:p>
    <w:p w14:paraId="5C6C85EF" w14:textId="723E7168" w:rsidR="005A7C46" w:rsidRPr="00270674" w:rsidRDefault="00DC4A7E" w:rsidP="00A42FCD">
      <w:pPr>
        <w:spacing w:line="480" w:lineRule="auto"/>
        <w:ind w:left="720" w:hanging="720"/>
      </w:pPr>
      <w:r w:rsidRPr="00270674">
        <w:t xml:space="preserve">Tennant, R., Hiller, L., </w:t>
      </w:r>
      <w:proofErr w:type="spellStart"/>
      <w:r w:rsidRPr="00270674">
        <w:t>Fishwick</w:t>
      </w:r>
      <w:proofErr w:type="spellEnd"/>
      <w:r w:rsidRPr="00270674">
        <w:t xml:space="preserve">, R., Platt, S., Joseph, S., </w:t>
      </w:r>
      <w:proofErr w:type="spellStart"/>
      <w:r w:rsidRPr="00270674">
        <w:t>Weich</w:t>
      </w:r>
      <w:proofErr w:type="spellEnd"/>
      <w:r w:rsidRPr="00270674">
        <w:t xml:space="preserve">, S., Parkinson, J., Secker, J., &amp; Stewart-Brown, S. (2007). The Warwick-Edinburgh Mental Well-being Scale (WEMWBS): development and UK validation. </w:t>
      </w:r>
      <w:r w:rsidRPr="00270674">
        <w:rPr>
          <w:i/>
          <w:iCs/>
        </w:rPr>
        <w:t xml:space="preserve">Health and Quality of Life Outcomes, </w:t>
      </w:r>
      <w:r w:rsidRPr="00270674">
        <w:t>5, 63-75.</w:t>
      </w:r>
      <w:r w:rsidR="00C8321C" w:rsidRPr="00270674">
        <w:t xml:space="preserve"> </w:t>
      </w:r>
      <w:hyperlink r:id="rId20" w:history="1">
        <w:r w:rsidR="00C8321C" w:rsidRPr="00270674">
          <w:rPr>
            <w:rStyle w:val="Hyperlink"/>
          </w:rPr>
          <w:t>https://doi.org/10.1186/1477-7525-5-63</w:t>
        </w:r>
      </w:hyperlink>
      <w:r w:rsidR="00C8321C" w:rsidRPr="00270674">
        <w:t xml:space="preserve"> </w:t>
      </w:r>
    </w:p>
    <w:p w14:paraId="1B1A74F6" w14:textId="28CF8C15" w:rsidR="00D55D81" w:rsidRPr="00270674" w:rsidRDefault="00D55D81" w:rsidP="00D55D81">
      <w:pPr>
        <w:spacing w:line="480" w:lineRule="auto"/>
        <w:ind w:left="720" w:hanging="720"/>
      </w:pPr>
      <w:r w:rsidRPr="00270674">
        <w:t xml:space="preserve">Wilson, C., Kent, L., &amp; Secker, J. (2014). Arts participation, mental wellbeing and social inclusion: mixed methods evaluation of an Open Arts studio for people with mental health needs. </w:t>
      </w:r>
      <w:r w:rsidRPr="00270674">
        <w:rPr>
          <w:i/>
        </w:rPr>
        <w:t>Journal of Applied Arts &amp; Health, 5</w:t>
      </w:r>
      <w:r w:rsidRPr="00270674">
        <w:t>, 341–354.</w:t>
      </w:r>
    </w:p>
    <w:p w14:paraId="7453CECF" w14:textId="7AD89C5E" w:rsidR="00D55D81" w:rsidRPr="00270674" w:rsidRDefault="00B47521" w:rsidP="00D55D81">
      <w:pPr>
        <w:spacing w:line="480" w:lineRule="auto"/>
        <w:ind w:left="720" w:hanging="720"/>
      </w:pPr>
      <w:r w:rsidRPr="00270674">
        <w:rPr>
          <w:bCs/>
        </w:rPr>
        <w:lastRenderedPageBreak/>
        <w:t>Wilson, C</w:t>
      </w:r>
      <w:r w:rsidRPr="00270674">
        <w:t xml:space="preserve">., &amp; Secker, J. (2015). Validation of the Social Inclusion Scale with Students. </w:t>
      </w:r>
      <w:r w:rsidRPr="00270674">
        <w:rPr>
          <w:i/>
          <w:iCs/>
        </w:rPr>
        <w:t>Social Inclusion: Special Issue Indicators and Measurement of Social Inclusion, 3</w:t>
      </w:r>
      <w:r w:rsidRPr="00270674">
        <w:t>(4), 521-62.</w:t>
      </w:r>
      <w:r w:rsidR="00C8321C" w:rsidRPr="00270674">
        <w:t xml:space="preserve"> </w:t>
      </w:r>
      <w:hyperlink r:id="rId21" w:history="1">
        <w:r w:rsidR="00C8321C" w:rsidRPr="00270674">
          <w:rPr>
            <w:rStyle w:val="Hyperlink"/>
          </w:rPr>
          <w:t>http://dx.doi.org/10.17645/si.v3i4.121</w:t>
        </w:r>
      </w:hyperlink>
      <w:r w:rsidR="00C8321C" w:rsidRPr="00270674">
        <w:t xml:space="preserve"> </w:t>
      </w:r>
    </w:p>
    <w:p w14:paraId="62F3C75F" w14:textId="0A21BEC3" w:rsidR="00D55D81" w:rsidRPr="00270674" w:rsidRDefault="00D55D81" w:rsidP="00D55D81">
      <w:pPr>
        <w:spacing w:line="480" w:lineRule="auto"/>
        <w:ind w:left="720" w:hanging="720"/>
      </w:pPr>
      <w:r w:rsidRPr="00270674">
        <w:t xml:space="preserve">Wilson, C., Secker, J., Kent, L. &amp; </w:t>
      </w:r>
      <w:proofErr w:type="spellStart"/>
      <w:r w:rsidRPr="00270674">
        <w:t>Keay</w:t>
      </w:r>
      <w:proofErr w:type="spellEnd"/>
      <w:r w:rsidRPr="00270674">
        <w:t xml:space="preserve">, J. (2017). Promoting Mental Wellbeing and Social Inclusion through Art: Six Month Follow-up Results from Open Arts Essex. </w:t>
      </w:r>
      <w:r w:rsidRPr="00270674">
        <w:rPr>
          <w:i/>
        </w:rPr>
        <w:t>International Journal of Mental Health Promotion, 19</w:t>
      </w:r>
      <w:r w:rsidRPr="00270674">
        <w:t xml:space="preserve">, 268-277. </w:t>
      </w:r>
      <w:proofErr w:type="spellStart"/>
      <w:proofErr w:type="gramStart"/>
      <w:r w:rsidRPr="00270674">
        <w:t>doi</w:t>
      </w:r>
      <w:proofErr w:type="spellEnd"/>
      <w:proofErr w:type="gramEnd"/>
      <w:r w:rsidRPr="00270674">
        <w:t>: 10.1080/14623730.2017.1345688.</w:t>
      </w:r>
    </w:p>
    <w:p w14:paraId="798EAAB5" w14:textId="3706414E" w:rsidR="005A6324" w:rsidRPr="00270674" w:rsidRDefault="004A5BB7" w:rsidP="005A6324">
      <w:pPr>
        <w:spacing w:line="480" w:lineRule="auto"/>
        <w:ind w:left="720" w:hanging="720"/>
      </w:pPr>
      <w:r w:rsidRPr="00270674">
        <w:t>World Health Organisation.</w:t>
      </w:r>
      <w:r w:rsidR="005A6324" w:rsidRPr="00270674">
        <w:t xml:space="preserve"> </w:t>
      </w:r>
      <w:r w:rsidRPr="00270674">
        <w:t>(</w:t>
      </w:r>
      <w:r w:rsidR="005A6324" w:rsidRPr="00270674">
        <w:t>2001</w:t>
      </w:r>
      <w:r w:rsidRPr="00270674">
        <w:t>).</w:t>
      </w:r>
      <w:r w:rsidR="005A6324" w:rsidRPr="00270674">
        <w:t xml:space="preserve"> 'Mental Health: New </w:t>
      </w:r>
      <w:r w:rsidRPr="00270674">
        <w:t xml:space="preserve">Understanding, New Hope'. </w:t>
      </w:r>
    </w:p>
    <w:p w14:paraId="78B9DC68" w14:textId="4033163F" w:rsidR="0088578C" w:rsidRDefault="00024060" w:rsidP="00190C08">
      <w:pPr>
        <w:spacing w:line="480" w:lineRule="auto"/>
        <w:ind w:left="720" w:hanging="720"/>
        <w:rPr>
          <w:lang w:val="en"/>
        </w:rPr>
      </w:pPr>
      <w:proofErr w:type="spellStart"/>
      <w:r w:rsidRPr="00270674">
        <w:rPr>
          <w:lang w:val="en"/>
        </w:rPr>
        <w:t>Zucchelli</w:t>
      </w:r>
      <w:proofErr w:type="spellEnd"/>
      <w:r w:rsidR="004A5BB7" w:rsidRPr="00270674">
        <w:rPr>
          <w:lang w:val="en"/>
        </w:rPr>
        <w:t>,</w:t>
      </w:r>
      <w:r w:rsidRPr="00270674">
        <w:rPr>
          <w:lang w:val="en"/>
        </w:rPr>
        <w:t xml:space="preserve"> F</w:t>
      </w:r>
      <w:r w:rsidR="004A5BB7" w:rsidRPr="00270674">
        <w:rPr>
          <w:lang w:val="en"/>
        </w:rPr>
        <w:t>.</w:t>
      </w:r>
      <w:r w:rsidRPr="00270674">
        <w:rPr>
          <w:lang w:val="en"/>
        </w:rPr>
        <w:t>,</w:t>
      </w:r>
      <w:r w:rsidR="004A5BB7" w:rsidRPr="00270674">
        <w:rPr>
          <w:lang w:val="en"/>
        </w:rPr>
        <w:t xml:space="preserve"> &amp;</w:t>
      </w:r>
      <w:r w:rsidRPr="00270674">
        <w:rPr>
          <w:lang w:val="en"/>
        </w:rPr>
        <w:t xml:space="preserve"> Skinner</w:t>
      </w:r>
      <w:r w:rsidR="004A5BB7" w:rsidRPr="00270674">
        <w:rPr>
          <w:lang w:val="en"/>
        </w:rPr>
        <w:t>,</w:t>
      </w:r>
      <w:r w:rsidRPr="00270674">
        <w:rPr>
          <w:lang w:val="en"/>
        </w:rPr>
        <w:t xml:space="preserve"> S</w:t>
      </w:r>
      <w:r w:rsidR="004A5BB7" w:rsidRPr="00270674">
        <w:rPr>
          <w:lang w:val="en"/>
        </w:rPr>
        <w:t>.</w:t>
      </w:r>
      <w:r w:rsidRPr="00270674">
        <w:rPr>
          <w:lang w:val="en"/>
        </w:rPr>
        <w:t xml:space="preserve"> (2013)</w:t>
      </w:r>
      <w:r w:rsidR="004A5BB7" w:rsidRPr="00270674">
        <w:rPr>
          <w:lang w:val="en"/>
        </w:rPr>
        <w:t>.</w:t>
      </w:r>
      <w:r w:rsidRPr="00270674">
        <w:rPr>
          <w:lang w:val="en"/>
        </w:rPr>
        <w:t> </w:t>
      </w:r>
      <w:r w:rsidRPr="00270674">
        <w:rPr>
          <w:iCs/>
          <w:lang w:val="en"/>
        </w:rPr>
        <w:t>Central and North West London NHS Foundation Trust’s (CNWL) recovery college: the story so far</w:t>
      </w:r>
      <w:r w:rsidR="004A5BB7" w:rsidRPr="00270674">
        <w:rPr>
          <w:i/>
          <w:iCs/>
          <w:lang w:val="en"/>
        </w:rPr>
        <w:t>.</w:t>
      </w:r>
      <w:r w:rsidRPr="00270674">
        <w:rPr>
          <w:lang w:val="en"/>
        </w:rPr>
        <w:t xml:space="preserve"> </w:t>
      </w:r>
      <w:r w:rsidRPr="00270674">
        <w:rPr>
          <w:i/>
          <w:lang w:val="en"/>
        </w:rPr>
        <w:t>Mental Health and Social Inclusion, </w:t>
      </w:r>
      <w:r w:rsidRPr="00270674">
        <w:rPr>
          <w:bCs/>
          <w:i/>
          <w:lang w:val="en"/>
        </w:rPr>
        <w:t>17</w:t>
      </w:r>
      <w:r w:rsidRPr="00270674">
        <w:rPr>
          <w:i/>
          <w:lang w:val="en"/>
        </w:rPr>
        <w:t xml:space="preserve">, </w:t>
      </w:r>
      <w:r w:rsidRPr="00270674">
        <w:rPr>
          <w:lang w:val="en"/>
        </w:rPr>
        <w:t>183-189.</w:t>
      </w:r>
      <w:r w:rsidR="00C8321C" w:rsidRPr="00270674">
        <w:t xml:space="preserve"> </w:t>
      </w:r>
      <w:hyperlink r:id="rId22" w:history="1">
        <w:r w:rsidR="00C8321C" w:rsidRPr="00270674">
          <w:rPr>
            <w:rStyle w:val="Hyperlink"/>
            <w:lang w:val="en"/>
          </w:rPr>
          <w:t>https://doi.org/10.1108/MHSI-07-2013-0023</w:t>
        </w:r>
      </w:hyperlink>
      <w:r w:rsidR="00C8321C" w:rsidRPr="00270674">
        <w:rPr>
          <w:lang w:val="en"/>
        </w:rPr>
        <w:t xml:space="preserve"> </w:t>
      </w:r>
    </w:p>
    <w:p w14:paraId="02E93B05" w14:textId="165FBECC" w:rsidR="00AC1ECA" w:rsidRDefault="00AC1ECA" w:rsidP="00190C08">
      <w:pPr>
        <w:spacing w:line="480" w:lineRule="auto"/>
        <w:ind w:left="720" w:hanging="720"/>
        <w:rPr>
          <w:lang w:val="en"/>
        </w:rPr>
      </w:pPr>
    </w:p>
    <w:p w14:paraId="722763EF" w14:textId="26D2F326" w:rsidR="00F7316E" w:rsidRDefault="00F7316E" w:rsidP="00190C08">
      <w:pPr>
        <w:spacing w:line="480" w:lineRule="auto"/>
        <w:ind w:left="720" w:hanging="720"/>
        <w:rPr>
          <w:lang w:val="en"/>
        </w:rPr>
      </w:pPr>
    </w:p>
    <w:p w14:paraId="05C6B87F" w14:textId="5D06B247" w:rsidR="00F7316E" w:rsidRDefault="00F7316E" w:rsidP="00190C08">
      <w:pPr>
        <w:spacing w:line="480" w:lineRule="auto"/>
        <w:ind w:left="720" w:hanging="720"/>
        <w:rPr>
          <w:lang w:val="en"/>
        </w:rPr>
      </w:pPr>
    </w:p>
    <w:p w14:paraId="64F22E26" w14:textId="4F9F3643" w:rsidR="00F7316E" w:rsidRDefault="00F7316E" w:rsidP="00190C08">
      <w:pPr>
        <w:spacing w:line="480" w:lineRule="auto"/>
        <w:ind w:left="720" w:hanging="720"/>
        <w:rPr>
          <w:lang w:val="en"/>
        </w:rPr>
      </w:pPr>
    </w:p>
    <w:p w14:paraId="29F19104" w14:textId="68F39864" w:rsidR="00F7316E" w:rsidRDefault="00F7316E" w:rsidP="00190C08">
      <w:pPr>
        <w:spacing w:line="480" w:lineRule="auto"/>
        <w:ind w:left="720" w:hanging="720"/>
        <w:rPr>
          <w:lang w:val="en"/>
        </w:rPr>
      </w:pPr>
    </w:p>
    <w:p w14:paraId="642A119D" w14:textId="094CAC97" w:rsidR="00F7316E" w:rsidRDefault="00F7316E" w:rsidP="00190C08">
      <w:pPr>
        <w:spacing w:line="480" w:lineRule="auto"/>
        <w:ind w:left="720" w:hanging="720"/>
        <w:rPr>
          <w:lang w:val="en"/>
        </w:rPr>
      </w:pPr>
    </w:p>
    <w:p w14:paraId="5D85C16B" w14:textId="7B13F0F7" w:rsidR="00F7316E" w:rsidRDefault="00F7316E" w:rsidP="00190C08">
      <w:pPr>
        <w:spacing w:line="480" w:lineRule="auto"/>
        <w:ind w:left="720" w:hanging="720"/>
        <w:rPr>
          <w:lang w:val="en"/>
        </w:rPr>
      </w:pPr>
    </w:p>
    <w:p w14:paraId="47101C1B" w14:textId="6A8AA79C" w:rsidR="00F7316E" w:rsidRDefault="00F7316E" w:rsidP="00190C08">
      <w:pPr>
        <w:spacing w:line="480" w:lineRule="auto"/>
        <w:ind w:left="720" w:hanging="720"/>
        <w:rPr>
          <w:lang w:val="en"/>
        </w:rPr>
      </w:pPr>
    </w:p>
    <w:p w14:paraId="644D0EA5" w14:textId="12FCF2B4" w:rsidR="00F7316E" w:rsidRDefault="00F7316E" w:rsidP="00190C08">
      <w:pPr>
        <w:spacing w:line="480" w:lineRule="auto"/>
        <w:ind w:left="720" w:hanging="720"/>
        <w:rPr>
          <w:lang w:val="en"/>
        </w:rPr>
      </w:pPr>
    </w:p>
    <w:p w14:paraId="0CF7973F" w14:textId="4CA75BA3" w:rsidR="00F7316E" w:rsidRDefault="00F7316E" w:rsidP="00190C08">
      <w:pPr>
        <w:spacing w:line="480" w:lineRule="auto"/>
        <w:ind w:left="720" w:hanging="720"/>
        <w:rPr>
          <w:lang w:val="en"/>
        </w:rPr>
      </w:pPr>
    </w:p>
    <w:p w14:paraId="4B734CB0" w14:textId="73898218" w:rsidR="00F7316E" w:rsidRDefault="00F7316E" w:rsidP="00190C08">
      <w:pPr>
        <w:spacing w:line="480" w:lineRule="auto"/>
        <w:ind w:left="720" w:hanging="720"/>
        <w:rPr>
          <w:lang w:val="en"/>
        </w:rPr>
      </w:pPr>
    </w:p>
    <w:p w14:paraId="7D50D6D0" w14:textId="4CCBCD29" w:rsidR="00F7316E" w:rsidRDefault="00F7316E" w:rsidP="00190C08">
      <w:pPr>
        <w:spacing w:line="480" w:lineRule="auto"/>
        <w:ind w:left="720" w:hanging="720"/>
        <w:rPr>
          <w:lang w:val="en"/>
        </w:rPr>
      </w:pPr>
    </w:p>
    <w:p w14:paraId="418A7051" w14:textId="49850972" w:rsidR="00F7316E" w:rsidRDefault="00F7316E" w:rsidP="00190C08">
      <w:pPr>
        <w:spacing w:line="480" w:lineRule="auto"/>
        <w:ind w:left="720" w:hanging="720"/>
        <w:rPr>
          <w:lang w:val="en"/>
        </w:rPr>
      </w:pPr>
    </w:p>
    <w:p w14:paraId="0FC83634" w14:textId="77777777" w:rsidR="00F7316E" w:rsidRPr="00270674" w:rsidRDefault="00F7316E" w:rsidP="00190C08">
      <w:pPr>
        <w:spacing w:line="480" w:lineRule="auto"/>
        <w:ind w:left="720" w:hanging="720"/>
        <w:rPr>
          <w:lang w:val="en"/>
        </w:rPr>
      </w:pPr>
    </w:p>
    <w:p w14:paraId="67A240C2" w14:textId="531EFF58" w:rsidR="0088578C" w:rsidRPr="00270674" w:rsidRDefault="00967096" w:rsidP="00CC4BF7">
      <w:pPr>
        <w:spacing w:line="480" w:lineRule="auto"/>
        <w:ind w:left="720" w:hanging="720"/>
        <w:rPr>
          <w:lang w:val="en"/>
        </w:rPr>
      </w:pPr>
      <w:r w:rsidRPr="0053048D">
        <w:rPr>
          <w:lang w:val="en"/>
        </w:rPr>
        <w:lastRenderedPageBreak/>
        <w:t xml:space="preserve">Table 1: </w:t>
      </w:r>
      <w:r w:rsidR="00AC1ECA" w:rsidRPr="0053048D">
        <w:rPr>
          <w:lang w:val="en"/>
        </w:rPr>
        <w:t>Sample of participants.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2409"/>
        <w:gridCol w:w="2410"/>
        <w:gridCol w:w="2410"/>
      </w:tblGrid>
      <w:tr w:rsidR="00967096" w:rsidRPr="00270674" w14:paraId="27E04DCC" w14:textId="77777777" w:rsidTr="00190C08">
        <w:tc>
          <w:tcPr>
            <w:tcW w:w="1276" w:type="dxa"/>
            <w:tcBorders>
              <w:left w:val="nil"/>
              <w:right w:val="nil"/>
            </w:tcBorders>
          </w:tcPr>
          <w:p w14:paraId="7E7BE4E0" w14:textId="13A94585" w:rsidR="00967096" w:rsidRPr="00270674" w:rsidRDefault="00967096" w:rsidP="00413516"/>
        </w:tc>
        <w:tc>
          <w:tcPr>
            <w:tcW w:w="2409" w:type="dxa"/>
            <w:tcBorders>
              <w:left w:val="nil"/>
              <w:right w:val="nil"/>
            </w:tcBorders>
          </w:tcPr>
          <w:p w14:paraId="58317842" w14:textId="1E781CBC" w:rsidR="00967096" w:rsidRPr="00270674" w:rsidRDefault="00967096" w:rsidP="00413516">
            <w:r w:rsidRPr="00270674">
              <w:t xml:space="preserve">Baseline </w:t>
            </w:r>
            <w:r w:rsidR="00413516" w:rsidRPr="00270674">
              <w:t>&amp;</w:t>
            </w:r>
            <w:r w:rsidRPr="00270674">
              <w:t xml:space="preserve"> 3 month follow-up (SWEMWBS &amp; SIS)</w:t>
            </w:r>
          </w:p>
          <w:p w14:paraId="7CDF5823" w14:textId="77777777" w:rsidR="00967096" w:rsidRPr="00270674" w:rsidRDefault="00967096" w:rsidP="00413516"/>
        </w:tc>
        <w:tc>
          <w:tcPr>
            <w:tcW w:w="2410" w:type="dxa"/>
            <w:tcBorders>
              <w:left w:val="nil"/>
              <w:right w:val="nil"/>
            </w:tcBorders>
          </w:tcPr>
          <w:p w14:paraId="1F452097" w14:textId="72E3E277" w:rsidR="00967096" w:rsidRPr="00270674" w:rsidRDefault="00967096" w:rsidP="00413516">
            <w:r w:rsidRPr="00270674">
              <w:t xml:space="preserve">Baseline </w:t>
            </w:r>
            <w:r w:rsidR="00413516" w:rsidRPr="00270674">
              <w:t>&amp;</w:t>
            </w:r>
            <w:r w:rsidRPr="00270674">
              <w:t xml:space="preserve"> 6 month follow-up (SWEMWBS)</w:t>
            </w:r>
          </w:p>
        </w:tc>
        <w:tc>
          <w:tcPr>
            <w:tcW w:w="2410" w:type="dxa"/>
            <w:tcBorders>
              <w:left w:val="nil"/>
              <w:right w:val="nil"/>
            </w:tcBorders>
          </w:tcPr>
          <w:p w14:paraId="3A000DA8" w14:textId="307C7977" w:rsidR="00967096" w:rsidRPr="00270674" w:rsidRDefault="00967096" w:rsidP="00413516">
            <w:r w:rsidRPr="00270674">
              <w:t xml:space="preserve">Baseline </w:t>
            </w:r>
            <w:r w:rsidR="00413516" w:rsidRPr="00270674">
              <w:t>&amp;</w:t>
            </w:r>
            <w:r w:rsidRPr="00270674">
              <w:t xml:space="preserve"> 6 month follow-up (SIS)</w:t>
            </w:r>
          </w:p>
        </w:tc>
      </w:tr>
      <w:tr w:rsidR="00967096" w:rsidRPr="00270674" w14:paraId="0F1FC316" w14:textId="77777777" w:rsidTr="00D900BA">
        <w:trPr>
          <w:trHeight w:val="735"/>
        </w:trPr>
        <w:tc>
          <w:tcPr>
            <w:tcW w:w="1276" w:type="dxa"/>
            <w:tcBorders>
              <w:left w:val="nil"/>
              <w:bottom w:val="nil"/>
              <w:right w:val="nil"/>
            </w:tcBorders>
          </w:tcPr>
          <w:p w14:paraId="10884E3C" w14:textId="0A38D3F2" w:rsidR="00967096" w:rsidRPr="00270674" w:rsidRDefault="00967096" w:rsidP="00413516">
            <w:pPr>
              <w:rPr>
                <w:i/>
              </w:rPr>
            </w:pPr>
            <w:r w:rsidRPr="00270674">
              <w:rPr>
                <w:i/>
              </w:rPr>
              <w:t>n</w:t>
            </w:r>
          </w:p>
        </w:tc>
        <w:tc>
          <w:tcPr>
            <w:tcW w:w="2409" w:type="dxa"/>
            <w:tcBorders>
              <w:left w:val="nil"/>
              <w:bottom w:val="nil"/>
              <w:right w:val="nil"/>
            </w:tcBorders>
          </w:tcPr>
          <w:p w14:paraId="582E2013" w14:textId="7F650FD4" w:rsidR="00967096" w:rsidRPr="00270674" w:rsidRDefault="00967096" w:rsidP="00413516">
            <w:r w:rsidRPr="00270674">
              <w:t>11</w:t>
            </w:r>
          </w:p>
        </w:tc>
        <w:tc>
          <w:tcPr>
            <w:tcW w:w="2410" w:type="dxa"/>
            <w:tcBorders>
              <w:left w:val="nil"/>
              <w:bottom w:val="nil"/>
              <w:right w:val="nil"/>
            </w:tcBorders>
          </w:tcPr>
          <w:p w14:paraId="7C914F4B" w14:textId="60998557" w:rsidR="00967096" w:rsidRPr="00270674" w:rsidRDefault="00967096" w:rsidP="00413516">
            <w:r w:rsidRPr="00270674">
              <w:t>25</w:t>
            </w:r>
          </w:p>
        </w:tc>
        <w:tc>
          <w:tcPr>
            <w:tcW w:w="2410" w:type="dxa"/>
            <w:tcBorders>
              <w:left w:val="nil"/>
              <w:bottom w:val="nil"/>
              <w:right w:val="nil"/>
            </w:tcBorders>
          </w:tcPr>
          <w:p w14:paraId="6D9BDAA4" w14:textId="00E7B22F" w:rsidR="00967096" w:rsidRPr="00270674" w:rsidRDefault="00967096" w:rsidP="00413516">
            <w:r w:rsidRPr="00270674">
              <w:t>19</w:t>
            </w:r>
          </w:p>
        </w:tc>
      </w:tr>
      <w:tr w:rsidR="00967096" w:rsidRPr="00270674" w14:paraId="7DCBD2AE" w14:textId="77777777" w:rsidTr="00D900BA">
        <w:trPr>
          <w:trHeight w:val="1124"/>
        </w:trPr>
        <w:tc>
          <w:tcPr>
            <w:tcW w:w="1276" w:type="dxa"/>
            <w:tcBorders>
              <w:top w:val="nil"/>
              <w:left w:val="nil"/>
              <w:bottom w:val="nil"/>
              <w:right w:val="nil"/>
            </w:tcBorders>
          </w:tcPr>
          <w:p w14:paraId="631555D0" w14:textId="30D02F91" w:rsidR="00967096" w:rsidRPr="00270674" w:rsidRDefault="00967096" w:rsidP="00C32332">
            <w:pPr>
              <w:rPr>
                <w:i/>
              </w:rPr>
            </w:pPr>
            <w:r w:rsidRPr="00270674">
              <w:rPr>
                <w:i/>
              </w:rPr>
              <w:t>Gender split (</w:t>
            </w:r>
            <w:r w:rsidR="00C32332" w:rsidRPr="00270674">
              <w:rPr>
                <w:i/>
              </w:rPr>
              <w:t>M/F</w:t>
            </w:r>
            <w:r w:rsidRPr="00270674">
              <w:rPr>
                <w:i/>
              </w:rPr>
              <w:t>)</w:t>
            </w:r>
          </w:p>
        </w:tc>
        <w:tc>
          <w:tcPr>
            <w:tcW w:w="2409" w:type="dxa"/>
            <w:tcBorders>
              <w:top w:val="nil"/>
              <w:left w:val="nil"/>
              <w:bottom w:val="nil"/>
              <w:right w:val="nil"/>
            </w:tcBorders>
          </w:tcPr>
          <w:p w14:paraId="1EA47268" w14:textId="77777777" w:rsidR="00967096" w:rsidRPr="00270674" w:rsidRDefault="00967096" w:rsidP="00413516">
            <w:r w:rsidRPr="00270674">
              <w:t>7 M / 4 F</w:t>
            </w:r>
          </w:p>
          <w:p w14:paraId="4489EA13" w14:textId="0D567715" w:rsidR="00967096" w:rsidRPr="00270674" w:rsidRDefault="00967096" w:rsidP="00413516">
            <w:r w:rsidRPr="00270674">
              <w:t>64% / 36%</w:t>
            </w:r>
          </w:p>
        </w:tc>
        <w:tc>
          <w:tcPr>
            <w:tcW w:w="2410" w:type="dxa"/>
            <w:tcBorders>
              <w:top w:val="nil"/>
              <w:left w:val="nil"/>
              <w:bottom w:val="nil"/>
              <w:right w:val="nil"/>
            </w:tcBorders>
          </w:tcPr>
          <w:p w14:paraId="16F6CC87" w14:textId="77777777" w:rsidR="00967096" w:rsidRPr="00270674" w:rsidRDefault="00967096" w:rsidP="00413516">
            <w:r w:rsidRPr="00270674">
              <w:t>11 M / 14 F</w:t>
            </w:r>
          </w:p>
          <w:p w14:paraId="79E5A8C0" w14:textId="0090BCA6" w:rsidR="00967096" w:rsidRPr="00270674" w:rsidRDefault="00967096" w:rsidP="00413516">
            <w:r w:rsidRPr="00270674">
              <w:t>44% / 56%</w:t>
            </w:r>
          </w:p>
        </w:tc>
        <w:tc>
          <w:tcPr>
            <w:tcW w:w="2410" w:type="dxa"/>
            <w:tcBorders>
              <w:top w:val="nil"/>
              <w:left w:val="nil"/>
              <w:bottom w:val="nil"/>
              <w:right w:val="nil"/>
            </w:tcBorders>
          </w:tcPr>
          <w:p w14:paraId="58B1974E" w14:textId="77777777" w:rsidR="00967096" w:rsidRPr="00270674" w:rsidRDefault="00967096" w:rsidP="00413516">
            <w:r w:rsidRPr="00270674">
              <w:t>7 M / 12 F</w:t>
            </w:r>
          </w:p>
          <w:p w14:paraId="7A87C362" w14:textId="68A9133A" w:rsidR="00967096" w:rsidRPr="00270674" w:rsidRDefault="00967096" w:rsidP="00413516">
            <w:r w:rsidRPr="00270674">
              <w:t>37% / 63%</w:t>
            </w:r>
          </w:p>
        </w:tc>
      </w:tr>
      <w:tr w:rsidR="00967096" w:rsidRPr="00270674" w14:paraId="5F2D5411" w14:textId="77777777" w:rsidTr="00D900BA">
        <w:trPr>
          <w:trHeight w:val="1566"/>
        </w:trPr>
        <w:tc>
          <w:tcPr>
            <w:tcW w:w="1276" w:type="dxa"/>
            <w:tcBorders>
              <w:top w:val="nil"/>
              <w:left w:val="nil"/>
              <w:bottom w:val="nil"/>
              <w:right w:val="nil"/>
            </w:tcBorders>
          </w:tcPr>
          <w:p w14:paraId="333BB2AB" w14:textId="1D63DFAE" w:rsidR="00967096" w:rsidRPr="00270674" w:rsidRDefault="00967096" w:rsidP="00413516">
            <w:pPr>
              <w:rPr>
                <w:i/>
              </w:rPr>
            </w:pPr>
            <w:r w:rsidRPr="00270674">
              <w:rPr>
                <w:i/>
              </w:rPr>
              <w:t>Ethnicity</w:t>
            </w:r>
          </w:p>
        </w:tc>
        <w:tc>
          <w:tcPr>
            <w:tcW w:w="2409" w:type="dxa"/>
            <w:tcBorders>
              <w:top w:val="nil"/>
              <w:left w:val="nil"/>
              <w:bottom w:val="nil"/>
              <w:right w:val="nil"/>
            </w:tcBorders>
          </w:tcPr>
          <w:p w14:paraId="69E4ACFE" w14:textId="77777777" w:rsidR="00967096" w:rsidRPr="00270674" w:rsidRDefault="00967096" w:rsidP="00413516">
            <w:r w:rsidRPr="00270674">
              <w:t>10 White British (91%)</w:t>
            </w:r>
          </w:p>
          <w:p w14:paraId="144225B0" w14:textId="7DF6DA4A" w:rsidR="00967096" w:rsidRPr="00270674" w:rsidRDefault="00967096" w:rsidP="00413516">
            <w:r w:rsidRPr="00270674">
              <w:t>1 Indian (9%)</w:t>
            </w:r>
          </w:p>
        </w:tc>
        <w:tc>
          <w:tcPr>
            <w:tcW w:w="2410" w:type="dxa"/>
            <w:tcBorders>
              <w:top w:val="nil"/>
              <w:left w:val="nil"/>
              <w:bottom w:val="nil"/>
              <w:right w:val="nil"/>
            </w:tcBorders>
          </w:tcPr>
          <w:p w14:paraId="656EA5EE" w14:textId="77777777" w:rsidR="00967096" w:rsidRPr="00270674" w:rsidRDefault="00967096" w:rsidP="00413516">
            <w:r w:rsidRPr="00270674">
              <w:t>23 White British (92%)</w:t>
            </w:r>
          </w:p>
          <w:p w14:paraId="32604794" w14:textId="58646F7A" w:rsidR="00967096" w:rsidRPr="00270674" w:rsidRDefault="00967096" w:rsidP="00413516">
            <w:r w:rsidRPr="00270674">
              <w:t>1 Indian (4%)</w:t>
            </w:r>
          </w:p>
          <w:p w14:paraId="48AC8310" w14:textId="088D4B9E" w:rsidR="00967096" w:rsidRPr="00270674" w:rsidRDefault="00967096" w:rsidP="00413516">
            <w:r w:rsidRPr="00270674">
              <w:t>1 British Muslim (4%)</w:t>
            </w:r>
          </w:p>
        </w:tc>
        <w:tc>
          <w:tcPr>
            <w:tcW w:w="2410" w:type="dxa"/>
            <w:tcBorders>
              <w:top w:val="nil"/>
              <w:left w:val="nil"/>
              <w:bottom w:val="nil"/>
              <w:right w:val="nil"/>
            </w:tcBorders>
          </w:tcPr>
          <w:p w14:paraId="16467A62" w14:textId="77777777" w:rsidR="00967096" w:rsidRPr="00270674" w:rsidRDefault="00967096" w:rsidP="00413516">
            <w:r w:rsidRPr="00270674">
              <w:t>17 White British (90%)</w:t>
            </w:r>
          </w:p>
          <w:p w14:paraId="3C0F5F0E" w14:textId="77777777" w:rsidR="00967096" w:rsidRPr="00270674" w:rsidRDefault="00967096" w:rsidP="00413516">
            <w:r w:rsidRPr="00270674">
              <w:t>1 Indian (5%)</w:t>
            </w:r>
          </w:p>
          <w:p w14:paraId="1D2CEA83" w14:textId="2D9188F7" w:rsidR="00967096" w:rsidRPr="00270674" w:rsidRDefault="00967096" w:rsidP="00413516">
            <w:r w:rsidRPr="00270674">
              <w:t>1 British Muslim (5%)</w:t>
            </w:r>
          </w:p>
        </w:tc>
      </w:tr>
      <w:tr w:rsidR="00967096" w:rsidRPr="00270674" w14:paraId="06113350" w14:textId="77777777" w:rsidTr="00D900BA">
        <w:trPr>
          <w:trHeight w:val="851"/>
        </w:trPr>
        <w:tc>
          <w:tcPr>
            <w:tcW w:w="1276" w:type="dxa"/>
            <w:tcBorders>
              <w:top w:val="nil"/>
              <w:left w:val="nil"/>
              <w:right w:val="nil"/>
            </w:tcBorders>
          </w:tcPr>
          <w:p w14:paraId="5CE2D7E8" w14:textId="3C712A42" w:rsidR="00967096" w:rsidRPr="00270674" w:rsidRDefault="00967096" w:rsidP="00413516">
            <w:pPr>
              <w:rPr>
                <w:i/>
              </w:rPr>
            </w:pPr>
            <w:r w:rsidRPr="00270674">
              <w:rPr>
                <w:i/>
              </w:rPr>
              <w:t>Mean age (SD)</w:t>
            </w:r>
          </w:p>
        </w:tc>
        <w:tc>
          <w:tcPr>
            <w:tcW w:w="2409" w:type="dxa"/>
            <w:tcBorders>
              <w:top w:val="nil"/>
              <w:left w:val="nil"/>
              <w:right w:val="nil"/>
            </w:tcBorders>
          </w:tcPr>
          <w:p w14:paraId="0581D18D" w14:textId="5BE43DE3" w:rsidR="00967096" w:rsidRPr="00270674" w:rsidRDefault="00967096" w:rsidP="00413516">
            <w:r w:rsidRPr="00270674">
              <w:t>46 (15)</w:t>
            </w:r>
          </w:p>
        </w:tc>
        <w:tc>
          <w:tcPr>
            <w:tcW w:w="2410" w:type="dxa"/>
            <w:tcBorders>
              <w:top w:val="nil"/>
              <w:left w:val="nil"/>
              <w:right w:val="nil"/>
            </w:tcBorders>
          </w:tcPr>
          <w:p w14:paraId="6050C1C6" w14:textId="06915DBE" w:rsidR="00967096" w:rsidRPr="00270674" w:rsidRDefault="00967096" w:rsidP="00413516">
            <w:r w:rsidRPr="00270674">
              <w:t>46 (14)</w:t>
            </w:r>
          </w:p>
        </w:tc>
        <w:tc>
          <w:tcPr>
            <w:tcW w:w="2410" w:type="dxa"/>
            <w:tcBorders>
              <w:top w:val="nil"/>
              <w:left w:val="nil"/>
              <w:right w:val="nil"/>
            </w:tcBorders>
          </w:tcPr>
          <w:p w14:paraId="1526A193" w14:textId="40AB19A5" w:rsidR="00967096" w:rsidRPr="00270674" w:rsidRDefault="00967096" w:rsidP="00413516">
            <w:r w:rsidRPr="00270674">
              <w:t>49 (13)</w:t>
            </w:r>
          </w:p>
        </w:tc>
      </w:tr>
    </w:tbl>
    <w:p w14:paraId="4FA264A2" w14:textId="3B9809E5" w:rsidR="00967096" w:rsidRPr="00AC1ECA" w:rsidRDefault="00AC1ECA" w:rsidP="00CC4BF7">
      <w:pPr>
        <w:spacing w:line="480" w:lineRule="auto"/>
        <w:ind w:left="720" w:hanging="720"/>
        <w:rPr>
          <w:lang w:val="en"/>
        </w:rPr>
      </w:pPr>
      <w:r w:rsidRPr="0053048D">
        <w:rPr>
          <w:i/>
          <w:lang w:val="en"/>
        </w:rPr>
        <w:t xml:space="preserve">Note: </w:t>
      </w:r>
      <w:r w:rsidRPr="0053048D">
        <w:rPr>
          <w:lang w:val="en"/>
        </w:rPr>
        <w:t>M=male, F=female; SD=standard deviation.</w:t>
      </w:r>
    </w:p>
    <w:p w14:paraId="5E2A19ED" w14:textId="77777777" w:rsidR="00967096" w:rsidRPr="00270674" w:rsidRDefault="00967096" w:rsidP="00CC4BF7">
      <w:pPr>
        <w:spacing w:line="480" w:lineRule="auto"/>
        <w:ind w:left="720" w:hanging="720"/>
        <w:rPr>
          <w:lang w:val="en"/>
        </w:rPr>
      </w:pPr>
    </w:p>
    <w:p w14:paraId="2A84A222" w14:textId="2754505D" w:rsidR="0088578C" w:rsidRPr="00270674" w:rsidRDefault="0088578C" w:rsidP="00CC4BF7">
      <w:pPr>
        <w:spacing w:line="480" w:lineRule="auto"/>
        <w:ind w:left="720" w:hanging="720"/>
        <w:rPr>
          <w:lang w:val="en"/>
        </w:rPr>
      </w:pPr>
    </w:p>
    <w:p w14:paraId="689BCD2F" w14:textId="07EDE1D7" w:rsidR="0088578C" w:rsidRPr="00270674" w:rsidRDefault="0088578C" w:rsidP="00CC4BF7">
      <w:pPr>
        <w:spacing w:line="480" w:lineRule="auto"/>
        <w:ind w:left="720" w:hanging="720"/>
        <w:rPr>
          <w:lang w:val="en"/>
        </w:rPr>
      </w:pPr>
    </w:p>
    <w:p w14:paraId="4BFDB65E" w14:textId="4E263A6C" w:rsidR="0088578C" w:rsidRPr="00270674" w:rsidRDefault="0088578C" w:rsidP="00CC4BF7">
      <w:pPr>
        <w:spacing w:line="480" w:lineRule="auto"/>
        <w:ind w:left="720" w:hanging="720"/>
        <w:rPr>
          <w:lang w:val="en"/>
        </w:rPr>
      </w:pPr>
    </w:p>
    <w:p w14:paraId="2B9C0F29" w14:textId="3446C6A9" w:rsidR="0088578C" w:rsidRPr="00270674" w:rsidRDefault="0088578C" w:rsidP="00CC4BF7">
      <w:pPr>
        <w:spacing w:line="480" w:lineRule="auto"/>
        <w:ind w:left="720" w:hanging="720"/>
        <w:rPr>
          <w:lang w:val="en"/>
        </w:rPr>
      </w:pPr>
    </w:p>
    <w:p w14:paraId="1A401E29" w14:textId="0E65E253" w:rsidR="0088578C" w:rsidRPr="00270674" w:rsidRDefault="0088578C" w:rsidP="00CC4BF7">
      <w:pPr>
        <w:spacing w:line="480" w:lineRule="auto"/>
        <w:ind w:left="720" w:hanging="720"/>
        <w:rPr>
          <w:lang w:val="en"/>
        </w:rPr>
      </w:pPr>
    </w:p>
    <w:p w14:paraId="3913C20F" w14:textId="24F8A56F" w:rsidR="0088578C" w:rsidRPr="00270674" w:rsidRDefault="0088578C" w:rsidP="00CC4BF7">
      <w:pPr>
        <w:spacing w:line="480" w:lineRule="auto"/>
        <w:ind w:left="720" w:hanging="720"/>
        <w:rPr>
          <w:lang w:val="en"/>
        </w:rPr>
      </w:pPr>
    </w:p>
    <w:p w14:paraId="5A690D45" w14:textId="77777777" w:rsidR="00446F49" w:rsidRPr="00270674" w:rsidRDefault="00446F49" w:rsidP="00CC4BF7">
      <w:pPr>
        <w:spacing w:line="480" w:lineRule="auto"/>
        <w:ind w:left="720" w:hanging="720"/>
      </w:pPr>
    </w:p>
    <w:p w14:paraId="150BE072" w14:textId="5907A516" w:rsidR="00EE2B97" w:rsidRPr="00270674" w:rsidRDefault="00EE2B97" w:rsidP="00CC4BF7">
      <w:pPr>
        <w:spacing w:line="480" w:lineRule="auto"/>
        <w:ind w:left="720" w:hanging="720"/>
      </w:pPr>
    </w:p>
    <w:p w14:paraId="15551C61" w14:textId="48D39464" w:rsidR="00BD12A6" w:rsidRPr="00270674" w:rsidRDefault="00BD12A6" w:rsidP="00CC4BF7">
      <w:pPr>
        <w:spacing w:line="480" w:lineRule="auto"/>
        <w:ind w:left="720" w:hanging="720"/>
      </w:pPr>
    </w:p>
    <w:p w14:paraId="77F09DC3" w14:textId="6AE87075" w:rsidR="00BD12A6" w:rsidRPr="00270674" w:rsidRDefault="00BD12A6" w:rsidP="00CC4BF7">
      <w:pPr>
        <w:spacing w:line="480" w:lineRule="auto"/>
        <w:ind w:left="720" w:hanging="720"/>
      </w:pPr>
    </w:p>
    <w:p w14:paraId="722F2440" w14:textId="77777777" w:rsidR="00BD12A6" w:rsidRPr="00270674" w:rsidRDefault="00BD12A6" w:rsidP="00CC4BF7">
      <w:pPr>
        <w:spacing w:line="480" w:lineRule="auto"/>
        <w:ind w:left="720" w:hanging="720"/>
      </w:pPr>
    </w:p>
    <w:p w14:paraId="2AB1A24D" w14:textId="77777777" w:rsidR="00777125" w:rsidRPr="00270674" w:rsidRDefault="00777125" w:rsidP="00777125">
      <w:pPr>
        <w:spacing w:line="480" w:lineRule="auto"/>
      </w:pPr>
    </w:p>
    <w:p w14:paraId="7BAC2D66" w14:textId="19CAE0ED" w:rsidR="00777125" w:rsidRPr="00270674" w:rsidRDefault="00777125" w:rsidP="00777125">
      <w:r w:rsidRPr="00270674">
        <w:lastRenderedPageBreak/>
        <w:t xml:space="preserve">Table </w:t>
      </w:r>
      <w:r w:rsidR="00AF3EC6" w:rsidRPr="00270674">
        <w:t>2</w:t>
      </w:r>
      <w:r w:rsidRPr="00270674">
        <w:t>: Baseline and 6 month follow-up total wellbeing scores.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5"/>
        <w:gridCol w:w="2115"/>
        <w:gridCol w:w="1005"/>
        <w:gridCol w:w="1006"/>
        <w:gridCol w:w="2071"/>
      </w:tblGrid>
      <w:tr w:rsidR="00777125" w:rsidRPr="00270674" w14:paraId="756F7224" w14:textId="77777777" w:rsidTr="00413516">
        <w:tc>
          <w:tcPr>
            <w:tcW w:w="2322" w:type="dxa"/>
            <w:tcBorders>
              <w:left w:val="nil"/>
              <w:right w:val="nil"/>
            </w:tcBorders>
          </w:tcPr>
          <w:p w14:paraId="1756A28F" w14:textId="77777777" w:rsidR="00777125" w:rsidRPr="00270674" w:rsidRDefault="00777125" w:rsidP="00413516">
            <w:r w:rsidRPr="00270674">
              <w:t>Wellbeing baseline</w:t>
            </w:r>
          </w:p>
          <w:p w14:paraId="71A70F34" w14:textId="73A03105" w:rsidR="00777125" w:rsidRPr="00270674" w:rsidRDefault="00777125" w:rsidP="00413516">
            <w:r w:rsidRPr="00270674">
              <w:t>M</w:t>
            </w:r>
            <w:r w:rsidR="00AC1ECA">
              <w:t>ean</w:t>
            </w:r>
            <w:r w:rsidRPr="00270674">
              <w:t xml:space="preserve"> (SD)</w:t>
            </w:r>
          </w:p>
        </w:tc>
        <w:tc>
          <w:tcPr>
            <w:tcW w:w="2322" w:type="dxa"/>
            <w:tcBorders>
              <w:left w:val="nil"/>
              <w:right w:val="nil"/>
            </w:tcBorders>
          </w:tcPr>
          <w:p w14:paraId="30FF3421" w14:textId="77777777" w:rsidR="00777125" w:rsidRPr="00270674" w:rsidRDefault="00777125" w:rsidP="00413516">
            <w:r w:rsidRPr="00270674">
              <w:t xml:space="preserve">Wellbeing </w:t>
            </w:r>
          </w:p>
          <w:p w14:paraId="497FA1BE" w14:textId="77777777" w:rsidR="00777125" w:rsidRPr="00270674" w:rsidRDefault="00777125" w:rsidP="00413516">
            <w:r w:rsidRPr="00270674">
              <w:t>6 month follow-up</w:t>
            </w:r>
          </w:p>
          <w:p w14:paraId="406CC200" w14:textId="0EC36DCA" w:rsidR="00777125" w:rsidRPr="00270674" w:rsidRDefault="00777125" w:rsidP="00413516">
            <w:r w:rsidRPr="00270674">
              <w:t>M</w:t>
            </w:r>
            <w:r w:rsidR="00AC1ECA">
              <w:t>ean</w:t>
            </w:r>
            <w:r w:rsidRPr="00270674">
              <w:t xml:space="preserve"> (SD)</w:t>
            </w:r>
          </w:p>
          <w:p w14:paraId="275B5AE2" w14:textId="77777777" w:rsidR="00777125" w:rsidRPr="00270674" w:rsidRDefault="00777125" w:rsidP="00413516"/>
        </w:tc>
        <w:tc>
          <w:tcPr>
            <w:tcW w:w="1063" w:type="dxa"/>
            <w:tcBorders>
              <w:left w:val="nil"/>
              <w:right w:val="nil"/>
            </w:tcBorders>
          </w:tcPr>
          <w:p w14:paraId="76BA649E" w14:textId="77777777" w:rsidR="00777125" w:rsidRPr="00270674" w:rsidRDefault="00777125" w:rsidP="00413516">
            <w:pPr>
              <w:rPr>
                <w:i/>
              </w:rPr>
            </w:pPr>
            <w:r w:rsidRPr="00270674">
              <w:rPr>
                <w:i/>
              </w:rPr>
              <w:t>t</w:t>
            </w:r>
          </w:p>
        </w:tc>
        <w:tc>
          <w:tcPr>
            <w:tcW w:w="1064" w:type="dxa"/>
            <w:tcBorders>
              <w:left w:val="nil"/>
              <w:right w:val="nil"/>
            </w:tcBorders>
          </w:tcPr>
          <w:p w14:paraId="67B2FD67" w14:textId="77777777" w:rsidR="00777125" w:rsidRPr="00270674" w:rsidRDefault="00777125" w:rsidP="00413516">
            <w:pPr>
              <w:rPr>
                <w:i/>
              </w:rPr>
            </w:pPr>
            <w:r w:rsidRPr="00270674">
              <w:rPr>
                <w:i/>
              </w:rPr>
              <w:t>p</w:t>
            </w:r>
          </w:p>
        </w:tc>
        <w:tc>
          <w:tcPr>
            <w:tcW w:w="2268" w:type="dxa"/>
            <w:tcBorders>
              <w:left w:val="nil"/>
              <w:right w:val="nil"/>
            </w:tcBorders>
          </w:tcPr>
          <w:p w14:paraId="58B049EF" w14:textId="77777777" w:rsidR="00777125" w:rsidRPr="00270674" w:rsidRDefault="00777125" w:rsidP="00413516">
            <w:r w:rsidRPr="00270674">
              <w:t>Wellbeing change</w:t>
            </w:r>
          </w:p>
          <w:p w14:paraId="7E1136C7" w14:textId="71EB0738" w:rsidR="00777125" w:rsidRPr="00270674" w:rsidRDefault="00777125" w:rsidP="00413516">
            <w:r w:rsidRPr="00270674">
              <w:t>M</w:t>
            </w:r>
            <w:r w:rsidR="00AC1ECA">
              <w:t>ean</w:t>
            </w:r>
            <w:r w:rsidRPr="00270674">
              <w:t xml:space="preserve"> (SD)</w:t>
            </w:r>
          </w:p>
        </w:tc>
      </w:tr>
      <w:tr w:rsidR="00777125" w:rsidRPr="00270674" w14:paraId="37E6D252" w14:textId="77777777" w:rsidTr="00413516">
        <w:tc>
          <w:tcPr>
            <w:tcW w:w="2322" w:type="dxa"/>
            <w:tcBorders>
              <w:left w:val="nil"/>
              <w:right w:val="nil"/>
            </w:tcBorders>
          </w:tcPr>
          <w:p w14:paraId="4F7AC70A" w14:textId="77777777" w:rsidR="00777125" w:rsidRPr="00270674" w:rsidRDefault="00777125" w:rsidP="00413516">
            <w:r w:rsidRPr="00270674">
              <w:t>19.56 (4.81)</w:t>
            </w:r>
          </w:p>
        </w:tc>
        <w:tc>
          <w:tcPr>
            <w:tcW w:w="2322" w:type="dxa"/>
            <w:tcBorders>
              <w:left w:val="nil"/>
              <w:right w:val="nil"/>
            </w:tcBorders>
          </w:tcPr>
          <w:p w14:paraId="34329D21" w14:textId="77777777" w:rsidR="00777125" w:rsidRPr="00270674" w:rsidRDefault="00777125" w:rsidP="00413516">
            <w:r w:rsidRPr="00270674">
              <w:t>21.96 (5.18)</w:t>
            </w:r>
          </w:p>
        </w:tc>
        <w:tc>
          <w:tcPr>
            <w:tcW w:w="1063" w:type="dxa"/>
            <w:tcBorders>
              <w:left w:val="nil"/>
              <w:right w:val="nil"/>
            </w:tcBorders>
          </w:tcPr>
          <w:p w14:paraId="14C2D44E" w14:textId="77777777" w:rsidR="00777125" w:rsidRPr="00270674" w:rsidRDefault="00777125" w:rsidP="00413516">
            <w:r w:rsidRPr="00270674">
              <w:t>2.563</w:t>
            </w:r>
          </w:p>
        </w:tc>
        <w:tc>
          <w:tcPr>
            <w:tcW w:w="1064" w:type="dxa"/>
            <w:tcBorders>
              <w:left w:val="nil"/>
              <w:right w:val="nil"/>
            </w:tcBorders>
          </w:tcPr>
          <w:p w14:paraId="11577B99" w14:textId="77777777" w:rsidR="00777125" w:rsidRPr="00270674" w:rsidRDefault="00777125" w:rsidP="00413516">
            <w:r w:rsidRPr="00270674">
              <w:t>.017*</w:t>
            </w:r>
          </w:p>
        </w:tc>
        <w:tc>
          <w:tcPr>
            <w:tcW w:w="2268" w:type="dxa"/>
            <w:tcBorders>
              <w:left w:val="nil"/>
              <w:right w:val="nil"/>
            </w:tcBorders>
          </w:tcPr>
          <w:p w14:paraId="642D4617" w14:textId="77777777" w:rsidR="00777125" w:rsidRPr="00270674" w:rsidRDefault="00777125" w:rsidP="00413516">
            <w:r w:rsidRPr="00270674">
              <w:t>+2.40 (4.68)</w:t>
            </w:r>
          </w:p>
        </w:tc>
      </w:tr>
    </w:tbl>
    <w:p w14:paraId="0F988A43" w14:textId="7EC9FB8A" w:rsidR="00AC1ECA" w:rsidRPr="00270674" w:rsidRDefault="00777125" w:rsidP="00777125">
      <w:pPr>
        <w:spacing w:line="480" w:lineRule="auto"/>
      </w:pPr>
      <w:r w:rsidRPr="00270674">
        <w:t>*</w:t>
      </w:r>
      <w:r w:rsidRPr="00270674">
        <w:rPr>
          <w:i/>
        </w:rPr>
        <w:t>p</w:t>
      </w:r>
      <w:r w:rsidRPr="00270674">
        <w:t>&lt;.05</w:t>
      </w:r>
    </w:p>
    <w:p w14:paraId="7AC4DE0D" w14:textId="40CACF1F" w:rsidR="00777125" w:rsidRPr="00270674" w:rsidRDefault="00777125" w:rsidP="00777125">
      <w:pPr>
        <w:spacing w:line="480" w:lineRule="auto"/>
        <w:ind w:firstLine="720"/>
      </w:pPr>
    </w:p>
    <w:p w14:paraId="3F78B28D" w14:textId="43F460A3" w:rsidR="000C5F72" w:rsidRPr="00270674" w:rsidRDefault="000C5F72" w:rsidP="00777125">
      <w:pPr>
        <w:spacing w:line="480" w:lineRule="auto"/>
        <w:ind w:firstLine="720"/>
      </w:pPr>
    </w:p>
    <w:p w14:paraId="112C2316" w14:textId="4C3E397B" w:rsidR="000C5F72" w:rsidRPr="00270674" w:rsidRDefault="000C5F72" w:rsidP="00777125">
      <w:pPr>
        <w:spacing w:line="480" w:lineRule="auto"/>
        <w:ind w:firstLine="720"/>
      </w:pPr>
    </w:p>
    <w:p w14:paraId="0A300C83" w14:textId="32278A2B" w:rsidR="000C5F72" w:rsidRPr="00270674" w:rsidRDefault="000C5F72" w:rsidP="00777125">
      <w:pPr>
        <w:spacing w:line="480" w:lineRule="auto"/>
        <w:ind w:firstLine="720"/>
      </w:pPr>
    </w:p>
    <w:p w14:paraId="31EC69DD" w14:textId="1552297D" w:rsidR="000C5F72" w:rsidRPr="00270674" w:rsidRDefault="000C5F72" w:rsidP="00777125">
      <w:pPr>
        <w:spacing w:line="480" w:lineRule="auto"/>
        <w:ind w:firstLine="720"/>
      </w:pPr>
    </w:p>
    <w:p w14:paraId="0C0E7036" w14:textId="0954EEAD" w:rsidR="000C5F72" w:rsidRPr="00270674" w:rsidRDefault="000C5F72" w:rsidP="00777125">
      <w:pPr>
        <w:spacing w:line="480" w:lineRule="auto"/>
        <w:ind w:firstLine="720"/>
      </w:pPr>
    </w:p>
    <w:p w14:paraId="1A552383" w14:textId="44E84C4D" w:rsidR="000C5F72" w:rsidRPr="00270674" w:rsidRDefault="000C5F72" w:rsidP="00777125">
      <w:pPr>
        <w:spacing w:line="480" w:lineRule="auto"/>
        <w:ind w:firstLine="720"/>
      </w:pPr>
    </w:p>
    <w:p w14:paraId="1EC409B4" w14:textId="57C71F4C" w:rsidR="000C5F72" w:rsidRPr="00270674" w:rsidRDefault="000C5F72" w:rsidP="00777125">
      <w:pPr>
        <w:spacing w:line="480" w:lineRule="auto"/>
        <w:ind w:firstLine="720"/>
      </w:pPr>
    </w:p>
    <w:p w14:paraId="0D0881F3" w14:textId="6AA3DB57" w:rsidR="000C5F72" w:rsidRPr="00270674" w:rsidRDefault="000C5F72" w:rsidP="00777125">
      <w:pPr>
        <w:spacing w:line="480" w:lineRule="auto"/>
        <w:ind w:firstLine="720"/>
      </w:pPr>
    </w:p>
    <w:p w14:paraId="2B228F38" w14:textId="78ED7C09" w:rsidR="000C5F72" w:rsidRPr="00270674" w:rsidRDefault="000C5F72" w:rsidP="00777125">
      <w:pPr>
        <w:spacing w:line="480" w:lineRule="auto"/>
        <w:ind w:firstLine="720"/>
      </w:pPr>
    </w:p>
    <w:p w14:paraId="49BC4EFE" w14:textId="5B533176" w:rsidR="000C5F72" w:rsidRPr="00270674" w:rsidRDefault="000C5F72" w:rsidP="00777125">
      <w:pPr>
        <w:spacing w:line="480" w:lineRule="auto"/>
        <w:ind w:firstLine="720"/>
      </w:pPr>
    </w:p>
    <w:p w14:paraId="219D55A2" w14:textId="26C8907A" w:rsidR="000C5F72" w:rsidRPr="00270674" w:rsidRDefault="000C5F72" w:rsidP="00777125">
      <w:pPr>
        <w:spacing w:line="480" w:lineRule="auto"/>
        <w:ind w:firstLine="720"/>
      </w:pPr>
    </w:p>
    <w:p w14:paraId="775B52D6" w14:textId="3B613A12" w:rsidR="000C5F72" w:rsidRPr="00270674" w:rsidRDefault="000C5F72" w:rsidP="00777125">
      <w:pPr>
        <w:spacing w:line="480" w:lineRule="auto"/>
        <w:ind w:firstLine="720"/>
      </w:pPr>
    </w:p>
    <w:p w14:paraId="1BFD9025" w14:textId="7CB554EE" w:rsidR="000C5F72" w:rsidRPr="00270674" w:rsidRDefault="000C5F72" w:rsidP="00777125">
      <w:pPr>
        <w:spacing w:line="480" w:lineRule="auto"/>
        <w:ind w:firstLine="720"/>
      </w:pPr>
    </w:p>
    <w:p w14:paraId="5388188F" w14:textId="23A56101" w:rsidR="000C5F72" w:rsidRPr="00270674" w:rsidRDefault="000C5F72" w:rsidP="00777125">
      <w:pPr>
        <w:spacing w:line="480" w:lineRule="auto"/>
        <w:ind w:firstLine="720"/>
      </w:pPr>
    </w:p>
    <w:p w14:paraId="1A871B43" w14:textId="78EA927B" w:rsidR="000C5F72" w:rsidRPr="00270674" w:rsidRDefault="000C5F72" w:rsidP="00777125">
      <w:pPr>
        <w:spacing w:line="480" w:lineRule="auto"/>
        <w:ind w:firstLine="720"/>
      </w:pPr>
    </w:p>
    <w:p w14:paraId="5A027B22" w14:textId="0B5A8CA6" w:rsidR="000C5F72" w:rsidRPr="00270674" w:rsidRDefault="000C5F72" w:rsidP="00777125">
      <w:pPr>
        <w:spacing w:line="480" w:lineRule="auto"/>
        <w:ind w:firstLine="720"/>
      </w:pPr>
    </w:p>
    <w:p w14:paraId="2BD267EA" w14:textId="1F48D56E" w:rsidR="000C5F72" w:rsidRPr="00270674" w:rsidRDefault="000C5F72" w:rsidP="00777125">
      <w:pPr>
        <w:spacing w:line="480" w:lineRule="auto"/>
        <w:ind w:firstLine="720"/>
      </w:pPr>
    </w:p>
    <w:p w14:paraId="48308F8A" w14:textId="23AC1883" w:rsidR="000C5F72" w:rsidRPr="00270674" w:rsidRDefault="000C5F72" w:rsidP="00777125">
      <w:pPr>
        <w:spacing w:line="480" w:lineRule="auto"/>
        <w:ind w:firstLine="720"/>
      </w:pPr>
    </w:p>
    <w:p w14:paraId="1C352DF6" w14:textId="38CF9B7C" w:rsidR="000C5F72" w:rsidRPr="00270674" w:rsidRDefault="000C5F72" w:rsidP="00777125">
      <w:pPr>
        <w:spacing w:line="480" w:lineRule="auto"/>
        <w:ind w:firstLine="720"/>
      </w:pPr>
    </w:p>
    <w:p w14:paraId="3AD81B5F" w14:textId="33C1E733" w:rsidR="000C5F72" w:rsidRPr="00270674" w:rsidRDefault="000C5F72" w:rsidP="00777125">
      <w:pPr>
        <w:spacing w:line="480" w:lineRule="auto"/>
        <w:ind w:firstLine="720"/>
      </w:pPr>
    </w:p>
    <w:p w14:paraId="6D879028" w14:textId="78422FCB" w:rsidR="00777125" w:rsidRPr="00270674" w:rsidRDefault="00777125" w:rsidP="00777125">
      <w:r w:rsidRPr="00270674">
        <w:lastRenderedPageBreak/>
        <w:t xml:space="preserve">Table </w:t>
      </w:r>
      <w:r w:rsidR="00AF3EC6" w:rsidRPr="00270674">
        <w:t>3</w:t>
      </w:r>
      <w:r w:rsidRPr="00270674">
        <w:t>: Baseline and 6 month follow-up scores on each subscale of the 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2019"/>
        <w:gridCol w:w="2139"/>
        <w:gridCol w:w="1120"/>
        <w:gridCol w:w="757"/>
      </w:tblGrid>
      <w:tr w:rsidR="00777125" w:rsidRPr="00270674" w14:paraId="3066F25F" w14:textId="77777777" w:rsidTr="00413516">
        <w:tc>
          <w:tcPr>
            <w:tcW w:w="2335" w:type="dxa"/>
            <w:tcBorders>
              <w:left w:val="nil"/>
              <w:right w:val="nil"/>
            </w:tcBorders>
            <w:shd w:val="clear" w:color="auto" w:fill="auto"/>
          </w:tcPr>
          <w:p w14:paraId="04B23D0E" w14:textId="77777777" w:rsidR="00777125" w:rsidRPr="00270674" w:rsidRDefault="00777125" w:rsidP="00413516">
            <w:r w:rsidRPr="00270674">
              <w:t>SIS Subscale</w:t>
            </w:r>
          </w:p>
        </w:tc>
        <w:tc>
          <w:tcPr>
            <w:tcW w:w="2081" w:type="dxa"/>
            <w:tcBorders>
              <w:left w:val="nil"/>
              <w:right w:val="nil"/>
            </w:tcBorders>
            <w:shd w:val="clear" w:color="auto" w:fill="auto"/>
          </w:tcPr>
          <w:p w14:paraId="44DCF291" w14:textId="77777777" w:rsidR="00777125" w:rsidRPr="00270674" w:rsidRDefault="00777125" w:rsidP="00413516">
            <w:r w:rsidRPr="00270674">
              <w:t>Mean baseline score (SD)</w:t>
            </w:r>
          </w:p>
        </w:tc>
        <w:tc>
          <w:tcPr>
            <w:tcW w:w="2213" w:type="dxa"/>
            <w:tcBorders>
              <w:left w:val="nil"/>
              <w:right w:val="nil"/>
            </w:tcBorders>
            <w:shd w:val="clear" w:color="auto" w:fill="auto"/>
          </w:tcPr>
          <w:p w14:paraId="6B526C28" w14:textId="77777777" w:rsidR="00777125" w:rsidRPr="00270674" w:rsidRDefault="00777125" w:rsidP="00413516">
            <w:r w:rsidRPr="00270674">
              <w:t>Mean 6 month follow-up score (SD)</w:t>
            </w:r>
          </w:p>
        </w:tc>
        <w:tc>
          <w:tcPr>
            <w:tcW w:w="1142" w:type="dxa"/>
            <w:tcBorders>
              <w:left w:val="nil"/>
              <w:right w:val="nil"/>
            </w:tcBorders>
            <w:shd w:val="clear" w:color="auto" w:fill="auto"/>
          </w:tcPr>
          <w:p w14:paraId="540C1F4F" w14:textId="77777777" w:rsidR="00777125" w:rsidRPr="00270674" w:rsidRDefault="00777125" w:rsidP="00413516">
            <w:pPr>
              <w:rPr>
                <w:i/>
              </w:rPr>
            </w:pPr>
            <w:r w:rsidRPr="00270674">
              <w:rPr>
                <w:i/>
              </w:rPr>
              <w:t>t</w:t>
            </w:r>
          </w:p>
        </w:tc>
        <w:tc>
          <w:tcPr>
            <w:tcW w:w="757" w:type="dxa"/>
            <w:tcBorders>
              <w:left w:val="nil"/>
              <w:right w:val="nil"/>
            </w:tcBorders>
            <w:shd w:val="clear" w:color="auto" w:fill="auto"/>
          </w:tcPr>
          <w:p w14:paraId="7019FF60" w14:textId="77777777" w:rsidR="00777125" w:rsidRPr="00270674" w:rsidRDefault="00777125" w:rsidP="00413516">
            <w:pPr>
              <w:rPr>
                <w:i/>
              </w:rPr>
            </w:pPr>
            <w:r w:rsidRPr="00270674">
              <w:rPr>
                <w:i/>
              </w:rPr>
              <w:t>p</w:t>
            </w:r>
          </w:p>
        </w:tc>
      </w:tr>
      <w:tr w:rsidR="00777125" w:rsidRPr="00270674" w14:paraId="477E180F" w14:textId="77777777" w:rsidTr="00413516">
        <w:tc>
          <w:tcPr>
            <w:tcW w:w="2335" w:type="dxa"/>
            <w:tcBorders>
              <w:left w:val="nil"/>
              <w:bottom w:val="nil"/>
              <w:right w:val="nil"/>
            </w:tcBorders>
            <w:shd w:val="clear" w:color="auto" w:fill="auto"/>
          </w:tcPr>
          <w:p w14:paraId="786D00F2" w14:textId="77777777" w:rsidR="00777125" w:rsidRPr="00270674" w:rsidRDefault="00777125" w:rsidP="00413516">
            <w:r w:rsidRPr="00270674">
              <w:t>Social Isolation</w:t>
            </w:r>
          </w:p>
        </w:tc>
        <w:tc>
          <w:tcPr>
            <w:tcW w:w="2081" w:type="dxa"/>
            <w:tcBorders>
              <w:left w:val="nil"/>
              <w:bottom w:val="nil"/>
              <w:right w:val="nil"/>
            </w:tcBorders>
            <w:shd w:val="clear" w:color="auto" w:fill="auto"/>
          </w:tcPr>
          <w:p w14:paraId="08CA4D56" w14:textId="77777777" w:rsidR="00777125" w:rsidRPr="00270674" w:rsidRDefault="00777125" w:rsidP="00413516">
            <w:r w:rsidRPr="00270674">
              <w:t>9.79 (2.99)</w:t>
            </w:r>
          </w:p>
        </w:tc>
        <w:tc>
          <w:tcPr>
            <w:tcW w:w="2213" w:type="dxa"/>
            <w:tcBorders>
              <w:left w:val="nil"/>
              <w:bottom w:val="nil"/>
              <w:right w:val="nil"/>
            </w:tcBorders>
            <w:shd w:val="clear" w:color="auto" w:fill="auto"/>
          </w:tcPr>
          <w:p w14:paraId="540594D0" w14:textId="77777777" w:rsidR="00777125" w:rsidRPr="00270674" w:rsidRDefault="00777125" w:rsidP="00413516">
            <w:r w:rsidRPr="00270674">
              <w:t>11.21 (2.53)</w:t>
            </w:r>
          </w:p>
        </w:tc>
        <w:tc>
          <w:tcPr>
            <w:tcW w:w="1142" w:type="dxa"/>
            <w:tcBorders>
              <w:left w:val="nil"/>
              <w:bottom w:val="nil"/>
              <w:right w:val="nil"/>
            </w:tcBorders>
            <w:shd w:val="clear" w:color="auto" w:fill="auto"/>
          </w:tcPr>
          <w:p w14:paraId="752ACEB8" w14:textId="77777777" w:rsidR="00777125" w:rsidRPr="00270674" w:rsidRDefault="00777125" w:rsidP="00413516">
            <w:r w:rsidRPr="00270674">
              <w:t>2.087</w:t>
            </w:r>
          </w:p>
        </w:tc>
        <w:tc>
          <w:tcPr>
            <w:tcW w:w="757" w:type="dxa"/>
            <w:tcBorders>
              <w:left w:val="nil"/>
              <w:bottom w:val="nil"/>
              <w:right w:val="nil"/>
            </w:tcBorders>
            <w:shd w:val="clear" w:color="auto" w:fill="auto"/>
          </w:tcPr>
          <w:p w14:paraId="06495CE9" w14:textId="77777777" w:rsidR="00777125" w:rsidRPr="00270674" w:rsidRDefault="00777125" w:rsidP="00413516">
            <w:r w:rsidRPr="00270674">
              <w:t>.051</w:t>
            </w:r>
          </w:p>
        </w:tc>
      </w:tr>
      <w:tr w:rsidR="00777125" w:rsidRPr="00270674" w14:paraId="7289D200" w14:textId="77777777" w:rsidTr="00413516">
        <w:tc>
          <w:tcPr>
            <w:tcW w:w="2335" w:type="dxa"/>
            <w:tcBorders>
              <w:top w:val="nil"/>
              <w:left w:val="nil"/>
              <w:bottom w:val="nil"/>
              <w:right w:val="nil"/>
            </w:tcBorders>
            <w:shd w:val="clear" w:color="auto" w:fill="auto"/>
          </w:tcPr>
          <w:p w14:paraId="4B6DC0E1" w14:textId="77777777" w:rsidR="00777125" w:rsidRPr="00270674" w:rsidRDefault="00777125" w:rsidP="00413516">
            <w:r w:rsidRPr="00270674">
              <w:t>Social Acceptance</w:t>
            </w:r>
          </w:p>
        </w:tc>
        <w:tc>
          <w:tcPr>
            <w:tcW w:w="2081" w:type="dxa"/>
            <w:tcBorders>
              <w:top w:val="nil"/>
              <w:left w:val="nil"/>
              <w:bottom w:val="nil"/>
              <w:right w:val="nil"/>
            </w:tcBorders>
            <w:shd w:val="clear" w:color="auto" w:fill="auto"/>
          </w:tcPr>
          <w:p w14:paraId="4C8D51E0" w14:textId="77777777" w:rsidR="00777125" w:rsidRPr="00270674" w:rsidRDefault="00777125" w:rsidP="00413516">
            <w:r w:rsidRPr="00270674">
              <w:t>13.37 (3.39)</w:t>
            </w:r>
          </w:p>
        </w:tc>
        <w:tc>
          <w:tcPr>
            <w:tcW w:w="2213" w:type="dxa"/>
            <w:tcBorders>
              <w:top w:val="nil"/>
              <w:left w:val="nil"/>
              <w:bottom w:val="nil"/>
              <w:right w:val="nil"/>
            </w:tcBorders>
            <w:shd w:val="clear" w:color="auto" w:fill="auto"/>
          </w:tcPr>
          <w:p w14:paraId="648AEBEB" w14:textId="77777777" w:rsidR="00777125" w:rsidRPr="00270674" w:rsidRDefault="00777125" w:rsidP="00413516">
            <w:r w:rsidRPr="00270674">
              <w:t>13.95 (2.53)</w:t>
            </w:r>
          </w:p>
        </w:tc>
        <w:tc>
          <w:tcPr>
            <w:tcW w:w="1142" w:type="dxa"/>
            <w:tcBorders>
              <w:top w:val="nil"/>
              <w:left w:val="nil"/>
              <w:bottom w:val="nil"/>
              <w:right w:val="nil"/>
            </w:tcBorders>
            <w:shd w:val="clear" w:color="auto" w:fill="auto"/>
          </w:tcPr>
          <w:p w14:paraId="408985A4" w14:textId="77777777" w:rsidR="00777125" w:rsidRPr="00270674" w:rsidRDefault="00777125" w:rsidP="00413516">
            <w:r w:rsidRPr="00270674">
              <w:t>.824</w:t>
            </w:r>
          </w:p>
        </w:tc>
        <w:tc>
          <w:tcPr>
            <w:tcW w:w="757" w:type="dxa"/>
            <w:tcBorders>
              <w:top w:val="nil"/>
              <w:left w:val="nil"/>
              <w:bottom w:val="nil"/>
              <w:right w:val="nil"/>
            </w:tcBorders>
            <w:shd w:val="clear" w:color="auto" w:fill="auto"/>
          </w:tcPr>
          <w:p w14:paraId="76D8B44C" w14:textId="77777777" w:rsidR="00777125" w:rsidRPr="00270674" w:rsidRDefault="00777125" w:rsidP="00413516">
            <w:r w:rsidRPr="00270674">
              <w:t>.420</w:t>
            </w:r>
          </w:p>
        </w:tc>
      </w:tr>
      <w:tr w:rsidR="00777125" w:rsidRPr="00270674" w14:paraId="0EBDBAD8" w14:textId="77777777" w:rsidTr="00413516">
        <w:tc>
          <w:tcPr>
            <w:tcW w:w="2335" w:type="dxa"/>
            <w:tcBorders>
              <w:top w:val="nil"/>
              <w:left w:val="nil"/>
              <w:bottom w:val="nil"/>
              <w:right w:val="nil"/>
            </w:tcBorders>
            <w:shd w:val="clear" w:color="auto" w:fill="auto"/>
          </w:tcPr>
          <w:p w14:paraId="2C4A36B9" w14:textId="77777777" w:rsidR="00777125" w:rsidRPr="00270674" w:rsidRDefault="00777125" w:rsidP="00413516">
            <w:r w:rsidRPr="00270674">
              <w:t>Social Relations</w:t>
            </w:r>
          </w:p>
        </w:tc>
        <w:tc>
          <w:tcPr>
            <w:tcW w:w="2081" w:type="dxa"/>
            <w:tcBorders>
              <w:top w:val="nil"/>
              <w:left w:val="nil"/>
              <w:bottom w:val="nil"/>
              <w:right w:val="nil"/>
            </w:tcBorders>
            <w:shd w:val="clear" w:color="auto" w:fill="auto"/>
          </w:tcPr>
          <w:p w14:paraId="36222043" w14:textId="77777777" w:rsidR="00777125" w:rsidRPr="00270674" w:rsidRDefault="00777125" w:rsidP="00413516">
            <w:r w:rsidRPr="00270674">
              <w:t>11.11 (3.91)</w:t>
            </w:r>
          </w:p>
        </w:tc>
        <w:tc>
          <w:tcPr>
            <w:tcW w:w="2213" w:type="dxa"/>
            <w:tcBorders>
              <w:top w:val="nil"/>
              <w:left w:val="nil"/>
              <w:bottom w:val="nil"/>
              <w:right w:val="nil"/>
            </w:tcBorders>
            <w:shd w:val="clear" w:color="auto" w:fill="auto"/>
          </w:tcPr>
          <w:p w14:paraId="563C8800" w14:textId="77777777" w:rsidR="00777125" w:rsidRPr="00270674" w:rsidRDefault="00777125" w:rsidP="00413516">
            <w:r w:rsidRPr="00270674">
              <w:t>12.42 (3.37)</w:t>
            </w:r>
          </w:p>
        </w:tc>
        <w:tc>
          <w:tcPr>
            <w:tcW w:w="1142" w:type="dxa"/>
            <w:tcBorders>
              <w:top w:val="nil"/>
              <w:left w:val="nil"/>
              <w:bottom w:val="nil"/>
              <w:right w:val="nil"/>
            </w:tcBorders>
            <w:shd w:val="clear" w:color="auto" w:fill="auto"/>
          </w:tcPr>
          <w:p w14:paraId="6B3A43C9" w14:textId="77777777" w:rsidR="00777125" w:rsidRPr="00270674" w:rsidRDefault="00777125" w:rsidP="00413516">
            <w:r w:rsidRPr="00270674">
              <w:t>2.385</w:t>
            </w:r>
          </w:p>
        </w:tc>
        <w:tc>
          <w:tcPr>
            <w:tcW w:w="757" w:type="dxa"/>
            <w:tcBorders>
              <w:top w:val="nil"/>
              <w:left w:val="nil"/>
              <w:bottom w:val="nil"/>
              <w:right w:val="nil"/>
            </w:tcBorders>
            <w:shd w:val="clear" w:color="auto" w:fill="auto"/>
          </w:tcPr>
          <w:p w14:paraId="3547636A" w14:textId="77777777" w:rsidR="00777125" w:rsidRPr="00270674" w:rsidRDefault="00777125" w:rsidP="00413516">
            <w:r w:rsidRPr="00270674">
              <w:t>.028*</w:t>
            </w:r>
          </w:p>
        </w:tc>
      </w:tr>
      <w:tr w:rsidR="00777125" w:rsidRPr="00270674" w14:paraId="6B69EB62" w14:textId="77777777" w:rsidTr="0088578C">
        <w:tc>
          <w:tcPr>
            <w:tcW w:w="2335" w:type="dxa"/>
            <w:tcBorders>
              <w:top w:val="nil"/>
              <w:left w:val="nil"/>
              <w:right w:val="nil"/>
            </w:tcBorders>
            <w:shd w:val="clear" w:color="auto" w:fill="auto"/>
          </w:tcPr>
          <w:p w14:paraId="1FB5A213" w14:textId="77777777" w:rsidR="00777125" w:rsidRPr="00270674" w:rsidRDefault="00777125" w:rsidP="00413516">
            <w:r w:rsidRPr="00270674">
              <w:t>SIS Total</w:t>
            </w:r>
          </w:p>
        </w:tc>
        <w:tc>
          <w:tcPr>
            <w:tcW w:w="2081" w:type="dxa"/>
            <w:tcBorders>
              <w:top w:val="nil"/>
              <w:left w:val="nil"/>
              <w:bottom w:val="single" w:sz="4" w:space="0" w:color="auto"/>
              <w:right w:val="nil"/>
            </w:tcBorders>
            <w:shd w:val="clear" w:color="auto" w:fill="auto"/>
          </w:tcPr>
          <w:p w14:paraId="16176FD2" w14:textId="77777777" w:rsidR="00777125" w:rsidRPr="00270674" w:rsidRDefault="00777125" w:rsidP="00413516">
            <w:r w:rsidRPr="00270674">
              <w:t>29.21 (7.87)</w:t>
            </w:r>
          </w:p>
        </w:tc>
        <w:tc>
          <w:tcPr>
            <w:tcW w:w="2213" w:type="dxa"/>
            <w:tcBorders>
              <w:top w:val="nil"/>
              <w:left w:val="nil"/>
              <w:bottom w:val="single" w:sz="4" w:space="0" w:color="auto"/>
              <w:right w:val="nil"/>
            </w:tcBorders>
            <w:shd w:val="clear" w:color="auto" w:fill="auto"/>
          </w:tcPr>
          <w:p w14:paraId="1C29989E" w14:textId="77777777" w:rsidR="00777125" w:rsidRPr="00270674" w:rsidRDefault="00777125" w:rsidP="00413516">
            <w:r w:rsidRPr="00270674">
              <w:t>31.84 (5.50)</w:t>
            </w:r>
          </w:p>
        </w:tc>
        <w:tc>
          <w:tcPr>
            <w:tcW w:w="1142" w:type="dxa"/>
            <w:tcBorders>
              <w:top w:val="nil"/>
              <w:left w:val="nil"/>
              <w:bottom w:val="single" w:sz="4" w:space="0" w:color="auto"/>
              <w:right w:val="nil"/>
            </w:tcBorders>
            <w:shd w:val="clear" w:color="auto" w:fill="auto"/>
          </w:tcPr>
          <w:p w14:paraId="02D0AA43" w14:textId="77777777" w:rsidR="00777125" w:rsidRPr="00270674" w:rsidRDefault="00777125" w:rsidP="00413516">
            <w:r w:rsidRPr="00270674">
              <w:t>2.529</w:t>
            </w:r>
          </w:p>
        </w:tc>
        <w:tc>
          <w:tcPr>
            <w:tcW w:w="757" w:type="dxa"/>
            <w:tcBorders>
              <w:top w:val="nil"/>
              <w:left w:val="nil"/>
              <w:bottom w:val="single" w:sz="4" w:space="0" w:color="auto"/>
              <w:right w:val="nil"/>
            </w:tcBorders>
            <w:shd w:val="clear" w:color="auto" w:fill="auto"/>
          </w:tcPr>
          <w:p w14:paraId="1A207D0C" w14:textId="77777777" w:rsidR="00777125" w:rsidRPr="00270674" w:rsidRDefault="00777125" w:rsidP="00413516">
            <w:r w:rsidRPr="00270674">
              <w:t>.021*</w:t>
            </w:r>
          </w:p>
        </w:tc>
      </w:tr>
    </w:tbl>
    <w:p w14:paraId="5977FE05" w14:textId="77777777" w:rsidR="00777125" w:rsidRPr="00270674" w:rsidRDefault="00777125" w:rsidP="00777125">
      <w:r w:rsidRPr="00270674">
        <w:t>*</w:t>
      </w:r>
      <w:r w:rsidRPr="00270674">
        <w:rPr>
          <w:i/>
        </w:rPr>
        <w:t>p</w:t>
      </w:r>
      <w:r w:rsidRPr="00270674">
        <w:t>&lt;.05</w:t>
      </w:r>
    </w:p>
    <w:p w14:paraId="30BE6A2C" w14:textId="3EBF8962" w:rsidR="0088578C" w:rsidRPr="00270674" w:rsidRDefault="0088578C" w:rsidP="0088578C">
      <w:pPr>
        <w:spacing w:line="480" w:lineRule="auto"/>
        <w:rPr>
          <w:b/>
        </w:rPr>
      </w:pPr>
    </w:p>
    <w:p w14:paraId="550641C7" w14:textId="6E3DE101" w:rsidR="000C5F72" w:rsidRPr="00270674" w:rsidRDefault="000C5F72" w:rsidP="0088578C">
      <w:pPr>
        <w:spacing w:line="480" w:lineRule="auto"/>
        <w:rPr>
          <w:b/>
        </w:rPr>
      </w:pPr>
    </w:p>
    <w:p w14:paraId="56EDC598" w14:textId="2D9A9E2F" w:rsidR="000C5F72" w:rsidRPr="00270674" w:rsidRDefault="000C5F72" w:rsidP="0088578C">
      <w:pPr>
        <w:spacing w:line="480" w:lineRule="auto"/>
        <w:rPr>
          <w:b/>
        </w:rPr>
      </w:pPr>
    </w:p>
    <w:p w14:paraId="1FB33DA7" w14:textId="1B7BC3DE" w:rsidR="000C5F72" w:rsidRPr="00270674" w:rsidRDefault="000C5F72" w:rsidP="0088578C">
      <w:pPr>
        <w:spacing w:line="480" w:lineRule="auto"/>
        <w:rPr>
          <w:b/>
        </w:rPr>
      </w:pPr>
    </w:p>
    <w:p w14:paraId="7615E094" w14:textId="5B6C8B09" w:rsidR="000C5F72" w:rsidRPr="00270674" w:rsidRDefault="000C5F72" w:rsidP="0088578C">
      <w:pPr>
        <w:spacing w:line="480" w:lineRule="auto"/>
        <w:rPr>
          <w:b/>
        </w:rPr>
      </w:pPr>
    </w:p>
    <w:p w14:paraId="6E1EBAA6" w14:textId="34B448EB" w:rsidR="000C5F72" w:rsidRPr="00270674" w:rsidRDefault="000C5F72" w:rsidP="0088578C">
      <w:pPr>
        <w:spacing w:line="480" w:lineRule="auto"/>
        <w:rPr>
          <w:b/>
        </w:rPr>
      </w:pPr>
    </w:p>
    <w:p w14:paraId="035E40B5" w14:textId="71C8B75F" w:rsidR="000C5F72" w:rsidRPr="00270674" w:rsidRDefault="000C5F72" w:rsidP="0088578C">
      <w:pPr>
        <w:spacing w:line="480" w:lineRule="auto"/>
        <w:rPr>
          <w:b/>
        </w:rPr>
      </w:pPr>
    </w:p>
    <w:p w14:paraId="3C2FAA87" w14:textId="37A4F6F8" w:rsidR="000C5F72" w:rsidRPr="00270674" w:rsidRDefault="000C5F72" w:rsidP="0088578C">
      <w:pPr>
        <w:spacing w:line="480" w:lineRule="auto"/>
        <w:rPr>
          <w:b/>
        </w:rPr>
      </w:pPr>
    </w:p>
    <w:p w14:paraId="4EA34EE7" w14:textId="45E131F6" w:rsidR="000C5F72" w:rsidRPr="00270674" w:rsidRDefault="000C5F72" w:rsidP="0088578C">
      <w:pPr>
        <w:spacing w:line="480" w:lineRule="auto"/>
        <w:rPr>
          <w:b/>
        </w:rPr>
      </w:pPr>
    </w:p>
    <w:p w14:paraId="6B46730C" w14:textId="51C71A6F" w:rsidR="000C5F72" w:rsidRPr="00270674" w:rsidRDefault="000C5F72" w:rsidP="0088578C">
      <w:pPr>
        <w:spacing w:line="480" w:lineRule="auto"/>
        <w:rPr>
          <w:b/>
        </w:rPr>
      </w:pPr>
    </w:p>
    <w:p w14:paraId="5E4E07F0" w14:textId="6363759F" w:rsidR="000C5F72" w:rsidRPr="00270674" w:rsidRDefault="000C5F72" w:rsidP="0088578C">
      <w:pPr>
        <w:spacing w:line="480" w:lineRule="auto"/>
        <w:rPr>
          <w:b/>
        </w:rPr>
      </w:pPr>
    </w:p>
    <w:p w14:paraId="79A440F4" w14:textId="52E8895C" w:rsidR="000C5F72" w:rsidRPr="00270674" w:rsidRDefault="000C5F72" w:rsidP="0088578C">
      <w:pPr>
        <w:spacing w:line="480" w:lineRule="auto"/>
        <w:rPr>
          <w:b/>
        </w:rPr>
      </w:pPr>
    </w:p>
    <w:p w14:paraId="3DEA7AB2" w14:textId="025A45FD" w:rsidR="000C5F72" w:rsidRPr="00270674" w:rsidRDefault="000C5F72" w:rsidP="0088578C">
      <w:pPr>
        <w:spacing w:line="480" w:lineRule="auto"/>
        <w:rPr>
          <w:b/>
        </w:rPr>
      </w:pPr>
    </w:p>
    <w:p w14:paraId="5C3BBD4C" w14:textId="5A139798" w:rsidR="000C5F72" w:rsidRPr="00270674" w:rsidRDefault="000C5F72" w:rsidP="0088578C">
      <w:pPr>
        <w:spacing w:line="480" w:lineRule="auto"/>
        <w:rPr>
          <w:b/>
        </w:rPr>
      </w:pPr>
    </w:p>
    <w:p w14:paraId="3CAB8BF1" w14:textId="56C52F55" w:rsidR="000C5F72" w:rsidRPr="00270674" w:rsidRDefault="000C5F72" w:rsidP="0088578C">
      <w:pPr>
        <w:spacing w:line="480" w:lineRule="auto"/>
        <w:rPr>
          <w:b/>
        </w:rPr>
      </w:pPr>
    </w:p>
    <w:p w14:paraId="65B5BEFF" w14:textId="41659472" w:rsidR="000C5F72" w:rsidRPr="00270674" w:rsidRDefault="000C5F72" w:rsidP="0088578C">
      <w:pPr>
        <w:spacing w:line="480" w:lineRule="auto"/>
        <w:rPr>
          <w:b/>
        </w:rPr>
      </w:pPr>
    </w:p>
    <w:p w14:paraId="70FCB247" w14:textId="7BE1B3D5" w:rsidR="000C5F72" w:rsidRPr="00270674" w:rsidRDefault="000C5F72" w:rsidP="0088578C">
      <w:pPr>
        <w:spacing w:line="480" w:lineRule="auto"/>
        <w:rPr>
          <w:b/>
        </w:rPr>
      </w:pPr>
    </w:p>
    <w:p w14:paraId="1CBCE1BA" w14:textId="6BEF0916" w:rsidR="000C5F72" w:rsidRPr="00270674" w:rsidRDefault="000C5F72" w:rsidP="0088578C">
      <w:pPr>
        <w:spacing w:line="480" w:lineRule="auto"/>
        <w:rPr>
          <w:b/>
        </w:rPr>
      </w:pPr>
    </w:p>
    <w:p w14:paraId="4C3C7F96" w14:textId="5AAB8686" w:rsidR="000C5F72" w:rsidRPr="00270674" w:rsidRDefault="000C5F72" w:rsidP="0088578C">
      <w:pPr>
        <w:spacing w:line="480" w:lineRule="auto"/>
        <w:rPr>
          <w:b/>
        </w:rPr>
      </w:pPr>
    </w:p>
    <w:p w14:paraId="71796727" w14:textId="1B9B1AF0" w:rsidR="000C5F72" w:rsidRPr="00270674" w:rsidRDefault="000C5F72" w:rsidP="0088578C">
      <w:pPr>
        <w:spacing w:line="480" w:lineRule="auto"/>
        <w:rPr>
          <w:b/>
        </w:rPr>
      </w:pPr>
    </w:p>
    <w:p w14:paraId="13FBD94D" w14:textId="71816545" w:rsidR="0088578C" w:rsidRPr="00270674" w:rsidRDefault="0088578C" w:rsidP="0088578C">
      <w:r w:rsidRPr="00270674">
        <w:lastRenderedPageBreak/>
        <w:t xml:space="preserve">Table </w:t>
      </w:r>
      <w:r w:rsidR="00AF3EC6" w:rsidRPr="00270674">
        <w:t>4</w:t>
      </w:r>
      <w:r w:rsidRPr="00270674">
        <w:t>: Responses to questions about the Recovery College at 3 month follow-up.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6"/>
        <w:gridCol w:w="659"/>
        <w:gridCol w:w="1379"/>
        <w:gridCol w:w="1379"/>
        <w:gridCol w:w="1379"/>
        <w:gridCol w:w="1380"/>
      </w:tblGrid>
      <w:tr w:rsidR="0088578C" w:rsidRPr="00270674" w14:paraId="1DF28792" w14:textId="77777777" w:rsidTr="00413516">
        <w:tc>
          <w:tcPr>
            <w:tcW w:w="2235" w:type="dxa"/>
            <w:tcBorders>
              <w:left w:val="nil"/>
              <w:right w:val="nil"/>
            </w:tcBorders>
          </w:tcPr>
          <w:p w14:paraId="3FCC251B" w14:textId="77777777" w:rsidR="0088578C" w:rsidRPr="00270674" w:rsidRDefault="0088578C" w:rsidP="00413516"/>
          <w:p w14:paraId="15B85740" w14:textId="77777777" w:rsidR="0088578C" w:rsidRPr="00270674" w:rsidRDefault="0088578C" w:rsidP="00413516">
            <w:pPr>
              <w:rPr>
                <w:b/>
              </w:rPr>
            </w:pPr>
            <w:r w:rsidRPr="00270674">
              <w:rPr>
                <w:b/>
              </w:rPr>
              <w:t>Question</w:t>
            </w:r>
          </w:p>
        </w:tc>
        <w:tc>
          <w:tcPr>
            <w:tcW w:w="688" w:type="dxa"/>
            <w:tcBorders>
              <w:left w:val="nil"/>
              <w:right w:val="nil"/>
            </w:tcBorders>
          </w:tcPr>
          <w:p w14:paraId="5BF7EEF1" w14:textId="77777777" w:rsidR="0088578C" w:rsidRPr="00270674" w:rsidRDefault="0088578C" w:rsidP="00413516">
            <w:pPr>
              <w:rPr>
                <w:b/>
                <w:i/>
              </w:rPr>
            </w:pPr>
            <w:r w:rsidRPr="00270674">
              <w:rPr>
                <w:b/>
                <w:i/>
              </w:rPr>
              <w:t>n</w:t>
            </w:r>
          </w:p>
        </w:tc>
        <w:tc>
          <w:tcPr>
            <w:tcW w:w="1401" w:type="dxa"/>
            <w:tcBorders>
              <w:left w:val="nil"/>
              <w:right w:val="nil"/>
            </w:tcBorders>
          </w:tcPr>
          <w:p w14:paraId="51967256" w14:textId="77777777" w:rsidR="0088578C" w:rsidRPr="00270674" w:rsidRDefault="0088578C" w:rsidP="00413516">
            <w:r w:rsidRPr="00270674">
              <w:rPr>
                <w:b/>
              </w:rPr>
              <w:t>Not at all</w:t>
            </w:r>
            <w:r w:rsidRPr="00270674">
              <w:t xml:space="preserve"> </w:t>
            </w:r>
          </w:p>
          <w:p w14:paraId="13AD1E78" w14:textId="77777777" w:rsidR="0088578C" w:rsidRPr="00270674" w:rsidRDefault="0088578C" w:rsidP="00413516">
            <w:pPr>
              <w:rPr>
                <w:b/>
              </w:rPr>
            </w:pPr>
            <w:r w:rsidRPr="00270674">
              <w:rPr>
                <w:b/>
              </w:rPr>
              <w:t>(0)</w:t>
            </w:r>
          </w:p>
          <w:p w14:paraId="7376912C" w14:textId="77777777" w:rsidR="0088578C" w:rsidRPr="00270674" w:rsidRDefault="0088578C" w:rsidP="00413516">
            <w:r w:rsidRPr="00270674">
              <w:t>Frequency (%)</w:t>
            </w:r>
          </w:p>
        </w:tc>
        <w:tc>
          <w:tcPr>
            <w:tcW w:w="1401" w:type="dxa"/>
            <w:tcBorders>
              <w:left w:val="nil"/>
              <w:right w:val="nil"/>
            </w:tcBorders>
          </w:tcPr>
          <w:p w14:paraId="26AC2BF0" w14:textId="77777777" w:rsidR="0088578C" w:rsidRPr="00270674" w:rsidRDefault="0088578C" w:rsidP="00413516">
            <w:r w:rsidRPr="00270674">
              <w:rPr>
                <w:b/>
              </w:rPr>
              <w:t>No not much (1)</w:t>
            </w:r>
          </w:p>
          <w:p w14:paraId="361E5FD8" w14:textId="77777777" w:rsidR="0088578C" w:rsidRPr="00270674" w:rsidRDefault="0088578C" w:rsidP="00413516">
            <w:r w:rsidRPr="00270674">
              <w:t>Frequency (%)</w:t>
            </w:r>
          </w:p>
        </w:tc>
        <w:tc>
          <w:tcPr>
            <w:tcW w:w="1401" w:type="dxa"/>
            <w:tcBorders>
              <w:left w:val="nil"/>
              <w:right w:val="nil"/>
            </w:tcBorders>
          </w:tcPr>
          <w:p w14:paraId="464FAA26" w14:textId="77777777" w:rsidR="0088578C" w:rsidRPr="00270674" w:rsidRDefault="0088578C" w:rsidP="00413516">
            <w:r w:rsidRPr="00270674">
              <w:rPr>
                <w:b/>
              </w:rPr>
              <w:t>Yes a little</w:t>
            </w:r>
            <w:r w:rsidRPr="00270674">
              <w:t xml:space="preserve"> </w:t>
            </w:r>
            <w:r w:rsidRPr="00270674">
              <w:rPr>
                <w:b/>
              </w:rPr>
              <w:t>(2)</w:t>
            </w:r>
          </w:p>
          <w:p w14:paraId="793F54FC" w14:textId="77777777" w:rsidR="0088578C" w:rsidRPr="00270674" w:rsidRDefault="0088578C" w:rsidP="00413516">
            <w:r w:rsidRPr="00270674">
              <w:t>Frequency (%)</w:t>
            </w:r>
          </w:p>
        </w:tc>
        <w:tc>
          <w:tcPr>
            <w:tcW w:w="1402" w:type="dxa"/>
            <w:tcBorders>
              <w:left w:val="nil"/>
              <w:right w:val="nil"/>
            </w:tcBorders>
          </w:tcPr>
          <w:p w14:paraId="0DAC37F1" w14:textId="77777777" w:rsidR="0088578C" w:rsidRPr="00270674" w:rsidRDefault="0088578C" w:rsidP="00413516">
            <w:pPr>
              <w:rPr>
                <w:b/>
              </w:rPr>
            </w:pPr>
            <w:r w:rsidRPr="00270674">
              <w:rPr>
                <w:b/>
              </w:rPr>
              <w:t xml:space="preserve">Yes a lot </w:t>
            </w:r>
          </w:p>
          <w:p w14:paraId="22EADDB6" w14:textId="77777777" w:rsidR="0088578C" w:rsidRPr="00270674" w:rsidRDefault="0088578C" w:rsidP="00413516">
            <w:pPr>
              <w:rPr>
                <w:b/>
              </w:rPr>
            </w:pPr>
            <w:r w:rsidRPr="00270674">
              <w:rPr>
                <w:b/>
              </w:rPr>
              <w:t>(3)</w:t>
            </w:r>
          </w:p>
          <w:p w14:paraId="27485BB2" w14:textId="77777777" w:rsidR="0088578C" w:rsidRPr="00270674" w:rsidRDefault="0088578C" w:rsidP="00413516">
            <w:r w:rsidRPr="00270674">
              <w:t>Frequency (%)</w:t>
            </w:r>
          </w:p>
        </w:tc>
      </w:tr>
      <w:tr w:rsidR="0088578C" w:rsidRPr="00270674" w14:paraId="11B673AA" w14:textId="77777777" w:rsidTr="00413516">
        <w:trPr>
          <w:trHeight w:val="709"/>
        </w:trPr>
        <w:tc>
          <w:tcPr>
            <w:tcW w:w="2235" w:type="dxa"/>
            <w:tcBorders>
              <w:left w:val="nil"/>
              <w:right w:val="nil"/>
            </w:tcBorders>
          </w:tcPr>
          <w:p w14:paraId="7C479F96" w14:textId="77777777" w:rsidR="0088578C" w:rsidRPr="00270674" w:rsidRDefault="0088578C" w:rsidP="00413516">
            <w:r w:rsidRPr="00270674">
              <w:t>Have you enjoyed your Recovery College course/s?</w:t>
            </w:r>
          </w:p>
        </w:tc>
        <w:tc>
          <w:tcPr>
            <w:tcW w:w="688" w:type="dxa"/>
            <w:tcBorders>
              <w:left w:val="nil"/>
              <w:right w:val="nil"/>
            </w:tcBorders>
          </w:tcPr>
          <w:p w14:paraId="62C23C7E" w14:textId="77777777" w:rsidR="0088578C" w:rsidRPr="00270674" w:rsidRDefault="0088578C" w:rsidP="00413516">
            <w:pPr>
              <w:rPr>
                <w:i/>
              </w:rPr>
            </w:pPr>
            <w:r w:rsidRPr="00270674">
              <w:rPr>
                <w:i/>
              </w:rPr>
              <w:t>13</w:t>
            </w:r>
          </w:p>
        </w:tc>
        <w:tc>
          <w:tcPr>
            <w:tcW w:w="1401" w:type="dxa"/>
            <w:tcBorders>
              <w:left w:val="nil"/>
              <w:right w:val="nil"/>
            </w:tcBorders>
          </w:tcPr>
          <w:p w14:paraId="5097A97B" w14:textId="77777777" w:rsidR="0088578C" w:rsidRPr="00270674" w:rsidRDefault="0088578C" w:rsidP="00413516">
            <w:r w:rsidRPr="00270674">
              <w:t>-</w:t>
            </w:r>
          </w:p>
        </w:tc>
        <w:tc>
          <w:tcPr>
            <w:tcW w:w="1401" w:type="dxa"/>
            <w:tcBorders>
              <w:left w:val="nil"/>
              <w:right w:val="nil"/>
            </w:tcBorders>
          </w:tcPr>
          <w:p w14:paraId="654DA940" w14:textId="582B9522" w:rsidR="0088578C" w:rsidRPr="00270674" w:rsidRDefault="00076F28" w:rsidP="00413516">
            <w:r w:rsidRPr="00270674">
              <w:t>2 (15</w:t>
            </w:r>
            <w:r w:rsidR="0088578C" w:rsidRPr="00270674">
              <w:t>%)</w:t>
            </w:r>
          </w:p>
        </w:tc>
        <w:tc>
          <w:tcPr>
            <w:tcW w:w="1401" w:type="dxa"/>
            <w:tcBorders>
              <w:left w:val="nil"/>
              <w:right w:val="nil"/>
            </w:tcBorders>
          </w:tcPr>
          <w:p w14:paraId="6F62E6B8" w14:textId="3A25CA11" w:rsidR="0088578C" w:rsidRPr="00270674" w:rsidRDefault="00076F28" w:rsidP="00413516">
            <w:r w:rsidRPr="00270674">
              <w:t>3 (23</w:t>
            </w:r>
            <w:r w:rsidR="0088578C" w:rsidRPr="00270674">
              <w:t>%)</w:t>
            </w:r>
          </w:p>
        </w:tc>
        <w:tc>
          <w:tcPr>
            <w:tcW w:w="1402" w:type="dxa"/>
            <w:tcBorders>
              <w:left w:val="nil"/>
              <w:right w:val="nil"/>
            </w:tcBorders>
          </w:tcPr>
          <w:p w14:paraId="403A2551" w14:textId="299E52A7" w:rsidR="0088578C" w:rsidRPr="00270674" w:rsidRDefault="00076F28" w:rsidP="00413516">
            <w:pPr>
              <w:rPr>
                <w:b/>
              </w:rPr>
            </w:pPr>
            <w:r w:rsidRPr="00270674">
              <w:rPr>
                <w:b/>
              </w:rPr>
              <w:t>8 (62</w:t>
            </w:r>
            <w:r w:rsidR="0088578C" w:rsidRPr="00270674">
              <w:rPr>
                <w:b/>
              </w:rPr>
              <w:t>%)</w:t>
            </w:r>
          </w:p>
        </w:tc>
      </w:tr>
      <w:tr w:rsidR="0088578C" w:rsidRPr="00270674" w14:paraId="3C56D773" w14:textId="77777777" w:rsidTr="00413516">
        <w:trPr>
          <w:trHeight w:val="709"/>
        </w:trPr>
        <w:tc>
          <w:tcPr>
            <w:tcW w:w="2235" w:type="dxa"/>
            <w:tcBorders>
              <w:left w:val="nil"/>
              <w:right w:val="nil"/>
            </w:tcBorders>
          </w:tcPr>
          <w:p w14:paraId="1F7FEF11" w14:textId="77777777" w:rsidR="0088578C" w:rsidRPr="00270674" w:rsidRDefault="0088578C" w:rsidP="00413516">
            <w:r w:rsidRPr="00270674">
              <w:t>Have your skills developed?</w:t>
            </w:r>
          </w:p>
        </w:tc>
        <w:tc>
          <w:tcPr>
            <w:tcW w:w="688" w:type="dxa"/>
            <w:tcBorders>
              <w:left w:val="nil"/>
              <w:right w:val="nil"/>
            </w:tcBorders>
          </w:tcPr>
          <w:p w14:paraId="0A031C65" w14:textId="77777777" w:rsidR="0088578C" w:rsidRPr="00270674" w:rsidRDefault="0088578C" w:rsidP="00413516">
            <w:pPr>
              <w:rPr>
                <w:i/>
              </w:rPr>
            </w:pPr>
            <w:r w:rsidRPr="00270674">
              <w:rPr>
                <w:i/>
              </w:rPr>
              <w:t>11</w:t>
            </w:r>
          </w:p>
        </w:tc>
        <w:tc>
          <w:tcPr>
            <w:tcW w:w="1401" w:type="dxa"/>
            <w:tcBorders>
              <w:left w:val="nil"/>
              <w:right w:val="nil"/>
            </w:tcBorders>
          </w:tcPr>
          <w:p w14:paraId="34651187" w14:textId="77777777" w:rsidR="0088578C" w:rsidRPr="00270674" w:rsidRDefault="0088578C" w:rsidP="00413516">
            <w:r w:rsidRPr="00270674">
              <w:t>-</w:t>
            </w:r>
          </w:p>
        </w:tc>
        <w:tc>
          <w:tcPr>
            <w:tcW w:w="1401" w:type="dxa"/>
            <w:tcBorders>
              <w:left w:val="nil"/>
              <w:right w:val="nil"/>
            </w:tcBorders>
          </w:tcPr>
          <w:p w14:paraId="245E42C8" w14:textId="3830AC4B" w:rsidR="0088578C" w:rsidRPr="00270674" w:rsidRDefault="005A303D" w:rsidP="00413516">
            <w:r w:rsidRPr="00270674">
              <w:t>1 (9</w:t>
            </w:r>
            <w:r w:rsidR="0088578C" w:rsidRPr="00270674">
              <w:t>%)</w:t>
            </w:r>
          </w:p>
        </w:tc>
        <w:tc>
          <w:tcPr>
            <w:tcW w:w="1401" w:type="dxa"/>
            <w:tcBorders>
              <w:left w:val="nil"/>
              <w:right w:val="nil"/>
            </w:tcBorders>
          </w:tcPr>
          <w:p w14:paraId="4F34CB39" w14:textId="7D558B55" w:rsidR="0088578C" w:rsidRPr="00270674" w:rsidRDefault="00076F28" w:rsidP="00413516">
            <w:pPr>
              <w:rPr>
                <w:b/>
              </w:rPr>
            </w:pPr>
            <w:r w:rsidRPr="00270674">
              <w:rPr>
                <w:b/>
              </w:rPr>
              <w:t>6 (55</w:t>
            </w:r>
            <w:r w:rsidR="0088578C" w:rsidRPr="00270674">
              <w:rPr>
                <w:b/>
              </w:rPr>
              <w:t>%)</w:t>
            </w:r>
          </w:p>
        </w:tc>
        <w:tc>
          <w:tcPr>
            <w:tcW w:w="1402" w:type="dxa"/>
            <w:tcBorders>
              <w:left w:val="nil"/>
              <w:right w:val="nil"/>
            </w:tcBorders>
          </w:tcPr>
          <w:p w14:paraId="37651802" w14:textId="4FF2A04D" w:rsidR="0088578C" w:rsidRPr="00270674" w:rsidRDefault="00076F28" w:rsidP="00413516">
            <w:r w:rsidRPr="00270674">
              <w:t>4 (36</w:t>
            </w:r>
            <w:r w:rsidR="0088578C" w:rsidRPr="00270674">
              <w:t>%)</w:t>
            </w:r>
          </w:p>
        </w:tc>
      </w:tr>
      <w:tr w:rsidR="0088578C" w:rsidRPr="00270674" w14:paraId="426E029B" w14:textId="77777777" w:rsidTr="00413516">
        <w:trPr>
          <w:trHeight w:val="709"/>
        </w:trPr>
        <w:tc>
          <w:tcPr>
            <w:tcW w:w="2235" w:type="dxa"/>
            <w:tcBorders>
              <w:left w:val="nil"/>
              <w:right w:val="nil"/>
            </w:tcBorders>
          </w:tcPr>
          <w:p w14:paraId="6A941EA2" w14:textId="77777777" w:rsidR="0088578C" w:rsidRPr="00270674" w:rsidRDefault="0088578C" w:rsidP="00413516">
            <w:r w:rsidRPr="00270674">
              <w:t>Has your confidence increased?</w:t>
            </w:r>
          </w:p>
        </w:tc>
        <w:tc>
          <w:tcPr>
            <w:tcW w:w="688" w:type="dxa"/>
            <w:tcBorders>
              <w:left w:val="nil"/>
              <w:right w:val="nil"/>
            </w:tcBorders>
          </w:tcPr>
          <w:p w14:paraId="4F680E1C" w14:textId="77777777" w:rsidR="0088578C" w:rsidRPr="00270674" w:rsidRDefault="0088578C" w:rsidP="00413516">
            <w:pPr>
              <w:rPr>
                <w:i/>
              </w:rPr>
            </w:pPr>
            <w:r w:rsidRPr="00270674">
              <w:rPr>
                <w:i/>
              </w:rPr>
              <w:t>11</w:t>
            </w:r>
          </w:p>
        </w:tc>
        <w:tc>
          <w:tcPr>
            <w:tcW w:w="1401" w:type="dxa"/>
            <w:tcBorders>
              <w:left w:val="nil"/>
              <w:right w:val="nil"/>
            </w:tcBorders>
          </w:tcPr>
          <w:p w14:paraId="65F2192B" w14:textId="77777777" w:rsidR="0088578C" w:rsidRPr="00270674" w:rsidRDefault="0088578C" w:rsidP="00413516">
            <w:r w:rsidRPr="00270674">
              <w:t>-</w:t>
            </w:r>
          </w:p>
        </w:tc>
        <w:tc>
          <w:tcPr>
            <w:tcW w:w="1401" w:type="dxa"/>
            <w:tcBorders>
              <w:left w:val="nil"/>
              <w:right w:val="nil"/>
            </w:tcBorders>
          </w:tcPr>
          <w:p w14:paraId="13BC6E06" w14:textId="1FC25C9E" w:rsidR="0088578C" w:rsidRPr="00270674" w:rsidRDefault="00076F28" w:rsidP="00413516">
            <w:r w:rsidRPr="00270674">
              <w:t>1 (9</w:t>
            </w:r>
            <w:r w:rsidR="0088578C" w:rsidRPr="00270674">
              <w:t>%)</w:t>
            </w:r>
          </w:p>
        </w:tc>
        <w:tc>
          <w:tcPr>
            <w:tcW w:w="1401" w:type="dxa"/>
            <w:tcBorders>
              <w:left w:val="nil"/>
              <w:right w:val="nil"/>
            </w:tcBorders>
          </w:tcPr>
          <w:p w14:paraId="3ED5A922" w14:textId="065E1797" w:rsidR="0088578C" w:rsidRPr="00270674" w:rsidRDefault="005A303D" w:rsidP="00413516">
            <w:pPr>
              <w:rPr>
                <w:b/>
              </w:rPr>
            </w:pPr>
            <w:r w:rsidRPr="00270674">
              <w:rPr>
                <w:b/>
              </w:rPr>
              <w:t>5 (46</w:t>
            </w:r>
            <w:r w:rsidR="0088578C" w:rsidRPr="00270674">
              <w:rPr>
                <w:b/>
              </w:rPr>
              <w:t>%)</w:t>
            </w:r>
          </w:p>
        </w:tc>
        <w:tc>
          <w:tcPr>
            <w:tcW w:w="1402" w:type="dxa"/>
            <w:tcBorders>
              <w:left w:val="nil"/>
              <w:right w:val="nil"/>
            </w:tcBorders>
          </w:tcPr>
          <w:p w14:paraId="25C645BC" w14:textId="10AD6390" w:rsidR="0088578C" w:rsidRPr="00270674" w:rsidRDefault="005A303D" w:rsidP="00413516">
            <w:pPr>
              <w:rPr>
                <w:b/>
              </w:rPr>
            </w:pPr>
            <w:r w:rsidRPr="00270674">
              <w:rPr>
                <w:b/>
              </w:rPr>
              <w:t>5 (46</w:t>
            </w:r>
            <w:r w:rsidR="0088578C" w:rsidRPr="00270674">
              <w:rPr>
                <w:b/>
              </w:rPr>
              <w:t>%)</w:t>
            </w:r>
          </w:p>
        </w:tc>
      </w:tr>
      <w:tr w:rsidR="0088578C" w:rsidRPr="00270674" w14:paraId="1BD4CB59" w14:textId="77777777" w:rsidTr="00413516">
        <w:trPr>
          <w:trHeight w:val="708"/>
        </w:trPr>
        <w:tc>
          <w:tcPr>
            <w:tcW w:w="2235" w:type="dxa"/>
            <w:tcBorders>
              <w:left w:val="nil"/>
              <w:right w:val="nil"/>
            </w:tcBorders>
          </w:tcPr>
          <w:p w14:paraId="1166CED3" w14:textId="77777777" w:rsidR="0088578C" w:rsidRPr="00270674" w:rsidRDefault="0088578C" w:rsidP="00413516">
            <w:r w:rsidRPr="00270674">
              <w:t>Has your motivation increased?</w:t>
            </w:r>
          </w:p>
        </w:tc>
        <w:tc>
          <w:tcPr>
            <w:tcW w:w="688" w:type="dxa"/>
            <w:tcBorders>
              <w:left w:val="nil"/>
              <w:right w:val="nil"/>
            </w:tcBorders>
          </w:tcPr>
          <w:p w14:paraId="30193850" w14:textId="77777777" w:rsidR="0088578C" w:rsidRPr="00270674" w:rsidRDefault="0088578C" w:rsidP="00413516">
            <w:pPr>
              <w:rPr>
                <w:i/>
              </w:rPr>
            </w:pPr>
            <w:r w:rsidRPr="00270674">
              <w:rPr>
                <w:i/>
              </w:rPr>
              <w:t>11</w:t>
            </w:r>
          </w:p>
        </w:tc>
        <w:tc>
          <w:tcPr>
            <w:tcW w:w="1401" w:type="dxa"/>
            <w:tcBorders>
              <w:left w:val="nil"/>
              <w:right w:val="nil"/>
            </w:tcBorders>
          </w:tcPr>
          <w:p w14:paraId="52922FBA" w14:textId="77777777" w:rsidR="0088578C" w:rsidRPr="00270674" w:rsidRDefault="0088578C" w:rsidP="00413516">
            <w:r w:rsidRPr="00270674">
              <w:t>-</w:t>
            </w:r>
          </w:p>
        </w:tc>
        <w:tc>
          <w:tcPr>
            <w:tcW w:w="1401" w:type="dxa"/>
            <w:tcBorders>
              <w:left w:val="nil"/>
              <w:right w:val="nil"/>
            </w:tcBorders>
          </w:tcPr>
          <w:p w14:paraId="4D3DC42B" w14:textId="754CC256" w:rsidR="0088578C" w:rsidRPr="00270674" w:rsidRDefault="00076F28" w:rsidP="00413516">
            <w:r w:rsidRPr="00270674">
              <w:t>2 (18</w:t>
            </w:r>
            <w:r w:rsidR="0088578C" w:rsidRPr="00270674">
              <w:t>%)</w:t>
            </w:r>
          </w:p>
        </w:tc>
        <w:tc>
          <w:tcPr>
            <w:tcW w:w="1401" w:type="dxa"/>
            <w:tcBorders>
              <w:left w:val="nil"/>
              <w:right w:val="nil"/>
            </w:tcBorders>
          </w:tcPr>
          <w:p w14:paraId="559B780B" w14:textId="60FC662A" w:rsidR="0088578C" w:rsidRPr="00270674" w:rsidRDefault="005A303D" w:rsidP="00413516">
            <w:pPr>
              <w:rPr>
                <w:b/>
              </w:rPr>
            </w:pPr>
            <w:r w:rsidRPr="00270674">
              <w:rPr>
                <w:b/>
              </w:rPr>
              <w:t>6 (56</w:t>
            </w:r>
            <w:r w:rsidR="0088578C" w:rsidRPr="00270674">
              <w:rPr>
                <w:b/>
              </w:rPr>
              <w:t>%)</w:t>
            </w:r>
          </w:p>
        </w:tc>
        <w:tc>
          <w:tcPr>
            <w:tcW w:w="1402" w:type="dxa"/>
            <w:tcBorders>
              <w:left w:val="nil"/>
              <w:right w:val="nil"/>
            </w:tcBorders>
          </w:tcPr>
          <w:p w14:paraId="48591058" w14:textId="619D7686" w:rsidR="0088578C" w:rsidRPr="00270674" w:rsidRDefault="005A303D" w:rsidP="00413516">
            <w:r w:rsidRPr="00270674">
              <w:t>3 (27</w:t>
            </w:r>
            <w:r w:rsidR="0088578C" w:rsidRPr="00270674">
              <w:t>%)</w:t>
            </w:r>
          </w:p>
        </w:tc>
      </w:tr>
      <w:tr w:rsidR="0088578C" w:rsidRPr="00270674" w14:paraId="494B8E3A" w14:textId="77777777" w:rsidTr="00413516">
        <w:trPr>
          <w:trHeight w:val="708"/>
        </w:trPr>
        <w:tc>
          <w:tcPr>
            <w:tcW w:w="2235" w:type="dxa"/>
            <w:tcBorders>
              <w:left w:val="nil"/>
              <w:right w:val="nil"/>
            </w:tcBorders>
          </w:tcPr>
          <w:p w14:paraId="4D89E4D5" w14:textId="77777777" w:rsidR="0088578C" w:rsidRPr="00270674" w:rsidRDefault="0088578C" w:rsidP="00413516">
            <w:r w:rsidRPr="00270674">
              <w:t>Do you feel more positive about things?</w:t>
            </w:r>
          </w:p>
        </w:tc>
        <w:tc>
          <w:tcPr>
            <w:tcW w:w="688" w:type="dxa"/>
            <w:tcBorders>
              <w:left w:val="nil"/>
              <w:right w:val="nil"/>
            </w:tcBorders>
          </w:tcPr>
          <w:p w14:paraId="3E1C8E81" w14:textId="77777777" w:rsidR="0088578C" w:rsidRPr="00270674" w:rsidRDefault="0088578C" w:rsidP="00413516">
            <w:pPr>
              <w:rPr>
                <w:i/>
              </w:rPr>
            </w:pPr>
            <w:r w:rsidRPr="00270674">
              <w:rPr>
                <w:i/>
              </w:rPr>
              <w:t>11</w:t>
            </w:r>
          </w:p>
        </w:tc>
        <w:tc>
          <w:tcPr>
            <w:tcW w:w="1401" w:type="dxa"/>
            <w:tcBorders>
              <w:left w:val="nil"/>
              <w:right w:val="nil"/>
            </w:tcBorders>
          </w:tcPr>
          <w:p w14:paraId="6893BD82" w14:textId="77777777" w:rsidR="0088578C" w:rsidRPr="00270674" w:rsidRDefault="0088578C" w:rsidP="00413516">
            <w:r w:rsidRPr="00270674">
              <w:t>-</w:t>
            </w:r>
          </w:p>
        </w:tc>
        <w:tc>
          <w:tcPr>
            <w:tcW w:w="1401" w:type="dxa"/>
            <w:tcBorders>
              <w:left w:val="nil"/>
              <w:right w:val="nil"/>
            </w:tcBorders>
          </w:tcPr>
          <w:p w14:paraId="06DA0B7B" w14:textId="29188E38" w:rsidR="0088578C" w:rsidRPr="00270674" w:rsidRDefault="00076F28" w:rsidP="00413516">
            <w:r w:rsidRPr="00270674">
              <w:t>2 (18</w:t>
            </w:r>
            <w:r w:rsidR="0088578C" w:rsidRPr="00270674">
              <w:t>%)</w:t>
            </w:r>
          </w:p>
        </w:tc>
        <w:tc>
          <w:tcPr>
            <w:tcW w:w="1401" w:type="dxa"/>
            <w:tcBorders>
              <w:left w:val="nil"/>
              <w:right w:val="nil"/>
            </w:tcBorders>
          </w:tcPr>
          <w:p w14:paraId="75F72CB2" w14:textId="615B430C" w:rsidR="0088578C" w:rsidRPr="00270674" w:rsidRDefault="005A303D" w:rsidP="00413516">
            <w:pPr>
              <w:rPr>
                <w:b/>
              </w:rPr>
            </w:pPr>
            <w:r w:rsidRPr="00270674">
              <w:rPr>
                <w:b/>
              </w:rPr>
              <w:t>5 (46</w:t>
            </w:r>
            <w:r w:rsidR="0088578C" w:rsidRPr="00270674">
              <w:rPr>
                <w:b/>
              </w:rPr>
              <w:t>%)</w:t>
            </w:r>
          </w:p>
        </w:tc>
        <w:tc>
          <w:tcPr>
            <w:tcW w:w="1402" w:type="dxa"/>
            <w:tcBorders>
              <w:left w:val="nil"/>
              <w:right w:val="nil"/>
            </w:tcBorders>
          </w:tcPr>
          <w:p w14:paraId="267A9FA7" w14:textId="2A7EB2EB" w:rsidR="0088578C" w:rsidRPr="00270674" w:rsidRDefault="005A303D" w:rsidP="00413516">
            <w:r w:rsidRPr="00270674">
              <w:t>4 (36</w:t>
            </w:r>
            <w:r w:rsidR="0088578C" w:rsidRPr="00270674">
              <w:t>%)</w:t>
            </w:r>
          </w:p>
        </w:tc>
      </w:tr>
      <w:tr w:rsidR="0088578C" w:rsidRPr="00270674" w14:paraId="0C23067C" w14:textId="77777777" w:rsidTr="00413516">
        <w:trPr>
          <w:trHeight w:val="708"/>
        </w:trPr>
        <w:tc>
          <w:tcPr>
            <w:tcW w:w="2235" w:type="dxa"/>
            <w:tcBorders>
              <w:left w:val="nil"/>
              <w:right w:val="nil"/>
            </w:tcBorders>
          </w:tcPr>
          <w:p w14:paraId="729C28A0" w14:textId="77777777" w:rsidR="0088578C" w:rsidRPr="00270674" w:rsidRDefault="0088578C" w:rsidP="00413516">
            <w:r w:rsidRPr="00270674">
              <w:t>Have your relationships with other people improved?</w:t>
            </w:r>
          </w:p>
        </w:tc>
        <w:tc>
          <w:tcPr>
            <w:tcW w:w="688" w:type="dxa"/>
            <w:tcBorders>
              <w:left w:val="nil"/>
              <w:right w:val="nil"/>
            </w:tcBorders>
          </w:tcPr>
          <w:p w14:paraId="6BCF6EFE" w14:textId="77777777" w:rsidR="0088578C" w:rsidRPr="00270674" w:rsidRDefault="0088578C" w:rsidP="00413516">
            <w:pPr>
              <w:rPr>
                <w:i/>
              </w:rPr>
            </w:pPr>
            <w:r w:rsidRPr="00270674">
              <w:rPr>
                <w:i/>
              </w:rPr>
              <w:t>11</w:t>
            </w:r>
          </w:p>
        </w:tc>
        <w:tc>
          <w:tcPr>
            <w:tcW w:w="1401" w:type="dxa"/>
            <w:tcBorders>
              <w:top w:val="single" w:sz="4" w:space="0" w:color="auto"/>
              <w:left w:val="nil"/>
              <w:bottom w:val="single" w:sz="4" w:space="0" w:color="auto"/>
              <w:right w:val="nil"/>
            </w:tcBorders>
          </w:tcPr>
          <w:p w14:paraId="0FE203A2" w14:textId="77777777" w:rsidR="0088578C" w:rsidRPr="00270674" w:rsidRDefault="0088578C" w:rsidP="00413516">
            <w:r w:rsidRPr="00270674">
              <w:t>-</w:t>
            </w:r>
          </w:p>
        </w:tc>
        <w:tc>
          <w:tcPr>
            <w:tcW w:w="1401" w:type="dxa"/>
            <w:tcBorders>
              <w:top w:val="single" w:sz="4" w:space="0" w:color="auto"/>
              <w:left w:val="nil"/>
              <w:bottom w:val="single" w:sz="4" w:space="0" w:color="auto"/>
              <w:right w:val="nil"/>
            </w:tcBorders>
          </w:tcPr>
          <w:p w14:paraId="6CB20CFB" w14:textId="79C4F75A" w:rsidR="0088578C" w:rsidRPr="00270674" w:rsidRDefault="00076F28" w:rsidP="00413516">
            <w:r w:rsidRPr="00270674">
              <w:t>1 (9</w:t>
            </w:r>
            <w:r w:rsidR="0088578C" w:rsidRPr="00270674">
              <w:t>%)</w:t>
            </w:r>
          </w:p>
        </w:tc>
        <w:tc>
          <w:tcPr>
            <w:tcW w:w="1401" w:type="dxa"/>
            <w:tcBorders>
              <w:top w:val="single" w:sz="4" w:space="0" w:color="auto"/>
              <w:left w:val="nil"/>
              <w:bottom w:val="single" w:sz="4" w:space="0" w:color="auto"/>
              <w:right w:val="nil"/>
            </w:tcBorders>
          </w:tcPr>
          <w:p w14:paraId="05A8DCB1" w14:textId="3D7DFA81" w:rsidR="0088578C" w:rsidRPr="00270674" w:rsidRDefault="005A303D" w:rsidP="00413516">
            <w:pPr>
              <w:rPr>
                <w:b/>
              </w:rPr>
            </w:pPr>
            <w:r w:rsidRPr="00270674">
              <w:rPr>
                <w:b/>
              </w:rPr>
              <w:t>7 (64</w:t>
            </w:r>
            <w:r w:rsidR="0088578C" w:rsidRPr="00270674">
              <w:rPr>
                <w:b/>
              </w:rPr>
              <w:t>%)</w:t>
            </w:r>
          </w:p>
        </w:tc>
        <w:tc>
          <w:tcPr>
            <w:tcW w:w="1402" w:type="dxa"/>
            <w:tcBorders>
              <w:top w:val="single" w:sz="4" w:space="0" w:color="auto"/>
              <w:left w:val="nil"/>
              <w:bottom w:val="single" w:sz="4" w:space="0" w:color="auto"/>
              <w:right w:val="nil"/>
            </w:tcBorders>
          </w:tcPr>
          <w:p w14:paraId="3A272E2B" w14:textId="6781541C" w:rsidR="0088578C" w:rsidRPr="00270674" w:rsidRDefault="005A303D" w:rsidP="00413516">
            <w:r w:rsidRPr="00270674">
              <w:t>3 (27</w:t>
            </w:r>
            <w:r w:rsidR="0088578C" w:rsidRPr="00270674">
              <w:t>%)</w:t>
            </w:r>
          </w:p>
        </w:tc>
      </w:tr>
      <w:tr w:rsidR="0088578C" w:rsidRPr="00270674" w14:paraId="6FA94822" w14:textId="77777777" w:rsidTr="00413516">
        <w:trPr>
          <w:trHeight w:val="708"/>
        </w:trPr>
        <w:tc>
          <w:tcPr>
            <w:tcW w:w="2235" w:type="dxa"/>
            <w:tcBorders>
              <w:left w:val="nil"/>
              <w:right w:val="nil"/>
            </w:tcBorders>
          </w:tcPr>
          <w:p w14:paraId="36BC74E0" w14:textId="77777777" w:rsidR="0088578C" w:rsidRPr="00270674" w:rsidRDefault="0088578C" w:rsidP="00413516">
            <w:r w:rsidRPr="00270674">
              <w:t>Do you feel that your wellbeing has been maintained?</w:t>
            </w:r>
          </w:p>
        </w:tc>
        <w:tc>
          <w:tcPr>
            <w:tcW w:w="688" w:type="dxa"/>
            <w:tcBorders>
              <w:left w:val="nil"/>
              <w:right w:val="nil"/>
            </w:tcBorders>
          </w:tcPr>
          <w:p w14:paraId="76DC8732" w14:textId="77777777" w:rsidR="0088578C" w:rsidRPr="00270674" w:rsidRDefault="0088578C" w:rsidP="00413516">
            <w:pPr>
              <w:rPr>
                <w:i/>
              </w:rPr>
            </w:pPr>
            <w:r w:rsidRPr="00270674">
              <w:rPr>
                <w:i/>
              </w:rPr>
              <w:t>11</w:t>
            </w:r>
          </w:p>
        </w:tc>
        <w:tc>
          <w:tcPr>
            <w:tcW w:w="1401" w:type="dxa"/>
            <w:tcBorders>
              <w:top w:val="single" w:sz="4" w:space="0" w:color="auto"/>
              <w:left w:val="nil"/>
              <w:bottom w:val="single" w:sz="4" w:space="0" w:color="auto"/>
              <w:right w:val="nil"/>
            </w:tcBorders>
          </w:tcPr>
          <w:p w14:paraId="053B707E" w14:textId="4DD82004" w:rsidR="0088578C" w:rsidRPr="00270674" w:rsidRDefault="00076F28" w:rsidP="00413516">
            <w:r w:rsidRPr="00270674">
              <w:t>1 (9</w:t>
            </w:r>
            <w:r w:rsidR="0088578C" w:rsidRPr="00270674">
              <w:t>%)</w:t>
            </w:r>
          </w:p>
        </w:tc>
        <w:tc>
          <w:tcPr>
            <w:tcW w:w="1401" w:type="dxa"/>
            <w:tcBorders>
              <w:top w:val="single" w:sz="4" w:space="0" w:color="auto"/>
              <w:left w:val="nil"/>
              <w:bottom w:val="single" w:sz="4" w:space="0" w:color="auto"/>
              <w:right w:val="nil"/>
            </w:tcBorders>
          </w:tcPr>
          <w:p w14:paraId="545757D5" w14:textId="0A5C578C" w:rsidR="0088578C" w:rsidRPr="00270674" w:rsidRDefault="00076F28" w:rsidP="00413516">
            <w:r w:rsidRPr="00270674">
              <w:t>2 (18</w:t>
            </w:r>
            <w:r w:rsidR="0088578C" w:rsidRPr="00270674">
              <w:t>%)</w:t>
            </w:r>
          </w:p>
        </w:tc>
        <w:tc>
          <w:tcPr>
            <w:tcW w:w="1401" w:type="dxa"/>
            <w:tcBorders>
              <w:top w:val="single" w:sz="4" w:space="0" w:color="auto"/>
              <w:left w:val="nil"/>
              <w:bottom w:val="single" w:sz="4" w:space="0" w:color="auto"/>
              <w:right w:val="nil"/>
            </w:tcBorders>
          </w:tcPr>
          <w:p w14:paraId="35D159DA" w14:textId="51B55FA7" w:rsidR="0088578C" w:rsidRPr="00270674" w:rsidRDefault="005A303D" w:rsidP="00413516">
            <w:pPr>
              <w:rPr>
                <w:b/>
              </w:rPr>
            </w:pPr>
            <w:r w:rsidRPr="00270674">
              <w:rPr>
                <w:b/>
              </w:rPr>
              <w:t>5 (46</w:t>
            </w:r>
            <w:r w:rsidR="0088578C" w:rsidRPr="00270674">
              <w:rPr>
                <w:b/>
              </w:rPr>
              <w:t>%)</w:t>
            </w:r>
          </w:p>
        </w:tc>
        <w:tc>
          <w:tcPr>
            <w:tcW w:w="1402" w:type="dxa"/>
            <w:tcBorders>
              <w:top w:val="single" w:sz="4" w:space="0" w:color="auto"/>
              <w:left w:val="nil"/>
              <w:bottom w:val="single" w:sz="4" w:space="0" w:color="auto"/>
              <w:right w:val="nil"/>
            </w:tcBorders>
          </w:tcPr>
          <w:p w14:paraId="3B70C102" w14:textId="6BDEE7ED" w:rsidR="0088578C" w:rsidRPr="00270674" w:rsidRDefault="005A303D" w:rsidP="00413516">
            <w:r w:rsidRPr="00270674">
              <w:t>3 (27</w:t>
            </w:r>
            <w:r w:rsidR="0088578C" w:rsidRPr="00270674">
              <w:t>%)</w:t>
            </w:r>
          </w:p>
        </w:tc>
      </w:tr>
    </w:tbl>
    <w:p w14:paraId="1A51FAFC" w14:textId="3636A435" w:rsidR="0088578C" w:rsidRPr="00270674" w:rsidRDefault="0088578C" w:rsidP="0088578C">
      <w:r w:rsidRPr="00270674">
        <w:t xml:space="preserve">*The most frequent response is in </w:t>
      </w:r>
      <w:r w:rsidRPr="00270674">
        <w:rPr>
          <w:b/>
        </w:rPr>
        <w:t>bold</w:t>
      </w:r>
      <w:r w:rsidRPr="00270674">
        <w:t>.</w:t>
      </w:r>
    </w:p>
    <w:p w14:paraId="176682D6" w14:textId="77777777" w:rsidR="000C5F72" w:rsidRPr="00270674" w:rsidRDefault="000C5F72" w:rsidP="0088578C"/>
    <w:p w14:paraId="10C8DAC1" w14:textId="77777777" w:rsidR="000C5F72" w:rsidRPr="00270674" w:rsidRDefault="000C5F72" w:rsidP="0088578C"/>
    <w:p w14:paraId="6D023A6E" w14:textId="77777777" w:rsidR="000C5F72" w:rsidRPr="00270674" w:rsidRDefault="000C5F72" w:rsidP="0088578C"/>
    <w:p w14:paraId="2F96EFB0" w14:textId="77777777" w:rsidR="000C5F72" w:rsidRPr="00270674" w:rsidRDefault="000C5F72" w:rsidP="0088578C"/>
    <w:p w14:paraId="1CF9F60D" w14:textId="77777777" w:rsidR="000C5F72" w:rsidRPr="00270674" w:rsidRDefault="000C5F72" w:rsidP="0088578C"/>
    <w:p w14:paraId="6D323A78" w14:textId="77777777" w:rsidR="000C5F72" w:rsidRPr="00270674" w:rsidRDefault="000C5F72" w:rsidP="0088578C"/>
    <w:p w14:paraId="07E1A94F" w14:textId="77777777" w:rsidR="000C5F72" w:rsidRPr="00270674" w:rsidRDefault="000C5F72" w:rsidP="0088578C"/>
    <w:p w14:paraId="6A8A3E3D" w14:textId="77777777" w:rsidR="000C5F72" w:rsidRPr="00270674" w:rsidRDefault="000C5F72" w:rsidP="0088578C"/>
    <w:p w14:paraId="19F06430" w14:textId="77777777" w:rsidR="000C5F72" w:rsidRPr="00270674" w:rsidRDefault="000C5F72" w:rsidP="0088578C"/>
    <w:p w14:paraId="4259B1DC" w14:textId="77777777" w:rsidR="000C5F72" w:rsidRPr="00270674" w:rsidRDefault="000C5F72" w:rsidP="0088578C"/>
    <w:p w14:paraId="17E1FF2C" w14:textId="77777777" w:rsidR="000C5F72" w:rsidRPr="00270674" w:rsidRDefault="000C5F72" w:rsidP="0088578C"/>
    <w:p w14:paraId="52275691" w14:textId="77777777" w:rsidR="000C5F72" w:rsidRPr="00270674" w:rsidRDefault="000C5F72" w:rsidP="0088578C"/>
    <w:p w14:paraId="6E0D12BB" w14:textId="77777777" w:rsidR="000C5F72" w:rsidRPr="00270674" w:rsidRDefault="000C5F72" w:rsidP="0088578C"/>
    <w:p w14:paraId="4BB66F6C" w14:textId="77777777" w:rsidR="000C5F72" w:rsidRPr="00270674" w:rsidRDefault="000C5F72" w:rsidP="0088578C"/>
    <w:p w14:paraId="0C836988" w14:textId="77777777" w:rsidR="000C5F72" w:rsidRPr="00270674" w:rsidRDefault="000C5F72" w:rsidP="0088578C"/>
    <w:p w14:paraId="34554618" w14:textId="77777777" w:rsidR="000C5F72" w:rsidRPr="00270674" w:rsidRDefault="000C5F72" w:rsidP="0088578C"/>
    <w:p w14:paraId="1997F406" w14:textId="77777777" w:rsidR="000C5F72" w:rsidRPr="00270674" w:rsidRDefault="000C5F72" w:rsidP="0088578C"/>
    <w:p w14:paraId="0ECBA33B" w14:textId="77777777" w:rsidR="000C5F72" w:rsidRPr="00270674" w:rsidRDefault="000C5F72" w:rsidP="0088578C"/>
    <w:p w14:paraId="7B488B48" w14:textId="77777777" w:rsidR="000C5F72" w:rsidRPr="00270674" w:rsidRDefault="000C5F72" w:rsidP="0088578C"/>
    <w:p w14:paraId="6F7D9491" w14:textId="77777777" w:rsidR="000C5F72" w:rsidRPr="00270674" w:rsidRDefault="000C5F72" w:rsidP="0088578C"/>
    <w:p w14:paraId="02DF886F" w14:textId="64B1E486" w:rsidR="000C5F72" w:rsidRPr="00270674" w:rsidRDefault="000C5F72" w:rsidP="0088578C"/>
    <w:p w14:paraId="56165562" w14:textId="4CC825A3" w:rsidR="0088578C" w:rsidRPr="00270674" w:rsidRDefault="0088578C" w:rsidP="0088578C">
      <w:r w:rsidRPr="00270674">
        <w:lastRenderedPageBreak/>
        <w:t xml:space="preserve">Table </w:t>
      </w:r>
      <w:r w:rsidR="00AF3EC6" w:rsidRPr="00270674">
        <w:t>5</w:t>
      </w:r>
      <w:r w:rsidRPr="00270674">
        <w:t>: Responses to questions about the Recovery College at 6 month follow-up.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6"/>
        <w:gridCol w:w="659"/>
        <w:gridCol w:w="1379"/>
        <w:gridCol w:w="1379"/>
        <w:gridCol w:w="1379"/>
        <w:gridCol w:w="1380"/>
      </w:tblGrid>
      <w:tr w:rsidR="0088578C" w:rsidRPr="00270674" w14:paraId="235847FC" w14:textId="77777777" w:rsidTr="00413516">
        <w:tc>
          <w:tcPr>
            <w:tcW w:w="2235" w:type="dxa"/>
            <w:tcBorders>
              <w:left w:val="nil"/>
              <w:right w:val="nil"/>
            </w:tcBorders>
          </w:tcPr>
          <w:p w14:paraId="31D68784" w14:textId="77777777" w:rsidR="0088578C" w:rsidRPr="00270674" w:rsidRDefault="0088578C" w:rsidP="00413516"/>
          <w:p w14:paraId="0E19908C" w14:textId="77777777" w:rsidR="0088578C" w:rsidRPr="00270674" w:rsidRDefault="0088578C" w:rsidP="00413516">
            <w:pPr>
              <w:rPr>
                <w:b/>
              </w:rPr>
            </w:pPr>
            <w:r w:rsidRPr="00270674">
              <w:rPr>
                <w:b/>
              </w:rPr>
              <w:t>Question</w:t>
            </w:r>
          </w:p>
        </w:tc>
        <w:tc>
          <w:tcPr>
            <w:tcW w:w="688" w:type="dxa"/>
            <w:tcBorders>
              <w:left w:val="nil"/>
              <w:right w:val="nil"/>
            </w:tcBorders>
          </w:tcPr>
          <w:p w14:paraId="05CB0A2D" w14:textId="77777777" w:rsidR="0088578C" w:rsidRPr="00270674" w:rsidRDefault="0088578C" w:rsidP="00413516">
            <w:pPr>
              <w:rPr>
                <w:b/>
                <w:i/>
              </w:rPr>
            </w:pPr>
            <w:r w:rsidRPr="00270674">
              <w:rPr>
                <w:b/>
                <w:i/>
              </w:rPr>
              <w:t>n</w:t>
            </w:r>
          </w:p>
        </w:tc>
        <w:tc>
          <w:tcPr>
            <w:tcW w:w="1401" w:type="dxa"/>
            <w:tcBorders>
              <w:left w:val="nil"/>
              <w:right w:val="nil"/>
            </w:tcBorders>
          </w:tcPr>
          <w:p w14:paraId="5952267B" w14:textId="77777777" w:rsidR="0088578C" w:rsidRPr="00270674" w:rsidRDefault="0088578C" w:rsidP="00413516">
            <w:r w:rsidRPr="00270674">
              <w:rPr>
                <w:b/>
              </w:rPr>
              <w:t>Not at all</w:t>
            </w:r>
            <w:r w:rsidRPr="00270674">
              <w:t xml:space="preserve"> </w:t>
            </w:r>
          </w:p>
          <w:p w14:paraId="3F9B171F" w14:textId="77777777" w:rsidR="0088578C" w:rsidRPr="00270674" w:rsidRDefault="0088578C" w:rsidP="00413516">
            <w:pPr>
              <w:rPr>
                <w:b/>
              </w:rPr>
            </w:pPr>
            <w:r w:rsidRPr="00270674">
              <w:rPr>
                <w:b/>
              </w:rPr>
              <w:t>(0)</w:t>
            </w:r>
          </w:p>
          <w:p w14:paraId="3BD2E351" w14:textId="77777777" w:rsidR="0088578C" w:rsidRPr="00270674" w:rsidRDefault="0088578C" w:rsidP="00413516">
            <w:r w:rsidRPr="00270674">
              <w:t>Frequency (%)</w:t>
            </w:r>
          </w:p>
        </w:tc>
        <w:tc>
          <w:tcPr>
            <w:tcW w:w="1401" w:type="dxa"/>
            <w:tcBorders>
              <w:left w:val="nil"/>
              <w:right w:val="nil"/>
            </w:tcBorders>
          </w:tcPr>
          <w:p w14:paraId="24677936" w14:textId="77777777" w:rsidR="0088578C" w:rsidRPr="00270674" w:rsidRDefault="0088578C" w:rsidP="00413516">
            <w:r w:rsidRPr="00270674">
              <w:rPr>
                <w:b/>
              </w:rPr>
              <w:t>No not much (1)</w:t>
            </w:r>
          </w:p>
          <w:p w14:paraId="30A1DDD7" w14:textId="77777777" w:rsidR="0088578C" w:rsidRPr="00270674" w:rsidRDefault="0088578C" w:rsidP="00413516">
            <w:r w:rsidRPr="00270674">
              <w:t>Frequency (%)</w:t>
            </w:r>
          </w:p>
        </w:tc>
        <w:tc>
          <w:tcPr>
            <w:tcW w:w="1401" w:type="dxa"/>
            <w:tcBorders>
              <w:left w:val="nil"/>
              <w:right w:val="nil"/>
            </w:tcBorders>
          </w:tcPr>
          <w:p w14:paraId="4CC8570C" w14:textId="77777777" w:rsidR="0088578C" w:rsidRPr="00270674" w:rsidRDefault="0088578C" w:rsidP="00413516">
            <w:r w:rsidRPr="00270674">
              <w:rPr>
                <w:b/>
              </w:rPr>
              <w:t>Yes a little</w:t>
            </w:r>
            <w:r w:rsidRPr="00270674">
              <w:t xml:space="preserve"> </w:t>
            </w:r>
            <w:r w:rsidRPr="00270674">
              <w:rPr>
                <w:b/>
              </w:rPr>
              <w:t>(2)</w:t>
            </w:r>
          </w:p>
          <w:p w14:paraId="3CC04E50" w14:textId="77777777" w:rsidR="0088578C" w:rsidRPr="00270674" w:rsidRDefault="0088578C" w:rsidP="00413516">
            <w:r w:rsidRPr="00270674">
              <w:t>Frequency (%)</w:t>
            </w:r>
          </w:p>
        </w:tc>
        <w:tc>
          <w:tcPr>
            <w:tcW w:w="1402" w:type="dxa"/>
            <w:tcBorders>
              <w:left w:val="nil"/>
              <w:right w:val="nil"/>
            </w:tcBorders>
          </w:tcPr>
          <w:p w14:paraId="38891C91" w14:textId="77777777" w:rsidR="0088578C" w:rsidRPr="00270674" w:rsidRDefault="0088578C" w:rsidP="00413516">
            <w:pPr>
              <w:rPr>
                <w:b/>
              </w:rPr>
            </w:pPr>
            <w:r w:rsidRPr="00270674">
              <w:rPr>
                <w:b/>
              </w:rPr>
              <w:t xml:space="preserve">Yes a lot </w:t>
            </w:r>
          </w:p>
          <w:p w14:paraId="7F19C7C8" w14:textId="77777777" w:rsidR="0088578C" w:rsidRPr="00270674" w:rsidRDefault="0088578C" w:rsidP="00413516">
            <w:pPr>
              <w:rPr>
                <w:b/>
              </w:rPr>
            </w:pPr>
            <w:r w:rsidRPr="00270674">
              <w:rPr>
                <w:b/>
              </w:rPr>
              <w:t>(3)</w:t>
            </w:r>
          </w:p>
          <w:p w14:paraId="1B122D15" w14:textId="77777777" w:rsidR="0088578C" w:rsidRPr="00270674" w:rsidRDefault="0088578C" w:rsidP="00413516">
            <w:r w:rsidRPr="00270674">
              <w:t>Frequency (%)</w:t>
            </w:r>
          </w:p>
        </w:tc>
      </w:tr>
      <w:tr w:rsidR="0088578C" w:rsidRPr="00270674" w14:paraId="7603DC2A" w14:textId="77777777" w:rsidTr="00413516">
        <w:trPr>
          <w:trHeight w:val="709"/>
        </w:trPr>
        <w:tc>
          <w:tcPr>
            <w:tcW w:w="2235" w:type="dxa"/>
            <w:tcBorders>
              <w:left w:val="nil"/>
              <w:right w:val="nil"/>
            </w:tcBorders>
          </w:tcPr>
          <w:p w14:paraId="0CCE61B9" w14:textId="77777777" w:rsidR="0088578C" w:rsidRPr="00270674" w:rsidRDefault="0088578C" w:rsidP="00413516">
            <w:r w:rsidRPr="00270674">
              <w:t>Have you enjoyed your Recovery College course/s?</w:t>
            </w:r>
          </w:p>
        </w:tc>
        <w:tc>
          <w:tcPr>
            <w:tcW w:w="688" w:type="dxa"/>
            <w:tcBorders>
              <w:left w:val="nil"/>
              <w:right w:val="nil"/>
            </w:tcBorders>
          </w:tcPr>
          <w:p w14:paraId="64879B25" w14:textId="77777777" w:rsidR="0088578C" w:rsidRPr="00270674" w:rsidRDefault="0088578C" w:rsidP="00413516">
            <w:pPr>
              <w:rPr>
                <w:i/>
              </w:rPr>
            </w:pPr>
            <w:r w:rsidRPr="00270674">
              <w:rPr>
                <w:i/>
              </w:rPr>
              <w:t>23</w:t>
            </w:r>
          </w:p>
        </w:tc>
        <w:tc>
          <w:tcPr>
            <w:tcW w:w="1401" w:type="dxa"/>
            <w:tcBorders>
              <w:left w:val="nil"/>
              <w:right w:val="nil"/>
            </w:tcBorders>
          </w:tcPr>
          <w:p w14:paraId="4157C956" w14:textId="77777777" w:rsidR="0088578C" w:rsidRPr="00270674" w:rsidRDefault="0088578C" w:rsidP="00413516">
            <w:r w:rsidRPr="00270674">
              <w:t>-</w:t>
            </w:r>
          </w:p>
        </w:tc>
        <w:tc>
          <w:tcPr>
            <w:tcW w:w="1401" w:type="dxa"/>
            <w:tcBorders>
              <w:left w:val="nil"/>
              <w:right w:val="nil"/>
            </w:tcBorders>
          </w:tcPr>
          <w:p w14:paraId="5FD3BB7C" w14:textId="38E671FA" w:rsidR="0088578C" w:rsidRPr="00270674" w:rsidRDefault="00426076" w:rsidP="00413516">
            <w:r w:rsidRPr="00270674">
              <w:t>1 (4</w:t>
            </w:r>
            <w:r w:rsidR="0088578C" w:rsidRPr="00270674">
              <w:t>%)</w:t>
            </w:r>
          </w:p>
        </w:tc>
        <w:tc>
          <w:tcPr>
            <w:tcW w:w="1401" w:type="dxa"/>
            <w:tcBorders>
              <w:left w:val="nil"/>
              <w:right w:val="nil"/>
            </w:tcBorders>
          </w:tcPr>
          <w:p w14:paraId="58CC7CAE" w14:textId="4B5A8A03" w:rsidR="0088578C" w:rsidRPr="00270674" w:rsidRDefault="00426076" w:rsidP="00413516">
            <w:r w:rsidRPr="00270674">
              <w:t>6 (26</w:t>
            </w:r>
            <w:r w:rsidR="0088578C" w:rsidRPr="00270674">
              <w:t>%)</w:t>
            </w:r>
          </w:p>
        </w:tc>
        <w:tc>
          <w:tcPr>
            <w:tcW w:w="1402" w:type="dxa"/>
            <w:tcBorders>
              <w:left w:val="nil"/>
              <w:right w:val="nil"/>
            </w:tcBorders>
          </w:tcPr>
          <w:p w14:paraId="37D809FC" w14:textId="6481FCF4" w:rsidR="0088578C" w:rsidRPr="00270674" w:rsidRDefault="00426076" w:rsidP="00413516">
            <w:pPr>
              <w:rPr>
                <w:b/>
              </w:rPr>
            </w:pPr>
            <w:r w:rsidRPr="00270674">
              <w:rPr>
                <w:b/>
              </w:rPr>
              <w:t>16 (70</w:t>
            </w:r>
            <w:r w:rsidR="0088578C" w:rsidRPr="00270674">
              <w:rPr>
                <w:b/>
              </w:rPr>
              <w:t>%)</w:t>
            </w:r>
          </w:p>
        </w:tc>
      </w:tr>
      <w:tr w:rsidR="0088578C" w:rsidRPr="00270674" w14:paraId="40881F39" w14:textId="77777777" w:rsidTr="00413516">
        <w:trPr>
          <w:trHeight w:val="709"/>
        </w:trPr>
        <w:tc>
          <w:tcPr>
            <w:tcW w:w="2235" w:type="dxa"/>
            <w:tcBorders>
              <w:left w:val="nil"/>
              <w:right w:val="nil"/>
            </w:tcBorders>
          </w:tcPr>
          <w:p w14:paraId="0D222C60" w14:textId="77777777" w:rsidR="0088578C" w:rsidRPr="00270674" w:rsidRDefault="0088578C" w:rsidP="00413516">
            <w:r w:rsidRPr="00270674">
              <w:t>Have your skills developed?</w:t>
            </w:r>
          </w:p>
        </w:tc>
        <w:tc>
          <w:tcPr>
            <w:tcW w:w="688" w:type="dxa"/>
            <w:tcBorders>
              <w:left w:val="nil"/>
              <w:right w:val="nil"/>
            </w:tcBorders>
          </w:tcPr>
          <w:p w14:paraId="730D0EC0" w14:textId="77777777" w:rsidR="0088578C" w:rsidRPr="00270674" w:rsidRDefault="0088578C" w:rsidP="00413516">
            <w:pPr>
              <w:rPr>
                <w:i/>
              </w:rPr>
            </w:pPr>
            <w:r w:rsidRPr="00270674">
              <w:rPr>
                <w:i/>
              </w:rPr>
              <w:t>23</w:t>
            </w:r>
          </w:p>
        </w:tc>
        <w:tc>
          <w:tcPr>
            <w:tcW w:w="1401" w:type="dxa"/>
            <w:tcBorders>
              <w:left w:val="nil"/>
              <w:right w:val="nil"/>
            </w:tcBorders>
          </w:tcPr>
          <w:p w14:paraId="56FBDE93" w14:textId="77777777" w:rsidR="0088578C" w:rsidRPr="00270674" w:rsidRDefault="0088578C" w:rsidP="00413516">
            <w:r w:rsidRPr="00270674">
              <w:t>-</w:t>
            </w:r>
          </w:p>
        </w:tc>
        <w:tc>
          <w:tcPr>
            <w:tcW w:w="1401" w:type="dxa"/>
            <w:tcBorders>
              <w:left w:val="nil"/>
              <w:right w:val="nil"/>
            </w:tcBorders>
          </w:tcPr>
          <w:p w14:paraId="17968CF0" w14:textId="5D9D8E11" w:rsidR="0088578C" w:rsidRPr="00270674" w:rsidRDefault="00426076" w:rsidP="00413516">
            <w:r w:rsidRPr="00270674">
              <w:t>2 (9</w:t>
            </w:r>
            <w:r w:rsidR="0088578C" w:rsidRPr="00270674">
              <w:t>%)</w:t>
            </w:r>
          </w:p>
        </w:tc>
        <w:tc>
          <w:tcPr>
            <w:tcW w:w="1401" w:type="dxa"/>
            <w:tcBorders>
              <w:left w:val="nil"/>
              <w:right w:val="nil"/>
            </w:tcBorders>
          </w:tcPr>
          <w:p w14:paraId="05A99D5F" w14:textId="132287A1" w:rsidR="0088578C" w:rsidRPr="00270674" w:rsidRDefault="00426076" w:rsidP="00413516">
            <w:pPr>
              <w:rPr>
                <w:b/>
              </w:rPr>
            </w:pPr>
            <w:r w:rsidRPr="00270674">
              <w:rPr>
                <w:b/>
              </w:rPr>
              <w:t>15 (65</w:t>
            </w:r>
            <w:r w:rsidR="0088578C" w:rsidRPr="00270674">
              <w:rPr>
                <w:b/>
              </w:rPr>
              <w:t>%)</w:t>
            </w:r>
          </w:p>
        </w:tc>
        <w:tc>
          <w:tcPr>
            <w:tcW w:w="1402" w:type="dxa"/>
            <w:tcBorders>
              <w:left w:val="nil"/>
              <w:right w:val="nil"/>
            </w:tcBorders>
          </w:tcPr>
          <w:p w14:paraId="5706F23E" w14:textId="0FC00C9A" w:rsidR="0088578C" w:rsidRPr="00270674" w:rsidRDefault="00426076" w:rsidP="00413516">
            <w:r w:rsidRPr="00270674">
              <w:t>6 (26</w:t>
            </w:r>
            <w:r w:rsidR="0088578C" w:rsidRPr="00270674">
              <w:t>%)</w:t>
            </w:r>
          </w:p>
        </w:tc>
      </w:tr>
      <w:tr w:rsidR="0088578C" w:rsidRPr="00270674" w14:paraId="2DCF09BC" w14:textId="77777777" w:rsidTr="00413516">
        <w:trPr>
          <w:trHeight w:val="709"/>
        </w:trPr>
        <w:tc>
          <w:tcPr>
            <w:tcW w:w="2235" w:type="dxa"/>
            <w:tcBorders>
              <w:left w:val="nil"/>
              <w:right w:val="nil"/>
            </w:tcBorders>
          </w:tcPr>
          <w:p w14:paraId="41229A5C" w14:textId="77777777" w:rsidR="0088578C" w:rsidRPr="00270674" w:rsidRDefault="0088578C" w:rsidP="00413516">
            <w:r w:rsidRPr="00270674">
              <w:t>Has your confidence increased?</w:t>
            </w:r>
          </w:p>
        </w:tc>
        <w:tc>
          <w:tcPr>
            <w:tcW w:w="688" w:type="dxa"/>
            <w:tcBorders>
              <w:left w:val="nil"/>
              <w:right w:val="nil"/>
            </w:tcBorders>
          </w:tcPr>
          <w:p w14:paraId="67888E4A" w14:textId="77777777" w:rsidR="0088578C" w:rsidRPr="00270674" w:rsidRDefault="0088578C" w:rsidP="00413516">
            <w:pPr>
              <w:rPr>
                <w:i/>
              </w:rPr>
            </w:pPr>
            <w:r w:rsidRPr="00270674">
              <w:rPr>
                <w:i/>
              </w:rPr>
              <w:t>23</w:t>
            </w:r>
          </w:p>
        </w:tc>
        <w:tc>
          <w:tcPr>
            <w:tcW w:w="1401" w:type="dxa"/>
            <w:tcBorders>
              <w:left w:val="nil"/>
              <w:right w:val="nil"/>
            </w:tcBorders>
          </w:tcPr>
          <w:p w14:paraId="7CC7A909" w14:textId="77777777" w:rsidR="0088578C" w:rsidRPr="00270674" w:rsidRDefault="0088578C" w:rsidP="00413516">
            <w:r w:rsidRPr="00270674">
              <w:t>-</w:t>
            </w:r>
          </w:p>
        </w:tc>
        <w:tc>
          <w:tcPr>
            <w:tcW w:w="1401" w:type="dxa"/>
            <w:tcBorders>
              <w:left w:val="nil"/>
              <w:right w:val="nil"/>
            </w:tcBorders>
          </w:tcPr>
          <w:p w14:paraId="12ACBDA7" w14:textId="0E3BEC8F" w:rsidR="0088578C" w:rsidRPr="00270674" w:rsidRDefault="00426076" w:rsidP="00413516">
            <w:r w:rsidRPr="00270674">
              <w:t>4 (17</w:t>
            </w:r>
            <w:r w:rsidR="0088578C" w:rsidRPr="00270674">
              <w:t>%)</w:t>
            </w:r>
          </w:p>
        </w:tc>
        <w:tc>
          <w:tcPr>
            <w:tcW w:w="1401" w:type="dxa"/>
            <w:tcBorders>
              <w:left w:val="nil"/>
              <w:right w:val="nil"/>
            </w:tcBorders>
          </w:tcPr>
          <w:p w14:paraId="07F45B0E" w14:textId="2D94F8B7" w:rsidR="0088578C" w:rsidRPr="00270674" w:rsidRDefault="00426076" w:rsidP="00413516">
            <w:pPr>
              <w:rPr>
                <w:b/>
              </w:rPr>
            </w:pPr>
            <w:r w:rsidRPr="00270674">
              <w:rPr>
                <w:b/>
              </w:rPr>
              <w:t>13 (57</w:t>
            </w:r>
            <w:r w:rsidR="0088578C" w:rsidRPr="00270674">
              <w:rPr>
                <w:b/>
              </w:rPr>
              <w:t>%)</w:t>
            </w:r>
          </w:p>
        </w:tc>
        <w:tc>
          <w:tcPr>
            <w:tcW w:w="1402" w:type="dxa"/>
            <w:tcBorders>
              <w:left w:val="nil"/>
              <w:right w:val="nil"/>
            </w:tcBorders>
          </w:tcPr>
          <w:p w14:paraId="4455E215" w14:textId="416BD76D" w:rsidR="0088578C" w:rsidRPr="00270674" w:rsidRDefault="00426076" w:rsidP="00413516">
            <w:r w:rsidRPr="00270674">
              <w:t>6 (26</w:t>
            </w:r>
            <w:r w:rsidR="0088578C" w:rsidRPr="00270674">
              <w:t>%)</w:t>
            </w:r>
          </w:p>
        </w:tc>
      </w:tr>
      <w:tr w:rsidR="0088578C" w:rsidRPr="00270674" w14:paraId="491B1D8C" w14:textId="77777777" w:rsidTr="00413516">
        <w:trPr>
          <w:trHeight w:val="708"/>
        </w:trPr>
        <w:tc>
          <w:tcPr>
            <w:tcW w:w="2235" w:type="dxa"/>
            <w:tcBorders>
              <w:left w:val="nil"/>
              <w:right w:val="nil"/>
            </w:tcBorders>
          </w:tcPr>
          <w:p w14:paraId="7AB53D6C" w14:textId="77777777" w:rsidR="0088578C" w:rsidRPr="00270674" w:rsidRDefault="0088578C" w:rsidP="00413516">
            <w:r w:rsidRPr="00270674">
              <w:t>Has your motivation increased?</w:t>
            </w:r>
          </w:p>
        </w:tc>
        <w:tc>
          <w:tcPr>
            <w:tcW w:w="688" w:type="dxa"/>
            <w:tcBorders>
              <w:left w:val="nil"/>
              <w:right w:val="nil"/>
            </w:tcBorders>
          </w:tcPr>
          <w:p w14:paraId="1602470E" w14:textId="77777777" w:rsidR="0088578C" w:rsidRPr="00270674" w:rsidRDefault="0088578C" w:rsidP="00413516">
            <w:pPr>
              <w:rPr>
                <w:i/>
              </w:rPr>
            </w:pPr>
            <w:r w:rsidRPr="00270674">
              <w:rPr>
                <w:i/>
              </w:rPr>
              <w:t>23</w:t>
            </w:r>
          </w:p>
        </w:tc>
        <w:tc>
          <w:tcPr>
            <w:tcW w:w="1401" w:type="dxa"/>
            <w:tcBorders>
              <w:left w:val="nil"/>
              <w:right w:val="nil"/>
            </w:tcBorders>
          </w:tcPr>
          <w:p w14:paraId="706CB06F" w14:textId="591655A4" w:rsidR="0088578C" w:rsidRPr="00270674" w:rsidRDefault="00426076" w:rsidP="00413516">
            <w:r w:rsidRPr="00270674">
              <w:t>1 (4</w:t>
            </w:r>
            <w:r w:rsidR="0088578C" w:rsidRPr="00270674">
              <w:t>%)</w:t>
            </w:r>
          </w:p>
        </w:tc>
        <w:tc>
          <w:tcPr>
            <w:tcW w:w="1401" w:type="dxa"/>
            <w:tcBorders>
              <w:left w:val="nil"/>
              <w:right w:val="nil"/>
            </w:tcBorders>
          </w:tcPr>
          <w:p w14:paraId="14B9960D" w14:textId="77777777" w:rsidR="0088578C" w:rsidRPr="00270674" w:rsidRDefault="0088578C" w:rsidP="00413516">
            <w:r w:rsidRPr="00270674">
              <w:t>3 (13%)</w:t>
            </w:r>
          </w:p>
        </w:tc>
        <w:tc>
          <w:tcPr>
            <w:tcW w:w="1401" w:type="dxa"/>
            <w:tcBorders>
              <w:left w:val="nil"/>
              <w:right w:val="nil"/>
            </w:tcBorders>
          </w:tcPr>
          <w:p w14:paraId="2EBE30CA" w14:textId="393278D2" w:rsidR="0088578C" w:rsidRPr="00270674" w:rsidRDefault="00426076" w:rsidP="00413516">
            <w:pPr>
              <w:rPr>
                <w:b/>
              </w:rPr>
            </w:pPr>
            <w:r w:rsidRPr="00270674">
              <w:rPr>
                <w:b/>
              </w:rPr>
              <w:t>11 (48</w:t>
            </w:r>
            <w:r w:rsidR="0088578C" w:rsidRPr="00270674">
              <w:rPr>
                <w:b/>
              </w:rPr>
              <w:t>%)</w:t>
            </w:r>
          </w:p>
        </w:tc>
        <w:tc>
          <w:tcPr>
            <w:tcW w:w="1402" w:type="dxa"/>
            <w:tcBorders>
              <w:left w:val="nil"/>
              <w:right w:val="nil"/>
            </w:tcBorders>
          </w:tcPr>
          <w:p w14:paraId="51627479" w14:textId="01D90502" w:rsidR="0088578C" w:rsidRPr="00270674" w:rsidRDefault="00426076" w:rsidP="00413516">
            <w:r w:rsidRPr="00270674">
              <w:t>8 (35</w:t>
            </w:r>
            <w:r w:rsidR="0088578C" w:rsidRPr="00270674">
              <w:t>%)</w:t>
            </w:r>
          </w:p>
        </w:tc>
      </w:tr>
      <w:tr w:rsidR="0088578C" w:rsidRPr="00270674" w14:paraId="7E237972" w14:textId="77777777" w:rsidTr="00413516">
        <w:trPr>
          <w:trHeight w:val="708"/>
        </w:trPr>
        <w:tc>
          <w:tcPr>
            <w:tcW w:w="2235" w:type="dxa"/>
            <w:tcBorders>
              <w:left w:val="nil"/>
              <w:right w:val="nil"/>
            </w:tcBorders>
          </w:tcPr>
          <w:p w14:paraId="30496AAA" w14:textId="77777777" w:rsidR="0088578C" w:rsidRPr="00270674" w:rsidRDefault="0088578C" w:rsidP="00413516">
            <w:r w:rsidRPr="00270674">
              <w:t>Do you feel more positive about things?</w:t>
            </w:r>
          </w:p>
        </w:tc>
        <w:tc>
          <w:tcPr>
            <w:tcW w:w="688" w:type="dxa"/>
            <w:tcBorders>
              <w:left w:val="nil"/>
              <w:right w:val="nil"/>
            </w:tcBorders>
          </w:tcPr>
          <w:p w14:paraId="0B8DB754" w14:textId="77777777" w:rsidR="0088578C" w:rsidRPr="00270674" w:rsidRDefault="0088578C" w:rsidP="00413516">
            <w:pPr>
              <w:rPr>
                <w:i/>
              </w:rPr>
            </w:pPr>
            <w:r w:rsidRPr="00270674">
              <w:rPr>
                <w:i/>
              </w:rPr>
              <w:t>23</w:t>
            </w:r>
          </w:p>
        </w:tc>
        <w:tc>
          <w:tcPr>
            <w:tcW w:w="1401" w:type="dxa"/>
            <w:tcBorders>
              <w:left w:val="nil"/>
              <w:right w:val="nil"/>
            </w:tcBorders>
          </w:tcPr>
          <w:p w14:paraId="56BED480" w14:textId="0EB43AB4" w:rsidR="0088578C" w:rsidRPr="00270674" w:rsidRDefault="00426076" w:rsidP="00413516">
            <w:r w:rsidRPr="00270674">
              <w:t>1 (4</w:t>
            </w:r>
            <w:r w:rsidR="0088578C" w:rsidRPr="00270674">
              <w:t>%)</w:t>
            </w:r>
          </w:p>
        </w:tc>
        <w:tc>
          <w:tcPr>
            <w:tcW w:w="1401" w:type="dxa"/>
            <w:tcBorders>
              <w:left w:val="nil"/>
              <w:right w:val="nil"/>
            </w:tcBorders>
          </w:tcPr>
          <w:p w14:paraId="71EB1B2C" w14:textId="5B5FBFAE" w:rsidR="0088578C" w:rsidRPr="00270674" w:rsidRDefault="00426076" w:rsidP="00413516">
            <w:r w:rsidRPr="00270674">
              <w:t>2 (9</w:t>
            </w:r>
            <w:r w:rsidR="0088578C" w:rsidRPr="00270674">
              <w:t>%)</w:t>
            </w:r>
          </w:p>
        </w:tc>
        <w:tc>
          <w:tcPr>
            <w:tcW w:w="1401" w:type="dxa"/>
            <w:tcBorders>
              <w:left w:val="nil"/>
              <w:right w:val="nil"/>
            </w:tcBorders>
          </w:tcPr>
          <w:p w14:paraId="637E5DAB" w14:textId="34A423E2" w:rsidR="0088578C" w:rsidRPr="00270674" w:rsidRDefault="00426076" w:rsidP="00413516">
            <w:pPr>
              <w:rPr>
                <w:b/>
              </w:rPr>
            </w:pPr>
            <w:r w:rsidRPr="00270674">
              <w:rPr>
                <w:b/>
              </w:rPr>
              <w:t>13 (57</w:t>
            </w:r>
            <w:r w:rsidR="0088578C" w:rsidRPr="00270674">
              <w:rPr>
                <w:b/>
              </w:rPr>
              <w:t>%)</w:t>
            </w:r>
          </w:p>
        </w:tc>
        <w:tc>
          <w:tcPr>
            <w:tcW w:w="1402" w:type="dxa"/>
            <w:tcBorders>
              <w:left w:val="nil"/>
              <w:right w:val="nil"/>
            </w:tcBorders>
          </w:tcPr>
          <w:p w14:paraId="01DC5E8A" w14:textId="077E7893" w:rsidR="0088578C" w:rsidRPr="00270674" w:rsidRDefault="00426076" w:rsidP="00413516">
            <w:r w:rsidRPr="00270674">
              <w:t>7 (30</w:t>
            </w:r>
            <w:r w:rsidR="0088578C" w:rsidRPr="00270674">
              <w:t>%)</w:t>
            </w:r>
          </w:p>
        </w:tc>
      </w:tr>
      <w:tr w:rsidR="0088578C" w:rsidRPr="00270674" w14:paraId="5BC30303" w14:textId="77777777" w:rsidTr="00413516">
        <w:trPr>
          <w:trHeight w:val="708"/>
        </w:trPr>
        <w:tc>
          <w:tcPr>
            <w:tcW w:w="2235" w:type="dxa"/>
            <w:tcBorders>
              <w:left w:val="nil"/>
              <w:right w:val="nil"/>
            </w:tcBorders>
          </w:tcPr>
          <w:p w14:paraId="31F6F5CA" w14:textId="77777777" w:rsidR="0088578C" w:rsidRPr="00270674" w:rsidRDefault="0088578C" w:rsidP="00413516">
            <w:r w:rsidRPr="00270674">
              <w:t>Have your relationships with other people improved?</w:t>
            </w:r>
          </w:p>
        </w:tc>
        <w:tc>
          <w:tcPr>
            <w:tcW w:w="688" w:type="dxa"/>
            <w:tcBorders>
              <w:left w:val="nil"/>
              <w:right w:val="nil"/>
            </w:tcBorders>
          </w:tcPr>
          <w:p w14:paraId="6A401C06" w14:textId="77777777" w:rsidR="0088578C" w:rsidRPr="00270674" w:rsidRDefault="0088578C" w:rsidP="00413516">
            <w:pPr>
              <w:rPr>
                <w:i/>
              </w:rPr>
            </w:pPr>
            <w:r w:rsidRPr="00270674">
              <w:rPr>
                <w:i/>
              </w:rPr>
              <w:t>23</w:t>
            </w:r>
          </w:p>
        </w:tc>
        <w:tc>
          <w:tcPr>
            <w:tcW w:w="1401" w:type="dxa"/>
            <w:tcBorders>
              <w:top w:val="single" w:sz="4" w:space="0" w:color="auto"/>
              <w:left w:val="nil"/>
              <w:bottom w:val="single" w:sz="4" w:space="0" w:color="auto"/>
              <w:right w:val="nil"/>
            </w:tcBorders>
          </w:tcPr>
          <w:p w14:paraId="3880039F" w14:textId="77777777" w:rsidR="0088578C" w:rsidRPr="00270674" w:rsidRDefault="0088578C" w:rsidP="00413516">
            <w:r w:rsidRPr="00270674">
              <w:t>-</w:t>
            </w:r>
          </w:p>
        </w:tc>
        <w:tc>
          <w:tcPr>
            <w:tcW w:w="1401" w:type="dxa"/>
            <w:tcBorders>
              <w:top w:val="single" w:sz="4" w:space="0" w:color="auto"/>
              <w:left w:val="nil"/>
              <w:bottom w:val="single" w:sz="4" w:space="0" w:color="auto"/>
              <w:right w:val="nil"/>
            </w:tcBorders>
          </w:tcPr>
          <w:p w14:paraId="2217C4C1" w14:textId="77777777" w:rsidR="0088578C" w:rsidRPr="00270674" w:rsidRDefault="0088578C" w:rsidP="00413516">
            <w:r w:rsidRPr="00270674">
              <w:t>3 (13%)</w:t>
            </w:r>
          </w:p>
        </w:tc>
        <w:tc>
          <w:tcPr>
            <w:tcW w:w="1401" w:type="dxa"/>
            <w:tcBorders>
              <w:top w:val="single" w:sz="4" w:space="0" w:color="auto"/>
              <w:left w:val="nil"/>
              <w:bottom w:val="single" w:sz="4" w:space="0" w:color="auto"/>
              <w:right w:val="nil"/>
            </w:tcBorders>
          </w:tcPr>
          <w:p w14:paraId="04E3D95D" w14:textId="23A1942A" w:rsidR="0088578C" w:rsidRPr="00270674" w:rsidRDefault="00426076" w:rsidP="00413516">
            <w:pPr>
              <w:rPr>
                <w:b/>
              </w:rPr>
            </w:pPr>
            <w:r w:rsidRPr="00270674">
              <w:rPr>
                <w:b/>
              </w:rPr>
              <w:t>14 (61</w:t>
            </w:r>
            <w:r w:rsidR="0088578C" w:rsidRPr="00270674">
              <w:rPr>
                <w:b/>
              </w:rPr>
              <w:t>%)</w:t>
            </w:r>
          </w:p>
        </w:tc>
        <w:tc>
          <w:tcPr>
            <w:tcW w:w="1402" w:type="dxa"/>
            <w:tcBorders>
              <w:top w:val="single" w:sz="4" w:space="0" w:color="auto"/>
              <w:left w:val="nil"/>
              <w:bottom w:val="single" w:sz="4" w:space="0" w:color="auto"/>
              <w:right w:val="nil"/>
            </w:tcBorders>
          </w:tcPr>
          <w:p w14:paraId="34166F92" w14:textId="2C61013A" w:rsidR="0088578C" w:rsidRPr="00270674" w:rsidRDefault="00426076" w:rsidP="00413516">
            <w:r w:rsidRPr="00270674">
              <w:t>6 (26</w:t>
            </w:r>
            <w:r w:rsidR="0088578C" w:rsidRPr="00270674">
              <w:t>%)</w:t>
            </w:r>
          </w:p>
        </w:tc>
      </w:tr>
      <w:tr w:rsidR="0088578C" w:rsidRPr="00270674" w14:paraId="07D7CE04" w14:textId="77777777" w:rsidTr="00413516">
        <w:trPr>
          <w:trHeight w:val="708"/>
        </w:trPr>
        <w:tc>
          <w:tcPr>
            <w:tcW w:w="2235" w:type="dxa"/>
            <w:tcBorders>
              <w:left w:val="nil"/>
              <w:right w:val="nil"/>
            </w:tcBorders>
          </w:tcPr>
          <w:p w14:paraId="63577529" w14:textId="77777777" w:rsidR="0088578C" w:rsidRPr="00270674" w:rsidRDefault="0088578C" w:rsidP="00413516">
            <w:r w:rsidRPr="00270674">
              <w:t>Do you feel that your wellbeing has been maintained?</w:t>
            </w:r>
          </w:p>
        </w:tc>
        <w:tc>
          <w:tcPr>
            <w:tcW w:w="688" w:type="dxa"/>
            <w:tcBorders>
              <w:left w:val="nil"/>
              <w:right w:val="nil"/>
            </w:tcBorders>
          </w:tcPr>
          <w:p w14:paraId="2D369564" w14:textId="77777777" w:rsidR="0088578C" w:rsidRPr="00270674" w:rsidRDefault="0088578C" w:rsidP="00413516">
            <w:pPr>
              <w:rPr>
                <w:i/>
              </w:rPr>
            </w:pPr>
            <w:r w:rsidRPr="00270674">
              <w:rPr>
                <w:i/>
              </w:rPr>
              <w:t>23</w:t>
            </w:r>
          </w:p>
        </w:tc>
        <w:tc>
          <w:tcPr>
            <w:tcW w:w="1401" w:type="dxa"/>
            <w:tcBorders>
              <w:top w:val="single" w:sz="4" w:space="0" w:color="auto"/>
              <w:left w:val="nil"/>
              <w:bottom w:val="single" w:sz="4" w:space="0" w:color="auto"/>
              <w:right w:val="nil"/>
            </w:tcBorders>
          </w:tcPr>
          <w:p w14:paraId="220DDB98" w14:textId="275F8828" w:rsidR="0088578C" w:rsidRPr="00270674" w:rsidRDefault="00426076" w:rsidP="00413516">
            <w:r w:rsidRPr="00270674">
              <w:t>1 (4</w:t>
            </w:r>
            <w:r w:rsidR="0088578C" w:rsidRPr="00270674">
              <w:t>%)</w:t>
            </w:r>
          </w:p>
        </w:tc>
        <w:tc>
          <w:tcPr>
            <w:tcW w:w="1401" w:type="dxa"/>
            <w:tcBorders>
              <w:top w:val="single" w:sz="4" w:space="0" w:color="auto"/>
              <w:left w:val="nil"/>
              <w:bottom w:val="single" w:sz="4" w:space="0" w:color="auto"/>
              <w:right w:val="nil"/>
            </w:tcBorders>
          </w:tcPr>
          <w:p w14:paraId="08AE2DE3" w14:textId="2EA9CFBA" w:rsidR="0088578C" w:rsidRPr="00270674" w:rsidRDefault="00426076" w:rsidP="00413516">
            <w:r w:rsidRPr="00270674">
              <w:t>1 (4</w:t>
            </w:r>
            <w:r w:rsidR="0088578C" w:rsidRPr="00270674">
              <w:t>%)</w:t>
            </w:r>
          </w:p>
        </w:tc>
        <w:tc>
          <w:tcPr>
            <w:tcW w:w="1401" w:type="dxa"/>
            <w:tcBorders>
              <w:top w:val="single" w:sz="4" w:space="0" w:color="auto"/>
              <w:left w:val="nil"/>
              <w:bottom w:val="single" w:sz="4" w:space="0" w:color="auto"/>
              <w:right w:val="nil"/>
            </w:tcBorders>
          </w:tcPr>
          <w:p w14:paraId="1D2324E0" w14:textId="13746E1E" w:rsidR="0088578C" w:rsidRPr="00270674" w:rsidRDefault="00426076" w:rsidP="00413516">
            <w:pPr>
              <w:rPr>
                <w:b/>
              </w:rPr>
            </w:pPr>
            <w:r w:rsidRPr="00270674">
              <w:rPr>
                <w:b/>
              </w:rPr>
              <w:t>14 (61</w:t>
            </w:r>
            <w:r w:rsidR="0088578C" w:rsidRPr="00270674">
              <w:rPr>
                <w:b/>
              </w:rPr>
              <w:t>%)</w:t>
            </w:r>
          </w:p>
        </w:tc>
        <w:tc>
          <w:tcPr>
            <w:tcW w:w="1402" w:type="dxa"/>
            <w:tcBorders>
              <w:top w:val="single" w:sz="4" w:space="0" w:color="auto"/>
              <w:left w:val="nil"/>
              <w:bottom w:val="single" w:sz="4" w:space="0" w:color="auto"/>
              <w:right w:val="nil"/>
            </w:tcBorders>
          </w:tcPr>
          <w:p w14:paraId="684A5CD2" w14:textId="5F0C1F4D" w:rsidR="0088578C" w:rsidRPr="00270674" w:rsidRDefault="005D6945" w:rsidP="00413516">
            <w:r w:rsidRPr="00270674">
              <w:t>7 (30</w:t>
            </w:r>
            <w:r w:rsidR="0088578C" w:rsidRPr="00270674">
              <w:t>%)</w:t>
            </w:r>
          </w:p>
        </w:tc>
      </w:tr>
    </w:tbl>
    <w:p w14:paraId="7D072E3D" w14:textId="77777777" w:rsidR="0088578C" w:rsidRPr="00270674" w:rsidRDefault="0088578C" w:rsidP="0088578C">
      <w:r w:rsidRPr="00270674">
        <w:t xml:space="preserve">*The most frequent response is in </w:t>
      </w:r>
      <w:r w:rsidRPr="00270674">
        <w:rPr>
          <w:b/>
        </w:rPr>
        <w:t>bold</w:t>
      </w:r>
      <w:r w:rsidRPr="00270674">
        <w:t>.</w:t>
      </w:r>
    </w:p>
    <w:p w14:paraId="78F9CEE6" w14:textId="56D6F853" w:rsidR="0088578C" w:rsidRPr="00270674" w:rsidRDefault="0088578C" w:rsidP="00470450">
      <w:pPr>
        <w:spacing w:line="480" w:lineRule="auto"/>
      </w:pPr>
    </w:p>
    <w:p w14:paraId="10017EC4" w14:textId="677FC993" w:rsidR="00BD12A6" w:rsidRPr="00270674" w:rsidRDefault="00BD12A6" w:rsidP="00470450">
      <w:pPr>
        <w:spacing w:line="480" w:lineRule="auto"/>
      </w:pPr>
    </w:p>
    <w:p w14:paraId="2C64F155" w14:textId="2C285586" w:rsidR="00BD12A6" w:rsidRPr="00270674" w:rsidRDefault="00BD12A6" w:rsidP="00470450">
      <w:pPr>
        <w:spacing w:line="480" w:lineRule="auto"/>
      </w:pPr>
    </w:p>
    <w:p w14:paraId="2265C9FA" w14:textId="40888ACB" w:rsidR="00BD12A6" w:rsidRPr="00270674" w:rsidRDefault="00BD12A6" w:rsidP="00470450">
      <w:pPr>
        <w:spacing w:line="480" w:lineRule="auto"/>
      </w:pPr>
    </w:p>
    <w:p w14:paraId="51416509" w14:textId="313DB7A8" w:rsidR="00BD12A6" w:rsidRPr="00270674" w:rsidRDefault="00BD12A6" w:rsidP="00470450">
      <w:pPr>
        <w:spacing w:line="480" w:lineRule="auto"/>
      </w:pPr>
    </w:p>
    <w:p w14:paraId="27BB7D14" w14:textId="7A2C7406" w:rsidR="00BD12A6" w:rsidRPr="00270674" w:rsidRDefault="00BD12A6" w:rsidP="00470450">
      <w:pPr>
        <w:spacing w:line="480" w:lineRule="auto"/>
      </w:pPr>
    </w:p>
    <w:p w14:paraId="166C127A" w14:textId="74C608FC" w:rsidR="00BD12A6" w:rsidRPr="00270674" w:rsidRDefault="00BD12A6" w:rsidP="00470450">
      <w:pPr>
        <w:spacing w:line="480" w:lineRule="auto"/>
      </w:pPr>
    </w:p>
    <w:p w14:paraId="6C53A6BA" w14:textId="7B46D92C" w:rsidR="00BD12A6" w:rsidRPr="00270674" w:rsidRDefault="00BD12A6" w:rsidP="00470450">
      <w:pPr>
        <w:spacing w:line="480" w:lineRule="auto"/>
      </w:pPr>
    </w:p>
    <w:p w14:paraId="6806695D" w14:textId="068E9A24" w:rsidR="00BD12A6" w:rsidRPr="00270674" w:rsidRDefault="00BD12A6" w:rsidP="00470450">
      <w:pPr>
        <w:spacing w:line="480" w:lineRule="auto"/>
      </w:pPr>
    </w:p>
    <w:p w14:paraId="27BBFB7F" w14:textId="5EE60381" w:rsidR="00BD12A6" w:rsidRPr="00270674" w:rsidRDefault="00BD12A6" w:rsidP="00470450">
      <w:pPr>
        <w:spacing w:line="480" w:lineRule="auto"/>
      </w:pPr>
    </w:p>
    <w:p w14:paraId="066B7287" w14:textId="743950C8" w:rsidR="00BD12A6" w:rsidRPr="00270674" w:rsidRDefault="00BD12A6" w:rsidP="00470450">
      <w:pPr>
        <w:spacing w:line="480" w:lineRule="auto"/>
      </w:pPr>
    </w:p>
    <w:p w14:paraId="53C04E68" w14:textId="3F700AA3" w:rsidR="00251BCB" w:rsidRPr="00270674" w:rsidRDefault="00251BCB" w:rsidP="00470450">
      <w:pPr>
        <w:spacing w:line="480" w:lineRule="auto"/>
        <w:rPr>
          <w:b/>
        </w:rPr>
      </w:pPr>
      <w:r w:rsidRPr="00270674">
        <w:rPr>
          <w:b/>
        </w:rPr>
        <w:lastRenderedPageBreak/>
        <w:t>Appendix</w:t>
      </w:r>
    </w:p>
    <w:p w14:paraId="4854D280" w14:textId="68A44760" w:rsidR="00251BCB" w:rsidRPr="00270674" w:rsidRDefault="00251BCB" w:rsidP="00470450">
      <w:pPr>
        <w:spacing w:line="480" w:lineRule="auto"/>
        <w:rPr>
          <w:i/>
        </w:rPr>
      </w:pPr>
      <w:r w:rsidRPr="00270674">
        <w:rPr>
          <w:i/>
        </w:rPr>
        <w:t>Focus Group Questions</w:t>
      </w:r>
    </w:p>
    <w:p w14:paraId="01531535" w14:textId="3E6EE838" w:rsidR="00251BCB" w:rsidRPr="00270674" w:rsidRDefault="00251BCB" w:rsidP="00470450">
      <w:pPr>
        <w:spacing w:line="480" w:lineRule="auto"/>
      </w:pPr>
    </w:p>
    <w:p w14:paraId="29CC8C7E" w14:textId="07CD08E4" w:rsidR="00251BCB" w:rsidRPr="00270674" w:rsidRDefault="00251BCB" w:rsidP="00251BCB">
      <w:pPr>
        <w:spacing w:line="480" w:lineRule="auto"/>
      </w:pPr>
      <w:r w:rsidRPr="00270674">
        <w:t xml:space="preserve">1.         Could you tell me how you found out about the Recovery College? </w:t>
      </w:r>
    </w:p>
    <w:p w14:paraId="7132D86F" w14:textId="482337E3" w:rsidR="00251BCB" w:rsidRPr="00270674" w:rsidRDefault="00251BCB" w:rsidP="00251BCB">
      <w:pPr>
        <w:spacing w:line="480" w:lineRule="auto"/>
      </w:pPr>
      <w:r w:rsidRPr="00270674">
        <w:t>2.</w:t>
      </w:r>
      <w:r w:rsidRPr="00270674">
        <w:tab/>
        <w:t xml:space="preserve">What were the main reasons you decided to come to the Recovery College? </w:t>
      </w:r>
    </w:p>
    <w:p w14:paraId="6A6EE027" w14:textId="392F56F9" w:rsidR="00251BCB" w:rsidRPr="00270674" w:rsidRDefault="00251BCB" w:rsidP="00251BCB">
      <w:pPr>
        <w:spacing w:line="480" w:lineRule="auto"/>
      </w:pPr>
      <w:r w:rsidRPr="00270674">
        <w:t>3.</w:t>
      </w:r>
      <w:r w:rsidRPr="00270674">
        <w:tab/>
        <w:t xml:space="preserve">Do you think the course benefitted you in the way you had hoped? </w:t>
      </w:r>
    </w:p>
    <w:p w14:paraId="342F8AEA" w14:textId="2D760FB2" w:rsidR="00251BCB" w:rsidRPr="00270674" w:rsidRDefault="00251BCB" w:rsidP="00251BCB">
      <w:pPr>
        <w:spacing w:line="480" w:lineRule="auto"/>
      </w:pPr>
      <w:r w:rsidRPr="00270674">
        <w:t>4.</w:t>
      </w:r>
      <w:r w:rsidRPr="00270674">
        <w:tab/>
        <w:t xml:space="preserve">Do you feel that completing the course has made a difference to your life? E.g.  </w:t>
      </w:r>
      <w:proofErr w:type="gramStart"/>
      <w:r w:rsidRPr="00270674">
        <w:t>how</w:t>
      </w:r>
      <w:proofErr w:type="gramEnd"/>
      <w:r w:rsidRPr="00270674">
        <w:t xml:space="preserve"> you feel/what you do?</w:t>
      </w:r>
    </w:p>
    <w:p w14:paraId="1F887D7A" w14:textId="33D9E335" w:rsidR="00251BCB" w:rsidRPr="00270674" w:rsidRDefault="00251BCB" w:rsidP="00251BCB">
      <w:pPr>
        <w:spacing w:line="480" w:lineRule="auto"/>
      </w:pPr>
      <w:r w:rsidRPr="00270674">
        <w:t>5.</w:t>
      </w:r>
      <w:r w:rsidRPr="00270674">
        <w:tab/>
        <w:t xml:space="preserve">Are there things you found especially helpful or enjoyable about the course you did? </w:t>
      </w:r>
    </w:p>
    <w:p w14:paraId="0F660EDB" w14:textId="6CAFD7E4" w:rsidR="00251BCB" w:rsidRPr="00270674" w:rsidRDefault="00251BCB" w:rsidP="00251BCB">
      <w:pPr>
        <w:spacing w:line="480" w:lineRule="auto"/>
      </w:pPr>
      <w:r w:rsidRPr="00270674">
        <w:t>6.</w:t>
      </w:r>
      <w:r w:rsidRPr="00270674">
        <w:tab/>
        <w:t xml:space="preserve">Was there anything about the course that wasn’t helpful or enjoyable? </w:t>
      </w:r>
    </w:p>
    <w:p w14:paraId="21F91371" w14:textId="1FE062F5" w:rsidR="00251BCB" w:rsidRPr="00270674" w:rsidRDefault="00251BCB" w:rsidP="00251BCB">
      <w:pPr>
        <w:spacing w:line="480" w:lineRule="auto"/>
      </w:pPr>
      <w:r w:rsidRPr="00270674">
        <w:t>7.</w:t>
      </w:r>
      <w:r w:rsidRPr="00270674">
        <w:tab/>
        <w:t>Are there any ways you think the course could have been improved?</w:t>
      </w:r>
    </w:p>
    <w:p w14:paraId="3E09FCA5" w14:textId="52123950" w:rsidR="00251BCB" w:rsidRPr="00270674" w:rsidRDefault="00251BCB" w:rsidP="00251BCB">
      <w:pPr>
        <w:spacing w:line="480" w:lineRule="auto"/>
      </w:pPr>
      <w:r w:rsidRPr="00270674">
        <w:t>8.</w:t>
      </w:r>
      <w:r w:rsidRPr="00270674">
        <w:tab/>
        <w:t>Can you tell me about any support you have received at the Recovery College?</w:t>
      </w:r>
    </w:p>
    <w:p w14:paraId="202E106C" w14:textId="77777777" w:rsidR="00251BCB" w:rsidRPr="00270674" w:rsidRDefault="00251BCB" w:rsidP="00251BCB">
      <w:pPr>
        <w:spacing w:line="480" w:lineRule="auto"/>
      </w:pPr>
      <w:r w:rsidRPr="00270674">
        <w:t xml:space="preserve">9.  </w:t>
      </w:r>
      <w:r w:rsidRPr="00270674">
        <w:tab/>
        <w:t xml:space="preserve">Since completing the course have you tried any other courses? </w:t>
      </w:r>
    </w:p>
    <w:p w14:paraId="77575D51" w14:textId="62D1C544" w:rsidR="00251BCB" w:rsidRPr="00270674" w:rsidRDefault="00251BCB" w:rsidP="00251BCB">
      <w:pPr>
        <w:spacing w:line="480" w:lineRule="auto"/>
        <w:rPr>
          <w:i/>
        </w:rPr>
      </w:pPr>
      <w:r w:rsidRPr="00270674">
        <w:rPr>
          <w:i/>
        </w:rPr>
        <w:t>Probe: either within the Recovery College or a mainstream college?</w:t>
      </w:r>
    </w:p>
    <w:p w14:paraId="42F94269" w14:textId="785A3BA8" w:rsidR="00251BCB" w:rsidRPr="00270674" w:rsidRDefault="00251BCB" w:rsidP="00251BCB">
      <w:pPr>
        <w:spacing w:line="480" w:lineRule="auto"/>
      </w:pPr>
      <w:r w:rsidRPr="00270674">
        <w:t>10.</w:t>
      </w:r>
      <w:r w:rsidRPr="00270674">
        <w:tab/>
        <w:t>Do you think you are likely to try any other courses in the future?</w:t>
      </w:r>
    </w:p>
    <w:p w14:paraId="6F758D49" w14:textId="77777777" w:rsidR="00251BCB" w:rsidRPr="00251BCB" w:rsidRDefault="00251BCB" w:rsidP="00251BCB">
      <w:pPr>
        <w:spacing w:line="480" w:lineRule="auto"/>
      </w:pPr>
      <w:r w:rsidRPr="00270674">
        <w:t xml:space="preserve">11. </w:t>
      </w:r>
      <w:r w:rsidRPr="00270674">
        <w:tab/>
        <w:t>Are there any other comments about the Recovery College that anyone would like to make?</w:t>
      </w:r>
    </w:p>
    <w:p w14:paraId="3FCF8DAD" w14:textId="77777777" w:rsidR="00251BCB" w:rsidRPr="00187D61" w:rsidRDefault="00251BCB" w:rsidP="00470450">
      <w:pPr>
        <w:spacing w:line="480" w:lineRule="auto"/>
      </w:pPr>
    </w:p>
    <w:sectPr w:rsidR="00251BCB" w:rsidRPr="00187D61" w:rsidSect="00D95448">
      <w:headerReference w:type="default" r:id="rId23"/>
      <w:footerReference w:type="even" r:id="rId24"/>
      <w:footerReference w:type="default" r:id="rId25"/>
      <w:headerReference w:type="first" r:id="rId26"/>
      <w:pgSz w:w="11906" w:h="16838"/>
      <w:pgMar w:top="1665" w:right="1797" w:bottom="1418"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A48FC" w14:textId="77777777" w:rsidR="005E706D" w:rsidRDefault="005E706D" w:rsidP="0001142C">
      <w:r>
        <w:separator/>
      </w:r>
    </w:p>
  </w:endnote>
  <w:endnote w:type="continuationSeparator" w:id="0">
    <w:p w14:paraId="511F4710" w14:textId="77777777" w:rsidR="005E706D" w:rsidRDefault="005E706D" w:rsidP="00011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Segoe UI Semilight"/>
    <w:charset w:val="00"/>
    <w:family w:val="auto"/>
    <w:pitch w:val="variable"/>
    <w:sig w:usb0="E1000AEF" w:usb1="5000A1FF" w:usb2="00000000" w:usb3="00000000" w:csb0="000001BF" w:csb1="00000000"/>
  </w:font>
  <w:font w:name="Palatino">
    <w:altName w:val="Book Antiqua"/>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3F8CD" w14:textId="77777777" w:rsidR="005E706D" w:rsidRDefault="005E706D" w:rsidP="000114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DCA884" w14:textId="77777777" w:rsidR="005E706D" w:rsidRDefault="005E706D" w:rsidP="000114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9684F" w14:textId="682F5474" w:rsidR="005E706D" w:rsidRPr="00D94F25" w:rsidRDefault="005E706D" w:rsidP="0001142C">
    <w:pPr>
      <w:pStyle w:val="Footer"/>
      <w:framePr w:wrap="around" w:vAnchor="text" w:hAnchor="margin" w:xAlign="right" w:y="1"/>
      <w:rPr>
        <w:rStyle w:val="PageNumber"/>
        <w:rFonts w:ascii="Calibri" w:hAnsi="Calibri"/>
      </w:rPr>
    </w:pPr>
    <w:r w:rsidRPr="00D94F25">
      <w:rPr>
        <w:rStyle w:val="PageNumber"/>
        <w:rFonts w:ascii="Calibri" w:hAnsi="Calibri"/>
      </w:rPr>
      <w:fldChar w:fldCharType="begin"/>
    </w:r>
    <w:r w:rsidRPr="00D94F25">
      <w:rPr>
        <w:rStyle w:val="PageNumber"/>
        <w:rFonts w:ascii="Calibri" w:hAnsi="Calibri"/>
      </w:rPr>
      <w:instrText xml:space="preserve">PAGE  </w:instrText>
    </w:r>
    <w:r w:rsidRPr="00D94F25">
      <w:rPr>
        <w:rStyle w:val="PageNumber"/>
        <w:rFonts w:ascii="Calibri" w:hAnsi="Calibri"/>
      </w:rPr>
      <w:fldChar w:fldCharType="separate"/>
    </w:r>
    <w:r w:rsidR="0053048D">
      <w:rPr>
        <w:rStyle w:val="PageNumber"/>
        <w:rFonts w:ascii="Calibri" w:hAnsi="Calibri"/>
        <w:noProof/>
      </w:rPr>
      <w:t>21</w:t>
    </w:r>
    <w:r w:rsidRPr="00D94F25">
      <w:rPr>
        <w:rStyle w:val="PageNumber"/>
        <w:rFonts w:ascii="Calibri" w:hAnsi="Calibri"/>
      </w:rPr>
      <w:fldChar w:fldCharType="end"/>
    </w:r>
  </w:p>
  <w:p w14:paraId="44538A4C" w14:textId="77777777" w:rsidR="005E706D" w:rsidRDefault="005E706D" w:rsidP="000114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8E062" w14:textId="77777777" w:rsidR="005E706D" w:rsidRDefault="005E706D" w:rsidP="0001142C">
      <w:r>
        <w:separator/>
      </w:r>
    </w:p>
  </w:footnote>
  <w:footnote w:type="continuationSeparator" w:id="0">
    <w:p w14:paraId="3072FF04" w14:textId="77777777" w:rsidR="005E706D" w:rsidRDefault="005E706D" w:rsidP="00011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BE285" w14:textId="71923A24" w:rsidR="005E706D" w:rsidRDefault="005E706D" w:rsidP="0001142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21B50" w14:textId="16758F2F" w:rsidR="005E706D" w:rsidRDefault="005E706D" w:rsidP="0001142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D3271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8D2AE9"/>
    <w:multiLevelType w:val="hybridMultilevel"/>
    <w:tmpl w:val="E6AC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174A8"/>
    <w:multiLevelType w:val="multilevel"/>
    <w:tmpl w:val="B5DA1C7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E9E07EF"/>
    <w:multiLevelType w:val="hybridMultilevel"/>
    <w:tmpl w:val="FC54E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F67AD"/>
    <w:multiLevelType w:val="hybridMultilevel"/>
    <w:tmpl w:val="41407F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1F539E"/>
    <w:multiLevelType w:val="hybridMultilevel"/>
    <w:tmpl w:val="2DDCC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213142"/>
    <w:multiLevelType w:val="hybridMultilevel"/>
    <w:tmpl w:val="B7A49B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BA0957"/>
    <w:multiLevelType w:val="hybridMultilevel"/>
    <w:tmpl w:val="68340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594BAE"/>
    <w:multiLevelType w:val="hybridMultilevel"/>
    <w:tmpl w:val="8A2E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32CEE"/>
    <w:multiLevelType w:val="hybridMultilevel"/>
    <w:tmpl w:val="A484ED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7815F2"/>
    <w:multiLevelType w:val="hybridMultilevel"/>
    <w:tmpl w:val="2EA27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B20DE3"/>
    <w:multiLevelType w:val="hybridMultilevel"/>
    <w:tmpl w:val="F78C7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80EAF"/>
    <w:multiLevelType w:val="hybridMultilevel"/>
    <w:tmpl w:val="182CA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9A647A"/>
    <w:multiLevelType w:val="hybridMultilevel"/>
    <w:tmpl w:val="D766F3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E37F50"/>
    <w:multiLevelType w:val="hybridMultilevel"/>
    <w:tmpl w:val="CB306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6B53B4"/>
    <w:multiLevelType w:val="hybridMultilevel"/>
    <w:tmpl w:val="A4FE2E9E"/>
    <w:lvl w:ilvl="0" w:tplc="9AE48B5A">
      <w:numFmt w:val="bullet"/>
      <w:lvlText w:val="•"/>
      <w:lvlJc w:val="left"/>
      <w:pPr>
        <w:ind w:left="1080" w:hanging="720"/>
      </w:pPr>
      <w:rPr>
        <w:rFonts w:ascii="Calibri" w:eastAsia="Times New Roman"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B354D1"/>
    <w:multiLevelType w:val="multilevel"/>
    <w:tmpl w:val="1CCC07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19C662E"/>
    <w:multiLevelType w:val="hybridMultilevel"/>
    <w:tmpl w:val="ADC63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E867DA"/>
    <w:multiLevelType w:val="hybridMultilevel"/>
    <w:tmpl w:val="C09A6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591C71"/>
    <w:multiLevelType w:val="hybridMultilevel"/>
    <w:tmpl w:val="A7A039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704B76"/>
    <w:multiLevelType w:val="hybridMultilevel"/>
    <w:tmpl w:val="8828D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6427F5"/>
    <w:multiLevelType w:val="hybridMultilevel"/>
    <w:tmpl w:val="42E2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1"/>
  </w:num>
  <w:num w:numId="4">
    <w:abstractNumId w:val="21"/>
  </w:num>
  <w:num w:numId="5">
    <w:abstractNumId w:val="12"/>
  </w:num>
  <w:num w:numId="6">
    <w:abstractNumId w:val="13"/>
  </w:num>
  <w:num w:numId="7">
    <w:abstractNumId w:val="6"/>
  </w:num>
  <w:num w:numId="8">
    <w:abstractNumId w:val="3"/>
  </w:num>
  <w:num w:numId="9">
    <w:abstractNumId w:val="17"/>
  </w:num>
  <w:num w:numId="10">
    <w:abstractNumId w:val="8"/>
  </w:num>
  <w:num w:numId="11">
    <w:abstractNumId w:val="1"/>
  </w:num>
  <w:num w:numId="12">
    <w:abstractNumId w:val="0"/>
  </w:num>
  <w:num w:numId="13">
    <w:abstractNumId w:val="7"/>
  </w:num>
  <w:num w:numId="14">
    <w:abstractNumId w:val="9"/>
  </w:num>
  <w:num w:numId="15">
    <w:abstractNumId w:val="18"/>
  </w:num>
  <w:num w:numId="16">
    <w:abstractNumId w:val="15"/>
  </w:num>
  <w:num w:numId="17">
    <w:abstractNumId w:val="2"/>
  </w:num>
  <w:num w:numId="18">
    <w:abstractNumId w:val="10"/>
  </w:num>
  <w:num w:numId="19">
    <w:abstractNumId w:val="14"/>
  </w:num>
  <w:num w:numId="20">
    <w:abstractNumId w:val="19"/>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719"/>
    <w:rsid w:val="0000010C"/>
    <w:rsid w:val="00004F87"/>
    <w:rsid w:val="0000578E"/>
    <w:rsid w:val="000109BB"/>
    <w:rsid w:val="0001142C"/>
    <w:rsid w:val="00012665"/>
    <w:rsid w:val="000139CF"/>
    <w:rsid w:val="00013A94"/>
    <w:rsid w:val="0001435F"/>
    <w:rsid w:val="00015880"/>
    <w:rsid w:val="000174C6"/>
    <w:rsid w:val="00021F25"/>
    <w:rsid w:val="0002238A"/>
    <w:rsid w:val="00023237"/>
    <w:rsid w:val="00023D9B"/>
    <w:rsid w:val="00024060"/>
    <w:rsid w:val="00025A17"/>
    <w:rsid w:val="00026895"/>
    <w:rsid w:val="0003541B"/>
    <w:rsid w:val="000430E4"/>
    <w:rsid w:val="00045317"/>
    <w:rsid w:val="0004777F"/>
    <w:rsid w:val="00050963"/>
    <w:rsid w:val="00053DBA"/>
    <w:rsid w:val="00054052"/>
    <w:rsid w:val="00056E27"/>
    <w:rsid w:val="00061619"/>
    <w:rsid w:val="0006449A"/>
    <w:rsid w:val="00064638"/>
    <w:rsid w:val="00070656"/>
    <w:rsid w:val="00076F28"/>
    <w:rsid w:val="00082A2F"/>
    <w:rsid w:val="000839C1"/>
    <w:rsid w:val="00086310"/>
    <w:rsid w:val="00087849"/>
    <w:rsid w:val="0009243B"/>
    <w:rsid w:val="00093B71"/>
    <w:rsid w:val="0009690B"/>
    <w:rsid w:val="000A2A5A"/>
    <w:rsid w:val="000A2E2C"/>
    <w:rsid w:val="000A464B"/>
    <w:rsid w:val="000A7C12"/>
    <w:rsid w:val="000B2094"/>
    <w:rsid w:val="000B2406"/>
    <w:rsid w:val="000B283A"/>
    <w:rsid w:val="000B2E42"/>
    <w:rsid w:val="000B4E14"/>
    <w:rsid w:val="000C55C3"/>
    <w:rsid w:val="000C5F72"/>
    <w:rsid w:val="000E0159"/>
    <w:rsid w:val="000E3E2C"/>
    <w:rsid w:val="000E3FFE"/>
    <w:rsid w:val="000F597B"/>
    <w:rsid w:val="000F79BE"/>
    <w:rsid w:val="00100E21"/>
    <w:rsid w:val="00101916"/>
    <w:rsid w:val="0010352B"/>
    <w:rsid w:val="00103630"/>
    <w:rsid w:val="00103A37"/>
    <w:rsid w:val="00112EAC"/>
    <w:rsid w:val="00116C14"/>
    <w:rsid w:val="0011715D"/>
    <w:rsid w:val="0011761E"/>
    <w:rsid w:val="00132505"/>
    <w:rsid w:val="001351E9"/>
    <w:rsid w:val="00145C6D"/>
    <w:rsid w:val="00145DDF"/>
    <w:rsid w:val="00150452"/>
    <w:rsid w:val="00150F3E"/>
    <w:rsid w:val="00151691"/>
    <w:rsid w:val="00151BD1"/>
    <w:rsid w:val="00152F9B"/>
    <w:rsid w:val="001573D8"/>
    <w:rsid w:val="0016552B"/>
    <w:rsid w:val="00182DC7"/>
    <w:rsid w:val="00185638"/>
    <w:rsid w:val="00187893"/>
    <w:rsid w:val="00187D61"/>
    <w:rsid w:val="00190C08"/>
    <w:rsid w:val="001914F0"/>
    <w:rsid w:val="001915DD"/>
    <w:rsid w:val="001927CA"/>
    <w:rsid w:val="00194090"/>
    <w:rsid w:val="00195653"/>
    <w:rsid w:val="001A0BFF"/>
    <w:rsid w:val="001A190E"/>
    <w:rsid w:val="001A2A06"/>
    <w:rsid w:val="001A4162"/>
    <w:rsid w:val="001A67F2"/>
    <w:rsid w:val="001A7BB5"/>
    <w:rsid w:val="001B0465"/>
    <w:rsid w:val="001B1B7C"/>
    <w:rsid w:val="001B23D6"/>
    <w:rsid w:val="001B478B"/>
    <w:rsid w:val="001B6DF4"/>
    <w:rsid w:val="001B70F8"/>
    <w:rsid w:val="001B76DE"/>
    <w:rsid w:val="001B792E"/>
    <w:rsid w:val="001C0A6D"/>
    <w:rsid w:val="001C256E"/>
    <w:rsid w:val="001C63A7"/>
    <w:rsid w:val="001D1E7D"/>
    <w:rsid w:val="001D2EAD"/>
    <w:rsid w:val="001D32EF"/>
    <w:rsid w:val="001D5E16"/>
    <w:rsid w:val="001D6D12"/>
    <w:rsid w:val="001D6D83"/>
    <w:rsid w:val="001D7B4E"/>
    <w:rsid w:val="001E01BE"/>
    <w:rsid w:val="001E054F"/>
    <w:rsid w:val="001E2983"/>
    <w:rsid w:val="001E3844"/>
    <w:rsid w:val="001E473E"/>
    <w:rsid w:val="001E5350"/>
    <w:rsid w:val="001E65D2"/>
    <w:rsid w:val="001E72A4"/>
    <w:rsid w:val="001F123B"/>
    <w:rsid w:val="001F4F87"/>
    <w:rsid w:val="00201FEB"/>
    <w:rsid w:val="00203D21"/>
    <w:rsid w:val="00204BAC"/>
    <w:rsid w:val="00210997"/>
    <w:rsid w:val="0021215A"/>
    <w:rsid w:val="0021568D"/>
    <w:rsid w:val="0021631F"/>
    <w:rsid w:val="00216C26"/>
    <w:rsid w:val="0022110E"/>
    <w:rsid w:val="00224CEF"/>
    <w:rsid w:val="00226B60"/>
    <w:rsid w:val="00226CF2"/>
    <w:rsid w:val="00226D9A"/>
    <w:rsid w:val="00231ACD"/>
    <w:rsid w:val="00231C2F"/>
    <w:rsid w:val="002350BB"/>
    <w:rsid w:val="002368BA"/>
    <w:rsid w:val="00244F1C"/>
    <w:rsid w:val="00246E42"/>
    <w:rsid w:val="0024737C"/>
    <w:rsid w:val="00251BCB"/>
    <w:rsid w:val="00251F2F"/>
    <w:rsid w:val="0025540C"/>
    <w:rsid w:val="00256BDE"/>
    <w:rsid w:val="00256E2D"/>
    <w:rsid w:val="002608E4"/>
    <w:rsid w:val="00260E09"/>
    <w:rsid w:val="00261621"/>
    <w:rsid w:val="002636E3"/>
    <w:rsid w:val="00266DAB"/>
    <w:rsid w:val="00270625"/>
    <w:rsid w:val="00270674"/>
    <w:rsid w:val="0027308E"/>
    <w:rsid w:val="00273455"/>
    <w:rsid w:val="00274E32"/>
    <w:rsid w:val="002756C1"/>
    <w:rsid w:val="00282E63"/>
    <w:rsid w:val="002837A4"/>
    <w:rsid w:val="00286381"/>
    <w:rsid w:val="00286878"/>
    <w:rsid w:val="0029016D"/>
    <w:rsid w:val="00292278"/>
    <w:rsid w:val="00296B1C"/>
    <w:rsid w:val="002971AE"/>
    <w:rsid w:val="002A1E5E"/>
    <w:rsid w:val="002A4977"/>
    <w:rsid w:val="002A5A47"/>
    <w:rsid w:val="002A60A3"/>
    <w:rsid w:val="002A6103"/>
    <w:rsid w:val="002A74B4"/>
    <w:rsid w:val="002B22D8"/>
    <w:rsid w:val="002B4B0E"/>
    <w:rsid w:val="002B5872"/>
    <w:rsid w:val="002B72D5"/>
    <w:rsid w:val="002C1817"/>
    <w:rsid w:val="002C26AA"/>
    <w:rsid w:val="002C7FB7"/>
    <w:rsid w:val="002D05B6"/>
    <w:rsid w:val="002D0759"/>
    <w:rsid w:val="002D0FB8"/>
    <w:rsid w:val="002D1F21"/>
    <w:rsid w:val="002D4077"/>
    <w:rsid w:val="002D4557"/>
    <w:rsid w:val="002D5198"/>
    <w:rsid w:val="002D699D"/>
    <w:rsid w:val="002E0F00"/>
    <w:rsid w:val="002E3BDE"/>
    <w:rsid w:val="002E4CB8"/>
    <w:rsid w:val="002F00E0"/>
    <w:rsid w:val="002F3423"/>
    <w:rsid w:val="002F441E"/>
    <w:rsid w:val="002F6178"/>
    <w:rsid w:val="002F6F74"/>
    <w:rsid w:val="00303D85"/>
    <w:rsid w:val="003100C8"/>
    <w:rsid w:val="00313C65"/>
    <w:rsid w:val="00314387"/>
    <w:rsid w:val="00314734"/>
    <w:rsid w:val="00317DCE"/>
    <w:rsid w:val="00317E05"/>
    <w:rsid w:val="00321C3D"/>
    <w:rsid w:val="00326FF8"/>
    <w:rsid w:val="00327E13"/>
    <w:rsid w:val="00333BD7"/>
    <w:rsid w:val="00333FD7"/>
    <w:rsid w:val="0033593F"/>
    <w:rsid w:val="00340506"/>
    <w:rsid w:val="003416EE"/>
    <w:rsid w:val="00342A9E"/>
    <w:rsid w:val="00352F60"/>
    <w:rsid w:val="003533A6"/>
    <w:rsid w:val="00354140"/>
    <w:rsid w:val="00354156"/>
    <w:rsid w:val="00355647"/>
    <w:rsid w:val="0035766C"/>
    <w:rsid w:val="00365F94"/>
    <w:rsid w:val="00366E40"/>
    <w:rsid w:val="00374254"/>
    <w:rsid w:val="00374543"/>
    <w:rsid w:val="00375C39"/>
    <w:rsid w:val="00375C73"/>
    <w:rsid w:val="0037789F"/>
    <w:rsid w:val="00383729"/>
    <w:rsid w:val="00383EB3"/>
    <w:rsid w:val="00384E2A"/>
    <w:rsid w:val="003852DD"/>
    <w:rsid w:val="00385EC6"/>
    <w:rsid w:val="00386A60"/>
    <w:rsid w:val="00390645"/>
    <w:rsid w:val="003957B0"/>
    <w:rsid w:val="0039709C"/>
    <w:rsid w:val="003A6947"/>
    <w:rsid w:val="003B0122"/>
    <w:rsid w:val="003B160E"/>
    <w:rsid w:val="003B2C4F"/>
    <w:rsid w:val="003B37A7"/>
    <w:rsid w:val="003B656A"/>
    <w:rsid w:val="003B6D77"/>
    <w:rsid w:val="003B6F5F"/>
    <w:rsid w:val="003C1F10"/>
    <w:rsid w:val="003C1FC5"/>
    <w:rsid w:val="003C2CAD"/>
    <w:rsid w:val="003C6B99"/>
    <w:rsid w:val="003D2142"/>
    <w:rsid w:val="003D2E4A"/>
    <w:rsid w:val="003D50C1"/>
    <w:rsid w:val="003D577F"/>
    <w:rsid w:val="003D59C8"/>
    <w:rsid w:val="003E2736"/>
    <w:rsid w:val="003E615F"/>
    <w:rsid w:val="003E703C"/>
    <w:rsid w:val="003E730A"/>
    <w:rsid w:val="003E79C3"/>
    <w:rsid w:val="003F0AD5"/>
    <w:rsid w:val="00405357"/>
    <w:rsid w:val="0040637B"/>
    <w:rsid w:val="00406CCD"/>
    <w:rsid w:val="00407867"/>
    <w:rsid w:val="00413516"/>
    <w:rsid w:val="004135CA"/>
    <w:rsid w:val="00413AFF"/>
    <w:rsid w:val="00413B33"/>
    <w:rsid w:val="00414143"/>
    <w:rsid w:val="00424163"/>
    <w:rsid w:val="004256A9"/>
    <w:rsid w:val="00426076"/>
    <w:rsid w:val="00427033"/>
    <w:rsid w:val="004323E0"/>
    <w:rsid w:val="00432B20"/>
    <w:rsid w:val="00433924"/>
    <w:rsid w:val="00433CF0"/>
    <w:rsid w:val="00435B21"/>
    <w:rsid w:val="00440DB3"/>
    <w:rsid w:val="00441DBE"/>
    <w:rsid w:val="00444BE0"/>
    <w:rsid w:val="00446F49"/>
    <w:rsid w:val="0045013F"/>
    <w:rsid w:val="00452B6A"/>
    <w:rsid w:val="00461802"/>
    <w:rsid w:val="00461CFE"/>
    <w:rsid w:val="004633EA"/>
    <w:rsid w:val="0046497C"/>
    <w:rsid w:val="00470450"/>
    <w:rsid w:val="00470C2D"/>
    <w:rsid w:val="004727EC"/>
    <w:rsid w:val="004778A0"/>
    <w:rsid w:val="00481DD2"/>
    <w:rsid w:val="00487F61"/>
    <w:rsid w:val="00490477"/>
    <w:rsid w:val="0049520E"/>
    <w:rsid w:val="00495E03"/>
    <w:rsid w:val="0049640C"/>
    <w:rsid w:val="004A1374"/>
    <w:rsid w:val="004A25D7"/>
    <w:rsid w:val="004A33DB"/>
    <w:rsid w:val="004A5669"/>
    <w:rsid w:val="004A5BB7"/>
    <w:rsid w:val="004A6760"/>
    <w:rsid w:val="004A6ABD"/>
    <w:rsid w:val="004B0EB8"/>
    <w:rsid w:val="004B34DC"/>
    <w:rsid w:val="004C27F3"/>
    <w:rsid w:val="004C6547"/>
    <w:rsid w:val="004C6C2C"/>
    <w:rsid w:val="004D0421"/>
    <w:rsid w:val="004D11D3"/>
    <w:rsid w:val="004D6877"/>
    <w:rsid w:val="004E1D68"/>
    <w:rsid w:val="004E54F3"/>
    <w:rsid w:val="004E6F93"/>
    <w:rsid w:val="004E714F"/>
    <w:rsid w:val="004F1304"/>
    <w:rsid w:val="004F1735"/>
    <w:rsid w:val="004F4C73"/>
    <w:rsid w:val="004F5977"/>
    <w:rsid w:val="004F61F3"/>
    <w:rsid w:val="004F7590"/>
    <w:rsid w:val="00500B14"/>
    <w:rsid w:val="00500E16"/>
    <w:rsid w:val="005021C7"/>
    <w:rsid w:val="005029DA"/>
    <w:rsid w:val="00502D4C"/>
    <w:rsid w:val="0050706B"/>
    <w:rsid w:val="00507075"/>
    <w:rsid w:val="005070BF"/>
    <w:rsid w:val="00507146"/>
    <w:rsid w:val="00507D2E"/>
    <w:rsid w:val="00511D78"/>
    <w:rsid w:val="00514AD3"/>
    <w:rsid w:val="00522465"/>
    <w:rsid w:val="00523F69"/>
    <w:rsid w:val="0052621C"/>
    <w:rsid w:val="0053048D"/>
    <w:rsid w:val="00530BAE"/>
    <w:rsid w:val="00532DF3"/>
    <w:rsid w:val="00536C32"/>
    <w:rsid w:val="00543239"/>
    <w:rsid w:val="00545535"/>
    <w:rsid w:val="00545E28"/>
    <w:rsid w:val="005473FC"/>
    <w:rsid w:val="00551A21"/>
    <w:rsid w:val="005555E8"/>
    <w:rsid w:val="00556AD6"/>
    <w:rsid w:val="0055739E"/>
    <w:rsid w:val="005607F5"/>
    <w:rsid w:val="005621B4"/>
    <w:rsid w:val="00562DE7"/>
    <w:rsid w:val="00571BF9"/>
    <w:rsid w:val="00574A02"/>
    <w:rsid w:val="00574C36"/>
    <w:rsid w:val="00575B5F"/>
    <w:rsid w:val="00577F46"/>
    <w:rsid w:val="005813AD"/>
    <w:rsid w:val="0058254A"/>
    <w:rsid w:val="005861FF"/>
    <w:rsid w:val="0058724F"/>
    <w:rsid w:val="00590AA0"/>
    <w:rsid w:val="00591165"/>
    <w:rsid w:val="005921B5"/>
    <w:rsid w:val="005927B4"/>
    <w:rsid w:val="005A2033"/>
    <w:rsid w:val="005A303D"/>
    <w:rsid w:val="005A3437"/>
    <w:rsid w:val="005A3D70"/>
    <w:rsid w:val="005A46C9"/>
    <w:rsid w:val="005A5C24"/>
    <w:rsid w:val="005A6241"/>
    <w:rsid w:val="005A6324"/>
    <w:rsid w:val="005A6DAF"/>
    <w:rsid w:val="005A7497"/>
    <w:rsid w:val="005A76DE"/>
    <w:rsid w:val="005A7C46"/>
    <w:rsid w:val="005A7F6E"/>
    <w:rsid w:val="005B0364"/>
    <w:rsid w:val="005B28B9"/>
    <w:rsid w:val="005B2EF3"/>
    <w:rsid w:val="005B3AA5"/>
    <w:rsid w:val="005B4DB2"/>
    <w:rsid w:val="005B5E14"/>
    <w:rsid w:val="005B6144"/>
    <w:rsid w:val="005B7FCB"/>
    <w:rsid w:val="005C1165"/>
    <w:rsid w:val="005C2624"/>
    <w:rsid w:val="005C584C"/>
    <w:rsid w:val="005C73A1"/>
    <w:rsid w:val="005C78D5"/>
    <w:rsid w:val="005D052C"/>
    <w:rsid w:val="005D14C9"/>
    <w:rsid w:val="005D6945"/>
    <w:rsid w:val="005E2FC2"/>
    <w:rsid w:val="005E38B4"/>
    <w:rsid w:val="005E706D"/>
    <w:rsid w:val="005F091D"/>
    <w:rsid w:val="005F3289"/>
    <w:rsid w:val="005F4891"/>
    <w:rsid w:val="005F4EF9"/>
    <w:rsid w:val="00607CBC"/>
    <w:rsid w:val="006105E8"/>
    <w:rsid w:val="00612269"/>
    <w:rsid w:val="006164D1"/>
    <w:rsid w:val="00617BA6"/>
    <w:rsid w:val="00617E68"/>
    <w:rsid w:val="006211D3"/>
    <w:rsid w:val="00622BCA"/>
    <w:rsid w:val="006234C6"/>
    <w:rsid w:val="00625CE8"/>
    <w:rsid w:val="00626D98"/>
    <w:rsid w:val="00627F06"/>
    <w:rsid w:val="00633B05"/>
    <w:rsid w:val="00634858"/>
    <w:rsid w:val="006350C3"/>
    <w:rsid w:val="00642026"/>
    <w:rsid w:val="00642C5D"/>
    <w:rsid w:val="006439A2"/>
    <w:rsid w:val="0064536B"/>
    <w:rsid w:val="006477F5"/>
    <w:rsid w:val="00651C0F"/>
    <w:rsid w:val="0065462F"/>
    <w:rsid w:val="00657607"/>
    <w:rsid w:val="0066142B"/>
    <w:rsid w:val="00664E52"/>
    <w:rsid w:val="00672C63"/>
    <w:rsid w:val="00672E77"/>
    <w:rsid w:val="00673232"/>
    <w:rsid w:val="0067354C"/>
    <w:rsid w:val="006774A6"/>
    <w:rsid w:val="006804FF"/>
    <w:rsid w:val="00684266"/>
    <w:rsid w:val="006849C3"/>
    <w:rsid w:val="00685020"/>
    <w:rsid w:val="00685373"/>
    <w:rsid w:val="00685532"/>
    <w:rsid w:val="00690936"/>
    <w:rsid w:val="00692C4E"/>
    <w:rsid w:val="00696768"/>
    <w:rsid w:val="0069731F"/>
    <w:rsid w:val="0069795E"/>
    <w:rsid w:val="006A1355"/>
    <w:rsid w:val="006A2C64"/>
    <w:rsid w:val="006A4110"/>
    <w:rsid w:val="006A5889"/>
    <w:rsid w:val="006A5A8B"/>
    <w:rsid w:val="006A7E3C"/>
    <w:rsid w:val="006C172A"/>
    <w:rsid w:val="006C2764"/>
    <w:rsid w:val="006C2BB1"/>
    <w:rsid w:val="006C4084"/>
    <w:rsid w:val="006C67DE"/>
    <w:rsid w:val="006C713D"/>
    <w:rsid w:val="006D25F4"/>
    <w:rsid w:val="006D75B8"/>
    <w:rsid w:val="006E18BB"/>
    <w:rsid w:val="006E3221"/>
    <w:rsid w:val="006E3643"/>
    <w:rsid w:val="006E47EF"/>
    <w:rsid w:val="006F511F"/>
    <w:rsid w:val="006F53B4"/>
    <w:rsid w:val="007009C4"/>
    <w:rsid w:val="00704069"/>
    <w:rsid w:val="00706EDC"/>
    <w:rsid w:val="007077D0"/>
    <w:rsid w:val="00710D92"/>
    <w:rsid w:val="00712328"/>
    <w:rsid w:val="00714EF9"/>
    <w:rsid w:val="007167E0"/>
    <w:rsid w:val="00716B15"/>
    <w:rsid w:val="007245FB"/>
    <w:rsid w:val="0072735D"/>
    <w:rsid w:val="007346BF"/>
    <w:rsid w:val="00734724"/>
    <w:rsid w:val="00735F15"/>
    <w:rsid w:val="00736C42"/>
    <w:rsid w:val="007403D7"/>
    <w:rsid w:val="0074388C"/>
    <w:rsid w:val="00743CB2"/>
    <w:rsid w:val="00745055"/>
    <w:rsid w:val="00745319"/>
    <w:rsid w:val="00746BEF"/>
    <w:rsid w:val="00747969"/>
    <w:rsid w:val="007479B8"/>
    <w:rsid w:val="0075328E"/>
    <w:rsid w:val="00753ED6"/>
    <w:rsid w:val="0075543C"/>
    <w:rsid w:val="00755C0B"/>
    <w:rsid w:val="00756A53"/>
    <w:rsid w:val="0076244E"/>
    <w:rsid w:val="007628E5"/>
    <w:rsid w:val="0076428C"/>
    <w:rsid w:val="0076464D"/>
    <w:rsid w:val="00765269"/>
    <w:rsid w:val="0077150C"/>
    <w:rsid w:val="00775325"/>
    <w:rsid w:val="00777125"/>
    <w:rsid w:val="00783C64"/>
    <w:rsid w:val="007846CF"/>
    <w:rsid w:val="00794610"/>
    <w:rsid w:val="00794CAD"/>
    <w:rsid w:val="00796C70"/>
    <w:rsid w:val="007A033B"/>
    <w:rsid w:val="007A03D3"/>
    <w:rsid w:val="007A1E86"/>
    <w:rsid w:val="007A556E"/>
    <w:rsid w:val="007A58D4"/>
    <w:rsid w:val="007B3443"/>
    <w:rsid w:val="007B4C55"/>
    <w:rsid w:val="007B6F10"/>
    <w:rsid w:val="007C1A31"/>
    <w:rsid w:val="007C256F"/>
    <w:rsid w:val="007C3155"/>
    <w:rsid w:val="007C3611"/>
    <w:rsid w:val="007C4DE7"/>
    <w:rsid w:val="007C54DC"/>
    <w:rsid w:val="007C56CC"/>
    <w:rsid w:val="007D07A9"/>
    <w:rsid w:val="007D37C9"/>
    <w:rsid w:val="007D3F1E"/>
    <w:rsid w:val="007D5491"/>
    <w:rsid w:val="007E169C"/>
    <w:rsid w:val="007E27C4"/>
    <w:rsid w:val="007E299C"/>
    <w:rsid w:val="007E36CE"/>
    <w:rsid w:val="007E38DD"/>
    <w:rsid w:val="007E5DEF"/>
    <w:rsid w:val="007F04D0"/>
    <w:rsid w:val="007F1332"/>
    <w:rsid w:val="007F17B8"/>
    <w:rsid w:val="007F1D23"/>
    <w:rsid w:val="007F21FC"/>
    <w:rsid w:val="007F2843"/>
    <w:rsid w:val="007F3548"/>
    <w:rsid w:val="007F5AF2"/>
    <w:rsid w:val="007F728F"/>
    <w:rsid w:val="008009BF"/>
    <w:rsid w:val="00805453"/>
    <w:rsid w:val="0080616A"/>
    <w:rsid w:val="00807F46"/>
    <w:rsid w:val="00810CED"/>
    <w:rsid w:val="008124D0"/>
    <w:rsid w:val="008157D1"/>
    <w:rsid w:val="00815B20"/>
    <w:rsid w:val="008168F6"/>
    <w:rsid w:val="0082311E"/>
    <w:rsid w:val="00824AA7"/>
    <w:rsid w:val="00827C16"/>
    <w:rsid w:val="00830A86"/>
    <w:rsid w:val="00833801"/>
    <w:rsid w:val="0083489D"/>
    <w:rsid w:val="00840433"/>
    <w:rsid w:val="008418E8"/>
    <w:rsid w:val="00841925"/>
    <w:rsid w:val="008443FD"/>
    <w:rsid w:val="00844D12"/>
    <w:rsid w:val="008501C4"/>
    <w:rsid w:val="00852BA6"/>
    <w:rsid w:val="00852C16"/>
    <w:rsid w:val="00854131"/>
    <w:rsid w:val="00857466"/>
    <w:rsid w:val="008618C8"/>
    <w:rsid w:val="008650B7"/>
    <w:rsid w:val="00867D47"/>
    <w:rsid w:val="00872CFC"/>
    <w:rsid w:val="008736F0"/>
    <w:rsid w:val="00873983"/>
    <w:rsid w:val="00874F55"/>
    <w:rsid w:val="0087647A"/>
    <w:rsid w:val="00876E8E"/>
    <w:rsid w:val="0088578C"/>
    <w:rsid w:val="00886EC5"/>
    <w:rsid w:val="00891673"/>
    <w:rsid w:val="00895FF3"/>
    <w:rsid w:val="00896935"/>
    <w:rsid w:val="00897729"/>
    <w:rsid w:val="008A1909"/>
    <w:rsid w:val="008A5DDF"/>
    <w:rsid w:val="008A6FFF"/>
    <w:rsid w:val="008B07E6"/>
    <w:rsid w:val="008B1502"/>
    <w:rsid w:val="008B19C2"/>
    <w:rsid w:val="008B3083"/>
    <w:rsid w:val="008B348F"/>
    <w:rsid w:val="008B35DC"/>
    <w:rsid w:val="008C1DF4"/>
    <w:rsid w:val="008C1E53"/>
    <w:rsid w:val="008C20F3"/>
    <w:rsid w:val="008C6E0B"/>
    <w:rsid w:val="008D0B58"/>
    <w:rsid w:val="008D2039"/>
    <w:rsid w:val="008D3021"/>
    <w:rsid w:val="008D444B"/>
    <w:rsid w:val="008D4EF3"/>
    <w:rsid w:val="008E4062"/>
    <w:rsid w:val="008E59F9"/>
    <w:rsid w:val="008E7FE6"/>
    <w:rsid w:val="008F0C7F"/>
    <w:rsid w:val="008F3C49"/>
    <w:rsid w:val="008F5D13"/>
    <w:rsid w:val="008F5E21"/>
    <w:rsid w:val="008F6EEF"/>
    <w:rsid w:val="008F74E0"/>
    <w:rsid w:val="0090102C"/>
    <w:rsid w:val="00902CAF"/>
    <w:rsid w:val="0090388C"/>
    <w:rsid w:val="00904824"/>
    <w:rsid w:val="00904BF7"/>
    <w:rsid w:val="00907005"/>
    <w:rsid w:val="00911AF6"/>
    <w:rsid w:val="00915D2A"/>
    <w:rsid w:val="0091646E"/>
    <w:rsid w:val="009201B4"/>
    <w:rsid w:val="0092207A"/>
    <w:rsid w:val="009229A4"/>
    <w:rsid w:val="00922EEE"/>
    <w:rsid w:val="00924C30"/>
    <w:rsid w:val="009302EA"/>
    <w:rsid w:val="00931204"/>
    <w:rsid w:val="009358D1"/>
    <w:rsid w:val="00935D29"/>
    <w:rsid w:val="00941B0C"/>
    <w:rsid w:val="00941B7E"/>
    <w:rsid w:val="00942BC3"/>
    <w:rsid w:val="0094456A"/>
    <w:rsid w:val="0094477D"/>
    <w:rsid w:val="00953BF7"/>
    <w:rsid w:val="00953F1F"/>
    <w:rsid w:val="00954146"/>
    <w:rsid w:val="0095602D"/>
    <w:rsid w:val="00956FC8"/>
    <w:rsid w:val="0096470F"/>
    <w:rsid w:val="00964D39"/>
    <w:rsid w:val="0096572B"/>
    <w:rsid w:val="0096593C"/>
    <w:rsid w:val="00967096"/>
    <w:rsid w:val="00967780"/>
    <w:rsid w:val="00971229"/>
    <w:rsid w:val="00972A8B"/>
    <w:rsid w:val="00974ECC"/>
    <w:rsid w:val="00976F52"/>
    <w:rsid w:val="00977B19"/>
    <w:rsid w:val="00980EF7"/>
    <w:rsid w:val="009834E8"/>
    <w:rsid w:val="009919C0"/>
    <w:rsid w:val="00994015"/>
    <w:rsid w:val="009941B5"/>
    <w:rsid w:val="009A014B"/>
    <w:rsid w:val="009A2BD3"/>
    <w:rsid w:val="009A391C"/>
    <w:rsid w:val="009A39FB"/>
    <w:rsid w:val="009A65B4"/>
    <w:rsid w:val="009A7528"/>
    <w:rsid w:val="009A77DA"/>
    <w:rsid w:val="009A7E22"/>
    <w:rsid w:val="009B1135"/>
    <w:rsid w:val="009B2651"/>
    <w:rsid w:val="009B66E4"/>
    <w:rsid w:val="009D00D6"/>
    <w:rsid w:val="009D1306"/>
    <w:rsid w:val="009D1D24"/>
    <w:rsid w:val="009D3D81"/>
    <w:rsid w:val="009D593A"/>
    <w:rsid w:val="009D5B72"/>
    <w:rsid w:val="009D5E4C"/>
    <w:rsid w:val="009E0058"/>
    <w:rsid w:val="009E32B2"/>
    <w:rsid w:val="009E5862"/>
    <w:rsid w:val="009E65D4"/>
    <w:rsid w:val="009F028B"/>
    <w:rsid w:val="009F3D06"/>
    <w:rsid w:val="009F4B31"/>
    <w:rsid w:val="009F68F5"/>
    <w:rsid w:val="009F7569"/>
    <w:rsid w:val="00A006B2"/>
    <w:rsid w:val="00A04808"/>
    <w:rsid w:val="00A05C5A"/>
    <w:rsid w:val="00A1081E"/>
    <w:rsid w:val="00A10FCB"/>
    <w:rsid w:val="00A11EFD"/>
    <w:rsid w:val="00A1305D"/>
    <w:rsid w:val="00A154A9"/>
    <w:rsid w:val="00A155CD"/>
    <w:rsid w:val="00A20A1C"/>
    <w:rsid w:val="00A21D8A"/>
    <w:rsid w:val="00A22F8E"/>
    <w:rsid w:val="00A2358A"/>
    <w:rsid w:val="00A24281"/>
    <w:rsid w:val="00A266BB"/>
    <w:rsid w:val="00A30B12"/>
    <w:rsid w:val="00A340BF"/>
    <w:rsid w:val="00A34F98"/>
    <w:rsid w:val="00A3580E"/>
    <w:rsid w:val="00A40C95"/>
    <w:rsid w:val="00A415A9"/>
    <w:rsid w:val="00A428C5"/>
    <w:rsid w:val="00A42FCD"/>
    <w:rsid w:val="00A50E69"/>
    <w:rsid w:val="00A5205A"/>
    <w:rsid w:val="00A52542"/>
    <w:rsid w:val="00A555DB"/>
    <w:rsid w:val="00A56340"/>
    <w:rsid w:val="00A56D2A"/>
    <w:rsid w:val="00A60215"/>
    <w:rsid w:val="00A63002"/>
    <w:rsid w:val="00A63792"/>
    <w:rsid w:val="00A64E79"/>
    <w:rsid w:val="00A67472"/>
    <w:rsid w:val="00A70E60"/>
    <w:rsid w:val="00A736F9"/>
    <w:rsid w:val="00A7759B"/>
    <w:rsid w:val="00A77795"/>
    <w:rsid w:val="00A8436E"/>
    <w:rsid w:val="00A84454"/>
    <w:rsid w:val="00A84C48"/>
    <w:rsid w:val="00A8613C"/>
    <w:rsid w:val="00A8772E"/>
    <w:rsid w:val="00A920C8"/>
    <w:rsid w:val="00A93E81"/>
    <w:rsid w:val="00A95C3F"/>
    <w:rsid w:val="00A96883"/>
    <w:rsid w:val="00A9736C"/>
    <w:rsid w:val="00AA277F"/>
    <w:rsid w:val="00AA666B"/>
    <w:rsid w:val="00AB1E3F"/>
    <w:rsid w:val="00AB1E43"/>
    <w:rsid w:val="00AB40B2"/>
    <w:rsid w:val="00AB4AC8"/>
    <w:rsid w:val="00AB55AB"/>
    <w:rsid w:val="00AB6596"/>
    <w:rsid w:val="00AC1406"/>
    <w:rsid w:val="00AC1ECA"/>
    <w:rsid w:val="00AC46D4"/>
    <w:rsid w:val="00AC67E2"/>
    <w:rsid w:val="00AC7119"/>
    <w:rsid w:val="00AD06C5"/>
    <w:rsid w:val="00AE18BD"/>
    <w:rsid w:val="00AE29A5"/>
    <w:rsid w:val="00AE42B9"/>
    <w:rsid w:val="00AE7517"/>
    <w:rsid w:val="00AE7E8B"/>
    <w:rsid w:val="00AF3EC6"/>
    <w:rsid w:val="00AF43F0"/>
    <w:rsid w:val="00AF5FC2"/>
    <w:rsid w:val="00AF6D5C"/>
    <w:rsid w:val="00AF6DB3"/>
    <w:rsid w:val="00B03063"/>
    <w:rsid w:val="00B04118"/>
    <w:rsid w:val="00B05687"/>
    <w:rsid w:val="00B069D3"/>
    <w:rsid w:val="00B07AFF"/>
    <w:rsid w:val="00B07B61"/>
    <w:rsid w:val="00B12D19"/>
    <w:rsid w:val="00B1321E"/>
    <w:rsid w:val="00B13F9A"/>
    <w:rsid w:val="00B14409"/>
    <w:rsid w:val="00B223D8"/>
    <w:rsid w:val="00B22AAC"/>
    <w:rsid w:val="00B23CC5"/>
    <w:rsid w:val="00B303D3"/>
    <w:rsid w:val="00B3083C"/>
    <w:rsid w:val="00B321F4"/>
    <w:rsid w:val="00B405ED"/>
    <w:rsid w:val="00B459CC"/>
    <w:rsid w:val="00B47521"/>
    <w:rsid w:val="00B521EF"/>
    <w:rsid w:val="00B52ABE"/>
    <w:rsid w:val="00B54FC3"/>
    <w:rsid w:val="00B61441"/>
    <w:rsid w:val="00B61DD4"/>
    <w:rsid w:val="00B6263E"/>
    <w:rsid w:val="00B6486C"/>
    <w:rsid w:val="00B667E7"/>
    <w:rsid w:val="00B66878"/>
    <w:rsid w:val="00B67B41"/>
    <w:rsid w:val="00B67E1B"/>
    <w:rsid w:val="00B73833"/>
    <w:rsid w:val="00B744A1"/>
    <w:rsid w:val="00B74836"/>
    <w:rsid w:val="00B80431"/>
    <w:rsid w:val="00B82B4A"/>
    <w:rsid w:val="00B82C1F"/>
    <w:rsid w:val="00B84D2E"/>
    <w:rsid w:val="00B90339"/>
    <w:rsid w:val="00B911CA"/>
    <w:rsid w:val="00B91F2C"/>
    <w:rsid w:val="00B92FD3"/>
    <w:rsid w:val="00B93194"/>
    <w:rsid w:val="00B967A4"/>
    <w:rsid w:val="00B96AD2"/>
    <w:rsid w:val="00BA00E9"/>
    <w:rsid w:val="00BA2FFB"/>
    <w:rsid w:val="00BB04E2"/>
    <w:rsid w:val="00BB1983"/>
    <w:rsid w:val="00BB19E8"/>
    <w:rsid w:val="00BB50A6"/>
    <w:rsid w:val="00BC03D9"/>
    <w:rsid w:val="00BC05BD"/>
    <w:rsid w:val="00BC0D6A"/>
    <w:rsid w:val="00BC1F51"/>
    <w:rsid w:val="00BC3920"/>
    <w:rsid w:val="00BC6747"/>
    <w:rsid w:val="00BD0231"/>
    <w:rsid w:val="00BD0FC2"/>
    <w:rsid w:val="00BD12A6"/>
    <w:rsid w:val="00BD557D"/>
    <w:rsid w:val="00BD6EF6"/>
    <w:rsid w:val="00BD7602"/>
    <w:rsid w:val="00BE0122"/>
    <w:rsid w:val="00BE023E"/>
    <w:rsid w:val="00BE18A2"/>
    <w:rsid w:val="00BF0358"/>
    <w:rsid w:val="00BF18AE"/>
    <w:rsid w:val="00BF2FEE"/>
    <w:rsid w:val="00BF31BD"/>
    <w:rsid w:val="00BF7CB7"/>
    <w:rsid w:val="00C01BBF"/>
    <w:rsid w:val="00C03B0D"/>
    <w:rsid w:val="00C058D8"/>
    <w:rsid w:val="00C1030A"/>
    <w:rsid w:val="00C12718"/>
    <w:rsid w:val="00C16EA0"/>
    <w:rsid w:val="00C16F44"/>
    <w:rsid w:val="00C20C56"/>
    <w:rsid w:val="00C210B6"/>
    <w:rsid w:val="00C23B82"/>
    <w:rsid w:val="00C23E5C"/>
    <w:rsid w:val="00C26695"/>
    <w:rsid w:val="00C32332"/>
    <w:rsid w:val="00C333D5"/>
    <w:rsid w:val="00C35100"/>
    <w:rsid w:val="00C41581"/>
    <w:rsid w:val="00C42127"/>
    <w:rsid w:val="00C43527"/>
    <w:rsid w:val="00C43789"/>
    <w:rsid w:val="00C44F45"/>
    <w:rsid w:val="00C45286"/>
    <w:rsid w:val="00C477E7"/>
    <w:rsid w:val="00C478FD"/>
    <w:rsid w:val="00C52780"/>
    <w:rsid w:val="00C53921"/>
    <w:rsid w:val="00C54920"/>
    <w:rsid w:val="00C54BE0"/>
    <w:rsid w:val="00C5666F"/>
    <w:rsid w:val="00C574E3"/>
    <w:rsid w:val="00C6345F"/>
    <w:rsid w:val="00C70C0C"/>
    <w:rsid w:val="00C72F65"/>
    <w:rsid w:val="00C733E1"/>
    <w:rsid w:val="00C73698"/>
    <w:rsid w:val="00C744BA"/>
    <w:rsid w:val="00C760A9"/>
    <w:rsid w:val="00C76932"/>
    <w:rsid w:val="00C76AB4"/>
    <w:rsid w:val="00C8321C"/>
    <w:rsid w:val="00C8327A"/>
    <w:rsid w:val="00C83D18"/>
    <w:rsid w:val="00C8747F"/>
    <w:rsid w:val="00C904FA"/>
    <w:rsid w:val="00C90719"/>
    <w:rsid w:val="00CA2AB5"/>
    <w:rsid w:val="00CA3921"/>
    <w:rsid w:val="00CA410D"/>
    <w:rsid w:val="00CA5031"/>
    <w:rsid w:val="00CA55C5"/>
    <w:rsid w:val="00CA7910"/>
    <w:rsid w:val="00CB1388"/>
    <w:rsid w:val="00CB26EA"/>
    <w:rsid w:val="00CB4339"/>
    <w:rsid w:val="00CB6ABE"/>
    <w:rsid w:val="00CB7C4C"/>
    <w:rsid w:val="00CC000B"/>
    <w:rsid w:val="00CC367B"/>
    <w:rsid w:val="00CC4BF7"/>
    <w:rsid w:val="00CC5A36"/>
    <w:rsid w:val="00CD1023"/>
    <w:rsid w:val="00CD24E5"/>
    <w:rsid w:val="00CD4B74"/>
    <w:rsid w:val="00CD57F4"/>
    <w:rsid w:val="00CD5825"/>
    <w:rsid w:val="00CE2E52"/>
    <w:rsid w:val="00CE328A"/>
    <w:rsid w:val="00CE7938"/>
    <w:rsid w:val="00CF18BC"/>
    <w:rsid w:val="00CF1C5E"/>
    <w:rsid w:val="00CF1ED2"/>
    <w:rsid w:val="00CF2BA7"/>
    <w:rsid w:val="00D00E34"/>
    <w:rsid w:val="00D01F83"/>
    <w:rsid w:val="00D02CBC"/>
    <w:rsid w:val="00D037F2"/>
    <w:rsid w:val="00D046C7"/>
    <w:rsid w:val="00D04FFC"/>
    <w:rsid w:val="00D07A0D"/>
    <w:rsid w:val="00D10575"/>
    <w:rsid w:val="00D10CF4"/>
    <w:rsid w:val="00D12371"/>
    <w:rsid w:val="00D130BB"/>
    <w:rsid w:val="00D13BFA"/>
    <w:rsid w:val="00D13C27"/>
    <w:rsid w:val="00D15057"/>
    <w:rsid w:val="00D161D9"/>
    <w:rsid w:val="00D16FB2"/>
    <w:rsid w:val="00D17DE8"/>
    <w:rsid w:val="00D17ED8"/>
    <w:rsid w:val="00D22602"/>
    <w:rsid w:val="00D231D0"/>
    <w:rsid w:val="00D27E49"/>
    <w:rsid w:val="00D316F6"/>
    <w:rsid w:val="00D32C4D"/>
    <w:rsid w:val="00D33D50"/>
    <w:rsid w:val="00D369E7"/>
    <w:rsid w:val="00D41B88"/>
    <w:rsid w:val="00D4204C"/>
    <w:rsid w:val="00D42376"/>
    <w:rsid w:val="00D427C6"/>
    <w:rsid w:val="00D4493F"/>
    <w:rsid w:val="00D45354"/>
    <w:rsid w:val="00D45CED"/>
    <w:rsid w:val="00D460E3"/>
    <w:rsid w:val="00D506A5"/>
    <w:rsid w:val="00D54BB2"/>
    <w:rsid w:val="00D55D81"/>
    <w:rsid w:val="00D5636D"/>
    <w:rsid w:val="00D63341"/>
    <w:rsid w:val="00D653EB"/>
    <w:rsid w:val="00D65BDE"/>
    <w:rsid w:val="00D66948"/>
    <w:rsid w:val="00D74699"/>
    <w:rsid w:val="00D76969"/>
    <w:rsid w:val="00D816BB"/>
    <w:rsid w:val="00D841A8"/>
    <w:rsid w:val="00D85A31"/>
    <w:rsid w:val="00D900BA"/>
    <w:rsid w:val="00D92456"/>
    <w:rsid w:val="00D92E9B"/>
    <w:rsid w:val="00D93FD1"/>
    <w:rsid w:val="00D940E3"/>
    <w:rsid w:val="00D9492A"/>
    <w:rsid w:val="00D94F25"/>
    <w:rsid w:val="00D95448"/>
    <w:rsid w:val="00D9663F"/>
    <w:rsid w:val="00DA3573"/>
    <w:rsid w:val="00DA517B"/>
    <w:rsid w:val="00DA5753"/>
    <w:rsid w:val="00DB3F35"/>
    <w:rsid w:val="00DB7CB4"/>
    <w:rsid w:val="00DC1BC6"/>
    <w:rsid w:val="00DC1C31"/>
    <w:rsid w:val="00DC2869"/>
    <w:rsid w:val="00DC4A7E"/>
    <w:rsid w:val="00DC5FA3"/>
    <w:rsid w:val="00DC6857"/>
    <w:rsid w:val="00DC6DB4"/>
    <w:rsid w:val="00DD0B7E"/>
    <w:rsid w:val="00DD0C88"/>
    <w:rsid w:val="00DD1773"/>
    <w:rsid w:val="00DD30FA"/>
    <w:rsid w:val="00DD5713"/>
    <w:rsid w:val="00DD5CDC"/>
    <w:rsid w:val="00DD769E"/>
    <w:rsid w:val="00DD7804"/>
    <w:rsid w:val="00DE27A8"/>
    <w:rsid w:val="00DE419F"/>
    <w:rsid w:val="00DE59F7"/>
    <w:rsid w:val="00DE6E1B"/>
    <w:rsid w:val="00DE75A4"/>
    <w:rsid w:val="00DF1F3E"/>
    <w:rsid w:val="00E01869"/>
    <w:rsid w:val="00E02614"/>
    <w:rsid w:val="00E07B24"/>
    <w:rsid w:val="00E10F2F"/>
    <w:rsid w:val="00E1262C"/>
    <w:rsid w:val="00E126BC"/>
    <w:rsid w:val="00E14944"/>
    <w:rsid w:val="00E25BF6"/>
    <w:rsid w:val="00E26C33"/>
    <w:rsid w:val="00E27654"/>
    <w:rsid w:val="00E27E3E"/>
    <w:rsid w:val="00E30BA9"/>
    <w:rsid w:val="00E311ED"/>
    <w:rsid w:val="00E31C6B"/>
    <w:rsid w:val="00E31E55"/>
    <w:rsid w:val="00E33C95"/>
    <w:rsid w:val="00E362C4"/>
    <w:rsid w:val="00E408FD"/>
    <w:rsid w:val="00E4534F"/>
    <w:rsid w:val="00E50E34"/>
    <w:rsid w:val="00E51768"/>
    <w:rsid w:val="00E537A8"/>
    <w:rsid w:val="00E53D8D"/>
    <w:rsid w:val="00E561F7"/>
    <w:rsid w:val="00E623A8"/>
    <w:rsid w:val="00E6275B"/>
    <w:rsid w:val="00E6614A"/>
    <w:rsid w:val="00E67E8F"/>
    <w:rsid w:val="00E7019A"/>
    <w:rsid w:val="00E70656"/>
    <w:rsid w:val="00E70F6E"/>
    <w:rsid w:val="00E710A4"/>
    <w:rsid w:val="00E71F3D"/>
    <w:rsid w:val="00E7365B"/>
    <w:rsid w:val="00E744A8"/>
    <w:rsid w:val="00E74D6B"/>
    <w:rsid w:val="00E752E8"/>
    <w:rsid w:val="00E77E32"/>
    <w:rsid w:val="00E833C2"/>
    <w:rsid w:val="00E86D98"/>
    <w:rsid w:val="00E918C2"/>
    <w:rsid w:val="00E93962"/>
    <w:rsid w:val="00E953C3"/>
    <w:rsid w:val="00E95962"/>
    <w:rsid w:val="00EA00F8"/>
    <w:rsid w:val="00EA29B7"/>
    <w:rsid w:val="00EA5E73"/>
    <w:rsid w:val="00EA73AE"/>
    <w:rsid w:val="00EA7F95"/>
    <w:rsid w:val="00EB3135"/>
    <w:rsid w:val="00EB325D"/>
    <w:rsid w:val="00EB4450"/>
    <w:rsid w:val="00EB6291"/>
    <w:rsid w:val="00EB73CC"/>
    <w:rsid w:val="00EB7524"/>
    <w:rsid w:val="00EC6BE1"/>
    <w:rsid w:val="00EC7BAC"/>
    <w:rsid w:val="00ED285C"/>
    <w:rsid w:val="00ED72B5"/>
    <w:rsid w:val="00ED7675"/>
    <w:rsid w:val="00EE2B97"/>
    <w:rsid w:val="00EE3029"/>
    <w:rsid w:val="00EE585A"/>
    <w:rsid w:val="00EE67F8"/>
    <w:rsid w:val="00EF1B70"/>
    <w:rsid w:val="00EF33B9"/>
    <w:rsid w:val="00EF3A54"/>
    <w:rsid w:val="00EF6771"/>
    <w:rsid w:val="00EF7855"/>
    <w:rsid w:val="00F0048E"/>
    <w:rsid w:val="00F008A9"/>
    <w:rsid w:val="00F02D80"/>
    <w:rsid w:val="00F03428"/>
    <w:rsid w:val="00F03A15"/>
    <w:rsid w:val="00F06BC1"/>
    <w:rsid w:val="00F1029A"/>
    <w:rsid w:val="00F11EFC"/>
    <w:rsid w:val="00F122E5"/>
    <w:rsid w:val="00F12359"/>
    <w:rsid w:val="00F13CF3"/>
    <w:rsid w:val="00F221B2"/>
    <w:rsid w:val="00F23722"/>
    <w:rsid w:val="00F33324"/>
    <w:rsid w:val="00F36818"/>
    <w:rsid w:val="00F42249"/>
    <w:rsid w:val="00F458FA"/>
    <w:rsid w:val="00F500A0"/>
    <w:rsid w:val="00F5177F"/>
    <w:rsid w:val="00F51FAE"/>
    <w:rsid w:val="00F52C87"/>
    <w:rsid w:val="00F55D17"/>
    <w:rsid w:val="00F575CE"/>
    <w:rsid w:val="00F57E5F"/>
    <w:rsid w:val="00F627FD"/>
    <w:rsid w:val="00F63811"/>
    <w:rsid w:val="00F64013"/>
    <w:rsid w:val="00F71C36"/>
    <w:rsid w:val="00F71D81"/>
    <w:rsid w:val="00F7316E"/>
    <w:rsid w:val="00F7375A"/>
    <w:rsid w:val="00F805CC"/>
    <w:rsid w:val="00F85139"/>
    <w:rsid w:val="00F8695C"/>
    <w:rsid w:val="00F90828"/>
    <w:rsid w:val="00F914A1"/>
    <w:rsid w:val="00F93B42"/>
    <w:rsid w:val="00F94DEA"/>
    <w:rsid w:val="00F95052"/>
    <w:rsid w:val="00F96EBD"/>
    <w:rsid w:val="00FA08C6"/>
    <w:rsid w:val="00FA7A2D"/>
    <w:rsid w:val="00FB0AB1"/>
    <w:rsid w:val="00FB21FF"/>
    <w:rsid w:val="00FB3FF9"/>
    <w:rsid w:val="00FC1F28"/>
    <w:rsid w:val="00FC5305"/>
    <w:rsid w:val="00FC566D"/>
    <w:rsid w:val="00FC762A"/>
    <w:rsid w:val="00FD7A11"/>
    <w:rsid w:val="00FE0E4F"/>
    <w:rsid w:val="00FE1342"/>
    <w:rsid w:val="00FE1FB7"/>
    <w:rsid w:val="00FE2274"/>
    <w:rsid w:val="00FE2476"/>
    <w:rsid w:val="00FE7C8B"/>
    <w:rsid w:val="00FF2B90"/>
    <w:rsid w:val="00FF642E"/>
    <w:rsid w:val="00FF6612"/>
    <w:rsid w:val="00FF7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2990151D"/>
  <w15:chartTrackingRefBased/>
  <w15:docId w15:val="{BD2A96AA-7DC3-4B4F-8D1A-EFB0D9BDD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292D11"/>
    <w:pPr>
      <w:keepNext/>
      <w:spacing w:before="240" w:after="60"/>
      <w:outlineLvl w:val="0"/>
    </w:pPr>
    <w:rPr>
      <w:rFonts w:ascii="Arial" w:hAnsi="Arial" w:cs="Arial"/>
      <w:b/>
      <w:bCs/>
      <w:kern w:val="32"/>
      <w:sz w:val="32"/>
      <w:szCs w:val="32"/>
      <w:lang w:eastAsia="en-US"/>
    </w:rPr>
  </w:style>
  <w:style w:type="paragraph" w:styleId="Heading3">
    <w:name w:val="heading 3"/>
    <w:basedOn w:val="Normal"/>
    <w:next w:val="Normal"/>
    <w:qFormat/>
    <w:rsid w:val="006946A9"/>
    <w:pPr>
      <w:keepNext/>
      <w:outlineLvl w:val="2"/>
    </w:pPr>
    <w:rPr>
      <w:rFonts w:eastAsia="Times"/>
      <w:b/>
      <w:i/>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0719"/>
    <w:pPr>
      <w:autoSpaceDE w:val="0"/>
      <w:autoSpaceDN w:val="0"/>
      <w:adjustRightInd w:val="0"/>
    </w:pPr>
    <w:rPr>
      <w:rFonts w:ascii="Verdana" w:hAnsi="Verdana" w:cs="Verdana"/>
      <w:color w:val="000000"/>
      <w:sz w:val="24"/>
      <w:szCs w:val="24"/>
    </w:rPr>
  </w:style>
  <w:style w:type="paragraph" w:styleId="NormalWeb">
    <w:name w:val="Normal (Web)"/>
    <w:basedOn w:val="Normal"/>
    <w:uiPriority w:val="99"/>
    <w:rsid w:val="00413B05"/>
    <w:pPr>
      <w:spacing w:before="100" w:beforeAutospacing="1" w:after="100" w:afterAutospacing="1"/>
    </w:pPr>
  </w:style>
  <w:style w:type="paragraph" w:customStyle="1" w:styleId="LightGrid-Accent31">
    <w:name w:val="Light Grid - Accent 31"/>
    <w:basedOn w:val="Normal"/>
    <w:qFormat/>
    <w:rsid w:val="00AE3AC3"/>
    <w:pPr>
      <w:spacing w:after="200" w:line="276" w:lineRule="auto"/>
      <w:ind w:left="720"/>
      <w:contextualSpacing/>
    </w:pPr>
    <w:rPr>
      <w:rFonts w:eastAsia="Calibri"/>
      <w:szCs w:val="22"/>
      <w:lang w:eastAsia="en-US"/>
    </w:rPr>
  </w:style>
  <w:style w:type="character" w:styleId="CommentReference">
    <w:name w:val="annotation reference"/>
    <w:rsid w:val="004231DC"/>
    <w:rPr>
      <w:sz w:val="18"/>
      <w:szCs w:val="18"/>
    </w:rPr>
  </w:style>
  <w:style w:type="paragraph" w:styleId="CommentText">
    <w:name w:val="annotation text"/>
    <w:basedOn w:val="Normal"/>
    <w:link w:val="CommentTextChar"/>
    <w:rsid w:val="004231DC"/>
    <w:rPr>
      <w:lang w:val="x-none"/>
    </w:rPr>
  </w:style>
  <w:style w:type="character" w:customStyle="1" w:styleId="CommentTextChar">
    <w:name w:val="Comment Text Char"/>
    <w:link w:val="CommentText"/>
    <w:rsid w:val="004231DC"/>
    <w:rPr>
      <w:sz w:val="24"/>
      <w:szCs w:val="24"/>
      <w:lang w:eastAsia="en-GB"/>
    </w:rPr>
  </w:style>
  <w:style w:type="paragraph" w:styleId="CommentSubject">
    <w:name w:val="annotation subject"/>
    <w:basedOn w:val="CommentText"/>
    <w:next w:val="CommentText"/>
    <w:link w:val="CommentSubjectChar"/>
    <w:rsid w:val="004231DC"/>
    <w:rPr>
      <w:b/>
      <w:bCs/>
    </w:rPr>
  </w:style>
  <w:style w:type="character" w:customStyle="1" w:styleId="CommentSubjectChar">
    <w:name w:val="Comment Subject Char"/>
    <w:link w:val="CommentSubject"/>
    <w:rsid w:val="004231DC"/>
    <w:rPr>
      <w:b/>
      <w:bCs/>
      <w:sz w:val="24"/>
      <w:szCs w:val="24"/>
      <w:lang w:eastAsia="en-GB"/>
    </w:rPr>
  </w:style>
  <w:style w:type="paragraph" w:styleId="BalloonText">
    <w:name w:val="Balloon Text"/>
    <w:basedOn w:val="Normal"/>
    <w:link w:val="BalloonTextChar"/>
    <w:rsid w:val="004231DC"/>
    <w:rPr>
      <w:rFonts w:ascii="Lucida Grande" w:hAnsi="Lucida Grande"/>
      <w:sz w:val="18"/>
      <w:szCs w:val="18"/>
      <w:lang w:val="x-none"/>
    </w:rPr>
  </w:style>
  <w:style w:type="character" w:customStyle="1" w:styleId="BalloonTextChar">
    <w:name w:val="Balloon Text Char"/>
    <w:link w:val="BalloonText"/>
    <w:rsid w:val="004231DC"/>
    <w:rPr>
      <w:rFonts w:ascii="Lucida Grande" w:hAnsi="Lucida Grande" w:cs="Lucida Grande"/>
      <w:sz w:val="18"/>
      <w:szCs w:val="18"/>
      <w:lang w:eastAsia="en-GB"/>
    </w:rPr>
  </w:style>
  <w:style w:type="paragraph" w:styleId="Footer">
    <w:name w:val="footer"/>
    <w:basedOn w:val="Normal"/>
    <w:link w:val="FooterChar"/>
    <w:rsid w:val="00E44409"/>
    <w:pPr>
      <w:tabs>
        <w:tab w:val="center" w:pos="4320"/>
        <w:tab w:val="right" w:pos="8640"/>
      </w:tabs>
    </w:pPr>
    <w:rPr>
      <w:lang w:val="x-none"/>
    </w:rPr>
  </w:style>
  <w:style w:type="character" w:customStyle="1" w:styleId="FooterChar">
    <w:name w:val="Footer Char"/>
    <w:link w:val="Footer"/>
    <w:rsid w:val="00E44409"/>
    <w:rPr>
      <w:sz w:val="24"/>
      <w:szCs w:val="24"/>
      <w:lang w:eastAsia="en-GB"/>
    </w:rPr>
  </w:style>
  <w:style w:type="character" w:styleId="PageNumber">
    <w:name w:val="page number"/>
    <w:rsid w:val="00E44409"/>
  </w:style>
  <w:style w:type="table" w:styleId="TableGrid">
    <w:name w:val="Table Grid"/>
    <w:basedOn w:val="TableNormal"/>
    <w:uiPriority w:val="59"/>
    <w:rsid w:val="004F6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56831"/>
    <w:pPr>
      <w:tabs>
        <w:tab w:val="center" w:pos="4320"/>
        <w:tab w:val="right" w:pos="8640"/>
      </w:tabs>
    </w:pPr>
    <w:rPr>
      <w:lang w:val="x-none"/>
    </w:rPr>
  </w:style>
  <w:style w:type="character" w:customStyle="1" w:styleId="HeaderChar">
    <w:name w:val="Header Char"/>
    <w:link w:val="Header"/>
    <w:rsid w:val="00A56831"/>
    <w:rPr>
      <w:sz w:val="24"/>
      <w:szCs w:val="24"/>
      <w:lang w:eastAsia="en-GB"/>
    </w:rPr>
  </w:style>
  <w:style w:type="character" w:customStyle="1" w:styleId="Heading1Char">
    <w:name w:val="Heading 1 Char"/>
    <w:link w:val="Heading1"/>
    <w:rsid w:val="00292D11"/>
    <w:rPr>
      <w:rFonts w:ascii="Arial" w:hAnsi="Arial" w:cs="Arial"/>
      <w:b/>
      <w:bCs/>
      <w:kern w:val="32"/>
      <w:sz w:val="32"/>
      <w:szCs w:val="32"/>
    </w:rPr>
  </w:style>
  <w:style w:type="paragraph" w:styleId="BodyText">
    <w:name w:val="Body Text"/>
    <w:basedOn w:val="Normal"/>
    <w:link w:val="BodyTextChar"/>
    <w:rsid w:val="00292D11"/>
    <w:rPr>
      <w:rFonts w:ascii="Palatino" w:hAnsi="Palatino"/>
      <w:sz w:val="26"/>
    </w:rPr>
  </w:style>
  <w:style w:type="character" w:customStyle="1" w:styleId="BodyTextChar">
    <w:name w:val="Body Text Char"/>
    <w:link w:val="BodyText"/>
    <w:rsid w:val="00292D11"/>
    <w:rPr>
      <w:rFonts w:ascii="Palatino" w:hAnsi="Palatino"/>
      <w:sz w:val="26"/>
      <w:szCs w:val="24"/>
      <w:lang w:eastAsia="en-GB"/>
    </w:rPr>
  </w:style>
  <w:style w:type="paragraph" w:styleId="BodyText3">
    <w:name w:val="Body Text 3"/>
    <w:basedOn w:val="Normal"/>
    <w:link w:val="BodyText3Char"/>
    <w:rsid w:val="00292D11"/>
    <w:pPr>
      <w:spacing w:after="120"/>
    </w:pPr>
    <w:rPr>
      <w:sz w:val="16"/>
      <w:szCs w:val="16"/>
      <w:lang w:eastAsia="en-US"/>
    </w:rPr>
  </w:style>
  <w:style w:type="character" w:customStyle="1" w:styleId="BodyText3Char">
    <w:name w:val="Body Text 3 Char"/>
    <w:link w:val="BodyText3"/>
    <w:rsid w:val="00292D11"/>
    <w:rPr>
      <w:sz w:val="16"/>
      <w:szCs w:val="16"/>
    </w:rPr>
  </w:style>
  <w:style w:type="paragraph" w:styleId="z-BottomofForm">
    <w:name w:val="HTML Bottom of Form"/>
    <w:basedOn w:val="Normal"/>
    <w:next w:val="Normal"/>
    <w:link w:val="z-BottomofFormChar"/>
    <w:hidden/>
    <w:rsid w:val="00AF5AA7"/>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AF5AA7"/>
    <w:rPr>
      <w:rFonts w:ascii="Arial" w:hAnsi="Arial"/>
      <w:vanish/>
      <w:sz w:val="16"/>
      <w:szCs w:val="16"/>
      <w:lang w:eastAsia="en-GB"/>
    </w:rPr>
  </w:style>
  <w:style w:type="paragraph" w:styleId="z-TopofForm">
    <w:name w:val="HTML Top of Form"/>
    <w:basedOn w:val="Normal"/>
    <w:next w:val="Normal"/>
    <w:link w:val="z-TopofFormChar"/>
    <w:hidden/>
    <w:rsid w:val="00AF5AA7"/>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AF5AA7"/>
    <w:rPr>
      <w:rFonts w:ascii="Arial" w:hAnsi="Arial"/>
      <w:vanish/>
      <w:sz w:val="16"/>
      <w:szCs w:val="16"/>
      <w:lang w:eastAsia="en-GB"/>
    </w:rPr>
  </w:style>
  <w:style w:type="paragraph" w:styleId="ListParagraph">
    <w:name w:val="List Paragraph"/>
    <w:basedOn w:val="Normal"/>
    <w:qFormat/>
    <w:rsid w:val="00D92E9B"/>
    <w:pPr>
      <w:ind w:left="720"/>
    </w:pPr>
  </w:style>
  <w:style w:type="character" w:styleId="Hyperlink">
    <w:name w:val="Hyperlink"/>
    <w:rsid w:val="00D92456"/>
    <w:rPr>
      <w:color w:val="0563C1"/>
      <w:u w:val="single"/>
    </w:rPr>
  </w:style>
  <w:style w:type="character" w:styleId="Strong">
    <w:name w:val="Strong"/>
    <w:uiPriority w:val="22"/>
    <w:qFormat/>
    <w:rsid w:val="001D5E16"/>
    <w:rPr>
      <w:b/>
      <w:bCs/>
    </w:rPr>
  </w:style>
  <w:style w:type="paragraph" w:styleId="Title">
    <w:name w:val="Title"/>
    <w:basedOn w:val="Normal"/>
    <w:next w:val="Normal"/>
    <w:link w:val="TitleChar"/>
    <w:qFormat/>
    <w:rsid w:val="00CD582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D5825"/>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qFormat/>
    <w:rsid w:val="00CD5825"/>
    <w:pPr>
      <w:pBdr>
        <w:top w:val="single" w:sz="4" w:space="10" w:color="90C226" w:themeColor="accent1"/>
        <w:bottom w:val="single" w:sz="4" w:space="10" w:color="90C226" w:themeColor="accent1"/>
      </w:pBdr>
      <w:spacing w:before="360" w:after="360"/>
      <w:ind w:left="864" w:right="864"/>
      <w:jc w:val="center"/>
    </w:pPr>
    <w:rPr>
      <w:i/>
      <w:iCs/>
      <w:color w:val="90C226" w:themeColor="accent1"/>
    </w:rPr>
  </w:style>
  <w:style w:type="character" w:customStyle="1" w:styleId="IntenseQuoteChar">
    <w:name w:val="Intense Quote Char"/>
    <w:basedOn w:val="DefaultParagraphFont"/>
    <w:link w:val="IntenseQuote"/>
    <w:rsid w:val="00CD5825"/>
    <w:rPr>
      <w:i/>
      <w:iCs/>
      <w:color w:val="90C226" w:themeColor="accent1"/>
      <w:sz w:val="24"/>
      <w:szCs w:val="24"/>
    </w:rPr>
  </w:style>
  <w:style w:type="paragraph" w:styleId="NoSpacing">
    <w:name w:val="No Spacing"/>
    <w:link w:val="NoSpacingChar"/>
    <w:uiPriority w:val="1"/>
    <w:qFormat/>
    <w:rsid w:val="000E3FFE"/>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0E3FFE"/>
    <w:rPr>
      <w:rFonts w:asciiTheme="minorHAnsi" w:eastAsiaTheme="minorEastAsia" w:hAnsiTheme="minorHAnsi" w:cstheme="minorBidi"/>
      <w:sz w:val="22"/>
      <w:szCs w:val="22"/>
      <w:lang w:val="en-US" w:eastAsia="en-US"/>
    </w:rPr>
  </w:style>
  <w:style w:type="character" w:styleId="IntenseEmphasis">
    <w:name w:val="Intense Emphasis"/>
    <w:basedOn w:val="DefaultParagraphFont"/>
    <w:qFormat/>
    <w:rsid w:val="008443FD"/>
    <w:rPr>
      <w:i/>
      <w:iCs/>
      <w:color w:val="90C226" w:themeColor="accent1"/>
    </w:rPr>
  </w:style>
  <w:style w:type="character" w:styleId="BookTitle">
    <w:name w:val="Book Title"/>
    <w:basedOn w:val="DefaultParagraphFont"/>
    <w:qFormat/>
    <w:rsid w:val="00231C2F"/>
    <w:rPr>
      <w:b/>
      <w:bCs/>
      <w:i/>
      <w:iCs/>
      <w:spacing w:val="5"/>
    </w:rPr>
  </w:style>
  <w:style w:type="character" w:styleId="Emphasis">
    <w:name w:val="Emphasis"/>
    <w:basedOn w:val="DefaultParagraphFont"/>
    <w:uiPriority w:val="20"/>
    <w:qFormat/>
    <w:rsid w:val="00132505"/>
    <w:rPr>
      <w:i/>
      <w:iCs/>
    </w:rPr>
  </w:style>
  <w:style w:type="character" w:styleId="FollowedHyperlink">
    <w:name w:val="FollowedHyperlink"/>
    <w:basedOn w:val="DefaultParagraphFont"/>
    <w:rsid w:val="00536C32"/>
    <w:rPr>
      <w:color w:val="B9D181" w:themeColor="followedHyperlink"/>
      <w:u w:val="single"/>
    </w:rPr>
  </w:style>
  <w:style w:type="paragraph" w:styleId="PlainText">
    <w:name w:val="Plain Text"/>
    <w:basedOn w:val="Normal"/>
    <w:link w:val="PlainTextChar"/>
    <w:uiPriority w:val="99"/>
    <w:unhideWhenUsed/>
    <w:rsid w:val="00D427C6"/>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D427C6"/>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00887">
      <w:bodyDiv w:val="1"/>
      <w:marLeft w:val="0"/>
      <w:marRight w:val="0"/>
      <w:marTop w:val="0"/>
      <w:marBottom w:val="0"/>
      <w:divBdr>
        <w:top w:val="none" w:sz="0" w:space="0" w:color="auto"/>
        <w:left w:val="none" w:sz="0" w:space="0" w:color="auto"/>
        <w:bottom w:val="none" w:sz="0" w:space="0" w:color="auto"/>
        <w:right w:val="none" w:sz="0" w:space="0" w:color="auto"/>
      </w:divBdr>
    </w:div>
    <w:div w:id="451873563">
      <w:bodyDiv w:val="1"/>
      <w:marLeft w:val="0"/>
      <w:marRight w:val="0"/>
      <w:marTop w:val="0"/>
      <w:marBottom w:val="0"/>
      <w:divBdr>
        <w:top w:val="none" w:sz="0" w:space="0" w:color="auto"/>
        <w:left w:val="none" w:sz="0" w:space="0" w:color="auto"/>
        <w:bottom w:val="none" w:sz="0" w:space="0" w:color="auto"/>
        <w:right w:val="none" w:sz="0" w:space="0" w:color="auto"/>
      </w:divBdr>
    </w:div>
    <w:div w:id="893859170">
      <w:bodyDiv w:val="1"/>
      <w:marLeft w:val="0"/>
      <w:marRight w:val="0"/>
      <w:marTop w:val="0"/>
      <w:marBottom w:val="0"/>
      <w:divBdr>
        <w:top w:val="none" w:sz="0" w:space="0" w:color="auto"/>
        <w:left w:val="none" w:sz="0" w:space="0" w:color="auto"/>
        <w:bottom w:val="none" w:sz="0" w:space="0" w:color="auto"/>
        <w:right w:val="none" w:sz="0" w:space="0" w:color="auto"/>
      </w:divBdr>
      <w:divsChild>
        <w:div w:id="1759789309">
          <w:marLeft w:val="0"/>
          <w:marRight w:val="0"/>
          <w:marTop w:val="0"/>
          <w:marBottom w:val="0"/>
          <w:divBdr>
            <w:top w:val="none" w:sz="0" w:space="0" w:color="auto"/>
            <w:left w:val="none" w:sz="0" w:space="0" w:color="auto"/>
            <w:bottom w:val="none" w:sz="0" w:space="0" w:color="auto"/>
            <w:right w:val="none" w:sz="0" w:space="0" w:color="auto"/>
          </w:divBdr>
          <w:divsChild>
            <w:div w:id="1546944350">
              <w:marLeft w:val="0"/>
              <w:marRight w:val="0"/>
              <w:marTop w:val="0"/>
              <w:marBottom w:val="0"/>
              <w:divBdr>
                <w:top w:val="none" w:sz="0" w:space="0" w:color="auto"/>
                <w:left w:val="none" w:sz="0" w:space="0" w:color="auto"/>
                <w:bottom w:val="none" w:sz="0" w:space="0" w:color="auto"/>
                <w:right w:val="none" w:sz="0" w:space="0" w:color="auto"/>
              </w:divBdr>
              <w:divsChild>
                <w:div w:id="263616379">
                  <w:marLeft w:val="0"/>
                  <w:marRight w:val="0"/>
                  <w:marTop w:val="0"/>
                  <w:marBottom w:val="0"/>
                  <w:divBdr>
                    <w:top w:val="none" w:sz="0" w:space="0" w:color="auto"/>
                    <w:left w:val="none" w:sz="0" w:space="0" w:color="auto"/>
                    <w:bottom w:val="none" w:sz="0" w:space="0" w:color="auto"/>
                    <w:right w:val="none" w:sz="0" w:space="0" w:color="auto"/>
                  </w:divBdr>
                  <w:divsChild>
                    <w:div w:id="205145460">
                      <w:marLeft w:val="0"/>
                      <w:marRight w:val="0"/>
                      <w:marTop w:val="0"/>
                      <w:marBottom w:val="0"/>
                      <w:divBdr>
                        <w:top w:val="none" w:sz="0" w:space="0" w:color="auto"/>
                        <w:left w:val="none" w:sz="0" w:space="0" w:color="auto"/>
                        <w:bottom w:val="none" w:sz="0" w:space="0" w:color="auto"/>
                        <w:right w:val="none" w:sz="0" w:space="0" w:color="auto"/>
                      </w:divBdr>
                      <w:divsChild>
                        <w:div w:id="22179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382327">
      <w:bodyDiv w:val="1"/>
      <w:marLeft w:val="0"/>
      <w:marRight w:val="0"/>
      <w:marTop w:val="0"/>
      <w:marBottom w:val="0"/>
      <w:divBdr>
        <w:top w:val="none" w:sz="0" w:space="0" w:color="auto"/>
        <w:left w:val="none" w:sz="0" w:space="0" w:color="auto"/>
        <w:bottom w:val="none" w:sz="0" w:space="0" w:color="auto"/>
        <w:right w:val="none" w:sz="0" w:space="0" w:color="auto"/>
      </w:divBdr>
    </w:div>
    <w:div w:id="1299842866">
      <w:bodyDiv w:val="1"/>
      <w:marLeft w:val="0"/>
      <w:marRight w:val="0"/>
      <w:marTop w:val="0"/>
      <w:marBottom w:val="0"/>
      <w:divBdr>
        <w:top w:val="none" w:sz="0" w:space="0" w:color="auto"/>
        <w:left w:val="none" w:sz="0" w:space="0" w:color="auto"/>
        <w:bottom w:val="none" w:sz="0" w:space="0" w:color="auto"/>
        <w:right w:val="none" w:sz="0" w:space="0" w:color="auto"/>
      </w:divBdr>
      <w:divsChild>
        <w:div w:id="1589390738">
          <w:marLeft w:val="0"/>
          <w:marRight w:val="0"/>
          <w:marTop w:val="0"/>
          <w:marBottom w:val="0"/>
          <w:divBdr>
            <w:top w:val="none" w:sz="0" w:space="0" w:color="auto"/>
            <w:left w:val="none" w:sz="0" w:space="0" w:color="auto"/>
            <w:bottom w:val="none" w:sz="0" w:space="0" w:color="auto"/>
            <w:right w:val="none" w:sz="0" w:space="0" w:color="auto"/>
          </w:divBdr>
          <w:divsChild>
            <w:div w:id="218983984">
              <w:marLeft w:val="0"/>
              <w:marRight w:val="0"/>
              <w:marTop w:val="0"/>
              <w:marBottom w:val="0"/>
              <w:divBdr>
                <w:top w:val="none" w:sz="0" w:space="0" w:color="auto"/>
                <w:left w:val="none" w:sz="0" w:space="0" w:color="auto"/>
                <w:bottom w:val="none" w:sz="0" w:space="0" w:color="auto"/>
                <w:right w:val="none" w:sz="0" w:space="0" w:color="auto"/>
              </w:divBdr>
              <w:divsChild>
                <w:div w:id="571352193">
                  <w:marLeft w:val="0"/>
                  <w:marRight w:val="0"/>
                  <w:marTop w:val="0"/>
                  <w:marBottom w:val="0"/>
                  <w:divBdr>
                    <w:top w:val="none" w:sz="0" w:space="0" w:color="auto"/>
                    <w:left w:val="none" w:sz="0" w:space="0" w:color="auto"/>
                    <w:bottom w:val="none" w:sz="0" w:space="0" w:color="auto"/>
                    <w:right w:val="none" w:sz="0" w:space="0" w:color="auto"/>
                  </w:divBdr>
                  <w:divsChild>
                    <w:div w:id="338968394">
                      <w:marLeft w:val="0"/>
                      <w:marRight w:val="0"/>
                      <w:marTop w:val="0"/>
                      <w:marBottom w:val="0"/>
                      <w:divBdr>
                        <w:top w:val="none" w:sz="0" w:space="0" w:color="auto"/>
                        <w:left w:val="none" w:sz="0" w:space="0" w:color="auto"/>
                        <w:bottom w:val="none" w:sz="0" w:space="0" w:color="auto"/>
                        <w:right w:val="none" w:sz="0" w:space="0" w:color="auto"/>
                      </w:divBdr>
                      <w:divsChild>
                        <w:div w:id="1400979681">
                          <w:marLeft w:val="0"/>
                          <w:marRight w:val="0"/>
                          <w:marTop w:val="15"/>
                          <w:marBottom w:val="0"/>
                          <w:divBdr>
                            <w:top w:val="none" w:sz="0" w:space="0" w:color="auto"/>
                            <w:left w:val="none" w:sz="0" w:space="0" w:color="auto"/>
                            <w:bottom w:val="none" w:sz="0" w:space="0" w:color="auto"/>
                            <w:right w:val="none" w:sz="0" w:space="0" w:color="auto"/>
                          </w:divBdr>
                          <w:divsChild>
                            <w:div w:id="1044330765">
                              <w:marLeft w:val="0"/>
                              <w:marRight w:val="0"/>
                              <w:marTop w:val="0"/>
                              <w:marBottom w:val="0"/>
                              <w:divBdr>
                                <w:top w:val="none" w:sz="0" w:space="0" w:color="auto"/>
                                <w:left w:val="none" w:sz="0" w:space="0" w:color="auto"/>
                                <w:bottom w:val="none" w:sz="0" w:space="0" w:color="auto"/>
                                <w:right w:val="none" w:sz="0" w:space="0" w:color="auto"/>
                              </w:divBdr>
                              <w:divsChild>
                                <w:div w:id="306397599">
                                  <w:marLeft w:val="0"/>
                                  <w:marRight w:val="0"/>
                                  <w:marTop w:val="0"/>
                                  <w:marBottom w:val="0"/>
                                  <w:divBdr>
                                    <w:top w:val="none" w:sz="0" w:space="0" w:color="auto"/>
                                    <w:left w:val="none" w:sz="0" w:space="0" w:color="auto"/>
                                    <w:bottom w:val="none" w:sz="0" w:space="0" w:color="auto"/>
                                    <w:right w:val="none" w:sz="0" w:space="0" w:color="auto"/>
                                  </w:divBdr>
                                </w:div>
                                <w:div w:id="1785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671928">
      <w:bodyDiv w:val="1"/>
      <w:marLeft w:val="0"/>
      <w:marRight w:val="0"/>
      <w:marTop w:val="0"/>
      <w:marBottom w:val="0"/>
      <w:divBdr>
        <w:top w:val="none" w:sz="0" w:space="0" w:color="auto"/>
        <w:left w:val="none" w:sz="0" w:space="0" w:color="auto"/>
        <w:bottom w:val="none" w:sz="0" w:space="0" w:color="auto"/>
        <w:right w:val="none" w:sz="0" w:space="0" w:color="auto"/>
      </w:divBdr>
    </w:div>
    <w:div w:id="1495150205">
      <w:bodyDiv w:val="1"/>
      <w:marLeft w:val="0"/>
      <w:marRight w:val="0"/>
      <w:marTop w:val="0"/>
      <w:marBottom w:val="0"/>
      <w:divBdr>
        <w:top w:val="none" w:sz="0" w:space="0" w:color="auto"/>
        <w:left w:val="none" w:sz="0" w:space="0" w:color="auto"/>
        <w:bottom w:val="none" w:sz="0" w:space="0" w:color="auto"/>
        <w:right w:val="none" w:sz="0" w:space="0" w:color="auto"/>
      </w:divBdr>
    </w:div>
    <w:div w:id="1991713944">
      <w:bodyDiv w:val="1"/>
      <w:marLeft w:val="0"/>
      <w:marRight w:val="0"/>
      <w:marTop w:val="0"/>
      <w:marBottom w:val="0"/>
      <w:divBdr>
        <w:top w:val="none" w:sz="0" w:space="0" w:color="auto"/>
        <w:left w:val="none" w:sz="0" w:space="0" w:color="auto"/>
        <w:bottom w:val="none" w:sz="0" w:space="0" w:color="auto"/>
        <w:right w:val="none" w:sz="0" w:space="0" w:color="auto"/>
      </w:divBdr>
      <w:divsChild>
        <w:div w:id="1304038607">
          <w:marLeft w:val="0"/>
          <w:marRight w:val="0"/>
          <w:marTop w:val="0"/>
          <w:marBottom w:val="0"/>
          <w:divBdr>
            <w:top w:val="none" w:sz="0" w:space="0" w:color="auto"/>
            <w:left w:val="none" w:sz="0" w:space="0" w:color="auto"/>
            <w:bottom w:val="none" w:sz="0" w:space="0" w:color="auto"/>
            <w:right w:val="none" w:sz="0" w:space="0" w:color="auto"/>
          </w:divBdr>
          <w:divsChild>
            <w:div w:id="149253780">
              <w:marLeft w:val="0"/>
              <w:marRight w:val="0"/>
              <w:marTop w:val="0"/>
              <w:marBottom w:val="0"/>
              <w:divBdr>
                <w:top w:val="none" w:sz="0" w:space="0" w:color="auto"/>
                <w:left w:val="none" w:sz="0" w:space="0" w:color="auto"/>
                <w:bottom w:val="none" w:sz="0" w:space="0" w:color="auto"/>
                <w:right w:val="none" w:sz="0" w:space="0" w:color="auto"/>
              </w:divBdr>
              <w:divsChild>
                <w:div w:id="1896548559">
                  <w:marLeft w:val="0"/>
                  <w:marRight w:val="0"/>
                  <w:marTop w:val="0"/>
                  <w:marBottom w:val="0"/>
                  <w:divBdr>
                    <w:top w:val="none" w:sz="0" w:space="0" w:color="auto"/>
                    <w:left w:val="none" w:sz="0" w:space="0" w:color="auto"/>
                    <w:bottom w:val="none" w:sz="0" w:space="0" w:color="auto"/>
                    <w:right w:val="none" w:sz="0" w:space="0" w:color="auto"/>
                  </w:divBdr>
                  <w:divsChild>
                    <w:div w:id="1241871364">
                      <w:marLeft w:val="0"/>
                      <w:marRight w:val="0"/>
                      <w:marTop w:val="0"/>
                      <w:marBottom w:val="0"/>
                      <w:divBdr>
                        <w:top w:val="none" w:sz="0" w:space="0" w:color="auto"/>
                        <w:left w:val="none" w:sz="0" w:space="0" w:color="auto"/>
                        <w:bottom w:val="none" w:sz="0" w:space="0" w:color="auto"/>
                        <w:right w:val="none" w:sz="0" w:space="0" w:color="auto"/>
                      </w:divBdr>
                      <w:divsChild>
                        <w:div w:id="2057898724">
                          <w:marLeft w:val="0"/>
                          <w:marRight w:val="-14700"/>
                          <w:marTop w:val="0"/>
                          <w:marBottom w:val="0"/>
                          <w:divBdr>
                            <w:top w:val="none" w:sz="0" w:space="0" w:color="auto"/>
                            <w:left w:val="none" w:sz="0" w:space="0" w:color="auto"/>
                            <w:bottom w:val="none" w:sz="0" w:space="0" w:color="auto"/>
                            <w:right w:val="none" w:sz="0" w:space="0" w:color="auto"/>
                          </w:divBdr>
                          <w:divsChild>
                            <w:div w:id="1483308221">
                              <w:marLeft w:val="0"/>
                              <w:marRight w:val="0"/>
                              <w:marTop w:val="0"/>
                              <w:marBottom w:val="0"/>
                              <w:divBdr>
                                <w:top w:val="none" w:sz="0" w:space="0" w:color="auto"/>
                                <w:left w:val="none" w:sz="0" w:space="0" w:color="auto"/>
                                <w:bottom w:val="none" w:sz="0" w:space="0" w:color="auto"/>
                                <w:right w:val="none" w:sz="0" w:space="0" w:color="auto"/>
                              </w:divBdr>
                              <w:divsChild>
                                <w:div w:id="547765982">
                                  <w:marLeft w:val="0"/>
                                  <w:marRight w:val="0"/>
                                  <w:marTop w:val="0"/>
                                  <w:marBottom w:val="0"/>
                                  <w:divBdr>
                                    <w:top w:val="none" w:sz="0" w:space="0" w:color="auto"/>
                                    <w:left w:val="none" w:sz="0" w:space="0" w:color="auto"/>
                                    <w:bottom w:val="none" w:sz="0" w:space="0" w:color="auto"/>
                                    <w:right w:val="none" w:sz="0" w:space="0" w:color="auto"/>
                                  </w:divBdr>
                                  <w:divsChild>
                                    <w:div w:id="300043544">
                                      <w:marLeft w:val="0"/>
                                      <w:marRight w:val="0"/>
                                      <w:marTop w:val="0"/>
                                      <w:marBottom w:val="0"/>
                                      <w:divBdr>
                                        <w:top w:val="none" w:sz="0" w:space="0" w:color="auto"/>
                                        <w:left w:val="none" w:sz="0" w:space="0" w:color="auto"/>
                                        <w:bottom w:val="none" w:sz="0" w:space="0" w:color="auto"/>
                                        <w:right w:val="none" w:sz="0" w:space="0" w:color="auto"/>
                                      </w:divBdr>
                                      <w:divsChild>
                                        <w:div w:id="861405825">
                                          <w:marLeft w:val="0"/>
                                          <w:marRight w:val="0"/>
                                          <w:marTop w:val="0"/>
                                          <w:marBottom w:val="0"/>
                                          <w:divBdr>
                                            <w:top w:val="none" w:sz="0" w:space="0" w:color="auto"/>
                                            <w:left w:val="none" w:sz="0" w:space="0" w:color="auto"/>
                                            <w:bottom w:val="none" w:sz="0" w:space="0" w:color="auto"/>
                                            <w:right w:val="none" w:sz="0" w:space="0" w:color="auto"/>
                                          </w:divBdr>
                                          <w:divsChild>
                                            <w:div w:id="653607221">
                                              <w:marLeft w:val="0"/>
                                              <w:marRight w:val="0"/>
                                              <w:marTop w:val="0"/>
                                              <w:marBottom w:val="0"/>
                                              <w:divBdr>
                                                <w:top w:val="none" w:sz="0" w:space="0" w:color="auto"/>
                                                <w:left w:val="none" w:sz="0" w:space="0" w:color="auto"/>
                                                <w:bottom w:val="none" w:sz="0" w:space="0" w:color="auto"/>
                                                <w:right w:val="none" w:sz="0" w:space="0" w:color="auto"/>
                                              </w:divBdr>
                                              <w:divsChild>
                                                <w:div w:id="1956400578">
                                                  <w:marLeft w:val="0"/>
                                                  <w:marRight w:val="0"/>
                                                  <w:marTop w:val="0"/>
                                                  <w:marBottom w:val="0"/>
                                                  <w:divBdr>
                                                    <w:top w:val="none" w:sz="0" w:space="0" w:color="auto"/>
                                                    <w:left w:val="none" w:sz="0" w:space="0" w:color="auto"/>
                                                    <w:bottom w:val="none" w:sz="0" w:space="0" w:color="auto"/>
                                                    <w:right w:val="none" w:sz="0" w:space="0" w:color="auto"/>
                                                  </w:divBdr>
                                                  <w:divsChild>
                                                    <w:div w:id="1809785498">
                                                      <w:marLeft w:val="0"/>
                                                      <w:marRight w:val="0"/>
                                                      <w:marTop w:val="0"/>
                                                      <w:marBottom w:val="0"/>
                                                      <w:divBdr>
                                                        <w:top w:val="none" w:sz="0" w:space="0" w:color="auto"/>
                                                        <w:left w:val="none" w:sz="0" w:space="0" w:color="auto"/>
                                                        <w:bottom w:val="none" w:sz="0" w:space="0" w:color="auto"/>
                                                        <w:right w:val="none" w:sz="0" w:space="0" w:color="auto"/>
                                                      </w:divBdr>
                                                      <w:divsChild>
                                                        <w:div w:id="1868986035">
                                                          <w:marLeft w:val="0"/>
                                                          <w:marRight w:val="0"/>
                                                          <w:marTop w:val="0"/>
                                                          <w:marBottom w:val="0"/>
                                                          <w:divBdr>
                                                            <w:top w:val="none" w:sz="0" w:space="0" w:color="auto"/>
                                                            <w:left w:val="none" w:sz="0" w:space="0" w:color="auto"/>
                                                            <w:bottom w:val="none" w:sz="0" w:space="0" w:color="auto"/>
                                                            <w:right w:val="none" w:sz="0" w:space="0" w:color="auto"/>
                                                          </w:divBdr>
                                                          <w:divsChild>
                                                            <w:div w:id="183756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258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10.1111/hsc.12774" TargetMode="External"/><Relationship Id="rId13" Type="http://schemas.openxmlformats.org/officeDocument/2006/relationships/hyperlink" Target="https://doi.org/10.1108/MHSI-05-2014-0016" TargetMode="External"/><Relationship Id="rId18" Type="http://schemas.openxmlformats.org/officeDocument/2006/relationships/hyperlink" Target="https://doi.org/10.1080/09638230701677803"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dx.doi.org/10.17645/si.v3i4.121" TargetMode="External"/><Relationship Id="rId7" Type="http://schemas.openxmlformats.org/officeDocument/2006/relationships/endnotes" Target="endnotes.xml"/><Relationship Id="rId12" Type="http://schemas.openxmlformats.org/officeDocument/2006/relationships/hyperlink" Target="https://www.england.nhs.uk/wp-content/uploads/2016/02/Mental-Health-Taskforce-FYFV-final.pdf" TargetMode="External"/><Relationship Id="rId17" Type="http://schemas.openxmlformats.org/officeDocument/2006/relationships/hyperlink" Target="https://imroc.org/resources/15-recovery-colleges-10-year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centreformentalhealth.org.uk/recovery/Recovery_Colleges.aspx" TargetMode="External"/><Relationship Id="rId20" Type="http://schemas.openxmlformats.org/officeDocument/2006/relationships/hyperlink" Target="https://doi.org/10.1186/1477-7525-5-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77/1468794106058877"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arro.anglia.ac.uk/347125/"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doi.org/10.1191/1478088706qp063oa" TargetMode="External"/><Relationship Id="rId19" Type="http://schemas.openxmlformats.org/officeDocument/2006/relationships/hyperlink" Target="https://doi.org/10.1186/1477-7525-7-15" TargetMode="External"/><Relationship Id="rId4" Type="http://schemas.openxmlformats.org/officeDocument/2006/relationships/settings" Target="settings.xml"/><Relationship Id="rId9" Type="http://schemas.openxmlformats.org/officeDocument/2006/relationships/hyperlink" Target="https://doi.org/10.1186/1471-2458-11-487" TargetMode="External"/><Relationship Id="rId14" Type="http://schemas.openxmlformats.org/officeDocument/2006/relationships/hyperlink" Target="https://www.mentalhealth.org.uk/publications/fundamental-facts-about-mental-health-2016" TargetMode="External"/><Relationship Id="rId22" Type="http://schemas.openxmlformats.org/officeDocument/2006/relationships/hyperlink" Target="https://doi.org/10.1108/MHSI-07-2013-0023" TargetMode="External"/><Relationship Id="rId27" Type="http://schemas.openxmlformats.org/officeDocument/2006/relationships/fontTable" Target="fontTable.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2BF22-15BD-4B3B-9430-DE6088F11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2EB9CB24.dotm</Template>
  <TotalTime>10</TotalTime>
  <Pages>32</Pages>
  <Words>7500</Words>
  <Characters>43173</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Proposal for the evaluation of the Care Farm pilot</vt:lpstr>
    </vt:vector>
  </TitlesOfParts>
  <Company>&lt;Anglia Ruskin University&gt;</Company>
  <LinksUpToDate>false</LinksUpToDate>
  <CharactersWithSpaces>50572</CharactersWithSpaces>
  <SharedDoc>false</SharedDoc>
  <HLinks>
    <vt:vector size="36" baseType="variant">
      <vt:variant>
        <vt:i4>4718684</vt:i4>
      </vt:variant>
      <vt:variant>
        <vt:i4>15</vt:i4>
      </vt:variant>
      <vt:variant>
        <vt:i4>0</vt:i4>
      </vt:variant>
      <vt:variant>
        <vt:i4>5</vt:i4>
      </vt:variant>
      <vt:variant>
        <vt:lpwstr>http://arro.anglia.ac.uk/347125/</vt:lpwstr>
      </vt:variant>
      <vt:variant>
        <vt:lpwstr/>
      </vt:variant>
      <vt:variant>
        <vt:i4>4391002</vt:i4>
      </vt:variant>
      <vt:variant>
        <vt:i4>12</vt:i4>
      </vt:variant>
      <vt:variant>
        <vt:i4>0</vt:i4>
      </vt:variant>
      <vt:variant>
        <vt:i4>5</vt:i4>
      </vt:variant>
      <vt:variant>
        <vt:lpwstr>http://arro.anglia.ac.uk/550182/</vt:lpwstr>
      </vt:variant>
      <vt:variant>
        <vt:lpwstr/>
      </vt:variant>
      <vt:variant>
        <vt:i4>5439551</vt:i4>
      </vt:variant>
      <vt:variant>
        <vt:i4>9</vt:i4>
      </vt:variant>
      <vt:variant>
        <vt:i4>0</vt:i4>
      </vt:variant>
      <vt:variant>
        <vt:i4>5</vt:i4>
      </vt:variant>
      <vt:variant>
        <vt:lpwstr>https://www.centreformentalhealth.org.uk/recovery/Recovery_Colleges.aspx</vt:lpwstr>
      </vt:variant>
      <vt:variant>
        <vt:lpwstr/>
      </vt:variant>
      <vt:variant>
        <vt:i4>6225997</vt:i4>
      </vt:variant>
      <vt:variant>
        <vt:i4>6</vt:i4>
      </vt:variant>
      <vt:variant>
        <vt:i4>0</vt:i4>
      </vt:variant>
      <vt:variant>
        <vt:i4>5</vt:i4>
      </vt:variant>
      <vt:variant>
        <vt:lpwstr>http://www.dirum.org/assets/downloads/634462388066137028-CSRI.pdf</vt:lpwstr>
      </vt:variant>
      <vt:variant>
        <vt:lpwstr/>
      </vt:variant>
      <vt:variant>
        <vt:i4>196693</vt:i4>
      </vt:variant>
      <vt:variant>
        <vt:i4>3</vt:i4>
      </vt:variant>
      <vt:variant>
        <vt:i4>0</vt:i4>
      </vt:variant>
      <vt:variant>
        <vt:i4>5</vt:i4>
      </vt:variant>
      <vt:variant>
        <vt:lpwstr>http://www.nottinghamshirehealthcare.nhs.uk/</vt:lpwstr>
      </vt:variant>
      <vt:variant>
        <vt:lpwstr/>
      </vt:variant>
      <vt:variant>
        <vt:i4>5767236</vt:i4>
      </vt:variant>
      <vt:variant>
        <vt:i4>0</vt:i4>
      </vt:variant>
      <vt:variant>
        <vt:i4>0</vt:i4>
      </vt:variant>
      <vt:variant>
        <vt:i4>5</vt:i4>
      </vt:variant>
      <vt:variant>
        <vt:lpwstr>http://www.swlstg-tr.nhs.uk/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the evaluation of the Care Farm pilot</dc:title>
  <dc:subject/>
  <dc:creator>Wilson, Ceri</dc:creator>
  <cp:keywords/>
  <cp:lastModifiedBy>Wilson, Ceri</cp:lastModifiedBy>
  <cp:revision>3</cp:revision>
  <cp:lastPrinted>2018-04-20T09:13:00Z</cp:lastPrinted>
  <dcterms:created xsi:type="dcterms:W3CDTF">2019-05-13T16:52:00Z</dcterms:created>
  <dcterms:modified xsi:type="dcterms:W3CDTF">2019-06-03T16:05:00Z</dcterms:modified>
</cp:coreProperties>
</file>