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8D8F" w14:textId="73065AF1" w:rsidR="008E65E3" w:rsidRPr="005702ED" w:rsidRDefault="008E65E3" w:rsidP="008E65E3">
      <w:pPr>
        <w:spacing w:line="480" w:lineRule="auto"/>
        <w:jc w:val="both"/>
        <w:rPr>
          <w:rFonts w:ascii="Arial" w:hAnsi="Arial" w:cs="Arial"/>
          <w:b/>
          <w:sz w:val="22"/>
          <w:szCs w:val="22"/>
          <w:lang w:val="en-US"/>
        </w:rPr>
      </w:pPr>
      <w:r w:rsidRPr="005702ED">
        <w:rPr>
          <w:rFonts w:ascii="Arial" w:hAnsi="Arial" w:cs="Arial"/>
          <w:b/>
          <w:sz w:val="22"/>
          <w:szCs w:val="22"/>
          <w:lang w:val="en-US"/>
        </w:rPr>
        <w:t>ASSESSMENT OF</w:t>
      </w:r>
      <w:r w:rsidR="00F36CB1" w:rsidRPr="005702ED">
        <w:rPr>
          <w:rFonts w:ascii="Arial" w:hAnsi="Arial" w:cs="Arial"/>
          <w:b/>
          <w:sz w:val="22"/>
          <w:szCs w:val="22"/>
          <w:lang w:val="en-US"/>
        </w:rPr>
        <w:t xml:space="preserve"> </w:t>
      </w:r>
      <w:r w:rsidRPr="005702ED">
        <w:rPr>
          <w:rFonts w:ascii="Arial" w:hAnsi="Arial" w:cs="Arial"/>
          <w:b/>
          <w:sz w:val="22"/>
          <w:szCs w:val="22"/>
          <w:lang w:val="en-US"/>
        </w:rPr>
        <w:t xml:space="preserve">FACTORS </w:t>
      </w:r>
      <w:r w:rsidR="00574F34" w:rsidRPr="005702ED">
        <w:rPr>
          <w:rFonts w:ascii="Arial" w:hAnsi="Arial" w:cs="Arial"/>
          <w:b/>
          <w:sz w:val="22"/>
          <w:szCs w:val="22"/>
          <w:lang w:val="en-US"/>
        </w:rPr>
        <w:t>THAT INCREASE</w:t>
      </w:r>
      <w:r w:rsidR="00A96510" w:rsidRPr="005702ED">
        <w:rPr>
          <w:rFonts w:ascii="Arial" w:hAnsi="Arial" w:cs="Arial"/>
          <w:b/>
          <w:sz w:val="22"/>
          <w:szCs w:val="22"/>
          <w:lang w:val="en-US"/>
        </w:rPr>
        <w:t xml:space="preserve"> RISK OF FALLING</w:t>
      </w:r>
      <w:r w:rsidRPr="005702ED">
        <w:rPr>
          <w:rFonts w:ascii="Arial" w:hAnsi="Arial" w:cs="Arial"/>
          <w:b/>
          <w:sz w:val="22"/>
          <w:szCs w:val="22"/>
          <w:lang w:val="en-US"/>
        </w:rPr>
        <w:t xml:space="preserve"> OLDER WOMEN BY FOUR </w:t>
      </w:r>
      <w:r w:rsidR="00DE7B01" w:rsidRPr="005702ED">
        <w:rPr>
          <w:rFonts w:ascii="Arial" w:hAnsi="Arial" w:cs="Arial"/>
          <w:b/>
          <w:sz w:val="22"/>
          <w:szCs w:val="22"/>
          <w:lang w:val="en-US"/>
        </w:rPr>
        <w:t xml:space="preserve">DIFFERENT </w:t>
      </w:r>
      <w:r w:rsidRPr="005702ED">
        <w:rPr>
          <w:rFonts w:ascii="Arial" w:hAnsi="Arial" w:cs="Arial"/>
          <w:b/>
          <w:sz w:val="22"/>
          <w:szCs w:val="22"/>
          <w:lang w:val="en-US"/>
        </w:rPr>
        <w:t>CLINICAL METHODS</w:t>
      </w:r>
    </w:p>
    <w:p w14:paraId="60065973" w14:textId="77777777" w:rsidR="008E65E3" w:rsidRPr="005702ED" w:rsidRDefault="008E65E3" w:rsidP="008E65E3">
      <w:pPr>
        <w:autoSpaceDE w:val="0"/>
        <w:autoSpaceDN w:val="0"/>
        <w:adjustRightInd w:val="0"/>
        <w:spacing w:line="480" w:lineRule="auto"/>
        <w:jc w:val="both"/>
        <w:rPr>
          <w:rFonts w:ascii="Arial" w:hAnsi="Arial" w:cs="Arial"/>
          <w:b/>
          <w:sz w:val="22"/>
          <w:szCs w:val="22"/>
          <w:lang w:val="en-US"/>
        </w:rPr>
      </w:pPr>
    </w:p>
    <w:p w14:paraId="6EA27AF3"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b/>
          <w:sz w:val="22"/>
          <w:szCs w:val="22"/>
        </w:rPr>
        <w:t>Ozge DOKUZLAR, M.D.</w:t>
      </w:r>
    </w:p>
    <w:p w14:paraId="6A53A4E0"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sz w:val="22"/>
          <w:szCs w:val="22"/>
        </w:rPr>
        <w:t>Department of Geriatric Medicine, Dokuz Eylul University, Faculty of Medicine, Izmir, Turkey</w:t>
      </w:r>
    </w:p>
    <w:p w14:paraId="25E91518" w14:textId="77777777" w:rsidR="008E65E3" w:rsidRPr="005702ED" w:rsidRDefault="008E65E3" w:rsidP="008E65E3">
      <w:pPr>
        <w:autoSpaceDE w:val="0"/>
        <w:autoSpaceDN w:val="0"/>
        <w:adjustRightInd w:val="0"/>
        <w:spacing w:line="480" w:lineRule="auto"/>
        <w:jc w:val="both"/>
        <w:rPr>
          <w:rFonts w:ascii="Arial" w:eastAsia="Calibri" w:hAnsi="Arial" w:cs="Arial"/>
          <w:b/>
          <w:sz w:val="22"/>
          <w:szCs w:val="22"/>
        </w:rPr>
      </w:pPr>
      <w:r w:rsidRPr="005702ED">
        <w:rPr>
          <w:rFonts w:ascii="Arial" w:eastAsia="Calibri" w:hAnsi="Arial" w:cs="Arial"/>
          <w:b/>
          <w:sz w:val="22"/>
          <w:szCs w:val="22"/>
        </w:rPr>
        <w:t>Saadet KOC OKUDUR, M.D.</w:t>
      </w:r>
    </w:p>
    <w:p w14:paraId="79DB0CE3"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sz w:val="22"/>
          <w:szCs w:val="22"/>
        </w:rPr>
        <w:t>Department of Geriatric Medicine, Dokuz Eylul University, Faculty of Medicine, Izmir, Turkey</w:t>
      </w:r>
    </w:p>
    <w:p w14:paraId="638A5221" w14:textId="2A2680C7" w:rsidR="008E65E3" w:rsidRPr="005702ED" w:rsidRDefault="008E65E3" w:rsidP="008E65E3">
      <w:pPr>
        <w:autoSpaceDE w:val="0"/>
        <w:autoSpaceDN w:val="0"/>
        <w:adjustRightInd w:val="0"/>
        <w:spacing w:line="480" w:lineRule="auto"/>
        <w:jc w:val="both"/>
        <w:rPr>
          <w:rFonts w:ascii="Arial" w:eastAsia="Calibri" w:hAnsi="Arial" w:cs="Arial"/>
          <w:b/>
          <w:sz w:val="22"/>
          <w:szCs w:val="22"/>
        </w:rPr>
      </w:pPr>
      <w:r w:rsidRPr="005702ED">
        <w:rPr>
          <w:rFonts w:ascii="Arial" w:eastAsia="Calibri" w:hAnsi="Arial" w:cs="Arial"/>
          <w:b/>
          <w:sz w:val="22"/>
          <w:szCs w:val="22"/>
        </w:rPr>
        <w:t xml:space="preserve">Lee SMITH, </w:t>
      </w:r>
      <w:r w:rsidR="005B0EC3">
        <w:rPr>
          <w:rFonts w:ascii="Arial" w:eastAsia="Calibri" w:hAnsi="Arial" w:cs="Arial"/>
          <w:b/>
          <w:sz w:val="22"/>
          <w:szCs w:val="22"/>
        </w:rPr>
        <w:t>PhD</w:t>
      </w:r>
      <w:r w:rsidRPr="005702ED">
        <w:rPr>
          <w:rFonts w:ascii="Arial" w:eastAsia="Calibri" w:hAnsi="Arial" w:cs="Arial"/>
          <w:b/>
          <w:sz w:val="22"/>
          <w:szCs w:val="22"/>
        </w:rPr>
        <w:t>.</w:t>
      </w:r>
    </w:p>
    <w:p w14:paraId="4C7DAAF5" w14:textId="77777777" w:rsidR="008E65E3" w:rsidRPr="005702ED" w:rsidRDefault="008E65E3" w:rsidP="008E65E3">
      <w:pPr>
        <w:autoSpaceDE w:val="0"/>
        <w:autoSpaceDN w:val="0"/>
        <w:adjustRightInd w:val="0"/>
        <w:spacing w:line="480" w:lineRule="auto"/>
        <w:jc w:val="both"/>
        <w:rPr>
          <w:rFonts w:ascii="Arial" w:hAnsi="Arial" w:cs="Arial"/>
          <w:sz w:val="22"/>
          <w:szCs w:val="22"/>
        </w:rPr>
      </w:pPr>
      <w:r w:rsidRPr="005702ED">
        <w:rPr>
          <w:rFonts w:ascii="Arial" w:hAnsi="Arial" w:cs="Arial"/>
          <w:sz w:val="22"/>
          <w:szCs w:val="22"/>
        </w:rPr>
        <w:t>The Cambridge Centre for Sport and Exercise Sciences, Anglia Ruskin University, Cambridge, United Kingdom</w:t>
      </w:r>
    </w:p>
    <w:p w14:paraId="0C145339" w14:textId="77777777" w:rsidR="008E65E3" w:rsidRPr="005702ED" w:rsidRDefault="008E65E3" w:rsidP="008E65E3">
      <w:pPr>
        <w:autoSpaceDE w:val="0"/>
        <w:autoSpaceDN w:val="0"/>
        <w:adjustRightInd w:val="0"/>
        <w:spacing w:line="480" w:lineRule="auto"/>
        <w:jc w:val="both"/>
        <w:rPr>
          <w:rFonts w:ascii="Arial" w:eastAsia="Calibri" w:hAnsi="Arial" w:cs="Arial"/>
          <w:b/>
          <w:sz w:val="22"/>
          <w:szCs w:val="22"/>
        </w:rPr>
      </w:pPr>
      <w:r w:rsidRPr="005702ED">
        <w:rPr>
          <w:rFonts w:ascii="Arial" w:eastAsia="Calibri" w:hAnsi="Arial" w:cs="Arial"/>
          <w:b/>
          <w:sz w:val="22"/>
          <w:szCs w:val="22"/>
        </w:rPr>
        <w:t>Pinar SOYSAL, M.D., Associate Professor</w:t>
      </w:r>
    </w:p>
    <w:p w14:paraId="02C9597F" w14:textId="77777777" w:rsidR="008E65E3" w:rsidRPr="005702ED" w:rsidRDefault="008E65E3" w:rsidP="008E65E3">
      <w:pPr>
        <w:autoSpaceDE w:val="0"/>
        <w:autoSpaceDN w:val="0"/>
        <w:adjustRightInd w:val="0"/>
        <w:spacing w:line="480" w:lineRule="auto"/>
        <w:jc w:val="both"/>
        <w:rPr>
          <w:rFonts w:ascii="Arial" w:hAnsi="Arial" w:cs="Arial"/>
          <w:sz w:val="22"/>
          <w:szCs w:val="22"/>
        </w:rPr>
      </w:pPr>
      <w:r w:rsidRPr="005702ED">
        <w:rPr>
          <w:rFonts w:ascii="Arial" w:hAnsi="Arial" w:cs="Arial"/>
          <w:sz w:val="22"/>
          <w:szCs w:val="22"/>
        </w:rPr>
        <w:t>Department of Geriatric Medicine, Bezmialem Vakif University, Faculty of Medicine, Istanbul, Turkey</w:t>
      </w:r>
    </w:p>
    <w:p w14:paraId="017B21ED" w14:textId="77777777" w:rsidR="008E65E3" w:rsidRPr="005702ED" w:rsidRDefault="008E65E3" w:rsidP="008E65E3">
      <w:pPr>
        <w:autoSpaceDE w:val="0"/>
        <w:autoSpaceDN w:val="0"/>
        <w:adjustRightInd w:val="0"/>
        <w:spacing w:line="480" w:lineRule="auto"/>
        <w:jc w:val="both"/>
        <w:rPr>
          <w:rFonts w:ascii="Arial" w:eastAsia="Calibri" w:hAnsi="Arial" w:cs="Arial"/>
          <w:b/>
          <w:sz w:val="22"/>
          <w:szCs w:val="22"/>
        </w:rPr>
      </w:pPr>
      <w:r w:rsidRPr="005702ED">
        <w:rPr>
          <w:rFonts w:ascii="Arial" w:eastAsia="Calibri" w:hAnsi="Arial" w:cs="Arial"/>
          <w:b/>
          <w:sz w:val="22"/>
          <w:szCs w:val="22"/>
        </w:rPr>
        <w:t>Idil YAVUZ, PhD.</w:t>
      </w:r>
    </w:p>
    <w:p w14:paraId="6BD12AD5" w14:textId="77777777" w:rsidR="008E65E3" w:rsidRPr="005702ED" w:rsidRDefault="008E65E3" w:rsidP="008E65E3">
      <w:pPr>
        <w:autoSpaceDE w:val="0"/>
        <w:autoSpaceDN w:val="0"/>
        <w:adjustRightInd w:val="0"/>
        <w:spacing w:line="480" w:lineRule="auto"/>
        <w:jc w:val="both"/>
        <w:rPr>
          <w:rFonts w:ascii="Arial" w:hAnsi="Arial" w:cs="Arial"/>
          <w:sz w:val="22"/>
          <w:szCs w:val="22"/>
        </w:rPr>
      </w:pPr>
      <w:r w:rsidRPr="005702ED">
        <w:rPr>
          <w:rFonts w:ascii="Arial" w:eastAsia="Calibri" w:hAnsi="Arial" w:cs="Arial"/>
          <w:sz w:val="22"/>
          <w:szCs w:val="22"/>
        </w:rPr>
        <w:t xml:space="preserve">Department </w:t>
      </w:r>
      <w:r w:rsidRPr="005702ED">
        <w:rPr>
          <w:rFonts w:ascii="Arial" w:hAnsi="Arial" w:cs="Arial"/>
          <w:sz w:val="22"/>
          <w:szCs w:val="22"/>
        </w:rPr>
        <w:t>of Statistics, Dokuz Eylul University, Faculty of Science, Izmir, Turkey</w:t>
      </w:r>
    </w:p>
    <w:p w14:paraId="526524E2" w14:textId="77777777" w:rsidR="008E65E3" w:rsidRPr="005702ED" w:rsidRDefault="008E65E3" w:rsidP="008E65E3">
      <w:pPr>
        <w:autoSpaceDE w:val="0"/>
        <w:autoSpaceDN w:val="0"/>
        <w:adjustRightInd w:val="0"/>
        <w:spacing w:line="480" w:lineRule="auto"/>
        <w:jc w:val="both"/>
        <w:rPr>
          <w:rFonts w:ascii="Arial" w:eastAsia="Calibri" w:hAnsi="Arial" w:cs="Arial"/>
          <w:b/>
          <w:sz w:val="22"/>
          <w:szCs w:val="22"/>
        </w:rPr>
      </w:pPr>
      <w:r w:rsidRPr="005702ED">
        <w:rPr>
          <w:rFonts w:ascii="Arial" w:eastAsia="Calibri" w:hAnsi="Arial" w:cs="Arial"/>
          <w:b/>
          <w:sz w:val="22"/>
          <w:szCs w:val="22"/>
        </w:rPr>
        <w:t>Ali Ekrem AYDIN, M.D.</w:t>
      </w:r>
    </w:p>
    <w:p w14:paraId="0D44D456"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sz w:val="22"/>
          <w:szCs w:val="22"/>
        </w:rPr>
        <w:t>Department of Geriatric Medicine, Dokuz Eylul University, Faculty of Medicine, Izmir, Turkey</w:t>
      </w:r>
    </w:p>
    <w:p w14:paraId="24929FBD" w14:textId="77777777" w:rsidR="008E65E3" w:rsidRPr="005702ED" w:rsidRDefault="008E65E3" w:rsidP="008E65E3">
      <w:pPr>
        <w:autoSpaceDE w:val="0"/>
        <w:autoSpaceDN w:val="0"/>
        <w:adjustRightInd w:val="0"/>
        <w:spacing w:line="480" w:lineRule="auto"/>
        <w:jc w:val="both"/>
        <w:rPr>
          <w:rFonts w:ascii="Arial" w:eastAsia="Calibri" w:hAnsi="Arial" w:cs="Arial"/>
          <w:b/>
          <w:sz w:val="22"/>
          <w:szCs w:val="22"/>
        </w:rPr>
      </w:pPr>
      <w:r w:rsidRPr="005702ED">
        <w:rPr>
          <w:rFonts w:ascii="Arial" w:eastAsia="Calibri" w:hAnsi="Arial" w:cs="Arial"/>
          <w:b/>
          <w:sz w:val="22"/>
          <w:szCs w:val="22"/>
        </w:rPr>
        <w:t>Ahmet Turan ISIK, M.D., Professor</w:t>
      </w:r>
    </w:p>
    <w:p w14:paraId="2806EDDA"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sz w:val="22"/>
          <w:szCs w:val="22"/>
        </w:rPr>
        <w:t>Unit for Aging Brain and Dementia, Department of Geriatric Medicine, Dokuz Eylul University, Faculty of Medicine, Izmir, Turkey</w:t>
      </w:r>
    </w:p>
    <w:p w14:paraId="2CDF9605" w14:textId="77777777" w:rsidR="008E65E3" w:rsidRPr="005702ED" w:rsidRDefault="008E65E3" w:rsidP="008E65E3">
      <w:pPr>
        <w:autoSpaceDE w:val="0"/>
        <w:autoSpaceDN w:val="0"/>
        <w:adjustRightInd w:val="0"/>
        <w:spacing w:line="480" w:lineRule="auto"/>
        <w:jc w:val="both"/>
        <w:rPr>
          <w:rFonts w:ascii="Arial" w:eastAsia="Calibri" w:hAnsi="Arial" w:cs="Arial"/>
          <w:b/>
          <w:sz w:val="22"/>
          <w:szCs w:val="22"/>
        </w:rPr>
      </w:pPr>
    </w:p>
    <w:p w14:paraId="188AFEC8"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b/>
          <w:sz w:val="22"/>
          <w:szCs w:val="22"/>
        </w:rPr>
        <w:t>Correspondence to:</w:t>
      </w:r>
      <w:r w:rsidRPr="005702ED">
        <w:rPr>
          <w:rFonts w:ascii="Arial" w:eastAsia="Calibri" w:hAnsi="Arial" w:cs="Arial"/>
          <w:sz w:val="22"/>
          <w:szCs w:val="22"/>
        </w:rPr>
        <w:t xml:space="preserve"> Ahmet Turan ISIK, M.D., </w:t>
      </w:r>
    </w:p>
    <w:p w14:paraId="275D04A4"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sz w:val="22"/>
          <w:szCs w:val="22"/>
        </w:rPr>
        <w:t>Unit for Aging Brain and Dementia, Department of Geriatric Medicine, Dokuz Eylul University, Faculty of Medicine, 35340, Balcova, Izmir, Turkey</w:t>
      </w:r>
    </w:p>
    <w:p w14:paraId="3687D415"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sz w:val="22"/>
          <w:szCs w:val="22"/>
        </w:rPr>
        <w:t>+90 232 412 43 41</w:t>
      </w:r>
    </w:p>
    <w:p w14:paraId="13DFEE91" w14:textId="77777777" w:rsidR="008E65E3" w:rsidRPr="005702ED" w:rsidRDefault="00553AFD" w:rsidP="008E65E3">
      <w:pPr>
        <w:autoSpaceDE w:val="0"/>
        <w:autoSpaceDN w:val="0"/>
        <w:adjustRightInd w:val="0"/>
        <w:spacing w:line="480" w:lineRule="auto"/>
        <w:jc w:val="both"/>
        <w:rPr>
          <w:rFonts w:ascii="Arial" w:eastAsia="Calibri" w:hAnsi="Arial" w:cs="Arial"/>
          <w:sz w:val="22"/>
          <w:szCs w:val="22"/>
        </w:rPr>
      </w:pPr>
      <w:hyperlink r:id="rId8" w:history="1">
        <w:r w:rsidR="008E65E3" w:rsidRPr="005702ED">
          <w:rPr>
            <w:rFonts w:ascii="Arial" w:eastAsia="Calibri" w:hAnsi="Arial" w:cs="Arial"/>
            <w:color w:val="0563C1"/>
            <w:sz w:val="22"/>
            <w:szCs w:val="22"/>
            <w:u w:val="single"/>
          </w:rPr>
          <w:t>atisik@yahoo.com</w:t>
        </w:r>
      </w:hyperlink>
    </w:p>
    <w:p w14:paraId="10CFE85A" w14:textId="77777777" w:rsidR="008E65E3" w:rsidRPr="005702ED" w:rsidRDefault="008E65E3" w:rsidP="008E65E3">
      <w:pPr>
        <w:autoSpaceDE w:val="0"/>
        <w:autoSpaceDN w:val="0"/>
        <w:adjustRightInd w:val="0"/>
        <w:spacing w:line="480" w:lineRule="auto"/>
        <w:jc w:val="both"/>
        <w:rPr>
          <w:rFonts w:ascii="Arial" w:eastAsia="Calibri" w:hAnsi="Arial" w:cs="Arial"/>
          <w:sz w:val="22"/>
          <w:szCs w:val="22"/>
        </w:rPr>
      </w:pPr>
      <w:r w:rsidRPr="005702ED">
        <w:rPr>
          <w:rFonts w:ascii="Arial" w:eastAsia="Calibri" w:hAnsi="Arial" w:cs="Arial"/>
          <w:sz w:val="22"/>
          <w:szCs w:val="22"/>
        </w:rPr>
        <w:t>+90 232 412 43 39</w:t>
      </w:r>
    </w:p>
    <w:p w14:paraId="0E90A1FA" w14:textId="77777777" w:rsidR="00585FD2" w:rsidRPr="005702ED" w:rsidRDefault="00585FD2" w:rsidP="00A741F5">
      <w:pPr>
        <w:spacing w:line="480" w:lineRule="auto"/>
        <w:jc w:val="both"/>
        <w:rPr>
          <w:rFonts w:ascii="Arial" w:hAnsi="Arial" w:cs="Arial"/>
          <w:b/>
          <w:sz w:val="22"/>
          <w:szCs w:val="22"/>
          <w:lang w:val="en-US"/>
        </w:rPr>
      </w:pPr>
    </w:p>
    <w:p w14:paraId="3451EF25" w14:textId="77777777" w:rsidR="003B7152" w:rsidRPr="005702ED" w:rsidRDefault="003B7152" w:rsidP="003B7152">
      <w:pPr>
        <w:spacing w:line="480" w:lineRule="auto"/>
        <w:jc w:val="both"/>
        <w:rPr>
          <w:rFonts w:ascii="Arial" w:hAnsi="Arial" w:cs="Arial"/>
          <w:b/>
          <w:sz w:val="22"/>
          <w:szCs w:val="22"/>
          <w:lang w:val="en-US"/>
        </w:rPr>
      </w:pPr>
      <w:r w:rsidRPr="005702ED">
        <w:rPr>
          <w:rFonts w:ascii="Arial" w:hAnsi="Arial" w:cs="Arial"/>
          <w:b/>
          <w:sz w:val="22"/>
          <w:szCs w:val="22"/>
          <w:lang w:val="en-US"/>
        </w:rPr>
        <w:lastRenderedPageBreak/>
        <w:t xml:space="preserve">Abstract </w:t>
      </w:r>
    </w:p>
    <w:p w14:paraId="70BC4F92" w14:textId="77777777" w:rsidR="008E65E3" w:rsidRPr="005702ED" w:rsidRDefault="008E65E3" w:rsidP="003B7152">
      <w:pPr>
        <w:spacing w:line="480" w:lineRule="auto"/>
        <w:jc w:val="both"/>
        <w:rPr>
          <w:rFonts w:ascii="Arial" w:hAnsi="Arial" w:cs="Arial"/>
          <w:sz w:val="22"/>
          <w:szCs w:val="22"/>
          <w:lang w:val="en-US"/>
        </w:rPr>
      </w:pPr>
      <w:r w:rsidRPr="005702ED">
        <w:rPr>
          <w:rFonts w:ascii="Arial" w:hAnsi="Arial" w:cs="Arial"/>
          <w:b/>
          <w:sz w:val="22"/>
          <w:szCs w:val="22"/>
          <w:lang w:val="en-US"/>
        </w:rPr>
        <w:t>Background:</w:t>
      </w:r>
      <w:r w:rsidRPr="005702ED">
        <w:rPr>
          <w:rFonts w:ascii="Arial" w:hAnsi="Arial" w:cs="Arial"/>
          <w:sz w:val="22"/>
          <w:szCs w:val="22"/>
          <w:lang w:val="en-US"/>
        </w:rPr>
        <w:t xml:space="preserve"> </w:t>
      </w:r>
      <w:r w:rsidR="003B7152" w:rsidRPr="005702ED">
        <w:rPr>
          <w:rFonts w:ascii="Arial" w:hAnsi="Arial" w:cs="Arial"/>
          <w:sz w:val="22"/>
          <w:szCs w:val="22"/>
          <w:lang w:val="en-US"/>
        </w:rPr>
        <w:t xml:space="preserve">Women aged 65 years and over are at increased risk of falling. Falls in this age group increase the risk of morbidity and mortality. </w:t>
      </w:r>
    </w:p>
    <w:p w14:paraId="33CEC94A" w14:textId="0E275751" w:rsidR="008E65E3" w:rsidRPr="005702ED" w:rsidRDefault="008E65E3" w:rsidP="003B7152">
      <w:pPr>
        <w:spacing w:line="480" w:lineRule="auto"/>
        <w:jc w:val="both"/>
        <w:rPr>
          <w:rFonts w:ascii="Arial" w:hAnsi="Arial" w:cs="Arial"/>
          <w:sz w:val="22"/>
          <w:szCs w:val="22"/>
          <w:lang w:val="en-US"/>
        </w:rPr>
      </w:pPr>
      <w:r w:rsidRPr="005702ED">
        <w:rPr>
          <w:rFonts w:ascii="Arial" w:hAnsi="Arial" w:cs="Arial"/>
          <w:b/>
          <w:sz w:val="22"/>
          <w:szCs w:val="22"/>
          <w:lang w:val="en-US"/>
        </w:rPr>
        <w:t>Aims:</w:t>
      </w:r>
      <w:r w:rsidRPr="005702ED">
        <w:rPr>
          <w:rFonts w:ascii="Arial" w:hAnsi="Arial" w:cs="Arial"/>
          <w:sz w:val="22"/>
          <w:szCs w:val="22"/>
          <w:lang w:val="en-US"/>
        </w:rPr>
        <w:t xml:space="preserve"> </w:t>
      </w:r>
      <w:r w:rsidR="00EA687F" w:rsidRPr="005702ED">
        <w:rPr>
          <w:rFonts w:ascii="Arial" w:hAnsi="Arial" w:cs="Arial"/>
          <w:sz w:val="22"/>
          <w:szCs w:val="22"/>
          <w:lang w:val="en-US"/>
        </w:rPr>
        <w:t>The aim of the present study was to find the most common factors that increase risk of falling in older women, by using four different assessment methods.</w:t>
      </w:r>
    </w:p>
    <w:p w14:paraId="15B39162" w14:textId="77777777" w:rsidR="008E65E3" w:rsidRPr="005702ED" w:rsidRDefault="008E65E3" w:rsidP="003B7152">
      <w:pPr>
        <w:spacing w:line="480" w:lineRule="auto"/>
        <w:jc w:val="both"/>
        <w:rPr>
          <w:rFonts w:ascii="Arial" w:hAnsi="Arial" w:cs="Arial"/>
          <w:sz w:val="22"/>
          <w:szCs w:val="22"/>
          <w:lang w:val="en-US"/>
        </w:rPr>
      </w:pPr>
      <w:r w:rsidRPr="005702ED">
        <w:rPr>
          <w:rFonts w:ascii="Arial" w:hAnsi="Arial" w:cs="Arial"/>
          <w:b/>
          <w:sz w:val="22"/>
          <w:szCs w:val="22"/>
          <w:lang w:val="en-US"/>
        </w:rPr>
        <w:t>Methods:</w:t>
      </w:r>
      <w:r w:rsidRPr="005702ED">
        <w:rPr>
          <w:rFonts w:ascii="Arial" w:hAnsi="Arial" w:cs="Arial"/>
          <w:sz w:val="22"/>
          <w:szCs w:val="22"/>
          <w:lang w:val="en-US"/>
        </w:rPr>
        <w:t xml:space="preserve"> </w:t>
      </w:r>
      <w:r w:rsidR="003B7152" w:rsidRPr="005702ED">
        <w:rPr>
          <w:rFonts w:ascii="Arial" w:hAnsi="Arial" w:cs="Arial"/>
          <w:sz w:val="22"/>
          <w:szCs w:val="22"/>
          <w:lang w:val="en-US"/>
        </w:rPr>
        <w:t xml:space="preserve">682 women, who attended a geriatric outpatient clinic and underwent comprehensive geriatric assessment, were included in the study. History of falling last year, the Timed Up and Go (TUG) test, Performance-Oriented Mobility Assessment (POMA), and 4-meter walking speed test were </w:t>
      </w:r>
      <w:r w:rsidR="0058715F" w:rsidRPr="005702ED">
        <w:rPr>
          <w:rFonts w:ascii="Arial" w:hAnsi="Arial" w:cs="Arial"/>
          <w:sz w:val="22"/>
          <w:szCs w:val="22"/>
          <w:lang w:val="en-US"/>
        </w:rPr>
        <w:t>carried</w:t>
      </w:r>
      <w:r w:rsidR="003B7152" w:rsidRPr="005702ED">
        <w:rPr>
          <w:rFonts w:ascii="Arial" w:hAnsi="Arial" w:cs="Arial"/>
          <w:sz w:val="22"/>
          <w:szCs w:val="22"/>
          <w:lang w:val="en-US"/>
        </w:rPr>
        <w:t xml:space="preserve"> out on </w:t>
      </w:r>
      <w:r w:rsidR="0058715F" w:rsidRPr="005702ED">
        <w:rPr>
          <w:rFonts w:ascii="Arial" w:hAnsi="Arial" w:cs="Arial"/>
          <w:sz w:val="22"/>
          <w:szCs w:val="22"/>
          <w:lang w:val="en-US"/>
        </w:rPr>
        <w:t>all patients</w:t>
      </w:r>
      <w:r w:rsidR="002C46F7" w:rsidRPr="005702ED">
        <w:rPr>
          <w:rFonts w:ascii="Arial" w:hAnsi="Arial" w:cs="Arial"/>
          <w:sz w:val="22"/>
          <w:szCs w:val="22"/>
          <w:lang w:val="en-US"/>
        </w:rPr>
        <w:t xml:space="preserve">. </w:t>
      </w:r>
    </w:p>
    <w:p w14:paraId="162579DD" w14:textId="4DF55098" w:rsidR="008E65E3" w:rsidRPr="005702ED" w:rsidRDefault="008E65E3" w:rsidP="003B7152">
      <w:pPr>
        <w:spacing w:line="480" w:lineRule="auto"/>
        <w:jc w:val="both"/>
        <w:rPr>
          <w:rFonts w:ascii="Arial" w:hAnsi="Arial" w:cs="Arial"/>
          <w:sz w:val="22"/>
          <w:szCs w:val="22"/>
          <w:lang w:val="en-US"/>
        </w:rPr>
      </w:pPr>
      <w:r w:rsidRPr="005702ED">
        <w:rPr>
          <w:rFonts w:ascii="Arial" w:hAnsi="Arial" w:cs="Arial"/>
          <w:b/>
          <w:sz w:val="22"/>
          <w:szCs w:val="22"/>
          <w:lang w:val="en-US"/>
        </w:rPr>
        <w:t>Results:</w:t>
      </w:r>
      <w:r w:rsidRPr="005702ED">
        <w:rPr>
          <w:rFonts w:ascii="Arial" w:hAnsi="Arial" w:cs="Arial"/>
          <w:sz w:val="22"/>
          <w:szCs w:val="22"/>
          <w:lang w:val="en-US"/>
        </w:rPr>
        <w:t xml:space="preserve"> </w:t>
      </w:r>
      <w:r w:rsidR="003B7152" w:rsidRPr="005702ED">
        <w:rPr>
          <w:rFonts w:ascii="Arial" w:hAnsi="Arial" w:cs="Arial"/>
          <w:sz w:val="22"/>
          <w:szCs w:val="22"/>
          <w:lang w:val="en-US"/>
        </w:rPr>
        <w:t>The mean age (SD)</w:t>
      </w:r>
      <w:r w:rsidR="0058715F" w:rsidRPr="005702ED">
        <w:rPr>
          <w:rFonts w:ascii="Arial" w:hAnsi="Arial" w:cs="Arial"/>
          <w:sz w:val="22"/>
          <w:szCs w:val="22"/>
          <w:lang w:val="en-US"/>
        </w:rPr>
        <w:t xml:space="preserve"> </w:t>
      </w:r>
      <w:r w:rsidR="003B7152" w:rsidRPr="005702ED">
        <w:rPr>
          <w:rFonts w:ascii="Arial" w:hAnsi="Arial" w:cs="Arial"/>
          <w:sz w:val="22"/>
          <w:szCs w:val="22"/>
          <w:lang w:val="en-US"/>
        </w:rPr>
        <w:t xml:space="preserve">of patients were 74.4 (8.5) years. 31.5% of women had a history of falling in the last year. 11%, 36.5%, and 33.3% of patients had a falling risk according to POMA, TUG and 4-meter walking speed test, respectively. We identified the following risk factors </w:t>
      </w:r>
      <w:r w:rsidR="00EA687F" w:rsidRPr="005702ED">
        <w:rPr>
          <w:rFonts w:ascii="Arial" w:hAnsi="Arial" w:cs="Arial"/>
          <w:sz w:val="22"/>
          <w:szCs w:val="22"/>
          <w:lang w:val="en-US"/>
        </w:rPr>
        <w:t xml:space="preserve">that increase risk of </w:t>
      </w:r>
      <w:r w:rsidR="003B7152" w:rsidRPr="005702ED">
        <w:rPr>
          <w:rFonts w:ascii="Arial" w:hAnsi="Arial" w:cs="Arial"/>
          <w:sz w:val="22"/>
          <w:szCs w:val="22"/>
          <w:lang w:val="en-US"/>
        </w:rPr>
        <w:t xml:space="preserve">falling, according to these four methods: urinary incontinence, dizziness and imbalance, using a walking stick, frailty, </w:t>
      </w:r>
      <w:proofErr w:type="spellStart"/>
      <w:r w:rsidR="003B7152" w:rsidRPr="005702ED">
        <w:rPr>
          <w:rFonts w:ascii="Arial" w:hAnsi="Arial" w:cs="Arial"/>
          <w:sz w:val="22"/>
          <w:szCs w:val="22"/>
          <w:lang w:val="en-US"/>
        </w:rPr>
        <w:t>dynapenia</w:t>
      </w:r>
      <w:proofErr w:type="spellEnd"/>
      <w:r w:rsidR="003B7152" w:rsidRPr="005702ED">
        <w:rPr>
          <w:rFonts w:ascii="Arial" w:hAnsi="Arial" w:cs="Arial"/>
          <w:sz w:val="22"/>
          <w:szCs w:val="22"/>
          <w:lang w:val="en-US"/>
        </w:rPr>
        <w:t xml:space="preserve">, higher </w:t>
      </w:r>
      <w:proofErr w:type="spellStart"/>
      <w:r w:rsidR="003B7152" w:rsidRPr="005702ED">
        <w:rPr>
          <w:rFonts w:ascii="Arial" w:hAnsi="Arial" w:cs="Arial"/>
          <w:sz w:val="22"/>
          <w:szCs w:val="22"/>
          <w:lang w:val="en-US"/>
        </w:rPr>
        <w:t>Charlson</w:t>
      </w:r>
      <w:proofErr w:type="spellEnd"/>
      <w:r w:rsidR="003B7152" w:rsidRPr="005702ED">
        <w:rPr>
          <w:rFonts w:ascii="Arial" w:hAnsi="Arial" w:cs="Arial"/>
          <w:sz w:val="22"/>
          <w:szCs w:val="22"/>
          <w:lang w:val="en-US"/>
        </w:rPr>
        <w:t xml:space="preserve"> </w:t>
      </w:r>
      <w:r w:rsidR="0058715F" w:rsidRPr="005702ED">
        <w:rPr>
          <w:rFonts w:ascii="Arial" w:hAnsi="Arial" w:cs="Arial"/>
          <w:sz w:val="22"/>
          <w:szCs w:val="22"/>
          <w:lang w:val="en-US"/>
        </w:rPr>
        <w:t>comorbidity</w:t>
      </w:r>
      <w:r w:rsidR="003B7152" w:rsidRPr="005702ED">
        <w:rPr>
          <w:rFonts w:ascii="Arial" w:hAnsi="Arial" w:cs="Arial"/>
          <w:sz w:val="22"/>
          <w:szCs w:val="22"/>
          <w:lang w:val="en-US"/>
        </w:rPr>
        <w:t xml:space="preserve"> index and Geriatric Depression Scale score and lower Basic and Instrumental Activities of Daily Living scores (p&lt;0.05). We found a significant correlation between all the</w:t>
      </w:r>
      <w:r w:rsidR="002C46F7" w:rsidRPr="005702ED">
        <w:rPr>
          <w:rFonts w:ascii="Arial" w:hAnsi="Arial" w:cs="Arial"/>
          <w:sz w:val="22"/>
          <w:szCs w:val="22"/>
          <w:lang w:val="en-US"/>
        </w:rPr>
        <w:t xml:space="preserve"> assessment methods (p&lt;0.001). </w:t>
      </w:r>
    </w:p>
    <w:p w14:paraId="20569C54" w14:textId="2058ED31" w:rsidR="003B7152" w:rsidRPr="005702ED" w:rsidRDefault="008E65E3" w:rsidP="003B7152">
      <w:pPr>
        <w:spacing w:line="480" w:lineRule="auto"/>
        <w:jc w:val="both"/>
        <w:rPr>
          <w:rFonts w:ascii="Arial" w:hAnsi="Arial" w:cs="Arial"/>
          <w:sz w:val="22"/>
          <w:szCs w:val="22"/>
          <w:lang w:val="en-US"/>
        </w:rPr>
      </w:pPr>
      <w:r w:rsidRPr="005702ED">
        <w:rPr>
          <w:rFonts w:ascii="Arial" w:hAnsi="Arial" w:cs="Arial"/>
          <w:b/>
          <w:sz w:val="22"/>
          <w:szCs w:val="22"/>
          <w:lang w:val="en-US"/>
        </w:rPr>
        <w:t>Conclusion:</w:t>
      </w:r>
      <w:r w:rsidRPr="005702ED">
        <w:rPr>
          <w:rFonts w:ascii="Arial" w:hAnsi="Arial" w:cs="Arial"/>
          <w:sz w:val="22"/>
          <w:szCs w:val="22"/>
          <w:lang w:val="en-US"/>
        </w:rPr>
        <w:t xml:space="preserve"> </w:t>
      </w:r>
      <w:r w:rsidR="003B7152" w:rsidRPr="005702ED">
        <w:rPr>
          <w:rFonts w:ascii="Arial" w:hAnsi="Arial" w:cs="Arial"/>
          <w:sz w:val="22"/>
          <w:szCs w:val="22"/>
          <w:lang w:val="en-US"/>
        </w:rPr>
        <w:t xml:space="preserve">There is a strong relationship between fall risk and dizziness, using a walking stick, </w:t>
      </w:r>
      <w:proofErr w:type="spellStart"/>
      <w:r w:rsidR="003B7152" w:rsidRPr="005702ED">
        <w:rPr>
          <w:rFonts w:ascii="Arial" w:hAnsi="Arial" w:cs="Arial"/>
          <w:sz w:val="22"/>
          <w:szCs w:val="22"/>
          <w:lang w:val="en-US"/>
        </w:rPr>
        <w:t>dynapenia</w:t>
      </w:r>
      <w:proofErr w:type="spellEnd"/>
      <w:r w:rsidR="003B7152" w:rsidRPr="005702ED">
        <w:rPr>
          <w:rFonts w:ascii="Arial" w:hAnsi="Arial" w:cs="Arial"/>
          <w:sz w:val="22"/>
          <w:szCs w:val="22"/>
          <w:lang w:val="en-US"/>
        </w:rPr>
        <w:t>, high number of comorbidities, low functionality, and some geriatric syndromes such as depression, frailty, and urinary incontinence in older women. Therefore, older women should routinely be screened for these risk factors.</w:t>
      </w:r>
    </w:p>
    <w:p w14:paraId="35B7F8EA" w14:textId="77777777" w:rsidR="003B7152" w:rsidRPr="005702ED" w:rsidRDefault="003B7152" w:rsidP="003B7152">
      <w:pPr>
        <w:spacing w:line="480" w:lineRule="auto"/>
        <w:jc w:val="both"/>
        <w:rPr>
          <w:rFonts w:ascii="Arial" w:hAnsi="Arial" w:cs="Arial"/>
          <w:sz w:val="22"/>
          <w:szCs w:val="22"/>
          <w:lang w:val="en-US"/>
        </w:rPr>
      </w:pPr>
      <w:r w:rsidRPr="005702ED">
        <w:rPr>
          <w:rFonts w:ascii="Arial" w:hAnsi="Arial" w:cs="Arial"/>
          <w:b/>
          <w:sz w:val="22"/>
          <w:szCs w:val="22"/>
          <w:lang w:val="en-US"/>
        </w:rPr>
        <w:t xml:space="preserve">Key words: </w:t>
      </w:r>
      <w:r w:rsidRPr="005702ED">
        <w:rPr>
          <w:rFonts w:ascii="Arial" w:hAnsi="Arial" w:cs="Arial"/>
          <w:sz w:val="22"/>
          <w:szCs w:val="22"/>
          <w:lang w:val="en-US"/>
        </w:rPr>
        <w:t>Falls, risk factors, older, women</w:t>
      </w:r>
    </w:p>
    <w:p w14:paraId="5319DF19" w14:textId="1AC28AC2" w:rsidR="00FD57E2" w:rsidRPr="005702ED" w:rsidRDefault="00FD57E2" w:rsidP="00A741F5">
      <w:pPr>
        <w:spacing w:line="480" w:lineRule="auto"/>
        <w:jc w:val="both"/>
        <w:rPr>
          <w:rFonts w:ascii="Arial" w:hAnsi="Arial" w:cs="Arial"/>
          <w:sz w:val="22"/>
          <w:szCs w:val="22"/>
          <w:lang w:val="en-US"/>
        </w:rPr>
      </w:pPr>
    </w:p>
    <w:p w14:paraId="3C712B9F" w14:textId="5CA3525E" w:rsidR="00DA7717" w:rsidRPr="005702ED" w:rsidRDefault="00DA7717" w:rsidP="00A741F5">
      <w:pPr>
        <w:spacing w:line="480" w:lineRule="auto"/>
        <w:jc w:val="both"/>
        <w:rPr>
          <w:rFonts w:ascii="Arial" w:hAnsi="Arial" w:cs="Arial"/>
          <w:sz w:val="22"/>
          <w:szCs w:val="22"/>
          <w:lang w:val="en-US"/>
        </w:rPr>
      </w:pPr>
    </w:p>
    <w:p w14:paraId="021465FF" w14:textId="77777777" w:rsidR="002C46F7" w:rsidRPr="005702ED" w:rsidRDefault="002C46F7" w:rsidP="00A741F5">
      <w:pPr>
        <w:spacing w:line="480" w:lineRule="auto"/>
        <w:jc w:val="both"/>
        <w:rPr>
          <w:rFonts w:ascii="Arial" w:hAnsi="Arial" w:cs="Arial"/>
          <w:sz w:val="22"/>
          <w:szCs w:val="22"/>
          <w:lang w:val="en-US"/>
        </w:rPr>
      </w:pPr>
    </w:p>
    <w:p w14:paraId="6399A78C" w14:textId="77777777" w:rsidR="002C46F7" w:rsidRPr="005702ED" w:rsidRDefault="002C46F7" w:rsidP="00A741F5">
      <w:pPr>
        <w:spacing w:line="480" w:lineRule="auto"/>
        <w:jc w:val="both"/>
        <w:rPr>
          <w:rFonts w:ascii="Arial" w:hAnsi="Arial" w:cs="Arial"/>
          <w:sz w:val="22"/>
          <w:szCs w:val="22"/>
          <w:lang w:val="en-US"/>
        </w:rPr>
      </w:pPr>
    </w:p>
    <w:p w14:paraId="6DD4FDE6" w14:textId="77777777" w:rsidR="003B7152" w:rsidRPr="005702ED" w:rsidRDefault="003B7152" w:rsidP="00A741F5">
      <w:pPr>
        <w:spacing w:line="480" w:lineRule="auto"/>
        <w:jc w:val="both"/>
        <w:rPr>
          <w:rFonts w:ascii="Arial" w:hAnsi="Arial" w:cs="Arial"/>
          <w:b/>
          <w:sz w:val="22"/>
          <w:szCs w:val="22"/>
          <w:lang w:val="en-US"/>
        </w:rPr>
      </w:pPr>
    </w:p>
    <w:p w14:paraId="1311769A" w14:textId="77777777" w:rsidR="008E65E3" w:rsidRPr="005702ED" w:rsidRDefault="008E65E3" w:rsidP="00A741F5">
      <w:pPr>
        <w:spacing w:line="480" w:lineRule="auto"/>
        <w:jc w:val="both"/>
        <w:rPr>
          <w:rFonts w:ascii="Arial" w:hAnsi="Arial" w:cs="Arial"/>
          <w:b/>
          <w:sz w:val="22"/>
          <w:szCs w:val="22"/>
          <w:lang w:val="en-US"/>
        </w:rPr>
      </w:pPr>
    </w:p>
    <w:p w14:paraId="2741FEF0" w14:textId="77777777" w:rsidR="00A775B6" w:rsidRPr="005702ED" w:rsidRDefault="00A775B6" w:rsidP="00A741F5">
      <w:pPr>
        <w:spacing w:line="480" w:lineRule="auto"/>
        <w:jc w:val="both"/>
        <w:rPr>
          <w:rFonts w:ascii="Arial" w:hAnsi="Arial" w:cs="Arial"/>
          <w:b/>
          <w:sz w:val="22"/>
          <w:szCs w:val="22"/>
          <w:lang w:val="en-US"/>
        </w:rPr>
      </w:pPr>
      <w:r w:rsidRPr="005702ED">
        <w:rPr>
          <w:rFonts w:ascii="Arial" w:hAnsi="Arial" w:cs="Arial"/>
          <w:b/>
          <w:sz w:val="22"/>
          <w:szCs w:val="22"/>
          <w:lang w:val="en-US"/>
        </w:rPr>
        <w:lastRenderedPageBreak/>
        <w:t>Introduction</w:t>
      </w:r>
    </w:p>
    <w:p w14:paraId="29DDF982" w14:textId="39E5D521" w:rsidR="006167D7" w:rsidRPr="005702ED" w:rsidRDefault="00FB0263" w:rsidP="00A741F5">
      <w:pPr>
        <w:spacing w:line="480" w:lineRule="auto"/>
        <w:jc w:val="both"/>
        <w:rPr>
          <w:rFonts w:ascii="Arial" w:hAnsi="Arial" w:cs="Arial"/>
          <w:sz w:val="22"/>
          <w:szCs w:val="22"/>
          <w:lang w:val="en-US"/>
        </w:rPr>
      </w:pPr>
      <w:r w:rsidRPr="005702ED">
        <w:rPr>
          <w:rFonts w:ascii="Arial" w:hAnsi="Arial" w:cs="Arial"/>
          <w:sz w:val="22"/>
          <w:szCs w:val="22"/>
          <w:lang w:val="en-US"/>
        </w:rPr>
        <w:t>Falling is one of the</w:t>
      </w:r>
      <w:r w:rsidR="006167D7" w:rsidRPr="005702ED">
        <w:rPr>
          <w:rFonts w:ascii="Arial" w:hAnsi="Arial" w:cs="Arial"/>
          <w:sz w:val="22"/>
          <w:szCs w:val="22"/>
          <w:lang w:val="en-US"/>
        </w:rPr>
        <w:t xml:space="preserve"> most common geriatric syndrome</w:t>
      </w:r>
      <w:r w:rsidR="00BF0748" w:rsidRPr="005702ED">
        <w:rPr>
          <w:rFonts w:ascii="Arial" w:hAnsi="Arial" w:cs="Arial"/>
          <w:sz w:val="22"/>
          <w:szCs w:val="22"/>
          <w:lang w:val="en-US"/>
        </w:rPr>
        <w:t>s</w:t>
      </w:r>
      <w:r w:rsidR="009A7292" w:rsidRPr="005702ED">
        <w:rPr>
          <w:rFonts w:ascii="Arial" w:hAnsi="Arial" w:cs="Arial"/>
          <w:sz w:val="22"/>
          <w:szCs w:val="22"/>
          <w:lang w:val="en-US"/>
        </w:rPr>
        <w:t xml:space="preserve"> and </w:t>
      </w:r>
      <w:r w:rsidR="00D41A59" w:rsidRPr="005702ED">
        <w:rPr>
          <w:rFonts w:ascii="Arial" w:hAnsi="Arial" w:cs="Arial"/>
          <w:sz w:val="22"/>
          <w:szCs w:val="22"/>
          <w:lang w:val="en-US"/>
        </w:rPr>
        <w:t>public</w:t>
      </w:r>
      <w:r w:rsidR="0088102A" w:rsidRPr="005702ED">
        <w:rPr>
          <w:rFonts w:ascii="Arial" w:hAnsi="Arial" w:cs="Arial"/>
          <w:sz w:val="22"/>
          <w:szCs w:val="22"/>
          <w:lang w:val="en-US"/>
        </w:rPr>
        <w:t xml:space="preserve"> health problem for older adults</w:t>
      </w:r>
      <w:r w:rsidR="009A7292" w:rsidRPr="005702ED">
        <w:rPr>
          <w:rFonts w:ascii="Arial" w:hAnsi="Arial" w:cs="Arial"/>
          <w:sz w:val="22"/>
          <w:szCs w:val="22"/>
          <w:lang w:val="en-US"/>
        </w:rPr>
        <w:t xml:space="preserve"> and their caregivers </w:t>
      </w:r>
      <w:r w:rsidR="00A03D49" w:rsidRPr="005702ED">
        <w:rPr>
          <w:rFonts w:ascii="Arial" w:hAnsi="Arial" w:cs="Arial"/>
          <w:b/>
          <w:sz w:val="22"/>
          <w:szCs w:val="22"/>
          <w:lang w:val="en-US"/>
        </w:rPr>
        <w:fldChar w:fldCharType="begin" w:fldLock="1"/>
      </w:r>
      <w:r w:rsidR="003C4B34" w:rsidRPr="005702ED">
        <w:rPr>
          <w:rFonts w:ascii="Arial" w:hAnsi="Arial" w:cs="Arial"/>
          <w:b/>
          <w:sz w:val="22"/>
          <w:szCs w:val="22"/>
          <w:lang w:val="en-US"/>
        </w:rPr>
        <w:instrText>ADDIN CSL_CITATION {"citationItems":[{"id":"ITEM-1","itemData":{"DOI":"10.1111/j.1532-5415.2011.03663.x","ISBN":"1532-5415","ISSN":"00028614","PMID":"22092231","abstract":"OBJECTIVES: To identify the prevalence of geriatric syndromes in the premorbid for all syndromes except falls (preadmission), admission, and discharge assessment periods and the incidence of new and significant worsening of existing syndromes at admission and discharge.\\n\\nDESIGN: Prospective cohort study.\\n\\nSETTING: Three acute care hospitals in Brisbane, Australia.\\n\\nPARTICIPANTS: Five hundred seventy-seven general medical patients aged 70 and older admitted to the hospital.\\n\\nMEASUREMENTS: Prevalence of syndromes in the premorbid (or preadmission for falls), admission, and discharge periods; incidence of new syndromes at admission and discharge; and significant worsening of existing syndromes at admission and discharge.\\n\\nRESULTS: The most frequently reported premorbid syndromes were bladder incontinence (44%), impairment in any activity of daily living (ADL) (42%). A high proportion (42%) experienced at least one fall in the 90 days before admission. Two-thirds of the participants experienced between one and five syndromes (cognitive impairment, dependence in any ADL item, bladder and bowel incontinence, pressure ulcer) before, at admission, and at discharge. A majority experienced one or two syndromes during the premorbid (49.4%), admission (57.0%), or discharge (49.0%) assessment period. The syndromes with a higher incidence of significant worsening at discharge (out of the proportion with the syndrome present premorbidly) were ADL limitation (33%), cognitive impairment (9%), and bladder incontinence (8%). Of the syndromes examined at discharge, a higher proportion of patients experienced the following new syndromes at discharge (absent premorbidly): ADL limitation (22%); and bladder incontinence (13%).\\n\\nCONCLUSION: Geriatric syndromes were highly prevalent. Many patients did not return to their premorbid function and acquired new syndromes.","author":[{"dropping-particle":"","family":"Lakhan","given":"Prabha","non-dropping-particle":"","parse-names":false,"suffix":""},{"dropping-particle":"","family":"Jones","given":"Mark","non-dropping-particle":"","parse-names":false,"suffix":""},{"dropping-particle":"","family":"Wilson","given":"Andrew","non-dropping-particle":"","parse-names":false,"suffix":""},{"dropping-particle":"","family":"Courtney","given":"Mary","non-dropping-particle":"","parse-names":false,"suffix":""},{"dropping-particle":"","family":"Hirdes","given":"John","non-dropping-particle":"","parse-names":false,"suffix":""},{"dropping-particle":"","family":"Gray","given":"Leonard C.","non-dropping-particle":"","parse-names":false,"suffix":""}],"container-title":"J Am Geriatr Soc","id":"ITEM-1","issue":"11","issued":{"date-parts":[["2011"]]},"page":"2001-2008","title":"A prospective cohort study of geriatric syndromes among older medical patients admitted to acute care hospitals","type":"article-journal","volume":"59"},"uris":["http://www.mendeley.com/documents/?uuid=413a4cc7-0bcb-419f-8fd5-ea2d8fcbae4e"]},{"id":"ITEM-2","itemData":{"DOI":"10.1001/jama.2009.2024","ISSN":"1538-3598","PMID":"20085954","abstract":"Falls are common health events that cause discomfort and disability for older adults and stress for caregivers. Using the case of an older man who has experienced multiple falls and a hip fracture, this article, which focuses on community-living older adults, addresses the consequences and etiology of falls; summarizes the evidence on predisposing factors and effective interventions; and discusses how to translate this evidence into patient care. Previous falls; strength, gait, and balance impairments; and medications are the strongest risk factors for falling. Effective single interventions include exercise and physical therapy, cataract surgery, and medication reduction. Evidence suggests that the most effective strategy for reducing the rate of falling in community-living older adults may be intervening on multiple risk factors. Vitamin D has the strongest clinical trial evidence of benefit for preventing fractures among older men at risk. Issues involved in incorporating these evidence-based fall prevention interventions into outpatient practice are discussed, as are the trade-offs inherent in managing older patients at risk of falling. While challenges and barriers exist, fall prevention strategies can be incorporated into clinical practice.","author":[{"dropping-particle":"","family":"Tinetti","given":"Mary E","non-dropping-particle":"","parse-names":false,"suffix":""},{"dropping-particle":"","family":"Kumar","given":"Chandrika","non-dropping-particle":"","parse-names":false,"suffix":""}],"container-title":"JAMA","id":"ITEM-2","issue":"3","issued":{"date-parts":[["2010"]]},"page":"258-266","title":"The patient who falls: \"It's always a trade-off\"","type":"article-journal","volume":"303"},"uris":["http://www.mendeley.com/documents/?uuid=a16656ad-1d46-48ba-bed1-f2db02a46ae7"]}],"mendeley":{"formattedCitation":"(1,2)","plainTextFormattedCitation":"(1,2)","previouslyFormattedCitation":"(1,2)"},"properties":{"noteIndex":0},"schema":"https://github.com/citation-style-language/schema/raw/master/csl-citation.json"}</w:instrText>
      </w:r>
      <w:r w:rsidR="00A03D49" w:rsidRPr="005702ED">
        <w:rPr>
          <w:rFonts w:ascii="Arial" w:hAnsi="Arial" w:cs="Arial"/>
          <w:b/>
          <w:sz w:val="22"/>
          <w:szCs w:val="22"/>
          <w:lang w:val="en-US"/>
        </w:rPr>
        <w:fldChar w:fldCharType="separate"/>
      </w:r>
      <w:r w:rsidR="00D56B63" w:rsidRPr="005702ED">
        <w:rPr>
          <w:rFonts w:ascii="Arial" w:hAnsi="Arial" w:cs="Arial"/>
          <w:noProof/>
          <w:sz w:val="22"/>
          <w:szCs w:val="22"/>
          <w:lang w:val="en-US"/>
        </w:rPr>
        <w:t>(1,2)</w:t>
      </w:r>
      <w:r w:rsidR="00A03D49" w:rsidRPr="005702ED">
        <w:rPr>
          <w:rFonts w:ascii="Arial" w:hAnsi="Arial" w:cs="Arial"/>
          <w:b/>
          <w:sz w:val="22"/>
          <w:szCs w:val="22"/>
          <w:lang w:val="en-US"/>
        </w:rPr>
        <w:fldChar w:fldCharType="end"/>
      </w:r>
      <w:r w:rsidR="00D41A59" w:rsidRPr="005702ED">
        <w:rPr>
          <w:rFonts w:ascii="Arial" w:hAnsi="Arial" w:cs="Arial"/>
          <w:sz w:val="22"/>
          <w:szCs w:val="22"/>
          <w:lang w:val="en-US"/>
        </w:rPr>
        <w:t>.</w:t>
      </w:r>
      <w:r w:rsidR="00855040" w:rsidRPr="005702ED">
        <w:rPr>
          <w:rFonts w:ascii="Arial" w:hAnsi="Arial" w:cs="Arial"/>
          <w:sz w:val="22"/>
          <w:szCs w:val="22"/>
          <w:lang w:val="en-US"/>
        </w:rPr>
        <w:t xml:space="preserve"> </w:t>
      </w:r>
      <w:r w:rsidR="00EC1047" w:rsidRPr="005702ED">
        <w:rPr>
          <w:rFonts w:ascii="Arial" w:hAnsi="Arial" w:cs="Arial"/>
          <w:sz w:val="22"/>
          <w:szCs w:val="22"/>
          <w:lang w:val="en-US"/>
        </w:rPr>
        <w:t>According to the World Health Organization (WHO) data, falls are the second leading cause of accidental or unintentional injury deaths worldwide. Each year, approximately 28-35% of people aged 65</w:t>
      </w:r>
      <w:r w:rsidR="00BF0748" w:rsidRPr="005702ED">
        <w:rPr>
          <w:rFonts w:ascii="Arial" w:hAnsi="Arial" w:cs="Arial"/>
          <w:sz w:val="22"/>
          <w:szCs w:val="22"/>
          <w:lang w:val="en-US"/>
        </w:rPr>
        <w:t xml:space="preserve"> years</w:t>
      </w:r>
      <w:r w:rsidR="00EC1047" w:rsidRPr="005702ED">
        <w:rPr>
          <w:rFonts w:ascii="Arial" w:hAnsi="Arial" w:cs="Arial"/>
          <w:sz w:val="22"/>
          <w:szCs w:val="22"/>
          <w:lang w:val="en-US"/>
        </w:rPr>
        <w:t xml:space="preserve"> and over fall and the frequency of falls increases with age and frailty level </w:t>
      </w:r>
      <w:r w:rsidR="003C4B34" w:rsidRPr="005702ED">
        <w:rPr>
          <w:rFonts w:ascii="Arial" w:hAnsi="Arial" w:cs="Arial"/>
          <w:sz w:val="22"/>
          <w:szCs w:val="22"/>
          <w:lang w:val="en-US"/>
        </w:rPr>
        <w:fldChar w:fldCharType="begin" w:fldLock="1"/>
      </w:r>
      <w:r w:rsidR="003B2514" w:rsidRPr="005702ED">
        <w:rPr>
          <w:rFonts w:ascii="Arial" w:hAnsi="Arial" w:cs="Arial"/>
          <w:sz w:val="22"/>
          <w:szCs w:val="22"/>
          <w:lang w:val="en-US"/>
        </w:rPr>
        <w:instrText>ADDIN CSL_CITATION {"citationItems":[{"id":"ITEM-1","itemData":{"author":[{"dropping-particle":"","family":"Organization","given":"World Health","non-dropping-particle":"","parse-names":false,"suffix":""}],"id":"ITEM-1","issued":{"date-parts":[["2007"]]},"title":"WHO global report on falls prevention in older age.","type":"report"},"uris":["http://www.mendeley.com/documents/?uuid=8b4cc175-857e-410c-bac1-446ce238ace0"]},{"id":"ITEM-2","itemData":{"author":[{"dropping-particle":"","family":"Organization.","given":"World Health","non-dropping-particle":"","parse-names":false,"suffix":""}],"container-title":"http://www.who.int/news-room/fact-sheets/detail/falls","id":"ITEM-2","issued":{"date-parts":[["0"]]},"title":"No Title","type":"webpage"},"uris":["http://www.mendeley.com/documents/?uuid=e5a1cd16-c135-4050-88ee-c88173fe3df1"]}],"mendeley":{"formattedCitation":"(3,4)","plainTextFormattedCitation":"(3,4)","previouslyFormattedCitation":"(3,4)"},"properties":{"noteIndex":0},"schema":"https://github.com/citation-style-language/schema/raw/master/csl-citation.json"}</w:instrText>
      </w:r>
      <w:r w:rsidR="003C4B34" w:rsidRPr="005702ED">
        <w:rPr>
          <w:rFonts w:ascii="Arial" w:hAnsi="Arial" w:cs="Arial"/>
          <w:sz w:val="22"/>
          <w:szCs w:val="22"/>
          <w:lang w:val="en-US"/>
        </w:rPr>
        <w:fldChar w:fldCharType="separate"/>
      </w:r>
      <w:r w:rsidR="003C4B34" w:rsidRPr="005702ED">
        <w:rPr>
          <w:rFonts w:ascii="Arial" w:hAnsi="Arial" w:cs="Arial"/>
          <w:noProof/>
          <w:sz w:val="22"/>
          <w:szCs w:val="22"/>
          <w:lang w:val="en-US"/>
        </w:rPr>
        <w:t>(3,4)</w:t>
      </w:r>
      <w:r w:rsidR="003C4B34" w:rsidRPr="005702ED">
        <w:rPr>
          <w:rFonts w:ascii="Arial" w:hAnsi="Arial" w:cs="Arial"/>
          <w:sz w:val="22"/>
          <w:szCs w:val="22"/>
          <w:lang w:val="en-US"/>
        </w:rPr>
        <w:fldChar w:fldCharType="end"/>
      </w:r>
      <w:r w:rsidR="00EC1047" w:rsidRPr="005702ED">
        <w:rPr>
          <w:rFonts w:ascii="Arial" w:hAnsi="Arial" w:cs="Arial"/>
          <w:sz w:val="22"/>
          <w:szCs w:val="22"/>
          <w:lang w:val="en-US"/>
        </w:rPr>
        <w:t>.</w:t>
      </w:r>
    </w:p>
    <w:p w14:paraId="43B9AC2B" w14:textId="49780B52" w:rsidR="00A775B6" w:rsidRPr="005702ED" w:rsidRDefault="00855040" w:rsidP="00F13B59">
      <w:pPr>
        <w:spacing w:line="480" w:lineRule="auto"/>
        <w:jc w:val="both"/>
        <w:rPr>
          <w:rFonts w:ascii="Arial" w:hAnsi="Arial" w:cs="Arial"/>
          <w:sz w:val="22"/>
          <w:szCs w:val="22"/>
          <w:lang w:val="en-US"/>
        </w:rPr>
      </w:pPr>
      <w:r w:rsidRPr="005702ED">
        <w:rPr>
          <w:rFonts w:ascii="Arial" w:hAnsi="Arial" w:cs="Arial"/>
          <w:sz w:val="22"/>
          <w:szCs w:val="22"/>
          <w:lang w:val="en-US"/>
        </w:rPr>
        <w:t xml:space="preserve">Falling is important for older adults because it leads to functional impairment, disability, decreased quality of life, premature nursing home admission, increased length of stay in hospitals, and mortality </w:t>
      </w:r>
      <w:r w:rsidR="009771B8" w:rsidRPr="005702ED">
        <w:rPr>
          <w:rFonts w:ascii="Arial" w:hAnsi="Arial" w:cs="Arial"/>
          <w:b/>
          <w:sz w:val="22"/>
          <w:szCs w:val="22"/>
          <w:lang w:val="en-US"/>
        </w:rPr>
        <w:fldChar w:fldCharType="begin" w:fldLock="1"/>
      </w:r>
      <w:r w:rsidR="004E6FAE" w:rsidRPr="005702ED">
        <w:rPr>
          <w:rFonts w:ascii="Arial" w:hAnsi="Arial" w:cs="Arial"/>
          <w:b/>
          <w:sz w:val="22"/>
          <w:szCs w:val="22"/>
          <w:lang w:val="en-US"/>
        </w:rPr>
        <w:instrText>ADDIN CSL_CITATION {"citationItems":[{"id":"ITEM-1","itemData":{"DOI":"10.1093/geront/gnw156","ISSN":"0016-9013","PMID":"28011591","abstract":"Purpose of the Study:Falls are common events for hospitalized older adults, resulting in negative outcomes both for patients and hospitals. The Center for Medicare and Medicaid (CMS) has placed pressure on hospital administrators by identifying falls as a “never event”, resulting in a zero falls goal for many hospitals. Staff nurses are responsible for providing direct care to patients and for meeting the hospital no falls goal. Little is known about the impact of “zero falls” on nurses, patients and the organization.Design and Methods:A qualitative study, using Grounded Dimensional Analysis (GDA) was conducted to explore nurses’ experiences with fall prevention in hospital settings and the impact of those experiences on how nurses provide care to fall risk patients. Twenty-seven registered nurses and certified nursing assistants participated in in-depth interviews. Open, axial and selective coding was used to analyze data. A conceptual model which illustrates the impact of intense messaging from nursing administration to prevent patient falls on nurses, actions nurses take to address the message and the consequences to nurses, older adult patients and to the organization was developed.Results:Intense messaging from hospital administration to achieve zero falls resulted in nurses developing a fear of falls, protecting self and unit, and restricting fall risk patients as a way to stop messages and meet the hospital goal.Implications:Results of this study identify unintended consequences of fall prevention message on nurses and older adult patients. Further research is needed understand how nurse care for fall risk patients.","author":[{"dropping-particle":"","family":"King","given":"Barbara","non-dropping-particle":"","parse-names":false,"suffix":""},{"dropping-particle":"","family":"Pecanac","given":"Kristen","non-dropping-particle":"","parse-names":false,"suffix":""},{"dropping-particle":"","family":"Krupp","given":"Anna","non-dropping-particle":"","parse-names":false,"suffix":""},{"dropping-particle":"","family":"Liebzeit","given":"Daniel","non-dropping-particle":"","parse-names":false,"suffix":""},{"dropping-particle":"","family":"Mahoney","given":"Jane","non-dropping-particle":"","parse-names":false,"suffix":""}],"container-title":"The Gerontologist","id":"ITEM-1","issue":"2","issued":{"date-parts":[["2018"]]},"page":"331-340","title":"Impact of Fall Prevention on Nurses and Care of Fall Risk Patients","type":"article-journal","volume":"58"},"uris":["http://www.mendeley.com/documents/?uuid=c9f0bd73-4fc4-465a-9aa2-a748689b139c"]},{"id":"ITEM-2","itemData":{"DOI":"10.2147/CIA.S115755","ISSN":"11781998","PMID":"27695303","abstract":"BACKGROUND Inpatient geriatric falls are a frequent complication of hospital care that results in significant morbidity and mortality. OBJECTIVE Evaluate factors associated with falls in geriatric inpatients after implementation of the fall prevention program. METHODS Prospective observational study comprised of 788 consecutive patients aged 79.5±7.6 years ( [Formula: see text] ± standard deviation) (66% women and 34% men) admitted to the subacute geriatric ward. Comprehensive geriatric assessment (including Mini-Mental State Examination, Barthel Index of Activities of Daily Living, and modified Get-up and Go Test) was performed. Confusion Assessment Method was used for diagnosis of delirium. Patients were categorized into low, moderate, or high fall risk groups after clinical and functional assessment. RESULTS About 15.9%, 21.1%, and 63.1% of participants were classified into low, moderate, and high fall risk groups, respectively. Twenty-seven falls were recorded in 26 patients. Increased fall probability was associated with age ≥76 years (P&lt;0.001), body mass index (BMI) &lt;23.5 (P=0.007), Mini-Mental State Examination &lt;20 (P=0.004), Barthel Index &lt;65 (P=0.002), hemoglobin &lt;7.69 mmol/L (P=0.017), serum protein &lt;70 g/L (P=0.008), albumin &lt;32 g/L (P=0.001), and calcium level &lt;2.27 mmol/L. Four independent factors associated with fall risk were included in the multivariate logistic regression model: delirium (odds ratio [OR] =7.33; 95% confidence interval [95% CI] =2.76-19.49; P&lt;0.001), history of falls (OR =2.55; 95% CI =1.05-6.19; P=0.039), age (OR =1.14; 95% CI =1.05-1.23; P=0.001), and BMI (OR =0.91; 95% CI =0.83-0.99; P=0.034). CONCLUSION Delirium, history of falls, and advanced age seem to be the primary risk factors for geriatric falls in the context of a hospital fall prevention program. Higher BMI appears to be associated with protection against inpatient geriatric falls.","author":[{"dropping-particle":"","family":"Mazur","given":"Katarzyna","non-dropping-particle":"","parse-names":false,"suffix":""},{"dropping-particle":"","family":"Wilczyński","given":"Krzysztof","non-dropping-particle":"","parse-names":false,"suffix":""},{"dropping-particle":"","family":"Szewieczek","given":"Jan","non-dropping-particle":"","parse-names":false,"suffix":""}],"container-title":"Clin Interv Aging","id":"ITEM-2","issued":{"date-parts":[["2016"]]},"page":"1253-1261","title":"Geriatric falls in the context of a hospital fall prevention program: Delirium, low body mass index, and other risk factors","type":"article-journal","volume":"11"},"uris":["http://www.mendeley.com/documents/?uuid=45a83c8d-3247-484c-aaf5-73f98416cbb5"]}],"mendeley":{"formattedCitation":"(5,6)","plainTextFormattedCitation":"(5,6)","previouslyFormattedCitation":"(5,6)"},"properties":{"noteIndex":0},"schema":"https://github.com/citation-style-language/schema/raw/master/csl-citation.json"}</w:instrText>
      </w:r>
      <w:r w:rsidR="009771B8" w:rsidRPr="005702ED">
        <w:rPr>
          <w:rFonts w:ascii="Arial" w:hAnsi="Arial" w:cs="Arial"/>
          <w:b/>
          <w:sz w:val="22"/>
          <w:szCs w:val="22"/>
          <w:lang w:val="en-US"/>
        </w:rPr>
        <w:fldChar w:fldCharType="separate"/>
      </w:r>
      <w:r w:rsidR="00D56B63" w:rsidRPr="005702ED">
        <w:rPr>
          <w:rFonts w:ascii="Arial" w:hAnsi="Arial" w:cs="Arial"/>
          <w:noProof/>
          <w:sz w:val="22"/>
          <w:szCs w:val="22"/>
          <w:lang w:val="en-US"/>
        </w:rPr>
        <w:t>(5,6)</w:t>
      </w:r>
      <w:r w:rsidR="009771B8" w:rsidRPr="005702ED">
        <w:rPr>
          <w:rFonts w:ascii="Arial" w:hAnsi="Arial" w:cs="Arial"/>
          <w:b/>
          <w:sz w:val="22"/>
          <w:szCs w:val="22"/>
          <w:lang w:val="en-US"/>
        </w:rPr>
        <w:fldChar w:fldCharType="end"/>
      </w:r>
      <w:r w:rsidR="00DE2FCC" w:rsidRPr="005702ED">
        <w:rPr>
          <w:rFonts w:ascii="Arial" w:hAnsi="Arial" w:cs="Arial"/>
          <w:sz w:val="22"/>
          <w:szCs w:val="22"/>
          <w:lang w:val="en-US"/>
        </w:rPr>
        <w:t xml:space="preserve">. </w:t>
      </w:r>
      <w:r w:rsidR="00B174B0" w:rsidRPr="005702ED">
        <w:rPr>
          <w:rFonts w:ascii="Arial" w:hAnsi="Arial" w:cs="Arial"/>
          <w:sz w:val="22"/>
          <w:szCs w:val="22"/>
          <w:lang w:val="en-US"/>
        </w:rPr>
        <w:t>In addition</w:t>
      </w:r>
      <w:r w:rsidR="00BF0748" w:rsidRPr="005702ED">
        <w:rPr>
          <w:rFonts w:ascii="Arial" w:hAnsi="Arial" w:cs="Arial"/>
          <w:sz w:val="22"/>
          <w:szCs w:val="22"/>
          <w:lang w:val="en-US"/>
        </w:rPr>
        <w:t>,</w:t>
      </w:r>
      <w:r w:rsidR="00B174B0" w:rsidRPr="005702ED">
        <w:rPr>
          <w:rFonts w:ascii="Arial" w:hAnsi="Arial" w:cs="Arial"/>
          <w:sz w:val="22"/>
          <w:szCs w:val="22"/>
          <w:lang w:val="en-US"/>
        </w:rPr>
        <w:t xml:space="preserve"> the high incidenc</w:t>
      </w:r>
      <w:r w:rsidR="006167D7" w:rsidRPr="005702ED">
        <w:rPr>
          <w:rFonts w:ascii="Arial" w:hAnsi="Arial" w:cs="Arial"/>
          <w:sz w:val="22"/>
          <w:szCs w:val="22"/>
          <w:lang w:val="en-US"/>
        </w:rPr>
        <w:t>e and</w:t>
      </w:r>
      <w:r w:rsidR="00B174B0" w:rsidRPr="005702ED">
        <w:rPr>
          <w:rFonts w:ascii="Arial" w:hAnsi="Arial" w:cs="Arial"/>
          <w:sz w:val="22"/>
          <w:szCs w:val="22"/>
          <w:lang w:val="en-US"/>
        </w:rPr>
        <w:t xml:space="preserve"> long-term effects of falls cause high costs</w:t>
      </w:r>
      <w:r w:rsidR="00BF0748" w:rsidRPr="005702ED">
        <w:rPr>
          <w:rFonts w:ascii="Arial" w:hAnsi="Arial" w:cs="Arial"/>
          <w:sz w:val="22"/>
          <w:szCs w:val="22"/>
          <w:lang w:val="en-US"/>
        </w:rPr>
        <w:t xml:space="preserve"> </w:t>
      </w:r>
      <w:r w:rsidR="00B174B0" w:rsidRPr="005702ED">
        <w:rPr>
          <w:rFonts w:ascii="Arial" w:hAnsi="Arial" w:cs="Arial"/>
          <w:sz w:val="22"/>
          <w:szCs w:val="22"/>
          <w:lang w:val="en-US"/>
        </w:rPr>
        <w:t xml:space="preserve">and have </w:t>
      </w:r>
      <w:r w:rsidR="00BF0748" w:rsidRPr="005702ED">
        <w:rPr>
          <w:rFonts w:ascii="Arial" w:hAnsi="Arial" w:cs="Arial"/>
          <w:sz w:val="22"/>
          <w:szCs w:val="22"/>
          <w:lang w:val="en-US"/>
        </w:rPr>
        <w:t>an adverse effect</w:t>
      </w:r>
      <w:r w:rsidR="00B174B0" w:rsidRPr="005702ED">
        <w:rPr>
          <w:rFonts w:ascii="Arial" w:hAnsi="Arial" w:cs="Arial"/>
          <w:sz w:val="22"/>
          <w:szCs w:val="22"/>
          <w:lang w:val="en-US"/>
        </w:rPr>
        <w:t xml:space="preserve"> </w:t>
      </w:r>
      <w:r w:rsidR="006167D7" w:rsidRPr="005702ED">
        <w:rPr>
          <w:rFonts w:ascii="Arial" w:hAnsi="Arial" w:cs="Arial"/>
          <w:sz w:val="22"/>
          <w:szCs w:val="22"/>
          <w:lang w:val="en-US"/>
        </w:rPr>
        <w:t xml:space="preserve">on </w:t>
      </w:r>
      <w:r w:rsidR="00B174B0" w:rsidRPr="005702ED">
        <w:rPr>
          <w:rFonts w:ascii="Arial" w:hAnsi="Arial" w:cs="Arial"/>
          <w:sz w:val="22"/>
          <w:szCs w:val="22"/>
          <w:lang w:val="en-US"/>
        </w:rPr>
        <w:t xml:space="preserve">health </w:t>
      </w:r>
      <w:r w:rsidR="006167D7" w:rsidRPr="005702ED">
        <w:rPr>
          <w:rFonts w:ascii="Arial" w:hAnsi="Arial" w:cs="Arial"/>
          <w:sz w:val="22"/>
          <w:szCs w:val="22"/>
          <w:lang w:val="en-US"/>
        </w:rPr>
        <w:t xml:space="preserve">care </w:t>
      </w:r>
      <w:r w:rsidR="00B174B0" w:rsidRPr="005702ED">
        <w:rPr>
          <w:rFonts w:ascii="Arial" w:hAnsi="Arial" w:cs="Arial"/>
          <w:sz w:val="22"/>
          <w:szCs w:val="22"/>
          <w:lang w:val="en-US"/>
        </w:rPr>
        <w:t xml:space="preserve">systems. </w:t>
      </w:r>
      <w:r w:rsidR="00841700" w:rsidRPr="005702ED">
        <w:rPr>
          <w:rFonts w:ascii="Arial" w:hAnsi="Arial" w:cs="Arial"/>
          <w:sz w:val="22"/>
          <w:szCs w:val="22"/>
          <w:lang w:val="en-US"/>
        </w:rPr>
        <w:t xml:space="preserve">For this reason, it is necessary to identify causes of falls and risk </w:t>
      </w:r>
      <w:proofErr w:type="gramStart"/>
      <w:r w:rsidR="00841700" w:rsidRPr="005702ED">
        <w:rPr>
          <w:rFonts w:ascii="Arial" w:hAnsi="Arial" w:cs="Arial"/>
          <w:sz w:val="22"/>
          <w:szCs w:val="22"/>
          <w:lang w:val="en-US"/>
        </w:rPr>
        <w:t>factors</w:t>
      </w:r>
      <w:r w:rsidR="00470500" w:rsidRPr="005702ED">
        <w:rPr>
          <w:rFonts w:ascii="Arial" w:hAnsi="Arial" w:cs="Arial"/>
          <w:sz w:val="22"/>
          <w:szCs w:val="22"/>
          <w:lang w:val="en-US"/>
        </w:rPr>
        <w:t xml:space="preserve">, </w:t>
      </w:r>
      <w:r w:rsidR="00841700" w:rsidRPr="005702ED">
        <w:rPr>
          <w:rFonts w:ascii="Arial" w:hAnsi="Arial" w:cs="Arial"/>
          <w:sz w:val="22"/>
          <w:szCs w:val="22"/>
          <w:lang w:val="en-US"/>
        </w:rPr>
        <w:t>and</w:t>
      </w:r>
      <w:proofErr w:type="gramEnd"/>
      <w:r w:rsidR="00841700" w:rsidRPr="005702ED">
        <w:rPr>
          <w:rFonts w:ascii="Arial" w:hAnsi="Arial" w:cs="Arial"/>
          <w:sz w:val="22"/>
          <w:szCs w:val="22"/>
          <w:lang w:val="en-US"/>
        </w:rPr>
        <w:t xml:space="preserve"> take precautions for </w:t>
      </w:r>
      <w:r w:rsidR="008070FE" w:rsidRPr="005702ED">
        <w:rPr>
          <w:rFonts w:ascii="Arial" w:hAnsi="Arial" w:cs="Arial"/>
          <w:sz w:val="22"/>
          <w:szCs w:val="22"/>
          <w:lang w:val="en-US"/>
        </w:rPr>
        <w:t>modifiable</w:t>
      </w:r>
      <w:r w:rsidR="00841700" w:rsidRPr="005702ED">
        <w:rPr>
          <w:rFonts w:ascii="Arial" w:hAnsi="Arial" w:cs="Arial"/>
          <w:sz w:val="22"/>
          <w:szCs w:val="22"/>
          <w:lang w:val="en-US"/>
        </w:rPr>
        <w:t xml:space="preserve"> factors.</w:t>
      </w:r>
    </w:p>
    <w:p w14:paraId="450ED373" w14:textId="79AAD799" w:rsidR="0038043C" w:rsidRPr="005702ED" w:rsidRDefault="00B547E7" w:rsidP="0038043C">
      <w:pPr>
        <w:spacing w:line="480" w:lineRule="auto"/>
        <w:jc w:val="both"/>
        <w:rPr>
          <w:rFonts w:ascii="Arial" w:hAnsi="Arial" w:cs="Arial"/>
          <w:bCs/>
          <w:sz w:val="22"/>
          <w:szCs w:val="22"/>
          <w:lang w:val="en-US"/>
        </w:rPr>
      </w:pPr>
      <w:r w:rsidRPr="005702ED">
        <w:rPr>
          <w:rFonts w:ascii="Arial" w:hAnsi="Arial" w:cs="Arial"/>
          <w:sz w:val="22"/>
          <w:szCs w:val="22"/>
          <w:lang w:val="en-US"/>
        </w:rPr>
        <w:t>Previous falls; strength, gait, and balance impairments</w:t>
      </w:r>
      <w:r w:rsidR="00BF0748" w:rsidRPr="005702ED">
        <w:rPr>
          <w:rFonts w:ascii="Arial" w:hAnsi="Arial" w:cs="Arial"/>
          <w:sz w:val="22"/>
          <w:szCs w:val="22"/>
          <w:lang w:val="en-US"/>
        </w:rPr>
        <w:t>,</w:t>
      </w:r>
      <w:r w:rsidRPr="005702ED">
        <w:rPr>
          <w:rFonts w:ascii="Arial" w:hAnsi="Arial" w:cs="Arial"/>
          <w:sz w:val="22"/>
          <w:szCs w:val="22"/>
          <w:lang w:val="en-US"/>
        </w:rPr>
        <w:t xml:space="preserve"> and use of specific medications are among the strongest risk factors for falling </w:t>
      </w:r>
      <w:r w:rsidR="00A03D49" w:rsidRPr="005702ED">
        <w:rPr>
          <w:rFonts w:ascii="Arial" w:hAnsi="Arial" w:cs="Arial"/>
          <w:b/>
          <w:sz w:val="22"/>
          <w:szCs w:val="22"/>
          <w:lang w:val="en-US"/>
        </w:rPr>
        <w:fldChar w:fldCharType="begin" w:fldLock="1"/>
      </w:r>
      <w:r w:rsidR="00D56B63" w:rsidRPr="005702ED">
        <w:rPr>
          <w:rFonts w:ascii="Arial" w:hAnsi="Arial" w:cs="Arial"/>
          <w:b/>
          <w:sz w:val="22"/>
          <w:szCs w:val="22"/>
          <w:lang w:val="en-US"/>
        </w:rPr>
        <w:instrText>ADDIN CSL_CITATION {"citationItems":[{"id":"ITEM-1","itemData":{"DOI":"10.1001/jama.2009.2024","ISSN":"1538-3598","PMID":"20085954","abstract":"Falls are common health events that cause discomfort and disability for older adults and stress for caregivers. Using the case of an older man who has experienced multiple falls and a hip fracture, this article, which focuses on community-living older adults, addresses the consequences and etiology of falls; summarizes the evidence on predisposing factors and effective interventions; and discusses how to translate this evidence into patient care. Previous falls; strength, gait, and balance impairments; and medications are the strongest risk factors for falling. Effective single interventions include exercise and physical therapy, cataract surgery, and medication reduction. Evidence suggests that the most effective strategy for reducing the rate of falling in community-living older adults may be intervening on multiple risk factors. Vitamin D has the strongest clinical trial evidence of benefit for preventing fractures among older men at risk. Issues involved in incorporating these evidence-based fall prevention interventions into outpatient practice are discussed, as are the trade-offs inherent in managing older patients at risk of falling. While challenges and barriers exist, fall prevention strategies can be incorporated into clinical practice.","author":[{"dropping-particle":"","family":"Tinetti","given":"Mary E","non-dropping-particle":"","parse-names":false,"suffix":""},{"dropping-particle":"","family":"Kumar","given":"Chandrika","non-dropping-particle":"","parse-names":false,"suffix":""}],"container-title":"JAMA","id":"ITEM-1","issue":"3","issued":{"date-parts":[["2010"]]},"page":"258-266","title":"The patient who falls: \"It's always a trade-off\"","type":"article-journal","volume":"303"},"uris":["http://www.mendeley.com/documents/?uuid=a16656ad-1d46-48ba-bed1-f2db02a46ae7"]}],"mendeley":{"formattedCitation":"(2)","plainTextFormattedCitation":"(2)","previouslyFormattedCitation":"(2)"},"properties":{"noteIndex":0},"schema":"https://github.com/citation-style-language/schema/raw/master/csl-citation.json"}</w:instrText>
      </w:r>
      <w:r w:rsidR="00A03D49" w:rsidRPr="005702ED">
        <w:rPr>
          <w:rFonts w:ascii="Arial" w:hAnsi="Arial" w:cs="Arial"/>
          <w:b/>
          <w:sz w:val="22"/>
          <w:szCs w:val="22"/>
          <w:lang w:val="en-US"/>
        </w:rPr>
        <w:fldChar w:fldCharType="separate"/>
      </w:r>
      <w:r w:rsidR="00D56B63" w:rsidRPr="005702ED">
        <w:rPr>
          <w:rFonts w:ascii="Arial" w:hAnsi="Arial" w:cs="Arial"/>
          <w:noProof/>
          <w:sz w:val="22"/>
          <w:szCs w:val="22"/>
          <w:lang w:val="en-US"/>
        </w:rPr>
        <w:t>(2)</w:t>
      </w:r>
      <w:r w:rsidR="00A03D49" w:rsidRPr="005702ED">
        <w:rPr>
          <w:rFonts w:ascii="Arial" w:hAnsi="Arial" w:cs="Arial"/>
          <w:b/>
          <w:sz w:val="22"/>
          <w:szCs w:val="22"/>
          <w:lang w:val="en-US"/>
        </w:rPr>
        <w:fldChar w:fldCharType="end"/>
      </w:r>
      <w:r w:rsidR="00A03D49" w:rsidRPr="005702ED">
        <w:rPr>
          <w:rFonts w:ascii="Arial" w:hAnsi="Arial" w:cs="Arial"/>
          <w:sz w:val="22"/>
          <w:szCs w:val="22"/>
          <w:lang w:val="en-US"/>
        </w:rPr>
        <w:t>.</w:t>
      </w:r>
      <w:r w:rsidRPr="005702ED">
        <w:rPr>
          <w:rFonts w:ascii="Arial" w:hAnsi="Arial" w:cs="Arial"/>
          <w:color w:val="FF0000"/>
          <w:sz w:val="22"/>
          <w:szCs w:val="22"/>
          <w:lang w:val="en-US"/>
        </w:rPr>
        <w:t xml:space="preserve"> </w:t>
      </w:r>
      <w:r w:rsidR="00BF0748" w:rsidRPr="005702ED">
        <w:rPr>
          <w:rFonts w:ascii="Arial" w:hAnsi="Arial" w:cs="Arial"/>
          <w:sz w:val="22"/>
          <w:szCs w:val="22"/>
          <w:lang w:val="en-US"/>
        </w:rPr>
        <w:t>O</w:t>
      </w:r>
      <w:r w:rsidR="00FA07CC" w:rsidRPr="005702ED">
        <w:rPr>
          <w:rFonts w:ascii="Arial" w:hAnsi="Arial" w:cs="Arial"/>
          <w:sz w:val="22"/>
          <w:szCs w:val="22"/>
          <w:lang w:val="en-US"/>
        </w:rPr>
        <w:t>ther</w:t>
      </w:r>
      <w:r w:rsidR="00BF0748" w:rsidRPr="005702ED">
        <w:rPr>
          <w:rFonts w:ascii="Arial" w:hAnsi="Arial" w:cs="Arial"/>
          <w:sz w:val="22"/>
          <w:szCs w:val="22"/>
          <w:lang w:val="en-US"/>
        </w:rPr>
        <w:t xml:space="preserve"> identified</w:t>
      </w:r>
      <w:r w:rsidR="00EB3FAC" w:rsidRPr="005702ED">
        <w:rPr>
          <w:rFonts w:ascii="Arial" w:hAnsi="Arial" w:cs="Arial"/>
          <w:sz w:val="22"/>
          <w:szCs w:val="22"/>
          <w:lang w:val="en-US"/>
        </w:rPr>
        <w:t xml:space="preserve"> risk factors are advanced age, female sex, visual</w:t>
      </w:r>
      <w:r w:rsidR="002C46F7" w:rsidRPr="005702ED">
        <w:rPr>
          <w:rFonts w:ascii="Arial" w:hAnsi="Arial" w:cs="Arial"/>
          <w:sz w:val="22"/>
          <w:szCs w:val="22"/>
          <w:lang w:val="en-US"/>
        </w:rPr>
        <w:t xml:space="preserve"> impairment, polypharmacy,</w:t>
      </w:r>
      <w:r w:rsidR="00EB3FAC" w:rsidRPr="005702ED">
        <w:rPr>
          <w:rFonts w:ascii="Arial" w:hAnsi="Arial" w:cs="Arial"/>
          <w:sz w:val="22"/>
          <w:szCs w:val="22"/>
          <w:lang w:val="en-US"/>
        </w:rPr>
        <w:t xml:space="preserve"> cognitive decline, depression, chronic diseases, and environmental factors such as poor fitting footwear, slippery floor or loose rugs, lack of railings or bars, unstable furniture, and poor lighting</w:t>
      </w:r>
      <w:r w:rsidR="00FA07CC" w:rsidRPr="005702ED">
        <w:rPr>
          <w:rFonts w:ascii="Arial" w:hAnsi="Arial" w:cs="Arial"/>
          <w:sz w:val="22"/>
          <w:szCs w:val="22"/>
          <w:lang w:val="en-US"/>
        </w:rPr>
        <w:t xml:space="preserve"> </w:t>
      </w:r>
      <w:r w:rsidR="003161B3" w:rsidRPr="005702ED">
        <w:rPr>
          <w:rFonts w:ascii="Arial" w:hAnsi="Arial" w:cs="Arial"/>
          <w:b/>
          <w:sz w:val="22"/>
          <w:szCs w:val="22"/>
          <w:lang w:val="en-US"/>
        </w:rPr>
        <w:fldChar w:fldCharType="begin" w:fldLock="1"/>
      </w:r>
      <w:r w:rsidR="000E6996" w:rsidRPr="005702ED">
        <w:rPr>
          <w:rFonts w:ascii="Arial" w:hAnsi="Arial" w:cs="Arial"/>
          <w:b/>
          <w:sz w:val="22"/>
          <w:szCs w:val="22"/>
          <w:lang w:val="en-US"/>
        </w:rPr>
        <w:instrText>ADDIN CSL_CITATION {"citationItems":[{"id":"ITEM-1","itemData":{"DOI":"10.2147/CIA.S115755","ISSN":"11781998","PMID":"27695303","abstract":"BACKGROUND Inpatient geriatric falls are a frequent complication of hospital care that results in significant morbidity and mortality. OBJECTIVE Evaluate factors associated with falls in geriatric inpatients after implementation of the fall prevention program. METHODS Prospective observational study comprised of 788 consecutive patients aged 79.5±7.6 years ( [Formula: see text] ± standard deviation) (66% women and 34% men) admitted to the subacute geriatric ward. Comprehensive geriatric assessment (including Mini-Mental State Examination, Barthel Index of Activities of Daily Living, and modified Get-up and Go Test) was performed. Confusion Assessment Method was used for diagnosis of delirium. Patients were categorized into low, moderate, or high fall risk groups after clinical and functional assessment. RESULTS About 15.9%, 21.1%, and 63.1% of participants were classified into low, moderate, and high fall risk groups, respectively. Twenty-seven falls were recorded in 26 patients. Increased fall probability was associated with age ≥76 years (P&lt;0.001), body mass index (BMI) &lt;23.5 (P=0.007), Mini-Mental State Examination &lt;20 (P=0.004), Barthel Index &lt;65 (P=0.002), hemoglobin &lt;7.69 mmol/L (P=0.017), serum protein &lt;70 g/L (P=0.008), albumin &lt;32 g/L (P=0.001), and calcium level &lt;2.27 mmol/L. Four independent factors associated with fall risk were included in the multivariate logistic regression model: delirium (odds ratio [OR] =7.33; 95% confidence interval [95% CI] =2.76-19.49; P&lt;0.001), history of falls (OR =2.55; 95% CI =1.05-6.19; P=0.039), age (OR =1.14; 95% CI =1.05-1.23; P=0.001), and BMI (OR =0.91; 95% CI =0.83-0.99; P=0.034). CONCLUSION Delirium, history of falls, and advanced age seem to be the primary risk factors for geriatric falls in the context of a hospital fall prevention program. Higher BMI appears to be associated with protection against inpatient geriatric falls.","author":[{"dropping-particle":"","family":"Mazur","given":"Katarzyna","non-dropping-particle":"","parse-names":false,"suffix":""},{"dropping-particle":"","family":"Wilczyński","given":"Krzysztof","non-dropping-particle":"","parse-names":false,"suffix":""},{"dropping-particle":"","family":"Szewieczek","given":"Jan","non-dropping-particle":"","parse-names":false,"suffix":""}],"container-title":"Clin Interv Aging","id":"ITEM-1","issued":{"date-parts":[["2016"]]},"page":"1253-1261","title":"Geriatric falls in the context of a hospital fall prevention program: Delirium, low body mass index, and other risk factors","type":"article-journal","volume":"11"},"uris":["http://www.mendeley.com/documents/?uuid=45a83c8d-3247-484c-aaf5-73f98416cbb5"]},{"id":"ITEM-2","itemData":{"DOI":"10.1016/j.maturitas.2013.02.009","ISBN":"1873-4111 (Electronic)\\n0378-5122 (Linking)","ISSN":"03785122","PMID":"23523272","abstract":"Falls are one of the major causes of mortality and morbidity in older adults. Every year, an estimated 30-40% of patients over the age of 65 will fall at least once. Falls lead to moderate to severe injuries, fear of falling, loss of independence and death in a third of those patients. The direct costs alone from fall related injuries are a staggering 0.1% of all healthcare expenditures in the United States and up to 1.5% of healthcare costs in European countries. This figure does not include the indirect costs of loss of income both to the patient and caregiver, the intangible losses of mobility, confidence, and functional independence. Numerous studies have attempted to define the risk factors for falls in older adults. The present review provides a brief summary and update of the relevant literature, summarizing demographic and modifiable risk factors. The major risk factors identified are impaired balance and gait, polypharmacy, and history of previous falls. Other risk factors include advancing age, female gender, visual impairments, cognitive decline especially attention and executive dysfunction, and environmental factors. Recommendations for the clinician to manage falls in older patients are also summarized. © 2013 Elsevier Ireland Ltd.","author":[{"dropping-particle":"","family":"Ambrose","given":"Anne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M.","non-dropping-particle":"","parse-names":false,"suffix":""}],"container-title":"Maturitas","id":"ITEM-2","issue":"1","issued":{"date-parts":[["2013"]]},"page":"51-61","title":"Risk factors for falls among older adults: A review of the literature","type":"article-journal","volume":"75"},"uris":["http://www.mendeley.com/documents/?uuid=b8527e69-e8f5-4b69-86c9-84478ae4a601"]}],"mendeley":{"formattedCitation":"(6,7)","plainTextFormattedCitation":"(6,7)","previouslyFormattedCitation":"(6,7)"},"properties":{"noteIndex":0},"schema":"https://github.com/citation-style-language/schema/raw/master/csl-citation.json"}</w:instrText>
      </w:r>
      <w:r w:rsidR="003161B3" w:rsidRPr="005702ED">
        <w:rPr>
          <w:rFonts w:ascii="Arial" w:hAnsi="Arial" w:cs="Arial"/>
          <w:b/>
          <w:sz w:val="22"/>
          <w:szCs w:val="22"/>
          <w:lang w:val="en-US"/>
        </w:rPr>
        <w:fldChar w:fldCharType="separate"/>
      </w:r>
      <w:r w:rsidR="00C50E0F" w:rsidRPr="005702ED">
        <w:rPr>
          <w:rFonts w:ascii="Arial" w:hAnsi="Arial" w:cs="Arial"/>
          <w:noProof/>
          <w:sz w:val="22"/>
          <w:szCs w:val="22"/>
          <w:lang w:val="en-US"/>
        </w:rPr>
        <w:t>(6,7)</w:t>
      </w:r>
      <w:r w:rsidR="003161B3" w:rsidRPr="005702ED">
        <w:rPr>
          <w:rFonts w:ascii="Arial" w:hAnsi="Arial" w:cs="Arial"/>
          <w:b/>
          <w:sz w:val="22"/>
          <w:szCs w:val="22"/>
          <w:lang w:val="en-US"/>
        </w:rPr>
        <w:fldChar w:fldCharType="end"/>
      </w:r>
      <w:r w:rsidR="00EB3FAC" w:rsidRPr="005702ED">
        <w:rPr>
          <w:rFonts w:ascii="Arial" w:hAnsi="Arial" w:cs="Arial"/>
          <w:sz w:val="22"/>
          <w:szCs w:val="22"/>
          <w:lang w:val="en-US"/>
        </w:rPr>
        <w:t>.</w:t>
      </w:r>
      <w:r w:rsidR="00B52AC8" w:rsidRPr="005702ED">
        <w:rPr>
          <w:rFonts w:ascii="Arial" w:hAnsi="Arial" w:cs="Arial"/>
          <w:sz w:val="22"/>
          <w:szCs w:val="22"/>
          <w:lang w:val="en-US"/>
        </w:rPr>
        <w:t xml:space="preserve"> </w:t>
      </w:r>
      <w:r w:rsidR="009922A0" w:rsidRPr="005702ED">
        <w:rPr>
          <w:rFonts w:ascii="Arial" w:hAnsi="Arial" w:cs="Arial"/>
          <w:sz w:val="22"/>
          <w:szCs w:val="22"/>
          <w:lang w:val="en-US"/>
        </w:rPr>
        <w:t>Falls and</w:t>
      </w:r>
      <w:r w:rsidR="00E372E4" w:rsidRPr="005702ED">
        <w:rPr>
          <w:rFonts w:ascii="Arial" w:hAnsi="Arial" w:cs="Arial"/>
          <w:sz w:val="22"/>
          <w:szCs w:val="22"/>
          <w:lang w:val="en-US"/>
        </w:rPr>
        <w:t xml:space="preserve"> the</w:t>
      </w:r>
      <w:r w:rsidR="009922A0" w:rsidRPr="005702ED">
        <w:rPr>
          <w:rFonts w:ascii="Arial" w:hAnsi="Arial" w:cs="Arial"/>
          <w:sz w:val="22"/>
          <w:szCs w:val="22"/>
          <w:lang w:val="en-US"/>
        </w:rPr>
        <w:t xml:space="preserve"> risk factors als</w:t>
      </w:r>
      <w:r w:rsidR="006167D7" w:rsidRPr="005702ED">
        <w:rPr>
          <w:rFonts w:ascii="Arial" w:hAnsi="Arial" w:cs="Arial"/>
          <w:sz w:val="22"/>
          <w:szCs w:val="22"/>
          <w:lang w:val="en-US"/>
        </w:rPr>
        <w:t xml:space="preserve">o differ between </w:t>
      </w:r>
      <w:r w:rsidR="00FA07CC" w:rsidRPr="005702ED">
        <w:rPr>
          <w:rFonts w:ascii="Arial" w:hAnsi="Arial" w:cs="Arial"/>
          <w:sz w:val="22"/>
          <w:szCs w:val="22"/>
          <w:lang w:val="en-US"/>
        </w:rPr>
        <w:t>genders</w:t>
      </w:r>
      <w:r w:rsidR="006167D7" w:rsidRPr="005702ED">
        <w:rPr>
          <w:rFonts w:ascii="Arial" w:hAnsi="Arial" w:cs="Arial"/>
          <w:sz w:val="22"/>
          <w:szCs w:val="22"/>
          <w:lang w:val="en-US"/>
        </w:rPr>
        <w:t>. While</w:t>
      </w:r>
      <w:r w:rsidR="009922A0" w:rsidRPr="005702ED">
        <w:rPr>
          <w:rFonts w:ascii="Arial" w:hAnsi="Arial" w:cs="Arial"/>
          <w:sz w:val="22"/>
          <w:szCs w:val="22"/>
          <w:lang w:val="en-US"/>
        </w:rPr>
        <w:t xml:space="preserve"> non-fatal fall injury rates were higher among women, fatal fall rates are known to be higher among men</w:t>
      </w:r>
      <w:r w:rsidR="00AC204C" w:rsidRPr="005702ED">
        <w:rPr>
          <w:rFonts w:ascii="Arial" w:hAnsi="Arial" w:cs="Arial"/>
          <w:sz w:val="22"/>
          <w:szCs w:val="22"/>
          <w:lang w:val="en-US"/>
        </w:rPr>
        <w:t xml:space="preserve"> </w:t>
      </w:r>
      <w:r w:rsidR="009C45C7" w:rsidRPr="005702ED">
        <w:rPr>
          <w:rFonts w:ascii="Arial" w:hAnsi="Arial" w:cs="Arial"/>
          <w:sz w:val="22"/>
          <w:szCs w:val="22"/>
          <w:lang w:val="en-US"/>
        </w:rPr>
        <w:fldChar w:fldCharType="begin" w:fldLock="1"/>
      </w:r>
      <w:r w:rsidR="000E6996" w:rsidRPr="005702ED">
        <w:rPr>
          <w:rFonts w:ascii="Arial" w:hAnsi="Arial" w:cs="Arial"/>
          <w:sz w:val="22"/>
          <w:szCs w:val="22"/>
          <w:lang w:val="en-US"/>
        </w:rPr>
        <w:instrText>ADDIN CSL_CITATION {"citationItems":[{"id":"ITEM-1","itemData":{"DOI":"10.1016/j.amepre.2012.03.008","ISBN":"1873-2607 (Electronic)\\n0749-3797 (Linking)","ISSN":"07493797","PMID":"22704747","abstract":"Background: One third of adults aged &lt;65 years fall annually, and women are more likely than men to be treated for fall injuries in hospitals and emergency departments. Purpose: The aim of this study was to examine how men and women differed in seeking medical care for falls and in the information about falls they received from healthcare providers. Methods: This study, undertaken in 2010, analyzed population-based data from the 2005 Medicare Current Beneficiary Survey (MBCS), the most recent data available in 2010 from this survey. A sample of 12,052 community-dwelling Medicare beneficiaries aged &lt;65 years was used to examine male-female differences among 2794 who reported falling in the previous year, sought medical care for falls and/or discussed fall prevention with a healthcare provider. Multivariable logistic regression analyses were conducted to determine the factors associated with falling for men and women. P-values ≤0.05 were considered significant. Results: Nationally, an estimated seven million Medicare beneficiaries (22%) fell in the previous year. Among those who fell, significantly more women than men talked with a healthcare provider about falls and also discussed fall prevention (31.2% [95% CI=28.8%, 33.6%] vs 24.3% [95% CI=21.6%, 27.0%]). For both genders, falls were most strongly associated with two or more limitations in activities of daily living and often feeling sad or depressed. Conclusions: Women were significantly more likely than men to report falls, seek medical care, and/or discuss falls and fall prevention with a healthcare provider. Providers should consider asking all older patients about previous falls, especially older male patients who are least likely to seek medical attention or discuss falls with their doctors. ©2012 Published by Elsevier Inc. on behalf of American Journal of Preventive Medicine.","author":[{"dropping-particle":"","family":"Stevens","given":"Judy A.","non-dropping-particle":"","parse-names":false,"suffix":""},{"dropping-particle":"","family":"Ballesteros","given":"Michael F.","non-dropping-particle":"","parse-names":false,"suffix":""},{"dropping-particle":"","family":"Mack","given":"Karin A.","non-dropping-particle":"","parse-names":false,"suffix":""},{"dropping-particle":"","family":"Rudd","given":"Rose A.","non-dropping-particle":"","parse-names":false,"suffix":""},{"dropping-particle":"","family":"DeCaro","given":"Erin","non-dropping-particle":"","parse-names":false,"suffix":""},{"dropping-particle":"","family":"Adler","given":"Gerald","non-dropping-particle":"","parse-names":false,"suffix":""}],"container-title":"Am J Prev Med","id":"ITEM-1","issue":"1","issued":{"date-parts":[["2012"]]},"page":"59-62","title":"Gender differences in seeking care for falls in the aged Medicare population","type":"article-journal","volume":"43"},"uris":["http://www.mendeley.com/documents/?uuid=bf855026-00e1-41c4-bc14-32da8325db7f"]}],"mendeley":{"formattedCitation":"(8)","plainTextFormattedCitation":"(8)","previouslyFormattedCitation":"(8)"},"properties":{"noteIndex":0},"schema":"https://github.com/citation-style-language/schema/raw/master/csl-citation.json"}</w:instrText>
      </w:r>
      <w:r w:rsidR="009C45C7" w:rsidRPr="005702ED">
        <w:rPr>
          <w:rFonts w:ascii="Arial" w:hAnsi="Arial" w:cs="Arial"/>
          <w:sz w:val="22"/>
          <w:szCs w:val="22"/>
          <w:lang w:val="en-US"/>
        </w:rPr>
        <w:fldChar w:fldCharType="separate"/>
      </w:r>
      <w:r w:rsidR="00C50E0F" w:rsidRPr="005702ED">
        <w:rPr>
          <w:rFonts w:ascii="Arial" w:hAnsi="Arial" w:cs="Arial"/>
          <w:noProof/>
          <w:sz w:val="22"/>
          <w:szCs w:val="22"/>
          <w:lang w:val="en-US"/>
        </w:rPr>
        <w:t>(8)</w:t>
      </w:r>
      <w:r w:rsidR="009C45C7" w:rsidRPr="005702ED">
        <w:rPr>
          <w:rFonts w:ascii="Arial" w:hAnsi="Arial" w:cs="Arial"/>
          <w:sz w:val="22"/>
          <w:szCs w:val="22"/>
          <w:lang w:val="en-US"/>
        </w:rPr>
        <w:fldChar w:fldCharType="end"/>
      </w:r>
      <w:r w:rsidR="009922A0" w:rsidRPr="005702ED">
        <w:rPr>
          <w:rFonts w:ascii="Arial" w:hAnsi="Arial" w:cs="Arial"/>
          <w:sz w:val="22"/>
          <w:szCs w:val="22"/>
          <w:lang w:val="en-US"/>
        </w:rPr>
        <w:t xml:space="preserve">. </w:t>
      </w:r>
      <w:r w:rsidR="0028731B" w:rsidRPr="005702ED">
        <w:rPr>
          <w:rFonts w:ascii="Arial" w:hAnsi="Arial" w:cs="Arial"/>
          <w:sz w:val="22"/>
          <w:szCs w:val="22"/>
          <w:lang w:val="en-US"/>
        </w:rPr>
        <w:t xml:space="preserve">Although the reasons for the different fall rates between genders are not fully clarified, it is shown that differences in physical activity levels, bone mass, gait patterns, anthropometric structures, and some other sex-specific risk factors </w:t>
      </w:r>
      <w:r w:rsidR="00DA2A34" w:rsidRPr="005702ED">
        <w:rPr>
          <w:rFonts w:ascii="Arial" w:hAnsi="Arial" w:cs="Arial"/>
          <w:sz w:val="22"/>
          <w:szCs w:val="22"/>
          <w:lang w:val="en-US"/>
        </w:rPr>
        <w:t xml:space="preserve">can </w:t>
      </w:r>
      <w:r w:rsidR="0028731B" w:rsidRPr="005702ED">
        <w:rPr>
          <w:rFonts w:ascii="Arial" w:hAnsi="Arial" w:cs="Arial"/>
          <w:sz w:val="22"/>
          <w:szCs w:val="22"/>
          <w:lang w:val="en-US"/>
        </w:rPr>
        <w:t xml:space="preserve">affect this situation </w:t>
      </w:r>
      <w:r w:rsidR="002A5385" w:rsidRPr="005702ED">
        <w:rPr>
          <w:rFonts w:ascii="Arial" w:hAnsi="Arial" w:cs="Arial"/>
          <w:b/>
          <w:sz w:val="22"/>
          <w:szCs w:val="22"/>
          <w:lang w:val="en-US"/>
        </w:rPr>
        <w:fldChar w:fldCharType="begin" w:fldLock="1"/>
      </w:r>
      <w:r w:rsidR="000E6996" w:rsidRPr="005702ED">
        <w:rPr>
          <w:rFonts w:ascii="Arial" w:hAnsi="Arial" w:cs="Arial"/>
          <w:b/>
          <w:sz w:val="22"/>
          <w:szCs w:val="22"/>
          <w:lang w:val="en-US"/>
        </w:rPr>
        <w:instrText>ADDIN CSL_CITATION {"citationItems":[{"id":"ITEM-1","itemData":{"DOI":"10.1016/j.amepre.2012.03.008","ISBN":"1873-2607 (Electronic)\\n0749-3797 (Linking)","ISSN":"07493797","PMID":"22704747","abstract":"Background: One third of adults aged &lt;65 years fall annually, and women are more likely than men to be treated for fall injuries in hospitals and emergency departments. Purpose: The aim of this study was to examine how men and women differed in seeking medical care for falls and in the information about falls they received from healthcare providers. Methods: This study, undertaken in 2010, analyzed population-based data from the 2005 Medicare Current Beneficiary Survey (MBCS), the most recent data available in 2010 from this survey. A sample of 12,052 community-dwelling Medicare beneficiaries aged &lt;65 years was used to examine male-female differences among 2794 who reported falling in the previous year, sought medical care for falls and/or discussed fall prevention with a healthcare provider. Multivariable logistic regression analyses were conducted to determine the factors associated with falling for men and women. P-values ≤0.05 were considered significant. Results: Nationally, an estimated seven million Medicare beneficiaries (22%) fell in the previous year. Among those who fell, significantly more women than men talked with a healthcare provider about falls and also discussed fall prevention (31.2% [95% CI=28.8%, 33.6%] vs 24.3% [95% CI=21.6%, 27.0%]). For both genders, falls were most strongly associated with two or more limitations in activities of daily living and often feeling sad or depressed. Conclusions: Women were significantly more likely than men to report falls, seek medical care, and/or discuss falls and fall prevention with a healthcare provider. Providers should consider asking all older patients about previous falls, especially older male patients who are least likely to seek medical attention or discuss falls with their doctors. ©2012 Published by Elsevier Inc. on behalf of American Journal of Preventive Medicine.","author":[{"dropping-particle":"","family":"Stevens","given":"Judy A.","non-dropping-particle":"","parse-names":false,"suffix":""},{"dropping-particle":"","family":"Ballesteros","given":"Michael F.","non-dropping-particle":"","parse-names":false,"suffix":""},{"dropping-particle":"","family":"Mack","given":"Karin A.","non-dropping-particle":"","parse-names":false,"suffix":""},{"dropping-particle":"","family":"Rudd","given":"Rose A.","non-dropping-particle":"","parse-names":false,"suffix":""},{"dropping-particle":"","family":"DeCaro","given":"Erin","non-dropping-particle":"","parse-names":false,"suffix":""},{"dropping-particle":"","family":"Adler","given":"Gerald","non-dropping-particle":"","parse-names":false,"suffix":""}],"container-title":"Am J Prev Med","id":"ITEM-1","issue":"1","issued":{"date-parts":[["2012"]]},"page":"59-62","title":"Gender differences in seeking care for falls in the aged Medicare population","type":"article-journal","volume":"43"},"uris":["http://www.mendeley.com/documents/?uuid=bf855026-00e1-41c4-bc14-32da8325db7f"]},{"id":"ITEM-2","itemData":{"DOI":"10.1186/1471-2318-13-133","ISBN":"1471-2318","ISSN":"14712318","PMID":"24313971","abstract":"BACKGROUND: Despite extensive research on risk factors associated with falling in older adults, and current fall prevention interventions focusing on modifiable risk factors, there is a lack of detailed accounts of sex differences in risk factors, circumstances and consequences of falls in the literature. We examined the circumstances, consequences and resulting injuries of indoor and outdoor falls according to sex in a population study of older adults.\\n\\nMETHODS: Men and women 65 years and older (N = 743) were followed for fall events from the Maintenance of Balance, Independent Living, Intellect, and Zest in the Elderly (MOBILIZE) Boston prospective cohort study. Baseline measurements were collected by comprehensive clinical assessments, home visits and questionnaires. During the follow-up (median = 2.9 years), participants recorded daily fall occurrences on a monthly calendar, and fall circumstances were determined by a telephone interview. Falls were categorized by activity and place of falling. Circumstance-specific annualized fall rates were calculated and compared between men and women using negative binomial regression models.\\n\\nRESULTS: Women had lower rates of outdoor falls overall (Crude Rate Ratio (RR): 0.72, 95% Confidence Interval (CI): 0.56-0.92), in locations of recreation (RR: 0.34, 95% CI: 0.17-0.70), during vigorous activity (RR: 0.38, 95% CI: 0.18-0.81) and on snowy or icy surfaces (RR: 0.55, 95% CI: 0.36-0.86) compared to men. Women and men did not differ significantly in their rates of falls outdoors on sidewalks, streets, and curbs, and during walking. Compared to men, women had greater fall rates in the kitchen (RR: 1.88, 95% CI: 1.04-3.40) and while performing household activities (RR: 3.68, 95% CI: 1.50-8.98). The injurious outdoor fall rates were equivalent in both sexes. Women's overall rate of injurious indoor falls was nearly twice that of men's (RR: 1.98, 95% CI: 1.44-2.72), especially in the kitchen (RR: 6.83, 95% CI: 2.05-22.79), their own home (RR: 1.84, 95% CI: 1.30-2.59) and another residential home (RR: 4.65, 95% CI: 1.05-20.66) or other buildings (RR: 2.29, 95% CI: 1.18-4.44).\\n\\nCONCLUSIONS: Significant sex differences exist in the circumstances and injury potential when older adults fall indoors and outdoors, highlighting a need for focused prevention strategies for men and women.","author":[{"dropping-particle":"","family":"Duckham","given":"Rachel L.","non-dropping-particle":"","parse-names":false,"suffix":""},{"dropping-particle":"","family":"Procter-Gray","given":"Elizabeth","non-dropping-particle":"","parse-names":false,"suffix":""},{"dropping-particle":"","family":"Hannan","given":"Marian T.","non-dropping-particle":"","parse-names":false,"suffix":""},{"dropping-particle":"","family":"Leveille","given":"Suzanne G.","non-dropping-particle":"","parse-names":false,"suffix":""},{"dropping-particle":"","family":"Lipsitz","given":"Lewis A.","non-dropping-particle":"","parse-names":false,"suffix":""},{"dropping-particle":"","family":"Li","given":"Wenjun","non-dropping-particle":"","parse-names":false,"suffix":""}],"container-title":"BMC Geriatr","id":"ITEM-2","issued":{"date-parts":[["2013"]]},"page":"133","title":"Sex differences in circumstances and consequences of outdoor and indoor falls in older adults in the MOBILIZE Boston cohort study","type":"article-journal","volume":"13"},"uris":["http://www.mendeley.com/documents/?uuid=11195e10-015c-41a9-99f8-4fd99492fc97"]},{"id":"ITEM-3","itemData":{"DOI":"10.1136/ip.2004.005835","ISBN":"1353-8047 (Print)\\r1353-8047 (Linking)","ISSN":"13538047","PMID":"15805442","abstract":"Objectives: To quantify gender differences for non-fatal unintentional fall related injuries among US adults age 65 years and older treated in hospital emergency departments (EDs). Methods: The authors analyzed data from a nationally representative sample of ED visits for January 2001 through December 2001, available through the National Electronic Injury Surveillance System All Injury Program (NEISS-AIP). For each initial ED visit, coders record one principal diagnosis (usually the most severe) and one primary part of the body affected. Results: Based on 22 560 cases, an estimated 1.64 million older adults were treated in EDs for unintentional fall injuries. Of these, approximately 1.16 million, or 70.5%, were women. Fractures, contusions/abrasions, and lacerations accounted for more than three quarters of all injuries. Rates for injury diagnoses were generally higher among women, most notably for fractures which were 2.2 times higher than for men. For all parts of the body, women's injury rates exceeded those of men. Rate ratios were greatest for injuries of the leg/foot (2.3), arm/hand (2.0), and lower trunk (2.0). The hospitalization rate for women was 1.8 times that for men. Conclusions: Among older adults, non-fatal fall related injuries disproportionately affected women. Much is known about effective fall prevention strategies. We need to refine, promote, and implement these interventions. Additional research is needed to tailor interventions for different populations and to determine gender differences in the underlying causes and/or circumstances of falls. This information is vital for developing and implementing targeted fall prevention strategies. F","author":[{"dropping-particle":"","family":"Stevens","given":"J. A.","non-dropping-particle":"","parse-names":false,"suffix":""},{"dropping-particle":"","family":"Sogolow","given":"E. D.","non-dropping-particle":"","parse-names":false,"suffix":""}],"container-title":"Inj Prev","id":"ITEM-3","issue":"2","issued":{"date-parts":[["2005"]]},"page":"115-119","title":"Gender differences for non-fatal unintentional fall related injuries among older adults","type":"article-journal","volume":"11"},"uris":["http://www.mendeley.com/documents/?uuid=88b159d1-84f5-4777-a7d3-74f4efd65dc7"]}],"mendeley":{"formattedCitation":"(8–10)","plainTextFormattedCitation":"(8–10)","previouslyFormattedCitation":"(8–10)"},"properties":{"noteIndex":0},"schema":"https://github.com/citation-style-language/schema/raw/master/csl-citation.json"}</w:instrText>
      </w:r>
      <w:r w:rsidR="002A5385" w:rsidRPr="005702ED">
        <w:rPr>
          <w:rFonts w:ascii="Arial" w:hAnsi="Arial" w:cs="Arial"/>
          <w:b/>
          <w:sz w:val="22"/>
          <w:szCs w:val="22"/>
          <w:lang w:val="en-US"/>
        </w:rPr>
        <w:fldChar w:fldCharType="separate"/>
      </w:r>
      <w:r w:rsidR="00C50E0F" w:rsidRPr="005702ED">
        <w:rPr>
          <w:rFonts w:ascii="Arial" w:hAnsi="Arial" w:cs="Arial"/>
          <w:noProof/>
          <w:sz w:val="22"/>
          <w:szCs w:val="22"/>
          <w:lang w:val="en-US"/>
        </w:rPr>
        <w:t>(8–10)</w:t>
      </w:r>
      <w:r w:rsidR="002A5385" w:rsidRPr="005702ED">
        <w:rPr>
          <w:rFonts w:ascii="Arial" w:hAnsi="Arial" w:cs="Arial"/>
          <w:b/>
          <w:sz w:val="22"/>
          <w:szCs w:val="22"/>
          <w:lang w:val="en-US"/>
        </w:rPr>
        <w:fldChar w:fldCharType="end"/>
      </w:r>
      <w:r w:rsidR="009922A0" w:rsidRPr="005702ED">
        <w:rPr>
          <w:rFonts w:ascii="Arial" w:hAnsi="Arial" w:cs="Arial"/>
          <w:sz w:val="22"/>
          <w:szCs w:val="22"/>
          <w:lang w:val="en-US"/>
        </w:rPr>
        <w:t>.</w:t>
      </w:r>
      <w:r w:rsidR="00120EF1" w:rsidRPr="005702ED">
        <w:rPr>
          <w:rFonts w:ascii="Arial" w:hAnsi="Arial" w:cs="Arial"/>
          <w:sz w:val="22"/>
          <w:szCs w:val="22"/>
          <w:lang w:val="en-US"/>
        </w:rPr>
        <w:t xml:space="preserve"> </w:t>
      </w:r>
      <w:r w:rsidR="0038043C" w:rsidRPr="005702ED">
        <w:rPr>
          <w:rFonts w:ascii="Arial" w:hAnsi="Arial" w:cs="Arial"/>
          <w:sz w:val="22"/>
          <w:szCs w:val="22"/>
          <w:lang w:val="en-US"/>
        </w:rPr>
        <w:t xml:space="preserve"> A number of </w:t>
      </w:r>
      <w:r w:rsidR="00855D7A" w:rsidRPr="005702ED">
        <w:rPr>
          <w:rFonts w:ascii="Arial" w:hAnsi="Arial" w:cs="Arial"/>
          <w:sz w:val="22"/>
          <w:szCs w:val="22"/>
          <w:lang w:val="en-US"/>
        </w:rPr>
        <w:t>studies</w:t>
      </w:r>
      <w:r w:rsidR="0038043C" w:rsidRPr="005702ED">
        <w:rPr>
          <w:rFonts w:ascii="Arial" w:hAnsi="Arial" w:cs="Arial"/>
          <w:sz w:val="22"/>
          <w:szCs w:val="22"/>
          <w:lang w:val="en-US"/>
        </w:rPr>
        <w:t xml:space="preserve"> have </w:t>
      </w:r>
      <w:r w:rsidR="00120EF1" w:rsidRPr="005702ED">
        <w:rPr>
          <w:rFonts w:ascii="Arial" w:hAnsi="Arial" w:cs="Arial"/>
          <w:sz w:val="22"/>
          <w:szCs w:val="22"/>
          <w:lang w:val="en-US"/>
        </w:rPr>
        <w:t xml:space="preserve">reported that </w:t>
      </w:r>
      <w:r w:rsidR="0038043C" w:rsidRPr="005702ED">
        <w:rPr>
          <w:rFonts w:ascii="Arial" w:hAnsi="Arial" w:cs="Arial"/>
          <w:sz w:val="22"/>
          <w:szCs w:val="22"/>
          <w:lang w:val="en-US"/>
        </w:rPr>
        <w:t>there are</w:t>
      </w:r>
      <w:r w:rsidR="00120EF1" w:rsidRPr="005702ED">
        <w:rPr>
          <w:rFonts w:ascii="Arial" w:hAnsi="Arial" w:cs="Arial"/>
          <w:sz w:val="22"/>
          <w:szCs w:val="22"/>
          <w:lang w:val="en-US"/>
        </w:rPr>
        <w:t xml:space="preserve"> different fall risk factors, </w:t>
      </w:r>
      <w:r w:rsidR="00855D7A" w:rsidRPr="005702ED">
        <w:rPr>
          <w:rFonts w:ascii="Arial" w:hAnsi="Arial" w:cs="Arial"/>
          <w:sz w:val="22"/>
          <w:szCs w:val="22"/>
          <w:lang w:val="en-US"/>
        </w:rPr>
        <w:t xml:space="preserve">different </w:t>
      </w:r>
      <w:r w:rsidR="00855D7A" w:rsidRPr="005702ED">
        <w:rPr>
          <w:rFonts w:ascii="Arial" w:hAnsi="Arial" w:cs="Arial"/>
          <w:bCs/>
          <w:sz w:val="22"/>
          <w:szCs w:val="22"/>
          <w:lang w:val="en-US"/>
        </w:rPr>
        <w:t>consequences, and different fall characteristics</w:t>
      </w:r>
      <w:r w:rsidR="0038043C" w:rsidRPr="005702ED">
        <w:rPr>
          <w:rFonts w:ascii="Arial" w:hAnsi="Arial" w:cs="Arial"/>
          <w:bCs/>
          <w:sz w:val="22"/>
          <w:szCs w:val="22"/>
          <w:lang w:val="en-US"/>
        </w:rPr>
        <w:t xml:space="preserve"> between women and men.</w:t>
      </w:r>
      <w:r w:rsidR="00C16D36" w:rsidRPr="005702ED">
        <w:rPr>
          <w:rFonts w:ascii="Arial" w:hAnsi="Arial" w:cs="Arial"/>
          <w:bCs/>
          <w:sz w:val="22"/>
          <w:szCs w:val="22"/>
          <w:lang w:val="en-US"/>
        </w:rPr>
        <w:t xml:space="preserve">  </w:t>
      </w:r>
      <w:r w:rsidR="00C16D36" w:rsidRPr="005702ED">
        <w:rPr>
          <w:rFonts w:ascii="Arial" w:hAnsi="Arial" w:cs="Arial"/>
          <w:b/>
          <w:bCs/>
          <w:sz w:val="22"/>
          <w:szCs w:val="22"/>
          <w:lang w:val="en-US"/>
        </w:rPr>
        <w:fldChar w:fldCharType="begin" w:fldLock="1"/>
      </w:r>
      <w:r w:rsidR="000E6996" w:rsidRPr="005702ED">
        <w:rPr>
          <w:rFonts w:ascii="Arial" w:hAnsi="Arial" w:cs="Arial"/>
          <w:b/>
          <w:bCs/>
          <w:sz w:val="22"/>
          <w:szCs w:val="22"/>
          <w:lang w:val="en-US"/>
        </w:rPr>
        <w:instrText>ADDIN CSL_CITATION {"citationItems":[{"id":"ITEM-1","itemData":{"DOI":"10.1016/j.amepre.2012.03.008","ISBN":"1873-2607 (Electronic)\\n0749-3797 (Linking)","ISSN":"07493797","PMID":"22704747","abstract":"Background: One third of adults aged &lt;65 years fall annually, and women are more likely than men to be treated for fall injuries in hospitals and emergency departments. Purpose: The aim of this study was to examine how men and women differed in seeking medical care for falls and in the information about falls they received from healthcare providers. Methods: This study, undertaken in 2010, analyzed population-based data from the 2005 Medicare Current Beneficiary Survey (MBCS), the most recent data available in 2010 from this survey. A sample of 12,052 community-dwelling Medicare beneficiaries aged &lt;65 years was used to examine male-female differences among 2794 who reported falling in the previous year, sought medical care for falls and/or discussed fall prevention with a healthcare provider. Multivariable logistic regression analyses were conducted to determine the factors associated with falling for men and women. P-values ≤0.05 were considered significant. Results: Nationally, an estimated seven million Medicare beneficiaries (22%) fell in the previous year. Among those who fell, significantly more women than men talked with a healthcare provider about falls and also discussed fall prevention (31.2% [95% CI=28.8%, 33.6%] vs 24.3% [95% CI=21.6%, 27.0%]). For both genders, falls were most strongly associated with two or more limitations in activities of daily living and often feeling sad or depressed. Conclusions: Women were significantly more likely than men to report falls, seek medical care, and/or discuss falls and fall prevention with a healthcare provider. Providers should consider asking all older patients about previous falls, especially older male patients who are least likely to seek medical attention or discuss falls with their doctors. ©2012 Published by Elsevier Inc. on behalf of American Journal of Preventive Medicine.","author":[{"dropping-particle":"","family":"Stevens","given":"Judy A.","non-dropping-particle":"","parse-names":false,"suffix":""},{"dropping-particle":"","family":"Ballesteros","given":"Michael F.","non-dropping-particle":"","parse-names":false,"suffix":""},{"dropping-particle":"","family":"Mack","given":"Karin A.","non-dropping-particle":"","parse-names":false,"suffix":""},{"dropping-particle":"","family":"Rudd","given":"Rose A.","non-dropping-particle":"","parse-names":false,"suffix":""},{"dropping-particle":"","family":"DeCaro","given":"Erin","non-dropping-particle":"","parse-names":false,"suffix":""},{"dropping-particle":"","family":"Adler","given":"Gerald","non-dropping-particle":"","parse-names":false,"suffix":""}],"container-title":"Am J Prev Med","id":"ITEM-1","issue":"1","issued":{"date-parts":[["2012"]]},"page":"59-62","title":"Gender differences in seeking care for falls in the aged Medicare population","type":"article-journal","volume":"43"},"uris":["http://www.mendeley.com/documents/?uuid=bf855026-00e1-41c4-bc14-32da8325db7f"]},{"id":"ITEM-2","itemData":{"DOI":"10.1186/1471-2318-13-133","ISBN":"1471-2318","ISSN":"14712318","PMID":"24313971","abstract":"BACKGROUND: Despite extensive research on risk factors associated with falling in older adults, and current fall prevention interventions focusing on modifiable risk factors, there is a lack of detailed accounts of sex differences in risk factors, circumstances and consequences of falls in the literature. We examined the circumstances, consequences and resulting injuries of indoor and outdoor falls according to sex in a population study of older adults.\\n\\nMETHODS: Men and women 65 years and older (N = 743) were followed for fall events from the Maintenance of Balance, Independent Living, Intellect, and Zest in the Elderly (MOBILIZE) Boston prospective cohort study. Baseline measurements were collected by comprehensive clinical assessments, home visits and questionnaires. During the follow-up (median = 2.9 years), participants recorded daily fall occurrences on a monthly calendar, and fall circumstances were determined by a telephone interview. Falls were categorized by activity and place of falling. Circumstance-specific annualized fall rates were calculated and compared between men and women using negative binomial regression models.\\n\\nRESULTS: Women had lower rates of outdoor falls overall (Crude Rate Ratio (RR): 0.72, 95% Confidence Interval (CI): 0.56-0.92), in locations of recreation (RR: 0.34, 95% CI: 0.17-0.70), during vigorous activity (RR: 0.38, 95% CI: 0.18-0.81) and on snowy or icy surfaces (RR: 0.55, 95% CI: 0.36-0.86) compared to men. Women and men did not differ significantly in their rates of falls outdoors on sidewalks, streets, and curbs, and during walking. Compared to men, women had greater fall rates in the kitchen (RR: 1.88, 95% CI: 1.04-3.40) and while performing household activities (RR: 3.68, 95% CI: 1.50-8.98). The injurious outdoor fall rates were equivalent in both sexes. Women's overall rate of injurious indoor falls was nearly twice that of men's (RR: 1.98, 95% CI: 1.44-2.72), especially in the kitchen (RR: 6.83, 95% CI: 2.05-22.79), their own home (RR: 1.84, 95% CI: 1.30-2.59) and another residential home (RR: 4.65, 95% CI: 1.05-20.66) or other buildings (RR: 2.29, 95% CI: 1.18-4.44).\\n\\nCONCLUSIONS: Significant sex differences exist in the circumstances and injury potential when older adults fall indoors and outdoors, highlighting a need for focused prevention strategies for men and women.","author":[{"dropping-particle":"","family":"Duckham","given":"Rachel L.","non-dropping-particle":"","parse-names":false,"suffix":""},{"dropping-particle":"","family":"Procter-Gray","given":"Elizabeth","non-dropping-particle":"","parse-names":false,"suffix":""},{"dropping-particle":"","family":"Hannan","given":"Marian T.","non-dropping-particle":"","parse-names":false,"suffix":""},{"dropping-particle":"","family":"Leveille","given":"Suzanne G.","non-dropping-particle":"","parse-names":false,"suffix":""},{"dropping-particle":"","family":"Lipsitz","given":"Lewis A.","non-dropping-particle":"","parse-names":false,"suffix":""},{"dropping-particle":"","family":"Li","given":"Wenjun","non-dropping-particle":"","parse-names":false,"suffix":""}],"container-title":"BMC Geriatr","id":"ITEM-2","issued":{"date-parts":[["2013"]]},"page":"133","title":"Sex differences in circumstances and consequences of outdoor and indoor falls in older adults in the MOBILIZE Boston cohort study","type":"article-journal","volume":"13"},"uris":["http://www.mendeley.com/documents/?uuid=11195e10-015c-41a9-99f8-4fd99492fc97"]},{"id":"ITEM-3","itemData":{"DOI":"10.1136/ip.2004.005835","ISBN":"1353-8047 (Print)\\r1353-8047 (Linking)","ISSN":"13538047","PMID":"15805442","abstract":"Objectives: To quantify gender differences for non-fatal unintentional fall related injuries among US adults age 65 years and older treated in hospital emergency departments (EDs). Methods: The authors analyzed data from a nationally representative sample of ED visits for January 2001 through December 2001, available through the National Electronic Injury Surveillance System All Injury Program (NEISS-AIP). For each initial ED visit, coders record one principal diagnosis (usually the most severe) and one primary part of the body affected. Results: Based on 22 560 cases, an estimated 1.64 million older adults were treated in EDs for unintentional fall injuries. Of these, approximately 1.16 million, or 70.5%, were women. Fractures, contusions/abrasions, and lacerations accounted for more than three quarters of all injuries. Rates for injury diagnoses were generally higher among women, most notably for fractures which were 2.2 times higher than for men. For all parts of the body, women's injury rates exceeded those of men. Rate ratios were greatest for injuries of the leg/foot (2.3), arm/hand (2.0), and lower trunk (2.0). The hospitalization rate for women was 1.8 times that for men. Conclusions: Among older adults, non-fatal fall related injuries disproportionately affected women. Much is known about effective fall prevention strategies. We need to refine, promote, and implement these interventions. Additional research is needed to tailor interventions for different populations and to determine gender differences in the underlying causes and/or circumstances of falls. This information is vital for developing and implementing targeted fall prevention strategies. F","author":[{"dropping-particle":"","family":"Stevens","given":"J. A.","non-dropping-particle":"","parse-names":false,"suffix":""},{"dropping-particle":"","family":"Sogolow","given":"E. D.","non-dropping-particle":"","parse-names":false,"suffix":""}],"container-title":"Inj Prev","id":"ITEM-3","issue":"2","issued":{"date-parts":[["2005"]]},"page":"115-119","title":"Gender differences for non-fatal unintentional fall related injuries among older adults","type":"article-journal","volume":"11"},"uris":["http://www.mendeley.com/documents/?uuid=88b159d1-84f5-4777-a7d3-74f4efd65dc7"]}],"mendeley":{"formattedCitation":"(8–10)","plainTextFormattedCitation":"(8–10)","previouslyFormattedCitation":"(8–10)"},"properties":{"noteIndex":0},"schema":"https://github.com/citation-style-language/schema/raw/master/csl-citation.json"}</w:instrText>
      </w:r>
      <w:r w:rsidR="00C16D36" w:rsidRPr="005702ED">
        <w:rPr>
          <w:rFonts w:ascii="Arial" w:hAnsi="Arial" w:cs="Arial"/>
          <w:b/>
          <w:bCs/>
          <w:sz w:val="22"/>
          <w:szCs w:val="22"/>
          <w:lang w:val="en-US"/>
        </w:rPr>
        <w:fldChar w:fldCharType="separate"/>
      </w:r>
      <w:r w:rsidR="00C50E0F" w:rsidRPr="005702ED">
        <w:rPr>
          <w:rFonts w:ascii="Arial" w:hAnsi="Arial" w:cs="Arial"/>
          <w:bCs/>
          <w:noProof/>
          <w:sz w:val="22"/>
          <w:szCs w:val="22"/>
          <w:lang w:val="en-US"/>
        </w:rPr>
        <w:t>(8–10)</w:t>
      </w:r>
      <w:r w:rsidR="00C16D36" w:rsidRPr="005702ED">
        <w:rPr>
          <w:rFonts w:ascii="Arial" w:hAnsi="Arial" w:cs="Arial"/>
          <w:bCs/>
          <w:sz w:val="22"/>
          <w:szCs w:val="22"/>
          <w:lang w:val="en-US"/>
        </w:rPr>
        <w:fldChar w:fldCharType="end"/>
      </w:r>
      <w:r w:rsidR="00C16D36" w:rsidRPr="005702ED">
        <w:rPr>
          <w:rFonts w:ascii="Arial" w:hAnsi="Arial" w:cs="Arial"/>
          <w:bCs/>
          <w:sz w:val="22"/>
          <w:szCs w:val="22"/>
          <w:lang w:val="en-US"/>
        </w:rPr>
        <w:t xml:space="preserve"> </w:t>
      </w:r>
      <w:r w:rsidR="007A0591" w:rsidRPr="005702ED">
        <w:rPr>
          <w:rFonts w:ascii="Arial" w:hAnsi="Arial" w:cs="Arial"/>
          <w:bCs/>
          <w:sz w:val="22"/>
          <w:szCs w:val="22"/>
          <w:lang w:val="en-US"/>
        </w:rPr>
        <w:t>Furthermore,</w:t>
      </w:r>
      <w:r w:rsidR="0038043C" w:rsidRPr="005702ED">
        <w:rPr>
          <w:rFonts w:ascii="Arial" w:hAnsi="Arial" w:cs="Arial"/>
          <w:bCs/>
          <w:sz w:val="22"/>
          <w:szCs w:val="22"/>
          <w:lang w:val="en-US"/>
        </w:rPr>
        <w:t xml:space="preserve"> the results of these studies are not similar since the studies evaluated the patients with different methods.</w:t>
      </w:r>
      <w:r w:rsidR="00921C2D" w:rsidRPr="005702ED">
        <w:rPr>
          <w:rFonts w:ascii="Arial" w:hAnsi="Arial" w:cs="Arial"/>
          <w:bCs/>
          <w:sz w:val="22"/>
          <w:szCs w:val="22"/>
          <w:lang w:val="en-US"/>
        </w:rPr>
        <w:t xml:space="preserve"> Therefore,</w:t>
      </w:r>
      <w:r w:rsidR="00AE369B" w:rsidRPr="005702ED">
        <w:rPr>
          <w:rFonts w:ascii="Arial" w:hAnsi="Arial" w:cs="Arial"/>
          <w:bCs/>
          <w:sz w:val="22"/>
          <w:szCs w:val="22"/>
          <w:lang w:val="en-US"/>
        </w:rPr>
        <w:t xml:space="preserve"> the present study aims</w:t>
      </w:r>
      <w:r w:rsidR="00921C2D" w:rsidRPr="005702ED">
        <w:rPr>
          <w:rFonts w:ascii="Arial" w:hAnsi="Arial" w:cs="Arial"/>
          <w:bCs/>
          <w:sz w:val="22"/>
          <w:szCs w:val="22"/>
          <w:lang w:val="en-US"/>
        </w:rPr>
        <w:t xml:space="preserve"> to </w:t>
      </w:r>
      <w:r w:rsidR="00AE369B" w:rsidRPr="005702ED">
        <w:rPr>
          <w:rFonts w:ascii="Arial" w:hAnsi="Arial" w:cs="Arial"/>
          <w:bCs/>
          <w:sz w:val="22"/>
          <w:szCs w:val="22"/>
          <w:lang w:val="en-US"/>
        </w:rPr>
        <w:t xml:space="preserve">identify </w:t>
      </w:r>
      <w:r w:rsidR="00921C2D" w:rsidRPr="005702ED">
        <w:rPr>
          <w:rFonts w:ascii="Arial" w:hAnsi="Arial" w:cs="Arial"/>
          <w:bCs/>
          <w:sz w:val="22"/>
          <w:szCs w:val="22"/>
          <w:lang w:val="en-US"/>
        </w:rPr>
        <w:t xml:space="preserve">risk factors </w:t>
      </w:r>
      <w:r w:rsidR="00FB603F" w:rsidRPr="005702ED">
        <w:rPr>
          <w:rFonts w:ascii="Arial" w:hAnsi="Arial" w:cs="Arial"/>
          <w:sz w:val="22"/>
          <w:szCs w:val="22"/>
          <w:lang w:val="en-US"/>
        </w:rPr>
        <w:t>that increase risk of fa</w:t>
      </w:r>
      <w:r w:rsidR="00CD435D" w:rsidRPr="005702ED">
        <w:rPr>
          <w:rFonts w:ascii="Arial" w:hAnsi="Arial" w:cs="Arial"/>
          <w:sz w:val="22"/>
          <w:szCs w:val="22"/>
          <w:lang w:val="en-US"/>
        </w:rPr>
        <w:t>ll</w:t>
      </w:r>
      <w:r w:rsidR="00470500" w:rsidRPr="005702ED">
        <w:rPr>
          <w:rFonts w:ascii="Arial" w:hAnsi="Arial" w:cs="Arial"/>
          <w:sz w:val="22"/>
          <w:szCs w:val="22"/>
          <w:lang w:val="en-US"/>
        </w:rPr>
        <w:t>ing</w:t>
      </w:r>
      <w:r w:rsidR="00CD435D" w:rsidRPr="005702ED">
        <w:rPr>
          <w:rFonts w:ascii="Arial" w:hAnsi="Arial" w:cs="Arial"/>
          <w:sz w:val="22"/>
          <w:szCs w:val="22"/>
          <w:lang w:val="en-US"/>
        </w:rPr>
        <w:t xml:space="preserve"> </w:t>
      </w:r>
      <w:r w:rsidR="00921C2D" w:rsidRPr="005702ED">
        <w:rPr>
          <w:rFonts w:ascii="Arial" w:hAnsi="Arial" w:cs="Arial"/>
          <w:bCs/>
          <w:sz w:val="22"/>
          <w:szCs w:val="22"/>
          <w:lang w:val="en-US"/>
        </w:rPr>
        <w:t xml:space="preserve">in only older women </w:t>
      </w:r>
      <w:r w:rsidR="00AE369B" w:rsidRPr="005702ED">
        <w:rPr>
          <w:rFonts w:ascii="Arial" w:hAnsi="Arial" w:cs="Arial"/>
          <w:bCs/>
          <w:sz w:val="22"/>
          <w:szCs w:val="22"/>
          <w:lang w:val="en-US"/>
        </w:rPr>
        <w:t xml:space="preserve">using </w:t>
      </w:r>
      <w:r w:rsidR="00921C2D" w:rsidRPr="005702ED">
        <w:rPr>
          <w:rFonts w:ascii="Arial" w:hAnsi="Arial" w:cs="Arial"/>
          <w:bCs/>
          <w:sz w:val="22"/>
          <w:szCs w:val="22"/>
          <w:lang w:val="en-US"/>
        </w:rPr>
        <w:t xml:space="preserve">four different </w:t>
      </w:r>
      <w:r w:rsidR="00AE369B" w:rsidRPr="005702ED">
        <w:rPr>
          <w:rFonts w:ascii="Arial" w:hAnsi="Arial" w:cs="Arial"/>
          <w:bCs/>
          <w:sz w:val="22"/>
          <w:szCs w:val="22"/>
          <w:lang w:val="en-US"/>
        </w:rPr>
        <w:t xml:space="preserve">but all common </w:t>
      </w:r>
      <w:r w:rsidR="00921C2D" w:rsidRPr="005702ED">
        <w:rPr>
          <w:rFonts w:ascii="Arial" w:hAnsi="Arial" w:cs="Arial"/>
          <w:bCs/>
          <w:sz w:val="22"/>
          <w:szCs w:val="22"/>
          <w:lang w:val="en-US"/>
        </w:rPr>
        <w:t xml:space="preserve">fall risk assessment </w:t>
      </w:r>
      <w:r w:rsidR="00481943" w:rsidRPr="005702ED">
        <w:rPr>
          <w:rFonts w:ascii="Arial" w:hAnsi="Arial" w:cs="Arial"/>
          <w:bCs/>
          <w:sz w:val="22"/>
          <w:szCs w:val="22"/>
          <w:lang w:val="en-US"/>
        </w:rPr>
        <w:t>met</w:t>
      </w:r>
      <w:r w:rsidR="001E285D" w:rsidRPr="005702ED">
        <w:rPr>
          <w:rFonts w:ascii="Arial" w:hAnsi="Arial" w:cs="Arial"/>
          <w:bCs/>
          <w:sz w:val="22"/>
          <w:szCs w:val="22"/>
          <w:lang w:val="en-US"/>
        </w:rPr>
        <w:t>h</w:t>
      </w:r>
      <w:r w:rsidR="00481943" w:rsidRPr="005702ED">
        <w:rPr>
          <w:rFonts w:ascii="Arial" w:hAnsi="Arial" w:cs="Arial"/>
          <w:bCs/>
          <w:sz w:val="22"/>
          <w:szCs w:val="22"/>
          <w:lang w:val="en-US"/>
        </w:rPr>
        <w:t>od</w:t>
      </w:r>
      <w:r w:rsidR="00921C2D" w:rsidRPr="005702ED">
        <w:rPr>
          <w:rFonts w:ascii="Arial" w:hAnsi="Arial" w:cs="Arial"/>
          <w:bCs/>
          <w:sz w:val="22"/>
          <w:szCs w:val="22"/>
          <w:lang w:val="en-US"/>
        </w:rPr>
        <w:t>s</w:t>
      </w:r>
      <w:r w:rsidR="002C46F7" w:rsidRPr="005702ED">
        <w:rPr>
          <w:rFonts w:ascii="Arial" w:hAnsi="Arial" w:cs="Arial"/>
          <w:bCs/>
          <w:sz w:val="22"/>
          <w:szCs w:val="22"/>
          <w:lang w:val="en-US"/>
        </w:rPr>
        <w:t xml:space="preserve">. These methods include </w:t>
      </w:r>
      <w:r w:rsidR="0042294C" w:rsidRPr="005702ED">
        <w:rPr>
          <w:rFonts w:ascii="Arial" w:hAnsi="Arial" w:cs="Arial"/>
          <w:bCs/>
          <w:sz w:val="22"/>
          <w:szCs w:val="22"/>
          <w:lang w:val="en-US"/>
        </w:rPr>
        <w:t>history of fallin</w:t>
      </w:r>
      <w:r w:rsidR="006F23D4" w:rsidRPr="005702ED">
        <w:rPr>
          <w:rFonts w:ascii="Arial" w:hAnsi="Arial" w:cs="Arial"/>
          <w:bCs/>
          <w:sz w:val="22"/>
          <w:szCs w:val="22"/>
          <w:lang w:val="en-US"/>
        </w:rPr>
        <w:t>g</w:t>
      </w:r>
      <w:r w:rsidR="0042294C" w:rsidRPr="005702ED">
        <w:rPr>
          <w:rFonts w:ascii="Arial" w:hAnsi="Arial" w:cs="Arial"/>
          <w:bCs/>
          <w:sz w:val="22"/>
          <w:szCs w:val="22"/>
          <w:lang w:val="en-US"/>
        </w:rPr>
        <w:t xml:space="preserve"> last year, Performance-Oriented Mobility Assessment (POMA), Timed Up and Go (TUG) test and 4-meter walking speed test</w:t>
      </w:r>
      <w:r w:rsidR="00921C2D" w:rsidRPr="005702ED">
        <w:rPr>
          <w:rFonts w:ascii="Arial" w:hAnsi="Arial" w:cs="Arial"/>
          <w:bCs/>
          <w:sz w:val="22"/>
          <w:szCs w:val="22"/>
          <w:lang w:val="en-US"/>
        </w:rPr>
        <w:t xml:space="preserve">. </w:t>
      </w:r>
    </w:p>
    <w:p w14:paraId="64D2B6D8" w14:textId="77777777" w:rsidR="001629E0" w:rsidRPr="005702ED" w:rsidRDefault="001629E0" w:rsidP="00F209BF">
      <w:pPr>
        <w:spacing w:line="480" w:lineRule="auto"/>
        <w:jc w:val="both"/>
        <w:rPr>
          <w:rFonts w:ascii="Arial" w:hAnsi="Arial" w:cs="Arial"/>
          <w:sz w:val="22"/>
          <w:szCs w:val="22"/>
          <w:lang w:val="en-US"/>
        </w:rPr>
      </w:pPr>
    </w:p>
    <w:p w14:paraId="02BD7508" w14:textId="10BE2476" w:rsidR="00C20BA9" w:rsidRPr="005702ED" w:rsidRDefault="004C253C" w:rsidP="00F209BF">
      <w:pPr>
        <w:spacing w:line="360" w:lineRule="auto"/>
        <w:jc w:val="both"/>
        <w:rPr>
          <w:rFonts w:ascii="Arial" w:hAnsi="Arial" w:cs="Arial"/>
          <w:b/>
          <w:sz w:val="22"/>
          <w:szCs w:val="22"/>
          <w:lang w:val="en-US"/>
        </w:rPr>
      </w:pPr>
      <w:r w:rsidRPr="005702ED">
        <w:rPr>
          <w:rFonts w:ascii="Arial" w:hAnsi="Arial" w:cs="Arial"/>
          <w:b/>
          <w:sz w:val="22"/>
          <w:szCs w:val="22"/>
          <w:lang w:val="en-US"/>
        </w:rPr>
        <w:t>M</w:t>
      </w:r>
      <w:r w:rsidR="003B7152" w:rsidRPr="005702ED">
        <w:rPr>
          <w:rFonts w:ascii="Arial" w:hAnsi="Arial" w:cs="Arial"/>
          <w:b/>
          <w:sz w:val="22"/>
          <w:szCs w:val="22"/>
          <w:lang w:val="en-US"/>
        </w:rPr>
        <w:t>aterials and m</w:t>
      </w:r>
      <w:r w:rsidRPr="005702ED">
        <w:rPr>
          <w:rFonts w:ascii="Arial" w:hAnsi="Arial" w:cs="Arial"/>
          <w:b/>
          <w:sz w:val="22"/>
          <w:szCs w:val="22"/>
          <w:lang w:val="en-US"/>
        </w:rPr>
        <w:t>ethods</w:t>
      </w:r>
    </w:p>
    <w:p w14:paraId="393F7159" w14:textId="63C045C7" w:rsidR="00FE09BA" w:rsidRPr="005702ED" w:rsidRDefault="00AE369B" w:rsidP="00F209BF">
      <w:pPr>
        <w:pStyle w:val="HTMLPreformatted"/>
        <w:shd w:val="clear" w:color="auto" w:fill="FFFFFF"/>
        <w:spacing w:line="480" w:lineRule="auto"/>
        <w:jc w:val="both"/>
        <w:rPr>
          <w:rFonts w:ascii="Arial" w:hAnsi="Arial" w:cs="Arial"/>
          <w:sz w:val="22"/>
          <w:szCs w:val="22"/>
          <w:u w:val="none"/>
          <w:lang w:val="en-US"/>
        </w:rPr>
      </w:pPr>
      <w:r w:rsidRPr="005702ED">
        <w:rPr>
          <w:rFonts w:ascii="Arial" w:hAnsi="Arial" w:cs="Arial"/>
          <w:sz w:val="22"/>
          <w:szCs w:val="22"/>
          <w:u w:val="none"/>
          <w:lang w:val="en-US"/>
        </w:rPr>
        <w:t>A t</w:t>
      </w:r>
      <w:r w:rsidR="00921266" w:rsidRPr="005702ED">
        <w:rPr>
          <w:rFonts w:ascii="Arial" w:hAnsi="Arial" w:cs="Arial"/>
          <w:sz w:val="22"/>
          <w:szCs w:val="22"/>
          <w:u w:val="none"/>
          <w:lang w:val="en-US"/>
        </w:rPr>
        <w:t>otal of 682</w:t>
      </w:r>
      <w:r w:rsidR="00FE09BA" w:rsidRPr="005702ED">
        <w:rPr>
          <w:rFonts w:ascii="Arial" w:hAnsi="Arial" w:cs="Arial"/>
          <w:sz w:val="22"/>
          <w:szCs w:val="22"/>
          <w:u w:val="none"/>
          <w:lang w:val="en-US"/>
        </w:rPr>
        <w:t xml:space="preserve"> </w:t>
      </w:r>
      <w:r w:rsidR="00921266" w:rsidRPr="005702ED">
        <w:rPr>
          <w:rFonts w:ascii="Arial" w:hAnsi="Arial" w:cs="Arial"/>
          <w:sz w:val="22"/>
          <w:szCs w:val="22"/>
          <w:u w:val="none"/>
          <w:lang w:val="en-US"/>
        </w:rPr>
        <w:t>women</w:t>
      </w:r>
      <w:r w:rsidR="00FE09BA" w:rsidRPr="005702ED">
        <w:rPr>
          <w:rFonts w:ascii="Arial" w:hAnsi="Arial" w:cs="Arial"/>
          <w:sz w:val="22"/>
          <w:szCs w:val="22"/>
          <w:u w:val="none"/>
          <w:lang w:val="en-US"/>
        </w:rPr>
        <w:t xml:space="preserve"> who were admitted to </w:t>
      </w:r>
      <w:proofErr w:type="spellStart"/>
      <w:r w:rsidR="00FE09BA" w:rsidRPr="005702ED">
        <w:rPr>
          <w:rFonts w:ascii="Arial" w:hAnsi="Arial" w:cs="Arial"/>
          <w:sz w:val="22"/>
          <w:szCs w:val="22"/>
          <w:u w:val="none"/>
          <w:lang w:val="en-US"/>
        </w:rPr>
        <w:t>Dokuz</w:t>
      </w:r>
      <w:proofErr w:type="spellEnd"/>
      <w:r w:rsidR="00FE09BA" w:rsidRPr="005702ED">
        <w:rPr>
          <w:rFonts w:ascii="Arial" w:hAnsi="Arial" w:cs="Arial"/>
          <w:sz w:val="22"/>
          <w:szCs w:val="22"/>
          <w:u w:val="none"/>
          <w:lang w:val="en-US"/>
        </w:rPr>
        <w:t xml:space="preserve"> </w:t>
      </w:r>
      <w:proofErr w:type="spellStart"/>
      <w:r w:rsidR="00FE09BA" w:rsidRPr="005702ED">
        <w:rPr>
          <w:rFonts w:ascii="Arial" w:hAnsi="Arial" w:cs="Arial"/>
          <w:sz w:val="22"/>
          <w:szCs w:val="22"/>
          <w:u w:val="none"/>
          <w:lang w:val="en-US"/>
        </w:rPr>
        <w:t>Eylul</w:t>
      </w:r>
      <w:proofErr w:type="spellEnd"/>
      <w:r w:rsidR="00FE09BA" w:rsidRPr="005702ED">
        <w:rPr>
          <w:rFonts w:ascii="Arial" w:hAnsi="Arial" w:cs="Arial"/>
          <w:sz w:val="22"/>
          <w:szCs w:val="22"/>
          <w:u w:val="none"/>
          <w:lang w:val="en-US"/>
        </w:rPr>
        <w:t xml:space="preserve"> University, Department of Geriatrics between 03.2014-04.2018</w:t>
      </w:r>
      <w:r w:rsidR="0005393D" w:rsidRPr="005702ED">
        <w:rPr>
          <w:rFonts w:ascii="Arial" w:hAnsi="Arial" w:cs="Arial"/>
          <w:sz w:val="22"/>
          <w:szCs w:val="22"/>
          <w:u w:val="none"/>
          <w:lang w:val="en-US"/>
        </w:rPr>
        <w:t>,</w:t>
      </w:r>
      <w:r w:rsidR="00755171" w:rsidRPr="005702ED">
        <w:rPr>
          <w:rFonts w:ascii="Arial" w:hAnsi="Arial" w:cs="Arial"/>
          <w:sz w:val="22"/>
          <w:szCs w:val="22"/>
          <w:u w:val="none"/>
          <w:lang w:val="en-US"/>
        </w:rPr>
        <w:t xml:space="preserve"> </w:t>
      </w:r>
      <w:r w:rsidR="0005393D" w:rsidRPr="005702ED">
        <w:rPr>
          <w:rFonts w:ascii="Arial" w:hAnsi="Arial" w:cs="Arial"/>
          <w:sz w:val="22"/>
          <w:szCs w:val="22"/>
          <w:u w:val="none"/>
          <w:lang w:val="en-US"/>
        </w:rPr>
        <w:t xml:space="preserve">underwent comprehensive geriatric assessment, </w:t>
      </w:r>
      <w:r w:rsidR="00FE09BA" w:rsidRPr="005702ED">
        <w:rPr>
          <w:rFonts w:ascii="Arial" w:hAnsi="Arial" w:cs="Arial"/>
          <w:sz w:val="22"/>
          <w:szCs w:val="22"/>
          <w:u w:val="none"/>
          <w:lang w:val="en-US"/>
        </w:rPr>
        <w:t xml:space="preserve">and who have no exclusion criteria were included in this </w:t>
      </w:r>
      <w:r w:rsidR="00A81E28" w:rsidRPr="005702ED">
        <w:rPr>
          <w:rFonts w:ascii="Arial" w:hAnsi="Arial" w:cs="Arial"/>
          <w:sz w:val="22"/>
          <w:szCs w:val="22"/>
          <w:u w:val="none"/>
          <w:lang w:val="en-US"/>
        </w:rPr>
        <w:t xml:space="preserve">retrospective </w:t>
      </w:r>
      <w:r w:rsidR="00FE09BA" w:rsidRPr="005702ED">
        <w:rPr>
          <w:rFonts w:ascii="Arial" w:hAnsi="Arial" w:cs="Arial"/>
          <w:sz w:val="22"/>
          <w:szCs w:val="22"/>
          <w:u w:val="none"/>
          <w:lang w:val="en-US"/>
        </w:rPr>
        <w:t>study. The investigation conformed to the Declaration of Helsinki and was approved by the local ethics committee.</w:t>
      </w:r>
    </w:p>
    <w:p w14:paraId="51EC3B13" w14:textId="77777777" w:rsidR="00541D83" w:rsidRPr="005702ED" w:rsidRDefault="00541D83" w:rsidP="00F209BF">
      <w:pPr>
        <w:pStyle w:val="HTMLPreformatted"/>
        <w:shd w:val="clear" w:color="auto" w:fill="FFFFFF"/>
        <w:spacing w:line="480" w:lineRule="auto"/>
        <w:jc w:val="both"/>
        <w:rPr>
          <w:rFonts w:ascii="Arial" w:hAnsi="Arial" w:cs="Arial"/>
          <w:b/>
          <w:sz w:val="22"/>
          <w:szCs w:val="22"/>
          <w:u w:val="none"/>
          <w:shd w:val="clear" w:color="auto" w:fill="FFFFFF"/>
          <w:lang w:val="en-US"/>
        </w:rPr>
      </w:pPr>
      <w:r w:rsidRPr="005702ED">
        <w:rPr>
          <w:rFonts w:ascii="Arial" w:hAnsi="Arial" w:cs="Arial"/>
          <w:b/>
          <w:sz w:val="22"/>
          <w:szCs w:val="22"/>
          <w:u w:val="none"/>
          <w:shd w:val="clear" w:color="auto" w:fill="FFFFFF"/>
          <w:lang w:val="en-US"/>
        </w:rPr>
        <w:t xml:space="preserve">Exclusion criteria </w:t>
      </w:r>
    </w:p>
    <w:p w14:paraId="1A9DDA15" w14:textId="77777777" w:rsidR="00A237ED" w:rsidRPr="005702ED" w:rsidRDefault="00590074" w:rsidP="00A237ED">
      <w:pPr>
        <w:autoSpaceDE w:val="0"/>
        <w:autoSpaceDN w:val="0"/>
        <w:adjustRightInd w:val="0"/>
        <w:spacing w:line="480" w:lineRule="auto"/>
        <w:jc w:val="both"/>
        <w:rPr>
          <w:rFonts w:ascii="Arial" w:eastAsia="Times New Roman" w:hAnsi="Arial" w:cs="Arial"/>
          <w:color w:val="212121"/>
          <w:sz w:val="22"/>
          <w:szCs w:val="22"/>
          <w:shd w:val="clear" w:color="auto" w:fill="FFFFFF"/>
          <w:lang w:val="en-US" w:eastAsia="tr-TR"/>
        </w:rPr>
      </w:pPr>
      <w:r w:rsidRPr="005702ED">
        <w:rPr>
          <w:rFonts w:ascii="Arial" w:eastAsia="Times New Roman" w:hAnsi="Arial" w:cs="Arial"/>
          <w:color w:val="212121"/>
          <w:sz w:val="22"/>
          <w:szCs w:val="22"/>
          <w:shd w:val="clear" w:color="auto" w:fill="FFFFFF"/>
          <w:lang w:val="en-US" w:eastAsia="tr-TR"/>
        </w:rPr>
        <w:t>The exclusion criteria are as follows:</w:t>
      </w:r>
    </w:p>
    <w:p w14:paraId="34227B01" w14:textId="77777777" w:rsidR="00A237ED" w:rsidRPr="005702ED" w:rsidRDefault="00590074" w:rsidP="00A237ED">
      <w:pPr>
        <w:autoSpaceDE w:val="0"/>
        <w:autoSpaceDN w:val="0"/>
        <w:adjustRightInd w:val="0"/>
        <w:spacing w:line="480" w:lineRule="auto"/>
        <w:jc w:val="both"/>
        <w:rPr>
          <w:rFonts w:ascii="Arial" w:eastAsia="Times New Roman" w:hAnsi="Arial" w:cs="Arial"/>
          <w:color w:val="212121"/>
          <w:sz w:val="22"/>
          <w:szCs w:val="22"/>
          <w:shd w:val="clear" w:color="auto" w:fill="FFFFFF"/>
          <w:lang w:val="en-US" w:eastAsia="tr-TR"/>
        </w:rPr>
      </w:pPr>
      <w:r w:rsidRPr="005702ED">
        <w:rPr>
          <w:rFonts w:ascii="Arial" w:eastAsia="Times New Roman" w:hAnsi="Arial" w:cs="Arial"/>
          <w:color w:val="212121"/>
          <w:sz w:val="22"/>
          <w:szCs w:val="22"/>
          <w:shd w:val="clear" w:color="auto" w:fill="FFFFFF"/>
          <w:lang w:val="en-US" w:eastAsia="tr-TR"/>
        </w:rPr>
        <w:t>- Patients who have a history of severe illness that may impair general health status, such as acute cerebrovascular event, gastrointestinal bleeding, sepsis, acute renal failure, acute coronary syndrome, acute liver failure, and acute respiratory failure</w:t>
      </w:r>
    </w:p>
    <w:p w14:paraId="5DB810D2" w14:textId="62496131" w:rsidR="00590074" w:rsidRPr="005702ED" w:rsidRDefault="00590074" w:rsidP="00A237ED">
      <w:pPr>
        <w:autoSpaceDE w:val="0"/>
        <w:autoSpaceDN w:val="0"/>
        <w:adjustRightInd w:val="0"/>
        <w:spacing w:line="480" w:lineRule="auto"/>
        <w:jc w:val="both"/>
        <w:rPr>
          <w:rFonts w:ascii="Arial" w:eastAsia="Times New Roman" w:hAnsi="Arial" w:cs="Arial"/>
          <w:color w:val="212121"/>
          <w:sz w:val="22"/>
          <w:szCs w:val="22"/>
          <w:shd w:val="clear" w:color="auto" w:fill="FFFFFF"/>
          <w:lang w:val="en-US" w:eastAsia="tr-TR"/>
        </w:rPr>
      </w:pPr>
      <w:r w:rsidRPr="005702ED">
        <w:rPr>
          <w:rFonts w:ascii="Arial" w:eastAsia="Times New Roman" w:hAnsi="Arial" w:cs="Arial"/>
          <w:color w:val="212121"/>
          <w:sz w:val="22"/>
          <w:szCs w:val="22"/>
          <w:shd w:val="clear" w:color="auto" w:fill="FFFFFF"/>
          <w:lang w:val="en-US" w:eastAsia="tr-TR"/>
        </w:rPr>
        <w:t>- Patients under 65 years of age</w:t>
      </w:r>
    </w:p>
    <w:p w14:paraId="796A1FF4" w14:textId="77777777" w:rsidR="00590074" w:rsidRPr="005702ED" w:rsidRDefault="00590074" w:rsidP="00A237ED">
      <w:pPr>
        <w:autoSpaceDE w:val="0"/>
        <w:autoSpaceDN w:val="0"/>
        <w:adjustRightInd w:val="0"/>
        <w:spacing w:line="480" w:lineRule="auto"/>
        <w:jc w:val="both"/>
        <w:rPr>
          <w:rFonts w:ascii="Arial" w:eastAsia="Times New Roman" w:hAnsi="Arial" w:cs="Arial"/>
          <w:color w:val="212121"/>
          <w:sz w:val="22"/>
          <w:szCs w:val="22"/>
          <w:shd w:val="clear" w:color="auto" w:fill="FFFFFF"/>
          <w:lang w:val="en-US" w:eastAsia="tr-TR"/>
        </w:rPr>
      </w:pPr>
      <w:r w:rsidRPr="005702ED">
        <w:rPr>
          <w:rFonts w:ascii="Arial" w:eastAsia="Times New Roman" w:hAnsi="Arial" w:cs="Arial"/>
          <w:color w:val="212121"/>
          <w:sz w:val="22"/>
          <w:szCs w:val="22"/>
          <w:shd w:val="clear" w:color="auto" w:fill="FFFFFF"/>
          <w:lang w:val="en-US" w:eastAsia="tr-TR"/>
        </w:rPr>
        <w:t>- Patients with a pacemaker (because of contraindication to electrical bioimpedance)</w:t>
      </w:r>
    </w:p>
    <w:p w14:paraId="7758C168" w14:textId="77777777" w:rsidR="00590074" w:rsidRPr="005702ED" w:rsidRDefault="00590074" w:rsidP="00A237ED">
      <w:pPr>
        <w:autoSpaceDE w:val="0"/>
        <w:autoSpaceDN w:val="0"/>
        <w:adjustRightInd w:val="0"/>
        <w:spacing w:line="480" w:lineRule="auto"/>
        <w:jc w:val="both"/>
        <w:rPr>
          <w:rFonts w:ascii="Arial" w:eastAsia="Times New Roman" w:hAnsi="Arial" w:cs="Arial"/>
          <w:color w:val="212121"/>
          <w:sz w:val="22"/>
          <w:szCs w:val="22"/>
          <w:shd w:val="clear" w:color="auto" w:fill="FFFFFF"/>
          <w:lang w:val="en-US" w:eastAsia="tr-TR"/>
        </w:rPr>
      </w:pPr>
      <w:r w:rsidRPr="005702ED">
        <w:rPr>
          <w:rFonts w:ascii="Arial" w:eastAsia="Times New Roman" w:hAnsi="Arial" w:cs="Arial"/>
          <w:color w:val="212121"/>
          <w:sz w:val="22"/>
          <w:szCs w:val="22"/>
          <w:shd w:val="clear" w:color="auto" w:fill="FFFFFF"/>
          <w:lang w:val="en-US" w:eastAsia="tr-TR"/>
        </w:rPr>
        <w:t>- Patients who did not agree to undergo the CGA.</w:t>
      </w:r>
    </w:p>
    <w:p w14:paraId="3CA8EFBF" w14:textId="77777777" w:rsidR="00A237ED" w:rsidRPr="005702ED" w:rsidRDefault="00590074" w:rsidP="00A237ED">
      <w:pPr>
        <w:autoSpaceDE w:val="0"/>
        <w:autoSpaceDN w:val="0"/>
        <w:adjustRightInd w:val="0"/>
        <w:spacing w:after="240" w:line="480" w:lineRule="auto"/>
        <w:jc w:val="both"/>
        <w:rPr>
          <w:rFonts w:ascii="Arial" w:eastAsia="Times New Roman" w:hAnsi="Arial" w:cs="Arial"/>
          <w:color w:val="212121"/>
          <w:sz w:val="22"/>
          <w:szCs w:val="22"/>
          <w:shd w:val="clear" w:color="auto" w:fill="FFFFFF"/>
          <w:lang w:val="en-US" w:eastAsia="tr-TR"/>
        </w:rPr>
      </w:pPr>
      <w:r w:rsidRPr="005702ED">
        <w:rPr>
          <w:rFonts w:ascii="Arial" w:eastAsia="Times New Roman" w:hAnsi="Arial" w:cs="Arial"/>
          <w:color w:val="212121"/>
          <w:sz w:val="22"/>
          <w:szCs w:val="22"/>
          <w:shd w:val="clear" w:color="auto" w:fill="FFFFFF"/>
          <w:lang w:val="en-US" w:eastAsia="tr-TR"/>
        </w:rPr>
        <w:t>- Immobile patients who cannot be evaluated with TUG, POMA and 4 meters walking test.</w:t>
      </w:r>
    </w:p>
    <w:p w14:paraId="7100A569" w14:textId="6BDDF265" w:rsidR="002C46F7" w:rsidRPr="005702ED" w:rsidRDefault="002C46F7" w:rsidP="00A237ED">
      <w:pPr>
        <w:autoSpaceDE w:val="0"/>
        <w:autoSpaceDN w:val="0"/>
        <w:adjustRightInd w:val="0"/>
        <w:spacing w:after="240" w:line="480" w:lineRule="auto"/>
        <w:jc w:val="both"/>
        <w:rPr>
          <w:rFonts w:ascii="Arial" w:hAnsi="Arial" w:cs="Arial"/>
          <w:b/>
          <w:color w:val="000000"/>
          <w:sz w:val="22"/>
          <w:szCs w:val="22"/>
          <w:lang w:val="en-US"/>
        </w:rPr>
      </w:pPr>
      <w:r w:rsidRPr="005702ED">
        <w:rPr>
          <w:rFonts w:ascii="Arial" w:hAnsi="Arial" w:cs="Arial"/>
          <w:b/>
          <w:color w:val="000000"/>
          <w:sz w:val="22"/>
          <w:szCs w:val="22"/>
          <w:lang w:val="en-US"/>
        </w:rPr>
        <w:t>Patients' characteristics</w:t>
      </w:r>
    </w:p>
    <w:p w14:paraId="5CF10437" w14:textId="1925A459" w:rsidR="004C253C" w:rsidRPr="005702ED" w:rsidRDefault="002F02F2" w:rsidP="00CC3762">
      <w:pPr>
        <w:autoSpaceDE w:val="0"/>
        <w:autoSpaceDN w:val="0"/>
        <w:adjustRightInd w:val="0"/>
        <w:spacing w:after="240" w:line="480" w:lineRule="auto"/>
        <w:jc w:val="both"/>
        <w:rPr>
          <w:rFonts w:ascii="Arial" w:hAnsi="Arial" w:cs="Arial"/>
          <w:b/>
          <w:color w:val="000000"/>
          <w:sz w:val="22"/>
          <w:szCs w:val="22"/>
          <w:lang w:val="en-US"/>
        </w:rPr>
      </w:pPr>
      <w:r w:rsidRPr="005702ED">
        <w:rPr>
          <w:rFonts w:ascii="Arial" w:hAnsi="Arial" w:cs="Arial"/>
          <w:color w:val="000000"/>
          <w:sz w:val="22"/>
          <w:szCs w:val="22"/>
          <w:lang w:val="en-US"/>
        </w:rPr>
        <w:t xml:space="preserve">Patients were </w:t>
      </w:r>
      <w:r w:rsidR="00560145" w:rsidRPr="005702ED">
        <w:rPr>
          <w:rFonts w:ascii="Arial" w:hAnsi="Arial" w:cs="Arial"/>
          <w:color w:val="000000"/>
          <w:sz w:val="22"/>
          <w:szCs w:val="22"/>
          <w:lang w:val="en-US"/>
        </w:rPr>
        <w:t>evaluated for their age,</w:t>
      </w:r>
      <w:r w:rsidRPr="005702ED">
        <w:rPr>
          <w:rFonts w:ascii="Arial" w:hAnsi="Arial" w:cs="Arial"/>
          <w:color w:val="000000"/>
          <w:sz w:val="22"/>
          <w:szCs w:val="22"/>
          <w:lang w:val="en-US"/>
        </w:rPr>
        <w:t xml:space="preserve"> level of education and year, </w:t>
      </w:r>
      <w:r w:rsidR="00756726" w:rsidRPr="005702ED">
        <w:rPr>
          <w:rFonts w:ascii="Arial" w:hAnsi="Arial" w:cs="Arial"/>
          <w:color w:val="000000"/>
          <w:sz w:val="22"/>
          <w:szCs w:val="22"/>
          <w:lang w:val="en-US"/>
        </w:rPr>
        <w:t xml:space="preserve">self-reported comorbidities </w:t>
      </w:r>
      <w:r w:rsidRPr="005702ED">
        <w:rPr>
          <w:rFonts w:ascii="Arial" w:hAnsi="Arial" w:cs="Arial"/>
          <w:color w:val="000000"/>
          <w:sz w:val="22"/>
          <w:szCs w:val="22"/>
          <w:lang w:val="en-US"/>
        </w:rPr>
        <w:t>(hypertension, diabetes mellitus, cerebrovascular disease, dep</w:t>
      </w:r>
      <w:r w:rsidR="001F2E64" w:rsidRPr="005702ED">
        <w:rPr>
          <w:rFonts w:ascii="Arial" w:hAnsi="Arial" w:cs="Arial"/>
          <w:color w:val="000000"/>
          <w:sz w:val="22"/>
          <w:szCs w:val="22"/>
          <w:lang w:val="en-US"/>
        </w:rPr>
        <w:t>re</w:t>
      </w:r>
      <w:r w:rsidR="00560145" w:rsidRPr="005702ED">
        <w:rPr>
          <w:rFonts w:ascii="Arial" w:hAnsi="Arial" w:cs="Arial"/>
          <w:color w:val="000000"/>
          <w:sz w:val="22"/>
          <w:szCs w:val="22"/>
          <w:lang w:val="en-US"/>
        </w:rPr>
        <w:t>ssion, osteoarthritis</w:t>
      </w:r>
      <w:r w:rsidRPr="005702ED">
        <w:rPr>
          <w:rFonts w:ascii="Arial" w:hAnsi="Arial" w:cs="Arial"/>
          <w:color w:val="000000"/>
          <w:sz w:val="22"/>
          <w:szCs w:val="22"/>
          <w:lang w:val="en-US"/>
        </w:rPr>
        <w:t>),</w:t>
      </w:r>
      <w:r w:rsidR="00772FC0" w:rsidRPr="005702ED">
        <w:rPr>
          <w:rFonts w:ascii="Arial" w:hAnsi="Arial" w:cs="Arial"/>
          <w:color w:val="000000"/>
          <w:sz w:val="22"/>
          <w:szCs w:val="22"/>
          <w:lang w:val="en-US"/>
        </w:rPr>
        <w:t xml:space="preserve"> </w:t>
      </w:r>
      <w:proofErr w:type="spellStart"/>
      <w:r w:rsidR="00772FC0" w:rsidRPr="005702ED">
        <w:rPr>
          <w:rFonts w:ascii="Arial" w:hAnsi="Arial" w:cs="Arial"/>
          <w:color w:val="000000"/>
          <w:sz w:val="22"/>
          <w:szCs w:val="22"/>
          <w:lang w:val="en-US"/>
        </w:rPr>
        <w:t>Charlson</w:t>
      </w:r>
      <w:proofErr w:type="spellEnd"/>
      <w:r w:rsidR="00772FC0" w:rsidRPr="005702ED">
        <w:rPr>
          <w:rFonts w:ascii="Arial" w:hAnsi="Arial" w:cs="Arial"/>
          <w:color w:val="000000"/>
          <w:sz w:val="22"/>
          <w:szCs w:val="22"/>
          <w:lang w:val="en-US"/>
        </w:rPr>
        <w:t xml:space="preserve"> Comorbidity Index, using a </w:t>
      </w:r>
      <w:r w:rsidRPr="005702ED">
        <w:rPr>
          <w:rFonts w:ascii="Arial" w:hAnsi="Arial" w:cs="Arial"/>
          <w:color w:val="000000"/>
          <w:sz w:val="22"/>
          <w:szCs w:val="22"/>
          <w:lang w:val="en-US"/>
        </w:rPr>
        <w:t>walking stick,</w:t>
      </w:r>
      <w:r w:rsidR="00513535" w:rsidRPr="005702ED">
        <w:rPr>
          <w:rFonts w:ascii="Arial" w:hAnsi="Arial" w:cs="Arial"/>
          <w:color w:val="000000"/>
          <w:sz w:val="22"/>
          <w:szCs w:val="22"/>
          <w:lang w:val="en-US"/>
        </w:rPr>
        <w:t xml:space="preserve"> </w:t>
      </w:r>
      <w:r w:rsidRPr="005702ED">
        <w:rPr>
          <w:rFonts w:ascii="Arial" w:hAnsi="Arial" w:cs="Arial"/>
          <w:color w:val="000000"/>
          <w:sz w:val="22"/>
          <w:szCs w:val="22"/>
          <w:lang w:val="en-US"/>
        </w:rPr>
        <w:t>and the number of the drugs used by the patients were recorded.</w:t>
      </w:r>
      <w:r w:rsidR="00921266" w:rsidRPr="005702ED">
        <w:rPr>
          <w:rFonts w:ascii="Arial" w:hAnsi="Arial" w:cs="Arial"/>
          <w:color w:val="000000"/>
          <w:sz w:val="22"/>
          <w:szCs w:val="22"/>
          <w:lang w:val="en-US"/>
        </w:rPr>
        <w:t xml:space="preserve"> Using </w:t>
      </w:r>
      <w:r w:rsidR="00755171" w:rsidRPr="005702ED">
        <w:rPr>
          <w:rFonts w:ascii="Arial" w:hAnsi="Arial" w:cs="Arial"/>
          <w:color w:val="000000"/>
          <w:sz w:val="22"/>
          <w:szCs w:val="22"/>
          <w:lang w:val="en-US"/>
        </w:rPr>
        <w:t xml:space="preserve">five or more drugs was considered polypharmacy and using ten or more drugs was considered </w:t>
      </w:r>
      <w:proofErr w:type="spellStart"/>
      <w:r w:rsidR="00755171" w:rsidRPr="005702ED">
        <w:rPr>
          <w:rFonts w:ascii="Arial" w:hAnsi="Arial" w:cs="Arial"/>
          <w:color w:val="000000"/>
          <w:sz w:val="22"/>
          <w:szCs w:val="22"/>
          <w:lang w:val="en-US"/>
        </w:rPr>
        <w:t>hyperpolypharmacy</w:t>
      </w:r>
      <w:proofErr w:type="spellEnd"/>
      <w:r w:rsidR="00755171" w:rsidRPr="005702ED">
        <w:rPr>
          <w:rFonts w:ascii="Arial" w:hAnsi="Arial" w:cs="Arial"/>
          <w:color w:val="000000"/>
          <w:sz w:val="22"/>
          <w:szCs w:val="22"/>
          <w:lang w:val="en-US"/>
        </w:rPr>
        <w:t xml:space="preserve"> </w:t>
      </w:r>
      <w:r w:rsidR="009771B8" w:rsidRPr="005702ED">
        <w:rPr>
          <w:rFonts w:ascii="Arial" w:hAnsi="Arial" w:cs="Arial"/>
          <w:b/>
          <w:color w:val="000000"/>
          <w:sz w:val="22"/>
          <w:szCs w:val="22"/>
          <w:lang w:val="en-US"/>
        </w:rPr>
        <w:fldChar w:fldCharType="begin" w:fldLock="1"/>
      </w:r>
      <w:r w:rsidR="000E6996" w:rsidRPr="005702ED">
        <w:rPr>
          <w:rFonts w:ascii="Arial" w:hAnsi="Arial" w:cs="Arial"/>
          <w:b/>
          <w:color w:val="000000"/>
          <w:sz w:val="22"/>
          <w:szCs w:val="22"/>
          <w:lang w:val="en-US"/>
        </w:rPr>
        <w:instrText>ADDIN CSL_CITATION {"citationItems":[{"id":"ITEM-1","itemData":{"author":[{"dropping-particle":"","family":"Unutmaz","given":"Gulcin Durmaz","non-dropping-particle":"","parse-names":false,"suffix":""},{"dropping-particle":"","family":"Soysal","given":"Pinar","non-dropping-particle":"","parse-names":false,"suffix":""},{"dropping-particle":"","family":"Tuven","given":"Busra","non-dropping-particle":"","parse-names":false,"suffix":""},{"dropping-particle":"","family":"Isik","given":"Ahmet Turan","non-dropping-particle":"","parse-names":false,"suffix":""}],"container-title":"Clin Interv Aging","id":"ITEM-1","issued":{"date-parts":[["2018"]]},"page":"607-613","title":"Costs of medication in older patients: before and after comprehensive geriatric assessment","type":"article-journal","volume":"13"},"uris":["http://www.mendeley.com/documents/?uuid=a577bd92-d306-41b6-b73f-c8b60652da9a"]}],"mendeley":{"formattedCitation":"(11)","plainTextFormattedCitation":"(11)","previouslyFormattedCitation":"(11)"},"properties":{"noteIndex":0},"schema":"https://github.com/citation-style-language/schema/raw/master/csl-citation.json"}</w:instrText>
      </w:r>
      <w:r w:rsidR="009771B8" w:rsidRPr="005702ED">
        <w:rPr>
          <w:rFonts w:ascii="Arial" w:hAnsi="Arial" w:cs="Arial"/>
          <w:b/>
          <w:color w:val="000000"/>
          <w:sz w:val="22"/>
          <w:szCs w:val="22"/>
          <w:lang w:val="en-US"/>
        </w:rPr>
        <w:fldChar w:fldCharType="separate"/>
      </w:r>
      <w:r w:rsidR="00C50E0F" w:rsidRPr="005702ED">
        <w:rPr>
          <w:rFonts w:ascii="Arial" w:hAnsi="Arial" w:cs="Arial"/>
          <w:noProof/>
          <w:color w:val="000000"/>
          <w:sz w:val="22"/>
          <w:szCs w:val="22"/>
          <w:lang w:val="en-US"/>
        </w:rPr>
        <w:t>(11)</w:t>
      </w:r>
      <w:r w:rsidR="009771B8" w:rsidRPr="005702ED">
        <w:rPr>
          <w:rFonts w:ascii="Arial" w:hAnsi="Arial" w:cs="Arial"/>
          <w:b/>
          <w:color w:val="000000"/>
          <w:sz w:val="22"/>
          <w:szCs w:val="22"/>
          <w:lang w:val="en-US"/>
        </w:rPr>
        <w:fldChar w:fldCharType="end"/>
      </w:r>
      <w:r w:rsidR="00755171" w:rsidRPr="005702ED">
        <w:rPr>
          <w:rFonts w:ascii="Arial" w:hAnsi="Arial" w:cs="Arial"/>
          <w:color w:val="000000"/>
          <w:sz w:val="22"/>
          <w:szCs w:val="22"/>
          <w:lang w:val="en-US"/>
        </w:rPr>
        <w:t xml:space="preserve">. </w:t>
      </w:r>
      <w:r w:rsidRPr="005702ED">
        <w:rPr>
          <w:rFonts w:ascii="Arial" w:hAnsi="Arial" w:cs="Arial"/>
          <w:color w:val="000000"/>
          <w:sz w:val="22"/>
          <w:szCs w:val="22"/>
          <w:lang w:val="en-US"/>
        </w:rPr>
        <w:t xml:space="preserve"> </w:t>
      </w:r>
      <w:r w:rsidR="00513535" w:rsidRPr="005702ED">
        <w:rPr>
          <w:rFonts w:ascii="Arial" w:hAnsi="Arial" w:cs="Arial"/>
          <w:sz w:val="22"/>
          <w:szCs w:val="22"/>
          <w:lang w:val="en-US"/>
        </w:rPr>
        <w:t>It was recorded wh</w:t>
      </w:r>
      <w:r w:rsidR="001F2E64" w:rsidRPr="005702ED">
        <w:rPr>
          <w:rFonts w:ascii="Arial" w:hAnsi="Arial" w:cs="Arial"/>
          <w:sz w:val="22"/>
          <w:szCs w:val="22"/>
          <w:lang w:val="en-US"/>
        </w:rPr>
        <w:t>ether the patients had</w:t>
      </w:r>
      <w:r w:rsidR="00513535" w:rsidRPr="005702ED">
        <w:rPr>
          <w:rFonts w:ascii="Arial" w:hAnsi="Arial" w:cs="Arial"/>
          <w:sz w:val="22"/>
          <w:szCs w:val="22"/>
          <w:lang w:val="en-US"/>
        </w:rPr>
        <w:t xml:space="preserve"> </w:t>
      </w:r>
      <w:r w:rsidR="00756726" w:rsidRPr="005702ED">
        <w:rPr>
          <w:rFonts w:ascii="Arial" w:hAnsi="Arial" w:cs="Arial"/>
          <w:sz w:val="22"/>
          <w:szCs w:val="22"/>
          <w:lang w:val="en-US"/>
        </w:rPr>
        <w:t xml:space="preserve">self-reported </w:t>
      </w:r>
      <w:r w:rsidR="00513535" w:rsidRPr="005702ED">
        <w:rPr>
          <w:rFonts w:ascii="Arial" w:hAnsi="Arial" w:cs="Arial"/>
          <w:sz w:val="22"/>
          <w:szCs w:val="22"/>
          <w:lang w:val="en-US"/>
        </w:rPr>
        <w:t>dizziness</w:t>
      </w:r>
      <w:r w:rsidR="00756726" w:rsidRPr="005702ED">
        <w:rPr>
          <w:rFonts w:ascii="Arial" w:hAnsi="Arial" w:cs="Arial"/>
          <w:sz w:val="22"/>
          <w:szCs w:val="22"/>
          <w:lang w:val="en-US"/>
        </w:rPr>
        <w:t xml:space="preserve"> and imbalance</w:t>
      </w:r>
      <w:r w:rsidR="00513535" w:rsidRPr="005702ED">
        <w:rPr>
          <w:rFonts w:ascii="Arial" w:hAnsi="Arial" w:cs="Arial"/>
          <w:sz w:val="22"/>
          <w:szCs w:val="22"/>
          <w:lang w:val="en-US"/>
        </w:rPr>
        <w:t xml:space="preserve">, pain, </w:t>
      </w:r>
      <w:r w:rsidR="008565EE" w:rsidRPr="005702ED">
        <w:rPr>
          <w:rFonts w:ascii="Arial" w:hAnsi="Arial" w:cs="Arial"/>
          <w:sz w:val="22"/>
          <w:szCs w:val="22"/>
          <w:lang w:val="en-US"/>
        </w:rPr>
        <w:t xml:space="preserve">urinary </w:t>
      </w:r>
      <w:proofErr w:type="spellStart"/>
      <w:r w:rsidR="008565EE" w:rsidRPr="005702ED">
        <w:rPr>
          <w:rFonts w:ascii="Arial" w:hAnsi="Arial" w:cs="Arial"/>
          <w:sz w:val="22"/>
          <w:szCs w:val="22"/>
          <w:lang w:val="en-US"/>
        </w:rPr>
        <w:t>incontinance</w:t>
      </w:r>
      <w:proofErr w:type="spellEnd"/>
      <w:r w:rsidR="008565EE" w:rsidRPr="005702ED">
        <w:rPr>
          <w:rFonts w:ascii="Arial" w:hAnsi="Arial" w:cs="Arial"/>
          <w:sz w:val="22"/>
          <w:szCs w:val="22"/>
          <w:lang w:val="en-US"/>
        </w:rPr>
        <w:t xml:space="preserve"> </w:t>
      </w:r>
      <w:r w:rsidR="00513535" w:rsidRPr="005702ED">
        <w:rPr>
          <w:rFonts w:ascii="Arial" w:hAnsi="Arial" w:cs="Arial"/>
          <w:sz w:val="22"/>
          <w:szCs w:val="22"/>
          <w:lang w:val="en-US"/>
        </w:rPr>
        <w:t>and whether they had fallen in the last year.</w:t>
      </w:r>
      <w:r w:rsidR="00570624" w:rsidRPr="005702ED">
        <w:rPr>
          <w:rFonts w:ascii="Arial" w:hAnsi="Arial" w:cs="Arial"/>
          <w:sz w:val="22"/>
          <w:szCs w:val="22"/>
          <w:lang w:val="en-US"/>
        </w:rPr>
        <w:t xml:space="preserve"> </w:t>
      </w:r>
      <w:r w:rsidR="00CC3762" w:rsidRPr="005702ED">
        <w:rPr>
          <w:rFonts w:ascii="Arial" w:hAnsi="Arial" w:cs="Arial"/>
          <w:sz w:val="22"/>
          <w:szCs w:val="22"/>
          <w:lang w:val="en-US"/>
        </w:rPr>
        <w:t>Dementia was diagnosed</w:t>
      </w:r>
      <w:r w:rsidR="00CC3762" w:rsidRPr="005702ED">
        <w:rPr>
          <w:rFonts w:ascii="AdvOTf0129623" w:hAnsi="AdvOTf0129623" w:cs="AdvOTf0129623"/>
          <w:sz w:val="20"/>
          <w:szCs w:val="20"/>
        </w:rPr>
        <w:t xml:space="preserve"> </w:t>
      </w:r>
      <w:r w:rsidR="002D748D" w:rsidRPr="005702ED">
        <w:rPr>
          <w:rFonts w:ascii="Arial" w:hAnsi="Arial" w:cs="Arial"/>
          <w:sz w:val="22"/>
          <w:szCs w:val="22"/>
          <w:lang w:val="en-US"/>
        </w:rPr>
        <w:t xml:space="preserve">according to the diagnostic and statistical manual of mental disorders - fifth edition (DSM-5) </w:t>
      </w:r>
      <w:r w:rsidR="00CC3762" w:rsidRPr="005702ED">
        <w:rPr>
          <w:rFonts w:ascii="Arial" w:hAnsi="Arial" w:cs="Arial"/>
          <w:sz w:val="22"/>
          <w:szCs w:val="22"/>
          <w:lang w:val="en-US"/>
        </w:rPr>
        <w:t xml:space="preserve">Major cognitive impairment </w:t>
      </w:r>
      <w:r w:rsidR="002D748D" w:rsidRPr="005702ED">
        <w:rPr>
          <w:rFonts w:ascii="Arial" w:hAnsi="Arial" w:cs="Arial"/>
          <w:sz w:val="22"/>
          <w:szCs w:val="22"/>
          <w:lang w:val="en-US"/>
        </w:rPr>
        <w:t xml:space="preserve">diagnostic criteria </w:t>
      </w:r>
      <w:r w:rsidR="00EE212E" w:rsidRPr="005702ED">
        <w:rPr>
          <w:rFonts w:ascii="Arial" w:hAnsi="Arial" w:cs="Arial"/>
          <w:sz w:val="22"/>
          <w:szCs w:val="22"/>
          <w:lang w:val="en-US"/>
        </w:rPr>
        <w:fldChar w:fldCharType="begin" w:fldLock="1"/>
      </w:r>
      <w:r w:rsidR="000E6996" w:rsidRPr="005702ED">
        <w:rPr>
          <w:rFonts w:ascii="Arial" w:hAnsi="Arial" w:cs="Arial"/>
          <w:sz w:val="22"/>
          <w:szCs w:val="22"/>
          <w:lang w:val="en-US"/>
        </w:rPr>
        <w:instrText>ADDIN CSL_CITATION {"citationItems":[{"id":"ITEM-1","itemData":{"DOI":"10.1176/appi.books.9780890425596.744053","ISBN":"089042554X","ISSN":"2317-1782","PMID":"24413388","abstract":"This new edition of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The criteria are concise and explicit, intended to facilitate an objective assessment of symptom presentations in a variety of clinical settings -- inpatient, outpatient, partial hospital, consultation-liaison, clinical, private practice, and primary care. New features and enhancements make DSM-5? easier to use across all settings: ? The chapter organization reflects a lifespan approach, with disorders typically diagnosed in childhood (such as neurodevelopmental disorders) at the beginning of the manual, and those more typical of older adults (such as neurocognitive disorders) placed at the end. Also included are age-related factors specific to diagnosis. ? The latest findings in neuroimaging and genetics have been integrated into each disorder along with gender and cultural considerations.? The revised organizational structure recognizes symptoms that span multiple diagnostic categories, providing new clinical insight in diagnosis. ? Specific criteria have been streamlined, consolidated, or clarified to be consistent with clinical practice (including the consolidation of autism disorder, Asperger's syndrome, and pervasive developmental disorder into autism spectrum disorder; the streamlined classification of bipolar and depressive disorders; the restructuring of substance use disorders for consistency and clarity; and the enhanced specificity for major and mild neurocognitive disorders).? Dimensional assessments for research and validation of clinical results have been provided.? Both ICD-9-CM and ICD-10-CM codes are included for each disorder, and the organizational structure is consistent with the new ICD-11 in development.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occup…","author":[{"dropping-particle":"","family":"American Psychiatric Association","given":"","non-dropping-particle":"","parse-names":false,"suffix":""}],"container-title":"Arlington","id":"ITEM-1","issued":{"date-parts":[["2013"]]},"number-of-pages":"991","title":"Diagnostic and Statistical Manual of Mental Disorders","type":"book"},"uris":["http://www.mendeley.com/documents/?uuid=e4d8d29e-1ca6-45a6-8ca9-353d42ee35ef"]}],"mendeley":{"formattedCitation":"(12)","plainTextFormattedCitation":"(12)","previouslyFormattedCitation":"(12)"},"properties":{"noteIndex":0},"schema":"https://github.com/citation-style-language/schema/raw/master/csl-citation.json"}</w:instrText>
      </w:r>
      <w:r w:rsidR="00EE212E" w:rsidRPr="005702ED">
        <w:rPr>
          <w:rFonts w:ascii="Arial" w:hAnsi="Arial" w:cs="Arial"/>
          <w:sz w:val="22"/>
          <w:szCs w:val="22"/>
          <w:lang w:val="en-US"/>
        </w:rPr>
        <w:fldChar w:fldCharType="separate"/>
      </w:r>
      <w:r w:rsidR="00C50E0F" w:rsidRPr="005702ED">
        <w:rPr>
          <w:rFonts w:ascii="Arial" w:hAnsi="Arial" w:cs="Arial"/>
          <w:noProof/>
          <w:sz w:val="22"/>
          <w:szCs w:val="22"/>
          <w:lang w:val="en-US"/>
        </w:rPr>
        <w:t>(12)</w:t>
      </w:r>
      <w:r w:rsidR="00EE212E" w:rsidRPr="005702ED">
        <w:rPr>
          <w:rFonts w:ascii="Arial" w:hAnsi="Arial" w:cs="Arial"/>
          <w:sz w:val="22"/>
          <w:szCs w:val="22"/>
          <w:lang w:val="en-US"/>
        </w:rPr>
        <w:fldChar w:fldCharType="end"/>
      </w:r>
      <w:r w:rsidR="00D84C1C" w:rsidRPr="005702ED">
        <w:rPr>
          <w:rFonts w:ascii="Arial" w:hAnsi="Arial" w:cs="Arial"/>
          <w:sz w:val="22"/>
          <w:szCs w:val="22"/>
          <w:lang w:val="en-US"/>
        </w:rPr>
        <w:t>.</w:t>
      </w:r>
      <w:r w:rsidR="003354B2" w:rsidRPr="005702ED">
        <w:rPr>
          <w:rFonts w:ascii="Arial" w:hAnsi="Arial" w:cs="Arial"/>
          <w:sz w:val="22"/>
          <w:szCs w:val="22"/>
          <w:lang w:val="en-US"/>
        </w:rPr>
        <w:t xml:space="preserve"> </w:t>
      </w:r>
      <w:r w:rsidR="008565EE" w:rsidRPr="005702ED">
        <w:rPr>
          <w:rFonts w:ascii="Arial" w:hAnsi="Arial" w:cs="Arial"/>
          <w:sz w:val="22"/>
          <w:szCs w:val="22"/>
          <w:lang w:val="en-US"/>
        </w:rPr>
        <w:t>O</w:t>
      </w:r>
      <w:r w:rsidR="0063420D" w:rsidRPr="005702ED">
        <w:rPr>
          <w:rFonts w:ascii="Arial" w:hAnsi="Arial" w:cs="Arial"/>
          <w:sz w:val="22"/>
          <w:szCs w:val="22"/>
          <w:lang w:val="en-US"/>
        </w:rPr>
        <w:t>rthostatic hypotension was diagnosed according to the active standing test</w:t>
      </w:r>
      <w:r w:rsidR="0016127D" w:rsidRPr="005702ED">
        <w:rPr>
          <w:rFonts w:ascii="Arial" w:hAnsi="Arial" w:cs="Arial"/>
          <w:sz w:val="22"/>
          <w:szCs w:val="22"/>
          <w:lang w:val="en-US"/>
        </w:rPr>
        <w:t xml:space="preserve"> </w:t>
      </w:r>
      <w:r w:rsidR="0016127D" w:rsidRPr="005702ED">
        <w:rPr>
          <w:rFonts w:ascii="Arial" w:hAnsi="Arial" w:cs="Arial"/>
          <w:sz w:val="22"/>
          <w:szCs w:val="22"/>
          <w:lang w:val="en-US"/>
        </w:rPr>
        <w:fldChar w:fldCharType="begin" w:fldLock="1"/>
      </w:r>
      <w:r w:rsidR="000E6996" w:rsidRPr="005702ED">
        <w:rPr>
          <w:rFonts w:ascii="Arial" w:hAnsi="Arial" w:cs="Arial"/>
          <w:sz w:val="22"/>
          <w:szCs w:val="22"/>
          <w:lang w:val="en-US"/>
        </w:rPr>
        <w:instrText>ADDIN CSL_CITATION {"citationItems":[{"id":"ITEM-1","itemData":{"DOI":"10.2147/CIA.S129868","ISSN":"11781998","author":[{"dropping-particle":"","family":"Aydin","given":"Ali Ekrem","non-dropping-particle":"","parse-names":false,"suffix":""},{"dropping-particle":"","family":"Soysal","given":"Pinar","non-dropping-particle":"","parse-names":false,"suffix":""},{"dropping-particle":"","family":"Isik","given":"Ahmet Turan","non-dropping-particle":"","parse-names":false,"suffix":""}],"container-title":"Clin Interv Aging","id":"ITEM-1","issued":{"date-parts":[["2017"]]},"note":"NULL","page":"207-212","title":"Which is preferable for orthostatic hypotension diagnosis in older adults : active standing test or head-up tilt table test ?","type":"article-journal","volume":"12"},"uris":["http://www.mendeley.com/documents/?uuid=fdbe6457-95c1-4485-b7ac-bade77138719"]}],"mendeley":{"formattedCitation":"(13)","plainTextFormattedCitation":"(13)","previouslyFormattedCitation":"(13)"},"properties":{"noteIndex":0},"schema":"https://github.com/citation-style-language/schema/raw/master/csl-citation.json"}</w:instrText>
      </w:r>
      <w:r w:rsidR="0016127D" w:rsidRPr="005702ED">
        <w:rPr>
          <w:rFonts w:ascii="Arial" w:hAnsi="Arial" w:cs="Arial"/>
          <w:sz w:val="22"/>
          <w:szCs w:val="22"/>
          <w:lang w:val="en-US"/>
        </w:rPr>
        <w:fldChar w:fldCharType="separate"/>
      </w:r>
      <w:r w:rsidR="00C50E0F" w:rsidRPr="005702ED">
        <w:rPr>
          <w:rFonts w:ascii="Arial" w:hAnsi="Arial" w:cs="Arial"/>
          <w:noProof/>
          <w:sz w:val="22"/>
          <w:szCs w:val="22"/>
          <w:lang w:val="en-US"/>
        </w:rPr>
        <w:t>(13)</w:t>
      </w:r>
      <w:r w:rsidR="0016127D" w:rsidRPr="005702ED">
        <w:rPr>
          <w:rFonts w:ascii="Arial" w:hAnsi="Arial" w:cs="Arial"/>
          <w:sz w:val="22"/>
          <w:szCs w:val="22"/>
          <w:lang w:val="en-US"/>
        </w:rPr>
        <w:fldChar w:fldCharType="end"/>
      </w:r>
      <w:r w:rsidR="0063420D" w:rsidRPr="005702ED">
        <w:rPr>
          <w:rFonts w:ascii="Arial" w:hAnsi="Arial" w:cs="Arial"/>
          <w:color w:val="000000" w:themeColor="text1"/>
          <w:sz w:val="22"/>
          <w:szCs w:val="22"/>
          <w:lang w:val="en-US"/>
        </w:rPr>
        <w:t>.</w:t>
      </w:r>
      <w:r w:rsidR="0011314E" w:rsidRPr="005702ED">
        <w:rPr>
          <w:rFonts w:ascii="Arial" w:hAnsi="Arial" w:cs="Arial"/>
          <w:color w:val="000000" w:themeColor="text1"/>
          <w:sz w:val="22"/>
          <w:szCs w:val="22"/>
          <w:lang w:val="en-US"/>
        </w:rPr>
        <w:t xml:space="preserve"> Serum glucose, Thyroid-stimulating hormone, vitamin D, vitamin B12, folic acid levels, and glomerular filtration rates were performed to evaluate metabolic status of the patients.</w:t>
      </w:r>
    </w:p>
    <w:p w14:paraId="253B938A" w14:textId="3B5099B4" w:rsidR="00541D83" w:rsidRPr="005702ED" w:rsidRDefault="00541D83" w:rsidP="00F209BF">
      <w:pPr>
        <w:spacing w:line="480" w:lineRule="auto"/>
        <w:jc w:val="both"/>
        <w:rPr>
          <w:rFonts w:ascii="Arial" w:eastAsia="Calibri" w:hAnsi="Arial" w:cs="Arial"/>
          <w:sz w:val="22"/>
          <w:szCs w:val="22"/>
          <w:vertAlign w:val="superscript"/>
          <w:lang w:val="en-US"/>
        </w:rPr>
      </w:pPr>
      <w:r w:rsidRPr="005702ED">
        <w:rPr>
          <w:rFonts w:ascii="Arial" w:eastAsia="Calibri" w:hAnsi="Arial" w:cs="Arial"/>
          <w:b/>
          <w:color w:val="000000" w:themeColor="text1"/>
          <w:sz w:val="22"/>
          <w:szCs w:val="22"/>
          <w:lang w:val="en-US"/>
        </w:rPr>
        <w:lastRenderedPageBreak/>
        <w:t>Comprehensive Geriatric Assessment</w:t>
      </w:r>
      <w:r w:rsidR="005E3186" w:rsidRPr="005702ED">
        <w:rPr>
          <w:rFonts w:ascii="Arial" w:eastAsia="Calibri" w:hAnsi="Arial" w:cs="Arial"/>
          <w:b/>
          <w:color w:val="000000" w:themeColor="text1"/>
          <w:sz w:val="22"/>
          <w:szCs w:val="22"/>
          <w:lang w:val="en-US"/>
        </w:rPr>
        <w:t xml:space="preserve"> </w:t>
      </w:r>
    </w:p>
    <w:p w14:paraId="7F5D4B95" w14:textId="606BB42A" w:rsidR="00755171" w:rsidRPr="005702ED" w:rsidRDefault="00AE369B" w:rsidP="00F209BF">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 xml:space="preserve">The following assessments were used </w:t>
      </w:r>
      <w:r w:rsidR="0005393D" w:rsidRPr="005702ED">
        <w:rPr>
          <w:rFonts w:ascii="Arial" w:eastAsia="Calibri" w:hAnsi="Arial" w:cs="Arial"/>
          <w:sz w:val="22"/>
          <w:szCs w:val="22"/>
          <w:lang w:val="en-US"/>
        </w:rPr>
        <w:t xml:space="preserve"> </w:t>
      </w:r>
      <w:r w:rsidRPr="005702ED">
        <w:rPr>
          <w:rFonts w:ascii="Arial" w:eastAsia="Calibri" w:hAnsi="Arial" w:cs="Arial"/>
          <w:sz w:val="22"/>
          <w:szCs w:val="22"/>
          <w:lang w:val="en-US"/>
        </w:rPr>
        <w:t xml:space="preserve">for </w:t>
      </w:r>
      <w:r w:rsidR="0005393D" w:rsidRPr="005702ED">
        <w:rPr>
          <w:rFonts w:ascii="Arial" w:eastAsia="Calibri" w:hAnsi="Arial" w:cs="Arial"/>
          <w:sz w:val="22"/>
          <w:szCs w:val="22"/>
          <w:lang w:val="en-US"/>
        </w:rPr>
        <w:t xml:space="preserve">detailed geriatric evaluation, </w:t>
      </w:r>
      <w:r w:rsidR="00E82491" w:rsidRPr="005702ED">
        <w:rPr>
          <w:rFonts w:ascii="Arial" w:eastAsia="Calibri" w:hAnsi="Arial" w:cs="Arial"/>
          <w:sz w:val="22"/>
          <w:szCs w:val="22"/>
          <w:lang w:val="en-US"/>
        </w:rPr>
        <w:t>T</w:t>
      </w:r>
      <w:r w:rsidR="008961AA" w:rsidRPr="005702ED">
        <w:rPr>
          <w:rFonts w:ascii="Arial" w:eastAsia="Calibri" w:hAnsi="Arial" w:cs="Arial"/>
          <w:sz w:val="22"/>
          <w:szCs w:val="22"/>
          <w:lang w:val="en-US"/>
        </w:rPr>
        <w:t>he Mini-</w:t>
      </w:r>
      <w:r w:rsidR="005522D6" w:rsidRPr="005702ED">
        <w:rPr>
          <w:rFonts w:ascii="Arial" w:eastAsia="Calibri" w:hAnsi="Arial" w:cs="Arial"/>
          <w:sz w:val="22"/>
          <w:szCs w:val="22"/>
          <w:lang w:val="en-US"/>
        </w:rPr>
        <w:t>Mental State Examination (MMSE</w:t>
      </w:r>
      <w:r w:rsidR="00F40FF8" w:rsidRPr="005702ED">
        <w:rPr>
          <w:rFonts w:ascii="Arial" w:eastAsia="Calibri" w:hAnsi="Arial" w:cs="Arial"/>
          <w:sz w:val="22"/>
          <w:szCs w:val="22"/>
          <w:lang w:val="en-US"/>
        </w:rPr>
        <w:t xml:space="preserve">) </w:t>
      </w:r>
      <w:r w:rsidR="00F40FF8"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{"citationItems":[{"id":"ITEM-1","itemData":{"DOI":"10.1016/0022-3956(75)90026-6","ISBN":"0022-3956 (Print)\\n0022-3956 (Linking)","ISSN":"00223956","PMID":"1202204","abstract":"EXAMINATION of the mental state is essential in evaluating psychiatric patients.1 Many investigators have added quantitative assessment of cognitive performance to the standard examination, and have documented reliability and validity of the several “clinical tests of the sensorium”.2*3 The available batteries are lengthy. For example, WITHERS and HINTON’S test includes 33 questions and requires about 30 min to administer and score. The standard WAIS requires even more time. However, elderly patients, particularly those with delirium or dementia syndromes, cooperate well only for short periods.4 Therefore, we devised a simplified, scored form of the cognitive mental status examination, the “Mini-Mental State” (MMS) which includes eleven questions, requires only 5-10 min to administer, and is therefore practical to use serially and routinely. It is “mini” because it concentrates only on the cognitive aspects of mental functions, and excludes questions concerning mood, abnormal mental experiences and the form of thinking. But within the cognitive realm it is thorough. We have documented the validity and reliability of the MMS when given to 206 patients with dementia syndromes, affective disorder, affective disorder with cognitive impairment “pseudodementia”5T6), mania, schizophrenia, personality disorders, and in 63 normal subjects.","author":[{"dropping-particle":"","family":"Folstein","given":"Marshal F.","non-dropping-particle":"","parse-names":false,"suffix":""},{"dropping-particle":"","family":"Folstein","given":"Susan E.","non-dropping-particle":"","parse-names":false,"suffix":""},{"dropping-particle":"","family":"McHugh","given":"Paul R.","non-dropping-particle":"","parse-names":false,"suffix":""}],"container-title":"J Psychiatr Res","id":"ITEM-1","issue":"3","issued":{"date-parts":[["1975"]]},"page":"189-98","title":"\"Mini-mental state\". A practical method for grading the cognitive state of patients for the clinician","type":"article-journal","volume":"12"},"uris":["http://www.mendeley.com/documents/?uuid=c62de62b-51ac-4957-94bc-d61dd446636b"]}],"mendeley":{"formattedCitation":"(14)","plainTextFormattedCitation":"(14)","previouslyFormattedCitation":"(14)"},"properties":{"noteIndex":0},"schema":"https://github.com/citation-style-language/schema/raw/master/csl-citation.json"}</w:instrText>
      </w:r>
      <w:r w:rsidR="00F40FF8"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(14)</w:t>
      </w:r>
      <w:r w:rsidR="00F40FF8" w:rsidRPr="005702ED">
        <w:rPr>
          <w:rFonts w:ascii="Arial" w:eastAsia="Calibri" w:hAnsi="Arial" w:cs="Arial"/>
          <w:sz w:val="22"/>
          <w:szCs w:val="22"/>
          <w:lang w:val="en-US"/>
        </w:rPr>
        <w:fldChar w:fldCharType="end"/>
      </w:r>
      <w:r w:rsidR="00E82491" w:rsidRPr="005702ED">
        <w:rPr>
          <w:rFonts w:ascii="Arial" w:eastAsia="Calibri" w:hAnsi="Arial" w:cs="Arial"/>
          <w:sz w:val="22"/>
          <w:szCs w:val="22"/>
          <w:lang w:val="en-US"/>
        </w:rPr>
        <w:t>, The Clinical Dementia Rating scale (CDR)</w:t>
      </w:r>
      <w:r w:rsidR="00F40FF8" w:rsidRPr="005702ED">
        <w:rPr>
          <w:rFonts w:ascii="Arial" w:eastAsia="Calibri" w:hAnsi="Arial" w:cs="Arial"/>
          <w:sz w:val="22"/>
          <w:szCs w:val="22"/>
          <w:lang w:val="en-US"/>
        </w:rPr>
        <w:t xml:space="preserve"> </w:t>
      </w:r>
      <w:r w:rsidR="00F40FF8"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{"citationItems":[{"id":"ITEM-1","itemData":{"DOI":"10.1212/wnl.43.11.2412-a","ISBN":"0028-3878 (Print)","ISSN":"0028-3878","PMID":"8232972","abstract":"The Washington Univfersity Clinical Dementia Rating (CDR) is increasingly used in longitudinal studies and clinical trials for staging the severity of Alzheimer's disease (AD). The CDR is derived from aemi-structured interview with the patient and an appropriate informant and rates impairment in each of six cognitive categories (Memory, Orientation, Judgment and Problem Solving, Community affairs, Home and Hobbies, and Personal Care) on a five-pont scale. A new version of the Clinical Dementia Rating (CDR) more appropriately uses information regarding performance of financial transactions for rating Judgment and Problem Solving rather than Community Affairs. The new version is presented here for interested readers, along with improved clinical scoring rules for the global CDR.","author":[{"dropping-particle":"","family":"Morris","given":"J. C.","non-dropping-particle":"","parse-names":false,"suffix":""}],"container-title":"Neurology","id":"ITEM-1","issue":"11","issued":{"date-parts":[["1993"]]},"page":"2412-4","title":"The Clinical Dementia Rating (CDR): Current version and scoring rules","type":"article-journal","volume":"43"},"uris":["http://www.mendeley.com/documents/?uuid=da97b02b-9190-4910-8bf2-75db2f5b7c39"]}],"mendeley":{"formattedCitation":"(15)","plainTextFormattedCitation":"(15)","previouslyFormattedCitation":"(15)"},"properties":{"noteIndex":0},"schema":"https://github.com/citation-style-language/schema/raw/master/csl-citation.json"}</w:instrText>
      </w:r>
      <w:r w:rsidR="00F40FF8"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(15)</w:t>
      </w:r>
      <w:r w:rsidR="00F40FF8" w:rsidRPr="005702ED">
        <w:rPr>
          <w:rFonts w:ascii="Arial" w:eastAsia="Calibri" w:hAnsi="Arial" w:cs="Arial"/>
          <w:sz w:val="22"/>
          <w:szCs w:val="22"/>
          <w:lang w:val="en-US"/>
        </w:rPr>
        <w:fldChar w:fldCharType="end"/>
      </w:r>
      <w:r w:rsidR="00E82491" w:rsidRPr="005702ED">
        <w:rPr>
          <w:rFonts w:ascii="Arial" w:eastAsia="Calibri" w:hAnsi="Arial" w:cs="Arial"/>
          <w:sz w:val="22"/>
          <w:szCs w:val="22"/>
          <w:lang w:val="en-US"/>
        </w:rPr>
        <w:t xml:space="preserve">, </w:t>
      </w:r>
      <w:r w:rsidR="008961AA" w:rsidRPr="005702ED">
        <w:rPr>
          <w:rFonts w:ascii="Arial" w:eastAsia="Calibri" w:hAnsi="Arial" w:cs="Arial"/>
          <w:sz w:val="22"/>
          <w:szCs w:val="22"/>
          <w:lang w:val="en-US"/>
        </w:rPr>
        <w:t xml:space="preserve">were </w:t>
      </w:r>
      <w:r w:rsidR="00E82491" w:rsidRPr="005702ED">
        <w:rPr>
          <w:rFonts w:ascii="Arial" w:eastAsia="Calibri" w:hAnsi="Arial" w:cs="Arial"/>
          <w:sz w:val="22"/>
          <w:szCs w:val="22"/>
          <w:lang w:val="en-US"/>
        </w:rPr>
        <w:t xml:space="preserve">used for neurocognitive assessment, </w:t>
      </w:r>
      <w:r w:rsidR="0005393D" w:rsidRPr="005702ED">
        <w:rPr>
          <w:rFonts w:ascii="Arial" w:eastAsia="Calibri" w:hAnsi="Arial" w:cs="Arial"/>
          <w:sz w:val="22"/>
          <w:szCs w:val="22"/>
          <w:lang w:val="en-US"/>
        </w:rPr>
        <w:t xml:space="preserve">The </w:t>
      </w:r>
      <w:proofErr w:type="spellStart"/>
      <w:r w:rsidR="0005393D" w:rsidRPr="005702ED">
        <w:rPr>
          <w:rFonts w:ascii="Arial" w:eastAsia="Calibri" w:hAnsi="Arial" w:cs="Arial"/>
          <w:sz w:val="22"/>
          <w:szCs w:val="22"/>
          <w:lang w:val="en-US"/>
        </w:rPr>
        <w:t>Yesavage</w:t>
      </w:r>
      <w:proofErr w:type="spellEnd"/>
      <w:r w:rsidR="0005393D" w:rsidRPr="005702ED">
        <w:rPr>
          <w:rFonts w:ascii="Arial" w:eastAsia="Calibri" w:hAnsi="Arial" w:cs="Arial"/>
          <w:sz w:val="22"/>
          <w:szCs w:val="22"/>
          <w:lang w:val="en-US"/>
        </w:rPr>
        <w:t xml:space="preserve"> Geriatric Depression Scale (YGDS)</w:t>
      </w:r>
      <w:r w:rsidR="00C32816" w:rsidRPr="005702ED">
        <w:rPr>
          <w:rFonts w:ascii="Arial" w:eastAsia="Calibri" w:hAnsi="Arial" w:cs="Arial"/>
          <w:sz w:val="22"/>
          <w:szCs w:val="22"/>
          <w:lang w:val="en-US"/>
        </w:rPr>
        <w:t xml:space="preserve"> </w:t>
      </w:r>
      <w:r w:rsidR="003B2514"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{"citationItems":[{"id":"ITEM-1","itemData":{"DOI":"10.1017/S1041610218000236","ISSN":"1741203X","abstract":"Copyright © International Psychogeriatric Association 2018 Introduction:: Depression is a common and serious healthcare problem for older adults. This study aimed to determine the validity and reliability of GDS-4 and GDS-5 in Turkish, and to establish a new short-form Geriatric Depression Scale (GDS) for our population, and also determine the superiority of each short scale to another. Methods:: A total of 437 outpatients were enrolled in the study. A researcher evaluated all participants according to the Diagnostic and Statistical Manual of Mental Disorders-fifth edition (DSM-5) diagnostic criteria, and then another researcher applied GDS-15 to all participants. We obtained the answers of short GDS forms, examined in this study, from GDS-15 forms. After Cohen's κ analysis, we compared the diagnostic value of each question for geriatric depression according to their κ values, and developed three (TGDS-3), four (TGDS-4), five (TGDS-5), and six (TGDS-6) question scales to screen geriatric depression in Turkish population. Results:: A total of 437 participants were assessed. The mean age (SD) of the patients was 72.95 years (7.37).Cronbach's α values of GDS-4 and GDS-5 were &lt;0.70. Cronbach's α values of TGDS-3, TGDS-4, TGDS-5, and TGDS-6 were &gt;0.70. The best cut-off values were ≥5 for GDS-15 and GDS-5, and ≥1 for others. Discussion:: GDS-15 is the most powerful screening scale for geriatric depression. GDS-4 and GDS-5 are not eligible for depression screening in Turkish older adults. All new short scales are valid and reliable, and TGDS-4 is a practical, less time-consuming option for daily practice.","author":[{"dropping-particle":"","family":"Dokuzlar","given":"O.","non-dropping-particle":"","parse-names":false,"suffix":""},{"dropping-particle":"","family":"Soysal","given":"P.","non-dropping-particle":"","parse-names":false,"suffix":""},{"dropping-particle":"","family":"Usarel","given":"C.","non-dropping-particle":"","parse-names":false,"suffix":""},{"dropping-particle":"","family":"Isik","given":"A.T.","non-dropping-particle":"","parse-names":false,"suffix":""}],"container-title":"Int Psychogeriatr","id":"ITEM-1","issued":{"date-parts":[["2018"]]},"page":"1-8","title":"The evaluation and design of a short depression screening tool in Turkish older adults","type":"article-journal"},"uris":["http://www.mendeley.com/documents/?uuid=bc77967c-c1ce-39f7-af6a-0f0c39541e65"]},{"id":"ITEM-2","itemData":{"DOI":"10.14744/nci.2017.85047","author":[{"dropping-particle":"","family":"Durmaz","given":"Busra","non-dropping-particle":"","parse-names":false,"suffix":""},{"dropping-particle":"","family":"Soysal","given":"Pınar","non-dropping-particle":"","parse-names":false,"suffix":""},{"dropping-particle":"","family":"Ellidokuz","given":"Hulya","non-dropping-particle":"","parse-names":false,"suffix":""},{"dropping-particle":"","family":"Isık","given":"Ahmet Turan","non-dropping-particle":"","parse-names":false,"suffix":""}],"container-title":"North Clin Istanb","id":"ITEM-2","issued":{"date-parts":[["0"]]},"title":"Validity and Reliability of Geriatric Depression Scale - 15 (Short Form) in Turkish older adults","type":"article-journal"},"uris":["http://www.mendeley.com/documents/?uuid=1e4e8fa4-3258-404d-9ea0-e780eb8f342c"]}],"mendeley":{"formattedCitation":"(16,17)","plainTextFormattedCitation":"(16,17)","previouslyFormattedCitation":"(16,17)"},"properties":{"noteIndex":0},"schema":"https://github.com/citation-style-language/schema/raw/master/csl-citation.json"}</w:instrText>
      </w:r>
      <w:r w:rsidR="003B2514"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(16,17)</w:t>
      </w:r>
      <w:r w:rsidR="003B2514" w:rsidRPr="005702ED">
        <w:rPr>
          <w:rFonts w:ascii="Arial" w:eastAsia="Calibri" w:hAnsi="Arial" w:cs="Arial"/>
          <w:sz w:val="22"/>
          <w:szCs w:val="22"/>
          <w:lang w:val="en-US"/>
        </w:rPr>
        <w:fldChar w:fldCharType="end"/>
      </w:r>
      <w:r w:rsidR="000F7FA5" w:rsidRPr="005702ED">
        <w:rPr>
          <w:rFonts w:ascii="Arial" w:eastAsia="Calibri" w:hAnsi="Arial" w:cs="Arial"/>
          <w:sz w:val="22"/>
          <w:szCs w:val="22"/>
          <w:lang w:val="en-US"/>
        </w:rPr>
        <w:t xml:space="preserve"> </w:t>
      </w:r>
      <w:r w:rsidR="0005393D" w:rsidRPr="005702ED">
        <w:rPr>
          <w:rFonts w:ascii="Arial" w:eastAsia="Calibri" w:hAnsi="Arial" w:cs="Arial"/>
          <w:sz w:val="22"/>
          <w:szCs w:val="22"/>
          <w:lang w:val="en-US"/>
        </w:rPr>
        <w:t xml:space="preserve">for </w:t>
      </w:r>
      <w:r w:rsidR="00AC7214" w:rsidRPr="005702ED">
        <w:rPr>
          <w:rFonts w:ascii="Arial" w:eastAsia="Calibri" w:hAnsi="Arial" w:cs="Arial"/>
          <w:sz w:val="22"/>
          <w:szCs w:val="22"/>
          <w:lang w:val="en-US"/>
        </w:rPr>
        <w:t xml:space="preserve">emotional state assessment, </w:t>
      </w:r>
      <w:r w:rsidR="0005393D" w:rsidRPr="005702ED">
        <w:rPr>
          <w:rFonts w:ascii="Arial" w:eastAsia="Calibri" w:hAnsi="Arial" w:cs="Arial"/>
          <w:sz w:val="22"/>
          <w:szCs w:val="22"/>
          <w:lang w:val="en-US"/>
        </w:rPr>
        <w:t>The Lawton-Brody Instrumental Daily Living Activity Scale (IADL)</w:t>
      </w:r>
      <w:r w:rsidR="008B01B6" w:rsidRPr="005702ED">
        <w:rPr>
          <w:rFonts w:ascii="Arial" w:eastAsia="Calibri" w:hAnsi="Arial" w:cs="Arial"/>
          <w:sz w:val="22"/>
          <w:szCs w:val="22"/>
          <w:lang w:val="en-US"/>
        </w:rPr>
        <w:t xml:space="preserve"> </w:t>
      </w:r>
      <w:r w:rsidR="00F40FF8"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{"citationItems":[{"id":"ITEM-1","itemData":{"DOI":"10.1093/geront/9.3_Part_1.179","ISBN":"0016-9013 (Print)\\r0016-9013 (Linking)","ISSN":"17585341","PMID":"5349366","abstract":"Physical Self-maintenance Among the many scales for measuring activities of daily living that have been devised, the one developed at the Langley-Porter Neuropsychiatric Institute by Simon, Lowenthal, and their associates (Lowenthal, 1964) has frequently been utilized by ...","author":[{"dropping-particle":"","family":"Lawton","given":"M. Powell","non-dropping-particle":"","parse-names":false,"suffix":""},{"dropping-particle":"","family":"Brody","given":"Elaine M.","non-dropping-particle":"","parse-names":false,"suffix":""}],"container-title":"Gerontologist","id":"ITEM-1","issue":"3","issued":{"date-parts":[["1969"]]},"page":"179-86","title":"Assessment of older people: Self-maintaining and instrumental activities of daily living","type":"article-journal","volume":"9"},"uris":["http://www.mendeley.com/documents/?uuid=59d8dfe4-1ee0-41f0-8f8b-9c1e30fe6eb4"]}],"mendeley":{"formattedCitation":"(18)","plainTextFormattedCitation":"(18)","previouslyFormattedCitation":"(18)"},"properties":{"noteIndex":0},"schema":"https://github.com/citation-style-language/schema/raw/master/csl-citation.json"}</w:instrText>
      </w:r>
      <w:r w:rsidR="00F40FF8"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(18)</w:t>
      </w:r>
      <w:r w:rsidR="00F40FF8" w:rsidRPr="005702ED">
        <w:rPr>
          <w:rFonts w:ascii="Arial" w:eastAsia="Calibri" w:hAnsi="Arial" w:cs="Arial"/>
          <w:sz w:val="22"/>
          <w:szCs w:val="22"/>
          <w:lang w:val="en-US"/>
        </w:rPr>
        <w:fldChar w:fldCharType="end"/>
      </w:r>
      <w:r w:rsidR="00F40FF8" w:rsidRPr="005702ED">
        <w:rPr>
          <w:rFonts w:ascii="Arial" w:eastAsia="Calibri" w:hAnsi="Arial" w:cs="Arial"/>
          <w:sz w:val="22"/>
          <w:szCs w:val="22"/>
          <w:lang w:val="en-US"/>
        </w:rPr>
        <w:t xml:space="preserve"> </w:t>
      </w:r>
      <w:r w:rsidR="0005393D" w:rsidRPr="005702ED">
        <w:rPr>
          <w:rFonts w:ascii="Arial" w:eastAsia="Calibri" w:hAnsi="Arial" w:cs="Arial"/>
          <w:sz w:val="22"/>
          <w:szCs w:val="22"/>
          <w:lang w:val="en-US"/>
        </w:rPr>
        <w:t>and Barthel index (BI)</w:t>
      </w:r>
      <w:r w:rsidR="00F40FF8" w:rsidRPr="005702ED">
        <w:rPr>
          <w:rFonts w:ascii="Arial" w:eastAsia="Calibri" w:hAnsi="Arial" w:cs="Arial"/>
          <w:sz w:val="22"/>
          <w:szCs w:val="22"/>
          <w:lang w:val="en-US"/>
        </w:rPr>
        <w:t xml:space="preserve"> </w:t>
      </w:r>
      <w:r w:rsidR="00F40FF8"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{"citationItems":[{"id":"ITEM-1","itemData":{"DOI":"10.1016/S0140-6736(10)62108-3","ISBN":"0025-4363 (Print)\\r0025-4363 (Linking)","ISSN":"0025-4363","PMID":"14258950","abstract":"of independence to score the ability of a patient with a neuro-muscular or musculoskeletal disorder to care for himself, and by repeating the test periodically, to assess his improvement. The Index (BI) has also been taught to many nurses, who have been helpful in evaluating patients prior to admission to these hospitals and after discharge. The values assigned to each item are based on time and amount of actual physical assistance required if a patient is unable to perform the activity. Full credit is not given for an activity if the patient needs even minimal help and/or supervision, ie, if he cannot safely perform the activity without someone present in the room with him. Because of the time required to attend an incontinent patient and since he is not socially acceptable, continence was weighted heavily. Environmental conditions may affect the patient's score. If he has special requirements (other than the usual home setting), his score will be lower when they are not met. Examples are: doorways wide enough for easy access by wheelchair; all rooms on the same level if he cannot walk; grab bars at the toilet and tub. To be more valuable, an explanation of special environmental requirements should accompany the BI of each patient when these are indicated. Each patient's BI is scored at the beginning of treatment in the Rehabilitation Service (PM&amp;R), at intervals during the course of his rehabilitation, and at the time of maximum benefit. In this way, it is possible to determine how well and how rapidly he has progressed toward independence. Sometimes improvement does not show up because the presence of another person may still be required even though he does not actually give physical assistance. Usually lack of improvement in the BI after a reasonable period of treatment indicates poor potential for rehabilitation. S","author":[{"dropping-particle":"","family":"MAHONEY","given":"F I","non-dropping-particle":"","parse-names":false,"suffix":""},{"dropping-particle":"","family":"BARTHEL","given":"D W","non-dropping-particle":"","parse-names":false,"suffix":""}],"container-title":"Md State Med J","id":"ITEM-1","issued":{"date-parts":[["1965"]]},"page":"61-5","title":"Functional Evaluation: The Barthel Index.","type":"article-journal","volume":"14"},"uris":["http://www.mendeley.com/documents/?uuid=52580065-a008-4b72-9174-70d118cbd8a7"]}],"mendeley":{"formattedCitation":"(19)","plainTextFormattedCitation":"(19)","previouslyFormattedCitation":"(19)"},"properties":{"noteIndex":0},"schema":"https://github.com/citation-style-language/schema/raw/master/csl-citation.json"}</w:instrText>
      </w:r>
      <w:r w:rsidR="00F40FF8"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(19)</w:t>
      </w:r>
      <w:r w:rsidR="00F40FF8" w:rsidRPr="005702ED">
        <w:rPr>
          <w:rFonts w:ascii="Arial" w:eastAsia="Calibri" w:hAnsi="Arial" w:cs="Arial"/>
          <w:sz w:val="22"/>
          <w:szCs w:val="22"/>
          <w:lang w:val="en-US"/>
        </w:rPr>
        <w:fldChar w:fldCharType="end"/>
      </w:r>
      <w:r w:rsidR="0005393D" w:rsidRPr="005702ED">
        <w:rPr>
          <w:rFonts w:ascii="Arial" w:eastAsia="Calibri" w:hAnsi="Arial" w:cs="Arial"/>
          <w:sz w:val="22"/>
          <w:szCs w:val="22"/>
          <w:lang w:val="en-US"/>
        </w:rPr>
        <w:t xml:space="preserve"> for daily living activities</w:t>
      </w:r>
      <w:r w:rsidR="00AC7214" w:rsidRPr="005702ED">
        <w:rPr>
          <w:rFonts w:ascii="Arial" w:eastAsia="Calibri" w:hAnsi="Arial" w:cs="Arial"/>
          <w:sz w:val="22"/>
          <w:szCs w:val="22"/>
          <w:lang w:val="en-US"/>
        </w:rPr>
        <w:t>, Mini Nutritional Assessment (MNA)</w:t>
      </w:r>
      <w:r w:rsidR="003B2514"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{"citationItems":[{"id":"ITEM-1","itemData":{"DOI":"10.1016/S0899-9007(98)00171-3","ISBN":"1279-7707","ISSN":"1279-7707","PMID":"17183419","abstract":"To review the literature on the MNA(registered trademark) to Spring 2006, we searched MEDLINE, Web of Science &amp; Scopus, and did a manual search in J Nutr Health Aging, Clin Nutr, Eur J Clin Nutr and free online available publications. Validation and validity: The MNA(registered trademark) was validated against two principal criteria, clinical status and comprehensive nutrition assessment using principal component and discriminant analysis. The MNA(registered trademark) short-form (MNA(registered trademark)-SF) was developed and validated to allow a 2-step screening process. The MNA(registered trademark) and MNA(registered trademark)-SF are sensitive, specific, and accurate in identifying nutrition risk. Nutritional Screening: The prevalence of malnutrition in community-dwelling elderly (21 studies, n = 14149 elderly) is 2 (plus or minus) 0.1% (mean (plus or minus) SE, range 0-8%) and risk of malnutrition is 24 (plus or minus) 0.4% (range 8-76%). A similar pattern is seen in out-patient and home care elderly (25 studies, n = 3119 elderly) with prevalence of undernutrition 9 (plus or minus) 0.5% (mean (plus or minus) SE, range 0-30%) and risk of malnutrition 45 (plus or minus) 0.9% (range 8-65%). A high prevalence of undernutrition has been reported in hospitalized and institutionalized elderly patients: prevalence of malnutrition is 23 (plus or minus) 0.5% (mean (plus or minus) SE, range 1-74%) in hospitals (35 studies, n = 8596) and 21 (plus or minus) 0.5% (mean (plus or minus) SE, range 5-71%) in institutions (32 studies, n = 6821 elderly). An even higher prevalence of risk of malnutrition was observed in the same populations, with 46 (plus or minus) 0.5% (range 8-63%) and 51 (plus or minus) 0.6% (range 27-70%), respectively. In cognitively impaired elderly subjects (10 studies, n = 2051 elderly subjects), detection using the MNA(registered trademark), prevalence of malnutrition was 15 (plus or minus) 0.8% (mean (plus or minus) SE, range 0-62%), and 44 (plus or minus) 1.1% (range 19-87%) of risk of malnutrition. Characteristics: The large variability is due to differences in level of dependence and health status among the elderly. In hospital settings, a low MNA(registered trademark) score is associated with an increase in mortality, prolonged length of stay and greater likelihood of discharge to nursing homes. Malnutrition is associated with functional and cognitive impairment and difficulties eating. The MNA(registered trademark) detects risk of maln…","author":[{"dropping-particle":"","family":"Guigoz","given":"Y","non-dropping-particle":"","parse-names":false,"suffix":""}],"container-title":"J Nutr Health Aging","id":"ITEM-1","issue":"6","issued":{"date-parts":[["2006"]]},"page":"466-485","title":"The Mini Nutritional Assessment (MNA(registered trademark)) review of the literature - What does it tell us?","type":"article-journal","volume":"10"},"uris":["http://www.mendeley.com/documents/?uuid=4cea764b-bf5b-40b3-b61f-734c907b7229"]}],"mendeley":{"formattedCitation":"(20)","plainTextFormattedCitation":"(20)","previouslyFormattedCitation":"(20)"},"properties":{"noteIndex":0},"schema":"https://github.com/citation-style-language/schema/raw/master/csl-citation.json"}</w:instrText>
      </w:r>
      <w:r w:rsidR="003B2514"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(20)</w:t>
      </w:r>
      <w:r w:rsidR="003B2514" w:rsidRPr="005702ED">
        <w:rPr>
          <w:rFonts w:ascii="Arial" w:eastAsia="Calibri" w:hAnsi="Arial" w:cs="Arial"/>
          <w:sz w:val="22"/>
          <w:szCs w:val="22"/>
          <w:lang w:val="en-US"/>
        </w:rPr>
        <w:fldChar w:fldCharType="end"/>
      </w:r>
      <w:r w:rsidR="00AC7214" w:rsidRPr="005702ED">
        <w:rPr>
          <w:rFonts w:ascii="Arial" w:eastAsia="Calibri" w:hAnsi="Arial" w:cs="Arial"/>
          <w:sz w:val="22"/>
          <w:szCs w:val="22"/>
          <w:lang w:val="en-US"/>
        </w:rPr>
        <w:t xml:space="preserve"> for nutritional evaluation</w:t>
      </w:r>
      <w:r w:rsidR="000A3B40" w:rsidRPr="005702ED">
        <w:rPr>
          <w:rFonts w:ascii="Arial" w:eastAsia="Calibri" w:hAnsi="Arial" w:cs="Arial"/>
          <w:sz w:val="22"/>
          <w:szCs w:val="22"/>
          <w:lang w:val="en-US"/>
        </w:rPr>
        <w:t>,</w:t>
      </w:r>
      <w:r w:rsidR="00AC7214" w:rsidRPr="005702ED">
        <w:rPr>
          <w:rFonts w:ascii="Arial" w:eastAsia="Calibri" w:hAnsi="Arial" w:cs="Arial"/>
          <w:sz w:val="22"/>
          <w:szCs w:val="22"/>
          <w:lang w:val="en-US"/>
        </w:rPr>
        <w:t xml:space="preserve"> and FRAIL frailty index</w:t>
      </w:r>
      <w:r w:rsidR="008F26D1" w:rsidRPr="005702ED">
        <w:rPr>
          <w:rFonts w:ascii="Arial" w:eastAsia="Calibri" w:hAnsi="Arial" w:cs="Arial"/>
          <w:sz w:val="22"/>
          <w:szCs w:val="22"/>
          <w:lang w:val="en-US"/>
        </w:rPr>
        <w:t xml:space="preserve"> </w:t>
      </w:r>
      <w:r w:rsidR="001B04C4" w:rsidRPr="005702ED">
        <w:rPr>
          <w:rFonts w:ascii="Arial" w:eastAsia="Calibri" w:hAnsi="Arial" w:cs="Arial"/>
          <w:b/>
          <w:sz w:val="22"/>
          <w:szCs w:val="22"/>
          <w:lang w:val="en-US"/>
        </w:rPr>
        <w:fldChar w:fldCharType="begin" w:fldLock="1"/>
      </w:r>
      <w:r w:rsidR="009B17BA" w:rsidRPr="005702ED">
        <w:rPr>
          <w:rFonts w:ascii="Arial" w:eastAsia="Calibri" w:hAnsi="Arial" w:cs="Arial"/>
          <w:b/>
          <w:sz w:val="22"/>
          <w:szCs w:val="22"/>
          <w:lang w:val="en-US"/>
        </w:rPr>
        <w:instrText>ADDIN CSL_CITATION {"citationItems":[{"id":"ITEM-1","itemData":{"DOI":"10.1016/j.jamda.2007.11.005","ISBN":"1525-8610","ISSN":"15258610","PMID":"18261696","author":[{"dropping-particle":"","family":"Kan","given":"Gabor Abellan","non-dropping-particle":"van","parse-names":false,"suffix":""},{"dropping-particle":"","family":"Rolland","given":"Yves M.","non-dropping-particle":"","parse-names":false,"suffix":""},{"dropping-particle":"","family":"Morley","given":"John E.","non-dropping-particle":"","parse-names":false,"suffix":""},{"dropping-particle":"","family":"Vellas","given":"Bruno","non-dropping-particle":"","parse-names":false,"suffix":""}],"container-title":"J Am Med Dir Assoc","id":"ITEM-1","issue":"2","issued":{"date-parts":[["2008"]]},"page":"71-72","title":"Frailty: Toward a Clinical Definition","type":"article-journal","volume":"9"},"uris":["http://www.mendeley.com/documents/?uuid=d7a60a1c-84ce-49dd-a11d-5d86c50ed428"]}],"mendeley":{"formattedCitation":"(21)","plainTextFormattedCitation":"(21)","previouslyFormattedCitation":"(21)"},"properties":{"noteIndex":0},"schema":"https://github.com/citation-style-language/schema/raw/master/csl-citation.json"}</w:instrText>
      </w:r>
      <w:r w:rsidR="001B04C4" w:rsidRPr="005702ED">
        <w:rPr>
          <w:rFonts w:ascii="Arial" w:eastAsia="Calibri" w:hAnsi="Arial" w:cs="Arial"/>
          <w:b/>
          <w:sz w:val="22"/>
          <w:szCs w:val="22"/>
          <w:lang w:val="en-US"/>
        </w:rPr>
        <w:fldChar w:fldCharType="separate"/>
      </w:r>
      <w:r w:rsidR="00F40FF8" w:rsidRPr="005702ED">
        <w:rPr>
          <w:rFonts w:ascii="Arial" w:eastAsia="Calibri" w:hAnsi="Arial" w:cs="Arial"/>
          <w:noProof/>
          <w:sz w:val="22"/>
          <w:szCs w:val="22"/>
          <w:lang w:val="en-US"/>
        </w:rPr>
        <w:t>(21)</w:t>
      </w:r>
      <w:r w:rsidR="001B04C4" w:rsidRPr="005702ED">
        <w:rPr>
          <w:rFonts w:ascii="Arial" w:eastAsia="Calibri" w:hAnsi="Arial" w:cs="Arial"/>
          <w:b/>
          <w:sz w:val="22"/>
          <w:szCs w:val="22"/>
          <w:lang w:val="en-US"/>
        </w:rPr>
        <w:fldChar w:fldCharType="end"/>
      </w:r>
      <w:r w:rsidR="00AC7214" w:rsidRPr="005702ED">
        <w:rPr>
          <w:rFonts w:ascii="Arial" w:eastAsia="Calibri" w:hAnsi="Arial" w:cs="Arial"/>
          <w:sz w:val="22"/>
          <w:szCs w:val="22"/>
          <w:lang w:val="en-US"/>
        </w:rPr>
        <w:t xml:space="preserve"> for frailty evaluation.</w:t>
      </w:r>
      <w:r w:rsidR="00570911" w:rsidRPr="005702ED">
        <w:rPr>
          <w:rFonts w:ascii="Arial" w:eastAsia="Calibri" w:hAnsi="Arial" w:cs="Arial"/>
          <w:sz w:val="22"/>
          <w:szCs w:val="22"/>
          <w:lang w:val="en-US"/>
        </w:rPr>
        <w:t xml:space="preserve"> </w:t>
      </w:r>
      <w:r w:rsidR="007E61E9" w:rsidRPr="005702ED">
        <w:rPr>
          <w:rFonts w:ascii="Arial" w:eastAsia="Calibri" w:hAnsi="Arial" w:cs="Arial"/>
          <w:sz w:val="22"/>
          <w:szCs w:val="22"/>
          <w:lang w:val="en-US"/>
        </w:rPr>
        <w:t>W</w:t>
      </w:r>
      <w:r w:rsidR="00321D7F" w:rsidRPr="005702ED">
        <w:rPr>
          <w:rFonts w:ascii="Arial" w:eastAsia="Calibri" w:hAnsi="Arial" w:cs="Arial"/>
          <w:sz w:val="22"/>
          <w:szCs w:val="22"/>
          <w:lang w:val="en-US"/>
        </w:rPr>
        <w:t xml:space="preserve">e considered walking speed &lt;0.8 m/s as slow walking for all cases, and hand grip power &lt;20 kg </w:t>
      </w:r>
      <w:proofErr w:type="gramStart"/>
      <w:r w:rsidR="00321D7F" w:rsidRPr="005702ED">
        <w:rPr>
          <w:rFonts w:ascii="Arial" w:eastAsia="Calibri" w:hAnsi="Arial" w:cs="Arial"/>
          <w:sz w:val="22"/>
          <w:szCs w:val="22"/>
          <w:lang w:val="en-US"/>
        </w:rPr>
        <w:t>were</w:t>
      </w:r>
      <w:proofErr w:type="gramEnd"/>
      <w:r w:rsidR="00321D7F" w:rsidRPr="005702ED">
        <w:rPr>
          <w:rFonts w:ascii="Arial" w:eastAsia="Calibri" w:hAnsi="Arial" w:cs="Arial"/>
          <w:sz w:val="22"/>
          <w:szCs w:val="22"/>
          <w:lang w:val="en-US"/>
        </w:rPr>
        <w:t xml:space="preserve"> low. We </w:t>
      </w:r>
      <w:r w:rsidR="003A44B2" w:rsidRPr="005702ED">
        <w:rPr>
          <w:rFonts w:ascii="Arial" w:eastAsia="Calibri" w:hAnsi="Arial" w:cs="Arial"/>
          <w:sz w:val="22"/>
          <w:szCs w:val="22"/>
          <w:lang w:val="en-US"/>
        </w:rPr>
        <w:t>diagnosed</w:t>
      </w:r>
      <w:r w:rsidR="00321D7F" w:rsidRPr="005702ED">
        <w:rPr>
          <w:rFonts w:ascii="Arial" w:eastAsia="Calibri" w:hAnsi="Arial" w:cs="Arial"/>
          <w:sz w:val="22"/>
          <w:szCs w:val="22"/>
          <w:lang w:val="en-US"/>
        </w:rPr>
        <w:t xml:space="preserve"> “Sarcopenia”, with decreased muscle strength and/or walking speed together with decreased muscle mass and, “</w:t>
      </w:r>
      <w:proofErr w:type="spellStart"/>
      <w:r w:rsidR="00321D7F" w:rsidRPr="005702ED">
        <w:rPr>
          <w:rFonts w:ascii="Arial" w:eastAsia="Calibri" w:hAnsi="Arial" w:cs="Arial"/>
          <w:sz w:val="22"/>
          <w:szCs w:val="22"/>
          <w:lang w:val="en-US"/>
        </w:rPr>
        <w:t>Dynapenia</w:t>
      </w:r>
      <w:proofErr w:type="spellEnd"/>
      <w:r w:rsidR="00321D7F" w:rsidRPr="005702ED">
        <w:rPr>
          <w:rFonts w:ascii="Arial" w:eastAsia="Calibri" w:hAnsi="Arial" w:cs="Arial"/>
          <w:sz w:val="22"/>
          <w:szCs w:val="22"/>
          <w:lang w:val="en-US"/>
        </w:rPr>
        <w:t>” with decreased muscle strength</w:t>
      </w:r>
      <w:r w:rsidR="00C50E0F" w:rsidRPr="005702ED">
        <w:rPr>
          <w:rFonts w:ascii="Arial" w:eastAsia="Calibri" w:hAnsi="Arial" w:cs="Arial"/>
          <w:b/>
          <w:sz w:val="22"/>
          <w:szCs w:val="22"/>
          <w:lang w:val="en-US"/>
        </w:rPr>
        <w:t xml:space="preserve"> </w:t>
      </w:r>
      <w:r w:rsidR="00C50E0F" w:rsidRPr="005702ED">
        <w:rPr>
          <w:rFonts w:ascii="Arial" w:eastAsia="Calibri" w:hAnsi="Arial" w:cs="Arial"/>
          <w:b/>
          <w:sz w:val="22"/>
          <w:szCs w:val="22"/>
          <w:lang w:val="en-US"/>
        </w:rPr>
        <w:fldChar w:fldCharType="begin" w:fldLock="1"/>
      </w:r>
      <w:r w:rsidR="009B17BA" w:rsidRPr="005702ED">
        <w:rPr>
          <w:rFonts w:ascii="Arial" w:eastAsia="Calibri" w:hAnsi="Arial" w:cs="Arial"/>
          <w:b/>
          <w:sz w:val="22"/>
          <w:szCs w:val="22"/>
          <w:lang w:val="en-US"/>
        </w:rPr>
        <w:instrText>ADDIN CSL_CITATION {"citationItems":[{"id":"ITEM-1","itemData":{"DOI":"10.1016/j.exger.2017.05.017","ISBN":"1442-2042 (Electronic)\\r0919-8172 (Linking)","ISSN":"18736815","PMID":"28549839","abstract":"Sarcopenia and dynapenia are related to repeated falls, mobility restriction, depression, frailty, increased mortality and morbidity. The aim of this study is to evaluate the relationship between vitamin B12 deficiency and sarcopenia in older adults. 403 patients, who attended to outpatient clinic and underwent comprehensive geriatric assessment, were included study. All cases’ skeletal muscle mass (SMM), walking speed and hand grip strength were recorded by bioimpedance, 4 meter walking test and hand dynamometer respectively. The diagnosis of sarcopenia was defined according to the criteria of the European Working Group on Sarcopenia in Older People. Sarcopenia was accepted low SMM with low handgrip strength or low physical performance. Dynapenia was defined as handgrip strength &lt; 30 kg (men) and &lt; 20 kg (women). The prevalence of sarcopenia and dynapenia was 24.8% and 32.0%, respectively. In the patients with sarcopenia, mean age, osteoporosis and frailty were higher, and MMSE, and instrumental ADL scores were lower than the patients without sarcopenia (p &lt; 0.05). The frequency of sarcopenia and dynapenia were 31.6% and 35.4%, respectively, in patients with vitamin B12 levels &lt; 400 pg/mL. In addition lean body mass, total skeletal mass and skeletal muscle mass index were lower in the patients with vitamin B12 levels &lt; 400 pg/mL compared to higher than 400 pg/mL (p &lt; 0.05). Sarcopenia, which results in lots of negative clinical outcomes in older adults, might be related to vitamin B12 deficiency. Therefore, these patients should be periodically examined for vitamin B12 deficiency due to the potential negative clinical outcomes such as sarcopenia in older adults.","author":[{"dropping-particle":"","family":"Bulut Ates","given":"Esra","non-dropping-particle":"","parse-names":false,"suffix":""},{"dropping-particle":"","family":"Soysal","given":"Pinar","non-dropping-particle":"","parse-names":false,"suffix":""},{"dropping-particle":"","family":"Aydin","given":"Ali Ekrem","non-dropping-particle":"","parse-names":false,"suffix":""},{"dropping-particle":"","family":"Dokuzlar","given":"Ozge","non-dropping-particle":"","parse-names":false,"suffix":""},{"dropping-particle":"","family":"Kocyigit","given":"Suleyman Emre","non-dropping-particle":"","parse-names":false,"suffix":""},{"dropping-particle":"","family":"Isik","given":"Ahmet Turan","non-dropping-particle":"","parse-names":false,"suffix":""}],"container-title":"Exp Gerontol","id":"ITEM-1","issued":{"date-parts":[["2017"]]},"page":"136-140","title":"Vitamin B12 deficiency might be related to sarcopenia in older adults","type":"article-journal","volume":"95"},"uris":["http://www.mendeley.com/documents/?uuid=3b49e670-0885-4d3f-8519-ae93034534fe"]}],"mendeley":{"formattedCitation":"(22)","plainTextFormattedCitation":"(22)","previouslyFormattedCitation":"(22)"},"properties":{"noteIndex":0},"schema":"https://github.com/citation-style-language/schema/raw/master/csl-citation.json"}</w:instrText>
      </w:r>
      <w:r w:rsidR="00C50E0F" w:rsidRPr="005702ED">
        <w:rPr>
          <w:rFonts w:ascii="Arial" w:eastAsia="Calibri" w:hAnsi="Arial" w:cs="Arial"/>
          <w:b/>
          <w:sz w:val="22"/>
          <w:szCs w:val="22"/>
          <w:lang w:val="en-US"/>
        </w:rPr>
        <w:fldChar w:fldCharType="separate"/>
      </w:r>
      <w:r w:rsidR="00F40FF8" w:rsidRPr="005702ED">
        <w:rPr>
          <w:rFonts w:ascii="Arial" w:eastAsia="Calibri" w:hAnsi="Arial" w:cs="Arial"/>
          <w:noProof/>
          <w:sz w:val="22"/>
          <w:szCs w:val="22"/>
          <w:lang w:val="en-US"/>
        </w:rPr>
        <w:t>(22)</w:t>
      </w:r>
      <w:r w:rsidR="00C50E0F" w:rsidRPr="005702ED">
        <w:rPr>
          <w:rFonts w:ascii="Arial" w:eastAsia="Calibri" w:hAnsi="Arial" w:cs="Arial"/>
          <w:b/>
          <w:sz w:val="22"/>
          <w:szCs w:val="22"/>
          <w:lang w:val="en-US"/>
        </w:rPr>
        <w:fldChar w:fldCharType="end"/>
      </w:r>
      <w:r w:rsidR="00755171" w:rsidRPr="005702ED">
        <w:rPr>
          <w:rFonts w:ascii="Arial" w:eastAsia="Calibri" w:hAnsi="Arial" w:cs="Arial"/>
          <w:sz w:val="22"/>
          <w:szCs w:val="22"/>
          <w:lang w:val="en-US"/>
        </w:rPr>
        <w:t xml:space="preserve">. </w:t>
      </w:r>
    </w:p>
    <w:p w14:paraId="39299A27" w14:textId="77777777" w:rsidR="00AA05A4" w:rsidRPr="005702ED" w:rsidRDefault="00AA05A4" w:rsidP="00755171">
      <w:pPr>
        <w:spacing w:line="480" w:lineRule="auto"/>
        <w:jc w:val="both"/>
        <w:rPr>
          <w:rFonts w:ascii="Arial" w:eastAsia="Calibri" w:hAnsi="Arial" w:cs="Arial"/>
          <w:b/>
          <w:sz w:val="22"/>
          <w:szCs w:val="22"/>
          <w:lang w:val="en-US"/>
        </w:rPr>
      </w:pPr>
      <w:r w:rsidRPr="005702ED">
        <w:rPr>
          <w:rFonts w:ascii="Arial" w:eastAsia="Calibri" w:hAnsi="Arial" w:cs="Arial"/>
          <w:b/>
          <w:sz w:val="22"/>
          <w:szCs w:val="22"/>
          <w:lang w:val="en-US"/>
        </w:rPr>
        <w:t>Evaluation for risk of falling</w:t>
      </w:r>
    </w:p>
    <w:p w14:paraId="0C0B89EF" w14:textId="01DB8FD5" w:rsidR="00AA3F9E" w:rsidRPr="005702ED" w:rsidRDefault="00470500" w:rsidP="00C95EEE">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 xml:space="preserve">A fall is defined as an event which results in a person coming to rest unintentionally on the ground or other lower level, not due to any intentional movement, a major intrinsic event or extrinsic force. </w:t>
      </w:r>
      <w:r w:rsidR="006D55AB" w:rsidRPr="005702ED">
        <w:rPr>
          <w:rFonts w:ascii="Arial" w:eastAsia="Calibri" w:hAnsi="Arial" w:cs="Arial"/>
          <w:sz w:val="22"/>
          <w:szCs w:val="22"/>
          <w:lang w:val="en-US"/>
        </w:rPr>
        <w:t xml:space="preserve">To perform the TUG test as described in the original derivation study, the patient is timed while they rise from an arm chair (approximate seat height 46 cm), walk at a comfortable and safe pace to a line on the floor three </w:t>
      </w:r>
      <w:r w:rsidR="000A52F7" w:rsidRPr="005702ED">
        <w:rPr>
          <w:rFonts w:ascii="Arial" w:eastAsia="Calibri" w:hAnsi="Arial" w:cs="Arial"/>
          <w:sz w:val="22"/>
          <w:szCs w:val="22"/>
          <w:lang w:val="en-US"/>
        </w:rPr>
        <w:t>meters</w:t>
      </w:r>
      <w:r w:rsidR="006D55AB" w:rsidRPr="005702ED">
        <w:rPr>
          <w:rFonts w:ascii="Arial" w:eastAsia="Calibri" w:hAnsi="Arial" w:cs="Arial"/>
          <w:sz w:val="22"/>
          <w:szCs w:val="22"/>
          <w:lang w:val="en-US"/>
        </w:rPr>
        <w:t xml:space="preserve"> away, turn and walk back to the chair and sit down again. The subject walks through the test once before being timed to become familiar with the test</w:t>
      </w:r>
      <w:r w:rsidR="00F40FF8" w:rsidRPr="005702ED">
        <w:rPr>
          <w:rFonts w:ascii="Arial" w:eastAsia="Calibri" w:hAnsi="Arial" w:cs="Arial"/>
          <w:b/>
          <w:sz w:val="22"/>
          <w:szCs w:val="22"/>
          <w:lang w:val="en-US"/>
        </w:rPr>
        <w:t xml:space="preserve"> </w:t>
      </w:r>
      <w:r w:rsidR="00F40FF8" w:rsidRPr="005702ED">
        <w:rPr>
          <w:rFonts w:ascii="Arial" w:eastAsia="Calibri" w:hAnsi="Arial" w:cs="Arial"/>
          <w:b/>
          <w:sz w:val="22"/>
          <w:szCs w:val="22"/>
          <w:lang w:val="en-US"/>
        </w:rPr>
        <w:fldChar w:fldCharType="begin" w:fldLock="1"/>
      </w:r>
      <w:r w:rsidR="009B17BA" w:rsidRPr="005702ED">
        <w:rPr>
          <w:rFonts w:ascii="Arial" w:eastAsia="Calibri" w:hAnsi="Arial" w:cs="Arial"/>
          <w:b/>
          <w:sz w:val="22"/>
          <w:szCs w:val="22"/>
          <w:lang w:val="en-US"/>
        </w:rPr>
        <w:instrText>ADDIN CSL_CITATION {"citationItems":[{"id":"ITEM-1","itemData":{"DOI":"http://www.ncbi.nlm.nih.gov/entrez/query.fcgi?cmd=Retrieve&amp;db=PubMed&amp;dopt=Citation&amp;list_uids=1991946","ISBN":"0002-8614 (Print)\\r0002-8614 (Linking)","ISSN":"00028614","PMID":"1991946","abstract":"This study evaluated a modified, timed version of the \"Get-Up and Go\" Test (Mathias et al, 1986) in 60 patients referred to a Geriatric Day Hospital (mean age 79.5 years). The patient is observed and timed while he rises from an arm chair, walks 3 meters, turns, walks back, and sits down again. The results indicate that the time score is (1) reliable (inter-rater and intra-rater); (2) correlates well with log-transformed scores on the Berg Balance Scale (r = -0.81), gait speed (r = -0.61) and Barthel Index of ADL (r = -0.78); and (3) appears to predict the patient's ability to go outside alone safely. These data suggest that the timed \"Up &amp; Go\" test is a reliable and valid test for quantifying functional mobility that may also be useful in following clinical change over time. The test is quick, requires no special equipment or training, and is easily included as part of the routine medical examination.","author":[{"dropping-particle":"","family":"Podsiadlo","given":"D","non-dropping-particle":"","parse-names":false,"suffix":""},{"dropping-particle":"","family":"Richardson","given":"S","non-dropping-particle":"","parse-names":false,"suffix":""}],"container-title":"J Am Geriatr Soc","id":"ITEM-1","issue":"2","issued":{"date-parts":[["1991"]]},"page":"142-148","title":"The timed \"Up &amp; Go\": a test of basic functional mobility for frail elderly persons","type":"article-journal","volume":"39"},"uris":["http://www.mendeley.com/documents/?uuid=37bafcc0-c6ca-4d6c-af9e-cf8b5ab05f0e"]}],"mendeley":{"formattedCitation":"(23)","plainTextFormattedCitation":"(23)","previouslyFormattedCitation":"(23)"},"properties":{"noteIndex":0},"schema":"https://github.com/citation-style-language/schema/raw/master/csl-citation.json"}</w:instrText>
      </w:r>
      <w:r w:rsidR="00F40FF8" w:rsidRPr="005702ED">
        <w:rPr>
          <w:rFonts w:ascii="Arial" w:eastAsia="Calibri" w:hAnsi="Arial" w:cs="Arial"/>
          <w:b/>
          <w:sz w:val="22"/>
          <w:szCs w:val="22"/>
          <w:lang w:val="en-US"/>
        </w:rPr>
        <w:fldChar w:fldCharType="separate"/>
      </w:r>
      <w:r w:rsidR="00F40FF8" w:rsidRPr="005702ED">
        <w:rPr>
          <w:rFonts w:ascii="Arial" w:eastAsia="Calibri" w:hAnsi="Arial" w:cs="Arial"/>
          <w:noProof/>
          <w:sz w:val="22"/>
          <w:szCs w:val="22"/>
          <w:lang w:val="en-US"/>
        </w:rPr>
        <w:t>(23)</w:t>
      </w:r>
      <w:r w:rsidR="00F40FF8" w:rsidRPr="005702ED">
        <w:rPr>
          <w:rFonts w:ascii="Arial" w:eastAsia="Calibri" w:hAnsi="Arial" w:cs="Arial"/>
          <w:b/>
          <w:sz w:val="22"/>
          <w:szCs w:val="22"/>
          <w:lang w:val="en-US"/>
        </w:rPr>
        <w:fldChar w:fldCharType="end"/>
      </w:r>
      <w:r w:rsidR="006D55AB" w:rsidRPr="005702ED">
        <w:rPr>
          <w:rFonts w:ascii="Arial" w:eastAsia="Calibri" w:hAnsi="Arial" w:cs="Arial"/>
          <w:sz w:val="22"/>
          <w:szCs w:val="22"/>
          <w:lang w:val="en-US"/>
        </w:rPr>
        <w:t xml:space="preserve">. </w:t>
      </w:r>
      <w:r w:rsidR="002C2183" w:rsidRPr="005702ED">
        <w:rPr>
          <w:rFonts w:ascii="Arial" w:eastAsia="Calibri" w:hAnsi="Arial" w:cs="Arial"/>
          <w:sz w:val="22"/>
          <w:szCs w:val="22"/>
          <w:lang w:val="en-US"/>
        </w:rPr>
        <w:t xml:space="preserve">Records of </w:t>
      </w:r>
      <w:r w:rsidR="00573250" w:rsidRPr="005702ED">
        <w:rPr>
          <w:rFonts w:ascii="Arial" w:eastAsia="Calibri" w:hAnsi="Arial" w:cs="Arial"/>
          <w:sz w:val="22"/>
          <w:szCs w:val="22"/>
          <w:lang w:val="en-US"/>
        </w:rPr>
        <w:t xml:space="preserve">≥13.5 seconds </w:t>
      </w:r>
      <w:r w:rsidR="002C2183" w:rsidRPr="005702ED">
        <w:rPr>
          <w:rFonts w:ascii="Arial" w:eastAsia="Calibri" w:hAnsi="Arial" w:cs="Arial"/>
          <w:sz w:val="22"/>
          <w:szCs w:val="22"/>
          <w:lang w:val="en-US"/>
        </w:rPr>
        <w:t>are defined as the risk of falling</w:t>
      </w:r>
      <w:r w:rsidR="00573250" w:rsidRPr="005702ED">
        <w:rPr>
          <w:rFonts w:ascii="Arial" w:eastAsia="Calibri" w:hAnsi="Arial" w:cs="Arial"/>
          <w:sz w:val="22"/>
          <w:szCs w:val="22"/>
          <w:lang w:val="en-US"/>
        </w:rPr>
        <w:t xml:space="preserve"> </w:t>
      </w:r>
      <w:r w:rsidR="003B2514"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{"citationItems":[{"id":"ITEM-1","itemData":{"DOI":"10.7748/nop.26.6.18.e586","ISBN":"978-1-4731-0132-6","ISSN":"20478941","PMID":"24975078","abstract":"In June 2013 the National Institute for Health and Care Excellence updated and replaced its 2004 clinical guideline 21 (CG21) on falls with clinical guideline 161 (CG161). Two priorities were outlined in the latter: preventing falls in older people (unchanged from CG21) and preventing falls in older people during a hospital stay (new). CG161 is for health and social care clinicians who care for older people who have fallen or who are at risk of falling. It provides clinicians and commissioners with evidence to implement effective care pathways and recommendations on the assessment and prevention of falls in older people. The amalgamation of the two guidelines has resulted in some disconnection. This article summarises the evidence and supports clinicians in the interpretation of the revised falls guideline.","author":[{"dropping-particle":"","family":"National Institute for Health and Care Excellence: Clinical Guidelines","given":"n","non-dropping-particle":"","parse-names":false,"suffix":""}],"container-title":"NICE","id":"ITEM-1","issued":{"date-parts":[["2013"]]},"page":"http://www.nice.org.uk/CG161","title":"Falls: assessment and prevention of falls in older people","type":"article-journal"},"uris":["http://www.mendeley.com/documents/?uuid=9b12b942-fa2e-462f-b34a-3359da0d8198"]}],"mendeley":{"formattedCitation":"(24)","plainTextFormattedCitation":"(24)","previouslyFormattedCitation":"(24)"},"properties":{"noteIndex":0},"schema":"https://github.com/citation-style-language/schema/raw/master/csl-citation.json"}</w:instrText>
      </w:r>
      <w:r w:rsidR="003B2514"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(24)</w:t>
      </w:r>
      <w:r w:rsidR="003B2514" w:rsidRPr="005702ED">
        <w:rPr>
          <w:rFonts w:ascii="Arial" w:eastAsia="Calibri" w:hAnsi="Arial" w:cs="Arial"/>
          <w:sz w:val="22"/>
          <w:szCs w:val="22"/>
          <w:lang w:val="en-US"/>
        </w:rPr>
        <w:fldChar w:fldCharType="end"/>
      </w:r>
      <w:r w:rsidR="002C2183" w:rsidRPr="005702ED">
        <w:rPr>
          <w:rFonts w:ascii="Arial" w:eastAsia="Calibri" w:hAnsi="Arial" w:cs="Arial"/>
          <w:sz w:val="22"/>
          <w:szCs w:val="22"/>
          <w:lang w:val="en-US"/>
        </w:rPr>
        <w:t>.</w:t>
      </w:r>
      <w:r w:rsidR="000064F1" w:rsidRPr="005702ED">
        <w:rPr>
          <w:rFonts w:ascii="Arial" w:eastAsia="Calibri" w:hAnsi="Arial" w:cs="Arial"/>
          <w:sz w:val="22"/>
          <w:szCs w:val="22"/>
          <w:lang w:val="en-US"/>
        </w:rPr>
        <w:t xml:space="preserve"> We also used the </w:t>
      </w:r>
      <w:r w:rsidR="00DD3AE4" w:rsidRPr="005702ED">
        <w:rPr>
          <w:rFonts w:ascii="Arial" w:eastAsia="Calibri" w:hAnsi="Arial" w:cs="Arial"/>
          <w:sz w:val="22"/>
          <w:szCs w:val="22"/>
          <w:lang w:val="en-US"/>
        </w:rPr>
        <w:t xml:space="preserve">Tinetti POMA Scale to assess the gait with seven components (initiation of gait, step length, step symmetry, step continuity, path, trunk and walking stance; maximum 12 points) and balance abilities of participants with nine components (sitting balance, arises, attempts to arise, immediate standing balance, standing balance, nudged, eyes closed, turning 360°, and sitting down; maximum 16 points). Each subscale was measured as abnormal = 0 or normal = 1; in some cases, adaptive = 1 and normal = 2. The maximum sum-score of both gait and balance components are 28 points. POMA total scores &lt;19 are defined as the high risk of falling </w:t>
      </w:r>
      <w:r w:rsidR="00EF0CCC" w:rsidRPr="005702ED">
        <w:rPr>
          <w:rFonts w:ascii="Arial" w:eastAsia="Calibri" w:hAnsi="Arial" w:cs="Arial"/>
          <w:b/>
          <w:sz w:val="22"/>
          <w:szCs w:val="22"/>
          <w:lang w:val="en-US"/>
        </w:rPr>
        <w:fldChar w:fldCharType="begin" w:fldLock="1"/>
      </w:r>
      <w:r w:rsidR="009B17BA" w:rsidRPr="005702ED">
        <w:rPr>
          <w:rFonts w:ascii="Arial" w:eastAsia="Calibri" w:hAnsi="Arial" w:cs="Arial"/>
          <w:b/>
          <w:sz w:val="22"/>
          <w:szCs w:val="22"/>
          <w:lang w:val="en-US"/>
        </w:rPr>
        <w:instrText>ADDIN CSL_CITATION {"citationItems":[{"id":"ITEM-1","itemData":{"DOI":"10.1111/j.1532-5415.1986.tb05480.x","ISBN":"0002-8614 (Print)\\r0002-8614 (Linking)","ISSN":"15325415","PMID":"3944402","abstract":"Discusses the content of functional mobility (ambulation) assessment of the elderly and describes the limitations of relying solely on either a disease-oriented or a gait-analytic approach. A performance-oriented assessment of mobility is described that incorporates features of both approaches; integrates multiple physical, cognitive, and psychologic characteristics; and relies on direct observation of function. Limitations of the proposed categorization system are noted, but it is considered to be a clinically useful way to utilize data frequently obtained in the care of older patients. (18 ref)","author":[{"dropping-particle":"","family":"Tinetti","given":"Mary E.","non-dropping-particle":"","parse-names":false,"suffix":""}],"container-title":"J Am Geriatr Soc","id":"ITEM-1","issue":"2","issued":{"date-parts":[["1986"]]},"page":"119-126","title":"Performance</w:instrText>
      </w:r>
      <w:r w:rsidR="009B17BA" w:rsidRPr="005702ED">
        <w:rPr>
          <w:rFonts w:ascii="Cambria Math" w:eastAsia="Calibri" w:hAnsi="Cambria Math" w:cs="Cambria Math"/>
          <w:b/>
          <w:sz w:val="22"/>
          <w:szCs w:val="22"/>
          <w:lang w:val="en-US"/>
        </w:rPr>
        <w:instrText>‐</w:instrText>
      </w:r>
      <w:r w:rsidR="009B17BA" w:rsidRPr="005702ED">
        <w:rPr>
          <w:rFonts w:ascii="Arial" w:eastAsia="Calibri" w:hAnsi="Arial" w:cs="Arial"/>
          <w:b/>
          <w:sz w:val="22"/>
          <w:szCs w:val="22"/>
          <w:lang w:val="en-US"/>
        </w:rPr>
        <w:instrText>Oriented Assessment of Mobility Problems in Elderly Patients","type":"article-journal","volume":"34"},"uris":["http://www.mendeley.com/documents/?uuid=fcbdfaed-9972-406f-9741-1d67388bade0"]},{"id":"ITEM-2","itemData":{"DOI":"10.2147/CIA.S112282","ISSN":"11781998","PMID":"27570449","abstract":"PURPOSE The aim of this study was to investigate the effects of physical, mental, and cognitive disabilities on gait and balance deficits among nursing home residents with different diseases in Jordan and also to find the risk of fall associated with or without these diseases. METHODS A sample of 221 nursing home residents aged 18-100 years in Jordan was recruited for this study. All participants were assessed using the Arabic versions of the Tinetti assessment battery (TAB) for gait and balance, mini-mental state examination, and disability of arm, shoulder, and hand assessment test. RESULTS A total of 221 nursing home residents were included in this study. Different chronic diseases were medically reported in this study. Psychiatric disorders (45.7%) were shown to be the most prevalent disease seen among the participants, followed by hypertension and diabetes mellitus affecting 33.5% and 23.5% of the participants, respectively. However, the least prevalent diseases were stroke (17.2%), joint inflammation (17.2%), and arthritis (9.0%). Based on TAB scores, the participants were classified into three groups: high risk of falls (≤18; n=116), moderate risk of falls (19-23; n=25), and low risk of falls (≥24; n=80). The correlation between physical activity and mental health problems with risks of falls was reported in all participants. The data showed that participants with over 50% upper extremity disability, stroke, heart disease, arthritis, joint diseases, diabetes, and hypertension recorded higher risks of falls as measured by TAB test compared to those with low and moderate TAB scores. Also, impairment in cognitive abilities and psychiatric disorders was shown to be associated with gait and balance problems, with a higher risk of falls in 47.5% and 46.1% of the residents, respectively. CONCLUSION This study revealed a significant impact of upper limb disability, stroke, heart disease, arthritis, joint diseases, diabetes, and hypertension as well as psychiatric disorders and cognitive disabilities on gait and balance deficits among home-resident older adults.","author":[{"dropping-particle":"","family":"Al-Momani","given":"Murad","non-dropping-particle":"","parse-names":false,"suffix":""},{"dropping-particle":"","family":"Al-Momani","given":"Fidaa","non-dropping-particle":"","parse-names":false,"suffix":""},{"dropping-particle":"","family":"Alghadir","given":"Ahmad H.","non-dropping-particle":"","parse-names":false,"suffix":""},{"dropping-particle":"","family":"Alharethy","given":"Sami","non-dropping-particle":"","parse-names":false,"suffix":""},{"dropping-particle":"","family":"Gabr","given":"Sami A.","non-dropping-particle":"","parse-names":false,"suffix":""}],"container-title":"Clin Interv Aging","id":"ITEM-2","issued":{"date-parts":[["2016"]]},"page":"1043-1049","title":"Factors related to gait and balance deficits in older adults","type":"article-journal","volume":"11"},"uris":["http://www.mendeley.com/documents/?uuid=356cfa34-c98f-4571-8b87-aa34ac52bf2c"]}],"mendeley":{"formattedCitation":"(25,26)","plainTextFormattedCitation":"(25,26)","previouslyFormattedCitation":"(25,26)"},"properties":{"noteIndex":0},"schema":"https://github.com/citation-style-language/schema/raw/master/csl-citation.json"}</w:instrText>
      </w:r>
      <w:r w:rsidR="00EF0CCC" w:rsidRPr="005702ED">
        <w:rPr>
          <w:rFonts w:ascii="Arial" w:eastAsia="Calibri" w:hAnsi="Arial" w:cs="Arial"/>
          <w:b/>
          <w:sz w:val="22"/>
          <w:szCs w:val="22"/>
          <w:lang w:val="en-US"/>
        </w:rPr>
        <w:fldChar w:fldCharType="separate"/>
      </w:r>
      <w:r w:rsidR="00F40FF8" w:rsidRPr="005702ED">
        <w:rPr>
          <w:rFonts w:ascii="Arial" w:eastAsia="Calibri" w:hAnsi="Arial" w:cs="Arial"/>
          <w:noProof/>
          <w:sz w:val="22"/>
          <w:szCs w:val="22"/>
          <w:lang w:val="en-US"/>
        </w:rPr>
        <w:t>(25,26)</w:t>
      </w:r>
      <w:r w:rsidR="00EF0CCC" w:rsidRPr="005702ED">
        <w:rPr>
          <w:rFonts w:ascii="Arial" w:eastAsia="Calibri" w:hAnsi="Arial" w:cs="Arial"/>
          <w:b/>
          <w:sz w:val="22"/>
          <w:szCs w:val="22"/>
          <w:lang w:val="en-US"/>
        </w:rPr>
        <w:fldChar w:fldCharType="end"/>
      </w:r>
      <w:r w:rsidR="00DD3AE4" w:rsidRPr="005702ED">
        <w:rPr>
          <w:rFonts w:ascii="Arial" w:eastAsia="Calibri" w:hAnsi="Arial" w:cs="Arial"/>
          <w:sz w:val="22"/>
          <w:szCs w:val="22"/>
          <w:lang w:val="en-US"/>
        </w:rPr>
        <w:t>.</w:t>
      </w:r>
      <w:r w:rsidR="00D85F36" w:rsidRPr="005702ED">
        <w:rPr>
          <w:rFonts w:ascii="Arial" w:eastAsia="Calibri" w:hAnsi="Arial" w:cs="Arial"/>
          <w:sz w:val="22"/>
          <w:szCs w:val="22"/>
          <w:lang w:val="en-US"/>
        </w:rPr>
        <w:t xml:space="preserve"> </w:t>
      </w:r>
      <w:r w:rsidR="0042099F" w:rsidRPr="005702ED">
        <w:rPr>
          <w:rFonts w:ascii="Arial" w:eastAsia="Calibri" w:hAnsi="Arial" w:cs="Arial"/>
          <w:sz w:val="22"/>
          <w:szCs w:val="22"/>
          <w:lang w:val="en-US"/>
        </w:rPr>
        <w:t xml:space="preserve">We instructed the patient to walk at their normal pace. Then we asked the patient to walk down a hallway through a 1-metre zone for acceleration, a central 4-metre “testing” zone, and a 1-metre zone for deceleration (the patient should not start to slow down </w:t>
      </w:r>
      <w:r w:rsidR="0042099F" w:rsidRPr="005702ED">
        <w:rPr>
          <w:rFonts w:ascii="Arial" w:eastAsia="Calibri" w:hAnsi="Arial" w:cs="Arial"/>
          <w:sz w:val="22"/>
          <w:szCs w:val="22"/>
          <w:lang w:val="en-US"/>
        </w:rPr>
        <w:lastRenderedPageBreak/>
        <w:t>before the 4-metre mark). We started the timer with the first f</w:t>
      </w:r>
      <w:r w:rsidR="00AA3F9E" w:rsidRPr="005702ED">
        <w:rPr>
          <w:rFonts w:ascii="Arial" w:eastAsia="Calibri" w:hAnsi="Arial" w:cs="Arial"/>
          <w:sz w:val="22"/>
          <w:szCs w:val="22"/>
          <w:lang w:val="en-US"/>
        </w:rPr>
        <w:t xml:space="preserve">ootfall after the 0-metre </w:t>
      </w:r>
      <w:proofErr w:type="gramStart"/>
      <w:r w:rsidR="00AA3F9E" w:rsidRPr="005702ED">
        <w:rPr>
          <w:rFonts w:ascii="Arial" w:eastAsia="Calibri" w:hAnsi="Arial" w:cs="Arial"/>
          <w:sz w:val="22"/>
          <w:szCs w:val="22"/>
          <w:lang w:val="en-US"/>
        </w:rPr>
        <w:t xml:space="preserve">line, </w:t>
      </w:r>
      <w:r w:rsidR="0042099F" w:rsidRPr="005702ED">
        <w:rPr>
          <w:rFonts w:ascii="Arial" w:eastAsia="Calibri" w:hAnsi="Arial" w:cs="Arial"/>
          <w:sz w:val="22"/>
          <w:szCs w:val="22"/>
          <w:lang w:val="en-US"/>
        </w:rPr>
        <w:t>and</w:t>
      </w:r>
      <w:proofErr w:type="gramEnd"/>
      <w:r w:rsidR="0042099F" w:rsidRPr="005702ED">
        <w:rPr>
          <w:rFonts w:ascii="Arial" w:eastAsia="Calibri" w:hAnsi="Arial" w:cs="Arial"/>
          <w:sz w:val="22"/>
          <w:szCs w:val="22"/>
          <w:lang w:val="en-US"/>
        </w:rPr>
        <w:t xml:space="preserve"> stop with the first footfall after the 4-metre line. </w:t>
      </w:r>
      <w:r w:rsidR="00AA3F9E" w:rsidRPr="005702ED">
        <w:rPr>
          <w:rFonts w:ascii="Arial" w:eastAsia="Calibri" w:hAnsi="Arial" w:cs="Arial"/>
          <w:sz w:val="22"/>
          <w:szCs w:val="22"/>
          <w:lang w:val="en-US"/>
        </w:rPr>
        <w:t xml:space="preserve">We considered walking speed below 0.8 m/s as a risk factor for falls </w:t>
      </w:r>
      <w:r w:rsidR="00F23342"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{"citationItems":[{"id":"ITEM-1","itemData":{"author":[{"dropping-particle":"","family":"BCGuidelines.ca","given":"","non-dropping-particle":"","parse-names":false,"suffix":""}],"id":"ITEM-1","issued":{"date-parts":[["2017"]]},"title":"Frailty in Older Adults - Early İdentification and Management.","type":"report"},"uris":["http://www.mendeley.com/documents/?uuid=b60d503e-00a1-42b2-96db-a835d11ffd9a"]}],"mendeley":{"formattedCitation":"(27)","plainTextFormattedCitation":"(27)","previouslyFormattedCitation":"(27)"},"properties":{"noteIndex":0},"schema":"https://github.com/citation-style-language/schema/raw/master/csl-citation.json"}</w:instrText>
      </w:r>
      <w:r w:rsidR="00F23342"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(27)</w:t>
      </w:r>
      <w:r w:rsidR="00F23342" w:rsidRPr="005702ED">
        <w:rPr>
          <w:rFonts w:ascii="Arial" w:eastAsia="Calibri" w:hAnsi="Arial" w:cs="Arial"/>
          <w:sz w:val="22"/>
          <w:szCs w:val="22"/>
          <w:lang w:val="en-US"/>
        </w:rPr>
        <w:fldChar w:fldCharType="end"/>
      </w:r>
      <w:r w:rsidR="00AA3F9E" w:rsidRPr="005702ED">
        <w:rPr>
          <w:rFonts w:ascii="Arial" w:eastAsia="Calibri" w:hAnsi="Arial" w:cs="Arial"/>
          <w:sz w:val="22"/>
          <w:szCs w:val="22"/>
          <w:lang w:val="en-US"/>
        </w:rPr>
        <w:t xml:space="preserve">. </w:t>
      </w:r>
    </w:p>
    <w:p w14:paraId="31B75F68" w14:textId="11949FEC" w:rsidR="00AB15ED" w:rsidRPr="005702ED" w:rsidRDefault="00AB15ED" w:rsidP="00C95EEE">
      <w:pPr>
        <w:spacing w:line="480" w:lineRule="auto"/>
        <w:jc w:val="both"/>
        <w:rPr>
          <w:rFonts w:ascii="Arial" w:eastAsia="Calibri" w:hAnsi="Arial" w:cs="Arial"/>
          <w:b/>
          <w:sz w:val="22"/>
          <w:szCs w:val="22"/>
          <w:lang w:val="en-US"/>
        </w:rPr>
      </w:pPr>
      <w:r w:rsidRPr="005702ED">
        <w:rPr>
          <w:rFonts w:ascii="Arial" w:eastAsia="Calibri" w:hAnsi="Arial" w:cs="Arial"/>
          <w:b/>
          <w:sz w:val="22"/>
          <w:szCs w:val="22"/>
          <w:lang w:val="en-US"/>
        </w:rPr>
        <w:t>Statisti</w:t>
      </w:r>
      <w:r w:rsidR="00CB76BD" w:rsidRPr="005702ED">
        <w:rPr>
          <w:rFonts w:ascii="Arial" w:eastAsia="Calibri" w:hAnsi="Arial" w:cs="Arial"/>
          <w:b/>
          <w:sz w:val="22"/>
          <w:szCs w:val="22"/>
          <w:lang w:val="en-US"/>
        </w:rPr>
        <w:t>cal Analyses</w:t>
      </w:r>
      <w:r w:rsidRPr="005702ED">
        <w:rPr>
          <w:rFonts w:ascii="Arial" w:eastAsia="Calibri" w:hAnsi="Arial" w:cs="Arial"/>
          <w:b/>
          <w:sz w:val="22"/>
          <w:szCs w:val="22"/>
          <w:lang w:val="en-US"/>
        </w:rPr>
        <w:t xml:space="preserve"> </w:t>
      </w:r>
    </w:p>
    <w:p w14:paraId="62D3DA7E" w14:textId="3F2E1243" w:rsidR="00DC09CC" w:rsidRPr="005702ED" w:rsidRDefault="0015044D" w:rsidP="00DC09CC">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 xml:space="preserve">Analysis of the data was </w:t>
      </w:r>
      <w:r w:rsidR="00CB76BD" w:rsidRPr="005702ED">
        <w:rPr>
          <w:rFonts w:ascii="Arial" w:eastAsia="Calibri" w:hAnsi="Arial" w:cs="Arial"/>
          <w:sz w:val="22"/>
          <w:szCs w:val="22"/>
          <w:lang w:val="en-US"/>
        </w:rPr>
        <w:t xml:space="preserve">carried out </w:t>
      </w:r>
      <w:r w:rsidRPr="005702ED">
        <w:rPr>
          <w:rFonts w:ascii="Arial" w:eastAsia="Calibri" w:hAnsi="Arial" w:cs="Arial"/>
          <w:sz w:val="22"/>
          <w:szCs w:val="22"/>
          <w:lang w:val="en-US"/>
        </w:rPr>
        <w:t xml:space="preserve"> </w:t>
      </w:r>
      <w:r w:rsidR="00CB76BD" w:rsidRPr="005702ED">
        <w:rPr>
          <w:rFonts w:ascii="Arial" w:eastAsia="Calibri" w:hAnsi="Arial" w:cs="Arial"/>
          <w:sz w:val="22"/>
          <w:szCs w:val="22"/>
          <w:lang w:val="en-US"/>
        </w:rPr>
        <w:t xml:space="preserve"> us the Statistical Package for the Social Sciences</w:t>
      </w:r>
      <w:r w:rsidRPr="005702ED">
        <w:rPr>
          <w:rFonts w:ascii="Arial" w:eastAsia="Calibri" w:hAnsi="Arial" w:cs="Arial"/>
          <w:sz w:val="22"/>
          <w:szCs w:val="22"/>
          <w:lang w:val="en-US"/>
        </w:rPr>
        <w:t xml:space="preserve"> 22. Descriptive statistics</w:t>
      </w:r>
      <w:r w:rsidR="00DC09CC" w:rsidRPr="005702ED">
        <w:rPr>
          <w:rFonts w:ascii="Arial" w:eastAsia="Calibri" w:hAnsi="Arial" w:cs="Arial"/>
          <w:sz w:val="22"/>
          <w:szCs w:val="22"/>
          <w:lang w:val="en-US"/>
        </w:rPr>
        <w:t xml:space="preserve"> </w:t>
      </w:r>
      <w:r w:rsidR="005522D6" w:rsidRPr="005702ED">
        <w:rPr>
          <w:rFonts w:ascii="Arial" w:eastAsia="Calibri" w:hAnsi="Arial" w:cs="Arial"/>
          <w:sz w:val="22"/>
          <w:szCs w:val="22"/>
          <w:lang w:val="en-US"/>
        </w:rPr>
        <w:t xml:space="preserve">are shown as </w:t>
      </w:r>
      <w:proofErr w:type="spellStart"/>
      <w:r w:rsidR="005522D6" w:rsidRPr="005702ED">
        <w:rPr>
          <w:rFonts w:ascii="Arial" w:eastAsia="Calibri" w:hAnsi="Arial" w:cs="Arial"/>
          <w:sz w:val="22"/>
          <w:szCs w:val="22"/>
          <w:lang w:val="en-US"/>
        </w:rPr>
        <w:t>mean</w:t>
      </w:r>
      <w:r w:rsidRPr="005702ED">
        <w:rPr>
          <w:rFonts w:ascii="Arial" w:eastAsia="Calibri" w:hAnsi="Arial" w:cs="Arial"/>
          <w:sz w:val="22"/>
          <w:szCs w:val="22"/>
          <w:lang w:val="en-US"/>
        </w:rPr>
        <w:t>±standard</w:t>
      </w:r>
      <w:proofErr w:type="spellEnd"/>
      <w:r w:rsidRPr="005702ED">
        <w:rPr>
          <w:rFonts w:ascii="Arial" w:eastAsia="Calibri" w:hAnsi="Arial" w:cs="Arial"/>
          <w:sz w:val="22"/>
          <w:szCs w:val="22"/>
          <w:lang w:val="en-US"/>
        </w:rPr>
        <w:t xml:space="preserve"> deviation for continuous variables, and percentage (%) for nominal variables.</w:t>
      </w:r>
      <w:r w:rsidR="00DC09CC" w:rsidRPr="005702ED">
        <w:rPr>
          <w:rFonts w:ascii="Arial" w:eastAsia="Calibri" w:hAnsi="Arial" w:cs="Arial"/>
          <w:sz w:val="22"/>
          <w:szCs w:val="22"/>
          <w:lang w:val="en-US"/>
        </w:rPr>
        <w:t xml:space="preserve"> The variables related to the risk of falling were adjusted for the age, education level and the living environment of the patients. The variables were modeled using multiple logistic regression analysis. Relations between the parameters indicating the risk of falling (history of falling, POMA, TUG, low walking speed) were calculated using the chi-square test. Results</w:t>
      </w:r>
      <w:r w:rsidR="00BC367E" w:rsidRPr="005702ED">
        <w:rPr>
          <w:rFonts w:ascii="Arial" w:eastAsia="Calibri" w:hAnsi="Arial" w:cs="Arial"/>
          <w:sz w:val="22"/>
          <w:szCs w:val="22"/>
          <w:lang w:val="en-US"/>
        </w:rPr>
        <w:t xml:space="preserve"> </w:t>
      </w:r>
      <w:r w:rsidR="005522D6" w:rsidRPr="005702ED">
        <w:rPr>
          <w:rFonts w:ascii="Arial" w:eastAsia="Calibri" w:hAnsi="Arial" w:cs="Arial"/>
          <w:sz w:val="22"/>
          <w:szCs w:val="22"/>
          <w:lang w:val="en-US"/>
        </w:rPr>
        <w:t>for p</w:t>
      </w:r>
      <w:r w:rsidR="00DC09CC" w:rsidRPr="005702ED">
        <w:rPr>
          <w:rFonts w:ascii="Arial" w:eastAsia="Calibri" w:hAnsi="Arial" w:cs="Arial"/>
          <w:sz w:val="22"/>
          <w:szCs w:val="22"/>
          <w:lang w:val="en-US"/>
        </w:rPr>
        <w:t>&lt;0.05 were considered statistically significant. The required number of samples was calculated to be at least 292 patients with an acceptable error of 5% and a 95% confidence level.</w:t>
      </w:r>
    </w:p>
    <w:p w14:paraId="7471F913" w14:textId="77777777" w:rsidR="00AB15ED" w:rsidRPr="005702ED" w:rsidRDefault="00AB15ED" w:rsidP="00C95EEE">
      <w:pPr>
        <w:spacing w:line="480" w:lineRule="auto"/>
        <w:jc w:val="both"/>
        <w:rPr>
          <w:rFonts w:ascii="Arial" w:eastAsia="Calibri" w:hAnsi="Arial" w:cs="Arial"/>
          <w:sz w:val="22"/>
          <w:szCs w:val="22"/>
          <w:lang w:val="en-US"/>
        </w:rPr>
      </w:pPr>
      <w:r w:rsidRPr="005702ED">
        <w:rPr>
          <w:rFonts w:ascii="Arial" w:eastAsia="Calibri" w:hAnsi="Arial" w:cs="Arial"/>
          <w:b/>
          <w:sz w:val="22"/>
          <w:szCs w:val="22"/>
          <w:lang w:val="en-US"/>
        </w:rPr>
        <w:t>Results</w:t>
      </w:r>
    </w:p>
    <w:p w14:paraId="37C73CD5" w14:textId="77777777" w:rsidR="00E128D2" w:rsidRPr="005702ED" w:rsidRDefault="00247D72" w:rsidP="00E128D2">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In the present study, we inclu</w:t>
      </w:r>
      <w:r w:rsidR="002C4A7E" w:rsidRPr="005702ED">
        <w:rPr>
          <w:rFonts w:ascii="Arial" w:eastAsia="Calibri" w:hAnsi="Arial" w:cs="Arial"/>
          <w:sz w:val="22"/>
          <w:szCs w:val="22"/>
          <w:lang w:val="en-US"/>
        </w:rPr>
        <w:t>ded a total of 682 women aged 65</w:t>
      </w:r>
      <w:r w:rsidRPr="005702ED">
        <w:rPr>
          <w:rFonts w:ascii="Arial" w:eastAsia="Calibri" w:hAnsi="Arial" w:cs="Arial"/>
          <w:sz w:val="22"/>
          <w:szCs w:val="22"/>
          <w:lang w:val="en-US"/>
        </w:rPr>
        <w:t xml:space="preserve"> years and over. The mean age (SD) of the patients are 74.4 (8.5). Characteristics and comorbidities of the participants are demonstrated in </w:t>
      </w:r>
      <w:r w:rsidRPr="005702ED">
        <w:rPr>
          <w:rFonts w:ascii="Arial" w:eastAsia="Calibri" w:hAnsi="Arial" w:cs="Arial"/>
          <w:b/>
          <w:sz w:val="22"/>
          <w:szCs w:val="22"/>
          <w:lang w:val="en-US"/>
        </w:rPr>
        <w:t>Table 1</w:t>
      </w:r>
      <w:r w:rsidRPr="005702ED">
        <w:rPr>
          <w:rFonts w:ascii="Arial" w:eastAsia="Calibri" w:hAnsi="Arial" w:cs="Arial"/>
          <w:sz w:val="22"/>
          <w:szCs w:val="22"/>
          <w:lang w:val="en-US"/>
        </w:rPr>
        <w:t xml:space="preserve">. 215 </w:t>
      </w:r>
      <w:r w:rsidR="00AC4823" w:rsidRPr="005702ED">
        <w:rPr>
          <w:rFonts w:ascii="Arial" w:eastAsia="Calibri" w:hAnsi="Arial" w:cs="Arial"/>
          <w:sz w:val="22"/>
          <w:szCs w:val="22"/>
          <w:lang w:val="en-US"/>
        </w:rPr>
        <w:t xml:space="preserve">(31.5%) </w:t>
      </w:r>
      <w:r w:rsidRPr="005702ED">
        <w:rPr>
          <w:rFonts w:ascii="Arial" w:eastAsia="Calibri" w:hAnsi="Arial" w:cs="Arial"/>
          <w:sz w:val="22"/>
          <w:szCs w:val="22"/>
          <w:lang w:val="en-US"/>
        </w:rPr>
        <w:t xml:space="preserve">women have </w:t>
      </w:r>
      <w:r w:rsidR="00CB76BD" w:rsidRPr="005702ED">
        <w:rPr>
          <w:rFonts w:ascii="Arial" w:eastAsia="Calibri" w:hAnsi="Arial" w:cs="Arial"/>
          <w:sz w:val="22"/>
          <w:szCs w:val="22"/>
          <w:lang w:val="en-US"/>
        </w:rPr>
        <w:t>a</w:t>
      </w:r>
      <w:r w:rsidRPr="005702ED">
        <w:rPr>
          <w:rFonts w:ascii="Arial" w:eastAsia="Calibri" w:hAnsi="Arial" w:cs="Arial"/>
          <w:sz w:val="22"/>
          <w:szCs w:val="22"/>
          <w:lang w:val="en-US"/>
        </w:rPr>
        <w:t xml:space="preserve"> history of falling. There are 75 </w:t>
      </w:r>
      <w:r w:rsidR="00A53523" w:rsidRPr="005702ED">
        <w:rPr>
          <w:rFonts w:ascii="Arial" w:eastAsia="Calibri" w:hAnsi="Arial" w:cs="Arial"/>
          <w:sz w:val="22"/>
          <w:szCs w:val="22"/>
          <w:lang w:val="en-US"/>
        </w:rPr>
        <w:t>(10.9</w:t>
      </w:r>
      <w:r w:rsidR="002C4A7E" w:rsidRPr="005702ED">
        <w:rPr>
          <w:rFonts w:ascii="Arial" w:eastAsia="Calibri" w:hAnsi="Arial" w:cs="Arial"/>
          <w:sz w:val="22"/>
          <w:szCs w:val="22"/>
          <w:lang w:val="en-US"/>
        </w:rPr>
        <w:t>%</w:t>
      </w:r>
      <w:r w:rsidR="00A53523" w:rsidRPr="005702ED">
        <w:rPr>
          <w:rFonts w:ascii="Arial" w:eastAsia="Calibri" w:hAnsi="Arial" w:cs="Arial"/>
          <w:sz w:val="22"/>
          <w:szCs w:val="22"/>
          <w:lang w:val="en-US"/>
        </w:rPr>
        <w:t xml:space="preserve">) </w:t>
      </w:r>
      <w:r w:rsidRPr="005702ED">
        <w:rPr>
          <w:rFonts w:ascii="Arial" w:eastAsia="Calibri" w:hAnsi="Arial" w:cs="Arial"/>
          <w:sz w:val="22"/>
          <w:szCs w:val="22"/>
          <w:lang w:val="en-US"/>
        </w:rPr>
        <w:t>women who ha</w:t>
      </w:r>
      <w:r w:rsidR="00CB76BD" w:rsidRPr="005702ED">
        <w:rPr>
          <w:rFonts w:ascii="Arial" w:eastAsia="Calibri" w:hAnsi="Arial" w:cs="Arial"/>
          <w:sz w:val="22"/>
          <w:szCs w:val="22"/>
          <w:lang w:val="en-US"/>
        </w:rPr>
        <w:t>d</w:t>
      </w:r>
      <w:r w:rsidRPr="005702ED">
        <w:rPr>
          <w:rFonts w:ascii="Arial" w:eastAsia="Calibri" w:hAnsi="Arial" w:cs="Arial"/>
          <w:sz w:val="22"/>
          <w:szCs w:val="22"/>
          <w:lang w:val="en-US"/>
        </w:rPr>
        <w:t xml:space="preserve"> falling risk according to POMA, 249</w:t>
      </w:r>
      <w:r w:rsidR="00A53523" w:rsidRPr="005702ED">
        <w:rPr>
          <w:rFonts w:ascii="Arial" w:eastAsia="Calibri" w:hAnsi="Arial" w:cs="Arial"/>
          <w:sz w:val="22"/>
          <w:szCs w:val="22"/>
          <w:lang w:val="en-US"/>
        </w:rPr>
        <w:t xml:space="preserve"> (36.5%)</w:t>
      </w:r>
      <w:r w:rsidRPr="005702ED">
        <w:rPr>
          <w:rFonts w:ascii="Arial" w:eastAsia="Calibri" w:hAnsi="Arial" w:cs="Arial"/>
          <w:sz w:val="22"/>
          <w:szCs w:val="22"/>
          <w:lang w:val="en-US"/>
        </w:rPr>
        <w:t xml:space="preserve"> women according to TUG and 227 </w:t>
      </w:r>
      <w:r w:rsidR="00A53523" w:rsidRPr="005702ED">
        <w:rPr>
          <w:rFonts w:ascii="Arial" w:eastAsia="Calibri" w:hAnsi="Arial" w:cs="Arial"/>
          <w:sz w:val="22"/>
          <w:szCs w:val="22"/>
          <w:lang w:val="en-US"/>
        </w:rPr>
        <w:t xml:space="preserve">(33.2%) </w:t>
      </w:r>
      <w:r w:rsidRPr="005702ED">
        <w:rPr>
          <w:rFonts w:ascii="Arial" w:eastAsia="Calibri" w:hAnsi="Arial" w:cs="Arial"/>
          <w:sz w:val="22"/>
          <w:szCs w:val="22"/>
          <w:lang w:val="en-US"/>
        </w:rPr>
        <w:t>women according to lower walking speed.</w:t>
      </w:r>
      <w:r w:rsidR="00A53523" w:rsidRPr="005702ED">
        <w:rPr>
          <w:rFonts w:ascii="Arial" w:eastAsia="Calibri" w:hAnsi="Arial" w:cs="Arial"/>
          <w:sz w:val="22"/>
          <w:szCs w:val="22"/>
          <w:lang w:val="en-US"/>
        </w:rPr>
        <w:t xml:space="preserve"> </w:t>
      </w:r>
    </w:p>
    <w:p w14:paraId="6A842DF8" w14:textId="066EE8D8" w:rsidR="00E128D2" w:rsidRPr="005702ED" w:rsidRDefault="006F0ADA" w:rsidP="000E2C41">
      <w:pPr>
        <w:spacing w:line="480" w:lineRule="auto"/>
        <w:jc w:val="both"/>
        <w:rPr>
          <w:rFonts w:ascii="Arial" w:hAnsi="Arial" w:cs="Arial"/>
          <w:sz w:val="22"/>
          <w:szCs w:val="22"/>
          <w:lang w:val="en-US"/>
        </w:rPr>
      </w:pPr>
      <w:r w:rsidRPr="005702ED">
        <w:rPr>
          <w:rFonts w:ascii="Arial" w:eastAsia="Calibri" w:hAnsi="Arial" w:cs="Arial"/>
          <w:sz w:val="22"/>
          <w:szCs w:val="22"/>
          <w:lang w:val="en-US"/>
        </w:rPr>
        <w:t xml:space="preserve">The risk factors </w:t>
      </w:r>
      <w:r w:rsidR="00CD435D" w:rsidRPr="005702ED">
        <w:rPr>
          <w:rFonts w:ascii="Arial" w:eastAsia="Calibri" w:hAnsi="Arial" w:cs="Arial"/>
          <w:sz w:val="22"/>
          <w:szCs w:val="22"/>
          <w:lang w:val="en-US"/>
        </w:rPr>
        <w:t>that increase risk of</w:t>
      </w:r>
      <w:r w:rsidRPr="005702ED">
        <w:rPr>
          <w:rFonts w:ascii="Arial" w:eastAsia="Calibri" w:hAnsi="Arial" w:cs="Arial"/>
          <w:sz w:val="22"/>
          <w:szCs w:val="22"/>
          <w:lang w:val="en-US"/>
        </w:rPr>
        <w:t xml:space="preserve"> fall and their odds ratios according to the history of falling, POMA, TUG and low walking speed are shown in </w:t>
      </w:r>
      <w:r w:rsidRPr="005702ED">
        <w:rPr>
          <w:rFonts w:ascii="Arial" w:eastAsia="Calibri" w:hAnsi="Arial" w:cs="Arial"/>
          <w:b/>
          <w:sz w:val="22"/>
          <w:szCs w:val="22"/>
          <w:lang w:val="en-US"/>
        </w:rPr>
        <w:t>Table 2</w:t>
      </w:r>
      <w:r w:rsidRPr="005702ED">
        <w:rPr>
          <w:rFonts w:ascii="Arial" w:eastAsia="Calibri" w:hAnsi="Arial" w:cs="Arial"/>
          <w:sz w:val="22"/>
          <w:szCs w:val="22"/>
          <w:lang w:val="en-US"/>
        </w:rPr>
        <w:t>.</w:t>
      </w:r>
      <w:r w:rsidR="002C597C" w:rsidRPr="005702ED">
        <w:rPr>
          <w:rFonts w:ascii="Arial" w:hAnsi="Arial" w:cs="Arial"/>
          <w:sz w:val="22"/>
          <w:szCs w:val="22"/>
          <w:lang w:val="en-US"/>
        </w:rPr>
        <w:t xml:space="preserve"> </w:t>
      </w:r>
      <w:r w:rsidR="002C597C" w:rsidRPr="005702ED">
        <w:rPr>
          <w:rFonts w:ascii="Arial" w:eastAsia="Calibri" w:hAnsi="Arial" w:cs="Arial"/>
          <w:sz w:val="22"/>
          <w:szCs w:val="22"/>
          <w:lang w:val="en-US"/>
        </w:rPr>
        <w:t xml:space="preserve">CCI, urinary incontinence, </w:t>
      </w:r>
      <w:r w:rsidR="0049320B" w:rsidRPr="005702ED">
        <w:rPr>
          <w:rFonts w:ascii="Arial" w:eastAsia="Calibri" w:hAnsi="Arial" w:cs="Arial"/>
          <w:sz w:val="22"/>
          <w:szCs w:val="22"/>
          <w:lang w:val="en-US"/>
        </w:rPr>
        <w:t>dizziness</w:t>
      </w:r>
      <w:r w:rsidR="002C597C" w:rsidRPr="005702ED">
        <w:rPr>
          <w:rFonts w:ascii="Arial" w:eastAsia="Calibri" w:hAnsi="Arial" w:cs="Arial"/>
          <w:sz w:val="22"/>
          <w:szCs w:val="22"/>
          <w:lang w:val="en-US"/>
        </w:rPr>
        <w:t xml:space="preserve"> and </w:t>
      </w:r>
      <w:r w:rsidR="0049320B" w:rsidRPr="005702ED">
        <w:rPr>
          <w:rFonts w:ascii="Arial" w:eastAsia="Calibri" w:hAnsi="Arial" w:cs="Arial"/>
          <w:sz w:val="22"/>
          <w:szCs w:val="22"/>
          <w:lang w:val="en-US"/>
        </w:rPr>
        <w:t>im</w:t>
      </w:r>
      <w:r w:rsidR="002C597C" w:rsidRPr="005702ED">
        <w:rPr>
          <w:rFonts w:ascii="Arial" w:eastAsia="Calibri" w:hAnsi="Arial" w:cs="Arial"/>
          <w:sz w:val="22"/>
          <w:szCs w:val="22"/>
          <w:lang w:val="en-US"/>
        </w:rPr>
        <w:t xml:space="preserve">balance, </w:t>
      </w:r>
      <w:r w:rsidR="00772FC0" w:rsidRPr="005702ED">
        <w:rPr>
          <w:rFonts w:ascii="Arial" w:eastAsia="Calibri" w:hAnsi="Arial" w:cs="Arial"/>
          <w:sz w:val="22"/>
          <w:szCs w:val="22"/>
          <w:lang w:val="en-US"/>
        </w:rPr>
        <w:t>using a walking stick</w:t>
      </w:r>
      <w:r w:rsidR="002C597C" w:rsidRPr="005702ED">
        <w:rPr>
          <w:rFonts w:ascii="Arial" w:eastAsia="Calibri" w:hAnsi="Arial" w:cs="Arial"/>
          <w:sz w:val="22"/>
          <w:szCs w:val="22"/>
          <w:lang w:val="en-US"/>
        </w:rPr>
        <w:t>,</w:t>
      </w:r>
      <w:r w:rsidR="00865191" w:rsidRPr="005702ED">
        <w:rPr>
          <w:rFonts w:ascii="Arial" w:eastAsia="Calibri" w:hAnsi="Arial" w:cs="Arial"/>
          <w:sz w:val="22"/>
          <w:szCs w:val="22"/>
          <w:lang w:val="en-US"/>
        </w:rPr>
        <w:t xml:space="preserve"> frailty,</w:t>
      </w:r>
      <w:r w:rsidR="002C4A7E" w:rsidRPr="005702ED">
        <w:rPr>
          <w:rFonts w:ascii="Arial" w:eastAsia="Calibri" w:hAnsi="Arial" w:cs="Arial"/>
          <w:sz w:val="22"/>
          <w:szCs w:val="22"/>
          <w:lang w:val="en-US"/>
        </w:rPr>
        <w:t xml:space="preserve"> </w:t>
      </w:r>
      <w:proofErr w:type="spellStart"/>
      <w:r w:rsidR="00EA1ACD" w:rsidRPr="005702ED">
        <w:rPr>
          <w:rFonts w:ascii="Arial" w:eastAsia="Calibri" w:hAnsi="Arial" w:cs="Arial"/>
          <w:sz w:val="22"/>
          <w:szCs w:val="22"/>
          <w:lang w:val="en-US"/>
        </w:rPr>
        <w:t>dynapenia</w:t>
      </w:r>
      <w:proofErr w:type="spellEnd"/>
      <w:r w:rsidR="00EA1ACD" w:rsidRPr="005702ED">
        <w:rPr>
          <w:rFonts w:ascii="Arial" w:eastAsia="Calibri" w:hAnsi="Arial" w:cs="Arial"/>
          <w:sz w:val="22"/>
          <w:szCs w:val="22"/>
          <w:lang w:val="en-US"/>
        </w:rPr>
        <w:t>, high GDS,</w:t>
      </w:r>
      <w:r w:rsidR="002C597C" w:rsidRPr="005702ED">
        <w:rPr>
          <w:rFonts w:ascii="Arial" w:eastAsia="Calibri" w:hAnsi="Arial" w:cs="Arial"/>
          <w:sz w:val="22"/>
          <w:szCs w:val="22"/>
          <w:lang w:val="en-US"/>
        </w:rPr>
        <w:t xml:space="preserve"> low BADL</w:t>
      </w:r>
      <w:r w:rsidR="002C4A7E" w:rsidRPr="005702ED">
        <w:rPr>
          <w:rFonts w:ascii="Arial" w:eastAsia="Calibri" w:hAnsi="Arial" w:cs="Arial"/>
          <w:sz w:val="22"/>
          <w:szCs w:val="22"/>
          <w:lang w:val="en-US"/>
        </w:rPr>
        <w:t xml:space="preserve"> and</w:t>
      </w:r>
      <w:r w:rsidR="00865191" w:rsidRPr="005702ED">
        <w:rPr>
          <w:rFonts w:ascii="Arial" w:eastAsia="Calibri" w:hAnsi="Arial" w:cs="Arial"/>
          <w:sz w:val="22"/>
          <w:szCs w:val="22"/>
          <w:lang w:val="en-US"/>
        </w:rPr>
        <w:t xml:space="preserve"> IADL</w:t>
      </w:r>
      <w:r w:rsidR="002C597C" w:rsidRPr="005702ED">
        <w:rPr>
          <w:rFonts w:ascii="Arial" w:eastAsia="Calibri" w:hAnsi="Arial" w:cs="Arial"/>
          <w:sz w:val="22"/>
          <w:szCs w:val="22"/>
          <w:lang w:val="en-US"/>
        </w:rPr>
        <w:t xml:space="preserve"> scores increase the risk of falling in women according to all o</w:t>
      </w:r>
      <w:r w:rsidR="00AA3F9E" w:rsidRPr="005702ED">
        <w:rPr>
          <w:rFonts w:ascii="Arial" w:eastAsia="Calibri" w:hAnsi="Arial" w:cs="Arial"/>
          <w:sz w:val="22"/>
          <w:szCs w:val="22"/>
          <w:lang w:val="en-US"/>
        </w:rPr>
        <w:t xml:space="preserve">f the four </w:t>
      </w:r>
      <w:r w:rsidR="0049320B" w:rsidRPr="005702ED">
        <w:rPr>
          <w:rFonts w:ascii="Arial" w:eastAsia="Calibri" w:hAnsi="Arial" w:cs="Arial"/>
          <w:sz w:val="22"/>
          <w:szCs w:val="22"/>
          <w:lang w:val="en-US"/>
        </w:rPr>
        <w:t xml:space="preserve">risk </w:t>
      </w:r>
      <w:r w:rsidR="001E285D" w:rsidRPr="005702ED">
        <w:rPr>
          <w:rFonts w:ascii="Arial" w:eastAsia="Calibri" w:hAnsi="Arial" w:cs="Arial"/>
          <w:sz w:val="22"/>
          <w:szCs w:val="22"/>
          <w:lang w:val="en-US"/>
        </w:rPr>
        <w:t xml:space="preserve">clinical assessments </w:t>
      </w:r>
      <w:r w:rsidR="0049320B" w:rsidRPr="005702ED">
        <w:rPr>
          <w:rFonts w:ascii="Arial" w:hAnsi="Arial" w:cs="Arial"/>
          <w:sz w:val="22"/>
          <w:szCs w:val="22"/>
          <w:lang w:val="en-US"/>
        </w:rPr>
        <w:t>(p&lt;0.05).</w:t>
      </w:r>
    </w:p>
    <w:p w14:paraId="4B0F568F" w14:textId="7CF03F8D" w:rsidR="006F0ADA" w:rsidRPr="005702ED" w:rsidRDefault="00E128D2" w:rsidP="000E2C41">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13.8% of patients was demented (CDR 1 52.3%, CDR2 34.7% and CDR 3 13.0%)</w:t>
      </w:r>
      <w:r w:rsidR="00ED1D17" w:rsidRPr="005702ED">
        <w:rPr>
          <w:rFonts w:ascii="Arial" w:eastAsia="Calibri" w:hAnsi="Arial" w:cs="Arial"/>
          <w:sz w:val="22"/>
          <w:szCs w:val="22"/>
          <w:lang w:val="en-US"/>
        </w:rPr>
        <w:t>. O</w:t>
      </w:r>
      <w:r w:rsidR="00CD1D22" w:rsidRPr="005702ED">
        <w:rPr>
          <w:rFonts w:ascii="Arial" w:eastAsia="Calibri" w:hAnsi="Arial" w:cs="Arial"/>
          <w:sz w:val="22"/>
          <w:szCs w:val="22"/>
          <w:lang w:val="en-US"/>
        </w:rPr>
        <w:t>rtho</w:t>
      </w:r>
      <w:r w:rsidR="00B80277" w:rsidRPr="005702ED">
        <w:rPr>
          <w:rFonts w:ascii="Arial" w:eastAsia="Calibri" w:hAnsi="Arial" w:cs="Arial"/>
          <w:sz w:val="22"/>
          <w:szCs w:val="22"/>
          <w:lang w:val="en-US"/>
        </w:rPr>
        <w:t>static hypotension</w:t>
      </w:r>
      <w:r w:rsidR="00CD1D22" w:rsidRPr="005702ED">
        <w:rPr>
          <w:rFonts w:ascii="Arial" w:eastAsia="Calibri" w:hAnsi="Arial" w:cs="Arial"/>
          <w:sz w:val="22"/>
          <w:szCs w:val="22"/>
          <w:lang w:val="en-US"/>
        </w:rPr>
        <w:t>, sarcopenia did not increase the risk of falls accord</w:t>
      </w:r>
      <w:r w:rsidR="0049320B" w:rsidRPr="005702ED">
        <w:rPr>
          <w:rFonts w:ascii="Arial" w:eastAsia="Calibri" w:hAnsi="Arial" w:cs="Arial"/>
          <w:sz w:val="22"/>
          <w:szCs w:val="22"/>
          <w:lang w:val="en-US"/>
        </w:rPr>
        <w:t xml:space="preserve">ing to any risk assessment </w:t>
      </w:r>
      <w:r w:rsidR="00481943" w:rsidRPr="005702ED">
        <w:rPr>
          <w:rFonts w:ascii="Arial" w:eastAsia="Calibri" w:hAnsi="Arial" w:cs="Arial"/>
          <w:sz w:val="22"/>
          <w:szCs w:val="22"/>
          <w:lang w:val="en-US"/>
        </w:rPr>
        <w:t>met</w:t>
      </w:r>
      <w:r w:rsidR="001E285D" w:rsidRPr="005702ED">
        <w:rPr>
          <w:rFonts w:ascii="Arial" w:eastAsia="Calibri" w:hAnsi="Arial" w:cs="Arial"/>
          <w:sz w:val="22"/>
          <w:szCs w:val="22"/>
          <w:lang w:val="en-US"/>
        </w:rPr>
        <w:t>h</w:t>
      </w:r>
      <w:r w:rsidR="00481943" w:rsidRPr="005702ED">
        <w:rPr>
          <w:rFonts w:ascii="Arial" w:eastAsia="Calibri" w:hAnsi="Arial" w:cs="Arial"/>
          <w:sz w:val="22"/>
          <w:szCs w:val="22"/>
          <w:lang w:val="en-US"/>
        </w:rPr>
        <w:t>od</w:t>
      </w:r>
      <w:r w:rsidR="0049320B" w:rsidRPr="005702ED">
        <w:rPr>
          <w:rFonts w:ascii="Arial" w:hAnsi="Arial" w:cs="Arial"/>
          <w:sz w:val="22"/>
          <w:szCs w:val="22"/>
          <w:lang w:val="en-US"/>
        </w:rPr>
        <w:t xml:space="preserve"> </w:t>
      </w:r>
      <w:r w:rsidR="0049320B" w:rsidRPr="005702ED">
        <w:rPr>
          <w:rFonts w:ascii="Arial" w:eastAsia="Calibri" w:hAnsi="Arial" w:cs="Arial"/>
          <w:sz w:val="22"/>
          <w:szCs w:val="22"/>
          <w:lang w:val="en-US"/>
        </w:rPr>
        <w:t>(p</w:t>
      </w:r>
      <w:r w:rsidR="005E0604" w:rsidRPr="005702ED">
        <w:rPr>
          <w:rFonts w:ascii="Arial" w:eastAsia="Calibri" w:hAnsi="Arial" w:cs="Arial"/>
          <w:sz w:val="22"/>
          <w:szCs w:val="22"/>
          <w:lang w:val="en-US"/>
        </w:rPr>
        <w:t>&gt;</w:t>
      </w:r>
      <w:r w:rsidR="0049320B" w:rsidRPr="005702ED">
        <w:rPr>
          <w:rFonts w:ascii="Arial" w:eastAsia="Calibri" w:hAnsi="Arial" w:cs="Arial"/>
          <w:sz w:val="22"/>
          <w:szCs w:val="22"/>
          <w:lang w:val="en-US"/>
        </w:rPr>
        <w:t>0.05).</w:t>
      </w:r>
      <w:r w:rsidR="0011314E" w:rsidRPr="005702ED">
        <w:rPr>
          <w:rFonts w:ascii="Arial" w:eastAsia="Calibri" w:hAnsi="Arial" w:cs="Arial"/>
          <w:sz w:val="22"/>
          <w:szCs w:val="22"/>
          <w:lang w:val="en-US"/>
        </w:rPr>
        <w:t xml:space="preserve"> There was no significant difference in laboratory tests of patients with and </w:t>
      </w:r>
      <w:r w:rsidR="0011314E" w:rsidRPr="005702ED">
        <w:rPr>
          <w:rFonts w:ascii="Arial" w:eastAsia="Calibri" w:hAnsi="Arial" w:cs="Arial"/>
          <w:sz w:val="22"/>
          <w:szCs w:val="22"/>
          <w:lang w:val="en-US"/>
        </w:rPr>
        <w:lastRenderedPageBreak/>
        <w:t xml:space="preserve">without fall risk (p&gt;0.05). </w:t>
      </w:r>
      <w:r w:rsidR="00BC367E" w:rsidRPr="005702ED">
        <w:rPr>
          <w:rFonts w:ascii="Arial" w:eastAsia="Calibri" w:hAnsi="Arial" w:cs="Arial"/>
          <w:sz w:val="22"/>
          <w:szCs w:val="22"/>
          <w:lang w:val="en-US"/>
        </w:rPr>
        <w:t xml:space="preserve"> Hypertension, </w:t>
      </w:r>
      <w:r w:rsidR="00B62E1A" w:rsidRPr="005702ED">
        <w:rPr>
          <w:rFonts w:ascii="Arial" w:eastAsia="Calibri" w:hAnsi="Arial" w:cs="Arial"/>
          <w:sz w:val="22"/>
          <w:szCs w:val="22"/>
          <w:lang w:val="en-US"/>
        </w:rPr>
        <w:t>c</w:t>
      </w:r>
      <w:r w:rsidR="00BC367E" w:rsidRPr="005702ED">
        <w:rPr>
          <w:rFonts w:ascii="Arial" w:eastAsia="Calibri" w:hAnsi="Arial" w:cs="Arial"/>
          <w:sz w:val="22"/>
          <w:szCs w:val="22"/>
          <w:lang w:val="en-US"/>
        </w:rPr>
        <w:t>erebrovascular disease</w:t>
      </w:r>
      <w:r w:rsidR="00B62E1A" w:rsidRPr="005702ED">
        <w:rPr>
          <w:rFonts w:ascii="Arial" w:eastAsia="Calibri" w:hAnsi="Arial" w:cs="Arial"/>
          <w:sz w:val="22"/>
          <w:szCs w:val="22"/>
          <w:lang w:val="en-US"/>
        </w:rPr>
        <w:t xml:space="preserve">, and dementia increased the risk of falling according to </w:t>
      </w:r>
      <w:r w:rsidR="002C4A7E" w:rsidRPr="005702ED">
        <w:rPr>
          <w:rFonts w:ascii="Arial" w:eastAsia="Calibri" w:hAnsi="Arial" w:cs="Arial"/>
          <w:sz w:val="22"/>
          <w:szCs w:val="22"/>
          <w:lang w:val="en-US"/>
        </w:rPr>
        <w:t xml:space="preserve">only </w:t>
      </w:r>
      <w:r w:rsidR="00BC367E" w:rsidRPr="005702ED">
        <w:rPr>
          <w:rFonts w:ascii="Arial" w:eastAsia="Calibri" w:hAnsi="Arial" w:cs="Arial"/>
          <w:sz w:val="22"/>
          <w:szCs w:val="22"/>
          <w:lang w:val="en-US"/>
        </w:rPr>
        <w:t>TUG (p&lt;0.05).</w:t>
      </w:r>
    </w:p>
    <w:p w14:paraId="26789839" w14:textId="77777777" w:rsidR="00CD1D22" w:rsidRPr="005702ED" w:rsidRDefault="00CD1D22" w:rsidP="000E2C41">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 xml:space="preserve">Although the number of patients who were at risk of falling according to POMA was lower than the other three instruments, we found a significant correlation between all the </w:t>
      </w:r>
      <w:r w:rsidR="00481943" w:rsidRPr="005702ED">
        <w:rPr>
          <w:rFonts w:ascii="Arial" w:eastAsia="Calibri" w:hAnsi="Arial" w:cs="Arial"/>
          <w:sz w:val="22"/>
          <w:szCs w:val="22"/>
          <w:lang w:val="en-US"/>
        </w:rPr>
        <w:t>clinical methods</w:t>
      </w:r>
      <w:r w:rsidR="00EF13AB" w:rsidRPr="005702ED">
        <w:rPr>
          <w:rFonts w:ascii="Arial" w:eastAsia="Calibri" w:hAnsi="Arial" w:cs="Arial"/>
          <w:sz w:val="22"/>
          <w:szCs w:val="22"/>
          <w:lang w:val="en-US"/>
        </w:rPr>
        <w:t xml:space="preserve"> (p</w:t>
      </w:r>
      <w:r w:rsidR="00B51983" w:rsidRPr="005702ED">
        <w:rPr>
          <w:rFonts w:ascii="Arial" w:eastAsia="Calibri" w:hAnsi="Arial" w:cs="Arial"/>
          <w:sz w:val="22"/>
          <w:szCs w:val="22"/>
          <w:lang w:val="en-US"/>
        </w:rPr>
        <w:t>&lt;0.001)</w:t>
      </w:r>
      <w:r w:rsidRPr="005702ED">
        <w:rPr>
          <w:rFonts w:ascii="Arial" w:eastAsia="Calibri" w:hAnsi="Arial" w:cs="Arial"/>
          <w:sz w:val="22"/>
          <w:szCs w:val="22"/>
          <w:lang w:val="en-US"/>
        </w:rPr>
        <w:t xml:space="preserve"> (</w:t>
      </w:r>
      <w:r w:rsidRPr="005702ED">
        <w:rPr>
          <w:rFonts w:ascii="Arial" w:eastAsia="Calibri" w:hAnsi="Arial" w:cs="Arial"/>
          <w:b/>
          <w:sz w:val="22"/>
          <w:szCs w:val="22"/>
          <w:lang w:val="en-US"/>
        </w:rPr>
        <w:t>Table 3</w:t>
      </w:r>
      <w:r w:rsidRPr="005702ED">
        <w:rPr>
          <w:rFonts w:ascii="Arial" w:eastAsia="Calibri" w:hAnsi="Arial" w:cs="Arial"/>
          <w:sz w:val="22"/>
          <w:szCs w:val="22"/>
          <w:lang w:val="en-US"/>
        </w:rPr>
        <w:t>).</w:t>
      </w:r>
    </w:p>
    <w:p w14:paraId="7B74883D" w14:textId="77777777" w:rsidR="0097066F" w:rsidRPr="005702ED" w:rsidRDefault="0097066F" w:rsidP="0097066F">
      <w:pPr>
        <w:spacing w:line="480" w:lineRule="auto"/>
        <w:jc w:val="both"/>
        <w:rPr>
          <w:rFonts w:ascii="Arial" w:eastAsia="Calibri" w:hAnsi="Arial" w:cs="Arial"/>
          <w:b/>
          <w:sz w:val="22"/>
          <w:szCs w:val="22"/>
          <w:lang w:val="en-US"/>
        </w:rPr>
      </w:pPr>
      <w:r w:rsidRPr="005702ED">
        <w:rPr>
          <w:rFonts w:ascii="Arial" w:eastAsia="Calibri" w:hAnsi="Arial" w:cs="Arial"/>
          <w:b/>
          <w:sz w:val="22"/>
          <w:szCs w:val="22"/>
          <w:lang w:val="en-US"/>
        </w:rPr>
        <w:t>Discussion</w:t>
      </w:r>
    </w:p>
    <w:p w14:paraId="409B7B94" w14:textId="24D9774F" w:rsidR="00EA1ACD" w:rsidRPr="005702ED" w:rsidRDefault="006B2A74" w:rsidP="00536EB3">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Falling is one of the most common geriatric syndrome</w:t>
      </w:r>
      <w:r w:rsidR="00CB76BD" w:rsidRPr="005702ED">
        <w:rPr>
          <w:rFonts w:ascii="Arial" w:eastAsia="Calibri" w:hAnsi="Arial" w:cs="Arial"/>
          <w:sz w:val="22"/>
          <w:szCs w:val="22"/>
          <w:lang w:val="en-US"/>
        </w:rPr>
        <w:t>s</w:t>
      </w:r>
      <w:r w:rsidR="002968B2" w:rsidRPr="005702ED">
        <w:rPr>
          <w:rFonts w:ascii="Arial" w:eastAsia="Calibri" w:hAnsi="Arial" w:cs="Arial"/>
          <w:sz w:val="22"/>
          <w:szCs w:val="22"/>
          <w:lang w:val="en-US"/>
        </w:rPr>
        <w:t xml:space="preserve"> </w:t>
      </w:r>
      <w:r w:rsidR="002968B2" w:rsidRPr="005702ED">
        <w:rPr>
          <w:rFonts w:ascii="Arial" w:eastAsia="Calibri" w:hAnsi="Arial" w:cs="Arial"/>
          <w:sz w:val="22"/>
          <w:szCs w:val="22"/>
          <w:vertAlign w:val="superscript"/>
          <w:lang w:val="en-US"/>
        </w:rPr>
        <w:fldChar w:fldCharType="begin" w:fldLock="1"/>
      </w:r>
      <w:r w:rsidR="003C4B34" w:rsidRPr="005702ED">
        <w:rPr>
          <w:rFonts w:ascii="Arial" w:eastAsia="Calibri" w:hAnsi="Arial" w:cs="Arial"/>
          <w:sz w:val="22"/>
          <w:szCs w:val="22"/>
          <w:vertAlign w:val="superscript"/>
          <w:lang w:val="en-US"/>
        </w:rPr>
        <w:instrText>ADDIN CSL_CITATION {"citationItems":[{"id":"ITEM-1","itemData":{"DOI":"10.1111/j.1532-5415.2011.03663.x","ISBN":"1532-5415","ISSN":"00028614","PMID":"22092231","abstract":"OBJECTIVES: To identify the prevalence of geriatric syndromes in the premorbid for all syndromes except falls (preadmission), admission, and discharge assessment periods and the incidence of new and significant worsening of existing syndromes at admission and discharge.\\n\\nDESIGN: Prospective cohort study.\\n\\nSETTING: Three acute care hospitals in Brisbane, Australia.\\n\\nPARTICIPANTS: Five hundred seventy-seven general medical patients aged 70 and older admitted to the hospital.\\n\\nMEASUREMENTS: Prevalence of syndromes in the premorbid (or preadmission for falls), admission, and discharge periods; incidence of new syndromes at admission and discharge; and significant worsening of existing syndromes at admission and discharge.\\n\\nRESULTS: The most frequently reported premorbid syndromes were bladder incontinence (44%), impairment in any activity of daily living (ADL) (42%). A high proportion (42%) experienced at least one fall in the 90 days before admission. Two-thirds of the participants experienced between one and five syndromes (cognitive impairment, dependence in any ADL item, bladder and bowel incontinence, pressure ulcer) before, at admission, and at discharge. A majority experienced one or two syndromes during the premorbid (49.4%), admission (57.0%), or discharge (49.0%) assessment period. The syndromes with a higher incidence of significant worsening at discharge (out of the proportion with the syndrome present premorbidly) were ADL limitation (33%), cognitive impairment (9%), and bladder incontinence (8%). Of the syndromes examined at discharge, a higher proportion of patients experienced the following new syndromes at discharge (absent premorbidly): ADL limitation (22%); and bladder incontinence (13%).\\n\\nCONCLUSION: Geriatric syndromes were highly prevalent. Many patients did not return to their premorbid function and acquired new syndromes.","author":[{"dropping-particle":"","family":"Lakhan","given":"Prabha","non-dropping-particle":"","parse-names":false,"suffix":""},{"dropping-particle":"","family":"Jones","given":"Mark","non-dropping-particle":"","parse-names":false,"suffix":""},{"dropping-particle":"","family":"Wilson","given":"Andrew","non-dropping-particle":"","parse-names":false,"suffix":""},{"dropping-particle":"","family":"Courtney","given":"Mary","non-dropping-particle":"","parse-names":false,"suffix":""},{"dropping-particle":"","family":"Hirdes","given":"John","non-dropping-particle":"","parse-names":false,"suffix":""},{"dropping-particle":"","family":"Gray","given":"Leonard C.","non-dropping-particle":"","parse-names":false,"suffix":""}],"container-title":"J Am Geriatr Soc","id":"ITEM-1","issue":"11","issued":{"date-parts":[["2011"]]},"page":"2001-2008","title":"A prospective cohort study of geriatric syndromes among older medical patients admitted to acute care hospitals","type":"article-journal","volume":"59"},"uris":["http://www.mendeley.com/documents/?uuid=413a4cc7-0bcb-419f-8fd5-ea2d8fcbae4e"]}],"mendeley":{"formattedCitation":"(1)","plainTextFormattedCitation":"(1)","previouslyFormattedCitation":"(1)"},"properties":{"noteIndex":0},"schema":"https://github.com/citation-style-language/schema/raw/master/csl-citation.json"}</w:instrText>
      </w:r>
      <w:r w:rsidR="002968B2" w:rsidRPr="005702ED">
        <w:rPr>
          <w:rFonts w:ascii="Arial" w:eastAsia="Calibri" w:hAnsi="Arial" w:cs="Arial"/>
          <w:sz w:val="22"/>
          <w:szCs w:val="22"/>
          <w:vertAlign w:val="superscript"/>
          <w:lang w:val="en-US"/>
        </w:rPr>
        <w:fldChar w:fldCharType="separate"/>
      </w:r>
      <w:r w:rsidR="00D56B63" w:rsidRPr="005702ED">
        <w:rPr>
          <w:rFonts w:ascii="Arial" w:eastAsia="Calibri" w:hAnsi="Arial" w:cs="Arial"/>
          <w:noProof/>
          <w:sz w:val="22"/>
          <w:szCs w:val="22"/>
          <w:lang w:val="en-US"/>
        </w:rPr>
        <w:t>(1)</w:t>
      </w:r>
      <w:r w:rsidR="002968B2" w:rsidRPr="005702ED">
        <w:rPr>
          <w:rFonts w:ascii="Arial" w:eastAsia="Calibri" w:hAnsi="Arial" w:cs="Arial"/>
          <w:sz w:val="22"/>
          <w:szCs w:val="22"/>
          <w:vertAlign w:val="superscript"/>
          <w:lang w:val="en-US"/>
        </w:rPr>
        <w:fldChar w:fldCharType="end"/>
      </w:r>
      <w:r w:rsidRPr="005702ED">
        <w:rPr>
          <w:rFonts w:ascii="Arial" w:eastAsia="Calibri" w:hAnsi="Arial" w:cs="Arial"/>
          <w:sz w:val="22"/>
          <w:szCs w:val="22"/>
          <w:lang w:val="en-US"/>
        </w:rPr>
        <w:t xml:space="preserve">. </w:t>
      </w:r>
      <w:r w:rsidR="0097066F" w:rsidRPr="005702ED">
        <w:rPr>
          <w:rFonts w:ascii="Arial" w:eastAsia="Calibri" w:hAnsi="Arial" w:cs="Arial"/>
          <w:sz w:val="22"/>
          <w:szCs w:val="22"/>
          <w:lang w:val="en-US"/>
        </w:rPr>
        <w:t>In our study, t</w:t>
      </w:r>
      <w:r w:rsidR="006F58FD" w:rsidRPr="005702ED">
        <w:rPr>
          <w:rFonts w:ascii="Arial" w:eastAsia="Calibri" w:hAnsi="Arial" w:cs="Arial"/>
          <w:sz w:val="22"/>
          <w:szCs w:val="22"/>
          <w:lang w:val="en-US"/>
        </w:rPr>
        <w:t>he rate of fall</w:t>
      </w:r>
      <w:r w:rsidR="00CB76BD" w:rsidRPr="005702ED">
        <w:rPr>
          <w:rFonts w:ascii="Arial" w:eastAsia="Calibri" w:hAnsi="Arial" w:cs="Arial"/>
          <w:sz w:val="22"/>
          <w:szCs w:val="22"/>
          <w:lang w:val="en-US"/>
        </w:rPr>
        <w:t>s</w:t>
      </w:r>
      <w:r w:rsidR="006F58FD" w:rsidRPr="005702ED">
        <w:rPr>
          <w:rFonts w:ascii="Arial" w:eastAsia="Calibri" w:hAnsi="Arial" w:cs="Arial"/>
          <w:sz w:val="22"/>
          <w:szCs w:val="22"/>
          <w:lang w:val="en-US"/>
        </w:rPr>
        <w:t xml:space="preserve"> in women over 65</w:t>
      </w:r>
      <w:r w:rsidR="0097066F" w:rsidRPr="005702ED">
        <w:rPr>
          <w:rFonts w:ascii="Arial" w:eastAsia="Calibri" w:hAnsi="Arial" w:cs="Arial"/>
          <w:sz w:val="22"/>
          <w:szCs w:val="22"/>
          <w:lang w:val="en-US"/>
        </w:rPr>
        <w:t xml:space="preserve"> years </w:t>
      </w:r>
      <w:r w:rsidR="00CB76BD" w:rsidRPr="005702ED">
        <w:rPr>
          <w:rFonts w:ascii="Arial" w:eastAsia="Calibri" w:hAnsi="Arial" w:cs="Arial"/>
          <w:sz w:val="22"/>
          <w:szCs w:val="22"/>
          <w:lang w:val="en-US"/>
        </w:rPr>
        <w:t>wa</w:t>
      </w:r>
      <w:r w:rsidR="0097066F" w:rsidRPr="005702ED">
        <w:rPr>
          <w:rFonts w:ascii="Arial" w:eastAsia="Calibri" w:hAnsi="Arial" w:cs="Arial"/>
          <w:sz w:val="22"/>
          <w:szCs w:val="22"/>
          <w:lang w:val="en-US"/>
        </w:rPr>
        <w:t xml:space="preserve">s 31.5% </w:t>
      </w:r>
      <w:r w:rsidR="00CB76BD" w:rsidRPr="005702ED">
        <w:rPr>
          <w:rFonts w:ascii="Arial" w:eastAsia="Calibri" w:hAnsi="Arial" w:cs="Arial"/>
          <w:sz w:val="22"/>
          <w:szCs w:val="22"/>
          <w:lang w:val="en-US"/>
        </w:rPr>
        <w:t xml:space="preserve">supporting findings from previous literature </w:t>
      </w:r>
      <w:r w:rsidR="00D56B63"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{"citationItems":[{"id":"ITEM-1","itemData":{"DOI":"10.1093/ageing/afw129","ISSN":"14682834","PMID":"27496938","abstract":"BACKGROUND falls are a major cause of disability and death in older people. Women are more likely to fall than men, but little is known about whether risk factors for falls differ between the sexes. We used data from the English Longitudinal Study of Ageing to investigate the prevalence of falls by sex and to examine cross-sectionally sex-specific associations between a range of potential risk factors and likelihood of falling. METHODS participants were 4,301 men and women aged 60 and over who had taken part in the 2012-13 survey of the English Longitudinal Study of Ageing. They provided information about sociodemographic, lifestyle and behavioural and medical factors, had their physical and cognitive function assessed and responded to a question about whether they had fallen down in the last two years. RESULTS in multivariable logistic regression models, severe pain and diagnosis of at least one chronic disease were independently associated with falls in both sexes. Sex-specific risk factors were incontinence (odds ratio (OR), 1.48; 95% CI, 1.19, 1.85) and frailty (OR 1.69, 95% CI 1.06, 2.69) in women, and older age (OR 1.02, 95% CI 1.04, 1.07), high levels of depressive symptoms (OR 1.33, 95% CI 1.05, 1.68), and being unable to perform a standing balance test (OR 3.32, 95% CI 2.09, 5.29) in men. CONCLUSION although we found some homogeneity between the sexes in the risk factors that were associated with falls, the existence of several sex-specific risk factors suggests that gender should be taken into account in designing fall-prevention strategies.","author":[{"dropping-particle":"","family":"Gale","given":"Catharine R.","non-dropping-particle":"","parse-names":false,"suffix":""},{"dropping-particle":"","family":"Cooper","given":"Cyrus","non-dropping-particle":"","parse-names":false,"suffix":""},{"dropping-particle":"","family":"Aihie Sayer","given":"Avan","non-dropping-particle":"","parse-names":false,"suffix":""}],"container-title":"Age and ageing","id":"ITEM-1","issue":"6","issued":{"date-parts":[["2016"]]},"page":"789-794","title":"Prevalence and risk factors for falls in older men and women: The English Longitudinal Study of Ageing","type":"article-journal","volume":"45"},"uris":["http://www.mendeley.com/documents/?uuid=63af6127-2a4b-4873-a543-96a3e51f7be1"]},{"id":"ITEM-2","itemData":{"author":[{"dropping-particle":"","family":"Organization","given":"World Health","non-dropping-particle":"","parse-names":false,"suffix":""}],"id":"ITEM-2","issued":{"date-parts":[["2007"]]},"title":"WHO global report on falls prevention in older age.","type":"report"},"uris":["http://www.mendeley.com/documents/?uuid=8b4cc175-857e-410c-bac1-446ce238ace0"]}],"mendeley":{"formattedCitation":"(3,28)","plainTextFormattedCitation":"(3,28)","previouslyFormattedCitation":"(3,28)"},"properties":{"noteIndex":0},"schema":"https://github.com/citation-style-language/schema/raw/master/csl-citation.json"}</w:instrText>
      </w:r>
      <w:r w:rsidR="00D56B63"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(3,28)</w:t>
      </w:r>
      <w:r w:rsidR="00D56B63" w:rsidRPr="005702ED">
        <w:rPr>
          <w:rFonts w:ascii="Arial" w:eastAsia="Calibri" w:hAnsi="Arial" w:cs="Arial"/>
          <w:sz w:val="22"/>
          <w:szCs w:val="22"/>
          <w:lang w:val="en-US"/>
        </w:rPr>
        <w:fldChar w:fldCharType="end"/>
      </w:r>
      <w:r w:rsidR="00D56B63" w:rsidRPr="005702ED">
        <w:rPr>
          <w:rFonts w:ascii="Arial" w:eastAsia="Calibri" w:hAnsi="Arial" w:cs="Arial"/>
          <w:sz w:val="22"/>
          <w:szCs w:val="22"/>
          <w:lang w:val="en-US"/>
        </w:rPr>
        <w:t xml:space="preserve">. </w:t>
      </w:r>
      <w:r w:rsidR="0088102A" w:rsidRPr="005702ED">
        <w:rPr>
          <w:rFonts w:ascii="Arial" w:eastAsia="Calibri" w:hAnsi="Arial" w:cs="Arial"/>
          <w:sz w:val="22"/>
          <w:szCs w:val="22"/>
          <w:lang w:val="en-US"/>
        </w:rPr>
        <w:t xml:space="preserve">Many studies </w:t>
      </w:r>
      <w:r w:rsidR="00507070" w:rsidRPr="005702ED">
        <w:rPr>
          <w:rFonts w:ascii="Arial" w:eastAsia="Calibri" w:hAnsi="Arial" w:cs="Arial"/>
          <w:sz w:val="22"/>
          <w:szCs w:val="22"/>
          <w:lang w:val="en-US"/>
        </w:rPr>
        <w:t xml:space="preserve">have </w:t>
      </w:r>
      <w:r w:rsidR="0088102A" w:rsidRPr="005702ED">
        <w:rPr>
          <w:rFonts w:ascii="Arial" w:eastAsia="Calibri" w:hAnsi="Arial" w:cs="Arial"/>
          <w:sz w:val="22"/>
          <w:szCs w:val="22"/>
          <w:lang w:val="en-US"/>
        </w:rPr>
        <w:t xml:space="preserve">investigated risk factors for falls in older adults, </w:t>
      </w:r>
      <w:r w:rsidR="00507070" w:rsidRPr="005702ED">
        <w:rPr>
          <w:rFonts w:ascii="Arial" w:eastAsia="Calibri" w:hAnsi="Arial" w:cs="Arial"/>
          <w:sz w:val="22"/>
          <w:szCs w:val="22"/>
          <w:lang w:val="en-US"/>
        </w:rPr>
        <w:t xml:space="preserve">multiple risk factors have been identified with </w:t>
      </w:r>
      <w:r w:rsidR="0088102A" w:rsidRPr="005702ED">
        <w:rPr>
          <w:rFonts w:ascii="Arial" w:eastAsia="Calibri" w:hAnsi="Arial" w:cs="Arial"/>
          <w:sz w:val="22"/>
          <w:szCs w:val="22"/>
          <w:lang w:val="en-US"/>
        </w:rPr>
        <w:t xml:space="preserve">conflicting </w:t>
      </w:r>
      <w:r w:rsidR="006B6005" w:rsidRPr="005702ED">
        <w:rPr>
          <w:rFonts w:ascii="Arial" w:eastAsia="Calibri" w:hAnsi="Arial" w:cs="Arial"/>
          <w:sz w:val="22"/>
          <w:szCs w:val="22"/>
          <w:lang w:val="en-US"/>
        </w:rPr>
        <w:t>findings</w:t>
      </w:r>
      <w:r w:rsidR="00D56B63" w:rsidRPr="005702ED">
        <w:rPr>
          <w:rFonts w:ascii="Arial" w:eastAsia="Calibri" w:hAnsi="Arial" w:cs="Arial"/>
          <w:sz w:val="22"/>
          <w:szCs w:val="22"/>
          <w:lang w:val="en-US"/>
        </w:rPr>
        <w:t xml:space="preserve"> </w:t>
      </w:r>
      <w:r w:rsidR="00D56B63" w:rsidRPr="005702ED">
        <w:rPr>
          <w:rFonts w:ascii="Arial" w:eastAsia="Calibri" w:hAnsi="Arial" w:cs="Arial"/>
          <w:sz w:val="22"/>
          <w:szCs w:val="22"/>
          <w:lang w:val="en-US"/>
        </w:rPr>
        <w:fldChar w:fldCharType="begin" w:fldLock="1"/>
      </w:r>
      <w:r w:rsidR="00F23342" w:rsidRPr="005702ED">
        <w:rPr>
          <w:rFonts w:ascii="Arial" w:eastAsia="Calibri" w:hAnsi="Arial" w:cs="Arial"/>
          <w:sz w:val="22"/>
          <w:szCs w:val="22"/>
          <w:lang w:val="en-US"/>
        </w:rPr>
        <w:instrText>ADDIN CSL_CITATION {"citationItems":[{"id":"ITEM-1","itemData":{"DOI":"10.1093/geront/gnw156","ISSN":"0016-9013","PMID":"28011591","abstract":"Purpose of the Study:Falls are common events for hospitalized older adults, resulting in negative outcomes both for patients and hospitals. The Center for Medicare and Medicaid (CMS) has placed pressure on hospital administrators by identifying falls as a “never event”, resulting in a zero falls goal for many hospitals. Staff nurses are responsible for providing direct care to patients and for meeting the hospital no falls goal. Little is known about the impact of “zero falls” on nurses, patients and the organization.Design and Methods:A qualitative study, using Grounded Dimensional Analysis (GDA) was conducted to explore nurses’ experiences with fall prevention in hospital settings and the impact of those experiences on how nurses provide care to fall risk patients. Twenty-seven registered nurses and certified nursing assistants participated in in-depth interviews. Open, axial and selective coding was used to analyze data. A conceptual model which illustrates the impact of intense messaging from nursing administration to prevent patient falls on nurses, actions nurses take to address the message and the consequences to nurses, older adult patients and to the organization was developed.Results:Intense messaging from hospital administration to achieve zero falls resulted in nurses developing a fear of falls, protecting self and unit, and restricting fall risk patients as a way to stop messages and meet the hospital goal.Implications:Results of this study identify unintended consequences of fall prevention message on nurses and older adult patients. Further research is needed understand how nurse care for fall risk patients.","author":[{"dropping-particle":"","family":"King","given":"Barbara","non-dropping-particle":"","parse-names":false,"suffix":""},{"dropping-particle":"","family":"Pecanac","given":"Kristen","non-dropping-particle":"","parse-names":false,"suffix":""},{"dropping-particle":"","family":"Krupp","given":"Anna","non-dropping-particle":"","parse-names":false,"suffix":""},{"dropping-particle":"","family":"Liebzeit","given":"Daniel","non-dropping-particle":"","parse-names":false,"suffix":""},{"dropping-particle":"","family":"Mahoney","given":"Jane","non-dropping-particle":"","parse-names":false,"suffix":""}],"container-title":"The Gerontologist","id":"ITEM-1","issue":"2","issued":{"date-parts":[["2018"]]},"page":"331-340","title":"Impact of Fall Prevention on Nurses and Care of Fall Risk Patients","type":"article-journal","volume":"58"},"uris":["http://www.mendeley.com/documents/?uuid=c9f0bd73-4fc4-465a-9aa2-a748689b139c"]}],"mendeley":{"formattedCitation":"(5)","plainTextFormattedCitation":"(5)","previouslyFormattedCitation":"(5)"},"properties":{"noteIndex":0},"schema":"https://github.com/citation-style-language/schema/raw/master/csl-citation.json"}</w:instrText>
      </w:r>
      <w:r w:rsidR="00D56B63" w:rsidRPr="005702ED">
        <w:rPr>
          <w:rFonts w:ascii="Arial" w:eastAsia="Calibri" w:hAnsi="Arial" w:cs="Arial"/>
          <w:sz w:val="22"/>
          <w:szCs w:val="22"/>
          <w:lang w:val="en-US"/>
        </w:rPr>
        <w:fldChar w:fldCharType="separate"/>
      </w:r>
      <w:r w:rsidR="00D56B63" w:rsidRPr="005702ED">
        <w:rPr>
          <w:rFonts w:ascii="Arial" w:eastAsia="Calibri" w:hAnsi="Arial" w:cs="Arial"/>
          <w:noProof/>
          <w:sz w:val="22"/>
          <w:szCs w:val="22"/>
          <w:lang w:val="en-US"/>
        </w:rPr>
        <w:t>(5)</w:t>
      </w:r>
      <w:r w:rsidR="00D56B63" w:rsidRPr="005702ED">
        <w:rPr>
          <w:rFonts w:ascii="Arial" w:eastAsia="Calibri" w:hAnsi="Arial" w:cs="Arial"/>
          <w:sz w:val="22"/>
          <w:szCs w:val="22"/>
          <w:lang w:val="en-US"/>
        </w:rPr>
        <w:fldChar w:fldCharType="end"/>
      </w:r>
      <w:r w:rsidR="0088102A" w:rsidRPr="005702ED">
        <w:rPr>
          <w:rFonts w:ascii="Arial" w:eastAsia="Calibri" w:hAnsi="Arial" w:cs="Arial"/>
          <w:sz w:val="22"/>
          <w:szCs w:val="22"/>
          <w:lang w:val="en-US"/>
        </w:rPr>
        <w:t xml:space="preserve">. This may be </w:t>
      </w:r>
      <w:r w:rsidR="00507070" w:rsidRPr="005702ED">
        <w:rPr>
          <w:rFonts w:ascii="Arial" w:eastAsia="Calibri" w:hAnsi="Arial" w:cs="Arial"/>
          <w:sz w:val="22"/>
          <w:szCs w:val="22"/>
          <w:lang w:val="en-US"/>
        </w:rPr>
        <w:t>owing</w:t>
      </w:r>
      <w:r w:rsidR="0088102A" w:rsidRPr="005702ED">
        <w:rPr>
          <w:rFonts w:ascii="Arial" w:eastAsia="Calibri" w:hAnsi="Arial" w:cs="Arial"/>
          <w:sz w:val="22"/>
          <w:szCs w:val="22"/>
          <w:lang w:val="en-US"/>
        </w:rPr>
        <w:t xml:space="preserve"> to differences in the methods used to determine the ris</w:t>
      </w:r>
      <w:r w:rsidR="003D0676" w:rsidRPr="005702ED">
        <w:rPr>
          <w:rFonts w:ascii="Arial" w:eastAsia="Calibri" w:hAnsi="Arial" w:cs="Arial"/>
          <w:sz w:val="22"/>
          <w:szCs w:val="22"/>
          <w:lang w:val="en-US"/>
        </w:rPr>
        <w:t>k of falling. Therefore, we performed four different assessment methods, that are most commonly used for the evaluatio</w:t>
      </w:r>
      <w:r w:rsidR="001161C1" w:rsidRPr="005702ED">
        <w:rPr>
          <w:rFonts w:ascii="Arial" w:eastAsia="Calibri" w:hAnsi="Arial" w:cs="Arial"/>
          <w:sz w:val="22"/>
          <w:szCs w:val="22"/>
          <w:lang w:val="en-US"/>
        </w:rPr>
        <w:t>n of older adults</w:t>
      </w:r>
      <w:r w:rsidR="00AC6845" w:rsidRPr="005702ED">
        <w:rPr>
          <w:rFonts w:ascii="Arial" w:eastAsia="Calibri" w:hAnsi="Arial" w:cs="Arial"/>
          <w:sz w:val="22"/>
          <w:szCs w:val="22"/>
          <w:lang w:val="en-US"/>
        </w:rPr>
        <w:t xml:space="preserve"> risk of falling</w:t>
      </w:r>
      <w:r w:rsidR="001161C1" w:rsidRPr="005702ED">
        <w:rPr>
          <w:rFonts w:ascii="Arial" w:eastAsia="Calibri" w:hAnsi="Arial" w:cs="Arial"/>
          <w:sz w:val="22"/>
          <w:szCs w:val="22"/>
          <w:lang w:val="en-US"/>
        </w:rPr>
        <w:t xml:space="preserve"> </w:t>
      </w:r>
      <w:r w:rsidR="003D0676" w:rsidRPr="005702ED">
        <w:rPr>
          <w:rFonts w:ascii="Arial" w:eastAsia="Calibri" w:hAnsi="Arial" w:cs="Arial"/>
          <w:sz w:val="22"/>
          <w:szCs w:val="22"/>
          <w:lang w:val="en-US"/>
        </w:rPr>
        <w:t xml:space="preserve">and </w:t>
      </w:r>
      <w:r w:rsidR="00F90880" w:rsidRPr="005702ED">
        <w:rPr>
          <w:rFonts w:ascii="Arial" w:eastAsia="Calibri" w:hAnsi="Arial" w:cs="Arial"/>
          <w:sz w:val="22"/>
          <w:szCs w:val="22"/>
          <w:lang w:val="en-US"/>
        </w:rPr>
        <w:t>com</w:t>
      </w:r>
      <w:r w:rsidR="00B40FAD" w:rsidRPr="005702ED">
        <w:rPr>
          <w:rFonts w:ascii="Arial" w:eastAsia="Calibri" w:hAnsi="Arial" w:cs="Arial"/>
          <w:sz w:val="22"/>
          <w:szCs w:val="22"/>
          <w:lang w:val="en-US"/>
        </w:rPr>
        <w:t>mon risk factors</w:t>
      </w:r>
      <w:r w:rsidR="00507070" w:rsidRPr="005702ED">
        <w:rPr>
          <w:rFonts w:ascii="Arial" w:eastAsia="Calibri" w:hAnsi="Arial" w:cs="Arial"/>
          <w:sz w:val="22"/>
          <w:szCs w:val="22"/>
          <w:lang w:val="en-US"/>
        </w:rPr>
        <w:t xml:space="preserve"> </w:t>
      </w:r>
      <w:r w:rsidR="0067549E" w:rsidRPr="005702ED">
        <w:rPr>
          <w:rFonts w:ascii="Arial" w:eastAsia="Calibri" w:hAnsi="Arial" w:cs="Arial"/>
          <w:sz w:val="22"/>
          <w:szCs w:val="22"/>
          <w:lang w:val="en-US"/>
        </w:rPr>
        <w:t xml:space="preserve">that increase the risk of falling </w:t>
      </w:r>
      <w:r w:rsidR="00507070" w:rsidRPr="005702ED">
        <w:rPr>
          <w:rFonts w:ascii="Arial" w:eastAsia="Calibri" w:hAnsi="Arial" w:cs="Arial"/>
          <w:sz w:val="22"/>
          <w:szCs w:val="22"/>
          <w:lang w:val="en-US"/>
        </w:rPr>
        <w:t>were identified</w:t>
      </w:r>
      <w:r w:rsidR="00B40FAD" w:rsidRPr="005702ED">
        <w:rPr>
          <w:rFonts w:ascii="Arial" w:eastAsia="Calibri" w:hAnsi="Arial" w:cs="Arial"/>
          <w:sz w:val="22"/>
          <w:szCs w:val="22"/>
          <w:lang w:val="en-US"/>
        </w:rPr>
        <w:t xml:space="preserve"> including self-</w:t>
      </w:r>
      <w:r w:rsidR="00F90880" w:rsidRPr="005702ED">
        <w:rPr>
          <w:rFonts w:ascii="Arial" w:eastAsia="Calibri" w:hAnsi="Arial" w:cs="Arial"/>
          <w:sz w:val="22"/>
          <w:szCs w:val="22"/>
          <w:lang w:val="en-US"/>
        </w:rPr>
        <w:t xml:space="preserve">reported dizziness and imbalance, using a walking stick, high GDS and CCI scores, low BADL and IADL scores, urinary incontinence, </w:t>
      </w:r>
      <w:proofErr w:type="spellStart"/>
      <w:r w:rsidR="00F90880" w:rsidRPr="005702ED">
        <w:rPr>
          <w:rFonts w:ascii="Arial" w:eastAsia="Calibri" w:hAnsi="Arial" w:cs="Arial"/>
          <w:sz w:val="22"/>
          <w:szCs w:val="22"/>
          <w:lang w:val="en-US"/>
        </w:rPr>
        <w:t>dynapenia</w:t>
      </w:r>
      <w:proofErr w:type="spellEnd"/>
      <w:r w:rsidR="00F90880" w:rsidRPr="005702ED">
        <w:rPr>
          <w:rFonts w:ascii="Arial" w:eastAsia="Calibri" w:hAnsi="Arial" w:cs="Arial"/>
          <w:sz w:val="22"/>
          <w:szCs w:val="22"/>
          <w:lang w:val="en-US"/>
        </w:rPr>
        <w:t xml:space="preserve"> and frailty </w:t>
      </w:r>
      <w:r w:rsidR="001161C1" w:rsidRPr="005702ED">
        <w:rPr>
          <w:rFonts w:ascii="Arial" w:eastAsia="Calibri" w:hAnsi="Arial" w:cs="Arial"/>
          <w:sz w:val="22"/>
          <w:szCs w:val="22"/>
          <w:lang w:val="en-US"/>
        </w:rPr>
        <w:t xml:space="preserve">were associated with </w:t>
      </w:r>
      <w:r w:rsidR="00F90880" w:rsidRPr="005702ED">
        <w:rPr>
          <w:rFonts w:ascii="Arial" w:eastAsia="Calibri" w:hAnsi="Arial" w:cs="Arial"/>
          <w:sz w:val="22"/>
          <w:szCs w:val="22"/>
          <w:lang w:val="en-US"/>
        </w:rPr>
        <w:t xml:space="preserve">the risk of falling in </w:t>
      </w:r>
      <w:r w:rsidR="001161C1" w:rsidRPr="005702ED">
        <w:rPr>
          <w:rFonts w:ascii="Arial" w:eastAsia="Calibri" w:hAnsi="Arial" w:cs="Arial"/>
          <w:sz w:val="22"/>
          <w:szCs w:val="22"/>
          <w:lang w:val="en-US"/>
        </w:rPr>
        <w:t xml:space="preserve">older </w:t>
      </w:r>
      <w:r w:rsidR="00F90880" w:rsidRPr="005702ED">
        <w:rPr>
          <w:rFonts w:ascii="Arial" w:eastAsia="Calibri" w:hAnsi="Arial" w:cs="Arial"/>
          <w:sz w:val="22"/>
          <w:szCs w:val="22"/>
          <w:lang w:val="en-US"/>
        </w:rPr>
        <w:t xml:space="preserve">women by </w:t>
      </w:r>
      <w:r w:rsidR="001161C1" w:rsidRPr="005702ED">
        <w:rPr>
          <w:rFonts w:ascii="Arial" w:eastAsia="Calibri" w:hAnsi="Arial" w:cs="Arial"/>
          <w:sz w:val="22"/>
          <w:szCs w:val="22"/>
          <w:lang w:val="en-US"/>
        </w:rPr>
        <w:t xml:space="preserve">all </w:t>
      </w:r>
      <w:r w:rsidR="00F90880" w:rsidRPr="005702ED">
        <w:rPr>
          <w:rFonts w:ascii="Arial" w:eastAsia="Calibri" w:hAnsi="Arial" w:cs="Arial"/>
          <w:sz w:val="22"/>
          <w:szCs w:val="22"/>
          <w:lang w:val="en-US"/>
        </w:rPr>
        <w:t>four clinical methods.</w:t>
      </w:r>
      <w:r w:rsidR="001161C1" w:rsidRPr="005702ED">
        <w:rPr>
          <w:rFonts w:ascii="Arial" w:eastAsia="Calibri" w:hAnsi="Arial" w:cs="Arial"/>
          <w:sz w:val="22"/>
          <w:szCs w:val="22"/>
          <w:lang w:val="en-US"/>
        </w:rPr>
        <w:t xml:space="preserve"> Additionally, although some risk factors and odd-ratios were different to detect fall risk, </w:t>
      </w:r>
      <w:r w:rsidR="003D0676" w:rsidRPr="005702ED">
        <w:rPr>
          <w:rFonts w:ascii="Arial" w:eastAsia="Calibri" w:hAnsi="Arial" w:cs="Arial"/>
          <w:sz w:val="22"/>
          <w:szCs w:val="22"/>
          <w:lang w:val="en-US"/>
        </w:rPr>
        <w:t>t</w:t>
      </w:r>
      <w:r w:rsidR="00B51983" w:rsidRPr="005702ED">
        <w:rPr>
          <w:rFonts w:ascii="Arial" w:eastAsia="Calibri" w:hAnsi="Arial" w:cs="Arial"/>
          <w:sz w:val="22"/>
          <w:szCs w:val="22"/>
          <w:lang w:val="en-US"/>
        </w:rPr>
        <w:t>here was a significan</w:t>
      </w:r>
      <w:r w:rsidR="001161C1" w:rsidRPr="005702ED">
        <w:rPr>
          <w:rFonts w:ascii="Arial" w:eastAsia="Calibri" w:hAnsi="Arial" w:cs="Arial"/>
          <w:sz w:val="22"/>
          <w:szCs w:val="22"/>
          <w:lang w:val="en-US"/>
        </w:rPr>
        <w:t>t correlation between the methods</w:t>
      </w:r>
      <w:r w:rsidR="00507070" w:rsidRPr="005702ED">
        <w:rPr>
          <w:rFonts w:ascii="Arial" w:eastAsia="Calibri" w:hAnsi="Arial" w:cs="Arial"/>
          <w:sz w:val="22"/>
          <w:szCs w:val="22"/>
          <w:lang w:val="en-US"/>
        </w:rPr>
        <w:t>.</w:t>
      </w:r>
    </w:p>
    <w:p w14:paraId="1A2EA964" w14:textId="2CD7B59A" w:rsidR="00A2118A" w:rsidRPr="005702ED" w:rsidRDefault="00EA6F54" w:rsidP="000E2C41">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While evaluating older adults, assessment of basic and instrumental daily living activities gives important information about both physical and cognitive states of patients. In our study, it was also found that low scores of daily living activities were s</w:t>
      </w:r>
      <w:r w:rsidR="004E17D7" w:rsidRPr="005702ED">
        <w:rPr>
          <w:rFonts w:ascii="Arial" w:eastAsia="Calibri" w:hAnsi="Arial" w:cs="Arial"/>
          <w:sz w:val="22"/>
          <w:szCs w:val="22"/>
          <w:lang w:val="en-US"/>
        </w:rPr>
        <w:t>trongly</w:t>
      </w:r>
      <w:r w:rsidRPr="005702ED">
        <w:rPr>
          <w:rFonts w:ascii="Arial" w:eastAsia="Calibri" w:hAnsi="Arial" w:cs="Arial"/>
          <w:sz w:val="22"/>
          <w:szCs w:val="22"/>
          <w:lang w:val="en-US"/>
        </w:rPr>
        <w:t xml:space="preserve"> corr</w:t>
      </w:r>
      <w:r w:rsidR="00E738CF" w:rsidRPr="005702ED">
        <w:rPr>
          <w:rFonts w:ascii="Arial" w:eastAsia="Calibri" w:hAnsi="Arial" w:cs="Arial"/>
          <w:sz w:val="22"/>
          <w:szCs w:val="22"/>
          <w:lang w:val="en-US"/>
        </w:rPr>
        <w:t>elated with the risk of falling and e</w:t>
      </w:r>
      <w:r w:rsidR="004E17D7" w:rsidRPr="005702ED">
        <w:rPr>
          <w:rFonts w:ascii="Arial" w:eastAsia="Calibri" w:hAnsi="Arial" w:cs="Arial"/>
          <w:sz w:val="22"/>
          <w:szCs w:val="22"/>
          <w:lang w:val="en-US"/>
        </w:rPr>
        <w:t>very 10 po</w:t>
      </w:r>
      <w:r w:rsidR="00E738CF" w:rsidRPr="005702ED">
        <w:rPr>
          <w:rFonts w:ascii="Arial" w:eastAsia="Calibri" w:hAnsi="Arial" w:cs="Arial"/>
          <w:sz w:val="22"/>
          <w:szCs w:val="22"/>
          <w:lang w:val="en-US"/>
        </w:rPr>
        <w:t>ints in the BADL score increased</w:t>
      </w:r>
      <w:r w:rsidR="004E17D7" w:rsidRPr="005702ED">
        <w:rPr>
          <w:rFonts w:ascii="Arial" w:eastAsia="Calibri" w:hAnsi="Arial" w:cs="Arial"/>
          <w:sz w:val="22"/>
          <w:szCs w:val="22"/>
          <w:lang w:val="en-US"/>
        </w:rPr>
        <w:t xml:space="preserve"> the risk of f</w:t>
      </w:r>
      <w:r w:rsidR="00E60AB4" w:rsidRPr="005702ED">
        <w:rPr>
          <w:rFonts w:ascii="Arial" w:eastAsia="Calibri" w:hAnsi="Arial" w:cs="Arial"/>
          <w:sz w:val="22"/>
          <w:szCs w:val="22"/>
          <w:lang w:val="en-US"/>
        </w:rPr>
        <w:t>alls from 8.79 to 9.61. There was also a similarly</w:t>
      </w:r>
      <w:r w:rsidR="004E17D7" w:rsidRPr="005702ED">
        <w:rPr>
          <w:rFonts w:ascii="Arial" w:eastAsia="Calibri" w:hAnsi="Arial" w:cs="Arial"/>
          <w:sz w:val="22"/>
          <w:szCs w:val="22"/>
          <w:lang w:val="en-US"/>
        </w:rPr>
        <w:t xml:space="preserve"> strong relations</w:t>
      </w:r>
      <w:r w:rsidR="00E60AB4" w:rsidRPr="005702ED">
        <w:rPr>
          <w:rFonts w:ascii="Arial" w:eastAsia="Calibri" w:hAnsi="Arial" w:cs="Arial"/>
          <w:sz w:val="22"/>
          <w:szCs w:val="22"/>
          <w:lang w:val="en-US"/>
        </w:rPr>
        <w:t xml:space="preserve">hip for IADLs, which is consistent with previous studies </w:t>
      </w:r>
      <w:r w:rsidR="003B2514"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{"citationItems":[{"id":"ITEM-1","itemData":{"DOI":"10.1016/j.pmrj.2013.10.007","ISSN":"1934-1563","PMID":"24140738","abstract":"OBJECTIVE: To determine whether instrumental activity of daily living (IADL) limitation stages can distinguish among elderly, community-dwelling persons with high likelihoods to have fallen once and more than once.\\n\\nDESIGN: A cross-sectional survey.\\n\\nSETTING: A nationally representative sample from the Second Longitudinal Study of Aging (LSOA II).\\n\\nPARTICIPANTS: Included were 7401 community-dwelling persons 70 years of age and older.\\n\\nMETHODS: The association of falling once and more than once within the past 12 months and 5 stages of increasing IADL limitation were explored by using a multinomial logistic regression model that controlled for demographics, education, perceived lack of home accessibility features, and health conditions. Sample proportions were weighted to reflect the prevalence in the U.S. population of 1994.\\n\\nMAIN OUTCOME MEASUREMENTS: Subject recall of fall history. There were 3 categories for this variable: no fall, falling once, and falling more than once in the past 12 months.\\n\\nRESULTS: Compared with IADL stage 0, the adjusted relative risk ratio of falling once peaked in individuals at IADL stage II at 2.0 (95% confidence interval [CI], 1.5-2.6), and those at IADL stage III had a relative risk ratio of 1.8 (95% CI, 1.3-2.6). The relative risk ratio of falling more than once was 2.1 (95% CI, 1.7-2.6), 4.0 (95% CI, 3.0-5.3), 3.7 (95% CI, 2.8-5.0), and 2.7 (95% CI, 1.5-4.9) for IADL stages I, II, III, and IV, respectively, when treating IADL stage 0 as reference.\\n\\nCONCLUSIONS: IADL limitation stages could represent a powerful and practical tool for screening patients in the U.S. elderly population according to fall risk. Clinical implementation and prospective testing for validation as a screening tool would be necessary.","author":[{"dropping-particle":"","family":"Brown","given":"Janice","non-dropping-particle":"","parse-names":false,"suffix":""},{"dropping-particle":"","family":"Kurichi","given":"Jibby E","non-dropping-particle":"","parse-names":false,"suffix":""},{"dropping-particle":"","family":"Xie","given":"Dawei","non-dropping-particle":"","parse-names":false,"suffix":""},{"dropping-particle":"","family":"Pan","given":"Qiang","non-dropping-particle":"","parse-names":false,"suffix":""},{"dropping-particle":"","family":"Stineman","given":"Margaret G","non-dropping-particle":"","parse-names":false,"suffix":""}],"container-title":"PM R","id":"ITEM-1","issue":"4","issued":{"date-parts":[["2014"]]},"page":"316-323","title":"Instrumental activities of daily living staging as a possible clinical tool for falls risk assessment in physical medicine and rehabilitation.","type":"article-journal","volume":"6"},"uris":["http://www.mendeley.com/documents/?uuid=a09b047f-0dfd-453e-95dd-93aeff8e16cb"]},{"id":"ITEM-2","itemData":{"DOI":"10.1111/jgs.12071","ISBN":"1532-5415","ISSN":"00028614","PMID":"23311555","abstract":"OBJECTIVES: To determine whether falling would be a marker for future difficulty with activities of daily (ADLs) that would vary according to fall frequency and associated injury.\\n\\nDESIGN: Longitudinal analysis.\\n\\nSETTING: Community.\\n\\nPARTICIPANTS: Nationally representative cohort of 2,020 community-living, functionally independent older adults aged 65 to 69 at baseline followed from 1998 to 2008.\\n\\nMEASUREMENTS: ADL difficulty.\\n\\nRESULTS: Experiencing one fall with injury (odds ratio (OR) = 1.78, 95% confidence interval (CI) = 1.29-2.48), at least two falls without injury (OR = 2.36, 95% CI = 1.80-3.09), or at least two falls with at least one injury (OR = 3.75, 95% CI = 2.55-5.53) in the prior 2 years was independently associated with higher rates of ADL difficulty after adjustment for sociodemographic, behavioral, and clinical covariates.\\n\\nCONCLUSION: Falling is an important marker for future ADL difficulty in younger, functionally independent older adults. Individuals who fall frequently or report injury are at highest risk.","author":[{"dropping-particle":"","family":"Sekaran","given":"Nishant K.","non-dropping-particle":"","parse-names":false,"suffix":""},{"dropping-particle":"","family":"Choi","given":"Hwajung","non-dropping-particle":"","parse-names":false,"suffix":""},{"dropping-particle":"","family":"Hayward","given":"Rodney A.","non-dropping-particle":"","parse-names":false,"suffix":""},{"dropping-particle":"","family":"Langa","given":"Kenneth M.","non-dropping-particle":"","parse-names":false,"suffix":""}],"container-title":"J Am Geriatr Soc","id":"ITEM-2","issue":"1","issued":{"date-parts":[["2013"]]},"page":"96-100","title":"Fall-associated difficulty with activities of daily living in functionally independent individuals aged 65 to 69 in the United States: A cohort study","type":"article-journal","volume":"61"},"uris":["http://www.mendeley.com/documents/?uuid=4eaab492-e515-4877-a8f7-ff943dc0ea3a"]},{"id":"ITEM-3","itemData":{"DOI":"10.2147/CIA.S70075","ISBN":"1178-1998 (Electronic)\\r1176-9092 (Linking)","ISSN":"11781998","PMID":"25378916","abstract":"OBJECTIVES: To determine the relationship between long-term change in activities of daily living (ADL) and falls in the elderly and to identify characteristics of groups at risk for falls.\\n\\nMETHODS: This was a 6-year, prospective cohort study using data from the Good Aging in Skåne study in southern Sweden, involving 1,540 elderly subjects, including the oldest-old (age, 60-93 years). The subjects were recruited from the general population. ADL was measured at a baseline and follow-up assessment, using Sonn and Åsberg's revised scale and the ADL staircase. Falls were recorded in a period of 6 months before the follow-up assessment. The association between falls and change in ADL was calculated using adjusted, multiple logistic regression analysis and presented in odds ratios (ORs).\\n\\nRESULTS: Thirteen percent of the study population reported one or several falls in the measured period. Over the course of 6 years, one in four participants changed their ADL status, and parts of this category had an increased risk for falls compared with those who stayed independent in ADL or who had no change in the ADL staircase. Groups with different characteristics had a prominent risk for falls: those with a reduction of two to eight steps in the ADL staircase (OR, 4.05; 95% confidence interval [CI], 1.62-10.11) and those becoming independent from dependency in instrumental ADL (OR, 4.13; 95% CI, 1.89-9.00). The former group had advanced age with a greater burden of cognitive impairment, gait disability, arrhythmia, and fall risk medications. The latter group had a higher prevalence of ischemic heart disease and low walking speed.\\n\\nCONCLUSION: Both deterioration and improvement in ADL over the course of 6 years increased the risk for falls in a general elderly population. Interventional efforts may require different strategies, as groups with different characteristics were at risk. Those at risk with improved ADL function may have a history of sufficient burden of comorbidity combined with obtained mobility for exposure to a fall event.","author":[{"dropping-particle":"","family":"Stenhagen","given":"Magnus","non-dropping-particle":"","parse-names":false,"suffix":""},{"dropping-particle":"","family":"Ekström","given":"Henrik","non-dropping-particle":"","parse-names":false,"suffix":""},{"dropping-particle":"","family":"Nordell","given":"Eva","non-dropping-particle":"","parse-names":false,"suffix":""},{"dropping-particle":"","family":"Elmståhl","given":"Sölve","non-dropping-particle":"","parse-names":false,"suffix":""}],"container-title":"Clin Interv Aging","id":"ITEM-3","issued":{"date-parts":[["2014"]]},"page":"18391846","title":"Both deterioration and improvement in activities of daily living are related to falls: A 6-year follow-up of the general elderly population study Good Aging in Skåne","type":"article-journal","volume":"9"},"uris":["http://www.mendeley.com/documents/?uuid=9006a892-8258-4946-bbb3-d3276993d68f"]}],"mendeley":{"formattedCitation":"(29–31)","plainTextFormattedCitation":"(29–31)","previouslyFormattedCitation":"(29–31)"},"properties":{"noteIndex":0},"schema":"https://github.com/citation-style-language/schema/raw/master/csl-citation.json"}</w:instrText>
      </w:r>
      <w:r w:rsidR="003B2514"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(29–31)</w:t>
      </w:r>
      <w:r w:rsidR="003B2514" w:rsidRPr="005702ED">
        <w:rPr>
          <w:rFonts w:ascii="Arial" w:eastAsia="Calibri" w:hAnsi="Arial" w:cs="Arial"/>
          <w:sz w:val="22"/>
          <w:szCs w:val="22"/>
          <w:lang w:val="en-US"/>
        </w:rPr>
        <w:fldChar w:fldCharType="end"/>
      </w:r>
      <w:r w:rsidR="003B2514" w:rsidRPr="005702ED">
        <w:rPr>
          <w:rFonts w:ascii="Arial" w:eastAsia="Calibri" w:hAnsi="Arial" w:cs="Arial"/>
          <w:sz w:val="22"/>
          <w:szCs w:val="22"/>
          <w:lang w:val="en-US"/>
        </w:rPr>
        <w:t>.</w:t>
      </w:r>
      <w:r w:rsidR="004E17D7" w:rsidRPr="005702ED">
        <w:rPr>
          <w:rFonts w:ascii="Arial" w:eastAsia="Calibri" w:hAnsi="Arial" w:cs="Arial"/>
          <w:sz w:val="22"/>
          <w:szCs w:val="22"/>
          <w:lang w:val="en-US"/>
        </w:rPr>
        <w:t xml:space="preserve"> </w:t>
      </w:r>
      <w:r w:rsidR="00D67FB2" w:rsidRPr="005702ED">
        <w:rPr>
          <w:rFonts w:ascii="Arial" w:eastAsia="Calibri" w:hAnsi="Arial" w:cs="Arial"/>
          <w:sz w:val="22"/>
          <w:szCs w:val="22"/>
          <w:lang w:val="en-US"/>
        </w:rPr>
        <w:t xml:space="preserve">When </w:t>
      </w:r>
      <w:r w:rsidR="005A65B1" w:rsidRPr="005702ED">
        <w:rPr>
          <w:rFonts w:ascii="Arial" w:eastAsia="Calibri" w:hAnsi="Arial" w:cs="Arial"/>
          <w:sz w:val="22"/>
          <w:szCs w:val="22"/>
          <w:lang w:val="en-US"/>
        </w:rPr>
        <w:t xml:space="preserve">a growing aging population </w:t>
      </w:r>
      <w:r w:rsidR="00210275" w:rsidRPr="005702ED">
        <w:rPr>
          <w:rFonts w:ascii="Arial" w:eastAsia="Calibri" w:hAnsi="Arial" w:cs="Arial"/>
          <w:sz w:val="22"/>
          <w:szCs w:val="22"/>
          <w:lang w:val="en-US"/>
        </w:rPr>
        <w:t xml:space="preserve">and the </w:t>
      </w:r>
      <w:r w:rsidR="005A65B1" w:rsidRPr="005702ED">
        <w:rPr>
          <w:rFonts w:ascii="Arial" w:eastAsia="Calibri" w:hAnsi="Arial" w:cs="Arial"/>
          <w:sz w:val="22"/>
          <w:szCs w:val="22"/>
          <w:lang w:val="en-US"/>
        </w:rPr>
        <w:t xml:space="preserve">proportion of </w:t>
      </w:r>
      <w:r w:rsidR="00210275" w:rsidRPr="005702ED">
        <w:rPr>
          <w:rFonts w:ascii="Arial" w:eastAsia="Calibri" w:hAnsi="Arial" w:cs="Arial"/>
          <w:sz w:val="22"/>
          <w:szCs w:val="22"/>
          <w:lang w:val="en-US"/>
        </w:rPr>
        <w:t>people</w:t>
      </w:r>
      <w:r w:rsidR="005A65B1" w:rsidRPr="005702ED">
        <w:rPr>
          <w:rFonts w:ascii="Arial" w:eastAsia="Calibri" w:hAnsi="Arial" w:cs="Arial"/>
          <w:sz w:val="22"/>
          <w:szCs w:val="22"/>
          <w:lang w:val="en-US"/>
        </w:rPr>
        <w:t xml:space="preserve"> with functional disa</w:t>
      </w:r>
      <w:r w:rsidR="00210275" w:rsidRPr="005702ED">
        <w:rPr>
          <w:rFonts w:ascii="Arial" w:eastAsia="Calibri" w:hAnsi="Arial" w:cs="Arial"/>
          <w:sz w:val="22"/>
          <w:szCs w:val="22"/>
          <w:lang w:val="en-US"/>
        </w:rPr>
        <w:t>bility and loss of independence</w:t>
      </w:r>
      <w:r w:rsidR="00D67FB2" w:rsidRPr="005702ED">
        <w:rPr>
          <w:rFonts w:ascii="Arial" w:eastAsia="Calibri" w:hAnsi="Arial" w:cs="Arial"/>
          <w:sz w:val="22"/>
          <w:szCs w:val="22"/>
          <w:lang w:val="en-US"/>
        </w:rPr>
        <w:t xml:space="preserve"> is considered</w:t>
      </w:r>
      <w:r w:rsidR="00210275" w:rsidRPr="005702ED">
        <w:rPr>
          <w:rFonts w:ascii="Arial" w:eastAsia="Calibri" w:hAnsi="Arial" w:cs="Arial"/>
          <w:sz w:val="22"/>
          <w:szCs w:val="22"/>
          <w:lang w:val="en-US"/>
        </w:rPr>
        <w:t xml:space="preserve">, it </w:t>
      </w:r>
      <w:r w:rsidR="00082E1F" w:rsidRPr="005702ED">
        <w:rPr>
          <w:rFonts w:ascii="Arial" w:eastAsia="Calibri" w:hAnsi="Arial" w:cs="Arial"/>
          <w:sz w:val="22"/>
          <w:szCs w:val="22"/>
          <w:lang w:val="en-US"/>
        </w:rPr>
        <w:t xml:space="preserve">is likely </w:t>
      </w:r>
      <w:r w:rsidR="00210275" w:rsidRPr="005702ED">
        <w:rPr>
          <w:rFonts w:ascii="Arial" w:eastAsia="Calibri" w:hAnsi="Arial" w:cs="Arial"/>
          <w:sz w:val="22"/>
          <w:szCs w:val="22"/>
          <w:lang w:val="en-US"/>
        </w:rPr>
        <w:t>that falls and falls related complications</w:t>
      </w:r>
      <w:r w:rsidR="00507070" w:rsidRPr="005702ED">
        <w:rPr>
          <w:rFonts w:ascii="Arial" w:eastAsia="Calibri" w:hAnsi="Arial" w:cs="Arial"/>
          <w:sz w:val="22"/>
          <w:szCs w:val="22"/>
          <w:lang w:val="en-US"/>
        </w:rPr>
        <w:t xml:space="preserve"> </w:t>
      </w:r>
      <w:r w:rsidR="00AC6845" w:rsidRPr="005702ED">
        <w:rPr>
          <w:rFonts w:ascii="Arial" w:eastAsia="Calibri" w:hAnsi="Arial" w:cs="Arial"/>
          <w:sz w:val="22"/>
          <w:szCs w:val="22"/>
          <w:lang w:val="en-US"/>
        </w:rPr>
        <w:t>will</w:t>
      </w:r>
      <w:r w:rsidR="009762B7" w:rsidRPr="005702ED">
        <w:rPr>
          <w:rFonts w:ascii="Arial" w:eastAsia="Calibri" w:hAnsi="Arial" w:cs="Arial"/>
          <w:sz w:val="22"/>
          <w:szCs w:val="22"/>
          <w:lang w:val="en-US"/>
        </w:rPr>
        <w:t xml:space="preserve"> </w:t>
      </w:r>
      <w:r w:rsidR="00210275" w:rsidRPr="005702ED">
        <w:rPr>
          <w:rFonts w:ascii="Arial" w:eastAsia="Calibri" w:hAnsi="Arial" w:cs="Arial"/>
          <w:sz w:val="22"/>
          <w:szCs w:val="22"/>
          <w:lang w:val="en-US"/>
        </w:rPr>
        <w:t xml:space="preserve">exponentially increase </w:t>
      </w:r>
      <w:r w:rsidR="00D67FB2" w:rsidRPr="005702ED">
        <w:rPr>
          <w:rFonts w:ascii="Arial" w:eastAsia="Calibri" w:hAnsi="Arial" w:cs="Arial"/>
          <w:sz w:val="22"/>
          <w:szCs w:val="22"/>
          <w:lang w:val="en-US"/>
        </w:rPr>
        <w:t xml:space="preserve">in </w:t>
      </w:r>
      <w:r w:rsidR="003855CF" w:rsidRPr="005702ED">
        <w:rPr>
          <w:rFonts w:ascii="Arial" w:eastAsia="Calibri" w:hAnsi="Arial" w:cs="Arial"/>
          <w:sz w:val="22"/>
          <w:szCs w:val="22"/>
          <w:lang w:val="en-US"/>
        </w:rPr>
        <w:t xml:space="preserve">the future. </w:t>
      </w:r>
      <w:r w:rsidR="00C65D7E" w:rsidRPr="005702ED">
        <w:rPr>
          <w:rFonts w:ascii="Arial" w:eastAsia="Calibri" w:hAnsi="Arial" w:cs="Arial"/>
          <w:sz w:val="22"/>
          <w:szCs w:val="22"/>
          <w:lang w:val="en-US"/>
        </w:rPr>
        <w:t>A</w:t>
      </w:r>
      <w:r w:rsidR="003855CF" w:rsidRPr="005702ED">
        <w:rPr>
          <w:rFonts w:ascii="Arial" w:eastAsia="Calibri" w:hAnsi="Arial" w:cs="Arial"/>
          <w:sz w:val="22"/>
          <w:szCs w:val="22"/>
          <w:lang w:val="en-US"/>
        </w:rPr>
        <w:t>nother important risk factor</w:t>
      </w:r>
      <w:r w:rsidR="00AC6845" w:rsidRPr="005702ED">
        <w:rPr>
          <w:rFonts w:ascii="Arial" w:eastAsia="Calibri" w:hAnsi="Arial" w:cs="Arial"/>
          <w:sz w:val="22"/>
          <w:szCs w:val="22"/>
          <w:lang w:val="en-US"/>
        </w:rPr>
        <w:t xml:space="preserve"> </w:t>
      </w:r>
      <w:r w:rsidR="00E3263F" w:rsidRPr="005702ED">
        <w:rPr>
          <w:rFonts w:ascii="Arial" w:eastAsia="Calibri" w:hAnsi="Arial" w:cs="Arial"/>
          <w:sz w:val="22"/>
          <w:szCs w:val="22"/>
          <w:lang w:val="en-US"/>
        </w:rPr>
        <w:t>identified</w:t>
      </w:r>
      <w:r w:rsidR="003855CF" w:rsidRPr="005702ED">
        <w:rPr>
          <w:rFonts w:ascii="Arial" w:eastAsia="Calibri" w:hAnsi="Arial" w:cs="Arial"/>
          <w:sz w:val="22"/>
          <w:szCs w:val="22"/>
          <w:lang w:val="en-US"/>
        </w:rPr>
        <w:t xml:space="preserve"> </w:t>
      </w:r>
      <w:r w:rsidR="00507070" w:rsidRPr="005702ED">
        <w:rPr>
          <w:rFonts w:ascii="Arial" w:eastAsia="Calibri" w:hAnsi="Arial" w:cs="Arial"/>
          <w:sz w:val="22"/>
          <w:szCs w:val="22"/>
          <w:lang w:val="en-US"/>
        </w:rPr>
        <w:t xml:space="preserve">in the present study was having high </w:t>
      </w:r>
      <w:r w:rsidR="003855CF" w:rsidRPr="005702ED">
        <w:rPr>
          <w:rFonts w:ascii="Arial" w:eastAsia="Calibri" w:hAnsi="Arial" w:cs="Arial"/>
          <w:sz w:val="22"/>
          <w:szCs w:val="22"/>
          <w:lang w:val="en-US"/>
        </w:rPr>
        <w:t xml:space="preserve">GDS scores. </w:t>
      </w:r>
      <w:r w:rsidR="00507070" w:rsidRPr="005702ED">
        <w:rPr>
          <w:rFonts w:ascii="Arial" w:eastAsia="Calibri" w:hAnsi="Arial" w:cs="Arial"/>
          <w:sz w:val="22"/>
          <w:szCs w:val="22"/>
          <w:lang w:val="en-US"/>
        </w:rPr>
        <w:t>An</w:t>
      </w:r>
      <w:r w:rsidR="004E17D7" w:rsidRPr="005702ED">
        <w:rPr>
          <w:rFonts w:ascii="Arial" w:eastAsia="Calibri" w:hAnsi="Arial" w:cs="Arial"/>
          <w:sz w:val="22"/>
          <w:szCs w:val="22"/>
          <w:lang w:val="en-US"/>
        </w:rPr>
        <w:t xml:space="preserve"> association between depression and  increased risk of falling has also been shown </w:t>
      </w:r>
      <w:r w:rsidR="004E17D7"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{"citationItems":[{"id":"ITEM-1","itemData":{"DOI":"10.1111/ggi.12487","ISSN":"14470594","PMID":"25907646","abstract":"Aim: To investigate the association between falls and self-reported depressive symptoms or visual impairment among young-old adults. Methods: A total of 1904 participants (986 men and 918 women) aged 64years from the New Integrated Suburban Seniority Investigation Project from 1996 to 2005, an age-specific cohort study in Nisshin, Japan, took part in the present study. Depressive symptoms were evaluated using the Geriatric Depression Scale. Visual impairment was assessed using a self-administered questionnaire. The outcome variable was self-reported injurious falls at the age of 70years. Multivariate odds ratios (OR) and 95% confidence intervals (CI) of depressive symptoms and visual impairment for the incidence of falls were calculated using logistic regression models and adjusted for possible confounding factors. Results: Overall, 77 (7.8%) men and 126 (13.7%) women reported falls within the past 1year at age 70years. Among women, depressive symptoms and visual impairment were significantly associated with falls after adjusting for potential confounders (OR 1.70, 95% CI 1.09-2.62; OR 2.34, 95% CI 1.45-3.71, respectively), but not among men. Women with both conditions had a significantly increased risk of falls after adjusting for potential confounders (OR 3.50, 95% CI 1.65-7.13) compared with those with neither condition; the association was not significant among men. Conclusions: Depressive symptoms and visual impairment at age 64years were significantly associated with an increased risk of falls at age 70years in Japanese women but not in men. The combination of the two symptoms had an even greater association with fall risk.","author":[{"dropping-particle":"","family":"Kojima","given":"Reiji","non-dropping-particle":"","parse-names":false,"suffix":""},{"dropping-particle":"","family":"Ukawa","given":"Shigekazu","non-dropping-particle":"","parse-names":false,"suffix":""},{"dropping-particle":"","family":"Ando","given":"Masahiko","non-dropping-particle":"","parse-names":false,"suffix":""},{"dropping-particle":"","family":"Kawamura","given":"Takashi","non-dropping-particle":"","parse-names":false,"suffix":""},{"dropping-particle":"","family":"Wakai","given":"Kenji","non-dropping-particle":"","parse-names":false,"suffix":""},{"dropping-particle":"","family":"Tsushita","given":"Kazuyo","non-dropping-particle":"","parse-names":false,"suffix":""},{"dropping-particle":"","family":"Tamakoshi","given":"Akiko","non-dropping-particle":"","parse-names":false,"suffix":""}],"container-title":"Geriatr Gerontol Int","id":"ITEM-1","issue":"3","issued":{"date-parts":[["2016"]]},"page":"384-391","title":"Association between falls and depressive symptoms or visual impairment among Japanese young-old adults","type":"article-journal","volume":"16"},"uris":["http://www.mendeley.com/documents/?uuid=4a6d0617-d907-43a6-a233-183dd84f5e86"]},{"id":"ITEM-2","itemData":{"DOI":"10.1186/s12916-015-0390-8","ISBN":"1291601503","ISSN":"17417015","PMID":"26042785","abstract":"In 2010 falls were responsible for approximately 80 % of disability stemming from unintentional injuries excluding traffic accidents in adults 50 years and over. Falls are becoming a major public health problem in low- and middle-income countries (LMICs) where populations are ageing rapidly. Nationally representative standardized data collected from adults aged 50 years and over participating in the World Health Organization (WHO) Study on global AGEing and adult health (SAGE) Wave 1 in China, Ghana, India, Mexico, the Russian Federation and South Africa are analysed. The aims are to identify the prevalence of, and risk factors for, past-year fall-related injury and to assess associations between fall-related injury and disability. Regression methods are used to identify risk factors and association between fall-related injury and disability. Disability was measured using the WHO Disability Assessment Schedule Version 2.0 (WHODAS 2.0). The prevalence of past-year fall-related injuries ranged from 6.6 % in India to 1.0 % in South Africa and was 4.0 % across the pooled countries. The proportion of all past-year injuries that were fall-related ranged from 73.3 % in the Russian Federation to 44.4 % in Ghana. Across the six countries this was 65.7 %. In the multivariable logistic regression, the odds of past-year fall-related injury were significantly higher for: women (OR: 1.27; 95 % CI: 0.99,1.62); respondents who lived in rural areas (OR: 1.36; 95 % CI: 1.06,1.75); those with depression (OR: 1.43; 95 % CI: 1.01,2.02); respondents who reported severe or extreme problems sleeping (OR: 1.54; 95 % CI: 1.15,2.08); and those who reported two or more (compared with no) chronic conditions (OR: 2.15; 95 % CI: 1.45,3.19). Poor cognition was also a significant risk factor for fall-related injury. The association between fall-related injury and the WHODAS measure of disability was highly significant (P&lt;0.0001) with some attenuation after adjusting for confounders. Reporting two or more chronic conditions (compared with none) was significantly associated with disability (P&lt;0.0001). The findings provide a platform for improving understanding of risk factors for falls in older adults in this group of LMICs. Clinicians and public health professionals in these countries must be made aware of the extent of this problem and the need to implement policies to reduce the risk of falls in older adults.","author":[{"dropping-particle":"","family":"Stewart Williams","given":"Jennifer","non-dropping-particle":"","parse-names":false,"suffix":""},{"dropping-particle":"","family":"Kowal","given":"Paul","non-dropping-particle":"","parse-names":false,"suffix":""},{"dropping-particle":"","family":"Hestekin","given":"Heather","non-dropping-particle":"","parse-names":false,"suffix":""},{"dropping-particle":"","family":"O'Driscoll","given":"Tristan","non-dropping-particle":"","parse-names":false,"suffix":""},{"dropping-particle":"","family":"Peltzer","given":"Karl","non-dropping-particle":"","parse-names":false,"suffix":""},{"dropping-particle":"","family":"Yawson","given":"Alfred","non-dropping-particle":"","parse-names":false,"suffix":""},{"dropping-particle":"","family":"Biritwum","given":"Richard","non-dropping-particle":"","parse-names":false,"suffix":""},{"dropping-particle":"","family":"Maximova","given":"Tamara","non-dropping-particle":"","parse-names":false,"suffix":""},{"dropping-particle":"","family":"Salinas Rodríguez","given":"Aarón","non-dropping-particle":"","parse-names":false,"suffix":""},{"dropping-particle":"","family":"Manrique Espinoza","given":"Betty","non-dropping-particle":"","parse-names":false,"suffix":""},{"dropping-particle":"","family":"Wu","given":"Fan","non-dropping-particle":"","parse-names":false,"suffix":""},{"dropping-particle":"","family":"Arokiasamy","given":"Perianayagam","non-dropping-particle":"","parse-names":false,"suffix":""},{"dropping-particle":"","family":"Chatterji","given":"Somnath","non-dropping-particle":"","parse-names":false,"suffix":""}],"container-title":"BMC Med","id":"ITEM-2","issued":{"date-parts":[["2015"]]},"page":"147","title":"Prevalence, risk factors and disability associated with fall-related injury in older adults in low- and middle-incomecountries: Results from the WHO Study on global AGEing and adult health (SAGE)","type":"article-journal","volume":"13"},"uris":["http://www.mendeley.com/documents/?uuid=7f04d73b-d439-46ee-af7f-e450345bc0c4"]}],"mendeley":{"formattedCitation":"(32,33)","plainTextFormattedCitation":"(32,33)","previouslyFormattedCitation":"(32,33)"},"properties":{"noteIndex":0},"schema":"https://github.com/citation-style-language/schema/raw/master/csl-citation.json"}</w:instrText>
      </w:r>
      <w:r w:rsidR="004E17D7"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(32,33)</w:t>
      </w:r>
      <w:r w:rsidR="004E17D7" w:rsidRPr="005702ED">
        <w:rPr>
          <w:rFonts w:ascii="Arial" w:eastAsia="Calibri" w:hAnsi="Arial" w:cs="Arial"/>
          <w:sz w:val="22"/>
          <w:szCs w:val="22"/>
          <w:lang w:val="en-US"/>
        </w:rPr>
        <w:fldChar w:fldCharType="end"/>
      </w:r>
      <w:r w:rsidR="004E17D7" w:rsidRPr="005702ED">
        <w:rPr>
          <w:rFonts w:ascii="Arial" w:eastAsia="Calibri" w:hAnsi="Arial" w:cs="Arial"/>
          <w:sz w:val="22"/>
          <w:szCs w:val="22"/>
          <w:lang w:val="en-US"/>
        </w:rPr>
        <w:t>, but the underlying mechanisms have not been clearly identified</w:t>
      </w:r>
      <w:r w:rsidR="004E6FAE" w:rsidRPr="005702ED">
        <w:rPr>
          <w:rFonts w:ascii="Arial" w:eastAsia="Calibri" w:hAnsi="Arial" w:cs="Arial"/>
          <w:sz w:val="22"/>
          <w:szCs w:val="22"/>
          <w:lang w:val="en-US"/>
        </w:rPr>
        <w:t xml:space="preserve">. </w:t>
      </w:r>
      <w:r w:rsidR="003855CF" w:rsidRPr="005702ED">
        <w:rPr>
          <w:rFonts w:ascii="Arial" w:eastAsia="Calibri" w:hAnsi="Arial" w:cs="Arial"/>
          <w:sz w:val="22"/>
          <w:szCs w:val="22"/>
          <w:lang w:val="en-US"/>
        </w:rPr>
        <w:lastRenderedPageBreak/>
        <w:t xml:space="preserve">Depressive symptoms can </w:t>
      </w:r>
      <w:r w:rsidR="004E17D7" w:rsidRPr="005702ED">
        <w:rPr>
          <w:rFonts w:ascii="Arial" w:eastAsia="Calibri" w:hAnsi="Arial" w:cs="Arial"/>
          <w:sz w:val="22"/>
          <w:szCs w:val="22"/>
          <w:lang w:val="en-US"/>
        </w:rPr>
        <w:t>lead older people to fall through physiolo</w:t>
      </w:r>
      <w:r w:rsidR="00C65D7E" w:rsidRPr="005702ED">
        <w:rPr>
          <w:rFonts w:ascii="Arial" w:eastAsia="Calibri" w:hAnsi="Arial" w:cs="Arial"/>
          <w:sz w:val="22"/>
          <w:szCs w:val="22"/>
          <w:lang w:val="en-US"/>
        </w:rPr>
        <w:t>gical and cognitive impairments</w:t>
      </w:r>
      <w:r w:rsidR="00412367" w:rsidRPr="005702ED">
        <w:rPr>
          <w:rFonts w:ascii="Arial" w:eastAsia="Calibri" w:hAnsi="Arial" w:cs="Arial"/>
          <w:sz w:val="22"/>
          <w:szCs w:val="22"/>
          <w:lang w:val="en-US"/>
        </w:rPr>
        <w:t xml:space="preserve">, </w:t>
      </w:r>
      <w:r w:rsidR="00046391" w:rsidRPr="005702ED">
        <w:rPr>
          <w:rFonts w:ascii="Arial" w:eastAsia="Calibri" w:hAnsi="Arial" w:cs="Arial"/>
          <w:sz w:val="22"/>
          <w:szCs w:val="22"/>
          <w:lang w:val="en-US"/>
        </w:rPr>
        <w:t xml:space="preserve">especially lack of attention </w:t>
      </w:r>
      <w:r w:rsidR="004E17D7"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{"citationItems":[{"id":"ITEM-1","itemData":{"DOI":"10.1111/ggi.12487","ISSN":"14470594","PMID":"25907646","abstract":"Aim: To investigate the association between falls and self-reported depressive symptoms or visual impairment among young-old adults. Methods: A total of 1904 participants (986 men and 918 women) aged 64years from the New Integrated Suburban Seniority Investigation Project from 1996 to 2005, an age-specific cohort study in Nisshin, Japan, took part in the present study. Depressive symptoms were evaluated using the Geriatric Depression Scale. Visual impairment was assessed using a self-administered questionnaire. The outcome variable was self-reported injurious falls at the age of 70years. Multivariate odds ratios (OR) and 95% confidence intervals (CI) of depressive symptoms and visual impairment for the incidence of falls were calculated using logistic regression models and adjusted for possible confounding factors. Results: Overall, 77 (7.8%) men and 126 (13.7%) women reported falls within the past 1year at age 70years. Among women, depressive symptoms and visual impairment were significantly associated with falls after adjusting for potential confounders (OR 1.70, 95% CI 1.09-2.62; OR 2.34, 95% CI 1.45-3.71, respectively), but not among men. Women with both conditions had a significantly increased risk of falls after adjusting for potential confounders (OR 3.50, 95% CI 1.65-7.13) compared with those with neither condition; the association was not significant among men. Conclusions: Depressive symptoms and visual impairment at age 64years were significantly associated with an increased risk of falls at age 70years in Japanese women but not in men. The combination of the two symptoms had an even greater association with fall risk.","author":[{"dropping-particle":"","family":"Kojima","given":"Reiji","non-dropping-particle":"","parse-names":false,"suffix":""},{"dropping-particle":"","family":"Ukawa","given":"Shigekazu","non-dropping-particle":"","parse-names":false,"suffix":""},{"dropping-particle":"","family":"Ando","given":"Masahiko","non-dropping-particle":"","parse-names":false,"suffix":""},{"dropping-particle":"","family":"Kawamura","given":"Takashi","non-dropping-particle":"","parse-names":false,"suffix":""},{"dropping-particle":"","family":"Wakai","given":"Kenji","non-dropping-particle":"","parse-names":false,"suffix":""},{"dropping-particle":"","family":"Tsushita","given":"Kazuyo","non-dropping-particle":"","parse-names":false,"suffix":""},{"dropping-particle":"","family":"Tamakoshi","given":"Akiko","non-dropping-particle":"","parse-names":false,"suffix":""}],"container-title":"Geriatr Gerontol Int","id":"ITEM-1","issue":"3","issued":{"date-parts":[["2016"]]},"page":"384-391","title":"Association between falls and depressive symptoms or visual impairment among Japanese young-old adults","type":"article-journal","volume":"16"},"uris":["http://www.mendeley.com/documents/?uuid=4a6d0617-d907-43a6-a233-183dd84f5e86"]}],"mendeley":{"formattedCitation":"(32)","plainTextFormattedCitation":"(32)","previouslyFormattedCitation":"(32)"},"properties":{"noteIndex":0},"schema":"https://github.com/citation-style-language/schema/raw/master/csl-citation.json"}</w:instrText>
      </w:r>
      <w:r w:rsidR="004E17D7"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(32)</w:t>
      </w:r>
      <w:r w:rsidR="004E17D7" w:rsidRPr="005702ED">
        <w:rPr>
          <w:rFonts w:ascii="Arial" w:eastAsia="Calibri" w:hAnsi="Arial" w:cs="Arial"/>
          <w:sz w:val="22"/>
          <w:szCs w:val="22"/>
          <w:lang w:val="en-US"/>
        </w:rPr>
        <w:fldChar w:fldCharType="end"/>
      </w:r>
      <w:r w:rsidR="004E17D7" w:rsidRPr="005702ED">
        <w:rPr>
          <w:rFonts w:ascii="Arial" w:eastAsia="Calibri" w:hAnsi="Arial" w:cs="Arial"/>
          <w:sz w:val="22"/>
          <w:szCs w:val="22"/>
          <w:lang w:val="en-US"/>
        </w:rPr>
        <w:t xml:space="preserve">. </w:t>
      </w:r>
    </w:p>
    <w:p w14:paraId="20B85F33" w14:textId="4EFEA2FE" w:rsidR="00E944A1" w:rsidRPr="005702ED" w:rsidRDefault="009762B7" w:rsidP="000E2C41">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On the other hand,</w:t>
      </w:r>
      <w:r w:rsidR="00970F58" w:rsidRPr="005702ED">
        <w:rPr>
          <w:rFonts w:ascii="Arial" w:eastAsia="Calibri" w:hAnsi="Arial" w:cs="Arial"/>
          <w:sz w:val="22"/>
          <w:szCs w:val="22"/>
          <w:lang w:val="en-US"/>
        </w:rPr>
        <w:t xml:space="preserve"> </w:t>
      </w:r>
      <w:r w:rsidR="00A2118A" w:rsidRPr="005702ED">
        <w:rPr>
          <w:rFonts w:ascii="Arial" w:eastAsia="Calibri" w:hAnsi="Arial" w:cs="Arial"/>
          <w:sz w:val="22"/>
          <w:szCs w:val="22"/>
          <w:lang w:val="en-US"/>
        </w:rPr>
        <w:t>in the first look,</w:t>
      </w:r>
      <w:r w:rsidR="00970F58" w:rsidRPr="005702ED">
        <w:rPr>
          <w:rFonts w:ascii="Arial" w:eastAsia="Calibri" w:hAnsi="Arial" w:cs="Arial"/>
          <w:sz w:val="22"/>
          <w:szCs w:val="22"/>
          <w:lang w:val="en-US"/>
        </w:rPr>
        <w:t xml:space="preserve"> </w:t>
      </w:r>
      <w:r w:rsidRPr="005702ED">
        <w:rPr>
          <w:rFonts w:ascii="Arial" w:eastAsia="Calibri" w:hAnsi="Arial" w:cs="Arial"/>
          <w:sz w:val="22"/>
          <w:szCs w:val="22"/>
          <w:lang w:val="en-US"/>
        </w:rPr>
        <w:t xml:space="preserve">dementia </w:t>
      </w:r>
      <w:r w:rsidR="00970F58" w:rsidRPr="005702ED">
        <w:rPr>
          <w:rFonts w:ascii="Arial" w:eastAsia="Calibri" w:hAnsi="Arial" w:cs="Arial"/>
          <w:sz w:val="22"/>
          <w:szCs w:val="22"/>
          <w:lang w:val="en-US"/>
        </w:rPr>
        <w:t xml:space="preserve">seems like that is not </w:t>
      </w:r>
      <w:r w:rsidRPr="005702ED">
        <w:rPr>
          <w:rFonts w:ascii="Arial" w:eastAsia="Calibri" w:hAnsi="Arial" w:cs="Arial"/>
          <w:sz w:val="22"/>
          <w:szCs w:val="22"/>
          <w:lang w:val="en-US"/>
        </w:rPr>
        <w:t>a risk factor for fall by history of falling and POMA</w:t>
      </w:r>
      <w:r w:rsidR="00970F58" w:rsidRPr="005702ED">
        <w:rPr>
          <w:rFonts w:ascii="Arial" w:eastAsia="Calibri" w:hAnsi="Arial" w:cs="Arial"/>
          <w:sz w:val="22"/>
          <w:szCs w:val="22"/>
          <w:lang w:val="en-US"/>
        </w:rPr>
        <w:t xml:space="preserve"> in the present study.</w:t>
      </w:r>
      <w:r w:rsidR="00A2118A" w:rsidRPr="005702ED">
        <w:rPr>
          <w:rFonts w:ascii="Arial" w:eastAsia="Calibri" w:hAnsi="Arial" w:cs="Arial"/>
          <w:sz w:val="22"/>
          <w:szCs w:val="22"/>
          <w:lang w:val="en-US"/>
        </w:rPr>
        <w:t xml:space="preserve"> Actually</w:t>
      </w:r>
      <w:r w:rsidR="000E2C41" w:rsidRPr="005702ED">
        <w:rPr>
          <w:rFonts w:ascii="Arial" w:eastAsia="Calibri" w:hAnsi="Arial" w:cs="Arial"/>
          <w:sz w:val="22"/>
          <w:szCs w:val="22"/>
          <w:lang w:val="en-US"/>
        </w:rPr>
        <w:t>,</w:t>
      </w:r>
      <w:r w:rsidR="00A2118A" w:rsidRPr="005702ED">
        <w:rPr>
          <w:rFonts w:ascii="Arial" w:eastAsia="Calibri" w:hAnsi="Arial" w:cs="Arial"/>
          <w:sz w:val="22"/>
          <w:szCs w:val="22"/>
          <w:lang w:val="en-US"/>
        </w:rPr>
        <w:t xml:space="preserve"> this is not surprised, due to the fact that most of demented patients in our study group were in CDR 1.  It was well known that slow gait and cognitive impairments are important risk factors for falls</w:t>
      </w:r>
      <w:r w:rsidR="00BB794B" w:rsidRPr="005702ED">
        <w:rPr>
          <w:rFonts w:ascii="Arial" w:eastAsia="Calibri" w:hAnsi="Arial" w:cs="Arial"/>
          <w:sz w:val="22"/>
          <w:szCs w:val="22"/>
          <w:lang w:val="en-US"/>
        </w:rPr>
        <w:t>,</w:t>
      </w:r>
      <w:r w:rsidR="00A2118A" w:rsidRPr="005702ED">
        <w:rPr>
          <w:rFonts w:ascii="Arial" w:eastAsia="Calibri" w:hAnsi="Arial" w:cs="Arial"/>
          <w:sz w:val="22"/>
          <w:szCs w:val="22"/>
          <w:lang w:val="en-US"/>
        </w:rPr>
        <w:t xml:space="preserve"> and walking speed can be affected early stage of cognitive impairment as in Motoric cognitive risk syndrome </w:t>
      </w:r>
      <w:r w:rsidR="00181936"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{"citationItems":[{"id":"ITEM-1","itemData":{"DOI":"10.1037/0894-4105.20.2.215","ISBN":"0894-4105 (Print)\\n0894-4105 (Linking)","ISSN":"08944105","PMID":"16594782","abstract":"The authors examined the relationship between cognition and gait velocity, performed with and without interference, in elderly participants. Neuropsychological test scores from 186 cognitively normal elders were submitted to factor analysis that yielded 3 factors: Verbal IQ, Speed/Executive Attention, and Memory. Regression analyses revealed that these factors were significant predictors of variance in gait velocity, but the relationship varied as a function of task condition. All 3 factors predicted gait velocity without interference. However, the Speed/Executive Attention and Memory factors but not Verbal IQ predicted gait velocity in the interference condition. These findings suggest that gait velocity and cognitive function may have both shared and independent brain substrates. Future studies should explore gait velocity and cognitive function as predictors of dementia and falls.","author":[{"dropping-particle":"","family":"Holtzer","given":"Roee","non-dropping-particle":"","parse-names":false,"suffix":""},{"dropping-particle":"","family":"Verghese","given":"Joe","non-dropping-particle":"","parse-names":false,"suffix":""},{"dropping-particle":"","family":"Xue","given":"Xiaonan","non-dropping-particle":"","parse-names":false,"suffix":""},{"dropping-particle":"","family":"Lipton","given":"Richard B.","non-dropping-particle":"","parse-names":false,"suffix":""}],"container-title":"Neuropsychology","id":"ITEM-1","issue":"2","issued":{"date-parts":[["2006"]]},"page":"215-223","title":"Cognitive processes related to gait velocity: Results from the Einstein aging study","type":"article-journal","volume":"20"},"uris":["http://www.mendeley.com/documents/?uuid=be810203-271d-4d9e-b9d0-042dbf747284"]},{"id":"ITEM-2","itemData":{"DOI":"10.3233/JAD-160230","ISBN":"1532-5415","ISSN":"18758908","PMID":"27340851","abstract":"BACKGROUND The Motoric Cognitive Risk Syndrome (MCR) is characterized by slow gait speed and cognitive complaints. OBJECTIVES The objective of this study was to determine if the presence of MCR increases the risk of falls in older people. METHODS Individual participant data (n = 6,204) from five longitudinal studies from three countries were used for this analysis. MCR diagnosis was defined as both the presence of objectively measured slow gait speed and subjective cognitive complaints in those without dementia or mobility disability. Falls were prospectively ascertained using phone calls or questionnaires. Log binomial regression was performed to determine if MCR increased the risk of falls separately in each cohort. Random effects meta-analysis was used to pool results from all cohorts. RESULTS The mean age of participants was 74.9 (SD 6.8) years and 44% (n = 2728) were male. Overall 33.9% (n = 2104) reported a fall over follow-up. Pooled relative risk of MCR with any falls was RR 1.44 95% CI 1.16, 1.79. The components of MCR, slow gait (RR 1.30 95% CI 1.14, 1.47) and cognitive complaint (RR 1.25, 95% CI 1.07, 1.46) were also associated with an increased risk of any falls. In sub-analyses MCR was associated with any fall independent of previous falls (RR 1.29 95% CI 1.09, 1.53) and with multiple falls (RR 1.77, 95% CI 1.25, 2.51). CONCLUSION MCR is associated with an increased risk of falls. The increase in risk was higher than for its individual components. The simplicity of the MCR makes it an attractive falls risk screening tool for the clinic.","author":[{"dropping-particle":"","family":"Callisaya","given":"Michele L.","non-dropping-particle":"","parse-names":false,"suffix":""},{"dropping-particle":"","family":"Ayers","given":"Emmeline","non-dropping-particle":"","parse-names":false,"suffix":""},{"dropping-particle":"","family":"Barzilai","given":"Nir","non-dropping-particle":"","parse-names":false,"suffix":""},{"dropping-particle":"","family":"Ferrucci","given":"Luigi","non-dropping-particle":"","parse-names":false,"suffix":""},{"dropping-particle":"","family":"Guralnik","given":"Jack M.","non-dropping-particle":"","parse-names":false,"suffix":""},{"dropping-particle":"","family":"Lipton","given":"Richard B.","non-dropping-particle":"","parse-names":false,"suffix":""},{"dropping-particle":"","family":"Otahal","given":"Petr","non-dropping-particle":"","parse-names":false,"suffix":""},{"dropping-particle":"","family":"Srikanth","given":"Velandai K.","non-dropping-particle":"","parse-names":false,"suffix":""},{"dropping-particle":"","family":"Verghese","given":"Joe","non-dropping-particle":"","parse-names":false,"suffix":""}],"container-title":"J Alzheimers Dis","id":"ITEM-2","issue":"3","issued":{"date-parts":[["2016"]]},"page":"1043-1052","title":"Motoric Cognitive Risk Syndrome and Falls Risk: A Multi-Center Study","type":"article-journal","volume":"53"},"uris":["http://www.mendeley.com/documents/?uuid=ba5856ff-fe05-48b0-8322-33b526eeba34"]}],"mendeley":{"formattedCitation":"(34,35)","plainTextFormattedCitation":"(34,35)","previouslyFormattedCitation":"(34,35)"},"properties":{"noteIndex":0},"schema":"https://github.com/citation-style-language/schema/raw/master/csl-citation.json"}</w:instrText>
      </w:r>
      <w:r w:rsidR="00181936"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(34,35)</w:t>
      </w:r>
      <w:r w:rsidR="00181936" w:rsidRPr="005702ED">
        <w:rPr>
          <w:rFonts w:ascii="Arial" w:eastAsia="Calibri" w:hAnsi="Arial" w:cs="Arial"/>
          <w:sz w:val="22"/>
          <w:szCs w:val="22"/>
          <w:lang w:val="en-US"/>
        </w:rPr>
        <w:fldChar w:fldCharType="end"/>
      </w:r>
      <w:r w:rsidR="00A2118A" w:rsidRPr="005702ED">
        <w:rPr>
          <w:rFonts w:ascii="Arial" w:eastAsia="Calibri" w:hAnsi="Arial" w:cs="Arial"/>
          <w:sz w:val="22"/>
          <w:szCs w:val="22"/>
          <w:lang w:val="en-US"/>
        </w:rPr>
        <w:t xml:space="preserve">. </w:t>
      </w:r>
      <w:r w:rsidR="00181936" w:rsidRPr="005702ED">
        <w:rPr>
          <w:rFonts w:ascii="Arial" w:eastAsia="Calibri" w:hAnsi="Arial" w:cs="Arial"/>
          <w:sz w:val="22"/>
          <w:szCs w:val="22"/>
          <w:lang w:val="en-US"/>
        </w:rPr>
        <w:t>T</w:t>
      </w:r>
      <w:r w:rsidR="00A2118A" w:rsidRPr="005702ED">
        <w:rPr>
          <w:rFonts w:ascii="Arial" w:eastAsia="Calibri" w:hAnsi="Arial" w:cs="Arial"/>
          <w:sz w:val="22"/>
          <w:szCs w:val="22"/>
          <w:lang w:val="en-US"/>
        </w:rPr>
        <w:t>herefore</w:t>
      </w:r>
      <w:r w:rsidR="00BB794B" w:rsidRPr="005702ED">
        <w:rPr>
          <w:rFonts w:ascii="Arial" w:eastAsia="Calibri" w:hAnsi="Arial" w:cs="Arial"/>
          <w:sz w:val="22"/>
          <w:szCs w:val="22"/>
          <w:lang w:val="en-US"/>
        </w:rPr>
        <w:t>,</w:t>
      </w:r>
      <w:r w:rsidR="00A2118A" w:rsidRPr="005702ED">
        <w:rPr>
          <w:rFonts w:ascii="Arial" w:eastAsia="Calibri" w:hAnsi="Arial" w:cs="Arial"/>
          <w:sz w:val="22"/>
          <w:szCs w:val="22"/>
          <w:lang w:val="en-US"/>
        </w:rPr>
        <w:t xml:space="preserve"> dementia cannot be demonstrated as a risk factor for fall by history of falling and POMA in contrast to TUG and walking speed</w:t>
      </w:r>
      <w:r w:rsidR="00BB794B" w:rsidRPr="005702ED">
        <w:rPr>
          <w:rFonts w:ascii="Arial" w:eastAsia="Calibri" w:hAnsi="Arial" w:cs="Arial"/>
          <w:sz w:val="22"/>
          <w:szCs w:val="22"/>
          <w:lang w:val="en-US"/>
        </w:rPr>
        <w:t xml:space="preserve"> in here.</w:t>
      </w:r>
    </w:p>
    <w:p w14:paraId="735FA341" w14:textId="00A3EDE6" w:rsidR="0060388A" w:rsidRPr="005702ED" w:rsidRDefault="00DC51CC" w:rsidP="000E2C41">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 xml:space="preserve">With advancing age, as a result of changes in body composition and </w:t>
      </w:r>
      <w:r w:rsidR="00160480" w:rsidRPr="005702ED">
        <w:rPr>
          <w:rFonts w:ascii="Arial" w:eastAsia="Calibri" w:hAnsi="Arial" w:cs="Arial"/>
          <w:sz w:val="22"/>
          <w:szCs w:val="22"/>
          <w:lang w:val="en-US"/>
        </w:rPr>
        <w:t xml:space="preserve">musculoskeletal system, </w:t>
      </w:r>
      <w:proofErr w:type="spellStart"/>
      <w:r w:rsidR="00160480" w:rsidRPr="005702ED">
        <w:rPr>
          <w:rFonts w:ascii="Arial" w:eastAsia="Calibri" w:hAnsi="Arial" w:cs="Arial"/>
          <w:sz w:val="22"/>
          <w:szCs w:val="22"/>
          <w:lang w:val="en-US"/>
        </w:rPr>
        <w:t>dynapenia</w:t>
      </w:r>
      <w:proofErr w:type="spellEnd"/>
      <w:r w:rsidRPr="005702ED">
        <w:rPr>
          <w:rFonts w:ascii="Arial" w:eastAsia="Calibri" w:hAnsi="Arial" w:cs="Arial"/>
          <w:sz w:val="22"/>
          <w:szCs w:val="22"/>
          <w:lang w:val="en-US"/>
        </w:rPr>
        <w:t xml:space="preserve"> and sarcopenia are also common</w:t>
      </w:r>
      <w:r w:rsidR="007B4D73" w:rsidRPr="005702ED">
        <w:rPr>
          <w:rFonts w:ascii="Arial" w:eastAsia="Calibri" w:hAnsi="Arial" w:cs="Arial"/>
          <w:sz w:val="22"/>
          <w:szCs w:val="22"/>
          <w:lang w:val="en-US"/>
        </w:rPr>
        <w:t xml:space="preserve"> </w:t>
      </w:r>
      <w:r w:rsidR="004E6FAE"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{"citationItems":[{"id":"ITEM-1","itemData":{"DOI":"10.1016/j.exger.2017.05.017","ISBN":"1442-2042 (Electronic)\\r0919-8172 (Linking)","ISSN":"18736815","PMID":"28549839","abstract":"Sarcopenia and dynapenia are related to repeated falls, mobility restriction, depression, frailty, increased mortality and morbidity. The aim of this study is to evaluate the relationship between vitamin B12 deficiency and sarcopenia in older adults. 403 patients, who attended to outpatient clinic and underwent comprehensive geriatric assessment, were included study. All cases’ skeletal muscle mass (SMM), walking speed and hand grip strength were recorded by bioimpedance, 4 meter walking test and hand dynamometer respectively. The diagnosis of sarcopenia was defined according to the criteria of the European Working Group on Sarcopenia in Older People. Sarcopenia was accepted low SMM with low handgrip strength or low physical performance. Dynapenia was defined as handgrip strength &lt; 30 kg (men) and &lt; 20 kg (women). The prevalence of sarcopenia and dynapenia was 24.8% and 32.0%, respectively. In the patients with sarcopenia, mean age, osteoporosis and frailty were higher, and MMSE, and instrumental ADL scores were lower than the patients without sarcopenia (p &lt; 0.05). The frequency of sarcopenia and dynapenia were 31.6% and 35.4%, respectively, in patients with vitamin B12 levels &lt; 400 pg/mL. In addition lean body mass, total skeletal mass and skeletal muscle mass index were lower in the patients with vitamin B12 levels &lt; 400 pg/mL compared to higher than 400 pg/mL (p &lt; 0.05). Sarcopenia, which results in lots of negative clinical outcomes in older adults, might be related to vitamin B12 deficiency. Therefore, these patients should be periodically examined for vitamin B12 deficiency due to the potential negative clinical outcomes such as sarcopenia in older adults.","author":[{"dropping-particle":"","family":"Bulut Ates","given":"Esra","non-dropping-particle":"","parse-names":false,"suffix":""},{"dropping-particle":"","family":"Soysal","given":"Pinar","non-dropping-particle":"","parse-names":false,"suffix":""},{"dropping-particle":"","family":"Aydin","given":"Ali Ekrem","non-dropping-particle":"","parse-names":false,"suffix":""},{"dropping-particle":"","family":"Dokuzlar","given":"Ozge","non-dropping-particle":"","parse-names":false,"suffix":""},{"dropping-particle":"","family":"Kocyigit","given":"Suleyman Emre","non-dropping-particle":"","parse-names":false,"suffix":""},{"dropping-particle":"","family":"Isik","given":"Ahmet Turan","non-dropping-particle":"","parse-names":false,"suffix":""}],"container-title":"Exp Gerontol","id":"ITEM-1","issued":{"date-parts":[["2017"]]},"page":"136-140","title":"Vitamin B12 deficiency might be related to sarcopenia in older adults","type":"article-journal","volume":"95"},"uris":["http://www.mendeley.com/documents/?uuid=3b49e670-0885-4d3f-8519-ae93034534fe"]}],"mendeley":{"formattedCitation":"(22)","plainTextFormattedCitation":"(22)","previouslyFormattedCitation":"(22)"},"properties":{"noteIndex":0},"schema":"https://github.com/citation-style-language/schema/raw/master/csl-citation.json"}</w:instrText>
      </w:r>
      <w:r w:rsidR="004E6FAE"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(22)</w:t>
      </w:r>
      <w:r w:rsidR="004E6FAE" w:rsidRPr="005702ED">
        <w:rPr>
          <w:rFonts w:ascii="Arial" w:eastAsia="Calibri" w:hAnsi="Arial" w:cs="Arial"/>
          <w:sz w:val="22"/>
          <w:szCs w:val="22"/>
          <w:lang w:val="en-US"/>
        </w:rPr>
        <w:fldChar w:fldCharType="end"/>
      </w:r>
      <w:r w:rsidR="007B4D73" w:rsidRPr="005702ED">
        <w:rPr>
          <w:rFonts w:ascii="Arial" w:eastAsia="Calibri" w:hAnsi="Arial" w:cs="Arial"/>
          <w:sz w:val="22"/>
          <w:szCs w:val="22"/>
          <w:lang w:val="en-US"/>
        </w:rPr>
        <w:t>.</w:t>
      </w:r>
      <w:r w:rsidRPr="005702ED">
        <w:rPr>
          <w:rFonts w:ascii="Arial" w:eastAsia="Calibri" w:hAnsi="Arial" w:cs="Arial"/>
          <w:sz w:val="22"/>
          <w:szCs w:val="22"/>
          <w:lang w:val="en-US"/>
        </w:rPr>
        <w:t xml:space="preserve"> In our study, </w:t>
      </w:r>
      <w:r w:rsidR="00797CAA" w:rsidRPr="005702ED">
        <w:rPr>
          <w:rFonts w:ascii="Arial" w:eastAsia="Calibri" w:hAnsi="Arial" w:cs="Arial"/>
          <w:sz w:val="22"/>
          <w:szCs w:val="22"/>
          <w:lang w:val="en-US"/>
        </w:rPr>
        <w:t>it was shown that one of the most common risk factors</w:t>
      </w:r>
      <w:r w:rsidRPr="005702ED">
        <w:rPr>
          <w:rFonts w:ascii="Arial" w:eastAsia="Calibri" w:hAnsi="Arial" w:cs="Arial"/>
          <w:sz w:val="22"/>
          <w:szCs w:val="22"/>
          <w:lang w:val="en-US"/>
        </w:rPr>
        <w:t xml:space="preserve"> that increases falling </w:t>
      </w:r>
      <w:r w:rsidR="00797CAA" w:rsidRPr="005702ED">
        <w:rPr>
          <w:rFonts w:ascii="Arial" w:eastAsia="Calibri" w:hAnsi="Arial" w:cs="Arial"/>
          <w:sz w:val="22"/>
          <w:szCs w:val="22"/>
          <w:lang w:val="en-US"/>
        </w:rPr>
        <w:t>was</w:t>
      </w:r>
      <w:r w:rsidRPr="005702ED">
        <w:rPr>
          <w:rFonts w:ascii="Arial" w:eastAsia="Calibri" w:hAnsi="Arial" w:cs="Arial"/>
          <w:sz w:val="22"/>
          <w:szCs w:val="22"/>
          <w:lang w:val="en-US"/>
        </w:rPr>
        <w:t xml:space="preserve"> </w:t>
      </w:r>
      <w:proofErr w:type="spellStart"/>
      <w:r w:rsidRPr="005702ED">
        <w:rPr>
          <w:rFonts w:ascii="Arial" w:eastAsia="Calibri" w:hAnsi="Arial" w:cs="Arial"/>
          <w:sz w:val="22"/>
          <w:szCs w:val="22"/>
          <w:lang w:val="en-US"/>
        </w:rPr>
        <w:t>dynapenia</w:t>
      </w:r>
      <w:proofErr w:type="spellEnd"/>
      <w:r w:rsidRPr="005702ED">
        <w:rPr>
          <w:rFonts w:ascii="Arial" w:eastAsia="Calibri" w:hAnsi="Arial" w:cs="Arial"/>
          <w:sz w:val="22"/>
          <w:szCs w:val="22"/>
          <w:lang w:val="en-US"/>
        </w:rPr>
        <w:t xml:space="preserve">. </w:t>
      </w:r>
      <w:r w:rsidR="00797CAA" w:rsidRPr="005702ED">
        <w:rPr>
          <w:rFonts w:ascii="Arial" w:eastAsia="Calibri" w:hAnsi="Arial" w:cs="Arial"/>
          <w:sz w:val="22"/>
          <w:szCs w:val="22"/>
          <w:lang w:val="en-US"/>
        </w:rPr>
        <w:t xml:space="preserve">However, there was no significant relationship between </w:t>
      </w:r>
      <w:r w:rsidRPr="005702ED">
        <w:rPr>
          <w:rFonts w:ascii="Arial" w:eastAsia="Calibri" w:hAnsi="Arial" w:cs="Arial"/>
          <w:sz w:val="22"/>
          <w:szCs w:val="22"/>
          <w:lang w:val="en-US"/>
        </w:rPr>
        <w:t xml:space="preserve">sarcopenia </w:t>
      </w:r>
      <w:r w:rsidR="00797CAA" w:rsidRPr="005702ED">
        <w:rPr>
          <w:rFonts w:ascii="Arial" w:eastAsia="Calibri" w:hAnsi="Arial" w:cs="Arial"/>
          <w:sz w:val="22"/>
          <w:szCs w:val="22"/>
          <w:lang w:val="en-US"/>
        </w:rPr>
        <w:t xml:space="preserve">and fall risk </w:t>
      </w:r>
      <w:r w:rsidRPr="005702ED">
        <w:rPr>
          <w:rFonts w:ascii="Arial" w:eastAsia="Calibri" w:hAnsi="Arial" w:cs="Arial"/>
          <w:sz w:val="22"/>
          <w:szCs w:val="22"/>
          <w:lang w:val="en-US"/>
        </w:rPr>
        <w:t xml:space="preserve">according to any </w:t>
      </w:r>
      <w:r w:rsidR="00293B83" w:rsidRPr="005702ED">
        <w:rPr>
          <w:rFonts w:ascii="Arial" w:eastAsia="Calibri" w:hAnsi="Arial" w:cs="Arial"/>
          <w:sz w:val="22"/>
          <w:szCs w:val="22"/>
          <w:lang w:val="en-US"/>
        </w:rPr>
        <w:t>clinical methods</w:t>
      </w:r>
      <w:r w:rsidR="00C72402" w:rsidRPr="005702ED">
        <w:rPr>
          <w:rFonts w:ascii="Arial" w:eastAsia="Calibri" w:hAnsi="Arial" w:cs="Arial"/>
          <w:sz w:val="22"/>
          <w:szCs w:val="22"/>
          <w:lang w:val="en-US"/>
        </w:rPr>
        <w:t xml:space="preserve">. Although </w:t>
      </w:r>
      <w:r w:rsidRPr="005702ED">
        <w:rPr>
          <w:rFonts w:ascii="Arial" w:eastAsia="Calibri" w:hAnsi="Arial" w:cs="Arial"/>
          <w:sz w:val="22"/>
          <w:szCs w:val="22"/>
          <w:lang w:val="en-US"/>
        </w:rPr>
        <w:t xml:space="preserve">some studies suggest that </w:t>
      </w:r>
      <w:r w:rsidR="00C72402" w:rsidRPr="005702ED">
        <w:rPr>
          <w:rFonts w:ascii="Arial" w:eastAsia="Calibri" w:hAnsi="Arial" w:cs="Arial"/>
          <w:sz w:val="22"/>
          <w:szCs w:val="22"/>
          <w:lang w:val="en-US"/>
        </w:rPr>
        <w:t xml:space="preserve">both </w:t>
      </w:r>
      <w:r w:rsidRPr="005702ED">
        <w:rPr>
          <w:rFonts w:ascii="Arial" w:eastAsia="Calibri" w:hAnsi="Arial" w:cs="Arial"/>
          <w:sz w:val="22"/>
          <w:szCs w:val="22"/>
          <w:lang w:val="en-US"/>
        </w:rPr>
        <w:t xml:space="preserve">sarcopenia and </w:t>
      </w:r>
      <w:proofErr w:type="spellStart"/>
      <w:r w:rsidRPr="005702ED">
        <w:rPr>
          <w:rFonts w:ascii="Arial" w:eastAsia="Calibri" w:hAnsi="Arial" w:cs="Arial"/>
          <w:sz w:val="22"/>
          <w:szCs w:val="22"/>
          <w:lang w:val="en-US"/>
        </w:rPr>
        <w:t>dynapenia</w:t>
      </w:r>
      <w:proofErr w:type="spellEnd"/>
      <w:r w:rsidRPr="005702ED">
        <w:rPr>
          <w:rFonts w:ascii="Arial" w:eastAsia="Calibri" w:hAnsi="Arial" w:cs="Arial"/>
          <w:sz w:val="22"/>
          <w:szCs w:val="22"/>
          <w:lang w:val="en-US"/>
        </w:rPr>
        <w:t xml:space="preserve"> increase the risk of falling </w:t>
      </w:r>
      <w:r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{"citationItems":[{"id":"ITEM-1","itemData":{"DOI":"10.1016/j.clnu.2012.02.007","ISBN":"0261-5614\\n1532-1983","ISSN":"02615614","PMID":"22414775","abstract":"Background &amp; aims: Sarcopenia has been indicated as a reliable marker of frailty and poor prognosis among the oldest individuals. We evaluated the relationship between sarcopenia and 2-year risk of falls in a population of persons aged 80 years or older. Methods: Data are from the baseline and follow-up evaluations of the Aging and Longevity Study in the Sirente Geographic Area (ilSIRENTE Study) (n= 260). According to the European Working Group on Sarcopenia in Older People (EWGSOP), sarcopenia was diagnosed in presence of low muscle mass (mid-arm muscle circumference) plus either low muscle strength (hand grip) or low physical performance (4-m walking speed). The primary outcome measure was the incident falls during the follow-up period of 2 years. The relationship between sarcopenia and incident falls was estimated by deriving hazard ratios (HRs) from multiple logistic regression models considering the dependent variable of interest at least one fall during the follow-up period. Results: Sixty-six participants (25.4%) were identified as affected by sarcopenia. Eighteen out of 66 (27.3%) participants with sarcopenia and 19 out of 194 (9.8%) without sarcopenia reported incident falls during the two-year follow-up of the study (p&lt; 0.001). After adjusting for age, gender, cognitive impairment, ADL impairment, sensory impairments, BMI, depression, physical activity, cholesterol, stroke, diabetes, number of medications, and C-reactive protein, participants with sarcopenia had a higher risk of incident falls compared with non sarcopenic subjects (adjusted hazard ratio [HR], 3.23; 95% confidence interval [CI], 1.25-8.29). Conclusions: The present study suggests that sarcopenia - assessed using the EWGSOP algorithm - is highly prevalent among elderly persons without gender differences (25%). Sarcopenic participants were over three times more likely to fall during a follow-up period of 2 years relative to non sarcopenic individuals, regardless of age, gender and other confounding factors. © 2012 Elsevier Ltd and European Society for Clinical Nutrition and Metabolism.","author":[{"dropping-particle":"","family":"Landi","given":"Francesco","non-dropping-particle":"","parse-names":false,"suffix":""},{"dropping-particle":"","family":"Liperoti","given":"Rosa","non-dropping-particle":"","parse-names":false,"suffix":""},{"dropping-particle":"","family":"Russo","given":"Andrea","non-dropping-particle":"","parse-names":false,"suffix":""},{"dropping-particle":"","family":"Giovannini","given":"Silvia","non-dropping-particle":"","parse-names":false,"suffix":""},{"dropping-particle":"","family":"Tosato","given":"Matteo","non-dropping-particle":"","parse-names":false,"suffix":""},{"dropping-particle":"","family":"Capoluongo","given":"Ettore","non-dropping-particle":"","parse-names":false,"suffix":""},{"dropping-particle":"","family":"Bernabei","given":"Roberto","non-dropping-particle":"","parse-names":false,"suffix":""},{"dropping-particle":"","family":"Onder","given":"Graziano","non-dropping-particle":"","parse-names":false,"suffix":""}],"container-title":"Clin Nutr","id":"ITEM-1","issue":"5","issued":{"date-parts":[["2012"]]},"page":"652-658","title":"Sarcopenia as a risk factor for falls in elderly individuals: Results from the ilSIRENTE study","type":"article-journal","volume":"31"},"uris":["http://www.mendeley.com/documents/?uuid=fa6421e5-87e1-4849-88dd-6b65403cb3de"]},{"id":"ITEM-2","itemData":{"DOI":"10.1016/j.archger.2014.04.016","ISBN":"0167-4943","ISSN":"18726976","PMID":"24852668","abstract":"This study assessed the association between sarcopenia (using the definition of the European Working Group on Sarcopenia in Older People) and fall in the past year among community-dwelling Japanese elderly. Subjects were 1110 community-dwelling Japanese aged 65 or older. We used bioelectrical impedance analysis (BIA) to measure muscle mass, grip strength to measure muscle strength, and usual walking speed to measure physical performance in a baseline study. \"Sarcopenia\" was characterized by low muscle mass and low muscle strength or low physical performance. \"Presarcopenia\" was characterized only by low muscle mass. Subjects who did not have any of these deficiencies were classified as \"normal.\" We then administered a questionnaire assessing age, sex, household status, chronic illness, lifestyle-related habits, and fall. This study showed the prevalence of fall was 16.9% and 21.3% in men and women, respectively, while that of sarcopenia was 13.4% and 14.9% in men and women, respectively. In men and women, the prevalence of sarcopenia was higher among those who had fallen. A logistic regression analysis using age, body fat, current drinker status, and physical inactivity for men, and age, body fat, smoking, and diabetes for women as covariate variables revealed that sarcopenia was significantly associated with a history of fall. The odds ratio for fall in the sarcopenia group relative to the normal group was 4.42 (95%CI 2.08-9.39) in men and 2.34 (95%CI 1.39-3.94) in women. This study revealed sarcopenia to be associated with falling in elderly Japanese. Sarcopenia prevention interventions may help prevent falls among elderly individuals.","author":[{"dropping-particle":"","family":"Tanimoto","given":"Yoshimi","non-dropping-particle":"","parse-names":false,"suffix":""},{"dropping-particle":"","family":"Watanabe","given":"Misuzu","non-dropping-particle":"","parse-names":false,"suffix":""},{"dropping-particle":"","family":"Sun","given":"Wei","non-dropping-particle":"","parse-names":false,"suffix":""},{"dropping-particle":"","family":"Sugiura","given":"Yumiko","non-dropping-particle":"","parse-names":false,"suffix":""},{"dropping-particle":"","family":"Hayashida","given":"Itsushi","non-dropping-particle":"","parse-names":false,"suffix":""},{"dropping-particle":"","family":"Kusabiraki","given":"Toshiyuki","non-dropping-particle":"","parse-names":false,"suffix":""},{"dropping-particle":"","family":"Tamaki","given":"Junko","non-dropping-particle":"","parse-names":false,"suffix":""}],"container-title":"Arch Gerontol Geriatr","id":"ITEM-2","issue":"2","issued":{"date-parts":[["2014"]]},"page":"295-299","title":"Sarcopenia and falls in community-dwelling elderly subjects in Japan: Defining sarcopenia according to criteria of the European Working Group on Sarcopenia in Older People","type":"article-journal","volume":"59"},"uris":["http://www.mendeley.com/documents/?uuid=2dfe9686-9328-4c21-a792-bb97b3a63c34"]}],"mendeley":{"formattedCitation":"(36,37)","plainTextFormattedCitation":"(36,37)","previouslyFormattedCitation":"(36,37)"},"properties":{"noteIndex":0},"schema":"https://github.com/citation-style-language/schema/raw/master/csl-citation.json"}</w:instrText>
      </w:r>
      <w:r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(36,37)</w:t>
      </w:r>
      <w:r w:rsidRPr="005702ED">
        <w:rPr>
          <w:rFonts w:ascii="Arial" w:eastAsia="Calibri" w:hAnsi="Arial" w:cs="Arial"/>
          <w:sz w:val="22"/>
          <w:szCs w:val="22"/>
          <w:lang w:val="en-US"/>
        </w:rPr>
        <w:fldChar w:fldCharType="end"/>
      </w:r>
      <w:r w:rsidR="00C72402" w:rsidRPr="005702ED">
        <w:rPr>
          <w:rFonts w:ascii="Arial" w:eastAsia="Calibri" w:hAnsi="Arial" w:cs="Arial"/>
          <w:sz w:val="22"/>
          <w:szCs w:val="22"/>
          <w:lang w:val="en-US"/>
        </w:rPr>
        <w:t>, others, similar to ours, show that sarcopenia was</w:t>
      </w:r>
      <w:r w:rsidRPr="005702ED">
        <w:rPr>
          <w:rFonts w:ascii="Arial" w:eastAsia="Calibri" w:hAnsi="Arial" w:cs="Arial"/>
          <w:sz w:val="22"/>
          <w:szCs w:val="22"/>
          <w:lang w:val="en-US"/>
        </w:rPr>
        <w:t xml:space="preserve"> not associated with fal</w:t>
      </w:r>
      <w:r w:rsidR="00C72402" w:rsidRPr="005702ED">
        <w:rPr>
          <w:rFonts w:ascii="Arial" w:eastAsia="Calibri" w:hAnsi="Arial" w:cs="Arial"/>
          <w:sz w:val="22"/>
          <w:szCs w:val="22"/>
          <w:lang w:val="en-US"/>
        </w:rPr>
        <w:t xml:space="preserve">ls, but </w:t>
      </w:r>
      <w:proofErr w:type="spellStart"/>
      <w:r w:rsidR="00C72402" w:rsidRPr="005702ED">
        <w:rPr>
          <w:rFonts w:ascii="Arial" w:eastAsia="Calibri" w:hAnsi="Arial" w:cs="Arial"/>
          <w:sz w:val="22"/>
          <w:szCs w:val="22"/>
          <w:lang w:val="en-US"/>
        </w:rPr>
        <w:t>dynapenia</w:t>
      </w:r>
      <w:proofErr w:type="spellEnd"/>
      <w:r w:rsidR="00C72402" w:rsidRPr="005702ED">
        <w:rPr>
          <w:rFonts w:ascii="Arial" w:eastAsia="Calibri" w:hAnsi="Arial" w:cs="Arial"/>
          <w:sz w:val="22"/>
          <w:szCs w:val="22"/>
          <w:lang w:val="en-US"/>
        </w:rPr>
        <w:t xml:space="preserve"> was </w:t>
      </w:r>
      <w:r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{"citationItems":[{"id":"ITEM-1","itemData":{"DOI":"10.3889/oamjms.2018.087","ISSN":"1857-9655","PMID":"29531601","abstract":"BACKGROUND: The role of sarcopenia and dynapenia in disability in older persons from falls and bone health clinics remain unknown.AIM: This study aims to compare the association of sarcopenia and dynapenia with physical and instrumental disability in a population of older persons attending a falls and fractures clinic.METHODS: This is a cross-sectional study in Manizales, Andes Mountains, Colombia. 534 subjects (mean age = 74, 75% female) Sarcopenia was measured according to the European Working Group on Sarcopenia in Older People (EWGSOP) including an index of skeletal mass, muscle strength, and gait speed. Dynapenia was defined as a handgrip force ≤ 30 kg for men and ≤ 20 kg for women.RESULTS: Dynapenia and sarcopenia were present in 84.6% and 71.2% respectively. Both were more prevalent in older subjects and women than men. While sarcopenia was associated with body mass index and hypertension, dynapenia was associated with hypothyroidism and visual impairment. After controlling for all covariates, sarcopenia was associated with low IADL and mobility disability.CONCLUSIONS: Sarcopenia was associated with mobility, ADL and IADL disability. Dynapenia was not associated with disability in this high - risk population. Systematic assessment of sarcopenia should be implemented in falls and fractures clinics to identify sarcopenia and develop interventions to prevent functional decline among elderly individuals.","author":[{"dropping-particle":"","family":"Benjumea","given":"Angela-María","non-dropping-particle":"","parse-names":false,"suffix":""},{"dropping-particle":"","family":"Curcio","given":"Carmen-Lucía","non-dropping-particle":"","parse-names":false,"suffix":""},{"dropping-particle":"","family":"Duque","given":"Gustavo","non-dropping-particle":"","parse-names":false,"suffix":""},{"dropping-particle":"","family":"Gomez","given":"Fernando","non-dropping-particle":"","parse-names":false,"suffix":""},{"dropping-particle":"","family":"Gomez","given":"Fernando","non-dropping-particle":"","parse-names":false,"suffix":""}],"container-title":"Open Access Maced J Med Sci","id":"ITEM-1","issue":"2","issued":{"date-parts":[["2018"]]},"page":"344-349","title":"Dynapenia and Sarcopenia as a Risk Factor for Disability in a Falls and Fractures Clinic in Older Persons","type":"article-journal","volume":"6"},"uris":["http://www.mendeley.com/documents/?uuid=075e797f-a876-4ea6-9785-77a356338680"]}],"mendeley":{"formattedCitation":"(38)","plainTextFormattedCitation":"(38)","previouslyFormattedCitation":"(38)"},"properties":{"noteIndex":0},"schema":"https://github.com/citation-style-language/schema/raw/master/csl-citation.json"}</w:instrText>
      </w:r>
      <w:r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(38)</w:t>
      </w:r>
      <w:r w:rsidRPr="005702ED">
        <w:rPr>
          <w:rFonts w:ascii="Arial" w:eastAsia="Calibri" w:hAnsi="Arial" w:cs="Arial"/>
          <w:sz w:val="22"/>
          <w:szCs w:val="22"/>
          <w:lang w:val="en-US"/>
        </w:rPr>
        <w:fldChar w:fldCharType="end"/>
      </w:r>
      <w:r w:rsidRPr="005702ED">
        <w:rPr>
          <w:rFonts w:ascii="Arial" w:eastAsia="Calibri" w:hAnsi="Arial" w:cs="Arial"/>
          <w:sz w:val="22"/>
          <w:szCs w:val="22"/>
          <w:lang w:val="en-US"/>
        </w:rPr>
        <w:t xml:space="preserve">. </w:t>
      </w:r>
      <w:r w:rsidR="00A51C33" w:rsidRPr="005702ED">
        <w:rPr>
          <w:rFonts w:ascii="Arial" w:eastAsia="Calibri" w:hAnsi="Arial" w:cs="Arial"/>
          <w:sz w:val="22"/>
          <w:szCs w:val="22"/>
          <w:lang w:val="en-US"/>
        </w:rPr>
        <w:t>This may be because muscle strength is more important than muscle mass in achieving balance</w:t>
      </w:r>
      <w:r w:rsidR="00B069E1" w:rsidRPr="005702ED">
        <w:rPr>
          <w:rFonts w:ascii="Arial" w:eastAsia="Calibri" w:hAnsi="Arial" w:cs="Arial"/>
          <w:color w:val="FF0000"/>
          <w:sz w:val="22"/>
          <w:szCs w:val="22"/>
          <w:lang w:val="en-US"/>
        </w:rPr>
        <w:t xml:space="preserve"> </w:t>
      </w:r>
      <w:r w:rsidR="000F39AC" w:rsidRPr="005702ED">
        <w:rPr>
          <w:rFonts w:ascii="Arial" w:eastAsia="Calibri" w:hAnsi="Arial" w:cs="Arial"/>
          <w:color w:val="000000" w:themeColor="text1"/>
          <w:sz w:val="22"/>
          <w:szCs w:val="22"/>
          <w:lang w:val="en-US"/>
        </w:rPr>
        <w:fldChar w:fldCharType="begin" w:fldLock="1"/>
      </w:r>
      <w:r w:rsidR="009B17BA" w:rsidRPr="005702ED">
        <w:rPr>
          <w:rFonts w:ascii="Arial" w:eastAsia="Calibri" w:hAnsi="Arial" w:cs="Arial"/>
          <w:color w:val="000000" w:themeColor="text1"/>
          <w:sz w:val="22"/>
          <w:szCs w:val="22"/>
          <w:lang w:val="en-US"/>
        </w:rPr>
        <w:instrText>ADDIN CSL_CITATION {"citationItems":[{"id":"ITEM-1","itemData":{"DOI":"10.1016/j.jamda.2013.02.001","ISBN":"1538-9375 (Electronic)\\r1525-8610 (Linking)","ISSN":"15258610","PMID":"23540951","abstract":"Objectives: Assessment of the association of muscle characteristics with standing balance is of special interest, as muscles are a target for potential intervention (ie, by strength training). Design: Cross-sectional study. Setting: Geriatric outpatient clinic. Participants: The study included 197 community-dwelling elderly outpatients (78 men, 119 women; mean age 82 years). Measurements: Muscle characteristics included handgrip and knee extension strength, appendicular lean mass divided by height squared (ALM/height2), and lean mass as percentage of body mass. Two aspects of standing balance were assessed: the ability to maintain balance, and the quality of balance measured by Center of Pressure (CoP) movement during 10 seconds of side-by-side, semitandem, and tandem stance, with both eyes open and eyes closed. Logistic and linear regression models were adjusted for age, and additionally for height, body mass, cognitive function, and multimorbidity. Results: Handgrip and knee extension strength, adjusted for age, were positively related to the ability to maintain balance with eyes open in side-by-side (P= .011; P= .043), semitandem (P= .005; P= .021), and tandem stance (P= .012; P= .014), and with eyes closed in side-by-side (P= .004; P= .004) and semitandem stance (not significant; P= .046). Additional adjustments affected the results only slightly. ALM/height2and lean mass percentage were not associated with the ability to maintain standing balance, except for an association between ALM/height2and tandem stance with eyes open (P= .033) that disappeared after additional adjustments. Muscle characteristics were not associated with CoP movement. Conclusion: Muscle strength rather than muscle mass was positively associated with the ability to maintain standing balance in elderly outpatients. Assessment of CoP movement was not of additional value. © 2013 American Medical Directors Association, Inc.","author":[{"dropping-particle":"","family":"Bijlsma","given":"Astrid Y.","non-dropping-particle":"","parse-names":false,"suffix":""},{"dropping-particle":"","family":"Pasma","given":"Jantsje H.","non-dropping-particle":"","parse-names":false,"suffix":""},{"dropping-particle":"","family":"Lambers","given":"Dorine","non-dropping-particle":"","parse-names":false,"suffix":""},{"dropping-particle":"","family":"Stijntjes","given":"Marjon","non-dropping-particle":"","parse-names":false,"suffix":""},{"dropping-particle":"","family":"Blauw","given":"Gerard Jan","non-dropping-particle":"","parse-names":false,"suffix":""},{"dropping-particle":"","family":"Meskers","given":"Carel G.M.","non-dropping-particle":"","parse-names":false,"suffix":""},{"dropping-particle":"","family":"Maier","given":"Andrea B.","non-dropping-particle":"","parse-names":false,"suffix":""}],"container-title":"J Am Med Dir Assoc","id":"ITEM-1","issue":"7","issued":{"date-parts":[["2013"]]},"page":"493-8","title":"Muscle Strength Rather Than Muscle Mass Is Associated With Standing Balance in Elderly Outpatients","type":"article-journal","volume":"14"},"uris":["http://www.mendeley.com/documents/?uuid=2ef7bb17-01d7-4ac6-8507-9e62e3e0f61c"]}],"mendeley":{"formattedCitation":"(39)","plainTextFormattedCitation":"(39)","previouslyFormattedCitation":"(39)"},"properties":{"noteIndex":0},"schema":"https://github.com/citation-style-language/schema/raw/master/csl-citation.json"}</w:instrText>
      </w:r>
      <w:r w:rsidR="000F39AC" w:rsidRPr="005702ED">
        <w:rPr>
          <w:rFonts w:ascii="Arial" w:eastAsia="Calibri" w:hAnsi="Arial" w:cs="Arial"/>
          <w:color w:val="000000" w:themeColor="text1"/>
          <w:sz w:val="22"/>
          <w:szCs w:val="22"/>
          <w:lang w:val="en-US"/>
        </w:rPr>
        <w:fldChar w:fldCharType="separate"/>
      </w:r>
      <w:r w:rsidR="00F40FF8" w:rsidRPr="005702ED">
        <w:rPr>
          <w:rFonts w:ascii="Arial" w:eastAsia="Calibri" w:hAnsi="Arial" w:cs="Arial"/>
          <w:noProof/>
          <w:color w:val="000000" w:themeColor="text1"/>
          <w:sz w:val="22"/>
          <w:szCs w:val="22"/>
          <w:lang w:val="en-US"/>
        </w:rPr>
        <w:t>(39)</w:t>
      </w:r>
      <w:r w:rsidR="000F39AC" w:rsidRPr="005702ED">
        <w:rPr>
          <w:rFonts w:ascii="Arial" w:eastAsia="Calibri" w:hAnsi="Arial" w:cs="Arial"/>
          <w:color w:val="000000" w:themeColor="text1"/>
          <w:sz w:val="22"/>
          <w:szCs w:val="22"/>
          <w:lang w:val="en-US"/>
        </w:rPr>
        <w:fldChar w:fldCharType="end"/>
      </w:r>
      <w:r w:rsidR="00A51C33" w:rsidRPr="005702ED">
        <w:rPr>
          <w:rFonts w:ascii="Arial" w:eastAsia="Calibri" w:hAnsi="Arial" w:cs="Arial"/>
          <w:color w:val="000000" w:themeColor="text1"/>
          <w:sz w:val="22"/>
          <w:szCs w:val="22"/>
          <w:lang w:val="en-US"/>
        </w:rPr>
        <w:t xml:space="preserve">. </w:t>
      </w:r>
      <w:r w:rsidR="00A51C33" w:rsidRPr="005702ED">
        <w:rPr>
          <w:rFonts w:ascii="Arial" w:eastAsia="Calibri" w:hAnsi="Arial" w:cs="Arial"/>
          <w:sz w:val="22"/>
          <w:szCs w:val="22"/>
          <w:lang w:val="en-US"/>
        </w:rPr>
        <w:t>In assessing the risk of falling, simply measuring muscle strength is more effective than muscle mass measurement methods.</w:t>
      </w:r>
      <w:r w:rsidR="002F31A3" w:rsidRPr="005702ED">
        <w:rPr>
          <w:rFonts w:ascii="Arial" w:eastAsia="Calibri" w:hAnsi="Arial" w:cs="Arial"/>
          <w:sz w:val="22"/>
          <w:szCs w:val="22"/>
          <w:lang w:val="en-US"/>
        </w:rPr>
        <w:t xml:space="preserve"> The frailty that is closely related to sarcopenia and </w:t>
      </w:r>
      <w:proofErr w:type="spellStart"/>
      <w:r w:rsidR="002F31A3" w:rsidRPr="005702ED">
        <w:rPr>
          <w:rFonts w:ascii="Arial" w:eastAsia="Calibri" w:hAnsi="Arial" w:cs="Arial"/>
          <w:sz w:val="22"/>
          <w:szCs w:val="22"/>
          <w:lang w:val="en-US"/>
        </w:rPr>
        <w:t>dynapenia</w:t>
      </w:r>
      <w:proofErr w:type="spellEnd"/>
      <w:r w:rsidR="002F31A3" w:rsidRPr="005702ED">
        <w:rPr>
          <w:rFonts w:ascii="Arial" w:eastAsia="Calibri" w:hAnsi="Arial" w:cs="Arial"/>
          <w:sz w:val="22"/>
          <w:szCs w:val="22"/>
          <w:lang w:val="en-US"/>
        </w:rPr>
        <w:t xml:space="preserve"> is another risk factor for falls</w:t>
      </w:r>
      <w:r w:rsidR="00A26CD9" w:rsidRPr="005702ED">
        <w:rPr>
          <w:rFonts w:ascii="Arial" w:eastAsia="Calibri" w:hAnsi="Arial" w:cs="Arial"/>
          <w:sz w:val="22"/>
          <w:szCs w:val="22"/>
          <w:lang w:val="en-US"/>
        </w:rPr>
        <w:t xml:space="preserve"> </w:t>
      </w:r>
      <w:r w:rsidR="004E6FAE"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{"citationItems":[{"id":"ITEM-1","itemData":{"DOI":"10.1016/j.jamda.2018.07.001","ISSN":"15389375","abstract":"Objectives: The aim of this study is to demonstrate the ability of the basal metabolic rate (BMR) to detect frailty and sarcopenia in older males. Setting and Participants: A total of 305 male patients undergoing comprehensive geriatric assessment were included in the study. Measures: The frailty status was assessed with the Fried criteria. Sarcopenia was diagnosed according to the European Working Group on Sarcopenia in Older People criteria. BMR is calculated by bioimpedance analysis. Areas under the curves (AUCs) of receiver operating characteristic analyses were used to test the predictive accuracy of BMR in detecting sarcopenia. Results: The mean age was 74.52 ± 7.51 years. Among the patients in the sample, 95 (31.1%) had sarcopenia and 55 (18%) had frailty. Patients who had a BMR &lt;1612 kcal/d had a higher frequency of frailty than those who had a BMR ≥1612 kcal/d (67.3 vs 32.7, P &lt; .001). Results were similar for sarcopenia (77.9 vs 22.1, P &lt; .001). When BMR was divided by body surface area (BSA), BMR/BSA with a cut-off of 874 kcal/m2had a sensitivity of 80% and a specificity of 68%, and the AUC was 0.82 for BMR/BSA, in diagnosing sarcopenia (P &lt; .01). The participants without sarcopenia had a higher BMR/BSA for the unadjusted (OR = 8.00, 95% CI 4.52-14.19, P &lt; .001) and adjusted analyses (OR = 6.60, 95% CI 3.52-12.38, P &lt; .001). Conclusions: Older male patients with sarcopenia and frailty have a higher BMR reduction. Therefore, it should be kept in mind that patients with low BMR should alert us to screen sarcopenia and frailty. BMR/BSA may play a role in objective screening to detect sarcopenia in older males.","author":[{"dropping-particle":"","family":"Soysal","given":"Pinar","non-dropping-particle":"","parse-names":false,"suffix":""},{"dropping-particle":"","family":"Ates Bulut","given":"Esra","non-dropping-particle":"","parse-names":false,"suffix":""},{"dropping-particle":"","family":"Yavuz","given":"Idil","non-dropping-particle":"","parse-names":false,"suffix":""},{"dropping-particle":"","family":"Isik","given":"Ahmet Turan","non-dropping-particle":"","parse-names":false,"suffix":""}],"container-title":"J Am Med Dir Assoc","id":"ITEM-1","issued":{"date-parts":[["2018"]]},"page":"S1525-8610(18)30362-1","title":"Decreased Basal Metabolic Rate Can Be an Objective Marker for Sarcopenia and Frailty in Older Males","type":"article-journal"},"uris":["http://www.mendeley.com/documents/?uuid=f468523c-8ecf-4cd3-a6d6-d2b683060546"]}],"mendeley":{"formattedCitation":"(40)","plainTextFormattedCitation":"(40)","previouslyFormattedCitation":"(40)"},"properties":{"noteIndex":0},"schema":"https://github.com/citation-style-language/schema/raw/master/csl-citation.json"}</w:instrText>
      </w:r>
      <w:r w:rsidR="004E6FAE"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(40)</w:t>
      </w:r>
      <w:r w:rsidR="004E6FAE" w:rsidRPr="005702ED">
        <w:rPr>
          <w:rFonts w:ascii="Arial" w:eastAsia="Calibri" w:hAnsi="Arial" w:cs="Arial"/>
          <w:sz w:val="22"/>
          <w:szCs w:val="22"/>
          <w:lang w:val="en-US"/>
        </w:rPr>
        <w:fldChar w:fldCharType="end"/>
      </w:r>
      <w:r w:rsidR="00A26CD9" w:rsidRPr="005702ED">
        <w:rPr>
          <w:rFonts w:ascii="Arial" w:eastAsia="Calibri" w:hAnsi="Arial" w:cs="Arial"/>
          <w:sz w:val="22"/>
          <w:szCs w:val="22"/>
          <w:lang w:val="en-US"/>
        </w:rPr>
        <w:t>.</w:t>
      </w:r>
      <w:r w:rsidR="002F31A3" w:rsidRPr="005702ED">
        <w:rPr>
          <w:rFonts w:ascii="Arial" w:eastAsia="Calibri" w:hAnsi="Arial" w:cs="Arial"/>
          <w:sz w:val="22"/>
          <w:szCs w:val="22"/>
          <w:lang w:val="en-US"/>
        </w:rPr>
        <w:t xml:space="preserve"> </w:t>
      </w:r>
      <w:r w:rsidRPr="005702ED">
        <w:rPr>
          <w:rFonts w:ascii="Arial" w:eastAsia="Calibri" w:hAnsi="Arial" w:cs="Arial"/>
          <w:sz w:val="22"/>
          <w:szCs w:val="22"/>
          <w:lang w:val="en-US"/>
        </w:rPr>
        <w:t>The relationship between frailty and falling has been shown in many studies</w:t>
      </w:r>
      <w:r w:rsidR="00507070" w:rsidRPr="005702ED">
        <w:rPr>
          <w:rFonts w:ascii="Arial" w:eastAsia="Calibri" w:hAnsi="Arial" w:cs="Arial"/>
          <w:sz w:val="22"/>
          <w:szCs w:val="22"/>
          <w:lang w:val="en-US"/>
        </w:rPr>
        <w:t>.</w:t>
      </w:r>
      <w:r w:rsidRPr="005702ED">
        <w:rPr>
          <w:rFonts w:ascii="Arial" w:eastAsia="Calibri" w:hAnsi="Arial" w:cs="Arial"/>
          <w:sz w:val="22"/>
          <w:szCs w:val="22"/>
          <w:lang w:val="en-US"/>
        </w:rPr>
        <w:t xml:space="preserve"> </w:t>
      </w:r>
      <w:r w:rsidRPr="005702ED">
        <w:rPr>
          <w:rFonts w:ascii="Arial" w:eastAsia="Calibri" w:hAnsi="Arial" w:cs="Arial"/>
          <w:sz w:val="22"/>
          <w:szCs w:val="22"/>
          <w:vertAlign w:val="superscript"/>
          <w:lang w:val="en-US"/>
        </w:rPr>
        <w:fldChar w:fldCharType="begin" w:fldLock="1"/>
      </w:r>
      <w:r w:rsidR="009B17BA" w:rsidRPr="005702ED">
        <w:rPr>
          <w:rFonts w:ascii="Arial" w:eastAsia="Calibri" w:hAnsi="Arial" w:cs="Arial"/>
          <w:sz w:val="22"/>
          <w:szCs w:val="22"/>
          <w:vertAlign w:val="superscript"/>
          <w:lang w:val="en-US"/>
        </w:rPr>
        <w:instrText>ADDIN CSL_CITATION {"citationItems":[{"id":"ITEM-1","itemData":{"DOI":"10.1093/ageing/afw129","ISSN":"14682834","PMID":"27496938","abstract":"BACKGROUND falls are a major cause of disability and death in older people. Women are more likely to fall than men, but little is known about whether risk factors for falls differ between the sexes. We used data from the English Longitudinal Study of Ageing to investigate the prevalence of falls by sex and to examine cross-sectionally sex-specific associations between a range of potential risk factors and likelihood of falling. METHODS participants were 4,301 men and women aged 60 and over who had taken part in the 2012-13 survey of the English Longitudinal Study of Ageing. They provided information about sociodemographic, lifestyle and behavioural and medical factors, had their physical and cognitive function assessed and responded to a question about whether they had fallen down in the last two years. RESULTS in multivariable logistic regression models, severe pain and diagnosis of at least one chronic disease were independently associated with falls in both sexes. Sex-specific risk factors were incontinence (odds ratio (OR), 1.48; 95% CI, 1.19, 1.85) and frailty (OR 1.69, 95% CI 1.06, 2.69) in women, and older age (OR 1.02, 95% CI 1.04, 1.07), high levels of depressive symptoms (OR 1.33, 95% CI 1.05, 1.68), and being unable to perform a standing balance test (OR 3.32, 95% CI 2.09, 5.29) in men. CONCLUSION although we found some homogeneity between the sexes in the risk factors that were associated with falls, the existence of several sex-specific risk factors suggests that gender should be taken into account in designing fall-prevention strategies.","author":[{"dropping-particle":"","family":"Gale","given":"Catharine R.","non-dropping-particle":"","parse-names":false,"suffix":""},{"dropping-particle":"","family":"Cooper","given":"Cyrus","non-dropping-particle":"","parse-names":false,"suffix":""},{"dropping-particle":"","family":"Aihie Sayer","given":"Avan","non-dropping-particle":"","parse-names":false,"suffix":""}],"container-title":"Age and ageing","id":"ITEM-1","issue":"6","issued":{"date-parts":[["2016"]]},"page":"789-794","title":"Prevalence and risk factors for falls in older men and women: The English Longitudinal Study of Ageing","type":"article-journal","volume":"45"},"uris":["http://www.mendeley.com/documents/?uuid=63af6127-2a4b-4873-a543-96a3e51f7be1"]}],"mendeley":{"formattedCitation":"(28)","plainTextFormattedCitation":"(28)","previouslyFormattedCitation":"(28)"},"properties":{"noteIndex":0},"schema":"https://github.com/citation-style-language/schema/raw/master/csl-citation.json"}</w:instrText>
      </w:r>
      <w:r w:rsidRPr="005702ED">
        <w:rPr>
          <w:rFonts w:ascii="Arial" w:eastAsia="Calibri" w:hAnsi="Arial" w:cs="Arial"/>
          <w:sz w:val="22"/>
          <w:szCs w:val="22"/>
          <w:vertAlign w:val="superscript"/>
          <w:lang w:val="en-US"/>
        </w:rPr>
        <w:fldChar w:fldCharType="separate"/>
      </w:r>
      <w:r w:rsidR="00F40FF8" w:rsidRPr="005702ED">
        <w:rPr>
          <w:rFonts w:ascii="Arial" w:eastAsia="Calibri" w:hAnsi="Arial" w:cs="Arial"/>
          <w:noProof/>
          <w:sz w:val="22"/>
          <w:szCs w:val="22"/>
          <w:lang w:val="en-US"/>
        </w:rPr>
        <w:t>(28)</w:t>
      </w:r>
      <w:r w:rsidRPr="005702ED">
        <w:rPr>
          <w:rFonts w:ascii="Arial" w:eastAsia="Calibri" w:hAnsi="Arial" w:cs="Arial"/>
          <w:sz w:val="22"/>
          <w:szCs w:val="22"/>
          <w:vertAlign w:val="superscript"/>
          <w:lang w:val="en-US"/>
        </w:rPr>
        <w:fldChar w:fldCharType="end"/>
      </w:r>
      <w:r w:rsidR="0033429C" w:rsidRPr="005702ED">
        <w:rPr>
          <w:rFonts w:ascii="Arial" w:eastAsia="Calibri" w:hAnsi="Arial" w:cs="Arial"/>
          <w:sz w:val="22"/>
          <w:szCs w:val="22"/>
          <w:lang w:val="en-US"/>
        </w:rPr>
        <w:t xml:space="preserve"> This may be due to the fact that muscle weakness and gait alterations are part of frailty, increased comorbidities in frail </w:t>
      </w:r>
      <w:r w:rsidR="003A44B2" w:rsidRPr="005702ED">
        <w:rPr>
          <w:rFonts w:ascii="Arial" w:eastAsia="Calibri" w:hAnsi="Arial" w:cs="Arial"/>
          <w:sz w:val="22"/>
          <w:szCs w:val="22"/>
          <w:lang w:val="en-US"/>
        </w:rPr>
        <w:t>older</w:t>
      </w:r>
      <w:r w:rsidR="0033429C" w:rsidRPr="005702ED">
        <w:rPr>
          <w:rFonts w:ascii="Arial" w:eastAsia="Calibri" w:hAnsi="Arial" w:cs="Arial"/>
          <w:sz w:val="22"/>
          <w:szCs w:val="22"/>
          <w:lang w:val="en-US"/>
        </w:rPr>
        <w:t>, and polypharmacy</w:t>
      </w:r>
      <w:r w:rsidR="000F39AC" w:rsidRPr="005702ED">
        <w:rPr>
          <w:rFonts w:ascii="Arial" w:eastAsia="Calibri" w:hAnsi="Arial" w:cs="Arial"/>
          <w:sz w:val="22"/>
          <w:szCs w:val="22"/>
          <w:lang w:val="en-US"/>
        </w:rPr>
        <w:t xml:space="preserve"> </w:t>
      </w:r>
      <w:r w:rsidR="000F39AC" w:rsidRPr="005702ED">
        <w:rPr>
          <w:rFonts w:ascii="Arial" w:eastAsia="Calibri" w:hAnsi="Arial" w:cs="Arial"/>
          <w:sz w:val="22"/>
          <w:szCs w:val="22"/>
          <w:lang w:val="en-US"/>
        </w:rPr>
        <w:fldChar w:fldCharType="begin" w:fldLock="1"/>
      </w:r>
      <w:r w:rsidR="009B17BA" w:rsidRPr="005702ED">
        <w:rPr>
          <w:rFonts w:ascii="Arial" w:eastAsia="Calibri" w:hAnsi="Arial" w:cs="Arial"/>
          <w:sz w:val="22"/>
          <w:szCs w:val="22"/>
          <w:lang w:val="en-US"/>
        </w:rPr>
        <w:instrText>ADDIN CSL_CITATION {"citationItems":[{"id":"ITEM-1","itemData":{"DOI":"10.1177/0898264311428490","ISBN":"0898-2643","ISSN":"08982643","PMID":"22187090","abstract":"OBJECTIVE: Examine the relationship between frailty and falls.\\n\\nMETHOD: A total of 847 Mexican Americans from the Hispanic Established Population for the Epidemiological Study of the Elderly were evaluated. The outcome variable was fall occurrence. Some predictor variables included were frailty, sociodemographic variables, functional and health status, and prior falls.\\n\\nRESULTS: Those who fell were more likely to be women, not married, had prior falls, more functional problems and poorer health. The incidence rate ratio (IRR) for falls was 1.9 for nonfrail individuals and 3.2 for frail individuals. Prefrail individuals had 1.36 higher odds of falls (95% CI [1.11, 1.67]), individuals with prior falls had 1.26 higher odds of falls (95% CI [1.15, 1.37]), and those with poor balance had 1.49 higher odds of falls (95% CI [1.15, 1.95]) over the 2 years (p&lt;.01).\\n\\nDISCUSSION: Frailty increases the odds of falls in older Mexican Americans. Interventions tailored to reduce fall incidence and improve health care quality for older Mexican Americans are needed.","author":[{"dropping-particle":"","family":"Samper-Ternent","given":"Rafael","non-dropping-particle":"","parse-names":false,"suffix":""},{"dropping-particle":"","family":"Karmarkar","given":"Amol","non-dropping-particle":"","parse-names":false,"suffix":""},{"dropping-particle":"","family":"Graham","given":"James","non-dropping-particle":"","parse-names":false,"suffix":""},{"dropping-particle":"","family":"Reistetter","given":"Tim","non-dropping-particle":"","parse-names":false,"suffix":""},{"dropping-particle":"","family":"Ottenbacher","given":"Ken","non-dropping-particle":"","parse-names":false,"suffix":""}],"container-title":"J Aging Health","id":"ITEM-1","issue":"4","issued":{"date-parts":[["2012"]]},"page":"641-53","title":"Frailty as a predictor of falls in older Mexican Americans","type":"article-journal","volume":"24"},"uris":["http://www.mendeley.com/documents/?uuid=caec595a-2599-4ece-a431-9c39c7ec932d"]}],"mendeley":{"formattedCitation":"(41)","plainTextFormattedCitation":"(41)","previouslyFormattedCitation":"(41)"},"properties":{"noteIndex":0},"schema":"https://github.com/citation-style-language/schema/raw/master/csl-citation.json"}</w:instrText>
      </w:r>
      <w:r w:rsidR="000F39AC" w:rsidRPr="005702ED">
        <w:rPr>
          <w:rFonts w:ascii="Arial" w:eastAsia="Calibri" w:hAnsi="Arial" w:cs="Arial"/>
          <w:sz w:val="22"/>
          <w:szCs w:val="22"/>
          <w:lang w:val="en-US"/>
        </w:rPr>
        <w:fldChar w:fldCharType="separate"/>
      </w:r>
      <w:r w:rsidR="00F40FF8" w:rsidRPr="005702ED">
        <w:rPr>
          <w:rFonts w:ascii="Arial" w:eastAsia="Calibri" w:hAnsi="Arial" w:cs="Arial"/>
          <w:noProof/>
          <w:sz w:val="22"/>
          <w:szCs w:val="22"/>
          <w:lang w:val="en-US"/>
        </w:rPr>
        <w:t>(41)</w:t>
      </w:r>
      <w:r w:rsidR="000F39AC" w:rsidRPr="005702ED">
        <w:rPr>
          <w:rFonts w:ascii="Arial" w:eastAsia="Calibri" w:hAnsi="Arial" w:cs="Arial"/>
          <w:sz w:val="22"/>
          <w:szCs w:val="22"/>
          <w:lang w:val="en-US"/>
        </w:rPr>
        <w:fldChar w:fldCharType="end"/>
      </w:r>
      <w:r w:rsidR="0033429C" w:rsidRPr="005702ED">
        <w:rPr>
          <w:rFonts w:ascii="Arial" w:eastAsia="Calibri" w:hAnsi="Arial" w:cs="Arial"/>
          <w:sz w:val="22"/>
          <w:szCs w:val="22"/>
          <w:lang w:val="en-US"/>
        </w:rPr>
        <w:t>.</w:t>
      </w:r>
    </w:p>
    <w:p w14:paraId="3706DDE3" w14:textId="1A584DD8" w:rsidR="009E1879" w:rsidRPr="005702ED" w:rsidRDefault="000F1F6E" w:rsidP="000E2C41">
      <w:pPr>
        <w:spacing w:line="480" w:lineRule="auto"/>
        <w:jc w:val="both"/>
        <w:rPr>
          <w:rFonts w:ascii="Arial" w:eastAsia="Calibri" w:hAnsi="Arial" w:cs="Arial"/>
          <w:sz w:val="22"/>
          <w:szCs w:val="22"/>
          <w:lang w:val="en-US"/>
        </w:rPr>
      </w:pPr>
      <w:r w:rsidRPr="005702ED">
        <w:rPr>
          <w:rFonts w:ascii="Arial" w:eastAsia="Calibri" w:hAnsi="Arial" w:cs="Arial"/>
          <w:color w:val="000000" w:themeColor="text1"/>
          <w:sz w:val="22"/>
          <w:szCs w:val="22"/>
          <w:lang w:val="en-US"/>
        </w:rPr>
        <w:t xml:space="preserve">It has been shown in many studies that vision and hearing loss increase the risk of falling </w:t>
      </w:r>
      <w:r w:rsidRPr="005702ED">
        <w:rPr>
          <w:rFonts w:ascii="Arial" w:eastAsia="Calibri" w:hAnsi="Arial" w:cs="Arial"/>
          <w:color w:val="000000" w:themeColor="text1"/>
          <w:sz w:val="22"/>
          <w:szCs w:val="22"/>
          <w:lang w:val="en-US"/>
        </w:rPr>
        <w:fldChar w:fldCharType="begin" w:fldLock="1"/>
      </w:r>
      <w:r w:rsidRPr="005702ED">
        <w:rPr>
          <w:rFonts w:ascii="Arial" w:eastAsia="Calibri" w:hAnsi="Arial" w:cs="Arial"/>
          <w:color w:val="000000" w:themeColor="text1"/>
          <w:sz w:val="22"/>
          <w:szCs w:val="22"/>
          <w:lang w:val="en-US"/>
        </w:rPr>
        <w:instrText>ADDIN CSL_CITATION {"citationItems":[{"id":"ITEM-1","itemData":{"DOI":"10.1097/EDE.0b013e3181e89905","ISBN":"1044-3983","ISSN":"1044-3983","PMID":"20585256","abstract":"BACKGROUND: Falls are the main cause of accidental death in persons aged 65 years or older. METHODS: Using MEDLINE and previous reviews, we searched for prospective studies investigating risk factors for falls among community-dwelling older people. For risk factors investigated by at least 5 studies in a comparable way, we computed pooled odds ratios (ORs) using random-effects models, with a test for heterogeneity. RESULTS: A total of 74 studies met the inclusion criteria and 31 risk factors were considered, including sociodemographic, mobility, sensory, psychologic, and medical factors and medication use. The strongest associations were found for history of falls (OR = 2.8 for all fallers; OR = 3.5 for recurrent fallers), gait problems (OR = 2.1; 2.2), walking aids use (OR = 2.2; 3.1), vertigo (OR = 1.8; 2.3), Parkinson disease (OR = 2.7; 2.8), and antiepileptic drug use (OR = 1.9; 2.7). For most other factors, the ORs were moderately above 1. ORs were generally higher for recurrent fallers than for all fallers. For some factors, there was substantial heterogeneity among studies. For some important factors (eg, balance and muscle weakness), we did not compute a summary estimate because the measures used in various studies were not comparable. CONCLUSIONS: This meta-analysis provides comprehensive evidence-based assessment of risk factors for falls in older people, confirming their multifactorial etiology. Some nonspecific indicators of high baseline risk were also strong predictors of the risk of falling.","author":[{"dropping-particle":"","family":"Deandrea","given":"Silvia","non-dropping-particle":"","parse-names":false,"suffix":""},{"dropping-particle":"","family":"Lucenteforte","given":"Ersilia","non-dropping-particle":"","parse-names":false,"suffix":""},{"dropping-particle":"","family":"Bravi","given":"Francesca","non-dropping-particle":"","parse-names":false,"suffix":""},{"dropping-particle":"","family":"Foschi","given":"Roberto","non-dropping-particle":"","parse-names":false,"suffix":""},{"dropping-particle":"","family":"Vecchia","given":"Carlo","non-dropping-particle":"La","parse-names":false,"suffix":""},{"dropping-particle":"","family":"Negri","given":"Eva","non-dropping-particle":"","parse-names":false,"suffix":""}],"container-title":"Epidemiology","id":"ITEM-1","issue":"5","issued":{"date-parts":[["2010"]]},"page":"658-668","title":"Risk factors for falls in community-dwelling older people: a systematic review and meta-analysis.","type":"article-journal","volume":"21"},"uris":["http://www.mendeley.com/documents/?uuid=3e356036-6f76-4397-bc21-277776d6be6d"]}],"mendeley":{"formattedCitation":"(42)","plainTextFormattedCitation":"(42)","previouslyFormattedCitation":"(42)"},"properties":{"noteIndex":0},"schema":"https://github.com/citation-style-language/schema/raw/master/csl-citation.json"}</w:instrText>
      </w:r>
      <w:r w:rsidRPr="005702ED">
        <w:rPr>
          <w:rFonts w:ascii="Arial" w:eastAsia="Calibri" w:hAnsi="Arial" w:cs="Arial"/>
          <w:color w:val="000000" w:themeColor="text1"/>
          <w:sz w:val="22"/>
          <w:szCs w:val="22"/>
          <w:lang w:val="en-US"/>
        </w:rPr>
        <w:fldChar w:fldCharType="separate"/>
      </w:r>
      <w:r w:rsidRPr="005702ED">
        <w:rPr>
          <w:rFonts w:ascii="Arial" w:eastAsia="Calibri" w:hAnsi="Arial" w:cs="Arial"/>
          <w:noProof/>
          <w:color w:val="000000" w:themeColor="text1"/>
          <w:sz w:val="22"/>
          <w:szCs w:val="22"/>
          <w:lang w:val="en-US"/>
        </w:rPr>
        <w:t>(42)</w:t>
      </w:r>
      <w:r w:rsidRPr="005702ED">
        <w:rPr>
          <w:rFonts w:ascii="Arial" w:eastAsia="Calibri" w:hAnsi="Arial" w:cs="Arial"/>
          <w:color w:val="000000" w:themeColor="text1"/>
          <w:sz w:val="22"/>
          <w:szCs w:val="22"/>
          <w:lang w:val="en-US"/>
        </w:rPr>
        <w:fldChar w:fldCharType="end"/>
      </w:r>
      <w:r w:rsidRPr="005702ED">
        <w:rPr>
          <w:rFonts w:ascii="Arial" w:eastAsia="Calibri" w:hAnsi="Arial" w:cs="Arial"/>
          <w:color w:val="000000" w:themeColor="text1"/>
          <w:sz w:val="22"/>
          <w:szCs w:val="22"/>
          <w:lang w:val="en-US"/>
        </w:rPr>
        <w:t xml:space="preserve"> and have negative effect on gait and balance functions in older adults </w:t>
      </w:r>
      <w:r w:rsidRPr="005702ED">
        <w:rPr>
          <w:rFonts w:ascii="Arial" w:eastAsia="Calibri" w:hAnsi="Arial" w:cs="Arial"/>
          <w:color w:val="000000" w:themeColor="text1"/>
          <w:sz w:val="22"/>
          <w:szCs w:val="22"/>
          <w:lang w:val="en-US"/>
        </w:rPr>
        <w:fldChar w:fldCharType="begin" w:fldLock="1"/>
      </w:r>
      <w:r w:rsidRPr="005702ED">
        <w:rPr>
          <w:rFonts w:ascii="Arial" w:eastAsia="Calibri" w:hAnsi="Arial" w:cs="Arial"/>
          <w:color w:val="000000" w:themeColor="text1"/>
          <w:sz w:val="22"/>
          <w:szCs w:val="22"/>
          <w:lang w:val="en-US"/>
        </w:rPr>
        <w:instrText>ADDIN CSL_CITATION {"citationItems":[{"id":"ITEM-1","itemData":{"DOI":"10.1016/j.maturitas.2013.01.019","ISBN":"0378-5122","ISSN":"03785122","PMID":"23434262","abstract":"Falls are a leading cause of mortality among older adults worldwide. With the increasing aging population, falls are rapidly becoming a public health concern. Numerous internal and external factors have been associated with an older adult's increased risk of falling. Most notably visual impairments are gaining recognition for their critical role in fall events, particularly related to trips, slips and falls due to environmental hazards. This review presents the issue of vision and falls from a multidisciplinary health professional perspective. Discussions include the influence of visual impairment on mobility and activities of daily living, the effects of medications on vision, visual cognitive factors on falls risk and visual training interventions. Finally, implications for multidisciplinary health professional practice and suggestions for future research are offered. © 2013 Elsevier Ireland Ltd.","author":[{"dropping-particle":"","family":"Reed-Jones","given":"Rebecca J.","non-dropping-particle":"","parse-names":false,"suffix":""},{"dropping-particle":"","family":"Solis","given":"Guillermina R.","non-dropping-particle":"","parse-names":false,"suffix":""},{"dropping-particle":"","family":"Lawson","given":"Katherine A.","non-dropping-particle":"","parse-names":false,"suffix":""},{"dropping-particle":"","family":"Loya","given":"Amanda M.","non-dropping-particle":"","parse-names":false,"suffix":""},{"dropping-particle":"","family":"Cude-Islas","given":"Donna","non-dropping-particle":"","parse-names":false,"suffix":""},{"dropping-particle":"","family":"Berger","given":"Candyce S.","non-dropping-particle":"","parse-names":false,"suffix":""}],"container-title":"Maturitas","id":"ITEM-1","issue":"1","issued":{"date-parts":[["2013"]]},"page":"22-28","title":"Vision and falls: A multidisciplinary review of the contributions of visual impairment to falls among older adults","type":"article-journal","volume":"75"},"uris":["http://www.mendeley.com/documents/?uuid=6e8d5e02-b648-487b-a427-efa3f323d40c"]},{"id":"ITEM-2","itemData":{"DOI":"10.1002/lary.25927","ISSN":"15314995","PMID":"27010669","abstract":"BACKGROUND Falls are a devastating condition in older individuals. Identifying potentially modifiable risk factors such as hearing loss would provide a substantial public health benefit. OBJECTIVE To evaluate the current evidence for an association between hearing loss and falls risk. DATA SOURCES A systematic search of PubMed, Cumulative Index to Nursing and Allied Health Literature, Embase, Scopus, Web of Science, and Cochrane databases was performed in July 2014. STUDY ELIGIBILITY Studies were eligible for inclusion if they were published in the peer-reviewed literature. All studies used a predetermined definition of hearing loss. Main outcomes and measurements were fall hospitalization records or self-reports of falls by structured interview or validated questionnaires. STUDY APPRAISAL AND SYNTHESIS Two investigators independently reviewed the literature related to hearing loss, falls, and older adults. We pooled effect sizes from across the studies and performed a meta-analysis to compute an overall effect size. RESULTS AND LIMITATIONS Twelve eligible studies were identified. The odds of falling were 2.39 times greater among older adults with hearing loss than older adults with normal hearing (pooled odds ratio 2.39, 95% confidence interval [CI]: 2.11-2.68). In sensitivity analyses, we restricted the meta-analysis to studies where hearing loss was audiometrically defined (N = 6) and observed hearing loss to be associated with a 69% increase in the odds of falling (pooled odds ratio 1.69, 95% CI: 1.18-2.19). When we further limited to studies that also performed multivariate regression analyses (N = 4), the overall effect size did not appreciably change (pooled odds ratio 1.72, 95% CI: 1.07-2.37). We observed a potential positive publication bias in the literature. Limitations of the systematic review and meta-analysis are the cross-sectional designs of most studies and the heterogeneity across studies (Q = 631, P &lt; .05, I(2) = 98.1%). CONCLUSIONS AND RELEVANCE In the published literature, hearing loss is associated with a significantly increased odds of falling in older adults. These findings need to be interpreted in light of the potential for positive publication bias in the literature on this topic. LEVEL OF EVIDENCE NA Laryngoscope, 126:2587-2596, 2016.","author":[{"dropping-particle":"","family":"Jiam","given":"Nicole Tin Lok","non-dropping-particle":"","parse-names":false,"suffix":""},{"dropping-particle":"","family":"Li","given":"Carol","non-dropping-particle":"","parse-names":false,"suffix":""},{"dropping-particle":"","family":"Agrawal","given":"Yuri","non-dropping-particle":"","parse-names":false,"suffix":""}],"container-title":"Laryngoscope","id":"ITEM-2","issue":"11","issued":{"date-parts":[["2016"]]},"page":"2587-2596","title":"Hearing loss and falls: A systematic review and meta-analysis","type":"article-journal","volume":"126"},"uris":["http://www.mendeley.com/documents/?uuid=2ad5cbe5-70b4-449d-b7f2-200b669d9971"]}],"mendeley":{"formattedCitation":"(43,44)","plainTextFormattedCitation":"(43,44)","previouslyFormattedCitation":"(43,44)"},"properties":{"noteIndex":0},"schema":"https://github.com/citation-style-language/schema/raw/master/csl-citation.json"}</w:instrText>
      </w:r>
      <w:r w:rsidRPr="005702ED">
        <w:rPr>
          <w:rFonts w:ascii="Arial" w:eastAsia="Calibri" w:hAnsi="Arial" w:cs="Arial"/>
          <w:color w:val="000000" w:themeColor="text1"/>
          <w:sz w:val="22"/>
          <w:szCs w:val="22"/>
          <w:lang w:val="en-US"/>
        </w:rPr>
        <w:fldChar w:fldCharType="separate"/>
      </w:r>
      <w:r w:rsidRPr="005702ED">
        <w:rPr>
          <w:rFonts w:ascii="Arial" w:eastAsia="Calibri" w:hAnsi="Arial" w:cs="Arial"/>
          <w:noProof/>
          <w:color w:val="000000" w:themeColor="text1"/>
          <w:sz w:val="22"/>
          <w:szCs w:val="22"/>
          <w:lang w:val="en-US"/>
        </w:rPr>
        <w:t>(43,44)</w:t>
      </w:r>
      <w:r w:rsidRPr="005702ED">
        <w:rPr>
          <w:rFonts w:ascii="Arial" w:eastAsia="Calibri" w:hAnsi="Arial" w:cs="Arial"/>
          <w:color w:val="000000" w:themeColor="text1"/>
          <w:sz w:val="22"/>
          <w:szCs w:val="22"/>
          <w:lang w:val="en-US"/>
        </w:rPr>
        <w:fldChar w:fldCharType="end"/>
      </w:r>
      <w:r w:rsidRPr="005702ED">
        <w:rPr>
          <w:rFonts w:ascii="Arial" w:eastAsia="Calibri" w:hAnsi="Arial" w:cs="Arial"/>
          <w:color w:val="000000" w:themeColor="text1"/>
          <w:sz w:val="22"/>
          <w:szCs w:val="22"/>
          <w:lang w:val="en-US"/>
        </w:rPr>
        <w:t xml:space="preserve">. However, in the present study, the risk of falling according to the history of fall was only related to cataract and hearing loss reported by the patients in accordance with the literature, and POMA, TUG and walking speed scores were found to be different from the literature </w:t>
      </w:r>
      <w:r w:rsidRPr="005702ED">
        <w:rPr>
          <w:rFonts w:ascii="Arial" w:eastAsia="Calibri" w:hAnsi="Arial" w:cs="Arial"/>
          <w:color w:val="000000" w:themeColor="text1"/>
          <w:sz w:val="22"/>
          <w:szCs w:val="22"/>
          <w:lang w:val="en-US"/>
        </w:rPr>
        <w:fldChar w:fldCharType="begin" w:fldLock="1"/>
      </w:r>
      <w:r w:rsidRPr="005702ED">
        <w:rPr>
          <w:rFonts w:ascii="Arial" w:eastAsia="Calibri" w:hAnsi="Arial" w:cs="Arial"/>
          <w:color w:val="000000" w:themeColor="text1"/>
          <w:sz w:val="22"/>
          <w:szCs w:val="22"/>
          <w:lang w:val="en-US"/>
        </w:rPr>
        <w:instrText>ADDIN CSL_CITATION {"citationItems":[{"id":"ITEM-1","itemData":{"DOI":"10.1016/j.maturitas.2013.01.019","ISBN":"0378-5122","ISSN":"03785122","PMID":"23434262","abstract":"Falls are a leading cause of mortality among older adults worldwide. With the increasing aging population, falls are rapidly becoming a public health concern. Numerous internal and external factors have been associated with an older adult's increased risk of falling. Most notably visual impairments are gaining recognition for their critical role in fall events, particularly related to trips, slips and falls due to environmental hazards. This review presents the issue of vision and falls from a multidisciplinary health professional perspective. Discussions include the influence of visual impairment on mobility and activities of daily living, the effects of medications on vision, visual cognitive factors on falls risk and visual training interventions. Finally, implications for multidisciplinary health professional practice and suggestions for future research are offered. © 2013 Elsevier Ireland Ltd.","author":[{"dropping-particle":"","family":"Reed-Jones","given":"Rebecca J.","non-dropping-particle":"","parse-names":false,"suffix":""},{"dropping-particle":"","family":"Solis","given":"Guillermina R.","non-dropping-particle":"","parse-names":false,"suffix":""},{"dropping-particle":"","family":"Lawson","given":"Katherine A.","non-dropping-particle":"","parse-names":false,"suffix":""},{"dropping-particle":"","family":"Loya","given":"Amanda M.","non-dropping-particle":"","parse-names":false,"suffix":""},{"dropping-particle":"","family":"Cude-Islas","given":"Donna","non-dropping-particle":"","parse-names":false,"suffix":""},{"dropping-particle":"","family":"Berger","given":"Candyce S.","non-dropping-particle":"","parse-names":false,"suffix":""}],"container-title":"Maturitas","id":"ITEM-1","issue":"1","issued":{"date-parts":[["2013"]]},"page":"22-28","title":"Vision and falls: A multidisciplinary review of the contributions of visual impairment to falls among older adults","type":"article-journal","volume":"75"},"uris":["http://www.mendeley.com/documents/?uuid=6e8d5e02-b648-487b-a427-efa3f323d40c"]},{"id":"ITEM-2","itemData":{"DOI":"10.1002/lary.25927","ISSN":"15314995","PMID":"27010669","abstract":"BACKGROUND Falls are a devastating condition in older individuals. Identifying potentially modifiable risk factors such as hearing loss would provide a substantial public health benefit. OBJECTIVE To evaluate the current evidence for an association between hearing loss and falls risk. DATA SOURCES A systematic search of PubMed, Cumulative Index to Nursing and Allied Health Literature, Embase, Scopus, Web of Science, and Cochrane databases was performed in July 2014. STUDY ELIGIBILITY Studies were eligible for inclusion if they were published in the peer-reviewed literature. All studies used a predetermined definition of hearing loss. Main outcomes and measurements were fall hospitalization records or self-reports of falls by structured interview or validated questionnaires. STUDY APPRAISAL AND SYNTHESIS Two investigators independently reviewed the literature related to hearing loss, falls, and older adults. We pooled effect sizes from across the studies and performed a meta-analysis to compute an overall effect size. RESULTS AND LIMITATIONS Twelve eligible studies were identified. The odds of falling were 2.39 times greater among older adults with hearing loss than older adults with normal hearing (pooled odds ratio 2.39, 95% confidence interval [CI]: 2.11-2.68). In sensitivity analyses, we restricted the meta-analysis to studies where hearing loss was audiometrically defined (N = 6) and observed hearing loss to be associated with a 69% increase in the odds of falling (pooled odds ratio 1.69, 95% CI: 1.18-2.19). When we further limited to studies that also performed multivariate regression analyses (N = 4), the overall effect size did not appreciably change (pooled odds ratio 1.72, 95% CI: 1.07-2.37). We observed a potential positive publication bias in the literature. Limitations of the systematic review and meta-analysis are the cross-sectional designs of most studies and the heterogeneity across studies (Q = 631, P &lt; .05, I(2) = 98.1%). CONCLUSIONS AND RELEVANCE In the published literature, hearing loss is associated with a significantly increased odds of falling in older adults. These findings need to be interpreted in light of the potential for positive publication bias in the literature on this topic. LEVEL OF EVIDENCE NA Laryngoscope, 126:2587-2596, 2016.","author":[{"dropping-particle":"","family":"Jiam","given":"Nicole Tin Lok","non-dropping-particle":"","parse-names":false,"suffix":""},{"dropping-particle":"","family":"Li","given":"Carol","non-dropping-particle":"","parse-names":false,"suffix":""},{"dropping-particle":"","family":"Agrawal","given":"Yuri","non-dropping-particle":"","parse-names":false,"suffix":""}],"container-title":"Laryngoscope","id":"ITEM-2","issue":"11","issued":{"date-parts":[["2016"]]},"page":"2587-2596","title":"Hearing loss and falls: A systematic review and meta-analysis","type":"article-journal","volume":"126"},"uris":["http://www.mendeley.com/documents/?uuid=2ad5cbe5-70b4-449d-b7f2-200b669d9971"]}],"mendeley":{"formattedCitation":"(43,44)","plainTextFormattedCitation":"(43,44)"},"properties":{"noteIndex":0},"schema":"https://github.com/citation-style-language/schema/raw/master/csl-citation.json"}</w:instrText>
      </w:r>
      <w:r w:rsidRPr="005702ED">
        <w:rPr>
          <w:rFonts w:ascii="Arial" w:eastAsia="Calibri" w:hAnsi="Arial" w:cs="Arial"/>
          <w:color w:val="000000" w:themeColor="text1"/>
          <w:sz w:val="22"/>
          <w:szCs w:val="22"/>
          <w:lang w:val="en-US"/>
        </w:rPr>
        <w:fldChar w:fldCharType="separate"/>
      </w:r>
      <w:r w:rsidRPr="005702ED">
        <w:rPr>
          <w:rFonts w:ascii="Arial" w:eastAsia="Calibri" w:hAnsi="Arial" w:cs="Arial"/>
          <w:noProof/>
          <w:color w:val="000000" w:themeColor="text1"/>
          <w:sz w:val="22"/>
          <w:szCs w:val="22"/>
          <w:lang w:val="en-US"/>
        </w:rPr>
        <w:t>(43,44)</w:t>
      </w:r>
      <w:r w:rsidRPr="005702ED">
        <w:rPr>
          <w:rFonts w:ascii="Arial" w:eastAsia="Calibri" w:hAnsi="Arial" w:cs="Arial"/>
          <w:color w:val="000000" w:themeColor="text1"/>
          <w:sz w:val="22"/>
          <w:szCs w:val="22"/>
          <w:lang w:val="en-US"/>
        </w:rPr>
        <w:fldChar w:fldCharType="end"/>
      </w:r>
      <w:r w:rsidRPr="005702ED">
        <w:rPr>
          <w:rFonts w:ascii="Arial" w:eastAsia="Calibri" w:hAnsi="Arial" w:cs="Arial"/>
          <w:color w:val="000000" w:themeColor="text1"/>
          <w:sz w:val="22"/>
          <w:szCs w:val="22"/>
          <w:lang w:val="en-US"/>
        </w:rPr>
        <w:t xml:space="preserve">. This is because sensory loss including visual and hearing disorders could not be elaborated in our study. </w:t>
      </w:r>
      <w:r w:rsidR="00E039DF" w:rsidRPr="005702ED">
        <w:rPr>
          <w:rFonts w:ascii="Arial" w:eastAsia="Calibri" w:hAnsi="Arial" w:cs="Arial"/>
          <w:sz w:val="22"/>
          <w:szCs w:val="22"/>
          <w:lang w:val="en-US"/>
        </w:rPr>
        <w:t>Self-</w:t>
      </w:r>
      <w:r w:rsidR="00E039DF" w:rsidRPr="005702ED">
        <w:rPr>
          <w:rFonts w:ascii="Arial" w:eastAsia="Calibri" w:hAnsi="Arial" w:cs="Arial"/>
          <w:sz w:val="22"/>
          <w:szCs w:val="22"/>
          <w:lang w:val="en-US"/>
        </w:rPr>
        <w:lastRenderedPageBreak/>
        <w:t xml:space="preserve">reported dizziness and imbalance are other common risk factors according to all clinical methods. In addition, using a walking stick increases the risk of falling. It is clear that these patients use more walking sticks for reasons such as balance problems, and fear of falling. All of these, suggest that patients with self-reported dizziness and using a walking stick should be examined more in detail about the risk of falling during  clinical evaluation </w:t>
      </w:r>
      <w:r w:rsidR="00C64C82" w:rsidRPr="005702ED">
        <w:rPr>
          <w:rFonts w:ascii="Arial" w:eastAsia="Calibri" w:hAnsi="Arial" w:cs="Arial"/>
          <w:sz w:val="22"/>
          <w:szCs w:val="22"/>
          <w:vertAlign w:val="superscript"/>
          <w:lang w:val="en-US"/>
        </w:rPr>
        <w:fldChar w:fldCharType="begin" w:fldLock="1"/>
      </w:r>
      <w:r w:rsidRPr="005702ED">
        <w:rPr>
          <w:rFonts w:ascii="Arial" w:eastAsia="Calibri" w:hAnsi="Arial" w:cs="Arial"/>
          <w:sz w:val="22"/>
          <w:szCs w:val="22"/>
          <w:vertAlign w:val="superscript"/>
          <w:lang w:val="en-US"/>
        </w:rPr>
        <w:instrText>ADDIN CSL_CITATION {"citationItems":[{"id":"ITEM-1","itemData":{"DOI":"10.1111/j.1447-0594.2012.00965.x","ISBN":"1447-0594 (Electronic)\\r1447-0594 (Linking)","ISSN":"14441586","PMID":"23185998","abstract":"The objective of this study was to analyze whether a meta-analysis could allow us to draw useful conclusions about the risk factors for falls in the elderly. A systematic review was carried out of various databases and completed manually. To satisfy the inclusion criteria, an article had to examine a population of subjects aged over 60 years to pertain to falls occurring during daily living activities, and to involve observational or interventional studies. This review identified 4405 indexed articles published between 1981 and 2011. Of the 220 studies with available data that were included in the final study, just 4% were interventional. Among these 220 studies, just 45% offered a satisfactory level of scientific proof. In total, 88 meta-analyses were carried out on the 156 potential protectors or risk factors that were identified. Our systematic review and meta-analyses ensured that high-quality results were obtained from this comprehensive literature search and included a detailed assessment of the quality of the included studies. Several factors appeared to be disproportionately represented in the literature, a fact that likely reflects the objective and precise assessment of these factors rather than their importance in the falls of the elderly. Thus, we cannot be certain that we obtained the most comprehensive analysis of the risk factors for falling with this method. Meta-analyses can help to define the association between falls and various risk factors, but they have to be used complementary to systematic review for the assessment of risk factors.","author":[{"dropping-particle":"","family":"Bloch","given":"Frederic","non-dropping-particle":"","parse-names":false,"suffix":""},{"dropping-particle":"","family":"Thibaud","given":"Marie","non-dropping-particle":"","parse-names":false,"suffix":""},{"dropping-particle":"","family":"Tournoux-Facon","given":"Caroline","non-dropping-particle":"","parse-names":false,"suffix":""},{"dropping-particle":"","family":"Brèque","given":"Cyril","non-dropping-particle":"","parse-names":false,"suffix":""},{"dropping-particle":"","family":"Rigaud","given":"Anne Sophie","non-dropping-particle":"","parse-names":false,"suffix":""},{"dropping-particle":"","family":"Dugué","given":"Benoit","non-dropping-particle":"","parse-names":false,"suffix":""},{"dropping-particle":"","family":"Kemoun","given":"Gilles","non-dropping-particle":"","parse-names":false,"suffix":""}],"container-title":"Geriatr Gerontol Int","id":"ITEM-1","issue":"2","issued":{"date-parts":[["2013"]]},"page":"250-63","title":"Estimation of the risk factors for falls in the elderly: Can meta-analysis provide a valid answer?","type":"article-journal","volume":"13"},"uris":["http://www.mendeley.com/documents/?uuid=462356f3-1298-458c-a937-6f3ca151ad4c"]}],"mendeley":{"formattedCitation":"(45)","plainTextFormattedCitation":"(45)","previouslyFormattedCitation":"(45)"},"properties":{"noteIndex":0},"schema":"https://github.com/citation-style-language/schema/raw/master/csl-citation.json"}</w:instrText>
      </w:r>
      <w:r w:rsidR="00C64C82" w:rsidRPr="005702ED">
        <w:rPr>
          <w:rFonts w:ascii="Arial" w:eastAsia="Calibri" w:hAnsi="Arial" w:cs="Arial"/>
          <w:sz w:val="22"/>
          <w:szCs w:val="22"/>
          <w:vertAlign w:val="superscript"/>
          <w:lang w:val="en-US"/>
        </w:rPr>
        <w:fldChar w:fldCharType="separate"/>
      </w:r>
      <w:r w:rsidRPr="005702ED">
        <w:rPr>
          <w:rFonts w:ascii="Arial" w:eastAsia="Calibri" w:hAnsi="Arial" w:cs="Arial"/>
          <w:noProof/>
          <w:sz w:val="22"/>
          <w:szCs w:val="22"/>
          <w:lang w:val="en-US"/>
        </w:rPr>
        <w:t>(45)</w:t>
      </w:r>
      <w:r w:rsidR="00C64C82" w:rsidRPr="005702ED">
        <w:rPr>
          <w:rFonts w:ascii="Arial" w:eastAsia="Calibri" w:hAnsi="Arial" w:cs="Arial"/>
          <w:sz w:val="22"/>
          <w:szCs w:val="22"/>
          <w:vertAlign w:val="superscript"/>
          <w:lang w:val="en-US"/>
        </w:rPr>
        <w:fldChar w:fldCharType="end"/>
      </w:r>
      <w:r w:rsidR="002968B2" w:rsidRPr="005702ED">
        <w:rPr>
          <w:rFonts w:ascii="Arial" w:eastAsia="Calibri" w:hAnsi="Arial" w:cs="Arial"/>
          <w:sz w:val="22"/>
          <w:szCs w:val="22"/>
          <w:lang w:val="en-US"/>
        </w:rPr>
        <w:t>.</w:t>
      </w:r>
      <w:r w:rsidR="00B80E39" w:rsidRPr="005702ED">
        <w:rPr>
          <w:rFonts w:ascii="Arial" w:eastAsia="Calibri" w:hAnsi="Arial" w:cs="Arial"/>
          <w:sz w:val="22"/>
          <w:szCs w:val="22"/>
          <w:lang w:val="en-US"/>
        </w:rPr>
        <w:t xml:space="preserve"> </w:t>
      </w:r>
      <w:r w:rsidR="00E039DF" w:rsidRPr="005702ED">
        <w:rPr>
          <w:rFonts w:ascii="Arial" w:eastAsia="Calibri" w:hAnsi="Arial" w:cs="Arial"/>
          <w:sz w:val="22"/>
          <w:szCs w:val="22"/>
          <w:lang w:val="en-US"/>
        </w:rPr>
        <w:t>M</w:t>
      </w:r>
      <w:r w:rsidR="009E1879" w:rsidRPr="005702ED">
        <w:rPr>
          <w:rFonts w:ascii="Arial" w:eastAsia="Calibri" w:hAnsi="Arial" w:cs="Arial"/>
          <w:sz w:val="22"/>
          <w:szCs w:val="22"/>
          <w:lang w:val="en-US"/>
        </w:rPr>
        <w:t>any women accept urinary incontinence as a normal part of aging</w:t>
      </w:r>
      <w:r w:rsidR="00507070" w:rsidRPr="005702ED">
        <w:rPr>
          <w:rFonts w:ascii="Arial" w:eastAsia="Calibri" w:hAnsi="Arial" w:cs="Arial"/>
          <w:sz w:val="22"/>
          <w:szCs w:val="22"/>
          <w:lang w:val="en-US"/>
        </w:rPr>
        <w:t>.</w:t>
      </w:r>
      <w:r w:rsidR="009E1879" w:rsidRPr="005702ED">
        <w:rPr>
          <w:rFonts w:ascii="Arial" w:eastAsia="Calibri" w:hAnsi="Arial" w:cs="Arial"/>
          <w:sz w:val="22"/>
          <w:szCs w:val="22"/>
          <w:lang w:val="en-US"/>
        </w:rPr>
        <w:t xml:space="preserve"> </w:t>
      </w:r>
      <w:r w:rsidR="009E1879" w:rsidRPr="005702ED">
        <w:rPr>
          <w:rFonts w:ascii="Arial" w:eastAsia="Calibri" w:hAnsi="Arial" w:cs="Arial"/>
          <w:sz w:val="22"/>
          <w:szCs w:val="22"/>
          <w:lang w:val="en-US"/>
        </w:rPr>
        <w:fldChar w:fldCharType="begin" w:fldLock="1"/>
      </w:r>
      <w:r w:rsidRPr="005702ED">
        <w:rPr>
          <w:rFonts w:ascii="Arial" w:eastAsia="Calibri" w:hAnsi="Arial" w:cs="Arial"/>
          <w:sz w:val="22"/>
          <w:szCs w:val="22"/>
          <w:lang w:val="en-US"/>
        </w:rPr>
        <w:instrText>ADDIN CSL_CITATION {"citationItems":[{"id":"ITEM-1","itemData":{"DOI":"10.1007/s00192-013-2276-7","ISBN":"0019201322767","ISSN":"0937-3462","PMID":"24310988","abstract":"INTRODUCTION AND HYPOTHESIS: Perceptions about urinary incontinence (UI) may have a differential impact on treatment-seeking behaviors. Thus, we aimed to systematically review perceptions regarding UI in women of different racial and ethnic populations.\\n\\nMETHODS: MEDLINE, EMBASE, Scirus, Google Scholar, Open J-Gate, AgeLine, and Global Health (CABI) were searched from January 1980 to August 2011. We included qualitative studies that described knowledge, perception, or personal views about UI in women. Studies were excluded if they did not specify race/ethnicity of subjects, if they reported on non-UI urinary symptoms, or if they were performed exclusively in men. Three independent reviewers screened all studies. The relevance, appropriateness, transparency, and soundness (RATS) scale for qualitative research was used to assess study quality. Because of the qualitative data, meta-analyses were not performed.\\n\\nRESULTS: Of 3,676 citations, 23 studies met the inclusion criteria. Based on the RATS scale, these were categorized into 11 high-, 2 moderate-, and 10 low-quality studies. Dominant themes fell into two categories, UI management and UI experience, and were similar across racial/ethnic groups. Across multiple studies, women reiterated a preference for discussing UI with other women, even if this was not a physician. Non-white women expressed self-blame and perceived UI as a negative outcome from childbirth or prior sexual experiences. Latina women maintained more secrecy around this issue, even amongst family members.\\n\\nCONCLUSIONS: Women across different racial and ethnic groups share similar UI management strategies and UI experiences. However, perceptions about UI may differ in certain populations. These findings could be useful when considering future educational strategies regarding UI in women.","author":[{"dropping-particle":"","family":"Siddiqui","given":"Nazema Y.","non-dropping-particle":"","parse-names":false,"suffix":""},{"dropping-particle":"","family":"Levin","given":"Pamela J.","non-dropping-particle":"","parse-names":false,"suffix":""},{"dropping-particle":"","family":"Phadtare","given":"Amruta","non-dropping-particle":"","parse-names":false,"suffix":""},{"dropping-particle":"","family":"Pietrobon","given":"Ricardo","non-dropping-particle":"","parse-names":false,"suffix":""},{"dropping-particle":"","family":"Ammarell","given":"Natalie","non-dropping-particle":"","parse-names":false,"suffix":""}],"container-title":"Int Urogynecol J","id":"ITEM-1","issue":"7","issued":{"date-parts":[["2014"]]},"page":"863-871","title":"Perceptions about female urinary incontinence: a systematic review","type":"article-journal","volume":"25"},"uris":["http://www.mendeley.com/documents/?uuid=33af9ab0-9ffd-458e-9291-196f6651f772"]}],"mendeley":{"formattedCitation":"(46)","plainTextFormattedCitation":"(46)","previouslyFormattedCitation":"(46)"},"properties":{"noteIndex":0},"schema":"https://github.com/citation-style-language/schema/raw/master/csl-citation.json"}</w:instrText>
      </w:r>
      <w:r w:rsidR="009E1879" w:rsidRPr="005702ED">
        <w:rPr>
          <w:rFonts w:ascii="Arial" w:eastAsia="Calibri" w:hAnsi="Arial" w:cs="Arial"/>
          <w:sz w:val="22"/>
          <w:szCs w:val="22"/>
          <w:lang w:val="en-US"/>
        </w:rPr>
        <w:fldChar w:fldCharType="separate"/>
      </w:r>
      <w:r w:rsidRPr="005702ED">
        <w:rPr>
          <w:rFonts w:ascii="Arial" w:eastAsia="Calibri" w:hAnsi="Arial" w:cs="Arial"/>
          <w:noProof/>
          <w:sz w:val="22"/>
          <w:szCs w:val="22"/>
          <w:lang w:val="en-US"/>
        </w:rPr>
        <w:t>(46)</w:t>
      </w:r>
      <w:r w:rsidR="009E1879" w:rsidRPr="005702ED">
        <w:rPr>
          <w:rFonts w:ascii="Arial" w:eastAsia="Calibri" w:hAnsi="Arial" w:cs="Arial"/>
          <w:sz w:val="22"/>
          <w:szCs w:val="22"/>
          <w:lang w:val="en-US"/>
        </w:rPr>
        <w:fldChar w:fldCharType="end"/>
      </w:r>
      <w:r w:rsidR="008E0BDD" w:rsidRPr="005702ED">
        <w:rPr>
          <w:rFonts w:ascii="Arial" w:eastAsia="Calibri" w:hAnsi="Arial" w:cs="Arial"/>
          <w:sz w:val="22"/>
          <w:szCs w:val="22"/>
          <w:lang w:val="en-US"/>
        </w:rPr>
        <w:t xml:space="preserve"> However, it has a significant psychosocial, economic burden and </w:t>
      </w:r>
      <w:r w:rsidR="00D904CF" w:rsidRPr="005702ED">
        <w:rPr>
          <w:rFonts w:ascii="Arial" w:eastAsia="Calibri" w:hAnsi="Arial" w:cs="Arial"/>
          <w:sz w:val="22"/>
          <w:szCs w:val="22"/>
          <w:lang w:val="en-US"/>
        </w:rPr>
        <w:t>can lead</w:t>
      </w:r>
      <w:r w:rsidR="008E0BDD" w:rsidRPr="005702ED">
        <w:rPr>
          <w:rFonts w:ascii="Arial" w:eastAsia="Calibri" w:hAnsi="Arial" w:cs="Arial"/>
          <w:sz w:val="22"/>
          <w:szCs w:val="22"/>
          <w:lang w:val="en-US"/>
        </w:rPr>
        <w:t xml:space="preserve"> to low quality of life</w:t>
      </w:r>
      <w:r w:rsidR="000F39AC" w:rsidRPr="005702ED">
        <w:rPr>
          <w:rFonts w:ascii="Arial" w:eastAsia="Calibri" w:hAnsi="Arial" w:cs="Arial"/>
          <w:sz w:val="22"/>
          <w:szCs w:val="22"/>
          <w:lang w:val="en-US"/>
        </w:rPr>
        <w:t xml:space="preserve"> </w:t>
      </w:r>
      <w:r w:rsidR="00B02D5C" w:rsidRPr="005702ED">
        <w:rPr>
          <w:rFonts w:ascii="Arial" w:eastAsia="Calibri" w:hAnsi="Arial" w:cs="Arial"/>
          <w:sz w:val="22"/>
          <w:szCs w:val="22"/>
          <w:lang w:val="en-US"/>
        </w:rPr>
        <w:fldChar w:fldCharType="begin" w:fldLock="1"/>
      </w:r>
      <w:r w:rsidRPr="005702ED">
        <w:rPr>
          <w:rFonts w:ascii="Arial" w:eastAsia="Calibri" w:hAnsi="Arial" w:cs="Arial"/>
          <w:sz w:val="22"/>
          <w:szCs w:val="22"/>
          <w:lang w:val="en-US"/>
        </w:rPr>
        <w:instrText>ADDIN CSL_CITATION {"citationItems":[{"id":"ITEM-1","itemData":{"author":[{"dropping-particle":"","family":"Padmanabhan","given":"P","non-dropping-particle":"","parse-names":false,"suffix":""},{"dropping-particle":"","family":"Dmochowsi","given":"R","non-dropping-particle":"","parse-names":false,"suffix":""}],"container-title":"Minerva Ginecol","id":"ITEM-1","issue":"5","issued":{"date-parts":[["2014"]]},"page":"469-78","title":"Urinary incontinence in women: a comprehensive review of the pathophysiology,diagnosis and treatment","type":"article-journal","volume":"66"},"uris":["http://www.mendeley.com/documents/?uuid=0b990bb8-07a4-4054-a274-73766b4e004e"]}],"mendeley":{"formattedCitation":"(47)","plainTextFormattedCitation":"(47)","previouslyFormattedCitation":"(47)"},"properties":{"noteIndex":0},"schema":"https://github.com/citation-style-language/schema/raw/master/csl-citation.json"}</w:instrText>
      </w:r>
      <w:r w:rsidR="00B02D5C" w:rsidRPr="005702ED">
        <w:rPr>
          <w:rFonts w:ascii="Arial" w:eastAsia="Calibri" w:hAnsi="Arial" w:cs="Arial"/>
          <w:sz w:val="22"/>
          <w:szCs w:val="22"/>
          <w:lang w:val="en-US"/>
        </w:rPr>
        <w:fldChar w:fldCharType="separate"/>
      </w:r>
      <w:r w:rsidRPr="005702ED">
        <w:rPr>
          <w:rFonts w:ascii="Arial" w:eastAsia="Calibri" w:hAnsi="Arial" w:cs="Arial"/>
          <w:noProof/>
          <w:sz w:val="22"/>
          <w:szCs w:val="22"/>
          <w:lang w:val="en-US"/>
        </w:rPr>
        <w:t>(47)</w:t>
      </w:r>
      <w:r w:rsidR="00B02D5C" w:rsidRPr="005702ED">
        <w:rPr>
          <w:rFonts w:ascii="Arial" w:eastAsia="Calibri" w:hAnsi="Arial" w:cs="Arial"/>
          <w:sz w:val="22"/>
          <w:szCs w:val="22"/>
          <w:lang w:val="en-US"/>
        </w:rPr>
        <w:fldChar w:fldCharType="end"/>
      </w:r>
      <w:r w:rsidR="008E0BDD" w:rsidRPr="005702ED">
        <w:rPr>
          <w:rFonts w:ascii="Arial" w:eastAsia="Calibri" w:hAnsi="Arial" w:cs="Arial"/>
          <w:sz w:val="22"/>
          <w:szCs w:val="22"/>
          <w:lang w:val="en-US"/>
        </w:rPr>
        <w:t xml:space="preserve">. Besides, it has been shown that urinary incontinence is a risk factor for falling </w:t>
      </w:r>
      <w:r w:rsidR="009E1879" w:rsidRPr="005702ED">
        <w:rPr>
          <w:rFonts w:ascii="Arial" w:eastAsia="Calibri" w:hAnsi="Arial" w:cs="Arial"/>
          <w:sz w:val="22"/>
          <w:szCs w:val="22"/>
          <w:lang w:val="en-US"/>
        </w:rPr>
        <w:fldChar w:fldCharType="begin" w:fldLock="1"/>
      </w:r>
      <w:r w:rsidRPr="005702ED">
        <w:rPr>
          <w:rFonts w:ascii="Arial" w:eastAsia="Calibri" w:hAnsi="Arial" w:cs="Arial"/>
          <w:sz w:val="22"/>
          <w:szCs w:val="22"/>
          <w:lang w:val="en-US"/>
        </w:rPr>
        <w:instrText>ADDIN CSL_CITATION {"citationItems":[{"id":"ITEM-1","itemData":{"DOI":"10.3909/riu0686","ISSN":"1523-6161 (Print)","PMID":"27162509","abstract":"Falls and fractures have a significant impact on our patients, their families, and caregivers, and cost the health care system billions of dollars. Each year, millions of adults aged 65 and older fall. Falls can cause moderate to severe injuries, such as hip fractures and head traumas, and can increase the risk of early death. Fortunately, falls are a public health problem that is largely preventable. Because many patients with falls and subsequent fractures have urologic conditions, urologists are positioned to help with the prevention of these significant and costly injuries. This article discusses the epidemiology of falls and fractures, and the urologic comorbidities that increase their risk.","author":[{"dropping-particle":"","family":"Soliman","given":"Yousef","non-dropping-particle":"","parse-names":false,"suffix":""},{"dropping-particle":"","family":"Meyer","given":"Richard","non-dropping-particle":"","parse-names":false,"suffix":""},{"dropping-particle":"","family":"Baum","given":"Neil","non-dropping-particle":"","parse-names":false,"suffix":""}],"container-title":"Rev Urol","id":"ITEM-1","issue":"1","issued":{"date-parts":[["2016"]]},"page":"28-32","title":"Falls in the Elderly Secondary to Urinary Symptoms.","type":"article-journal","volume":"18"},"uris":["http://www.mendeley.com/documents/?uuid=b3416c6b-7191-4ba6-9d21-73a12feab221"]},{"id":"ITEM-2","itemData":{"DOI":"10.1097/SPV.0000000000000093","ISBN":"2154-4212","ISSN":"2151-8378","PMID":"25185631","abstract":"OBJECTIVES As the aging population in the United States grows, the investigation of urinary incontinence (UI) issues becomes increasingly important, especially among women. Using data from the California Health Interview Survey (CHIS), we sought to determine the prevalence and correlates of UI among an ethnically diverse population of older community-dwelling women. METHODS A total of 5374 female Californians aged 65 years or older participated in a population-based, cross-sectional random-digit-dialing telephone survey. The CHIS 2003 adult survey included 1 question for Californians aged 65 years or older about UI. Additional information collected via the self-reported survey included demographics (age, race/ethnicity, education, and household income), general health data (self-reported health status, height and weight, fall history, and special equipment needs), medical comorbidities, and health behaviors (tobacco use, physical activity, and hormone replacement therapy). RESULTS The estimated statewide female prevalence rate for UI was 24.4%. Prevalence rates increased with age. Urinary incontinence was significantly associated with poorer overall health (adjusted odds ratio [OR], 3.43; P &lt; 0.001), decreased mobility (OR, 1.81; P = 0.004), current use of hormone replacement therapy (OR, 1.72; P &lt; 0.001), being overweight or obese (OR, 1.60; P &lt; 0.001), a history of falls (OR, 1.53; P = 0.002), and a history of heart disease (OR, 1.38; P = 0.010). After adjusting for all health factors, UI was not found to have any significant association with the level of education, household poverty status, or smoking status. CONCLUSIONS Urinary incontinence prevalence among this diverse group of older community-dwelling Californian women parallels that of other population-based studies. The CHIS demonstrated that poor health, increased BMI, falls, and decreased mobility are strongly correlated with UI.","author":[{"dropping-particle":"","family":"Bresee","given":"Catherine","non-dropping-particle":"","parse-names":false,"suffix":""},{"dropping-particle":"","family":"Dubina","given":"Emily D.","non-dropping-particle":"","parse-names":false,"suffix":""},{"dropping-particle":"","family":"Khan","given":"Aqsa A.","non-dropping-particle":"","parse-names":false,"suffix":""},{"dropping-particle":"","family":"Sevilla","given":"Claudia","non-dropping-particle":"","parse-names":false,"suffix":""},{"dropping-particle":"","family":"Grant","given":"David","non-dropping-particle":"","parse-names":false,"suffix":""},{"dropping-particle":"","family":"Eilber","given":"Karyn S.","non-dropping-particle":"","parse-names":false,"suffix":""},{"dropping-particle":"","family":"Anger","given":"Jennifer T.","non-dropping-particle":"","parse-names":false,"suffix":""}],"container-title":"Female Pelvic Med Reconstr Surg","id":"ITEM-2","issue":"6","issued":{"date-parts":[["2014"]]},"page":"328-333","title":"Prevalence and Correlates of Urinary Incontinence Among Older Community-Dwelling Women","type":"article-journal","volume":"20"},"uris":["http://www.mendeley.com/documents/?uuid=7cf49848-ef4b-47ff-8d69-50c2b3dbe9be"]}],"mendeley":{"formattedCitation":"(48,49)","plainTextFormattedCitation":"(48,49)","previouslyFormattedCitation":"(48,49)"},"properties":{"noteIndex":0},"schema":"https://github.com/citation-style-language/schema/raw/master/csl-citation.json"}</w:instrText>
      </w:r>
      <w:r w:rsidR="009E1879" w:rsidRPr="005702ED">
        <w:rPr>
          <w:rFonts w:ascii="Arial" w:eastAsia="Calibri" w:hAnsi="Arial" w:cs="Arial"/>
          <w:sz w:val="22"/>
          <w:szCs w:val="22"/>
          <w:lang w:val="en-US"/>
        </w:rPr>
        <w:fldChar w:fldCharType="separate"/>
      </w:r>
      <w:r w:rsidRPr="005702ED">
        <w:rPr>
          <w:rFonts w:ascii="Arial" w:eastAsia="Calibri" w:hAnsi="Arial" w:cs="Arial"/>
          <w:noProof/>
          <w:sz w:val="22"/>
          <w:szCs w:val="22"/>
          <w:lang w:val="en-US"/>
        </w:rPr>
        <w:t>(48,49)</w:t>
      </w:r>
      <w:r w:rsidR="009E1879" w:rsidRPr="005702ED">
        <w:rPr>
          <w:rFonts w:ascii="Arial" w:eastAsia="Calibri" w:hAnsi="Arial" w:cs="Arial"/>
          <w:sz w:val="22"/>
          <w:szCs w:val="22"/>
          <w:lang w:val="en-US"/>
        </w:rPr>
        <w:fldChar w:fldCharType="end"/>
      </w:r>
      <w:r w:rsidR="009E1879" w:rsidRPr="005702ED">
        <w:rPr>
          <w:rFonts w:ascii="Arial" w:eastAsia="Calibri" w:hAnsi="Arial" w:cs="Arial"/>
          <w:sz w:val="22"/>
          <w:szCs w:val="22"/>
          <w:lang w:val="en-US"/>
        </w:rPr>
        <w:t xml:space="preserve">. </w:t>
      </w:r>
      <w:r w:rsidR="008E0BDD" w:rsidRPr="005702ED">
        <w:rPr>
          <w:rFonts w:ascii="Arial" w:eastAsia="Calibri" w:hAnsi="Arial" w:cs="Arial"/>
          <w:sz w:val="22"/>
          <w:szCs w:val="22"/>
          <w:lang w:val="en-US"/>
        </w:rPr>
        <w:t xml:space="preserve">In our study, urinary incontinence was associated with an increased risk of falls in all groups. The reasons are limited. However, it is thought that there may be reasons such as rush to go to the toilet, or urinary incontinence </w:t>
      </w:r>
      <w:r w:rsidR="00D904CF" w:rsidRPr="005702ED">
        <w:rPr>
          <w:rFonts w:ascii="Arial" w:eastAsia="Calibri" w:hAnsi="Arial" w:cs="Arial"/>
          <w:sz w:val="22"/>
          <w:szCs w:val="22"/>
          <w:lang w:val="en-US"/>
        </w:rPr>
        <w:t xml:space="preserve">may be </w:t>
      </w:r>
      <w:r w:rsidR="008E0BDD" w:rsidRPr="005702ED">
        <w:rPr>
          <w:rFonts w:ascii="Arial" w:eastAsia="Calibri" w:hAnsi="Arial" w:cs="Arial"/>
          <w:sz w:val="22"/>
          <w:szCs w:val="22"/>
          <w:lang w:val="en-US"/>
        </w:rPr>
        <w:t>more frequent in individuals with mobility limitation</w:t>
      </w:r>
      <w:r w:rsidR="009E1879" w:rsidRPr="005702ED">
        <w:rPr>
          <w:rFonts w:ascii="Arial" w:eastAsia="Calibri" w:hAnsi="Arial" w:cs="Arial"/>
          <w:sz w:val="22"/>
          <w:szCs w:val="22"/>
          <w:lang w:val="en-US"/>
        </w:rPr>
        <w:t xml:space="preserve"> </w:t>
      </w:r>
      <w:r w:rsidR="009E1879" w:rsidRPr="005702ED">
        <w:rPr>
          <w:rFonts w:ascii="Arial" w:eastAsia="Calibri" w:hAnsi="Arial" w:cs="Arial"/>
          <w:sz w:val="22"/>
          <w:szCs w:val="22"/>
          <w:lang w:val="en-US"/>
        </w:rPr>
        <w:fldChar w:fldCharType="begin" w:fldLock="1"/>
      </w:r>
      <w:r w:rsidRPr="005702ED">
        <w:rPr>
          <w:rFonts w:ascii="Arial" w:eastAsia="Calibri" w:hAnsi="Arial" w:cs="Arial"/>
          <w:sz w:val="22"/>
          <w:szCs w:val="22"/>
          <w:lang w:val="en-US"/>
        </w:rPr>
        <w:instrText>ADDIN CSL_CITATION {"citationItems":[{"id":"ITEM-1","itemData":{"DOI":"10.1097/SPV.0000000000000093","ISBN":"2154-4212","ISSN":"2151-8378","PMID":"25185631","abstract":"OBJECTIVES As the aging population in the United States grows, the investigation of urinary incontinence (UI) issues becomes increasingly important, especially among women. Using data from the California Health Interview Survey (CHIS), we sought to determine the prevalence and correlates of UI among an ethnically diverse population of older community-dwelling women. METHODS A total of 5374 female Californians aged 65 years or older participated in a population-based, cross-sectional random-digit-dialing telephone survey. The CHIS 2003 adult survey included 1 question for Californians aged 65 years or older about UI. Additional information collected via the self-reported survey included demographics (age, race/ethnicity, education, and household income), general health data (self-reported health status, height and weight, fall history, and special equipment needs), medical comorbidities, and health behaviors (tobacco use, physical activity, and hormone replacement therapy). RESULTS The estimated statewide female prevalence rate for UI was 24.4%. Prevalence rates increased with age. Urinary incontinence was significantly associated with poorer overall health (adjusted odds ratio [OR], 3.43; P &lt; 0.001), decreased mobility (OR, 1.81; P = 0.004), current use of hormone replacement therapy (OR, 1.72; P &lt; 0.001), being overweight or obese (OR, 1.60; P &lt; 0.001), a history of falls (OR, 1.53; P = 0.002), and a history of heart disease (OR, 1.38; P = 0.010). After adjusting for all health factors, UI was not found to have any significant association with the level of education, household poverty status, or smoking status. CONCLUSIONS Urinary incontinence prevalence among this diverse group of older community-dwelling Californian women parallels that of other population-based studies. The CHIS demonstrated that poor health, increased BMI, falls, and decreased mobility are strongly correlated with UI.","author":[{"dropping-particle":"","family":"Bresee","given":"Catherine","non-dropping-particle":"","parse-names":false,"suffix":""},{"dropping-particle":"","family":"Dubina","given":"Emily D.","non-dropping-particle":"","parse-names":false,"suffix":""},{"dropping-particle":"","family":"Khan","given":"Aqsa A.","non-dropping-particle":"","parse-names":false,"suffix":""},{"dropping-particle":"","family":"Sevilla","given":"Claudia","non-dropping-particle":"","parse-names":false,"suffix":""},{"dropping-particle":"","family":"Grant","given":"David","non-dropping-particle":"","parse-names":false,"suffix":""},{"dropping-particle":"","family":"Eilber","given":"Karyn S.","non-dropping-particle":"","parse-names":false,"suffix":""},{"dropping-particle":"","family":"Anger","given":"Jennifer T.","non-dropping-particle":"","parse-names":false,"suffix":""}],"container-title":"Female Pelvic Med Reconstr Surg","id":"ITEM-1","issue":"6","issued":{"date-parts":[["2014"]]},"page":"328-333","title":"Prevalence and Correlates of Urinary Incontinence Among Older Community-Dwelling Women","type":"article-journal","volume":"20"},"uris":["http://www.mendeley.com/documents/?uuid=7cf49848-ef4b-47ff-8d69-50c2b3dbe9be"]}],"mendeley":{"formattedCitation":"(49)","plainTextFormattedCitation":"(49)","previouslyFormattedCitation":"(49)"},"properties":{"noteIndex":0},"schema":"https://github.com/citation-style-language/schema/raw/master/csl-citation.json"}</w:instrText>
      </w:r>
      <w:r w:rsidR="009E1879" w:rsidRPr="005702ED">
        <w:rPr>
          <w:rFonts w:ascii="Arial" w:eastAsia="Calibri" w:hAnsi="Arial" w:cs="Arial"/>
          <w:sz w:val="22"/>
          <w:szCs w:val="22"/>
          <w:lang w:val="en-US"/>
        </w:rPr>
        <w:fldChar w:fldCharType="separate"/>
      </w:r>
      <w:r w:rsidRPr="005702ED">
        <w:rPr>
          <w:rFonts w:ascii="Arial" w:eastAsia="Calibri" w:hAnsi="Arial" w:cs="Arial"/>
          <w:noProof/>
          <w:sz w:val="22"/>
          <w:szCs w:val="22"/>
          <w:lang w:val="en-US"/>
        </w:rPr>
        <w:t>(49)</w:t>
      </w:r>
      <w:r w:rsidR="009E1879" w:rsidRPr="005702ED">
        <w:rPr>
          <w:rFonts w:ascii="Arial" w:eastAsia="Calibri" w:hAnsi="Arial" w:cs="Arial"/>
          <w:sz w:val="22"/>
          <w:szCs w:val="22"/>
          <w:lang w:val="en-US"/>
        </w:rPr>
        <w:fldChar w:fldCharType="end"/>
      </w:r>
      <w:r w:rsidR="009E1879" w:rsidRPr="005702ED">
        <w:rPr>
          <w:rFonts w:ascii="Arial" w:eastAsia="Calibri" w:hAnsi="Arial" w:cs="Arial"/>
          <w:sz w:val="22"/>
          <w:szCs w:val="22"/>
          <w:lang w:val="en-US"/>
        </w:rPr>
        <w:t xml:space="preserve">.  </w:t>
      </w:r>
    </w:p>
    <w:p w14:paraId="19D05F4D" w14:textId="0B8CC212" w:rsidR="00161E00" w:rsidRPr="005702ED" w:rsidRDefault="00110050" w:rsidP="000E2C41">
      <w:pPr>
        <w:spacing w:line="480" w:lineRule="auto"/>
        <w:jc w:val="both"/>
        <w:rPr>
          <w:rFonts w:ascii="Arial" w:eastAsia="Calibri" w:hAnsi="Arial" w:cs="Arial"/>
          <w:sz w:val="22"/>
          <w:szCs w:val="22"/>
          <w:lang w:val="en-US"/>
        </w:rPr>
      </w:pPr>
      <w:r w:rsidRPr="005702ED">
        <w:rPr>
          <w:rFonts w:ascii="Arial" w:eastAsia="Calibri" w:hAnsi="Arial" w:cs="Arial"/>
          <w:color w:val="000000" w:themeColor="text1"/>
          <w:sz w:val="22"/>
          <w:szCs w:val="22"/>
          <w:lang w:val="en-US"/>
        </w:rPr>
        <w:t xml:space="preserve">Interestingly, the present study found that </w:t>
      </w:r>
      <w:r w:rsidR="00432E50" w:rsidRPr="005702ED">
        <w:rPr>
          <w:rFonts w:ascii="Arial" w:eastAsia="Calibri" w:hAnsi="Arial" w:cs="Arial"/>
          <w:color w:val="000000" w:themeColor="text1"/>
          <w:sz w:val="22"/>
          <w:szCs w:val="22"/>
          <w:lang w:val="en-US"/>
        </w:rPr>
        <w:t xml:space="preserve">each </w:t>
      </w:r>
      <w:r w:rsidR="00432E50" w:rsidRPr="005702ED">
        <w:rPr>
          <w:rFonts w:ascii="Arial" w:eastAsia="Calibri" w:hAnsi="Arial" w:cs="Arial"/>
          <w:sz w:val="22"/>
          <w:szCs w:val="22"/>
          <w:lang w:val="en-US"/>
        </w:rPr>
        <w:t>unit increase in CCI increased the risk of fall</w:t>
      </w:r>
      <w:r w:rsidR="008E0BDD" w:rsidRPr="005702ED">
        <w:rPr>
          <w:rFonts w:ascii="Arial" w:eastAsia="Calibri" w:hAnsi="Arial" w:cs="Arial"/>
          <w:sz w:val="22"/>
          <w:szCs w:val="22"/>
          <w:lang w:val="en-US"/>
        </w:rPr>
        <w:t>s</w:t>
      </w:r>
      <w:r w:rsidR="00432E50" w:rsidRPr="005702ED">
        <w:rPr>
          <w:rFonts w:ascii="Arial" w:eastAsia="Calibri" w:hAnsi="Arial" w:cs="Arial"/>
          <w:sz w:val="22"/>
          <w:szCs w:val="22"/>
          <w:lang w:val="en-US"/>
        </w:rPr>
        <w:t xml:space="preserve"> in all four groups. There is a limited number of studies in the literature that </w:t>
      </w:r>
      <w:r w:rsidR="00405A3B" w:rsidRPr="005702ED">
        <w:rPr>
          <w:rFonts w:ascii="Arial" w:eastAsia="Calibri" w:hAnsi="Arial" w:cs="Arial"/>
          <w:sz w:val="22"/>
          <w:szCs w:val="22"/>
          <w:lang w:val="en-US"/>
        </w:rPr>
        <w:t xml:space="preserve">investigate the association </w:t>
      </w:r>
      <w:r w:rsidR="00432E50" w:rsidRPr="005702ED">
        <w:rPr>
          <w:rFonts w:ascii="Arial" w:eastAsia="Calibri" w:hAnsi="Arial" w:cs="Arial"/>
          <w:sz w:val="22"/>
          <w:szCs w:val="22"/>
          <w:lang w:val="en-US"/>
        </w:rPr>
        <w:t xml:space="preserve">between CCI and the risk of falls, </w:t>
      </w:r>
      <w:r w:rsidR="00405A3B" w:rsidRPr="005702ED">
        <w:rPr>
          <w:rFonts w:ascii="Arial" w:eastAsia="Calibri" w:hAnsi="Arial" w:cs="Arial"/>
          <w:sz w:val="22"/>
          <w:szCs w:val="22"/>
          <w:lang w:val="en-US"/>
        </w:rPr>
        <w:t>however, our findings do support the limited literature in this area</w:t>
      </w:r>
      <w:r w:rsidR="00D027B2" w:rsidRPr="005702ED">
        <w:rPr>
          <w:rFonts w:ascii="Arial" w:eastAsia="Calibri" w:hAnsi="Arial" w:cs="Arial"/>
          <w:sz w:val="22"/>
          <w:szCs w:val="22"/>
          <w:lang w:val="en-US"/>
        </w:rPr>
        <w:t xml:space="preserve"> </w:t>
      </w:r>
      <w:r w:rsidR="00432E50" w:rsidRPr="005702ED">
        <w:rPr>
          <w:rFonts w:ascii="Arial" w:eastAsia="Calibri" w:hAnsi="Arial" w:cs="Arial"/>
          <w:sz w:val="22"/>
          <w:szCs w:val="22"/>
          <w:lang w:val="en-US"/>
        </w:rPr>
        <w:fldChar w:fldCharType="begin" w:fldLock="1"/>
      </w:r>
      <w:r w:rsidR="000F1F6E" w:rsidRPr="005702ED">
        <w:rPr>
          <w:rFonts w:ascii="Arial" w:eastAsia="Calibri" w:hAnsi="Arial" w:cs="Arial"/>
          <w:sz w:val="22"/>
          <w:szCs w:val="22"/>
          <w:lang w:val="en-US"/>
        </w:rPr>
        <w:instrText>ADDIN CSL_CITATION {"citationItems":[{"id":"ITEM-1","itemData":{"DOI":"10.1016/S0002-9343(99)80133-8","ISBN":"0002-9343","ISSN":"00029343","PMID":"7625418","abstract":"PURPOSE: To evaluate the correlates of serious falls in hospitalized patients and the resource utilization associated with such falls. PATIENTS AND METHODS: This retrospective case-control study was performed in an urban tertiary care hospital. The 62 cases included all inpatients with available charts who were reported as having fallen with a resulting fracture (n = 22), dislocation (n = 1), or laceration or hematoma (n = 39) after being admitted between January 1987 and March 1991. The 62 controls were matched by date of hospitalization (within 3 months), age (within 5 years), gender, and length of stay up to the time of the fall. RESULTS: Univariate correlates of falls (P &lt; 0.05) included severity of underlying disease, Charlson comorbidity score, and Confusion Assessment Method (CAM) score. In multivariate conditional logistic regression analyses, only the Charlson index (P &lt; 0.006) and the CAM score (P &lt; 0.03) were independent correlates of a fall. Exposure to any of a number of drugs did not predict falls, but the power to detect drug effects was limited. A combination of the Charlson comorbidity and CAM scores identified a population at substantially increased risk of fall, including 50% (31/62) of fallers, versus 16% (10/62) of controls (odds ratio 5.2; 95% confidence interval, 2.4 to 12). In multivariate analyses, falls were also independently correlated with increases in length of stay (P &lt; 0.004) and total charges (P &lt; 0.008). Fallers stayed 12 days longer and had charges $4,233 higher than controls, after adjustment for potential clinical and nonclinical confounders. CONCLUSION: Falls during hospitalization are commoner in confused patients and those with greater comorbidity. This profile differs from that of fallers in the community, probably because hospitalized patients are sicker. Injurious falls are associated with substantially increased resource utilization.","author":[{"dropping-particle":"","family":"Bates","given":"David W.","non-dropping-particle":"","parse-names":false,"suffix":""},{"dropping-particle":"","family":"Pruess","given":"Kim","non-dropping-particle":"","parse-names":false,"suffix":""},{"dropping-particle":"","family":"Souney","given":"Paul","non-dropping-particle":"","parse-names":false,"suffix":""},{"dropping-particle":"","family":"Platt","given":"Richard","non-dropping-particle":"","parse-names":false,"suffix":""}],"container-title":"Am J Med","id":"ITEM-1","issue":"2","issued":{"date-parts":[["1995"]]},"page":"137-143","title":"Serious falls in hospitalized patients: Correlates and resource utilization","type":"article-journal","volume":"99"},"uris":["http://www.mendeley.com/documents/?uuid=997caa3d-b37f-45bd-8149-386213fb39fa"]},{"id":"ITEM-2","itemData":{"DOI":"10.1186/1471-2318-11-45","ISBN":"1471-2318 (Electronic)\\r1471-2318 (Linking)","ISSN":"14712318","PMID":"21851627","abstract":"ABSTRACT:","author":[{"dropping-particle":"","family":"Vu","given":"Trang","non-dropping-particle":"","parse-names":false,"suffix":""},{"dropping-particle":"","family":"Finch","given":"Caroline F.","non-dropping-particle":"","parse-names":false,"suffix":""},{"dropping-particle":"","family":"Day","given":"Lesley","non-dropping-particle":"","parse-names":false,"suffix":""}],"container-title":"BMC Geriatr","id":"ITEM-2","issued":{"date-parts":[["2011"]]},"page":"45","title":"Patterns of comorbidity in community-dwelling older people hospitalised for fall-related injury: A cluster analysis","type":"article-journal","volume":"11"},"uris":["http://www.mendeley.com/documents/?uuid=abc7b85e-a7c2-46ed-a433-34aafe850093"]}],"mendeley":{"formattedCitation":"(50,51)","plainTextFormattedCitation":"(50,51)","previouslyFormattedCitation":"(50,51)"},"properties":{"noteIndex":0},"schema":"https://github.com/citation-style-language/schema/raw/master/csl-citation.json"}</w:instrText>
      </w:r>
      <w:r w:rsidR="00432E50" w:rsidRPr="005702ED">
        <w:rPr>
          <w:rFonts w:ascii="Arial" w:eastAsia="Calibri" w:hAnsi="Arial" w:cs="Arial"/>
          <w:sz w:val="22"/>
          <w:szCs w:val="22"/>
          <w:lang w:val="en-US"/>
        </w:rPr>
        <w:fldChar w:fldCharType="separate"/>
      </w:r>
      <w:r w:rsidR="000F1F6E" w:rsidRPr="005702ED">
        <w:rPr>
          <w:rFonts w:ascii="Arial" w:eastAsia="Calibri" w:hAnsi="Arial" w:cs="Arial"/>
          <w:noProof/>
          <w:sz w:val="22"/>
          <w:szCs w:val="22"/>
          <w:lang w:val="en-US"/>
        </w:rPr>
        <w:t>(50,51)</w:t>
      </w:r>
      <w:r w:rsidR="00432E50" w:rsidRPr="005702ED">
        <w:rPr>
          <w:rFonts w:ascii="Arial" w:eastAsia="Calibri" w:hAnsi="Arial" w:cs="Arial"/>
          <w:sz w:val="22"/>
          <w:szCs w:val="22"/>
          <w:lang w:val="en-US"/>
        </w:rPr>
        <w:fldChar w:fldCharType="end"/>
      </w:r>
      <w:r w:rsidR="00432E50" w:rsidRPr="005702ED">
        <w:rPr>
          <w:rFonts w:ascii="Arial" w:eastAsia="Calibri" w:hAnsi="Arial" w:cs="Arial"/>
          <w:sz w:val="22"/>
          <w:szCs w:val="22"/>
          <w:lang w:val="en-US"/>
        </w:rPr>
        <w:t xml:space="preserve">. These findings suggest that the use of comorbidity indexes may be more useful to assess the risk of falls rather than evaluating comorbidities separately. </w:t>
      </w:r>
      <w:r w:rsidR="007873D1" w:rsidRPr="005702ED">
        <w:rPr>
          <w:rFonts w:ascii="Arial" w:eastAsia="Calibri" w:hAnsi="Arial" w:cs="Arial"/>
          <w:sz w:val="22"/>
          <w:szCs w:val="22"/>
          <w:lang w:val="en-US"/>
        </w:rPr>
        <w:t xml:space="preserve">Within comorbidities, diabetes and osteoarthritis were the most frequently associated with falls according to different assessment </w:t>
      </w:r>
      <w:r w:rsidR="00293B83" w:rsidRPr="005702ED">
        <w:rPr>
          <w:rFonts w:ascii="Arial" w:eastAsia="Calibri" w:hAnsi="Arial" w:cs="Arial"/>
          <w:sz w:val="22"/>
          <w:szCs w:val="22"/>
          <w:lang w:val="en-US"/>
        </w:rPr>
        <w:t>met</w:t>
      </w:r>
      <w:r w:rsidR="001E285D" w:rsidRPr="005702ED">
        <w:rPr>
          <w:rFonts w:ascii="Arial" w:eastAsia="Calibri" w:hAnsi="Arial" w:cs="Arial"/>
          <w:sz w:val="22"/>
          <w:szCs w:val="22"/>
          <w:lang w:val="en-US"/>
        </w:rPr>
        <w:t>h</w:t>
      </w:r>
      <w:r w:rsidR="00293B83" w:rsidRPr="005702ED">
        <w:rPr>
          <w:rFonts w:ascii="Arial" w:eastAsia="Calibri" w:hAnsi="Arial" w:cs="Arial"/>
          <w:sz w:val="22"/>
          <w:szCs w:val="22"/>
          <w:lang w:val="en-US"/>
        </w:rPr>
        <w:t>od</w:t>
      </w:r>
      <w:r w:rsidR="007873D1" w:rsidRPr="005702ED">
        <w:rPr>
          <w:rFonts w:ascii="Arial" w:eastAsia="Calibri" w:hAnsi="Arial" w:cs="Arial"/>
          <w:sz w:val="22"/>
          <w:szCs w:val="22"/>
          <w:lang w:val="en-US"/>
        </w:rPr>
        <w:t xml:space="preserve">s. </w:t>
      </w:r>
      <w:r w:rsidR="00B52AC8" w:rsidRPr="005702ED">
        <w:rPr>
          <w:rFonts w:ascii="Arial" w:eastAsia="Calibri" w:hAnsi="Arial" w:cs="Arial"/>
          <w:sz w:val="22"/>
          <w:szCs w:val="22"/>
          <w:lang w:val="en-US"/>
        </w:rPr>
        <w:t>O</w:t>
      </w:r>
      <w:r w:rsidR="007873D1" w:rsidRPr="005702ED">
        <w:rPr>
          <w:rFonts w:ascii="Arial" w:eastAsia="Calibri" w:hAnsi="Arial" w:cs="Arial"/>
          <w:sz w:val="22"/>
          <w:szCs w:val="22"/>
          <w:lang w:val="en-US"/>
        </w:rPr>
        <w:t>steoarthritis increased the risk of</w:t>
      </w:r>
      <w:r w:rsidR="008E0BDD" w:rsidRPr="005702ED">
        <w:rPr>
          <w:rFonts w:ascii="Arial" w:eastAsia="Calibri" w:hAnsi="Arial" w:cs="Arial"/>
          <w:sz w:val="22"/>
          <w:szCs w:val="22"/>
          <w:lang w:val="en-US"/>
        </w:rPr>
        <w:t xml:space="preserve"> falls</w:t>
      </w:r>
      <w:r w:rsidR="007873D1" w:rsidRPr="005702ED">
        <w:rPr>
          <w:rFonts w:ascii="Arial" w:eastAsia="Calibri" w:hAnsi="Arial" w:cs="Arial"/>
          <w:sz w:val="22"/>
          <w:szCs w:val="22"/>
          <w:lang w:val="en-US"/>
        </w:rPr>
        <w:t xml:space="preserve"> acc</w:t>
      </w:r>
      <w:r w:rsidR="008E0BDD" w:rsidRPr="005702ED">
        <w:rPr>
          <w:rFonts w:ascii="Arial" w:eastAsia="Calibri" w:hAnsi="Arial" w:cs="Arial"/>
          <w:sz w:val="22"/>
          <w:szCs w:val="22"/>
          <w:lang w:val="en-US"/>
        </w:rPr>
        <w:t>ording to 3 different clinical</w:t>
      </w:r>
      <w:r w:rsidR="007873D1" w:rsidRPr="005702ED">
        <w:rPr>
          <w:rFonts w:ascii="Arial" w:eastAsia="Calibri" w:hAnsi="Arial" w:cs="Arial"/>
          <w:sz w:val="22"/>
          <w:szCs w:val="22"/>
          <w:lang w:val="en-US"/>
        </w:rPr>
        <w:t xml:space="preserve"> </w:t>
      </w:r>
      <w:r w:rsidR="00293B83" w:rsidRPr="005702ED">
        <w:rPr>
          <w:rFonts w:ascii="Arial" w:eastAsia="Calibri" w:hAnsi="Arial" w:cs="Arial"/>
          <w:sz w:val="22"/>
          <w:szCs w:val="22"/>
          <w:lang w:val="en-US"/>
        </w:rPr>
        <w:t>met</w:t>
      </w:r>
      <w:r w:rsidR="001E285D" w:rsidRPr="005702ED">
        <w:rPr>
          <w:rFonts w:ascii="Arial" w:eastAsia="Calibri" w:hAnsi="Arial" w:cs="Arial"/>
          <w:sz w:val="22"/>
          <w:szCs w:val="22"/>
          <w:lang w:val="en-US"/>
        </w:rPr>
        <w:t>h</w:t>
      </w:r>
      <w:r w:rsidR="00293B83" w:rsidRPr="005702ED">
        <w:rPr>
          <w:rFonts w:ascii="Arial" w:eastAsia="Calibri" w:hAnsi="Arial" w:cs="Arial"/>
          <w:sz w:val="22"/>
          <w:szCs w:val="22"/>
          <w:lang w:val="en-US"/>
        </w:rPr>
        <w:t>od</w:t>
      </w:r>
      <w:r w:rsidR="007873D1" w:rsidRPr="005702ED">
        <w:rPr>
          <w:rFonts w:ascii="Arial" w:eastAsia="Calibri" w:hAnsi="Arial" w:cs="Arial"/>
          <w:sz w:val="22"/>
          <w:szCs w:val="22"/>
          <w:lang w:val="en-US"/>
        </w:rPr>
        <w:t xml:space="preserve">s. There are some controversial studies in the literature, but in many studies increased risk of falling in osteoarthritis has been shown </w:t>
      </w:r>
      <w:r w:rsidR="00F15361" w:rsidRPr="005702ED">
        <w:rPr>
          <w:rFonts w:ascii="Arial" w:eastAsia="Calibri" w:hAnsi="Arial" w:cs="Arial"/>
          <w:sz w:val="22"/>
          <w:szCs w:val="22"/>
          <w:lang w:val="en-US"/>
        </w:rPr>
        <w:fldChar w:fldCharType="begin" w:fldLock="1"/>
      </w:r>
      <w:r w:rsidR="000F1F6E" w:rsidRPr="005702ED">
        <w:rPr>
          <w:rFonts w:ascii="Arial" w:eastAsia="Calibri" w:hAnsi="Arial" w:cs="Arial"/>
          <w:sz w:val="22"/>
          <w:szCs w:val="22"/>
          <w:lang w:val="en-US"/>
        </w:rPr>
        <w:instrText>ADDIN CSL_CITATION {"citationItems":[{"id":"ITEM-1","itemData":{"DOI":"10.1093/ageing/aft070","ISBN":"0002-0729","ISSN":"00020729","PMID":"23864423","abstract":"Osteoarthritis and falls are common conditions affecting older individuals which are associated with disability and escalating health expenditure. It has been widely assumed that osteoarthritis is an established risk factor for falls in older people. The relationship between osteoarthritis and falls has, quite surprisingly, not been adequately elucidated, and published reports have been conflicting. Our review of the existing literature has found limited evidence supporting the current assumption that the presence of osteoarthritis is associated with increased risk of falls with suggestions that osteoarthritis may actually be protective against falls related fractures. In addition, joint arthroplasty appears to increase the risk of falls in individuals with osteoarthritis.","author":[{"dropping-particle":"","family":"Ng","given":"Chin Teck","non-dropping-particle":"","parse-names":false,"suffix":""},{"dropping-particle":"","family":"Tan","given":"Maw Pin","non-dropping-particle":"","parse-names":false,"suffix":""}],"container-title":"Age Ageing","id":"ITEM-1","issue":"5","issued":{"date-parts":[["2013"]]},"page":"561-566","title":"Osteoarthritis and falls in the older person","type":"article-journal","volume":"42"},"uris":["http://www.mendeley.com/documents/?uuid=a318855f-afff-4d35-804a-5c7b6b55e244"]},{"id":"ITEM-2","itemData":{"DOI":"10.1371/journal.pone.0092270","ISBN":"1932-6203 (Electronic)\\r1932-6203 (Linking)","ISSN":"19326203","PMID":"24642715","abstract":"Balance is essential for mobility and performing activities of daily living. People with knee osteoarthritis display impairment in knee joint proprioception. Thus, the aim of this study was to evaluate balance and risk of fall in individuals with bilateral mild and moderate knee osteoarthritis. Sixty subjects aged between 50 and 70 years volunteered in this study. They were categorized into three groups which were healthy (n = 20), mild (n = 20) and moderate (n = 20) bilateral knee osteoarthritis groups. Dynamic and static balance and risk of fall were assessed using Biodex Stability System. In addition, Timed Up and Go test was used as a clinical test for balance. Results of this study illustrated that there were significant differences in balance (dynamic and static) and risk of fall between three groups. In addition, the main (most significant) difference was found to be between healthy group and moderate group. Furthermore, on clinical scoring of balance, the \"Timed Up and Go\" test, all three groups showed significant difference. In conclusion, bilateral knee osteoarthritis impaired the balance and increased the risk of fall, particularly in people with moderate knee osteoarthritis.","author":[{"dropping-particle":"","family":"Khalaj","given":"Nafiseh","non-dropping-particle":"","parse-names":false,"suffix":""},{"dropping-particle":"","family":"Osman","given":"Noor Azuan Abu","non-dropping-particle":"","parse-names":false,"suffix":""},{"dropping-particle":"","family":"Mokhtar","given":"Abdul Halim","non-dropping-particle":"","parse-names":false,"suffix":""},{"dropping-particle":"","family":"Mehdikhani","given":"Mahboobeh","non-dropping-particle":"","parse-names":false,"suffix":""},{"dropping-particle":"","family":"Abas","given":"Wan Abu Bakar Wan","non-dropping-particle":"","parse-names":false,"suffix":""}],"container-title":"PLoS ONE","id":"ITEM-2","issue":"3","issued":{"date-parts":[["2014"]]},"page":"e92270","title":"Balance and risk of fall in individuals with bilateral mild and moderate knee osteoarthritis","type":"article-journal","volume":"9"},"uris":["http://www.mendeley.com/documents/?uuid=1ab659c2-7bd1-456c-9ed3-4117f247f1a3"]}],"mendeley":{"formattedCitation":"(52,53)","plainTextFormattedCitation":"(52,53)","previouslyFormattedCitation":"(52,53)"},"properties":{"noteIndex":0},"schema":"https://github.com/citation-style-language/schema/raw/master/csl-citation.json"}</w:instrText>
      </w:r>
      <w:r w:rsidR="00F15361" w:rsidRPr="005702ED">
        <w:rPr>
          <w:rFonts w:ascii="Arial" w:eastAsia="Calibri" w:hAnsi="Arial" w:cs="Arial"/>
          <w:sz w:val="22"/>
          <w:szCs w:val="22"/>
          <w:lang w:val="en-US"/>
        </w:rPr>
        <w:fldChar w:fldCharType="separate"/>
      </w:r>
      <w:r w:rsidR="000F1F6E" w:rsidRPr="005702ED">
        <w:rPr>
          <w:rFonts w:ascii="Arial" w:eastAsia="Calibri" w:hAnsi="Arial" w:cs="Arial"/>
          <w:noProof/>
          <w:sz w:val="22"/>
          <w:szCs w:val="22"/>
          <w:lang w:val="en-US"/>
        </w:rPr>
        <w:t>(52,53)</w:t>
      </w:r>
      <w:r w:rsidR="00F15361" w:rsidRPr="005702ED">
        <w:rPr>
          <w:rFonts w:ascii="Arial" w:eastAsia="Calibri" w:hAnsi="Arial" w:cs="Arial"/>
          <w:sz w:val="22"/>
          <w:szCs w:val="22"/>
          <w:lang w:val="en-US"/>
        </w:rPr>
        <w:fldChar w:fldCharType="end"/>
      </w:r>
      <w:r w:rsidR="007873D1" w:rsidRPr="005702ED">
        <w:rPr>
          <w:rFonts w:ascii="Arial" w:eastAsia="Calibri" w:hAnsi="Arial" w:cs="Arial"/>
          <w:sz w:val="22"/>
          <w:szCs w:val="22"/>
          <w:lang w:val="en-US"/>
        </w:rPr>
        <w:t>.</w:t>
      </w:r>
      <w:r w:rsidR="00F04C94" w:rsidRPr="005702ED">
        <w:rPr>
          <w:rFonts w:ascii="Arial" w:eastAsia="Calibri" w:hAnsi="Arial" w:cs="Arial"/>
          <w:sz w:val="22"/>
          <w:szCs w:val="22"/>
          <w:lang w:val="en-US"/>
        </w:rPr>
        <w:t xml:space="preserve"> </w:t>
      </w:r>
      <w:r w:rsidR="00D62F2B" w:rsidRPr="005702ED">
        <w:rPr>
          <w:rFonts w:ascii="Arial" w:eastAsia="Calibri" w:hAnsi="Arial" w:cs="Arial"/>
          <w:sz w:val="22"/>
          <w:szCs w:val="22"/>
          <w:lang w:val="en-US"/>
        </w:rPr>
        <w:t>The older</w:t>
      </w:r>
      <w:r w:rsidR="00640C91" w:rsidRPr="005702ED">
        <w:rPr>
          <w:rFonts w:ascii="Arial" w:eastAsia="Calibri" w:hAnsi="Arial" w:cs="Arial"/>
          <w:sz w:val="22"/>
          <w:szCs w:val="22"/>
          <w:lang w:val="en-US"/>
        </w:rPr>
        <w:t xml:space="preserve"> patients with knee and hip osteoarthritis</w:t>
      </w:r>
      <w:r w:rsidR="000038D1" w:rsidRPr="005702ED">
        <w:rPr>
          <w:rFonts w:ascii="Arial" w:eastAsia="Calibri" w:hAnsi="Arial" w:cs="Arial"/>
          <w:sz w:val="22"/>
          <w:szCs w:val="22"/>
          <w:lang w:val="en-US"/>
        </w:rPr>
        <w:t xml:space="preserve"> adopt different compensator biomechanical strategies during walking. Changes in walking patterns can cause postural instability and difficulties with transfer of </w:t>
      </w:r>
      <w:r w:rsidR="00811504" w:rsidRPr="005702ED">
        <w:rPr>
          <w:rFonts w:ascii="Arial" w:eastAsia="Calibri" w:hAnsi="Arial" w:cs="Arial"/>
          <w:sz w:val="22"/>
          <w:szCs w:val="22"/>
          <w:lang w:val="en-US"/>
        </w:rPr>
        <w:t>center</w:t>
      </w:r>
      <w:r w:rsidR="000038D1" w:rsidRPr="005702ED">
        <w:rPr>
          <w:rFonts w:ascii="Arial" w:eastAsia="Calibri" w:hAnsi="Arial" w:cs="Arial"/>
          <w:sz w:val="22"/>
          <w:szCs w:val="22"/>
          <w:lang w:val="en-US"/>
        </w:rPr>
        <w:t xml:space="preserve"> of gravity, and increase the risk of falls</w:t>
      </w:r>
      <w:r w:rsidR="005553A4" w:rsidRPr="005702ED">
        <w:rPr>
          <w:rFonts w:ascii="Arial" w:eastAsia="Calibri" w:hAnsi="Arial" w:cs="Arial"/>
          <w:sz w:val="22"/>
          <w:szCs w:val="22"/>
          <w:lang w:val="en-US"/>
        </w:rPr>
        <w:t xml:space="preserve"> </w:t>
      </w:r>
      <w:r w:rsidR="005553A4" w:rsidRPr="005702ED">
        <w:rPr>
          <w:rFonts w:ascii="Arial" w:eastAsia="Calibri" w:hAnsi="Arial" w:cs="Arial"/>
          <w:sz w:val="22"/>
          <w:szCs w:val="22"/>
          <w:lang w:val="en-US"/>
        </w:rPr>
        <w:fldChar w:fldCharType="begin" w:fldLock="1"/>
      </w:r>
      <w:r w:rsidR="000F1F6E" w:rsidRPr="005702ED">
        <w:rPr>
          <w:rFonts w:ascii="Arial" w:eastAsia="Calibri" w:hAnsi="Arial" w:cs="Arial"/>
          <w:sz w:val="22"/>
          <w:szCs w:val="22"/>
          <w:lang w:val="en-US"/>
        </w:rPr>
        <w:instrText>ADDIN CSL_CITATION {"citationItems":[{"id":"ITEM-1","itemData":{"DOI":"10.1093/ageing/aft070","ISBN":"0002-0729","ISSN":"00020729","PMID":"23864423","abstract":"Osteoarthritis and falls are common conditions affecting older individuals which are associated with disability and escalating health expenditure. It has been widely assumed that osteoarthritis is an established risk factor for falls in older people. The relationship between osteoarthritis and falls has, quite surprisingly, not been adequately elucidated, and published reports have been conflicting. Our review of the existing literature has found limited evidence supporting the current assumption that the presence of osteoarthritis is associated with increased risk of falls with suggestions that osteoarthritis may actually be protective against falls related fractures. In addition, joint arthroplasty appears to increase the risk of falls in individuals with osteoarthritis.","author":[{"dropping-particle":"","family":"Ng","given":"Chin Teck","non-dropping-particle":"","parse-names":false,"suffix":""},{"dropping-particle":"","family":"Tan","given":"Maw Pin","non-dropping-particle":"","parse-names":false,"suffix":""}],"container-title":"Age Ageing","id":"ITEM-1","issue":"5","issued":{"date-parts":[["2013"]]},"page":"561-566","title":"Osteoarthritis and falls in the older person","type":"article-journal","volume":"42"},"uris":["http://www.mendeley.com/documents/?uuid=a318855f-afff-4d35-804a-5c7b6b55e244"]}],"mendeley":{"formattedCitation":"(52)","plainTextFormattedCitation":"(52)","previouslyFormattedCitation":"(52)"},"properties":{"noteIndex":0},"schema":"https://github.com/citation-style-language/schema/raw/master/csl-citation.json"}</w:instrText>
      </w:r>
      <w:r w:rsidR="005553A4" w:rsidRPr="005702ED">
        <w:rPr>
          <w:rFonts w:ascii="Arial" w:eastAsia="Calibri" w:hAnsi="Arial" w:cs="Arial"/>
          <w:sz w:val="22"/>
          <w:szCs w:val="22"/>
          <w:lang w:val="en-US"/>
        </w:rPr>
        <w:fldChar w:fldCharType="separate"/>
      </w:r>
      <w:r w:rsidR="000F1F6E" w:rsidRPr="005702ED">
        <w:rPr>
          <w:rFonts w:ascii="Arial" w:eastAsia="Calibri" w:hAnsi="Arial" w:cs="Arial"/>
          <w:noProof/>
          <w:sz w:val="22"/>
          <w:szCs w:val="22"/>
          <w:lang w:val="en-US"/>
        </w:rPr>
        <w:t>(52)</w:t>
      </w:r>
      <w:r w:rsidR="005553A4" w:rsidRPr="005702ED">
        <w:rPr>
          <w:rFonts w:ascii="Arial" w:eastAsia="Calibri" w:hAnsi="Arial" w:cs="Arial"/>
          <w:sz w:val="22"/>
          <w:szCs w:val="22"/>
          <w:lang w:val="en-US"/>
        </w:rPr>
        <w:fldChar w:fldCharType="end"/>
      </w:r>
      <w:r w:rsidR="005553A4" w:rsidRPr="005702ED">
        <w:rPr>
          <w:rFonts w:ascii="Arial" w:eastAsia="Calibri" w:hAnsi="Arial" w:cs="Arial"/>
          <w:sz w:val="22"/>
          <w:szCs w:val="22"/>
          <w:lang w:val="en-US"/>
        </w:rPr>
        <w:t>.</w:t>
      </w:r>
      <w:r w:rsidR="00657C97" w:rsidRPr="005702ED">
        <w:rPr>
          <w:rFonts w:ascii="Arial" w:eastAsia="Calibri" w:hAnsi="Arial" w:cs="Arial"/>
          <w:sz w:val="22"/>
          <w:szCs w:val="22"/>
          <w:lang w:val="en-US"/>
        </w:rPr>
        <w:t xml:space="preserve"> </w:t>
      </w:r>
      <w:r w:rsidR="009C081E" w:rsidRPr="005702ED">
        <w:rPr>
          <w:rFonts w:ascii="Arial" w:eastAsia="Calibri" w:hAnsi="Arial" w:cs="Arial"/>
          <w:sz w:val="22"/>
          <w:szCs w:val="22"/>
          <w:lang w:val="en-US"/>
        </w:rPr>
        <w:t xml:space="preserve">Additionally, </w:t>
      </w:r>
      <w:r w:rsidR="00432E50" w:rsidRPr="005702ED">
        <w:rPr>
          <w:rFonts w:ascii="Arial" w:eastAsia="Calibri" w:hAnsi="Arial" w:cs="Arial"/>
          <w:sz w:val="22"/>
          <w:szCs w:val="22"/>
          <w:lang w:val="en-US"/>
        </w:rPr>
        <w:t>another comorbidity,</w:t>
      </w:r>
      <w:r w:rsidR="00F04C94" w:rsidRPr="005702ED">
        <w:rPr>
          <w:rFonts w:ascii="Arial" w:eastAsia="Calibri" w:hAnsi="Arial" w:cs="Arial"/>
          <w:sz w:val="22"/>
          <w:szCs w:val="22"/>
          <w:lang w:val="en-US"/>
        </w:rPr>
        <w:t xml:space="preserve"> diabetes </w:t>
      </w:r>
      <w:proofErr w:type="gramStart"/>
      <w:r w:rsidR="00432E50" w:rsidRPr="005702ED">
        <w:rPr>
          <w:rFonts w:ascii="Arial" w:eastAsia="Calibri" w:hAnsi="Arial" w:cs="Arial"/>
          <w:sz w:val="22"/>
          <w:szCs w:val="22"/>
          <w:lang w:val="en-US"/>
        </w:rPr>
        <w:t>increase</w:t>
      </w:r>
      <w:proofErr w:type="gramEnd"/>
      <w:r w:rsidR="00F04C94" w:rsidRPr="005702ED">
        <w:rPr>
          <w:rFonts w:ascii="Arial" w:eastAsia="Calibri" w:hAnsi="Arial" w:cs="Arial"/>
          <w:sz w:val="22"/>
          <w:szCs w:val="22"/>
          <w:lang w:val="en-US"/>
        </w:rPr>
        <w:t xml:space="preserve"> the risk of falls </w:t>
      </w:r>
      <w:r w:rsidR="008E0BDD" w:rsidRPr="005702ED">
        <w:rPr>
          <w:rFonts w:ascii="Arial" w:eastAsia="Calibri" w:hAnsi="Arial" w:cs="Arial"/>
          <w:sz w:val="22"/>
          <w:szCs w:val="22"/>
          <w:lang w:val="en-US"/>
        </w:rPr>
        <w:t>too.</w:t>
      </w:r>
      <w:r w:rsidR="00F04C94" w:rsidRPr="005702ED">
        <w:rPr>
          <w:rFonts w:ascii="Arial" w:eastAsia="Calibri" w:hAnsi="Arial" w:cs="Arial"/>
          <w:sz w:val="22"/>
          <w:szCs w:val="22"/>
          <w:lang w:val="en-US"/>
        </w:rPr>
        <w:t xml:space="preserve"> In the literature, the association of diabetes with the risk of falls has been </w:t>
      </w:r>
      <w:r w:rsidR="00405A3B" w:rsidRPr="005702ED">
        <w:rPr>
          <w:rFonts w:ascii="Arial" w:eastAsia="Calibri" w:hAnsi="Arial" w:cs="Arial"/>
          <w:sz w:val="22"/>
          <w:szCs w:val="22"/>
          <w:lang w:val="en-US"/>
        </w:rPr>
        <w:t>established</w:t>
      </w:r>
      <w:r w:rsidR="00F04C94" w:rsidRPr="005702ED">
        <w:rPr>
          <w:rFonts w:ascii="Arial" w:eastAsia="Calibri" w:hAnsi="Arial" w:cs="Arial"/>
          <w:sz w:val="22"/>
          <w:szCs w:val="22"/>
          <w:lang w:val="en-US"/>
        </w:rPr>
        <w:t>, which is thought to be related to many diabetic complications such as peripheral neuropathy, diabetic retinopathy and visual disturbances, hypoglycemia</w:t>
      </w:r>
      <w:r w:rsidR="005E5C5E" w:rsidRPr="005702ED">
        <w:rPr>
          <w:rFonts w:ascii="Arial" w:eastAsia="Calibri" w:hAnsi="Arial" w:cs="Arial"/>
          <w:sz w:val="22"/>
          <w:szCs w:val="22"/>
          <w:lang w:val="en-US"/>
        </w:rPr>
        <w:t xml:space="preserve"> </w:t>
      </w:r>
      <w:r w:rsidR="00976BB4" w:rsidRPr="005702ED">
        <w:rPr>
          <w:rFonts w:ascii="Arial" w:eastAsia="Calibri" w:hAnsi="Arial" w:cs="Arial"/>
          <w:sz w:val="22"/>
          <w:szCs w:val="22"/>
          <w:lang w:val="en-US"/>
        </w:rPr>
        <w:fldChar w:fldCharType="begin" w:fldLock="1"/>
      </w:r>
      <w:r w:rsidR="000F1F6E" w:rsidRPr="005702ED">
        <w:rPr>
          <w:rFonts w:ascii="Arial" w:eastAsia="Calibri" w:hAnsi="Arial" w:cs="Arial"/>
          <w:sz w:val="22"/>
          <w:szCs w:val="22"/>
          <w:lang w:val="en-US"/>
        </w:rPr>
        <w:instrText>ADDIN CSL_CITATION {"citationItems":[{"id":"ITEM-1","itemData":{"DOI":"10.3109/09638288.2013.770079","ISBN":"1464-5165 (Electronic)\\r0963-8288 (Linking)","ISSN":"09638288","PMID":"23614373","abstract":"Purpose: To examine the risk of fall for people with diabetes compared with healthy control subjects. Correlation between tactile sensation and postural control was examined for subjects with diabetes. Methods: Subjects with type 2 diabetes were classified into two groups: (i) diabetes without neuropathy (n ¼ 23) and (ii) diabetic peripheral neuropathy (DPN) (n ¼ 9). Age-matched healthy control subjects (n ¼ 32) were recruited. Tactile sensation, equilibrium scores (ES), strategy scores and sensory analysis scores from the Sensory Organization Test (SOT) were compared among the groups. Results: Subjects with diabetes without neuropathy demon-strated impaired postural control upon the disruption of somatosensory inputs. Subjects with DPN lost balance upon being deprived of visual inputs. A decrease in tactile sensation was associated with a decrease in the ESs in all subjects with diabetes (r ¼ À0.35 to À0.77; p50.05), and they tend to use more hip strategy for postural control upon being deprived of visual inputs. Conclusions: Different postural control strategies are adopted by various subgroups of subjects with diabetes. Subjects with DPN demonstrated a significant shift from ankle to hip strategies for balance tests when vision was deprived. ä Implications for Rehabilitation The severity of diabetic peripheral neuropathy (DPN) is associated with the risk of fall. Different compensatory strategies in balance control have been adopted by different subgroups of people with diabetes. In order to minimize the risk of fall, specific balance training program should be offered to different subgroups of people with diabetes. The balance training should emphasize on optimizing the competence of their existing compensatory postural control strategies.","author":[{"dropping-particle":"","family":"Chau","given":"Rosanna M W","non-dropping-particle":"","parse-names":false,"suffix":""},{"dropping-particle":"","family":"Ng","given":"Thomas K W","non-dropping-particle":"","parse-names":false,"suffix":""},{"dropping-particle":"","family":"Kwan","given":"Rachel L C","non-dropping-particle":"","parse-names":false,"suffix":""},{"dropping-particle":"","family":"Choi","given":"Cheung Hei","non-dropping-particle":"","parse-names":false,"suffix":""},{"dropping-particle":"","family":"Cheing","given":"Gladys L Y","non-dropping-particle":"","parse-names":false,"suffix":""}],"container-title":"Disabil Rehabil","id":"ITEM-1","issue":"23","issued":{"date-parts":[["2013"]]},"page":"1975-1980","title":"Risk of fall for people with diabetes","type":"article-journal","volume":"35"},"uris":["http://www.mendeley.com/documents/?uuid=6e366fb2-0af6-4261-8c41-9ffec181e6f0"]},{"id":"ITEM-2","itemData":{"DOI":"10.18553/jmcp.2015.21.3.243","ISBN":"2376-1032 (Electronic)","ISSN":"2376-0540","PMID":"25726033","abstract":"BACKGROUND: Hypoglycemia is a major barrier to achieving optimal glyce- mic control and managing diabetes successfully in patients with diabetes. Falls are the most significant consequences caused by hypoglycemia epi- sodes. Both hypoglycemia and falls lead to substantial economic burden on the health care system in the United States. OBJECTIVE: To examine the association of hypoglycemia with fall-related outcomes in elderly patients with type 2 diabetes mellitus (T2DM). METHODS: Records were obtained for T2DM patients (N = 1,147,937) from January 1, 2008, to December 31, 2011. The nonhypoglycemia patients were randomly matched 1:1 by age and gender to the hypoglycemia patients. Fall-related events (composite of fall-related outcomes) were defined using ICD-9-CM codes. Conditional logistic regression models were used to compare the fall-related events within 30 days, 90 days, 180 days, and 365 days between the 2 cohorts. RESULTS: A total of 21,613 hypoglycemia patients were matched with 21,613 nonhypoglycemic patients. Patients with hypoglycemia had higher fall-related events within 30 days, 90 days, 180 days, and 365 days (P &lt; 0.001 for all frequency differences). Conditional logistic regression analyses showed an elevated risk for fall-related events over 365 days (aOR = 1.95, 95% CI = 1.70-2.24). Subgroup analysis showed elevated risk for patients aged &lt; 75 years and ≥ 75 years. Elevated risks were also seen for individual fall-related outcomes of fractures, head injuries, long-term care placement, and hospital admissions. CONCLUSIONS: The risk of fall-related events over 365 days increased 2-fold among elderly patients with diabetes who experienced hypoglycemia.","author":[{"dropping-particle":"","family":"Kachroo","given":"Sumesh","non-dropping-particle":"","parse-names":false,"suffix":""},{"dropping-particle":"","family":"Kawabata","given":"Hugh","non-dropping-particle":"","parse-names":false,"suffix":""},{"dropping-particle":"","family":"Colilla","given":"Susan","non-dropping-particle":"","parse-names":false,"suffix":""},{"dropping-particle":"","family":"Shi","given":"Lizheng","non-dropping-particle":"","parse-names":false,"suffix":""},{"dropping-particle":"","family":"Zhao","given":"Yingnan","non-dropping-particle":"","parse-names":false,"suffix":""},{"dropping-particle":"","family":"Mukherjee","given":"Jayanti","non-dropping-particle":"","parse-names":false,"suffix":""},{"dropping-particle":"","family":"Iloeje","given":"Uchenna","non-dropping-particle":"","parse-names":false,"suffix":""},{"dropping-particle":"","family":"Fonseca","given":"Vivian","non-dropping-particle":"","parse-names":false,"suffix":""}],"container-title":"J Manag Care Spec Pharm","id":"ITEM-2","issue":"3","issued":{"date-parts":[["2015"]]},"page":"243-253","title":"Association Between Hypoglycemia and Fall-Related Events in Type 2 Diabetes Mellitus: Analysis of a U.S. Commercial Database","type":"article-journal","volume":"21"},"uris":["http://www.mendeley.com/documents/?uuid=e7805a55-bf56-4b7f-b27d-b543e1829c06"]}],"mendeley":{"formattedCitation":"(54,55)","plainTextFormattedCitation":"(54,55)","previouslyFormattedCitation":"(54,55)"},"properties":{"noteIndex":0},"schema":"https://github.com/citation-style-language/schema/raw/master/csl-citation.json"}</w:instrText>
      </w:r>
      <w:r w:rsidR="00976BB4" w:rsidRPr="005702ED">
        <w:rPr>
          <w:rFonts w:ascii="Arial" w:eastAsia="Calibri" w:hAnsi="Arial" w:cs="Arial"/>
          <w:sz w:val="22"/>
          <w:szCs w:val="22"/>
          <w:lang w:val="en-US"/>
        </w:rPr>
        <w:fldChar w:fldCharType="separate"/>
      </w:r>
      <w:r w:rsidR="000F1F6E" w:rsidRPr="005702ED">
        <w:rPr>
          <w:rFonts w:ascii="Arial" w:eastAsia="Calibri" w:hAnsi="Arial" w:cs="Arial"/>
          <w:noProof/>
          <w:sz w:val="22"/>
          <w:szCs w:val="22"/>
          <w:lang w:val="en-US"/>
        </w:rPr>
        <w:t>(54,55)</w:t>
      </w:r>
      <w:r w:rsidR="00976BB4" w:rsidRPr="005702ED">
        <w:rPr>
          <w:rFonts w:ascii="Arial" w:eastAsia="Calibri" w:hAnsi="Arial" w:cs="Arial"/>
          <w:sz w:val="22"/>
          <w:szCs w:val="22"/>
          <w:lang w:val="en-US"/>
        </w:rPr>
        <w:fldChar w:fldCharType="end"/>
      </w:r>
      <w:r w:rsidR="00976BB4" w:rsidRPr="005702ED">
        <w:rPr>
          <w:rFonts w:ascii="Arial" w:eastAsia="Calibri" w:hAnsi="Arial" w:cs="Arial"/>
          <w:sz w:val="22"/>
          <w:szCs w:val="22"/>
          <w:lang w:val="en-US"/>
        </w:rPr>
        <w:t>.</w:t>
      </w:r>
      <w:r w:rsidR="00370791" w:rsidRPr="005702ED">
        <w:rPr>
          <w:rFonts w:ascii="Arial" w:eastAsia="Calibri" w:hAnsi="Arial" w:cs="Arial"/>
          <w:color w:val="FF0000"/>
          <w:sz w:val="22"/>
          <w:szCs w:val="22"/>
          <w:lang w:val="en-US"/>
        </w:rPr>
        <w:t xml:space="preserve"> </w:t>
      </w:r>
      <w:r w:rsidR="00432E50" w:rsidRPr="005702ED">
        <w:rPr>
          <w:rFonts w:ascii="Arial" w:eastAsia="Calibri" w:hAnsi="Arial" w:cs="Arial"/>
          <w:sz w:val="22"/>
          <w:szCs w:val="22"/>
          <w:lang w:val="en-US"/>
        </w:rPr>
        <w:t>Advancing age and increased comorbidity are often accompanied by polypharmacy</w:t>
      </w:r>
      <w:r w:rsidR="007A6A18" w:rsidRPr="005702ED">
        <w:rPr>
          <w:rFonts w:ascii="Arial" w:eastAsia="Calibri" w:hAnsi="Arial" w:cs="Arial"/>
          <w:sz w:val="22"/>
          <w:szCs w:val="22"/>
          <w:lang w:val="en-US"/>
        </w:rPr>
        <w:t>. In</w:t>
      </w:r>
      <w:r w:rsidR="008E0BDD" w:rsidRPr="005702ED">
        <w:rPr>
          <w:rFonts w:ascii="Arial" w:eastAsia="Calibri" w:hAnsi="Arial" w:cs="Arial"/>
          <w:sz w:val="22"/>
          <w:szCs w:val="22"/>
          <w:lang w:val="en-US"/>
        </w:rPr>
        <w:t xml:space="preserve"> studies, drug groups and comorbidities leading to the use of drugs, have </w:t>
      </w:r>
      <w:r w:rsidR="008E0BDD" w:rsidRPr="005702ED">
        <w:rPr>
          <w:rFonts w:ascii="Arial" w:eastAsia="Calibri" w:hAnsi="Arial" w:cs="Arial"/>
          <w:sz w:val="22"/>
          <w:szCs w:val="22"/>
          <w:lang w:val="en-US"/>
        </w:rPr>
        <w:lastRenderedPageBreak/>
        <w:t>been shown to be as important as</w:t>
      </w:r>
      <w:r w:rsidR="00911B55" w:rsidRPr="005702ED">
        <w:rPr>
          <w:rFonts w:ascii="Arial" w:eastAsia="Calibri" w:hAnsi="Arial" w:cs="Arial"/>
          <w:sz w:val="22"/>
          <w:szCs w:val="22"/>
          <w:lang w:val="en-US"/>
        </w:rPr>
        <w:t xml:space="preserve"> the number of drugs for falls </w:t>
      </w:r>
      <w:r w:rsidR="00411CC5" w:rsidRPr="005702ED">
        <w:rPr>
          <w:rFonts w:ascii="Arial" w:eastAsia="Calibri" w:hAnsi="Arial" w:cs="Arial"/>
          <w:sz w:val="22"/>
          <w:szCs w:val="22"/>
          <w:lang w:val="en-US"/>
        </w:rPr>
        <w:fldChar w:fldCharType="begin" w:fldLock="1"/>
      </w:r>
      <w:r w:rsidR="000F1F6E" w:rsidRPr="005702ED">
        <w:rPr>
          <w:rFonts w:ascii="Arial" w:eastAsia="Calibri" w:hAnsi="Arial" w:cs="Arial"/>
          <w:sz w:val="22"/>
          <w:szCs w:val="22"/>
          <w:lang w:val="en-US"/>
        </w:rPr>
        <w:instrText>ADDIN CSL_CITATION {"citationItems":[{"id":"ITEM-1","itemData":{"DOI":"10.1080/00325481.2014.996112","ISBN":"0032-5481","ISSN":"19419260","PMID":"25539567","abstract":"The term polypharmacy has negative connotations due to its association with adverse drug reactions and falls. This spectrum of adverse events widens when polypharmacy occurs among the already vulnerable geriatric population. To date, there is no consensus definition of polypharmacy, and diverse definitions have been used by various researchers, the most common being the consumption of multiple number of medications. Taking multiple medications is considered a risk factor for falls through the adverse effects of drug-drug or drug-disease interactions. Falls studies have determined that taking &gt;= 4 drugs is associated with an increased incidence of falls, recurrent falls, and injurious falls. In light of existing evidence, careful and regular medication reviews are advised to reduce the effect of polypharmacy on falls. However, intervention studies on medication reviews and their effectiveness on falls reduction have been scarce. This article reviews and discusses the evidence behind polypharmacy and its association with falls among older individuals, and highlights important areas for future research.","author":[{"dropping-particle":"","family":"Zia","given":"Anam","non-dropping-particle":"","parse-names":false,"suffix":""},{"dropping-particle":"","family":"Kamaruzzaman","given":"Shahrul Bahyah","non-dropping-particle":"","parse-names":false,"suffix":""},{"dropping-particle":"","family":"Tan","given":"Maw Pin","non-dropping-particle":"","parse-names":false,"suffix":""}],"container-title":"Postgrad Med","id":"ITEM-1","issue":"3","issued":{"date-parts":[["2015"]]},"page":"330-337","title":"Polypharmacy and falls in older people: Balancing evidence-based medicine against falls risk","type":"article-journal","volume":"127"},"uris":["http://www.mendeley.com/documents/?uuid=93bd76b0-e377-4a8e-b484-00544f509746"]},{"id":"ITEM-2","itemData":{"DOI":"10.1093/ageing/afu141","ISBN":"0002-0729","ISSN":"14682834","PMID":"25313240","abstract":"BACKGROUND: polypharmacy is an important risk factor for falls, but recent studies suggest only when including medications associated with increasing the risk of falls. DESIGN: a prospective, population-based cohort study. SUBJECTS: 6,666 adults aged ≥50 years from The Irish Longitudinal study on Ageing. METHODS: participants reported regular medication use at baseline. Any subsequent falls, any injurious falls and the number of falls were reported 2 years later. The association between polypharmacy (&gt;4 medications) or fall risk-increasing medications and subsequent falls or injurious falls was assessed using modified Poisson regression. The association with the number of falls was assessed using negative binomial regression. RESULTS: during follow-up, 231 falls per 1,000 person-years were reported. Polypharmacy including antidepressants was associated with a greater risk of any fall (adjusted relative risk (aRR) 1.28, 95% CI 1.06-1.54), of injurious falls (aRR 1.51, 95% CI 1.10-2.07) and a greater number of falls (adjusted incident rate ratio (aIRR) 1.60, 95% CI 1.19-2.15), but antidepressant use without polypharmacy and polypharmacy without antidepressants were not. The use of benzodiazepines was associated with injurious falls when coupled with polypharmacy (aRR 1.40, 95% CI 1.04-1.87), but was associated with a greater number of falls (aIRR 1.32, 95% CI 1.05-1.65), independent of polypharmacy. Other medications assessed, including antihypertensives, diuretics and antipsychotics, were not associated with outcomes. CONCLUSION: in middle-aged and older adults, polypharmacy, including antidepressant or benzodiazepine use, was associated with injurious falls and a greater number of falls.","author":[{"dropping-particle":"","family":"Richardson","given":"Kathryn","non-dropping-particle":"","parse-names":false,"suffix":""},{"dropping-particle":"","family":"Bennett","given":"Kathleen","non-dropping-particle":"","parse-names":false,"suffix":""},{"dropping-particle":"","family":"Kenny","given":"Rose A.nne","non-dropping-particle":"","parse-names":false,"suffix":""}],"container-title":"Age ageing","id":"ITEM-2","issue":"1","issued":{"date-parts":[["2015"]]},"page":"90-96","title":"Polypharmacy including falls risk-increasing medications and subsequent falls in community-dwelling middle-aged and older adults","type":"article-journal","volume":"44"},"uris":["http://www.mendeley.com/documents/?uuid=0a15e977-a6c0-4ff8-b795-cc40c0af9f39"]}],"mendeley":{"formattedCitation":"(56,57)","plainTextFormattedCitation":"(56,57)","previouslyFormattedCitation":"(56,57)"},"properties":{"noteIndex":0},"schema":"https://github.com/citation-style-language/schema/raw/master/csl-citation.json"}</w:instrText>
      </w:r>
      <w:r w:rsidR="00411CC5" w:rsidRPr="005702ED">
        <w:rPr>
          <w:rFonts w:ascii="Arial" w:eastAsia="Calibri" w:hAnsi="Arial" w:cs="Arial"/>
          <w:sz w:val="22"/>
          <w:szCs w:val="22"/>
          <w:lang w:val="en-US"/>
        </w:rPr>
        <w:fldChar w:fldCharType="separate"/>
      </w:r>
      <w:r w:rsidR="000F1F6E" w:rsidRPr="005702ED">
        <w:rPr>
          <w:rFonts w:ascii="Arial" w:eastAsia="Calibri" w:hAnsi="Arial" w:cs="Arial"/>
          <w:noProof/>
          <w:sz w:val="22"/>
          <w:szCs w:val="22"/>
          <w:lang w:val="en-US"/>
        </w:rPr>
        <w:t>(56,57)</w:t>
      </w:r>
      <w:r w:rsidR="00411CC5" w:rsidRPr="005702ED">
        <w:rPr>
          <w:rFonts w:ascii="Arial" w:eastAsia="Calibri" w:hAnsi="Arial" w:cs="Arial"/>
          <w:sz w:val="22"/>
          <w:szCs w:val="22"/>
          <w:lang w:val="en-US"/>
        </w:rPr>
        <w:fldChar w:fldCharType="end"/>
      </w:r>
      <w:r w:rsidR="00736B5B" w:rsidRPr="005702ED">
        <w:rPr>
          <w:rFonts w:ascii="Arial" w:eastAsia="Calibri" w:hAnsi="Arial" w:cs="Arial"/>
          <w:sz w:val="22"/>
          <w:szCs w:val="22"/>
          <w:lang w:val="en-US"/>
        </w:rPr>
        <w:t xml:space="preserve">. </w:t>
      </w:r>
      <w:r w:rsidR="008E0BDD" w:rsidRPr="005702ED">
        <w:rPr>
          <w:rFonts w:ascii="Arial" w:eastAsia="Calibri" w:hAnsi="Arial" w:cs="Arial"/>
          <w:sz w:val="22"/>
          <w:szCs w:val="22"/>
          <w:lang w:val="en-US"/>
        </w:rPr>
        <w:t>In o</w:t>
      </w:r>
      <w:r w:rsidR="00736B5B" w:rsidRPr="005702ED">
        <w:rPr>
          <w:rFonts w:ascii="Arial" w:eastAsia="Calibri" w:hAnsi="Arial" w:cs="Arial"/>
          <w:sz w:val="22"/>
          <w:szCs w:val="22"/>
          <w:lang w:val="en-US"/>
        </w:rPr>
        <w:t>ur study</w:t>
      </w:r>
      <w:r w:rsidR="008E0BDD" w:rsidRPr="005702ED">
        <w:rPr>
          <w:rFonts w:ascii="Arial" w:eastAsia="Calibri" w:hAnsi="Arial" w:cs="Arial"/>
          <w:sz w:val="22"/>
          <w:szCs w:val="22"/>
          <w:lang w:val="en-US"/>
        </w:rPr>
        <w:t>, polypharmacy</w:t>
      </w:r>
      <w:r w:rsidR="00736B5B" w:rsidRPr="005702ED">
        <w:rPr>
          <w:rFonts w:ascii="Arial" w:eastAsia="Calibri" w:hAnsi="Arial" w:cs="Arial"/>
          <w:sz w:val="22"/>
          <w:szCs w:val="22"/>
          <w:lang w:val="en-US"/>
        </w:rPr>
        <w:t xml:space="preserve"> also increased the risk of falling</w:t>
      </w:r>
      <w:r w:rsidR="008E0BDD" w:rsidRPr="005702ED">
        <w:rPr>
          <w:rFonts w:ascii="Arial" w:eastAsia="Calibri" w:hAnsi="Arial" w:cs="Arial"/>
          <w:sz w:val="22"/>
          <w:szCs w:val="22"/>
          <w:lang w:val="en-US"/>
        </w:rPr>
        <w:t xml:space="preserve"> </w:t>
      </w:r>
      <w:r w:rsidR="00736B5B" w:rsidRPr="005702ED">
        <w:rPr>
          <w:rFonts w:ascii="Arial" w:eastAsia="Calibri" w:hAnsi="Arial" w:cs="Arial"/>
          <w:sz w:val="22"/>
          <w:szCs w:val="22"/>
          <w:lang w:val="en-US"/>
        </w:rPr>
        <w:t xml:space="preserve">according to three assessment </w:t>
      </w:r>
      <w:r w:rsidR="00293B83" w:rsidRPr="005702ED">
        <w:rPr>
          <w:rFonts w:ascii="Arial" w:eastAsia="Calibri" w:hAnsi="Arial" w:cs="Arial"/>
          <w:sz w:val="22"/>
          <w:szCs w:val="22"/>
          <w:lang w:val="en-US"/>
        </w:rPr>
        <w:t>met</w:t>
      </w:r>
      <w:r w:rsidR="001E285D" w:rsidRPr="005702ED">
        <w:rPr>
          <w:rFonts w:ascii="Arial" w:eastAsia="Calibri" w:hAnsi="Arial" w:cs="Arial"/>
          <w:sz w:val="22"/>
          <w:szCs w:val="22"/>
          <w:lang w:val="en-US"/>
        </w:rPr>
        <w:t>h</w:t>
      </w:r>
      <w:r w:rsidR="00293B83" w:rsidRPr="005702ED">
        <w:rPr>
          <w:rFonts w:ascii="Arial" w:eastAsia="Calibri" w:hAnsi="Arial" w:cs="Arial"/>
          <w:sz w:val="22"/>
          <w:szCs w:val="22"/>
          <w:lang w:val="en-US"/>
        </w:rPr>
        <w:t>od</w:t>
      </w:r>
      <w:r w:rsidR="00736B5B" w:rsidRPr="005702ED">
        <w:rPr>
          <w:rFonts w:ascii="Arial" w:eastAsia="Calibri" w:hAnsi="Arial" w:cs="Arial"/>
          <w:sz w:val="22"/>
          <w:szCs w:val="22"/>
          <w:lang w:val="en-US"/>
        </w:rPr>
        <w:t xml:space="preserve">s. </w:t>
      </w:r>
    </w:p>
    <w:p w14:paraId="3BB9B748" w14:textId="77777777" w:rsidR="00C17D56" w:rsidRPr="005702ED" w:rsidRDefault="00B01C72" w:rsidP="00C17D56">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 xml:space="preserve">One of the strengths of this study is the </w:t>
      </w:r>
      <w:r w:rsidR="00BD59FB" w:rsidRPr="005702ED">
        <w:rPr>
          <w:rFonts w:ascii="Arial" w:eastAsia="Calibri" w:hAnsi="Arial" w:cs="Arial"/>
          <w:sz w:val="22"/>
          <w:szCs w:val="22"/>
          <w:lang w:val="en-US"/>
        </w:rPr>
        <w:t>large</w:t>
      </w:r>
      <w:r w:rsidR="00831EB8" w:rsidRPr="005702ED">
        <w:rPr>
          <w:rFonts w:ascii="Arial" w:eastAsia="Calibri" w:hAnsi="Arial" w:cs="Arial"/>
          <w:sz w:val="22"/>
          <w:szCs w:val="22"/>
          <w:lang w:val="en-US"/>
        </w:rPr>
        <w:t xml:space="preserve"> </w:t>
      </w:r>
      <w:r w:rsidR="00BD59FB" w:rsidRPr="005702ED">
        <w:rPr>
          <w:rFonts w:ascii="Arial" w:eastAsia="Calibri" w:hAnsi="Arial" w:cs="Arial"/>
          <w:sz w:val="22"/>
          <w:szCs w:val="22"/>
          <w:lang w:val="en-US"/>
        </w:rPr>
        <w:t xml:space="preserve">sample of </w:t>
      </w:r>
      <w:r w:rsidR="00AC6845" w:rsidRPr="005702ED">
        <w:rPr>
          <w:rFonts w:ascii="Arial" w:eastAsia="Calibri" w:hAnsi="Arial" w:cs="Arial"/>
          <w:sz w:val="22"/>
          <w:szCs w:val="22"/>
          <w:lang w:val="en-US"/>
        </w:rPr>
        <w:t>older women allowing for</w:t>
      </w:r>
      <w:r w:rsidR="00BD59FB" w:rsidRPr="005702ED">
        <w:rPr>
          <w:rFonts w:ascii="Arial" w:eastAsia="Calibri" w:hAnsi="Arial" w:cs="Arial"/>
          <w:sz w:val="22"/>
          <w:szCs w:val="22"/>
          <w:lang w:val="en-US"/>
        </w:rPr>
        <w:t xml:space="preserve"> </w:t>
      </w:r>
      <w:r w:rsidR="00AC6845" w:rsidRPr="005702ED">
        <w:rPr>
          <w:rFonts w:ascii="Arial" w:eastAsia="Calibri" w:hAnsi="Arial" w:cs="Arial"/>
          <w:sz w:val="22"/>
          <w:szCs w:val="22"/>
          <w:lang w:val="en-US"/>
        </w:rPr>
        <w:t>t</w:t>
      </w:r>
      <w:r w:rsidR="00BD59FB" w:rsidRPr="005702ED">
        <w:rPr>
          <w:rFonts w:ascii="Arial" w:eastAsia="Calibri" w:hAnsi="Arial" w:cs="Arial"/>
          <w:sz w:val="22"/>
          <w:szCs w:val="22"/>
          <w:lang w:val="en-US"/>
        </w:rPr>
        <w:t>he identification of sex specific risk factors</w:t>
      </w:r>
      <w:r w:rsidRPr="005702ED">
        <w:rPr>
          <w:rFonts w:ascii="Arial" w:eastAsia="Calibri" w:hAnsi="Arial" w:cs="Arial"/>
          <w:sz w:val="22"/>
          <w:szCs w:val="22"/>
          <w:lang w:val="en-US"/>
        </w:rPr>
        <w:t>. Four di</w:t>
      </w:r>
      <w:r w:rsidR="00293B83" w:rsidRPr="005702ED">
        <w:rPr>
          <w:rFonts w:ascii="Arial" w:eastAsia="Calibri" w:hAnsi="Arial" w:cs="Arial"/>
          <w:sz w:val="22"/>
          <w:szCs w:val="22"/>
          <w:lang w:val="en-US"/>
        </w:rPr>
        <w:t>fferent fall risk assessment met</w:t>
      </w:r>
      <w:r w:rsidR="001E285D" w:rsidRPr="005702ED">
        <w:rPr>
          <w:rFonts w:ascii="Arial" w:eastAsia="Calibri" w:hAnsi="Arial" w:cs="Arial"/>
          <w:sz w:val="22"/>
          <w:szCs w:val="22"/>
          <w:lang w:val="en-US"/>
        </w:rPr>
        <w:t>h</w:t>
      </w:r>
      <w:r w:rsidR="00293B83" w:rsidRPr="005702ED">
        <w:rPr>
          <w:rFonts w:ascii="Arial" w:eastAsia="Calibri" w:hAnsi="Arial" w:cs="Arial"/>
          <w:sz w:val="22"/>
          <w:szCs w:val="22"/>
          <w:lang w:val="en-US"/>
        </w:rPr>
        <w:t>ods</w:t>
      </w:r>
      <w:r w:rsidRPr="005702ED">
        <w:rPr>
          <w:rFonts w:ascii="Arial" w:eastAsia="Calibri" w:hAnsi="Arial" w:cs="Arial"/>
          <w:sz w:val="22"/>
          <w:szCs w:val="22"/>
          <w:lang w:val="en-US"/>
        </w:rPr>
        <w:t xml:space="preserve"> were used. Thus, falling </w:t>
      </w:r>
      <w:r w:rsidR="00BD59FB" w:rsidRPr="005702ED">
        <w:rPr>
          <w:rFonts w:ascii="Arial" w:eastAsia="Calibri" w:hAnsi="Arial" w:cs="Arial"/>
          <w:sz w:val="22"/>
          <w:szCs w:val="22"/>
          <w:lang w:val="en-US"/>
        </w:rPr>
        <w:t>hi</w:t>
      </w:r>
      <w:r w:rsidRPr="005702ED">
        <w:rPr>
          <w:rFonts w:ascii="Arial" w:eastAsia="Calibri" w:hAnsi="Arial" w:cs="Arial"/>
          <w:sz w:val="22"/>
          <w:szCs w:val="22"/>
          <w:lang w:val="en-US"/>
        </w:rPr>
        <w:t xml:space="preserve">story, balance, walking, </w:t>
      </w:r>
      <w:r w:rsidR="00BD59FB" w:rsidRPr="005702ED">
        <w:rPr>
          <w:rFonts w:ascii="Arial" w:eastAsia="Calibri" w:hAnsi="Arial" w:cs="Arial"/>
          <w:sz w:val="22"/>
          <w:szCs w:val="22"/>
          <w:lang w:val="en-US"/>
        </w:rPr>
        <w:t xml:space="preserve">and </w:t>
      </w:r>
      <w:r w:rsidRPr="005702ED">
        <w:rPr>
          <w:rFonts w:ascii="Arial" w:eastAsia="Calibri" w:hAnsi="Arial" w:cs="Arial"/>
          <w:sz w:val="22"/>
          <w:szCs w:val="22"/>
          <w:lang w:val="en-US"/>
        </w:rPr>
        <w:t>walking speed were evaluated and possible</w:t>
      </w:r>
      <w:r w:rsidR="00293B83" w:rsidRPr="005702ED">
        <w:rPr>
          <w:rFonts w:ascii="Arial" w:eastAsia="Calibri" w:hAnsi="Arial" w:cs="Arial"/>
          <w:sz w:val="22"/>
          <w:szCs w:val="22"/>
          <w:lang w:val="en-US"/>
        </w:rPr>
        <w:t xml:space="preserve"> differences between these clinical met</w:t>
      </w:r>
      <w:r w:rsidR="001E285D" w:rsidRPr="005702ED">
        <w:rPr>
          <w:rFonts w:ascii="Arial" w:eastAsia="Calibri" w:hAnsi="Arial" w:cs="Arial"/>
          <w:sz w:val="22"/>
          <w:szCs w:val="22"/>
          <w:lang w:val="en-US"/>
        </w:rPr>
        <w:t>h</w:t>
      </w:r>
      <w:r w:rsidR="00293B83" w:rsidRPr="005702ED">
        <w:rPr>
          <w:rFonts w:ascii="Arial" w:eastAsia="Calibri" w:hAnsi="Arial" w:cs="Arial"/>
          <w:sz w:val="22"/>
          <w:szCs w:val="22"/>
          <w:lang w:val="en-US"/>
        </w:rPr>
        <w:t>ods</w:t>
      </w:r>
      <w:r w:rsidRPr="005702ED">
        <w:rPr>
          <w:rFonts w:ascii="Arial" w:eastAsia="Calibri" w:hAnsi="Arial" w:cs="Arial"/>
          <w:sz w:val="22"/>
          <w:szCs w:val="22"/>
          <w:lang w:val="en-US"/>
        </w:rPr>
        <w:t xml:space="preserve"> were identified. </w:t>
      </w:r>
      <w:r w:rsidR="00C17D56" w:rsidRPr="005702ED">
        <w:rPr>
          <w:rFonts w:ascii="Arial" w:eastAsia="Calibri" w:hAnsi="Arial" w:cs="Arial"/>
          <w:sz w:val="22"/>
          <w:szCs w:val="22"/>
          <w:lang w:val="en-US"/>
        </w:rPr>
        <w:t>On the other hand, this study has</w:t>
      </w:r>
    </w:p>
    <w:p w14:paraId="5EB928BC" w14:textId="77777777" w:rsidR="00C17D56" w:rsidRPr="005702ED" w:rsidRDefault="00C17D56" w:rsidP="00C17D56">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a number of limitations. First, this was the retrospective designed. Second, fear of falling</w:t>
      </w:r>
    </w:p>
    <w:p w14:paraId="005C9D80" w14:textId="77777777" w:rsidR="00C17D56" w:rsidRPr="005702ED" w:rsidRDefault="00C17D56" w:rsidP="00C17D56">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could not have been assessed. Third, cut-off points of some instruments used in this study</w:t>
      </w:r>
    </w:p>
    <w:p w14:paraId="64467526" w14:textId="7C12EBDF" w:rsidR="000E2C41" w:rsidRPr="005702ED" w:rsidRDefault="00C17D56" w:rsidP="00C17D56">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varies in the literature, but we used the common cut points based on the literature.</w:t>
      </w:r>
    </w:p>
    <w:p w14:paraId="69896A81" w14:textId="77777777" w:rsidR="003B7152" w:rsidRPr="005702ED" w:rsidRDefault="003B7152" w:rsidP="003B7152">
      <w:pPr>
        <w:spacing w:line="480" w:lineRule="auto"/>
        <w:jc w:val="both"/>
        <w:rPr>
          <w:rFonts w:ascii="Arial" w:eastAsia="Calibri" w:hAnsi="Arial" w:cs="Arial"/>
          <w:b/>
          <w:sz w:val="22"/>
          <w:szCs w:val="22"/>
          <w:lang w:val="en-US"/>
        </w:rPr>
      </w:pPr>
      <w:r w:rsidRPr="005702ED">
        <w:rPr>
          <w:rFonts w:ascii="Arial" w:eastAsia="Calibri" w:hAnsi="Arial" w:cs="Arial"/>
          <w:b/>
          <w:sz w:val="22"/>
          <w:szCs w:val="22"/>
          <w:lang w:val="en-US"/>
        </w:rPr>
        <w:t>Conclusion</w:t>
      </w:r>
    </w:p>
    <w:p w14:paraId="0B2D259F" w14:textId="57C7B413" w:rsidR="004075B2" w:rsidRPr="005702ED" w:rsidRDefault="00F8664E" w:rsidP="003B7152">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In older adults, falli</w:t>
      </w:r>
      <w:r w:rsidR="00B40FAD" w:rsidRPr="005702ED">
        <w:rPr>
          <w:rFonts w:ascii="Arial" w:eastAsia="Calibri" w:hAnsi="Arial" w:cs="Arial"/>
          <w:sz w:val="22"/>
          <w:szCs w:val="22"/>
          <w:lang w:val="en-US"/>
        </w:rPr>
        <w:t>ng is a problem with important</w:t>
      </w:r>
      <w:r w:rsidRPr="005702ED">
        <w:rPr>
          <w:rFonts w:ascii="Arial" w:eastAsia="Calibri" w:hAnsi="Arial" w:cs="Arial"/>
          <w:sz w:val="22"/>
          <w:szCs w:val="22"/>
          <w:lang w:val="en-US"/>
        </w:rPr>
        <w:t xml:space="preserve"> negative outcomes, affecting independence and quality of life. In our study, we identified nine risk factors that increased the risk of falling according to four different clinical methods. This demonstrates the importance of comprehensive geriatric assessment in older patients to evaluate falls risk factors. In order to prevent falls, it is important that the risk factors are clearly identified and modified.</w:t>
      </w:r>
    </w:p>
    <w:p w14:paraId="767A6F61" w14:textId="520FD027" w:rsidR="00920EEB" w:rsidRPr="005702ED" w:rsidRDefault="00920EEB" w:rsidP="00920EEB">
      <w:pPr>
        <w:spacing w:line="480" w:lineRule="auto"/>
        <w:jc w:val="both"/>
        <w:rPr>
          <w:rFonts w:ascii="Arial" w:eastAsia="Calibri" w:hAnsi="Arial" w:cs="Arial"/>
          <w:sz w:val="22"/>
          <w:szCs w:val="22"/>
          <w:lang w:val="en-US"/>
        </w:rPr>
      </w:pPr>
    </w:p>
    <w:p w14:paraId="7301659D" w14:textId="77777777" w:rsidR="00BB6F01" w:rsidRPr="005702ED" w:rsidRDefault="00BB6F01" w:rsidP="00BB6F01">
      <w:pPr>
        <w:spacing w:line="480" w:lineRule="auto"/>
        <w:jc w:val="both"/>
        <w:rPr>
          <w:rFonts w:ascii="Arial" w:eastAsia="Calibri" w:hAnsi="Arial" w:cs="Arial"/>
          <w:b/>
          <w:color w:val="000000" w:themeColor="text1"/>
          <w:sz w:val="22"/>
          <w:szCs w:val="22"/>
          <w:lang w:val="en-US"/>
        </w:rPr>
      </w:pPr>
      <w:r w:rsidRPr="005702ED">
        <w:rPr>
          <w:rFonts w:ascii="Arial" w:eastAsia="Calibri" w:hAnsi="Arial" w:cs="Arial"/>
          <w:b/>
          <w:color w:val="000000" w:themeColor="text1"/>
          <w:sz w:val="22"/>
          <w:szCs w:val="22"/>
          <w:lang w:val="en-US"/>
        </w:rPr>
        <w:t xml:space="preserve">Statement of authorship </w:t>
      </w:r>
    </w:p>
    <w:p w14:paraId="17A42A9A" w14:textId="5D181B39" w:rsidR="00BB6F01" w:rsidRPr="005702ED" w:rsidRDefault="00BB6F01" w:rsidP="00BB6F01">
      <w:pPr>
        <w:spacing w:line="480" w:lineRule="auto"/>
        <w:jc w:val="both"/>
        <w:rPr>
          <w:rFonts w:ascii="Arial" w:eastAsia="Calibri" w:hAnsi="Arial" w:cs="Arial"/>
          <w:color w:val="000000" w:themeColor="text1"/>
          <w:sz w:val="22"/>
          <w:szCs w:val="22"/>
          <w:lang w:val="en-US"/>
        </w:rPr>
      </w:pPr>
      <w:proofErr w:type="spellStart"/>
      <w:r w:rsidRPr="005702ED">
        <w:rPr>
          <w:rFonts w:ascii="Arial" w:eastAsia="Calibri" w:hAnsi="Arial" w:cs="Arial"/>
          <w:color w:val="000000" w:themeColor="text1"/>
          <w:sz w:val="22"/>
          <w:szCs w:val="22"/>
          <w:lang w:val="en-US"/>
        </w:rPr>
        <w:t>Ozge</w:t>
      </w:r>
      <w:proofErr w:type="spellEnd"/>
      <w:r w:rsidRPr="005702ED">
        <w:rPr>
          <w:rFonts w:ascii="Arial" w:eastAsia="Calibri" w:hAnsi="Arial" w:cs="Arial"/>
          <w:color w:val="000000" w:themeColor="text1"/>
          <w:sz w:val="22"/>
          <w:szCs w:val="22"/>
          <w:lang w:val="en-US"/>
        </w:rPr>
        <w:t xml:space="preserve"> DOKUZLAR performed data collection and manuscript writing; </w:t>
      </w:r>
      <w:proofErr w:type="spellStart"/>
      <w:r w:rsidRPr="005702ED">
        <w:rPr>
          <w:rFonts w:ascii="Arial" w:eastAsia="Calibri" w:hAnsi="Arial" w:cs="Arial"/>
          <w:color w:val="000000" w:themeColor="text1"/>
          <w:sz w:val="22"/>
          <w:szCs w:val="22"/>
          <w:lang w:val="en-US"/>
        </w:rPr>
        <w:t>Saadet</w:t>
      </w:r>
      <w:proofErr w:type="spellEnd"/>
      <w:r w:rsidRPr="005702ED">
        <w:rPr>
          <w:rFonts w:ascii="Arial" w:eastAsia="Calibri" w:hAnsi="Arial" w:cs="Arial"/>
          <w:color w:val="000000" w:themeColor="text1"/>
          <w:sz w:val="22"/>
          <w:szCs w:val="22"/>
          <w:lang w:val="en-US"/>
        </w:rPr>
        <w:t xml:space="preserve"> KOC OKUDUR, Ali </w:t>
      </w:r>
      <w:proofErr w:type="spellStart"/>
      <w:r w:rsidRPr="005702ED">
        <w:rPr>
          <w:rFonts w:ascii="Arial" w:eastAsia="Calibri" w:hAnsi="Arial" w:cs="Arial"/>
          <w:color w:val="000000" w:themeColor="text1"/>
          <w:sz w:val="22"/>
          <w:szCs w:val="22"/>
          <w:lang w:val="en-US"/>
        </w:rPr>
        <w:t>Ekrem</w:t>
      </w:r>
      <w:proofErr w:type="spellEnd"/>
      <w:r w:rsidRPr="005702ED">
        <w:rPr>
          <w:rFonts w:ascii="Arial" w:eastAsia="Calibri" w:hAnsi="Arial" w:cs="Arial"/>
          <w:color w:val="000000" w:themeColor="text1"/>
          <w:sz w:val="22"/>
          <w:szCs w:val="22"/>
          <w:lang w:val="en-US"/>
        </w:rPr>
        <w:t xml:space="preserve"> AYDIN contributed data collection; </w:t>
      </w:r>
      <w:proofErr w:type="spellStart"/>
      <w:r w:rsidR="008A4B77" w:rsidRPr="005702ED">
        <w:rPr>
          <w:rFonts w:ascii="Arial" w:eastAsia="Calibri" w:hAnsi="Arial" w:cs="Arial"/>
          <w:color w:val="000000" w:themeColor="text1"/>
          <w:sz w:val="22"/>
          <w:szCs w:val="22"/>
          <w:lang w:val="en-US"/>
        </w:rPr>
        <w:t>Idil</w:t>
      </w:r>
      <w:proofErr w:type="spellEnd"/>
      <w:r w:rsidR="008A4B77" w:rsidRPr="005702ED">
        <w:rPr>
          <w:rFonts w:ascii="Arial" w:eastAsia="Calibri" w:hAnsi="Arial" w:cs="Arial"/>
          <w:color w:val="000000" w:themeColor="text1"/>
          <w:sz w:val="22"/>
          <w:szCs w:val="22"/>
          <w:lang w:val="en-US"/>
        </w:rPr>
        <w:t xml:space="preserve"> YAVUZ conducted data analysis; </w:t>
      </w:r>
      <w:r w:rsidRPr="005702ED">
        <w:rPr>
          <w:rFonts w:ascii="Arial" w:eastAsia="Calibri" w:hAnsi="Arial" w:cs="Arial"/>
          <w:color w:val="000000" w:themeColor="text1"/>
          <w:sz w:val="22"/>
          <w:szCs w:val="22"/>
          <w:lang w:val="en-US"/>
        </w:rPr>
        <w:t xml:space="preserve">Lee Smith manuscript writing, </w:t>
      </w:r>
      <w:proofErr w:type="spellStart"/>
      <w:r w:rsidRPr="005702ED">
        <w:rPr>
          <w:rFonts w:ascii="Arial" w:eastAsia="Calibri" w:hAnsi="Arial" w:cs="Arial"/>
          <w:color w:val="000000" w:themeColor="text1"/>
          <w:sz w:val="22"/>
          <w:szCs w:val="22"/>
          <w:lang w:val="en-US"/>
        </w:rPr>
        <w:t>Pınar</w:t>
      </w:r>
      <w:proofErr w:type="spellEnd"/>
      <w:r w:rsidRPr="005702ED">
        <w:rPr>
          <w:rFonts w:ascii="Arial" w:eastAsia="Calibri" w:hAnsi="Arial" w:cs="Arial"/>
          <w:color w:val="000000" w:themeColor="text1"/>
          <w:sz w:val="22"/>
          <w:szCs w:val="22"/>
          <w:lang w:val="en-US"/>
        </w:rPr>
        <w:t xml:space="preserve"> SOYSAL designed the study, manuscript writing; and Ahmet </w:t>
      </w:r>
      <w:proofErr w:type="spellStart"/>
      <w:r w:rsidRPr="005702ED">
        <w:rPr>
          <w:rFonts w:ascii="Arial" w:eastAsia="Calibri" w:hAnsi="Arial" w:cs="Arial"/>
          <w:color w:val="000000" w:themeColor="text1"/>
          <w:sz w:val="22"/>
          <w:szCs w:val="22"/>
          <w:lang w:val="en-US"/>
        </w:rPr>
        <w:t>Turan</w:t>
      </w:r>
      <w:proofErr w:type="spellEnd"/>
      <w:r w:rsidRPr="005702ED">
        <w:rPr>
          <w:rFonts w:ascii="Arial" w:eastAsia="Calibri" w:hAnsi="Arial" w:cs="Arial"/>
          <w:color w:val="000000" w:themeColor="text1"/>
          <w:sz w:val="22"/>
          <w:szCs w:val="22"/>
          <w:lang w:val="en-US"/>
        </w:rPr>
        <w:t xml:space="preserve"> ISIK designed the study and supported manuscript writing and conceptualism. </w:t>
      </w:r>
    </w:p>
    <w:p w14:paraId="0FE11906" w14:textId="77777777" w:rsidR="003B7152" w:rsidRPr="005702ED" w:rsidRDefault="003B7152" w:rsidP="003B7152">
      <w:pPr>
        <w:spacing w:line="480" w:lineRule="auto"/>
        <w:jc w:val="both"/>
        <w:rPr>
          <w:rFonts w:ascii="Arial" w:eastAsia="Calibri" w:hAnsi="Arial" w:cs="Arial"/>
          <w:b/>
          <w:color w:val="000000" w:themeColor="text1"/>
          <w:sz w:val="22"/>
          <w:szCs w:val="22"/>
          <w:lang w:val="en-US"/>
        </w:rPr>
      </w:pPr>
      <w:r w:rsidRPr="005702ED">
        <w:rPr>
          <w:rFonts w:ascii="Arial" w:eastAsia="Calibri" w:hAnsi="Arial" w:cs="Arial"/>
          <w:b/>
          <w:color w:val="000000" w:themeColor="text1"/>
          <w:sz w:val="22"/>
          <w:szCs w:val="22"/>
          <w:lang w:val="en-US"/>
        </w:rPr>
        <w:t>Disclosure</w:t>
      </w:r>
    </w:p>
    <w:p w14:paraId="1E40D699" w14:textId="4989B7CC" w:rsidR="00BB6F01" w:rsidRPr="005702ED" w:rsidRDefault="003B7152" w:rsidP="003B7152">
      <w:pPr>
        <w:spacing w:line="480" w:lineRule="auto"/>
        <w:jc w:val="both"/>
        <w:rPr>
          <w:rFonts w:ascii="Arial" w:eastAsia="Calibri" w:hAnsi="Arial" w:cs="Arial"/>
          <w:sz w:val="22"/>
          <w:szCs w:val="22"/>
          <w:lang w:val="en-US"/>
        </w:rPr>
      </w:pPr>
      <w:r w:rsidRPr="005702ED">
        <w:rPr>
          <w:rFonts w:ascii="Arial" w:eastAsia="Calibri" w:hAnsi="Arial" w:cs="Arial"/>
          <w:color w:val="000000" w:themeColor="text1"/>
          <w:sz w:val="22"/>
          <w:szCs w:val="22"/>
          <w:lang w:val="en-US"/>
        </w:rPr>
        <w:t>The authors declare no conflicts of interest.</w:t>
      </w:r>
    </w:p>
    <w:p w14:paraId="424D1878" w14:textId="77777777" w:rsidR="003B7152" w:rsidRPr="005702ED" w:rsidRDefault="003B7152" w:rsidP="003702F6">
      <w:pPr>
        <w:spacing w:line="480" w:lineRule="auto"/>
        <w:jc w:val="both"/>
        <w:rPr>
          <w:rFonts w:ascii="Arial" w:hAnsi="Arial" w:cs="Arial"/>
          <w:b/>
          <w:sz w:val="22"/>
          <w:szCs w:val="22"/>
          <w:lang w:val="en-US"/>
        </w:rPr>
      </w:pPr>
      <w:r w:rsidRPr="005702ED">
        <w:rPr>
          <w:rFonts w:ascii="Arial" w:hAnsi="Arial" w:cs="Arial"/>
          <w:b/>
          <w:sz w:val="22"/>
          <w:szCs w:val="22"/>
          <w:lang w:val="en-US"/>
        </w:rPr>
        <w:t>Acknowledgment</w:t>
      </w:r>
    </w:p>
    <w:p w14:paraId="693F5260" w14:textId="22B08A96" w:rsidR="003702F6" w:rsidRPr="005702ED" w:rsidRDefault="003702F6" w:rsidP="003702F6">
      <w:pPr>
        <w:spacing w:line="480" w:lineRule="auto"/>
        <w:jc w:val="both"/>
        <w:rPr>
          <w:rFonts w:ascii="Arial" w:eastAsia="Calibri" w:hAnsi="Arial" w:cs="Arial"/>
          <w:sz w:val="22"/>
          <w:szCs w:val="22"/>
          <w:lang w:val="en-US"/>
        </w:rPr>
      </w:pPr>
      <w:r w:rsidRPr="005702ED">
        <w:rPr>
          <w:rFonts w:ascii="Arial" w:eastAsia="Calibri" w:hAnsi="Arial" w:cs="Arial"/>
          <w:sz w:val="22"/>
          <w:szCs w:val="22"/>
          <w:lang w:val="en-US"/>
        </w:rPr>
        <w:t>The study has no funding.</w:t>
      </w:r>
    </w:p>
    <w:p w14:paraId="435CE4ED" w14:textId="1AFB04F2" w:rsidR="003B7152" w:rsidRPr="005702ED" w:rsidRDefault="003B7152" w:rsidP="003702F6">
      <w:pPr>
        <w:spacing w:line="480" w:lineRule="auto"/>
        <w:jc w:val="both"/>
        <w:rPr>
          <w:rFonts w:ascii="Arial" w:eastAsia="Calibri" w:hAnsi="Arial" w:cs="Arial"/>
          <w:b/>
          <w:sz w:val="22"/>
          <w:szCs w:val="22"/>
          <w:lang w:val="en-US"/>
        </w:rPr>
      </w:pPr>
    </w:p>
    <w:p w14:paraId="2AF98338" w14:textId="412BCF60" w:rsidR="008800F3" w:rsidRPr="005702ED" w:rsidRDefault="008800F3" w:rsidP="003702F6">
      <w:pPr>
        <w:spacing w:line="480" w:lineRule="auto"/>
        <w:jc w:val="both"/>
        <w:rPr>
          <w:rFonts w:ascii="Arial" w:eastAsia="Calibri" w:hAnsi="Arial" w:cs="Arial"/>
          <w:b/>
          <w:sz w:val="22"/>
          <w:szCs w:val="22"/>
          <w:lang w:val="en-US"/>
        </w:rPr>
      </w:pPr>
    </w:p>
    <w:p w14:paraId="48BF77C5" w14:textId="77777777" w:rsidR="008800F3" w:rsidRPr="005702ED" w:rsidRDefault="008800F3" w:rsidP="003702F6">
      <w:pPr>
        <w:spacing w:line="480" w:lineRule="auto"/>
        <w:jc w:val="both"/>
        <w:rPr>
          <w:rFonts w:ascii="Arial" w:eastAsia="Calibri" w:hAnsi="Arial" w:cs="Arial"/>
          <w:b/>
          <w:sz w:val="22"/>
          <w:szCs w:val="22"/>
          <w:lang w:val="en-US"/>
        </w:rPr>
      </w:pPr>
    </w:p>
    <w:p w14:paraId="26E6CF3D" w14:textId="2FB260FB" w:rsidR="004075B2" w:rsidRPr="005702ED" w:rsidRDefault="00B93A7B" w:rsidP="00707616">
      <w:pPr>
        <w:spacing w:line="480" w:lineRule="auto"/>
        <w:jc w:val="both"/>
        <w:rPr>
          <w:rFonts w:ascii="Arial" w:eastAsia="Calibri" w:hAnsi="Arial" w:cs="Arial"/>
          <w:b/>
          <w:sz w:val="22"/>
          <w:szCs w:val="22"/>
          <w:lang w:val="en-US"/>
        </w:rPr>
      </w:pPr>
      <w:r w:rsidRPr="005702ED">
        <w:rPr>
          <w:rFonts w:ascii="Arial" w:eastAsia="Calibri" w:hAnsi="Arial" w:cs="Arial"/>
          <w:b/>
          <w:sz w:val="22"/>
          <w:szCs w:val="22"/>
          <w:lang w:val="en-US"/>
        </w:rPr>
        <w:lastRenderedPageBreak/>
        <w:t>Literature</w:t>
      </w:r>
    </w:p>
    <w:p w14:paraId="15F580AF" w14:textId="77777777" w:rsidR="008800F3" w:rsidRPr="005702ED" w:rsidRDefault="00AA57C8" w:rsidP="008800F3">
      <w:pPr>
        <w:widowControl w:val="0"/>
        <w:autoSpaceDE w:val="0"/>
        <w:autoSpaceDN w:val="0"/>
        <w:adjustRightInd w:val="0"/>
        <w:spacing w:line="480" w:lineRule="auto"/>
        <w:ind w:left="640" w:hanging="640"/>
        <w:jc w:val="both"/>
        <w:rPr>
          <w:rFonts w:ascii="Arial" w:hAnsi="Arial" w:cs="Arial"/>
          <w:noProof/>
          <w:sz w:val="22"/>
        </w:rPr>
      </w:pPr>
      <w:r w:rsidRPr="005702ED">
        <w:rPr>
          <w:rFonts w:ascii="Arial" w:eastAsia="Calibri" w:hAnsi="Arial" w:cs="Arial"/>
          <w:sz w:val="22"/>
          <w:szCs w:val="22"/>
          <w:lang w:val="en-US"/>
        </w:rPr>
        <w:fldChar w:fldCharType="begin" w:fldLock="1"/>
      </w:r>
      <w:r w:rsidRPr="005702ED">
        <w:rPr>
          <w:rFonts w:ascii="Arial" w:eastAsia="Calibri" w:hAnsi="Arial" w:cs="Arial"/>
          <w:sz w:val="22"/>
          <w:szCs w:val="22"/>
          <w:lang w:val="en-US"/>
        </w:rPr>
        <w:instrText xml:space="preserve">ADDIN Mendeley Bibliography CSL_BIBLIOGRAPHY </w:instrText>
      </w:r>
      <w:r w:rsidRPr="005702ED">
        <w:rPr>
          <w:rFonts w:ascii="Arial" w:eastAsia="Calibri" w:hAnsi="Arial" w:cs="Arial"/>
          <w:sz w:val="22"/>
          <w:szCs w:val="22"/>
          <w:lang w:val="en-US"/>
        </w:rPr>
        <w:fldChar w:fldCharType="separate"/>
      </w:r>
      <w:r w:rsidR="008800F3" w:rsidRPr="005702ED">
        <w:rPr>
          <w:rFonts w:ascii="Arial" w:hAnsi="Arial" w:cs="Arial"/>
          <w:noProof/>
          <w:sz w:val="22"/>
        </w:rPr>
        <w:t xml:space="preserve">1. </w:t>
      </w:r>
      <w:r w:rsidR="008800F3" w:rsidRPr="005702ED">
        <w:rPr>
          <w:rFonts w:ascii="Arial" w:hAnsi="Arial" w:cs="Arial"/>
          <w:noProof/>
          <w:sz w:val="22"/>
        </w:rPr>
        <w:tab/>
        <w:t xml:space="preserve">Lakhan P, Jones M, Wilson A, Courtney M, Hirdes J, Gray LC (2015) A prospective cohort study of geriatric syndromes among older medical patients admitted to acute care hospitals. J Am Geriatr Soc 59(11):2001–2008. </w:t>
      </w:r>
    </w:p>
    <w:p w14:paraId="0656651D" w14:textId="77777777" w:rsidR="008800F3" w:rsidRPr="005702ED" w:rsidRDefault="008800F3" w:rsidP="008800F3">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2. </w:t>
      </w:r>
      <w:r w:rsidRPr="005702ED">
        <w:rPr>
          <w:rFonts w:ascii="Arial" w:hAnsi="Arial" w:cs="Arial"/>
          <w:noProof/>
          <w:sz w:val="22"/>
        </w:rPr>
        <w:tab/>
        <w:t xml:space="preserve">Tinetti ME, Kumar C (2010) The patient who falls: “It’s always a trade-off.” JAMA 303(3):258–266. </w:t>
      </w:r>
    </w:p>
    <w:p w14:paraId="3B71AB1B" w14:textId="77777777" w:rsidR="008800F3" w:rsidRPr="005702ED" w:rsidRDefault="008800F3" w:rsidP="008800F3">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 </w:t>
      </w:r>
      <w:r w:rsidRPr="005702ED">
        <w:rPr>
          <w:rFonts w:ascii="Arial" w:hAnsi="Arial" w:cs="Arial"/>
          <w:noProof/>
          <w:sz w:val="22"/>
        </w:rPr>
        <w:tab/>
        <w:t xml:space="preserve">World Health Organization (2007) WHO global report on falls prevention in older age. </w:t>
      </w:r>
    </w:p>
    <w:p w14:paraId="12BDECAC" w14:textId="77777777" w:rsidR="008800F3" w:rsidRPr="005702ED" w:rsidRDefault="008800F3" w:rsidP="008800F3">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 </w:t>
      </w:r>
      <w:r w:rsidRPr="005702ED">
        <w:rPr>
          <w:rFonts w:ascii="Arial" w:hAnsi="Arial" w:cs="Arial"/>
          <w:noProof/>
          <w:sz w:val="22"/>
        </w:rPr>
        <w:tab/>
        <w:t xml:space="preserve">World Health Organization 16 Jan 2018. http://www.who.int/news-room/fact-sheets/detail/falls. </w:t>
      </w:r>
    </w:p>
    <w:p w14:paraId="1B2D4F5D" w14:textId="77777777" w:rsidR="008800F3" w:rsidRPr="005702ED" w:rsidRDefault="008800F3" w:rsidP="008800F3">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 </w:t>
      </w:r>
      <w:r w:rsidRPr="005702ED">
        <w:rPr>
          <w:rFonts w:ascii="Arial" w:hAnsi="Arial" w:cs="Arial"/>
          <w:noProof/>
          <w:sz w:val="22"/>
        </w:rPr>
        <w:tab/>
        <w:t xml:space="preserve">King B, Pecanac K, Krupp A, Liebzeit D, Mahoney J (2018) Impact of Fall Prevention on Nurses and Care of Fall Risk Patients. Gerontologist 58(2):331–40. </w:t>
      </w:r>
    </w:p>
    <w:p w14:paraId="344A6433" w14:textId="77777777" w:rsidR="008800F3" w:rsidRPr="005702ED" w:rsidRDefault="008800F3" w:rsidP="008800F3">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6. </w:t>
      </w:r>
      <w:r w:rsidRPr="005702ED">
        <w:rPr>
          <w:rFonts w:ascii="Arial" w:hAnsi="Arial" w:cs="Arial"/>
          <w:noProof/>
          <w:sz w:val="22"/>
        </w:rPr>
        <w:tab/>
        <w:t xml:space="preserve">Mazur K, Wilczyński K, Szewieczek J (2016) Geriatric falls in the context of a hospital fall prevention program: Delirium, low body mass index, and other risk factors. Clin Interv Aging 11:1253–61. </w:t>
      </w:r>
    </w:p>
    <w:p w14:paraId="24F2C1F6" w14:textId="77777777" w:rsidR="008800F3" w:rsidRPr="005702ED" w:rsidRDefault="008800F3" w:rsidP="008800F3">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7. </w:t>
      </w:r>
      <w:r w:rsidRPr="005702ED">
        <w:rPr>
          <w:rFonts w:ascii="Arial" w:hAnsi="Arial" w:cs="Arial"/>
          <w:noProof/>
          <w:sz w:val="22"/>
        </w:rPr>
        <w:tab/>
        <w:t xml:space="preserve">Ambrose AF, Paul G, Hausdorff JM (2013) Risk factors for falls among older adults: A review of the literature. Maturitas 75(1):51–61. </w:t>
      </w:r>
    </w:p>
    <w:p w14:paraId="4B9F7090" w14:textId="77777777"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8. </w:t>
      </w:r>
      <w:r w:rsidRPr="005702ED">
        <w:rPr>
          <w:rFonts w:ascii="Arial" w:hAnsi="Arial" w:cs="Arial"/>
          <w:noProof/>
          <w:sz w:val="22"/>
        </w:rPr>
        <w:tab/>
        <w:t xml:space="preserve">Stevens JA, Ballesteros MF, Mack KA, Rudd RA, DeCaro E, Adler G (2012) Gender differences in seeking care for falls in the aged Medicare population. Am J Prev Med 43(1):59–62. </w:t>
      </w:r>
    </w:p>
    <w:p w14:paraId="3EAE195B" w14:textId="77777777"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9. </w:t>
      </w:r>
      <w:r w:rsidRPr="005702ED">
        <w:rPr>
          <w:rFonts w:ascii="Arial" w:hAnsi="Arial" w:cs="Arial"/>
          <w:noProof/>
          <w:sz w:val="22"/>
        </w:rPr>
        <w:tab/>
        <w:t xml:space="preserve">Duckham RL, Procter-Gray E, Hannan MT, Leveille SG, Lipsitz LA, Li W (2013) Sex differences in circumstances and consequences of outdoor and indoor falls in older adults in the MOBILIZE Boston cohort study. BMC Geriatr 13:133. </w:t>
      </w:r>
    </w:p>
    <w:p w14:paraId="380F981E" w14:textId="77777777"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10. </w:t>
      </w:r>
      <w:r w:rsidRPr="005702ED">
        <w:rPr>
          <w:rFonts w:ascii="Arial" w:hAnsi="Arial" w:cs="Arial"/>
          <w:noProof/>
          <w:sz w:val="22"/>
        </w:rPr>
        <w:tab/>
        <w:t xml:space="preserve">Stevens JA, Sogolow ED (2005) Gender differences for non-fatal unintentional fall related injuries among older adults. Inj Prev 11(2):115–9. </w:t>
      </w:r>
    </w:p>
    <w:p w14:paraId="494B8B7E" w14:textId="77777777"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11. </w:t>
      </w:r>
      <w:r w:rsidRPr="005702ED">
        <w:rPr>
          <w:rFonts w:ascii="Arial" w:hAnsi="Arial" w:cs="Arial"/>
          <w:noProof/>
          <w:sz w:val="22"/>
        </w:rPr>
        <w:tab/>
        <w:t xml:space="preserve">Unutmaz GD, Soysal P, Tuven B, Isik AT (2018) Costs of medication in older patients: before and after comprehensive geriatric assessment. Clin Interv Aging 13:607–13. </w:t>
      </w:r>
    </w:p>
    <w:p w14:paraId="72333D62" w14:textId="77777777"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12. </w:t>
      </w:r>
      <w:r w:rsidRPr="005702ED">
        <w:rPr>
          <w:rFonts w:ascii="Arial" w:hAnsi="Arial" w:cs="Arial"/>
          <w:noProof/>
          <w:sz w:val="22"/>
        </w:rPr>
        <w:tab/>
        <w:t>American Psychiatric Association (2013) Diagnostic and Statistical Manual of Mental Disorders, Fifth Edition, Arlington. https://doi.org/10.1176/appi.books.9780890425596</w:t>
      </w:r>
    </w:p>
    <w:p w14:paraId="32C6C5EC" w14:textId="77777777"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lastRenderedPageBreak/>
        <w:t xml:space="preserve">13. </w:t>
      </w:r>
      <w:r w:rsidRPr="005702ED">
        <w:rPr>
          <w:rFonts w:ascii="Arial" w:hAnsi="Arial" w:cs="Arial"/>
          <w:noProof/>
          <w:sz w:val="22"/>
        </w:rPr>
        <w:tab/>
        <w:t xml:space="preserve">Aydin AE, Soysal P, Isik AT (2017) Which is preferable for orthostatic hypotension diagnosis in older adults : active standing test or head-up tilt table test ? Clin Interv Aging 12:207–12. </w:t>
      </w:r>
    </w:p>
    <w:p w14:paraId="49D6438B" w14:textId="5D5BF2DE" w:rsidR="000F1F6E"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14. </w:t>
      </w:r>
      <w:r w:rsidRPr="005702ED">
        <w:rPr>
          <w:rFonts w:ascii="Arial" w:hAnsi="Arial" w:cs="Arial"/>
          <w:noProof/>
          <w:sz w:val="22"/>
        </w:rPr>
        <w:tab/>
        <w:t>Folstein MF, Folstein SE, McHugh PR</w:t>
      </w:r>
      <w:r w:rsidR="00846609" w:rsidRPr="005702ED">
        <w:rPr>
          <w:rFonts w:ascii="Arial" w:hAnsi="Arial" w:cs="Arial"/>
          <w:noProof/>
          <w:sz w:val="22"/>
        </w:rPr>
        <w:t xml:space="preserve"> (1975) </w:t>
      </w:r>
      <w:r w:rsidRPr="005702ED">
        <w:rPr>
          <w:rFonts w:ascii="Arial" w:hAnsi="Arial" w:cs="Arial"/>
          <w:noProof/>
          <w:sz w:val="22"/>
        </w:rPr>
        <w:t>“Mini-mental state”. A practical method for grading the cognitive state of patients for the clinician. J Psychiatr Res</w:t>
      </w:r>
      <w:r w:rsidR="00846609" w:rsidRPr="005702ED">
        <w:rPr>
          <w:rFonts w:ascii="Arial" w:hAnsi="Arial" w:cs="Arial"/>
          <w:noProof/>
          <w:sz w:val="22"/>
        </w:rPr>
        <w:t xml:space="preserve"> </w:t>
      </w:r>
      <w:r w:rsidRPr="005702ED">
        <w:rPr>
          <w:rFonts w:ascii="Arial" w:hAnsi="Arial" w:cs="Arial"/>
          <w:noProof/>
          <w:sz w:val="22"/>
        </w:rPr>
        <w:t xml:space="preserve">12(3):189–98. </w:t>
      </w:r>
    </w:p>
    <w:p w14:paraId="3BEA0F3A" w14:textId="5329E2AB" w:rsidR="000F1F6E"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15. </w:t>
      </w:r>
      <w:r w:rsidRPr="005702ED">
        <w:rPr>
          <w:rFonts w:ascii="Arial" w:hAnsi="Arial" w:cs="Arial"/>
          <w:noProof/>
          <w:sz w:val="22"/>
        </w:rPr>
        <w:tab/>
        <w:t>Morris JC.</w:t>
      </w:r>
      <w:r w:rsidR="00846609" w:rsidRPr="005702ED">
        <w:rPr>
          <w:rFonts w:ascii="Arial" w:hAnsi="Arial" w:cs="Arial"/>
          <w:noProof/>
          <w:sz w:val="22"/>
        </w:rPr>
        <w:t xml:space="preserve"> (1993) </w:t>
      </w:r>
      <w:r w:rsidRPr="005702ED">
        <w:rPr>
          <w:rFonts w:ascii="Arial" w:hAnsi="Arial" w:cs="Arial"/>
          <w:noProof/>
          <w:sz w:val="22"/>
        </w:rPr>
        <w:t>The Clinical Dementia Rating (CDR): Current version and scoring rules. Neurology</w:t>
      </w:r>
      <w:r w:rsidR="00846609" w:rsidRPr="005702ED">
        <w:rPr>
          <w:rFonts w:ascii="Arial" w:hAnsi="Arial" w:cs="Arial"/>
          <w:noProof/>
          <w:sz w:val="22"/>
        </w:rPr>
        <w:t xml:space="preserve"> </w:t>
      </w:r>
      <w:r w:rsidRPr="005702ED">
        <w:rPr>
          <w:rFonts w:ascii="Arial" w:hAnsi="Arial" w:cs="Arial"/>
          <w:noProof/>
          <w:sz w:val="22"/>
        </w:rPr>
        <w:t xml:space="preserve">43(11):2412–4. </w:t>
      </w:r>
    </w:p>
    <w:p w14:paraId="1D56F4D8" w14:textId="409A537B" w:rsidR="000F1F6E"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16. </w:t>
      </w:r>
      <w:r w:rsidRPr="005702ED">
        <w:rPr>
          <w:rFonts w:ascii="Arial" w:hAnsi="Arial" w:cs="Arial"/>
          <w:noProof/>
          <w:sz w:val="22"/>
        </w:rPr>
        <w:tab/>
      </w:r>
      <w:r w:rsidR="00846609" w:rsidRPr="005702ED">
        <w:rPr>
          <w:rFonts w:ascii="Arial" w:hAnsi="Arial" w:cs="Arial"/>
          <w:noProof/>
          <w:sz w:val="22"/>
        </w:rPr>
        <w:t xml:space="preserve">Dokuzlar O, Soysal P, Usarel C, Isik AT (2018) The evaluation and design of a short depression screening tool in Turkish older adults. Int Psychogeriatr 1–8. </w:t>
      </w:r>
      <w:r w:rsidRPr="005702ED">
        <w:rPr>
          <w:rFonts w:ascii="Arial" w:hAnsi="Arial" w:cs="Arial"/>
          <w:noProof/>
          <w:sz w:val="22"/>
        </w:rPr>
        <w:t xml:space="preserve"> </w:t>
      </w:r>
    </w:p>
    <w:p w14:paraId="52AEAAA2"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17. </w:t>
      </w:r>
      <w:r w:rsidRPr="005702ED">
        <w:rPr>
          <w:rFonts w:ascii="Arial" w:hAnsi="Arial" w:cs="Arial"/>
          <w:noProof/>
          <w:sz w:val="22"/>
        </w:rPr>
        <w:tab/>
      </w:r>
      <w:r w:rsidR="00846609" w:rsidRPr="005702ED">
        <w:rPr>
          <w:rFonts w:ascii="Arial" w:hAnsi="Arial" w:cs="Arial"/>
          <w:noProof/>
          <w:sz w:val="22"/>
        </w:rPr>
        <w:t xml:space="preserve">Durmaz B, Soysal P, Ellidokuz H, Isık AT (2018) Validity and Reliability of Geriatric Depression Scale - 15 (Short Form) in Turkish older adults. North Clin Istanb </w:t>
      </w:r>
      <w:r w:rsidR="00846609" w:rsidRPr="005702ED">
        <w:t>5(3):216–220</w:t>
      </w:r>
    </w:p>
    <w:p w14:paraId="7725E10B" w14:textId="536C6E98" w:rsidR="000F1F6E"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18. </w:t>
      </w:r>
      <w:r w:rsidRPr="005702ED">
        <w:rPr>
          <w:rFonts w:ascii="Arial" w:hAnsi="Arial" w:cs="Arial"/>
          <w:noProof/>
          <w:sz w:val="22"/>
        </w:rPr>
        <w:tab/>
        <w:t>Lawton MP, Brody EM</w:t>
      </w:r>
      <w:r w:rsidR="00846609" w:rsidRPr="005702ED">
        <w:rPr>
          <w:rFonts w:ascii="Arial" w:hAnsi="Arial" w:cs="Arial"/>
          <w:noProof/>
          <w:sz w:val="22"/>
        </w:rPr>
        <w:t xml:space="preserve"> (1969)</w:t>
      </w:r>
      <w:r w:rsidRPr="005702ED">
        <w:rPr>
          <w:rFonts w:ascii="Arial" w:hAnsi="Arial" w:cs="Arial"/>
          <w:noProof/>
          <w:sz w:val="22"/>
        </w:rPr>
        <w:t xml:space="preserve"> Assessment of older people: Self-maintaining and instrumental activities of daily living. Gerontologist</w:t>
      </w:r>
      <w:r w:rsidR="00846609" w:rsidRPr="005702ED">
        <w:rPr>
          <w:rFonts w:ascii="Arial" w:hAnsi="Arial" w:cs="Arial"/>
          <w:noProof/>
          <w:sz w:val="22"/>
        </w:rPr>
        <w:t xml:space="preserve"> </w:t>
      </w:r>
      <w:r w:rsidRPr="005702ED">
        <w:rPr>
          <w:rFonts w:ascii="Arial" w:hAnsi="Arial" w:cs="Arial"/>
          <w:noProof/>
          <w:sz w:val="22"/>
        </w:rPr>
        <w:t xml:space="preserve">9(3):179–86. </w:t>
      </w:r>
    </w:p>
    <w:p w14:paraId="0337509F" w14:textId="4AC4FAE3" w:rsidR="000F1F6E"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19. </w:t>
      </w:r>
      <w:r w:rsidRPr="005702ED">
        <w:rPr>
          <w:rFonts w:ascii="Arial" w:hAnsi="Arial" w:cs="Arial"/>
          <w:noProof/>
          <w:sz w:val="22"/>
        </w:rPr>
        <w:tab/>
        <w:t>M</w:t>
      </w:r>
      <w:r w:rsidR="00846609" w:rsidRPr="005702ED">
        <w:rPr>
          <w:rFonts w:ascii="Arial" w:hAnsi="Arial" w:cs="Arial"/>
          <w:noProof/>
          <w:sz w:val="22"/>
        </w:rPr>
        <w:t>ahoney</w:t>
      </w:r>
      <w:r w:rsidRPr="005702ED">
        <w:rPr>
          <w:rFonts w:ascii="Arial" w:hAnsi="Arial" w:cs="Arial"/>
          <w:noProof/>
          <w:sz w:val="22"/>
        </w:rPr>
        <w:t xml:space="preserve"> FI, B</w:t>
      </w:r>
      <w:r w:rsidR="00846609" w:rsidRPr="005702ED">
        <w:rPr>
          <w:rFonts w:ascii="Arial" w:hAnsi="Arial" w:cs="Arial"/>
          <w:noProof/>
          <w:sz w:val="22"/>
        </w:rPr>
        <w:t>arthel</w:t>
      </w:r>
      <w:r w:rsidRPr="005702ED">
        <w:rPr>
          <w:rFonts w:ascii="Arial" w:hAnsi="Arial" w:cs="Arial"/>
          <w:noProof/>
          <w:sz w:val="22"/>
        </w:rPr>
        <w:t xml:space="preserve"> DW</w:t>
      </w:r>
      <w:r w:rsidR="00846609" w:rsidRPr="005702ED">
        <w:rPr>
          <w:rFonts w:ascii="Arial" w:hAnsi="Arial" w:cs="Arial"/>
          <w:noProof/>
          <w:sz w:val="22"/>
        </w:rPr>
        <w:t xml:space="preserve"> (1965)</w:t>
      </w:r>
      <w:r w:rsidRPr="005702ED">
        <w:rPr>
          <w:rFonts w:ascii="Arial" w:hAnsi="Arial" w:cs="Arial"/>
          <w:noProof/>
          <w:sz w:val="22"/>
        </w:rPr>
        <w:t xml:space="preserve"> Functional Evaluation: The Barthel Index. Md State Med J</w:t>
      </w:r>
      <w:r w:rsidR="00846609" w:rsidRPr="005702ED">
        <w:rPr>
          <w:rFonts w:ascii="Arial" w:hAnsi="Arial" w:cs="Arial"/>
          <w:noProof/>
          <w:sz w:val="22"/>
        </w:rPr>
        <w:t xml:space="preserve"> </w:t>
      </w:r>
      <w:r w:rsidRPr="005702ED">
        <w:rPr>
          <w:rFonts w:ascii="Arial" w:hAnsi="Arial" w:cs="Arial"/>
          <w:noProof/>
          <w:sz w:val="22"/>
        </w:rPr>
        <w:t xml:space="preserve">14:61–5. </w:t>
      </w:r>
    </w:p>
    <w:p w14:paraId="5EFAD659"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20. </w:t>
      </w:r>
      <w:r w:rsidRPr="005702ED">
        <w:rPr>
          <w:rFonts w:ascii="Arial" w:hAnsi="Arial" w:cs="Arial"/>
          <w:noProof/>
          <w:sz w:val="22"/>
        </w:rPr>
        <w:tab/>
      </w:r>
      <w:r w:rsidR="00846609" w:rsidRPr="005702ED">
        <w:rPr>
          <w:rFonts w:ascii="Arial" w:hAnsi="Arial" w:cs="Arial"/>
          <w:noProof/>
          <w:sz w:val="22"/>
        </w:rPr>
        <w:t xml:space="preserve">Guigoz Y (2006) The Mini Nutritional Assessment (MNA) review of the literature - What does it tell us? J Nutr Health Aging 10(6):466–85. </w:t>
      </w:r>
    </w:p>
    <w:p w14:paraId="2D4EB32C" w14:textId="77777777" w:rsidR="00846609"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21. </w:t>
      </w:r>
      <w:r w:rsidRPr="005702ED">
        <w:rPr>
          <w:rFonts w:ascii="Arial" w:hAnsi="Arial" w:cs="Arial"/>
          <w:noProof/>
          <w:sz w:val="22"/>
        </w:rPr>
        <w:tab/>
      </w:r>
      <w:r w:rsidR="00846609" w:rsidRPr="005702ED">
        <w:rPr>
          <w:rFonts w:ascii="Arial" w:hAnsi="Arial" w:cs="Arial"/>
          <w:noProof/>
          <w:sz w:val="22"/>
        </w:rPr>
        <w:t>van Kan GA, Rolland YM, Morley JE, Vellas B (2008) Frailty: Toward a Clinical Definition. J Am Med Dir Assoc 9(2):71–2.</w:t>
      </w:r>
    </w:p>
    <w:p w14:paraId="7B0CEB9B"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22. </w:t>
      </w:r>
      <w:r w:rsidRPr="005702ED">
        <w:rPr>
          <w:rFonts w:ascii="Arial" w:hAnsi="Arial" w:cs="Arial"/>
          <w:noProof/>
          <w:sz w:val="22"/>
        </w:rPr>
        <w:tab/>
      </w:r>
      <w:r w:rsidR="00846609" w:rsidRPr="005702ED">
        <w:rPr>
          <w:rFonts w:ascii="Arial" w:hAnsi="Arial" w:cs="Arial"/>
          <w:noProof/>
          <w:sz w:val="22"/>
        </w:rPr>
        <w:t xml:space="preserve">Bulut EA, Soysal P, Aydin AE, Dokuzlar O, Kocyigit SE, Isik AT (2017) Vitamin B12 deficiency might be related to sarcopenia in older adults. Exp Gerontol 95:136–40. </w:t>
      </w:r>
    </w:p>
    <w:p w14:paraId="58B5B77C" w14:textId="77777777" w:rsidR="00846609"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23. </w:t>
      </w:r>
      <w:r w:rsidRPr="005702ED">
        <w:rPr>
          <w:rFonts w:ascii="Arial" w:hAnsi="Arial" w:cs="Arial"/>
          <w:noProof/>
          <w:sz w:val="22"/>
        </w:rPr>
        <w:tab/>
      </w:r>
      <w:r w:rsidR="00846609" w:rsidRPr="005702ED">
        <w:rPr>
          <w:rFonts w:ascii="Arial" w:hAnsi="Arial" w:cs="Arial"/>
          <w:noProof/>
          <w:sz w:val="22"/>
        </w:rPr>
        <w:t xml:space="preserve">Podsiadlo D, Richardson S. The timed “Up &amp; Go”: a test of basic functional mobility for frail elderly persons. J Am Geriatr Soc. 1991;39(2):142–8. </w:t>
      </w:r>
    </w:p>
    <w:p w14:paraId="676E6C7B"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24. </w:t>
      </w:r>
      <w:r w:rsidRPr="005702ED">
        <w:rPr>
          <w:rFonts w:ascii="Arial" w:hAnsi="Arial" w:cs="Arial"/>
          <w:noProof/>
          <w:sz w:val="22"/>
        </w:rPr>
        <w:tab/>
      </w:r>
      <w:r w:rsidR="00846609" w:rsidRPr="005702ED">
        <w:rPr>
          <w:rFonts w:ascii="Arial" w:hAnsi="Arial" w:cs="Arial"/>
          <w:noProof/>
          <w:sz w:val="22"/>
        </w:rPr>
        <w:t>National Institute for Health and Care Excellence: Clinical Guidelines (2013) Falls: assessment and prevention of falls in older people. http://www.nice.org.uk/CG161</w:t>
      </w:r>
    </w:p>
    <w:p w14:paraId="1CB72D2C" w14:textId="7621D5FB" w:rsidR="000F1F6E"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lastRenderedPageBreak/>
        <w:t xml:space="preserve">25. </w:t>
      </w:r>
      <w:r w:rsidRPr="005702ED">
        <w:rPr>
          <w:rFonts w:ascii="Arial" w:hAnsi="Arial" w:cs="Arial"/>
          <w:noProof/>
          <w:sz w:val="22"/>
        </w:rPr>
        <w:tab/>
      </w:r>
      <w:r w:rsidR="00846609" w:rsidRPr="005702ED">
        <w:rPr>
          <w:rFonts w:ascii="Arial" w:hAnsi="Arial" w:cs="Arial"/>
          <w:noProof/>
          <w:sz w:val="22"/>
        </w:rPr>
        <w:t>Tinetti ME (1986) Performance</w:t>
      </w:r>
      <w:r w:rsidR="00846609" w:rsidRPr="005702ED">
        <w:rPr>
          <w:rFonts w:ascii="Cambria Math" w:hAnsi="Cambria Math" w:cs="Cambria Math"/>
          <w:noProof/>
          <w:sz w:val="22"/>
        </w:rPr>
        <w:t>‐</w:t>
      </w:r>
      <w:r w:rsidR="00846609" w:rsidRPr="005702ED">
        <w:rPr>
          <w:rFonts w:ascii="Arial" w:hAnsi="Arial" w:cs="Arial"/>
          <w:noProof/>
          <w:sz w:val="22"/>
        </w:rPr>
        <w:t>Oriented Assessment of Mobility Problems in Elderly Patients. J Am Geriatr Soc 34(2):119–26.</w:t>
      </w:r>
    </w:p>
    <w:p w14:paraId="14393BED" w14:textId="77777777" w:rsidR="00846609"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26. </w:t>
      </w:r>
      <w:r w:rsidRPr="005702ED">
        <w:rPr>
          <w:rFonts w:ascii="Arial" w:hAnsi="Arial" w:cs="Arial"/>
          <w:noProof/>
          <w:sz w:val="22"/>
        </w:rPr>
        <w:tab/>
      </w:r>
      <w:r w:rsidR="00846609" w:rsidRPr="005702ED">
        <w:rPr>
          <w:rFonts w:ascii="Arial" w:hAnsi="Arial" w:cs="Arial"/>
          <w:noProof/>
          <w:sz w:val="22"/>
        </w:rPr>
        <w:t xml:space="preserve">Al-Momani M, Al-Momani F, Alghadir AH, Alharethy S, Gabr SA (2016) Factors related to gait and balance deficits in older adults. Clin Interv Aging 11:1043–9. </w:t>
      </w:r>
    </w:p>
    <w:p w14:paraId="1DF25C08"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27. </w:t>
      </w:r>
      <w:r w:rsidRPr="005702ED">
        <w:rPr>
          <w:rFonts w:ascii="Arial" w:hAnsi="Arial" w:cs="Arial"/>
          <w:noProof/>
          <w:sz w:val="22"/>
        </w:rPr>
        <w:tab/>
      </w:r>
      <w:r w:rsidR="00846609" w:rsidRPr="005702ED">
        <w:rPr>
          <w:rFonts w:ascii="Arial" w:hAnsi="Arial" w:cs="Arial"/>
          <w:noProof/>
          <w:sz w:val="22"/>
        </w:rPr>
        <w:t xml:space="preserve">BCGuidelines.ca (2017) Frailty in Older Adults - Early İdentification and Management.  </w:t>
      </w:r>
    </w:p>
    <w:p w14:paraId="65675D13" w14:textId="77777777" w:rsidR="00846609"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28. </w:t>
      </w:r>
      <w:r w:rsidRPr="005702ED">
        <w:rPr>
          <w:rFonts w:ascii="Arial" w:hAnsi="Arial" w:cs="Arial"/>
          <w:noProof/>
          <w:sz w:val="22"/>
        </w:rPr>
        <w:tab/>
      </w:r>
      <w:r w:rsidR="00846609" w:rsidRPr="005702ED">
        <w:rPr>
          <w:rFonts w:ascii="Arial" w:hAnsi="Arial" w:cs="Arial"/>
          <w:noProof/>
          <w:sz w:val="22"/>
        </w:rPr>
        <w:t xml:space="preserve">Gale CR, Cooper C, Aihie Sayer A (2016) Prevalence and risk factors for falls in older men and women: The English Longitudinal Study of Ageing. Age and ageing 45(6):789–94. </w:t>
      </w:r>
    </w:p>
    <w:p w14:paraId="672BAF9E"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29. </w:t>
      </w:r>
      <w:r w:rsidRPr="005702ED">
        <w:rPr>
          <w:rFonts w:ascii="Arial" w:hAnsi="Arial" w:cs="Arial"/>
          <w:noProof/>
          <w:sz w:val="22"/>
        </w:rPr>
        <w:tab/>
      </w:r>
      <w:r w:rsidR="00846609" w:rsidRPr="005702ED">
        <w:rPr>
          <w:rFonts w:ascii="Arial" w:hAnsi="Arial" w:cs="Arial"/>
          <w:noProof/>
          <w:sz w:val="22"/>
        </w:rPr>
        <w:t xml:space="preserve">Brown J, Kurichi JE, Xie D, Pan Q, Stineman MG (2014) Instrumental activities of daily living staging as a possible clinical tool for falls risk assessment in physical medicine and rehabilitation. PM R 6(4):316–23. </w:t>
      </w:r>
    </w:p>
    <w:p w14:paraId="11FD3C8F" w14:textId="1F669480"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30. </w:t>
      </w:r>
      <w:r w:rsidRPr="005702ED">
        <w:rPr>
          <w:rFonts w:ascii="Arial" w:hAnsi="Arial" w:cs="Arial"/>
          <w:noProof/>
          <w:sz w:val="22"/>
        </w:rPr>
        <w:tab/>
        <w:t xml:space="preserve">Sekaran NK, Choi H, Hayward RA, Langa KM (2013) Fall-associated difficulty with activities of daily living in functionally independent individuals aged 65 to 69 in the United States: A cohort study. J Am Geriatr Soc 61(1):96–100. </w:t>
      </w:r>
    </w:p>
    <w:p w14:paraId="48E32E33"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31. </w:t>
      </w:r>
      <w:r w:rsidRPr="005702ED">
        <w:rPr>
          <w:rFonts w:ascii="Arial" w:hAnsi="Arial" w:cs="Arial"/>
          <w:noProof/>
          <w:sz w:val="22"/>
        </w:rPr>
        <w:tab/>
      </w:r>
      <w:r w:rsidR="00846609" w:rsidRPr="005702ED">
        <w:rPr>
          <w:rFonts w:ascii="Arial" w:hAnsi="Arial" w:cs="Arial"/>
          <w:noProof/>
          <w:sz w:val="22"/>
        </w:rPr>
        <w:t xml:space="preserve">Stenhagen M, Ekström H, Nordell E, Elmståhl S (2014) Both deterioration and improvement in activities of daily living are related to falls: A 6-year follow-up of the general elderly population study Good Aging in Skåne. Clin Interv Aging 9:18391846. </w:t>
      </w:r>
    </w:p>
    <w:p w14:paraId="4E7031AB" w14:textId="22066A23"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32. </w:t>
      </w:r>
      <w:r w:rsidRPr="005702ED">
        <w:rPr>
          <w:rFonts w:ascii="Arial" w:hAnsi="Arial" w:cs="Arial"/>
          <w:noProof/>
          <w:sz w:val="22"/>
        </w:rPr>
        <w:tab/>
        <w:t xml:space="preserve">Kojima R, Ukawa S, Ando M, Kawamura T, Wakai K, Tsushita K, et al. (2016) Association between falls and depressive symptoms or visual impairment among Japanese young-old adults. Geriatr Gerontol Int 16(3):384–91. </w:t>
      </w:r>
    </w:p>
    <w:p w14:paraId="412E507A" w14:textId="29340F66"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33. </w:t>
      </w:r>
      <w:r w:rsidRPr="005702ED">
        <w:rPr>
          <w:rFonts w:ascii="Arial" w:hAnsi="Arial" w:cs="Arial"/>
          <w:noProof/>
          <w:sz w:val="22"/>
        </w:rPr>
        <w:tab/>
        <w:t xml:space="preserve">Stewart Williams J, Kowal P, Hestekin H, O’Driscoll T, Peltzer K, Yawson A, et al. (2015) Prevalence, risk factors and disability associated with fall-related injury in older adults in low- and middle-incomecountries: Results from the WHO Study on global AGEing and adult health (SAGE). BMC Med 13:147. </w:t>
      </w:r>
    </w:p>
    <w:p w14:paraId="5E3729E8"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34. </w:t>
      </w:r>
      <w:r w:rsidRPr="005702ED">
        <w:rPr>
          <w:rFonts w:ascii="Arial" w:hAnsi="Arial" w:cs="Arial"/>
          <w:noProof/>
          <w:sz w:val="22"/>
        </w:rPr>
        <w:tab/>
      </w:r>
      <w:r w:rsidR="00846609" w:rsidRPr="005702ED">
        <w:rPr>
          <w:rFonts w:ascii="Arial" w:hAnsi="Arial" w:cs="Arial"/>
          <w:noProof/>
          <w:sz w:val="22"/>
        </w:rPr>
        <w:t xml:space="preserve">Holtzer R, Verghese J, Xue X, Lipton RB (2006) Cognitive processes related to gait velocity: Results from the Einstein aging study. Neuropsychology 20(2):215–23. </w:t>
      </w:r>
    </w:p>
    <w:p w14:paraId="054F9555" w14:textId="3728247B"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35. </w:t>
      </w:r>
      <w:r w:rsidRPr="005702ED">
        <w:rPr>
          <w:rFonts w:ascii="Arial" w:hAnsi="Arial" w:cs="Arial"/>
          <w:noProof/>
          <w:sz w:val="22"/>
        </w:rPr>
        <w:tab/>
        <w:t xml:space="preserve">Callisaya ML, Ayers E, Barzilai N, Ferrucci L, Guralnik JM, Lipton RB, et al. (2016) Motoric Cognitive Risk Syndrome and Falls Risk: A Multi-Center Study. J Alzheimers </w:t>
      </w:r>
      <w:r w:rsidRPr="005702ED">
        <w:rPr>
          <w:rFonts w:ascii="Arial" w:hAnsi="Arial" w:cs="Arial"/>
          <w:noProof/>
          <w:sz w:val="22"/>
        </w:rPr>
        <w:lastRenderedPageBreak/>
        <w:t xml:space="preserve">Dis 53(3):1043–52. </w:t>
      </w:r>
    </w:p>
    <w:p w14:paraId="59208E82" w14:textId="63669EF8"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36. </w:t>
      </w:r>
      <w:r w:rsidRPr="005702ED">
        <w:rPr>
          <w:rFonts w:ascii="Arial" w:hAnsi="Arial" w:cs="Arial"/>
          <w:noProof/>
          <w:sz w:val="22"/>
        </w:rPr>
        <w:tab/>
        <w:t xml:space="preserve">Landi F, Liperoti R, Russo A, Giovannini S, Tosato M, Capoluongo E, et al. (2012) Sarcopenia as a risk factor for falls in elderly individuals: Results from the ilSIRENTE study. Clin Nutr 31(5):652–8. </w:t>
      </w:r>
    </w:p>
    <w:p w14:paraId="2B2265F0"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37. </w:t>
      </w:r>
      <w:r w:rsidRPr="005702ED">
        <w:rPr>
          <w:rFonts w:ascii="Arial" w:hAnsi="Arial" w:cs="Arial"/>
          <w:noProof/>
          <w:sz w:val="22"/>
        </w:rPr>
        <w:tab/>
      </w:r>
      <w:r w:rsidR="00846609" w:rsidRPr="005702ED">
        <w:rPr>
          <w:rFonts w:ascii="Arial" w:hAnsi="Arial" w:cs="Arial"/>
          <w:noProof/>
          <w:sz w:val="22"/>
        </w:rPr>
        <w:t xml:space="preserve">Tanimoto Y, Watanabe M, Sun W, Sugiura Y, Hayashida I, Kusabiraki T, et al. (2014)  Sarcopenia and falls in community-dwelling elderly subjects in Japan: Defining sarcopenia according to criteria of the European Working Group on Sarcopenia in Older People. Arch Gerontol Geriatr 59(2):295–9. </w:t>
      </w:r>
    </w:p>
    <w:p w14:paraId="61AD6421" w14:textId="27FA3CD6"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38. </w:t>
      </w:r>
      <w:r w:rsidRPr="005702ED">
        <w:rPr>
          <w:rFonts w:ascii="Arial" w:hAnsi="Arial" w:cs="Arial"/>
          <w:noProof/>
          <w:sz w:val="22"/>
        </w:rPr>
        <w:tab/>
        <w:t xml:space="preserve">Benjumea A-M, Curcio C-L, Duque G, Gomez F, Gomez F (2018) Dynapenia and Sarcopenia as a Risk Factor for Disability in a Falls and Fractures Clinic in Older Persons. Open Access Maced J Med Sci 6(2):344–9. </w:t>
      </w:r>
    </w:p>
    <w:p w14:paraId="53E72BD1" w14:textId="06DA31D2"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39. </w:t>
      </w:r>
      <w:r w:rsidRPr="005702ED">
        <w:rPr>
          <w:rFonts w:ascii="Arial" w:hAnsi="Arial" w:cs="Arial"/>
          <w:noProof/>
          <w:sz w:val="22"/>
        </w:rPr>
        <w:tab/>
        <w:t xml:space="preserve">Bijlsma AY, Pasma JH, Lambers D, Stijntjes M, Blauw GJ, Meskers CGM, et al. (2013) Muscle Strength Rather Than Muscle Mass Is Associated With Standing Balance in Elderly Outpatients. J Am Med Dir Assoc 14(7):493–8. </w:t>
      </w:r>
    </w:p>
    <w:p w14:paraId="7FC5931F" w14:textId="77777777" w:rsidR="00846609" w:rsidRPr="005702ED" w:rsidRDefault="000F1F6E"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40. </w:t>
      </w:r>
      <w:r w:rsidRPr="005702ED">
        <w:rPr>
          <w:rFonts w:ascii="Arial" w:hAnsi="Arial" w:cs="Arial"/>
          <w:noProof/>
          <w:sz w:val="22"/>
        </w:rPr>
        <w:tab/>
      </w:r>
      <w:r w:rsidR="00846609" w:rsidRPr="005702ED">
        <w:rPr>
          <w:rFonts w:ascii="Arial" w:hAnsi="Arial" w:cs="Arial"/>
          <w:noProof/>
          <w:sz w:val="22"/>
        </w:rPr>
        <w:t xml:space="preserve">Soysal P, Ates Bulut E, Yavuz I, Isik AT (2018) Decreased Basal Metabolic Rate Can Be an Objective Marker for Sarcopenia and Frailty in Older Males. J Am Med Dir Assoc S1525-8610(18)30362-1. </w:t>
      </w:r>
    </w:p>
    <w:p w14:paraId="59A9FB28" w14:textId="366A069D" w:rsidR="00846609" w:rsidRPr="005702ED" w:rsidRDefault="00846609" w:rsidP="00846609">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41. </w:t>
      </w:r>
      <w:r w:rsidRPr="005702ED">
        <w:rPr>
          <w:rFonts w:ascii="Arial" w:hAnsi="Arial" w:cs="Arial"/>
          <w:noProof/>
          <w:sz w:val="22"/>
        </w:rPr>
        <w:tab/>
        <w:t xml:space="preserve">Samper-Ternent R, Karmarkar A, Graham J, Reistetter T, Ottenbacher K (2012) Frailty as a predictor of falls in older Mexican Americans. J Aging Health 24(4):641–53. </w:t>
      </w:r>
    </w:p>
    <w:p w14:paraId="5AF567DE" w14:textId="72CF79A0" w:rsidR="000F1F6E" w:rsidRPr="005702ED" w:rsidRDefault="000F1F6E" w:rsidP="00846609">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42. </w:t>
      </w:r>
      <w:r w:rsidRPr="005702ED">
        <w:rPr>
          <w:rFonts w:ascii="Arial" w:hAnsi="Arial" w:cs="Arial"/>
          <w:noProof/>
          <w:sz w:val="22"/>
        </w:rPr>
        <w:tab/>
        <w:t>Deandrea S, Lucenteforte E, Bravi F, Foschi R, La Vecchia C, Negri E</w:t>
      </w:r>
      <w:r w:rsidR="00846609" w:rsidRPr="005702ED">
        <w:rPr>
          <w:rFonts w:ascii="Arial" w:hAnsi="Arial" w:cs="Arial"/>
          <w:noProof/>
          <w:sz w:val="22"/>
        </w:rPr>
        <w:t xml:space="preserve"> (2010) </w:t>
      </w:r>
      <w:r w:rsidRPr="005702ED">
        <w:rPr>
          <w:rFonts w:ascii="Arial" w:hAnsi="Arial" w:cs="Arial"/>
          <w:noProof/>
          <w:sz w:val="22"/>
        </w:rPr>
        <w:t>Risk factors for falls in community-dwelling older people: a systematic review and meta-analysis. Epidemiology</w:t>
      </w:r>
      <w:r w:rsidR="00846609" w:rsidRPr="005702ED">
        <w:rPr>
          <w:rFonts w:ascii="Arial" w:hAnsi="Arial" w:cs="Arial"/>
          <w:noProof/>
          <w:sz w:val="22"/>
        </w:rPr>
        <w:t xml:space="preserve"> </w:t>
      </w:r>
      <w:r w:rsidRPr="005702ED">
        <w:rPr>
          <w:rFonts w:ascii="Arial" w:hAnsi="Arial" w:cs="Arial"/>
          <w:noProof/>
          <w:sz w:val="22"/>
        </w:rPr>
        <w:t xml:space="preserve">21(5):658–68. </w:t>
      </w:r>
    </w:p>
    <w:p w14:paraId="139EA13E" w14:textId="20880676" w:rsidR="000F1F6E"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43. </w:t>
      </w:r>
      <w:r w:rsidRPr="005702ED">
        <w:rPr>
          <w:rFonts w:ascii="Arial" w:hAnsi="Arial" w:cs="Arial"/>
          <w:noProof/>
          <w:sz w:val="22"/>
        </w:rPr>
        <w:tab/>
        <w:t>Reed-Jones RJ, Solis GR, Lawson KA, Loya AM, Cude-Islas D, Berger CS</w:t>
      </w:r>
      <w:r w:rsidR="00C32CFE" w:rsidRPr="005702ED">
        <w:rPr>
          <w:rFonts w:ascii="Arial" w:hAnsi="Arial" w:cs="Arial"/>
          <w:noProof/>
          <w:sz w:val="22"/>
        </w:rPr>
        <w:t xml:space="preserve"> (2013)</w:t>
      </w:r>
      <w:r w:rsidRPr="005702ED">
        <w:rPr>
          <w:rFonts w:ascii="Arial" w:hAnsi="Arial" w:cs="Arial"/>
          <w:noProof/>
          <w:sz w:val="22"/>
        </w:rPr>
        <w:t xml:space="preserve"> Vision and falls: A multidisciplinary review of the contributions of visual impairment to falls among older adults. Maturitas</w:t>
      </w:r>
      <w:r w:rsidR="00C32CFE" w:rsidRPr="005702ED">
        <w:rPr>
          <w:rFonts w:ascii="Arial" w:hAnsi="Arial" w:cs="Arial"/>
          <w:noProof/>
          <w:sz w:val="22"/>
        </w:rPr>
        <w:t xml:space="preserve"> </w:t>
      </w:r>
      <w:r w:rsidRPr="005702ED">
        <w:rPr>
          <w:rFonts w:ascii="Arial" w:hAnsi="Arial" w:cs="Arial"/>
          <w:noProof/>
          <w:sz w:val="22"/>
        </w:rPr>
        <w:t xml:space="preserve">75(1):22–8. </w:t>
      </w:r>
    </w:p>
    <w:p w14:paraId="479C8916" w14:textId="3418CCFB" w:rsidR="000F1F6E" w:rsidRPr="005702ED" w:rsidRDefault="000F1F6E" w:rsidP="000F1F6E">
      <w:pPr>
        <w:widowControl w:val="0"/>
        <w:autoSpaceDE w:val="0"/>
        <w:autoSpaceDN w:val="0"/>
        <w:adjustRightInd w:val="0"/>
        <w:spacing w:line="480" w:lineRule="auto"/>
        <w:ind w:left="640" w:hanging="640"/>
        <w:rPr>
          <w:rFonts w:ascii="Arial" w:hAnsi="Arial" w:cs="Arial"/>
          <w:noProof/>
          <w:sz w:val="22"/>
        </w:rPr>
      </w:pPr>
      <w:r w:rsidRPr="005702ED">
        <w:rPr>
          <w:rFonts w:ascii="Arial" w:hAnsi="Arial" w:cs="Arial"/>
          <w:noProof/>
          <w:sz w:val="22"/>
        </w:rPr>
        <w:t xml:space="preserve">44. </w:t>
      </w:r>
      <w:r w:rsidRPr="005702ED">
        <w:rPr>
          <w:rFonts w:ascii="Arial" w:hAnsi="Arial" w:cs="Arial"/>
          <w:noProof/>
          <w:sz w:val="22"/>
        </w:rPr>
        <w:tab/>
        <w:t>Jiam NTL, Li C, Agrawal Y</w:t>
      </w:r>
      <w:r w:rsidR="00C32CFE" w:rsidRPr="005702ED">
        <w:rPr>
          <w:rFonts w:ascii="Arial" w:hAnsi="Arial" w:cs="Arial"/>
          <w:noProof/>
          <w:sz w:val="22"/>
        </w:rPr>
        <w:t xml:space="preserve"> (2016)</w:t>
      </w:r>
      <w:r w:rsidRPr="005702ED">
        <w:rPr>
          <w:rFonts w:ascii="Arial" w:hAnsi="Arial" w:cs="Arial"/>
          <w:noProof/>
          <w:sz w:val="22"/>
        </w:rPr>
        <w:t xml:space="preserve"> Hearing loss and falls: A systematic review and meta-analysis. Laryngoscope</w:t>
      </w:r>
      <w:r w:rsidR="00C32CFE" w:rsidRPr="005702ED">
        <w:rPr>
          <w:rFonts w:ascii="Arial" w:hAnsi="Arial" w:cs="Arial"/>
          <w:noProof/>
          <w:sz w:val="22"/>
        </w:rPr>
        <w:t xml:space="preserve"> </w:t>
      </w:r>
      <w:r w:rsidRPr="005702ED">
        <w:rPr>
          <w:rFonts w:ascii="Arial" w:hAnsi="Arial" w:cs="Arial"/>
          <w:noProof/>
          <w:sz w:val="22"/>
        </w:rPr>
        <w:t xml:space="preserve">126(11):2587–96. </w:t>
      </w:r>
    </w:p>
    <w:p w14:paraId="0BC97EB0" w14:textId="77777777" w:rsidR="00226F9C" w:rsidRPr="005702ED" w:rsidRDefault="000F1F6E"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45. </w:t>
      </w:r>
      <w:r w:rsidRPr="005702ED">
        <w:rPr>
          <w:rFonts w:ascii="Arial" w:hAnsi="Arial" w:cs="Arial"/>
          <w:noProof/>
          <w:sz w:val="22"/>
        </w:rPr>
        <w:tab/>
      </w:r>
      <w:r w:rsidR="00226F9C" w:rsidRPr="005702ED">
        <w:rPr>
          <w:rFonts w:ascii="Arial" w:hAnsi="Arial" w:cs="Arial"/>
          <w:noProof/>
          <w:sz w:val="22"/>
        </w:rPr>
        <w:t xml:space="preserve">Bloch F, Thibaud M, Tournoux-Facon C, Brèque C, Rigaud AS, Dugué B (2013) </w:t>
      </w:r>
      <w:r w:rsidR="00226F9C" w:rsidRPr="005702ED">
        <w:rPr>
          <w:rFonts w:ascii="Arial" w:hAnsi="Arial" w:cs="Arial"/>
          <w:noProof/>
          <w:sz w:val="22"/>
        </w:rPr>
        <w:lastRenderedPageBreak/>
        <w:t xml:space="preserve">Estimation of the risk factors for falls in the elderly: Can meta-analysis provide a valid answer? Geriatr Gerontol Int 13(2):250–63. </w:t>
      </w:r>
    </w:p>
    <w:p w14:paraId="4C0DEF11" w14:textId="07D1D546"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46. </w:t>
      </w:r>
      <w:r w:rsidRPr="005702ED">
        <w:rPr>
          <w:rFonts w:ascii="Arial" w:hAnsi="Arial" w:cs="Arial"/>
          <w:noProof/>
          <w:sz w:val="22"/>
        </w:rPr>
        <w:tab/>
        <w:t xml:space="preserve">Siddiqui NY, Levin PJ, Phadtare A, Pietrobon R, Ammarell N (2014) Perceptions about female urinary incontinence: a systematic review. Int Urogynecol J 25(7):863–71. </w:t>
      </w:r>
    </w:p>
    <w:p w14:paraId="4D9943CE" w14:textId="5D559C19"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47. </w:t>
      </w:r>
      <w:r w:rsidRPr="005702ED">
        <w:rPr>
          <w:rFonts w:ascii="Arial" w:hAnsi="Arial" w:cs="Arial"/>
          <w:noProof/>
          <w:sz w:val="22"/>
        </w:rPr>
        <w:tab/>
        <w:t xml:space="preserve">Padmanabhan P, Dmochowsi R (2014) Urinary incontinence in women: a comprehensive review of the pathophysiology, diagnosis and treatment. Minerva Ginecol 66(5):469–78. </w:t>
      </w:r>
    </w:p>
    <w:p w14:paraId="64DC8A5C" w14:textId="77777777" w:rsidR="00226F9C" w:rsidRPr="005702ED" w:rsidRDefault="000F1F6E"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48. </w:t>
      </w:r>
      <w:r w:rsidRPr="005702ED">
        <w:rPr>
          <w:rFonts w:ascii="Arial" w:hAnsi="Arial" w:cs="Arial"/>
          <w:noProof/>
          <w:sz w:val="22"/>
        </w:rPr>
        <w:tab/>
      </w:r>
      <w:r w:rsidR="00226F9C" w:rsidRPr="005702ED">
        <w:rPr>
          <w:rFonts w:ascii="Arial" w:hAnsi="Arial" w:cs="Arial"/>
          <w:noProof/>
          <w:sz w:val="22"/>
        </w:rPr>
        <w:t xml:space="preserve">Soliman Y, Meyer R, Baum N (2016) Falls in the Elderly Secondary to Urinary Symptoms. Rev Urol 18(1):28–32. </w:t>
      </w:r>
    </w:p>
    <w:p w14:paraId="7BB4DA9D" w14:textId="3B7D7D74"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49. </w:t>
      </w:r>
      <w:r w:rsidRPr="005702ED">
        <w:rPr>
          <w:rFonts w:ascii="Arial" w:hAnsi="Arial" w:cs="Arial"/>
          <w:noProof/>
          <w:sz w:val="22"/>
        </w:rPr>
        <w:tab/>
        <w:t xml:space="preserve">Bresee C, Dubina ED, Khan AA, Sevilla C, Grant D, Eilber KS, et al. (2014) Prevalence and Correlates of Urinary Incontinence Among Older Community-Dwelling Women. Female Pelvic Med Reconstr Surg 20(6):328–33. </w:t>
      </w:r>
    </w:p>
    <w:p w14:paraId="6433A827" w14:textId="0CF6F01A"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50. </w:t>
      </w:r>
      <w:r w:rsidRPr="005702ED">
        <w:rPr>
          <w:rFonts w:ascii="Arial" w:hAnsi="Arial" w:cs="Arial"/>
          <w:noProof/>
          <w:sz w:val="22"/>
        </w:rPr>
        <w:tab/>
        <w:t xml:space="preserve">Bates DW, Pruess K, Souney P, Platt R (1995) Serious falls in hospitalized patients: Correlates and resource utilization. Am J Med 99(2):137–43. </w:t>
      </w:r>
    </w:p>
    <w:p w14:paraId="2CC6C865" w14:textId="25B48D1E"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51. </w:t>
      </w:r>
      <w:r w:rsidRPr="005702ED">
        <w:rPr>
          <w:rFonts w:ascii="Arial" w:hAnsi="Arial" w:cs="Arial"/>
          <w:noProof/>
          <w:sz w:val="22"/>
        </w:rPr>
        <w:tab/>
        <w:t xml:space="preserve">Vu T, Finch CF, Day L (2011) Patterns of comorbidity in community-dwelling older people hospitalised for fall-related injury: A cluster analysis. BMC Geriatr 11:45. </w:t>
      </w:r>
    </w:p>
    <w:p w14:paraId="7C49485B" w14:textId="77777777" w:rsidR="00226F9C" w:rsidRPr="005702ED" w:rsidRDefault="000F1F6E"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52. </w:t>
      </w:r>
      <w:r w:rsidRPr="005702ED">
        <w:rPr>
          <w:rFonts w:ascii="Arial" w:hAnsi="Arial" w:cs="Arial"/>
          <w:noProof/>
          <w:sz w:val="22"/>
        </w:rPr>
        <w:tab/>
      </w:r>
      <w:r w:rsidR="00226F9C" w:rsidRPr="005702ED">
        <w:rPr>
          <w:rFonts w:ascii="Arial" w:hAnsi="Arial" w:cs="Arial"/>
          <w:noProof/>
          <w:sz w:val="22"/>
        </w:rPr>
        <w:t xml:space="preserve">Ng CT, Tan MP (2013) Osteoarthritis and falls in the older person. Age Ageing 42(5):561–6. </w:t>
      </w:r>
    </w:p>
    <w:p w14:paraId="2269CDD0" w14:textId="1C4519F3"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53. </w:t>
      </w:r>
      <w:r w:rsidRPr="005702ED">
        <w:rPr>
          <w:rFonts w:ascii="Arial" w:hAnsi="Arial" w:cs="Arial"/>
          <w:noProof/>
          <w:sz w:val="22"/>
        </w:rPr>
        <w:tab/>
        <w:t xml:space="preserve">Khalaj N, Osman NAA, Mokhtar AH, Mehdikhani M, Abas WABW (2014) Balance and risk of fall in individuals with bilateral mild and moderate knee osteoarthritis. PLoS ONE 9(3):e92270. </w:t>
      </w:r>
    </w:p>
    <w:p w14:paraId="500956B0" w14:textId="3593D684"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54. </w:t>
      </w:r>
      <w:r w:rsidRPr="005702ED">
        <w:rPr>
          <w:rFonts w:ascii="Arial" w:hAnsi="Arial" w:cs="Arial"/>
          <w:noProof/>
          <w:sz w:val="22"/>
        </w:rPr>
        <w:tab/>
        <w:t xml:space="preserve">Chau RMW, Ng TKW, Kwan RLC, Choi CH, Cheing GLY (2013) Risk of fall for people with diabetes. Disabil Rehabil 35(23):1975–80. </w:t>
      </w:r>
    </w:p>
    <w:p w14:paraId="114F8BA3" w14:textId="2A25ACA6" w:rsidR="00226F9C" w:rsidRPr="005702ED" w:rsidRDefault="00226F9C"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55. </w:t>
      </w:r>
      <w:r w:rsidRPr="005702ED">
        <w:rPr>
          <w:rFonts w:ascii="Arial" w:hAnsi="Arial" w:cs="Arial"/>
          <w:noProof/>
          <w:sz w:val="22"/>
        </w:rPr>
        <w:tab/>
        <w:t xml:space="preserve">Kachroo S, Kawabata H, Colilla S, Shi L, Zhao Y, Mukherjee J, et al. (2015) Association Between Hypoglycemia and Fall-Related Events in Type 2 Diabetes Mellitus: Analysis of a U.S. Commercial Database. J Manag Care Spec Pharm 21(3):243–53. </w:t>
      </w:r>
    </w:p>
    <w:p w14:paraId="351ABE7D" w14:textId="77777777" w:rsidR="00226F9C" w:rsidRPr="005702ED" w:rsidRDefault="000F1F6E" w:rsidP="00226F9C">
      <w:pPr>
        <w:widowControl w:val="0"/>
        <w:autoSpaceDE w:val="0"/>
        <w:autoSpaceDN w:val="0"/>
        <w:adjustRightInd w:val="0"/>
        <w:spacing w:line="480" w:lineRule="auto"/>
        <w:ind w:left="640" w:hanging="640"/>
        <w:jc w:val="both"/>
        <w:rPr>
          <w:rFonts w:ascii="Arial" w:hAnsi="Arial" w:cs="Arial"/>
          <w:noProof/>
          <w:sz w:val="22"/>
        </w:rPr>
      </w:pPr>
      <w:r w:rsidRPr="005702ED">
        <w:rPr>
          <w:rFonts w:ascii="Arial" w:hAnsi="Arial" w:cs="Arial"/>
          <w:noProof/>
          <w:sz w:val="22"/>
        </w:rPr>
        <w:t xml:space="preserve">56. </w:t>
      </w:r>
      <w:r w:rsidRPr="005702ED">
        <w:rPr>
          <w:rFonts w:ascii="Arial" w:hAnsi="Arial" w:cs="Arial"/>
          <w:noProof/>
          <w:sz w:val="22"/>
        </w:rPr>
        <w:tab/>
      </w:r>
      <w:r w:rsidR="00226F9C" w:rsidRPr="005702ED">
        <w:rPr>
          <w:rFonts w:ascii="Arial" w:hAnsi="Arial" w:cs="Arial"/>
          <w:noProof/>
          <w:sz w:val="22"/>
        </w:rPr>
        <w:t xml:space="preserve">Zia A, Kamaruzzaman SB, Tan MP (2015) Polypharmacy and falls in older people: Balancing evidence-based medicine against falls risk. Postgrad Med 127(3):330–7. </w:t>
      </w:r>
    </w:p>
    <w:p w14:paraId="11A3130E" w14:textId="7BF3518B" w:rsidR="00585FD2" w:rsidRPr="005119F0" w:rsidRDefault="00226F9C" w:rsidP="00226F9C">
      <w:pPr>
        <w:widowControl w:val="0"/>
        <w:autoSpaceDE w:val="0"/>
        <w:autoSpaceDN w:val="0"/>
        <w:adjustRightInd w:val="0"/>
        <w:spacing w:line="480" w:lineRule="auto"/>
        <w:ind w:left="640" w:hanging="640"/>
        <w:rPr>
          <w:rFonts w:ascii="Arial" w:eastAsia="Calibri" w:hAnsi="Arial" w:cs="Arial"/>
          <w:b/>
          <w:sz w:val="22"/>
          <w:szCs w:val="22"/>
          <w:lang w:val="en-US"/>
        </w:rPr>
        <w:sectPr w:rsidR="00585FD2" w:rsidRPr="005119F0" w:rsidSect="002462AA">
          <w:pgSz w:w="11900" w:h="16840"/>
          <w:pgMar w:top="1417" w:right="1417" w:bottom="1417" w:left="1417" w:header="708" w:footer="708" w:gutter="0"/>
          <w:cols w:space="708"/>
          <w:docGrid w:linePitch="360"/>
        </w:sectPr>
      </w:pPr>
      <w:r w:rsidRPr="005702ED">
        <w:rPr>
          <w:rFonts w:ascii="Arial" w:hAnsi="Arial" w:cs="Arial"/>
          <w:noProof/>
          <w:sz w:val="22"/>
        </w:rPr>
        <w:lastRenderedPageBreak/>
        <w:t xml:space="preserve">57. </w:t>
      </w:r>
      <w:r w:rsidRPr="005702ED">
        <w:rPr>
          <w:rFonts w:ascii="Arial" w:hAnsi="Arial" w:cs="Arial"/>
          <w:noProof/>
          <w:sz w:val="22"/>
        </w:rPr>
        <w:tab/>
        <w:t>Richardson K, Bennett K, Kenny RA (2015) Polypharmacy including falls risk-increasing medications and subsequent falls in community-dwelling middle-aged and older adults. Age ageing 44(1):90–6.</w:t>
      </w:r>
      <w:r w:rsidR="00AA57C8" w:rsidRPr="005702ED">
        <w:rPr>
          <w:rFonts w:ascii="Arial" w:eastAsia="Calibri" w:hAnsi="Arial" w:cs="Arial"/>
          <w:sz w:val="22"/>
          <w:szCs w:val="22"/>
          <w:lang w:val="en-US"/>
        </w:rPr>
        <w:fldChar w:fldCharType="end"/>
      </w:r>
    </w:p>
    <w:p w14:paraId="5214069F" w14:textId="77777777" w:rsidR="00187677" w:rsidRPr="00290CBC" w:rsidRDefault="00187677" w:rsidP="00187677">
      <w:pPr>
        <w:spacing w:line="276" w:lineRule="auto"/>
        <w:rPr>
          <w:b/>
          <w:lang w:val="en-US"/>
        </w:rPr>
      </w:pPr>
      <w:r w:rsidRPr="00290CBC">
        <w:rPr>
          <w:b/>
          <w:lang w:val="en-US"/>
        </w:rPr>
        <w:lastRenderedPageBreak/>
        <w:t xml:space="preserve">Table 1. Characteristics of the participants (n=682)  </w:t>
      </w:r>
    </w:p>
    <w:tbl>
      <w:tblPr>
        <w:tblStyle w:val="PlainTable2"/>
        <w:tblpPr w:leftFromText="141" w:rightFromText="141" w:vertAnchor="page" w:horzAnchor="margin" w:tblpXSpec="center" w:tblpY="1633"/>
        <w:tblW w:w="10201" w:type="dxa"/>
        <w:tblLayout w:type="fixed"/>
        <w:tblLook w:val="04A0" w:firstRow="1" w:lastRow="0" w:firstColumn="1" w:lastColumn="0" w:noHBand="0" w:noVBand="1"/>
      </w:tblPr>
      <w:tblGrid>
        <w:gridCol w:w="3823"/>
        <w:gridCol w:w="1277"/>
        <w:gridCol w:w="145"/>
        <w:gridCol w:w="3681"/>
        <w:gridCol w:w="1275"/>
      </w:tblGrid>
      <w:tr w:rsidR="00187677" w:rsidRPr="00290CBC" w14:paraId="3D5EF2A2" w14:textId="77777777" w:rsidTr="002B0C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654ED455" w14:textId="77777777" w:rsidR="00187677" w:rsidRPr="00290CBC" w:rsidRDefault="00187677" w:rsidP="002B0C91">
            <w:pPr>
              <w:spacing w:line="276" w:lineRule="auto"/>
              <w:rPr>
                <w:rFonts w:ascii="Arial" w:hAnsi="Arial" w:cs="Arial"/>
                <w:b w:val="0"/>
                <w:sz w:val="20"/>
                <w:szCs w:val="20"/>
                <w:lang w:val="en-US"/>
              </w:rPr>
            </w:pPr>
            <w:r w:rsidRPr="00290CBC">
              <w:rPr>
                <w:rFonts w:ascii="Arial" w:eastAsia="Calibri" w:hAnsi="Arial" w:cs="Arial"/>
                <w:sz w:val="20"/>
                <w:szCs w:val="20"/>
                <w:lang w:val="en-US"/>
              </w:rPr>
              <w:t>CHARACTERİCTİCS</w:t>
            </w:r>
          </w:p>
        </w:tc>
        <w:tc>
          <w:tcPr>
            <w:tcW w:w="1422" w:type="dxa"/>
            <w:gridSpan w:val="2"/>
          </w:tcPr>
          <w:p w14:paraId="1C34A12A" w14:textId="77777777" w:rsidR="00187677" w:rsidRPr="00290CBC" w:rsidRDefault="00187677" w:rsidP="002B0C9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90CBC">
              <w:rPr>
                <w:rFonts w:ascii="Arial" w:eastAsia="Calibri" w:hAnsi="Arial" w:cs="Arial"/>
                <w:sz w:val="20"/>
                <w:szCs w:val="20"/>
                <w:lang w:val="en-US"/>
              </w:rPr>
              <w:t>VALUES</w:t>
            </w:r>
          </w:p>
        </w:tc>
        <w:tc>
          <w:tcPr>
            <w:tcW w:w="3681" w:type="dxa"/>
          </w:tcPr>
          <w:p w14:paraId="2A178B65" w14:textId="77777777" w:rsidR="00187677" w:rsidRPr="00290CBC" w:rsidRDefault="00187677" w:rsidP="002B0C9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90CBC">
              <w:rPr>
                <w:rFonts w:ascii="Arial" w:eastAsia="Calibri" w:hAnsi="Arial" w:cs="Arial"/>
                <w:sz w:val="20"/>
                <w:szCs w:val="20"/>
                <w:lang w:val="en-US"/>
              </w:rPr>
              <w:t>CHARACTERİCTİCS</w:t>
            </w:r>
          </w:p>
        </w:tc>
        <w:tc>
          <w:tcPr>
            <w:tcW w:w="1275" w:type="dxa"/>
          </w:tcPr>
          <w:p w14:paraId="644B71F0" w14:textId="77777777" w:rsidR="00187677" w:rsidRPr="00290CBC" w:rsidRDefault="00187677" w:rsidP="002B0C9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90CBC">
              <w:rPr>
                <w:rFonts w:ascii="Arial" w:eastAsia="Calibri" w:hAnsi="Arial" w:cs="Arial"/>
                <w:sz w:val="20"/>
                <w:szCs w:val="20"/>
                <w:lang w:val="en-US"/>
              </w:rPr>
              <w:t>VALUES</w:t>
            </w:r>
          </w:p>
        </w:tc>
      </w:tr>
      <w:tr w:rsidR="00187677" w:rsidRPr="00290CBC" w14:paraId="4ED884C1"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7E8F00A6" w14:textId="77777777" w:rsidR="00187677" w:rsidRPr="00290CBC" w:rsidRDefault="00187677" w:rsidP="002B0C91">
            <w:pPr>
              <w:spacing w:line="276" w:lineRule="auto"/>
              <w:rPr>
                <w:rFonts w:ascii="Arial" w:hAnsi="Arial" w:cs="Arial"/>
                <w:sz w:val="20"/>
                <w:szCs w:val="20"/>
                <w:lang w:val="en-US"/>
              </w:rPr>
            </w:pPr>
            <w:r w:rsidRPr="00290CBC">
              <w:rPr>
                <w:rFonts w:ascii="Arial" w:eastAsia="Calibri" w:hAnsi="Arial" w:cs="Arial"/>
                <w:sz w:val="20"/>
                <w:szCs w:val="20"/>
                <w:lang w:val="en-US"/>
              </w:rPr>
              <w:t>Age-Mean (</w:t>
            </w:r>
            <w:proofErr w:type="gramStart"/>
            <w:r w:rsidRPr="00290CBC">
              <w:rPr>
                <w:rFonts w:ascii="Arial" w:eastAsia="Calibri" w:hAnsi="Arial" w:cs="Arial"/>
                <w:sz w:val="20"/>
                <w:szCs w:val="20"/>
                <w:lang w:val="en-US"/>
              </w:rPr>
              <w:t xml:space="preserve">SD)   </w:t>
            </w:r>
            <w:proofErr w:type="gramEnd"/>
            <w:r w:rsidRPr="00290CBC">
              <w:rPr>
                <w:rFonts w:ascii="Arial" w:eastAsia="Calibri" w:hAnsi="Arial" w:cs="Arial"/>
                <w:sz w:val="20"/>
                <w:szCs w:val="20"/>
                <w:lang w:val="en-US"/>
              </w:rPr>
              <w:t xml:space="preserve">                                                                                                            </w:t>
            </w:r>
          </w:p>
        </w:tc>
        <w:tc>
          <w:tcPr>
            <w:tcW w:w="1422" w:type="dxa"/>
            <w:gridSpan w:val="2"/>
          </w:tcPr>
          <w:p w14:paraId="4F18CB4D"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eastAsia="Calibri" w:hAnsi="Arial" w:cs="Arial"/>
                <w:sz w:val="20"/>
                <w:szCs w:val="20"/>
                <w:lang w:val="en-US"/>
              </w:rPr>
              <w:t>74.4 (8.5)</w:t>
            </w:r>
          </w:p>
        </w:tc>
        <w:tc>
          <w:tcPr>
            <w:tcW w:w="3681" w:type="dxa"/>
          </w:tcPr>
          <w:p w14:paraId="053C3180"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c>
          <w:tcPr>
            <w:tcW w:w="1275" w:type="dxa"/>
          </w:tcPr>
          <w:p w14:paraId="7143BDE2"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p>
        </w:tc>
      </w:tr>
      <w:tr w:rsidR="00187677" w:rsidRPr="00290CBC" w14:paraId="203ADD1D"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5245" w:type="dxa"/>
            <w:gridSpan w:val="3"/>
          </w:tcPr>
          <w:p w14:paraId="6369D17A" w14:textId="77777777" w:rsidR="00187677" w:rsidRPr="00290CBC" w:rsidRDefault="00187677" w:rsidP="002B0C91">
            <w:pPr>
              <w:spacing w:line="276" w:lineRule="auto"/>
              <w:rPr>
                <w:rFonts w:ascii="Arial" w:hAnsi="Arial" w:cs="Arial"/>
                <w:b w:val="0"/>
                <w:sz w:val="20"/>
                <w:szCs w:val="20"/>
                <w:lang w:val="en-US"/>
              </w:rPr>
            </w:pPr>
            <w:r w:rsidRPr="00290CBC">
              <w:rPr>
                <w:rFonts w:ascii="Arial" w:hAnsi="Arial" w:cs="Arial"/>
                <w:sz w:val="20"/>
                <w:szCs w:val="20"/>
                <w:lang w:val="en-US"/>
              </w:rPr>
              <w:t xml:space="preserve">Level of education </w:t>
            </w:r>
          </w:p>
        </w:tc>
        <w:tc>
          <w:tcPr>
            <w:tcW w:w="3681" w:type="dxa"/>
          </w:tcPr>
          <w:p w14:paraId="6D962EB4"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
        </w:tc>
        <w:tc>
          <w:tcPr>
            <w:tcW w:w="1275" w:type="dxa"/>
          </w:tcPr>
          <w:p w14:paraId="358A931F"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
        </w:tc>
      </w:tr>
      <w:tr w:rsidR="00187677" w:rsidRPr="00290CBC" w14:paraId="049AB64E"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0D4154A4" w14:textId="77777777" w:rsidR="00187677" w:rsidRPr="00290CBC" w:rsidRDefault="00187677" w:rsidP="00187677">
            <w:pPr>
              <w:pStyle w:val="ListParagraph"/>
              <w:numPr>
                <w:ilvl w:val="0"/>
                <w:numId w:val="6"/>
              </w:numPr>
              <w:spacing w:line="276" w:lineRule="auto"/>
              <w:ind w:left="0"/>
              <w:rPr>
                <w:rFonts w:ascii="Arial" w:hAnsi="Arial" w:cs="Arial"/>
                <w:b w:val="0"/>
                <w:sz w:val="20"/>
                <w:szCs w:val="20"/>
                <w:lang w:val="en-US"/>
              </w:rPr>
            </w:pPr>
            <w:r w:rsidRPr="00290CBC">
              <w:rPr>
                <w:rFonts w:ascii="Arial" w:hAnsi="Arial" w:cs="Arial"/>
                <w:b w:val="0"/>
                <w:sz w:val="20"/>
                <w:szCs w:val="20"/>
                <w:lang w:val="en-US"/>
              </w:rPr>
              <w:t>Equal or less than 5 years</w:t>
            </w:r>
          </w:p>
        </w:tc>
        <w:tc>
          <w:tcPr>
            <w:tcW w:w="1422" w:type="dxa"/>
            <w:gridSpan w:val="2"/>
          </w:tcPr>
          <w:p w14:paraId="1E58C669"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19.6 </w:t>
            </w:r>
            <w:r w:rsidRPr="00290CBC">
              <w:rPr>
                <w:rFonts w:ascii="Arial" w:eastAsia="Calibri" w:hAnsi="Arial" w:cs="Arial"/>
                <w:sz w:val="20"/>
                <w:szCs w:val="20"/>
                <w:lang w:val="en-US"/>
              </w:rPr>
              <w:t>(%)</w:t>
            </w:r>
          </w:p>
        </w:tc>
        <w:tc>
          <w:tcPr>
            <w:tcW w:w="3681" w:type="dxa"/>
          </w:tcPr>
          <w:p w14:paraId="4EC071C7" w14:textId="77777777" w:rsidR="00187677" w:rsidRPr="00290CBC" w:rsidRDefault="00187677" w:rsidP="00187677">
            <w:pPr>
              <w:pStyle w:val="ListParagraph"/>
              <w:numPr>
                <w:ilvl w:val="0"/>
                <w:numId w:val="6"/>
              </w:numPr>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More than 5 years</w:t>
            </w:r>
          </w:p>
        </w:tc>
        <w:tc>
          <w:tcPr>
            <w:tcW w:w="1275" w:type="dxa"/>
          </w:tcPr>
          <w:p w14:paraId="47D9ABA5"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80.4 </w:t>
            </w:r>
            <w:r w:rsidRPr="00290CBC">
              <w:rPr>
                <w:rFonts w:ascii="Arial" w:eastAsia="Calibri" w:hAnsi="Arial" w:cs="Arial"/>
                <w:sz w:val="20"/>
                <w:szCs w:val="20"/>
                <w:lang w:val="en-US"/>
              </w:rPr>
              <w:t>(%)</w:t>
            </w:r>
          </w:p>
        </w:tc>
      </w:tr>
      <w:tr w:rsidR="00187677" w:rsidRPr="00290CBC" w14:paraId="55164652"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5245" w:type="dxa"/>
            <w:gridSpan w:val="3"/>
          </w:tcPr>
          <w:p w14:paraId="3E508E40" w14:textId="77777777" w:rsidR="00187677" w:rsidRPr="00290CBC" w:rsidRDefault="00187677" w:rsidP="002B0C91">
            <w:pPr>
              <w:spacing w:line="276" w:lineRule="auto"/>
              <w:rPr>
                <w:rFonts w:ascii="Arial" w:hAnsi="Arial" w:cs="Arial"/>
                <w:b w:val="0"/>
                <w:color w:val="FF0000"/>
                <w:sz w:val="20"/>
                <w:szCs w:val="20"/>
                <w:lang w:val="en-US"/>
              </w:rPr>
            </w:pPr>
            <w:r w:rsidRPr="00290CBC">
              <w:rPr>
                <w:rFonts w:ascii="Arial" w:hAnsi="Arial" w:cs="Arial"/>
                <w:sz w:val="20"/>
                <w:szCs w:val="20"/>
                <w:lang w:val="en-US"/>
              </w:rPr>
              <w:t xml:space="preserve">Living status </w:t>
            </w:r>
          </w:p>
        </w:tc>
        <w:tc>
          <w:tcPr>
            <w:tcW w:w="3681" w:type="dxa"/>
          </w:tcPr>
          <w:p w14:paraId="336E04C4"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en-US"/>
              </w:rPr>
            </w:pPr>
          </w:p>
        </w:tc>
        <w:tc>
          <w:tcPr>
            <w:tcW w:w="1275" w:type="dxa"/>
          </w:tcPr>
          <w:p w14:paraId="1EB9B30A"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en-US"/>
              </w:rPr>
            </w:pPr>
          </w:p>
        </w:tc>
      </w:tr>
      <w:tr w:rsidR="00187677" w:rsidRPr="00290CBC" w14:paraId="29C0EAAE"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5294A0C3" w14:textId="77777777" w:rsidR="00187677" w:rsidRPr="00290CBC" w:rsidRDefault="00187677" w:rsidP="00187677">
            <w:pPr>
              <w:pStyle w:val="ListParagraph"/>
              <w:numPr>
                <w:ilvl w:val="0"/>
                <w:numId w:val="6"/>
              </w:numPr>
              <w:spacing w:line="276" w:lineRule="auto"/>
              <w:ind w:left="0"/>
              <w:rPr>
                <w:rFonts w:ascii="Arial" w:eastAsia="Calibri" w:hAnsi="Arial" w:cs="Arial"/>
                <w:b w:val="0"/>
                <w:sz w:val="20"/>
                <w:szCs w:val="20"/>
                <w:lang w:val="en-US"/>
              </w:rPr>
            </w:pPr>
            <w:r w:rsidRPr="00290CBC">
              <w:rPr>
                <w:rFonts w:ascii="Arial" w:eastAsia="Calibri" w:hAnsi="Arial" w:cs="Arial"/>
                <w:b w:val="0"/>
                <w:sz w:val="20"/>
                <w:szCs w:val="20"/>
                <w:lang w:val="en-US"/>
              </w:rPr>
              <w:t>Alone</w:t>
            </w:r>
          </w:p>
        </w:tc>
        <w:tc>
          <w:tcPr>
            <w:tcW w:w="1422" w:type="dxa"/>
            <w:gridSpan w:val="2"/>
          </w:tcPr>
          <w:p w14:paraId="2AE8450A"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23.1 </w:t>
            </w:r>
            <w:r w:rsidRPr="00290CBC">
              <w:rPr>
                <w:rFonts w:ascii="Arial" w:eastAsia="Calibri" w:hAnsi="Arial" w:cs="Arial"/>
                <w:sz w:val="20"/>
                <w:szCs w:val="20"/>
                <w:lang w:val="en-US"/>
              </w:rPr>
              <w:t>(%)</w:t>
            </w:r>
          </w:p>
        </w:tc>
        <w:tc>
          <w:tcPr>
            <w:tcW w:w="3681" w:type="dxa"/>
          </w:tcPr>
          <w:p w14:paraId="2BAD4F33" w14:textId="77777777" w:rsidR="00187677" w:rsidRPr="00290CBC" w:rsidRDefault="00187677" w:rsidP="00187677">
            <w:pPr>
              <w:pStyle w:val="ListParagraph"/>
              <w:numPr>
                <w:ilvl w:val="0"/>
                <w:numId w:val="6"/>
              </w:numPr>
              <w:spacing w:line="276" w:lineRule="auto"/>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290CBC">
              <w:rPr>
                <w:rFonts w:ascii="Arial" w:eastAsia="Calibri" w:hAnsi="Arial" w:cs="Arial"/>
                <w:sz w:val="20"/>
                <w:szCs w:val="20"/>
                <w:lang w:val="en-US"/>
              </w:rPr>
              <w:t>Roommate/Caregiver</w:t>
            </w:r>
          </w:p>
        </w:tc>
        <w:tc>
          <w:tcPr>
            <w:tcW w:w="1275" w:type="dxa"/>
          </w:tcPr>
          <w:p w14:paraId="32C424B4"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76.9</w:t>
            </w:r>
            <w:r w:rsidRPr="00290CBC">
              <w:rPr>
                <w:rFonts w:ascii="Arial" w:eastAsia="Calibri" w:hAnsi="Arial" w:cs="Arial"/>
                <w:sz w:val="20"/>
                <w:szCs w:val="20"/>
                <w:lang w:val="en-US"/>
              </w:rPr>
              <w:t xml:space="preserve"> (%)</w:t>
            </w:r>
          </w:p>
        </w:tc>
      </w:tr>
      <w:tr w:rsidR="00187677" w:rsidRPr="00290CBC" w14:paraId="11A085D8"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5245" w:type="dxa"/>
            <w:gridSpan w:val="3"/>
          </w:tcPr>
          <w:p w14:paraId="68F7CE27" w14:textId="77777777" w:rsidR="00187677" w:rsidRPr="00290CBC" w:rsidRDefault="00187677" w:rsidP="002B0C91">
            <w:pPr>
              <w:spacing w:line="276" w:lineRule="auto"/>
              <w:rPr>
                <w:rFonts w:ascii="Arial" w:hAnsi="Arial" w:cs="Arial"/>
                <w:b w:val="0"/>
                <w:sz w:val="20"/>
                <w:szCs w:val="20"/>
                <w:lang w:val="en-US"/>
              </w:rPr>
            </w:pPr>
            <w:r w:rsidRPr="00290CBC">
              <w:rPr>
                <w:rFonts w:ascii="Arial" w:hAnsi="Arial" w:cs="Arial"/>
                <w:sz w:val="20"/>
                <w:szCs w:val="20"/>
                <w:lang w:val="en-US"/>
              </w:rPr>
              <w:t xml:space="preserve">Comorbidities </w:t>
            </w:r>
          </w:p>
        </w:tc>
        <w:tc>
          <w:tcPr>
            <w:tcW w:w="3681" w:type="dxa"/>
          </w:tcPr>
          <w:p w14:paraId="05ACB02C"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
        </w:tc>
        <w:tc>
          <w:tcPr>
            <w:tcW w:w="1275" w:type="dxa"/>
          </w:tcPr>
          <w:p w14:paraId="4CEF4114"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
        </w:tc>
      </w:tr>
      <w:tr w:rsidR="00187677" w:rsidRPr="00290CBC" w14:paraId="0AE2025B"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563B6052" w14:textId="77777777" w:rsidR="00187677" w:rsidRPr="00290CBC" w:rsidRDefault="00187677" w:rsidP="00187677">
            <w:pPr>
              <w:pStyle w:val="ListParagraph"/>
              <w:numPr>
                <w:ilvl w:val="0"/>
                <w:numId w:val="6"/>
              </w:numPr>
              <w:spacing w:line="276" w:lineRule="auto"/>
              <w:ind w:left="0"/>
              <w:rPr>
                <w:rFonts w:ascii="Arial" w:eastAsia="Calibri" w:hAnsi="Arial" w:cs="Arial"/>
                <w:b w:val="0"/>
                <w:sz w:val="20"/>
                <w:szCs w:val="20"/>
                <w:lang w:val="en-US"/>
              </w:rPr>
            </w:pPr>
            <w:r w:rsidRPr="00290CBC">
              <w:rPr>
                <w:rFonts w:ascii="Arial" w:eastAsia="Calibri" w:hAnsi="Arial" w:cs="Arial"/>
                <w:b w:val="0"/>
                <w:sz w:val="20"/>
                <w:szCs w:val="20"/>
                <w:lang w:val="en-US"/>
              </w:rPr>
              <w:t xml:space="preserve">Hypertension                                                                                                                     </w:t>
            </w:r>
          </w:p>
        </w:tc>
        <w:tc>
          <w:tcPr>
            <w:tcW w:w="1422" w:type="dxa"/>
            <w:gridSpan w:val="2"/>
          </w:tcPr>
          <w:p w14:paraId="3EEB141D"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eastAsia="Calibri" w:hAnsi="Arial" w:cs="Arial"/>
                <w:sz w:val="20"/>
                <w:szCs w:val="20"/>
                <w:lang w:val="en-US"/>
              </w:rPr>
              <w:t>71.3 (%)</w:t>
            </w:r>
          </w:p>
        </w:tc>
        <w:tc>
          <w:tcPr>
            <w:tcW w:w="3681" w:type="dxa"/>
          </w:tcPr>
          <w:p w14:paraId="5B6F6CB5" w14:textId="77777777" w:rsidR="00187677" w:rsidRPr="00290CBC" w:rsidRDefault="00187677" w:rsidP="00187677">
            <w:pPr>
              <w:pStyle w:val="ListParagraph"/>
              <w:numPr>
                <w:ilvl w:val="0"/>
                <w:numId w:val="6"/>
              </w:numPr>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Diabetes</w:t>
            </w:r>
          </w:p>
        </w:tc>
        <w:tc>
          <w:tcPr>
            <w:tcW w:w="1275" w:type="dxa"/>
          </w:tcPr>
          <w:p w14:paraId="5CAA433A"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26.0 </w:t>
            </w:r>
            <w:r w:rsidRPr="00290CBC">
              <w:rPr>
                <w:rFonts w:ascii="Arial" w:eastAsia="Calibri" w:hAnsi="Arial" w:cs="Arial"/>
                <w:sz w:val="20"/>
                <w:szCs w:val="20"/>
                <w:lang w:val="en-US"/>
              </w:rPr>
              <w:t>(%)</w:t>
            </w:r>
          </w:p>
        </w:tc>
      </w:tr>
      <w:tr w:rsidR="00187677" w:rsidRPr="00290CBC" w14:paraId="7CB66032"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1B812152" w14:textId="77777777" w:rsidR="00187677" w:rsidRPr="00290CBC" w:rsidRDefault="00187677" w:rsidP="00187677">
            <w:pPr>
              <w:pStyle w:val="ListParagraph"/>
              <w:numPr>
                <w:ilvl w:val="0"/>
                <w:numId w:val="6"/>
              </w:numPr>
              <w:ind w:left="0"/>
              <w:rPr>
                <w:rFonts w:ascii="Arial" w:hAnsi="Arial" w:cs="Arial"/>
                <w:b w:val="0"/>
                <w:sz w:val="20"/>
                <w:szCs w:val="20"/>
                <w:lang w:val="en-US"/>
              </w:rPr>
            </w:pPr>
            <w:r w:rsidRPr="00290CBC">
              <w:rPr>
                <w:rFonts w:ascii="Arial" w:hAnsi="Arial" w:cs="Arial"/>
                <w:b w:val="0"/>
                <w:sz w:val="20"/>
                <w:szCs w:val="20"/>
                <w:lang w:val="en-US"/>
              </w:rPr>
              <w:t>Cerebrovascular disease</w:t>
            </w:r>
          </w:p>
        </w:tc>
        <w:tc>
          <w:tcPr>
            <w:tcW w:w="1422" w:type="dxa"/>
            <w:gridSpan w:val="2"/>
          </w:tcPr>
          <w:p w14:paraId="43E80C79"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4.4 </w:t>
            </w:r>
            <w:r w:rsidRPr="00290CBC">
              <w:rPr>
                <w:rFonts w:ascii="Arial" w:eastAsia="Calibri" w:hAnsi="Arial" w:cs="Arial"/>
                <w:sz w:val="20"/>
                <w:szCs w:val="20"/>
                <w:lang w:val="en-US"/>
              </w:rPr>
              <w:t>(%)</w:t>
            </w:r>
          </w:p>
        </w:tc>
        <w:tc>
          <w:tcPr>
            <w:tcW w:w="3681" w:type="dxa"/>
          </w:tcPr>
          <w:p w14:paraId="383354F3" w14:textId="77777777" w:rsidR="00187677" w:rsidRPr="00290CBC" w:rsidRDefault="00187677" w:rsidP="00187677">
            <w:pPr>
              <w:pStyle w:val="ListParagraph"/>
              <w:numPr>
                <w:ilvl w:val="0"/>
                <w:numId w:val="6"/>
              </w:numPr>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Osteoarthritis</w:t>
            </w:r>
          </w:p>
        </w:tc>
        <w:tc>
          <w:tcPr>
            <w:tcW w:w="1275" w:type="dxa"/>
          </w:tcPr>
          <w:p w14:paraId="244EC3B3" w14:textId="77777777" w:rsidR="00187677" w:rsidRPr="00290CBC" w:rsidRDefault="00187677" w:rsidP="002B0C9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47.6 </w:t>
            </w:r>
            <w:r w:rsidRPr="00290CBC">
              <w:rPr>
                <w:rFonts w:ascii="Arial" w:eastAsia="Calibri" w:hAnsi="Arial" w:cs="Arial"/>
                <w:sz w:val="20"/>
                <w:szCs w:val="20"/>
                <w:lang w:val="en-US"/>
              </w:rPr>
              <w:t>(%)</w:t>
            </w:r>
          </w:p>
        </w:tc>
      </w:tr>
      <w:tr w:rsidR="00187677" w:rsidRPr="00290CBC" w14:paraId="30C9B45C"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7B956AE0" w14:textId="77777777" w:rsidR="00187677" w:rsidRPr="00290CBC" w:rsidRDefault="00187677" w:rsidP="00187677">
            <w:pPr>
              <w:pStyle w:val="ListParagraph"/>
              <w:numPr>
                <w:ilvl w:val="0"/>
                <w:numId w:val="6"/>
              </w:numPr>
              <w:ind w:left="0"/>
              <w:rPr>
                <w:rFonts w:ascii="Arial" w:hAnsi="Arial" w:cs="Arial"/>
                <w:b w:val="0"/>
                <w:sz w:val="20"/>
                <w:szCs w:val="20"/>
                <w:lang w:val="en-US"/>
              </w:rPr>
            </w:pPr>
            <w:r w:rsidRPr="00290CBC">
              <w:rPr>
                <w:rFonts w:ascii="Arial" w:hAnsi="Arial" w:cs="Arial"/>
                <w:b w:val="0"/>
                <w:sz w:val="20"/>
                <w:szCs w:val="20"/>
                <w:lang w:val="en-US"/>
              </w:rPr>
              <w:t>Dementia</w:t>
            </w:r>
          </w:p>
        </w:tc>
        <w:tc>
          <w:tcPr>
            <w:tcW w:w="1422" w:type="dxa"/>
            <w:gridSpan w:val="2"/>
          </w:tcPr>
          <w:p w14:paraId="2E321860"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13.8 </w:t>
            </w:r>
            <w:r w:rsidRPr="00290CBC">
              <w:rPr>
                <w:rFonts w:ascii="Arial" w:eastAsia="Calibri" w:hAnsi="Arial" w:cs="Arial"/>
                <w:sz w:val="20"/>
                <w:szCs w:val="20"/>
                <w:lang w:val="en-US"/>
              </w:rPr>
              <w:t>(%)</w:t>
            </w:r>
          </w:p>
        </w:tc>
        <w:tc>
          <w:tcPr>
            <w:tcW w:w="3681" w:type="dxa"/>
          </w:tcPr>
          <w:p w14:paraId="52DDDE3C" w14:textId="77777777" w:rsidR="00187677" w:rsidRPr="00290CBC" w:rsidRDefault="00187677" w:rsidP="00187677">
            <w:pPr>
              <w:pStyle w:val="ListParagraph"/>
              <w:numPr>
                <w:ilvl w:val="0"/>
                <w:numId w:val="6"/>
              </w:numPr>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proofErr w:type="spellStart"/>
            <w:r w:rsidRPr="00290CBC">
              <w:rPr>
                <w:rFonts w:ascii="Arial" w:hAnsi="Arial" w:cs="Arial"/>
                <w:sz w:val="20"/>
                <w:szCs w:val="20"/>
                <w:lang w:val="en-US"/>
              </w:rPr>
              <w:t>Charlson</w:t>
            </w:r>
            <w:proofErr w:type="spellEnd"/>
            <w:r w:rsidRPr="00290CBC">
              <w:rPr>
                <w:rFonts w:ascii="Arial" w:hAnsi="Arial" w:cs="Arial"/>
                <w:sz w:val="20"/>
                <w:szCs w:val="20"/>
                <w:lang w:val="en-US"/>
              </w:rPr>
              <w:t xml:space="preserve"> comorbidity index (SD)</w:t>
            </w:r>
          </w:p>
        </w:tc>
        <w:tc>
          <w:tcPr>
            <w:tcW w:w="1275" w:type="dxa"/>
          </w:tcPr>
          <w:p w14:paraId="24A388F4"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0.86 (0.97)</w:t>
            </w:r>
          </w:p>
        </w:tc>
      </w:tr>
      <w:tr w:rsidR="00187677" w:rsidRPr="00290CBC" w14:paraId="58D0D43A"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4518FE58" w14:textId="77777777" w:rsidR="00187677" w:rsidRPr="00290CBC" w:rsidRDefault="00187677" w:rsidP="002B0C91">
            <w:pPr>
              <w:pStyle w:val="ListParagraph"/>
              <w:ind w:left="0"/>
              <w:rPr>
                <w:rFonts w:ascii="Arial" w:hAnsi="Arial" w:cs="Arial"/>
                <w:b w:val="0"/>
                <w:sz w:val="20"/>
                <w:szCs w:val="20"/>
              </w:rPr>
            </w:pPr>
            <w:r w:rsidRPr="00290CBC">
              <w:rPr>
                <w:rFonts w:ascii="Arial" w:hAnsi="Arial" w:cs="Arial"/>
                <w:b w:val="0"/>
                <w:sz w:val="20"/>
                <w:szCs w:val="20"/>
              </w:rPr>
              <w:t>Cataract</w:t>
            </w:r>
          </w:p>
        </w:tc>
        <w:tc>
          <w:tcPr>
            <w:tcW w:w="1422" w:type="dxa"/>
            <w:gridSpan w:val="2"/>
          </w:tcPr>
          <w:p w14:paraId="6AE25666" w14:textId="77777777" w:rsidR="00187677" w:rsidRPr="00290CBC" w:rsidRDefault="00187677" w:rsidP="002B0C9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0CBC">
              <w:rPr>
                <w:rFonts w:ascii="Arial" w:hAnsi="Arial" w:cs="Arial"/>
                <w:sz w:val="20"/>
                <w:szCs w:val="20"/>
              </w:rPr>
              <w:t xml:space="preserve">50.2 </w:t>
            </w:r>
            <w:r w:rsidRPr="00290CBC">
              <w:rPr>
                <w:rFonts w:ascii="Arial" w:eastAsia="Calibri" w:hAnsi="Arial" w:cs="Arial"/>
                <w:sz w:val="20"/>
                <w:szCs w:val="20"/>
              </w:rPr>
              <w:t>(%)</w:t>
            </w:r>
          </w:p>
        </w:tc>
        <w:tc>
          <w:tcPr>
            <w:tcW w:w="3681" w:type="dxa"/>
          </w:tcPr>
          <w:p w14:paraId="08197E7E" w14:textId="77777777" w:rsidR="00187677" w:rsidRPr="00290CBC" w:rsidRDefault="00187677" w:rsidP="00187677">
            <w:pPr>
              <w:pStyle w:val="ListParagraph"/>
              <w:numPr>
                <w:ilvl w:val="0"/>
                <w:numId w:val="6"/>
              </w:numPr>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Hearing impairment</w:t>
            </w:r>
          </w:p>
        </w:tc>
        <w:tc>
          <w:tcPr>
            <w:tcW w:w="1275" w:type="dxa"/>
          </w:tcPr>
          <w:p w14:paraId="55166FEE"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29.6 </w:t>
            </w:r>
            <w:r w:rsidRPr="00290CBC">
              <w:rPr>
                <w:rFonts w:ascii="Arial" w:eastAsia="Calibri" w:hAnsi="Arial" w:cs="Arial"/>
                <w:sz w:val="20"/>
                <w:szCs w:val="20"/>
                <w:lang w:val="en-US"/>
              </w:rPr>
              <w:t>(%)</w:t>
            </w:r>
          </w:p>
        </w:tc>
      </w:tr>
      <w:tr w:rsidR="00187677" w:rsidRPr="00290CBC" w14:paraId="3AED7BD0"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01" w:type="dxa"/>
            <w:gridSpan w:val="5"/>
          </w:tcPr>
          <w:p w14:paraId="5E6A9BF2" w14:textId="77777777" w:rsidR="00187677" w:rsidRPr="00290CBC" w:rsidRDefault="00187677" w:rsidP="002B0C91">
            <w:pPr>
              <w:spacing w:line="276" w:lineRule="auto"/>
              <w:rPr>
                <w:rFonts w:ascii="Arial" w:hAnsi="Arial" w:cs="Arial"/>
                <w:sz w:val="20"/>
                <w:szCs w:val="20"/>
              </w:rPr>
            </w:pPr>
            <w:r w:rsidRPr="00290CBC">
              <w:rPr>
                <w:rFonts w:ascii="Arial" w:hAnsi="Arial" w:cs="Arial"/>
                <w:sz w:val="20"/>
                <w:szCs w:val="20"/>
              </w:rPr>
              <w:t xml:space="preserve">Laboratuary findings </w:t>
            </w:r>
          </w:p>
        </w:tc>
      </w:tr>
      <w:tr w:rsidR="00187677" w:rsidRPr="00290CBC" w14:paraId="0B7FE7E1"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43B3BFCA" w14:textId="77777777" w:rsidR="00187677" w:rsidRPr="00290CBC" w:rsidRDefault="00187677" w:rsidP="002B0C91">
            <w:pPr>
              <w:pStyle w:val="ListParagraph"/>
              <w:spacing w:line="276" w:lineRule="auto"/>
              <w:ind w:left="0"/>
              <w:jc w:val="both"/>
              <w:rPr>
                <w:rFonts w:ascii="Arial" w:hAnsi="Arial" w:cs="Arial"/>
                <w:b w:val="0"/>
                <w:sz w:val="20"/>
                <w:szCs w:val="20"/>
              </w:rPr>
            </w:pPr>
            <w:r w:rsidRPr="00290CBC">
              <w:rPr>
                <w:rFonts w:ascii="Arial" w:hAnsi="Arial" w:cs="Arial"/>
                <w:b w:val="0"/>
                <w:sz w:val="20"/>
                <w:szCs w:val="20"/>
              </w:rPr>
              <w:t>Vitamin D (SD)</w:t>
            </w:r>
          </w:p>
        </w:tc>
        <w:tc>
          <w:tcPr>
            <w:tcW w:w="1422" w:type="dxa"/>
            <w:gridSpan w:val="2"/>
          </w:tcPr>
          <w:p w14:paraId="61D1916E"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0CBC">
              <w:rPr>
                <w:rFonts w:ascii="Arial" w:hAnsi="Arial" w:cs="Arial"/>
                <w:sz w:val="20"/>
                <w:szCs w:val="20"/>
              </w:rPr>
              <w:t>24.5(13.3)</w:t>
            </w:r>
          </w:p>
        </w:tc>
        <w:tc>
          <w:tcPr>
            <w:tcW w:w="3681" w:type="dxa"/>
          </w:tcPr>
          <w:p w14:paraId="3FC51C20" w14:textId="77777777" w:rsidR="00187677" w:rsidRPr="00290CBC" w:rsidRDefault="00187677" w:rsidP="00187677">
            <w:pPr>
              <w:pStyle w:val="ListParagraph"/>
              <w:numPr>
                <w:ilvl w:val="0"/>
                <w:numId w:val="6"/>
              </w:numPr>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290CBC">
              <w:rPr>
                <w:rFonts w:ascii="Arial" w:hAnsi="Arial" w:cs="Arial"/>
                <w:sz w:val="20"/>
                <w:szCs w:val="20"/>
                <w:lang w:val="en-US"/>
              </w:rPr>
              <w:t>Folat</w:t>
            </w:r>
            <w:proofErr w:type="spellEnd"/>
            <w:r w:rsidRPr="00290CBC">
              <w:rPr>
                <w:rFonts w:ascii="Arial" w:hAnsi="Arial" w:cs="Arial"/>
                <w:sz w:val="20"/>
                <w:szCs w:val="20"/>
                <w:lang w:val="en-US"/>
              </w:rPr>
              <w:t xml:space="preserve"> (SD)</w:t>
            </w:r>
          </w:p>
        </w:tc>
        <w:tc>
          <w:tcPr>
            <w:tcW w:w="1275" w:type="dxa"/>
          </w:tcPr>
          <w:p w14:paraId="07D4D870"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rPr>
              <w:t>9.76(4.86)</w:t>
            </w:r>
          </w:p>
        </w:tc>
      </w:tr>
      <w:tr w:rsidR="00187677" w:rsidRPr="00290CBC" w14:paraId="3728FB3B"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44EF5624" w14:textId="77777777" w:rsidR="00187677" w:rsidRPr="00290CBC" w:rsidRDefault="00187677" w:rsidP="002B0C91">
            <w:pPr>
              <w:pStyle w:val="ListParagraph"/>
              <w:spacing w:line="276" w:lineRule="auto"/>
              <w:ind w:left="0"/>
              <w:rPr>
                <w:rFonts w:ascii="Arial" w:hAnsi="Arial" w:cs="Arial"/>
                <w:b w:val="0"/>
                <w:sz w:val="20"/>
                <w:szCs w:val="20"/>
              </w:rPr>
            </w:pPr>
            <w:r w:rsidRPr="00290CBC">
              <w:rPr>
                <w:rFonts w:ascii="Arial" w:hAnsi="Arial" w:cs="Arial"/>
                <w:b w:val="0"/>
                <w:sz w:val="20"/>
                <w:szCs w:val="20"/>
              </w:rPr>
              <w:t>Vitamin B12 (SD)</w:t>
            </w:r>
          </w:p>
        </w:tc>
        <w:tc>
          <w:tcPr>
            <w:tcW w:w="1422" w:type="dxa"/>
            <w:gridSpan w:val="2"/>
          </w:tcPr>
          <w:p w14:paraId="2CC86DC8"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0CBC">
              <w:rPr>
                <w:rFonts w:ascii="Arial" w:hAnsi="Arial" w:cs="Arial"/>
                <w:sz w:val="20"/>
                <w:szCs w:val="20"/>
              </w:rPr>
              <w:t>452(310.5)</w:t>
            </w:r>
          </w:p>
        </w:tc>
        <w:tc>
          <w:tcPr>
            <w:tcW w:w="3681" w:type="dxa"/>
          </w:tcPr>
          <w:p w14:paraId="20286F2B" w14:textId="77777777" w:rsidR="00187677" w:rsidRPr="00290CBC" w:rsidRDefault="00187677" w:rsidP="00187677">
            <w:pPr>
              <w:pStyle w:val="ListParagraph"/>
              <w:numPr>
                <w:ilvl w:val="0"/>
                <w:numId w:val="6"/>
              </w:numPr>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5" w:type="dxa"/>
          </w:tcPr>
          <w:p w14:paraId="4A3D9279"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187677" w:rsidRPr="00290CBC" w14:paraId="00BD6377"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10201" w:type="dxa"/>
            <w:gridSpan w:val="5"/>
          </w:tcPr>
          <w:p w14:paraId="3A3AE704" w14:textId="77777777" w:rsidR="00187677" w:rsidRPr="00290CBC" w:rsidRDefault="00187677" w:rsidP="002B0C91">
            <w:pPr>
              <w:spacing w:line="276" w:lineRule="auto"/>
              <w:rPr>
                <w:rFonts w:ascii="Arial" w:hAnsi="Arial" w:cs="Arial"/>
                <w:sz w:val="20"/>
                <w:szCs w:val="20"/>
                <w:lang w:val="en-US"/>
              </w:rPr>
            </w:pPr>
            <w:r w:rsidRPr="00290CBC">
              <w:rPr>
                <w:rFonts w:ascii="Arial" w:hAnsi="Arial" w:cs="Arial"/>
                <w:sz w:val="20"/>
                <w:szCs w:val="20"/>
                <w:lang w:val="en-US"/>
              </w:rPr>
              <w:t xml:space="preserve">Geriatric Syndromes and Comprehensive Geriatric Assessment </w:t>
            </w:r>
          </w:p>
        </w:tc>
      </w:tr>
      <w:tr w:rsidR="00187677" w:rsidRPr="00290CBC" w14:paraId="6AED5498"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0" w:type="dxa"/>
            <w:gridSpan w:val="2"/>
          </w:tcPr>
          <w:p w14:paraId="7C9D8BFE" w14:textId="77777777" w:rsidR="00187677" w:rsidRPr="00290CBC" w:rsidRDefault="00187677" w:rsidP="002B0C91">
            <w:pPr>
              <w:spacing w:line="276" w:lineRule="auto"/>
              <w:rPr>
                <w:rFonts w:ascii="Arial" w:hAnsi="Arial" w:cs="Arial"/>
                <w:bCs w:val="0"/>
                <w:sz w:val="20"/>
                <w:szCs w:val="20"/>
                <w:lang w:val="en-US"/>
              </w:rPr>
            </w:pPr>
            <w:r w:rsidRPr="00290CBC">
              <w:rPr>
                <w:rFonts w:ascii="Arial" w:hAnsi="Arial" w:cs="Arial"/>
                <w:b w:val="0"/>
                <w:sz w:val="20"/>
                <w:szCs w:val="20"/>
                <w:lang w:val="en-US"/>
              </w:rPr>
              <w:t>Fall history                                                    31.5 (%)</w:t>
            </w:r>
          </w:p>
        </w:tc>
        <w:tc>
          <w:tcPr>
            <w:tcW w:w="5101" w:type="dxa"/>
            <w:gridSpan w:val="3"/>
          </w:tcPr>
          <w:p w14:paraId="43107F38"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   POMA                                                       25.2 (4.2)</w:t>
            </w:r>
          </w:p>
        </w:tc>
      </w:tr>
      <w:tr w:rsidR="00187677" w:rsidRPr="00290CBC" w14:paraId="046AF733"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5100" w:type="dxa"/>
            <w:gridSpan w:val="2"/>
          </w:tcPr>
          <w:p w14:paraId="2DD32F79" w14:textId="77777777" w:rsidR="00187677" w:rsidRPr="00290CBC" w:rsidRDefault="00187677" w:rsidP="002B0C91">
            <w:pPr>
              <w:spacing w:line="276" w:lineRule="auto"/>
              <w:rPr>
                <w:rFonts w:ascii="Arial" w:hAnsi="Arial" w:cs="Arial"/>
                <w:b w:val="0"/>
                <w:sz w:val="20"/>
                <w:szCs w:val="20"/>
                <w:lang w:val="en-US"/>
              </w:rPr>
            </w:pPr>
            <w:r w:rsidRPr="00290CBC">
              <w:rPr>
                <w:rFonts w:ascii="Arial" w:hAnsi="Arial" w:cs="Arial"/>
                <w:b w:val="0"/>
                <w:sz w:val="20"/>
                <w:szCs w:val="20"/>
                <w:lang w:val="en-US"/>
              </w:rPr>
              <w:t>TUG (</w:t>
            </w:r>
            <w:proofErr w:type="gramStart"/>
            <w:r w:rsidRPr="00290CBC">
              <w:rPr>
                <w:rFonts w:ascii="Arial" w:hAnsi="Arial" w:cs="Arial"/>
                <w:b w:val="0"/>
                <w:sz w:val="20"/>
                <w:szCs w:val="20"/>
                <w:lang w:val="en-US"/>
              </w:rPr>
              <w:t xml:space="preserve">s)   </w:t>
            </w:r>
            <w:proofErr w:type="gramEnd"/>
            <w:r w:rsidRPr="00290CBC">
              <w:rPr>
                <w:rFonts w:ascii="Arial" w:hAnsi="Arial" w:cs="Arial"/>
                <w:b w:val="0"/>
                <w:sz w:val="20"/>
                <w:szCs w:val="20"/>
                <w:lang w:val="en-US"/>
              </w:rPr>
              <w:t xml:space="preserve">                                                     13.6 (9.1)</w:t>
            </w:r>
          </w:p>
        </w:tc>
        <w:tc>
          <w:tcPr>
            <w:tcW w:w="5101" w:type="dxa"/>
            <w:gridSpan w:val="3"/>
          </w:tcPr>
          <w:p w14:paraId="19D1104C"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   4 meter walking speed (m/</w:t>
            </w:r>
            <w:proofErr w:type="gramStart"/>
            <w:r w:rsidRPr="00290CBC">
              <w:rPr>
                <w:rFonts w:ascii="Arial" w:hAnsi="Arial" w:cs="Arial"/>
                <w:sz w:val="20"/>
                <w:szCs w:val="20"/>
                <w:lang w:val="en-US"/>
              </w:rPr>
              <w:t xml:space="preserve">s)   </w:t>
            </w:r>
            <w:proofErr w:type="gramEnd"/>
            <w:r w:rsidRPr="00290CBC">
              <w:rPr>
                <w:rFonts w:ascii="Arial" w:hAnsi="Arial" w:cs="Arial"/>
                <w:sz w:val="20"/>
                <w:szCs w:val="20"/>
                <w:lang w:val="en-US"/>
              </w:rPr>
              <w:t xml:space="preserve">                 1.1 (2.8)</w:t>
            </w:r>
          </w:p>
        </w:tc>
      </w:tr>
      <w:tr w:rsidR="00187677" w:rsidRPr="00290CBC" w14:paraId="6ADE3D41"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169A0CDD" w14:textId="77777777" w:rsidR="00187677" w:rsidRPr="00290CBC" w:rsidRDefault="00187677" w:rsidP="00187677">
            <w:pPr>
              <w:pStyle w:val="ListParagraph"/>
              <w:numPr>
                <w:ilvl w:val="0"/>
                <w:numId w:val="6"/>
              </w:numPr>
              <w:ind w:left="0"/>
              <w:rPr>
                <w:rFonts w:ascii="Arial" w:hAnsi="Arial" w:cs="Arial"/>
                <w:b w:val="0"/>
                <w:sz w:val="20"/>
                <w:szCs w:val="20"/>
                <w:lang w:val="en-US"/>
              </w:rPr>
            </w:pPr>
            <w:r w:rsidRPr="00290CBC">
              <w:rPr>
                <w:rFonts w:ascii="Arial" w:hAnsi="Arial" w:cs="Arial"/>
                <w:b w:val="0"/>
                <w:sz w:val="20"/>
                <w:szCs w:val="20"/>
                <w:lang w:val="en-US"/>
              </w:rPr>
              <w:t xml:space="preserve">Polypharmacy </w:t>
            </w:r>
          </w:p>
        </w:tc>
        <w:tc>
          <w:tcPr>
            <w:tcW w:w="1422" w:type="dxa"/>
            <w:gridSpan w:val="2"/>
          </w:tcPr>
          <w:p w14:paraId="2EEC29A4"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48.4 </w:t>
            </w:r>
            <w:r w:rsidRPr="00290CBC">
              <w:rPr>
                <w:rFonts w:ascii="Arial" w:eastAsia="Calibri" w:hAnsi="Arial" w:cs="Arial"/>
                <w:sz w:val="20"/>
                <w:szCs w:val="20"/>
                <w:lang w:val="en-US"/>
              </w:rPr>
              <w:t>(%)</w:t>
            </w:r>
          </w:p>
        </w:tc>
        <w:tc>
          <w:tcPr>
            <w:tcW w:w="3681" w:type="dxa"/>
          </w:tcPr>
          <w:p w14:paraId="35064AA0" w14:textId="77777777" w:rsidR="00187677" w:rsidRPr="00290CBC" w:rsidRDefault="00187677" w:rsidP="00187677">
            <w:pPr>
              <w:pStyle w:val="ListParagraph"/>
              <w:numPr>
                <w:ilvl w:val="0"/>
                <w:numId w:val="6"/>
              </w:numPr>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Hyper-polypharmacy </w:t>
            </w:r>
          </w:p>
        </w:tc>
        <w:tc>
          <w:tcPr>
            <w:tcW w:w="1275" w:type="dxa"/>
          </w:tcPr>
          <w:p w14:paraId="4D69B1FE"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7.9 </w:t>
            </w:r>
            <w:r w:rsidRPr="00290CBC">
              <w:rPr>
                <w:rFonts w:ascii="Arial" w:eastAsia="Calibri" w:hAnsi="Arial" w:cs="Arial"/>
                <w:sz w:val="20"/>
                <w:szCs w:val="20"/>
                <w:lang w:val="en-US"/>
              </w:rPr>
              <w:t>(%)</w:t>
            </w:r>
          </w:p>
        </w:tc>
      </w:tr>
      <w:tr w:rsidR="00187677" w:rsidRPr="00290CBC" w14:paraId="6F4C1F12"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6AE0DA9A" w14:textId="77777777" w:rsidR="00187677" w:rsidRPr="00290CBC" w:rsidRDefault="00187677" w:rsidP="00187677">
            <w:pPr>
              <w:pStyle w:val="ListParagraph"/>
              <w:numPr>
                <w:ilvl w:val="0"/>
                <w:numId w:val="6"/>
              </w:numPr>
              <w:ind w:left="0"/>
              <w:rPr>
                <w:rFonts w:ascii="Arial" w:hAnsi="Arial" w:cs="Arial"/>
                <w:b w:val="0"/>
                <w:sz w:val="20"/>
                <w:szCs w:val="20"/>
                <w:lang w:val="en-US"/>
              </w:rPr>
            </w:pPr>
            <w:r w:rsidRPr="00290CBC">
              <w:rPr>
                <w:rFonts w:ascii="Arial" w:hAnsi="Arial" w:cs="Arial"/>
                <w:b w:val="0"/>
                <w:sz w:val="20"/>
                <w:szCs w:val="20"/>
                <w:lang w:val="en-US"/>
              </w:rPr>
              <w:t>Orthostatic Hypotension</w:t>
            </w:r>
          </w:p>
        </w:tc>
        <w:tc>
          <w:tcPr>
            <w:tcW w:w="1422" w:type="dxa"/>
            <w:gridSpan w:val="2"/>
          </w:tcPr>
          <w:p w14:paraId="4F2F26AD"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28.1 </w:t>
            </w:r>
            <w:r w:rsidRPr="00290CBC">
              <w:rPr>
                <w:rFonts w:ascii="Arial" w:eastAsia="Calibri" w:hAnsi="Arial" w:cs="Arial"/>
                <w:sz w:val="20"/>
                <w:szCs w:val="20"/>
                <w:lang w:val="en-US"/>
              </w:rPr>
              <w:t>(%)</w:t>
            </w:r>
          </w:p>
        </w:tc>
        <w:tc>
          <w:tcPr>
            <w:tcW w:w="3681" w:type="dxa"/>
          </w:tcPr>
          <w:p w14:paraId="5EEBA7DE" w14:textId="77777777" w:rsidR="00187677" w:rsidRPr="00290CBC" w:rsidRDefault="00187677" w:rsidP="00187677">
            <w:pPr>
              <w:pStyle w:val="ListParagraph"/>
              <w:numPr>
                <w:ilvl w:val="0"/>
                <w:numId w:val="6"/>
              </w:numPr>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Dizziness / </w:t>
            </w:r>
            <w:proofErr w:type="spellStart"/>
            <w:r w:rsidRPr="00290CBC">
              <w:rPr>
                <w:rFonts w:ascii="Arial" w:hAnsi="Arial" w:cs="Arial"/>
                <w:sz w:val="20"/>
                <w:szCs w:val="20"/>
                <w:lang w:val="en-US"/>
              </w:rPr>
              <w:t>Dysbalance</w:t>
            </w:r>
            <w:proofErr w:type="spellEnd"/>
            <w:r w:rsidRPr="00290CBC">
              <w:rPr>
                <w:rFonts w:ascii="Arial" w:hAnsi="Arial" w:cs="Arial"/>
                <w:sz w:val="20"/>
                <w:szCs w:val="20"/>
                <w:lang w:val="en-US"/>
              </w:rPr>
              <w:t xml:space="preserve"> </w:t>
            </w:r>
          </w:p>
        </w:tc>
        <w:tc>
          <w:tcPr>
            <w:tcW w:w="1275" w:type="dxa"/>
          </w:tcPr>
          <w:p w14:paraId="1193D481"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47.5 </w:t>
            </w:r>
            <w:r w:rsidRPr="00290CBC">
              <w:rPr>
                <w:rFonts w:ascii="Arial" w:eastAsia="Calibri" w:hAnsi="Arial" w:cs="Arial"/>
                <w:sz w:val="20"/>
                <w:szCs w:val="20"/>
                <w:lang w:val="en-US"/>
              </w:rPr>
              <w:t>(%)</w:t>
            </w:r>
          </w:p>
        </w:tc>
      </w:tr>
      <w:tr w:rsidR="00187677" w:rsidRPr="00290CBC" w14:paraId="6DD85BE6"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5650D6F2" w14:textId="77777777" w:rsidR="00187677" w:rsidRPr="00290CBC" w:rsidRDefault="00187677" w:rsidP="00187677">
            <w:pPr>
              <w:pStyle w:val="ListParagraph"/>
              <w:numPr>
                <w:ilvl w:val="0"/>
                <w:numId w:val="6"/>
              </w:numPr>
              <w:ind w:left="0"/>
              <w:rPr>
                <w:rFonts w:ascii="Arial" w:hAnsi="Arial" w:cs="Arial"/>
                <w:b w:val="0"/>
                <w:sz w:val="20"/>
                <w:szCs w:val="20"/>
                <w:lang w:val="en-US"/>
              </w:rPr>
            </w:pPr>
            <w:r w:rsidRPr="00290CBC">
              <w:rPr>
                <w:rFonts w:ascii="Arial" w:hAnsi="Arial" w:cs="Arial"/>
                <w:b w:val="0"/>
                <w:sz w:val="20"/>
                <w:szCs w:val="20"/>
                <w:lang w:val="en-US"/>
              </w:rPr>
              <w:t xml:space="preserve">Urinary Incontinence </w:t>
            </w:r>
          </w:p>
        </w:tc>
        <w:tc>
          <w:tcPr>
            <w:tcW w:w="1422" w:type="dxa"/>
            <w:gridSpan w:val="2"/>
          </w:tcPr>
          <w:p w14:paraId="7652E0D8"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55.4 </w:t>
            </w:r>
            <w:r w:rsidRPr="00290CBC">
              <w:rPr>
                <w:rFonts w:ascii="Arial" w:eastAsia="Calibri" w:hAnsi="Arial" w:cs="Arial"/>
                <w:sz w:val="20"/>
                <w:szCs w:val="20"/>
                <w:lang w:val="en-US"/>
              </w:rPr>
              <w:t>(%)</w:t>
            </w:r>
          </w:p>
        </w:tc>
        <w:tc>
          <w:tcPr>
            <w:tcW w:w="3681" w:type="dxa"/>
          </w:tcPr>
          <w:p w14:paraId="6488C3FD" w14:textId="77777777" w:rsidR="00187677" w:rsidRPr="00290CBC" w:rsidRDefault="00187677" w:rsidP="00187677">
            <w:pPr>
              <w:pStyle w:val="ListParagraph"/>
              <w:numPr>
                <w:ilvl w:val="0"/>
                <w:numId w:val="7"/>
              </w:numPr>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Frailty </w:t>
            </w:r>
          </w:p>
        </w:tc>
        <w:tc>
          <w:tcPr>
            <w:tcW w:w="1275" w:type="dxa"/>
          </w:tcPr>
          <w:p w14:paraId="6DD3B51F"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20.4 </w:t>
            </w:r>
            <w:r w:rsidRPr="00290CBC">
              <w:rPr>
                <w:rFonts w:ascii="Arial" w:eastAsia="Calibri" w:hAnsi="Arial" w:cs="Arial"/>
                <w:sz w:val="20"/>
                <w:szCs w:val="20"/>
                <w:lang w:val="en-US"/>
              </w:rPr>
              <w:t>(%)</w:t>
            </w:r>
          </w:p>
        </w:tc>
      </w:tr>
      <w:tr w:rsidR="00187677" w:rsidRPr="00290CBC" w14:paraId="060F5A4F"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204A674A" w14:textId="77777777" w:rsidR="00187677" w:rsidRPr="00290CBC" w:rsidRDefault="00187677" w:rsidP="00187677">
            <w:pPr>
              <w:pStyle w:val="ListParagraph"/>
              <w:numPr>
                <w:ilvl w:val="0"/>
                <w:numId w:val="7"/>
              </w:numPr>
              <w:spacing w:line="276" w:lineRule="auto"/>
              <w:ind w:left="0"/>
              <w:rPr>
                <w:rFonts w:ascii="Arial" w:eastAsia="Calibri" w:hAnsi="Arial" w:cs="Arial"/>
                <w:b w:val="0"/>
                <w:sz w:val="20"/>
                <w:szCs w:val="20"/>
                <w:lang w:val="en-US"/>
              </w:rPr>
            </w:pPr>
            <w:r w:rsidRPr="00290CBC">
              <w:rPr>
                <w:rFonts w:ascii="Arial" w:eastAsia="Calibri" w:hAnsi="Arial" w:cs="Arial"/>
                <w:b w:val="0"/>
                <w:sz w:val="20"/>
                <w:szCs w:val="20"/>
                <w:lang w:val="en-US"/>
              </w:rPr>
              <w:t xml:space="preserve">GDS score ≥5 </w:t>
            </w:r>
          </w:p>
        </w:tc>
        <w:tc>
          <w:tcPr>
            <w:tcW w:w="1422" w:type="dxa"/>
            <w:gridSpan w:val="2"/>
          </w:tcPr>
          <w:p w14:paraId="6169488A"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rPr>
            </w:pPr>
            <w:r w:rsidRPr="00290CBC">
              <w:rPr>
                <w:rFonts w:ascii="Arial" w:eastAsia="Calibri" w:hAnsi="Arial" w:cs="Arial"/>
                <w:sz w:val="20"/>
                <w:szCs w:val="20"/>
                <w:lang w:val="en-US"/>
              </w:rPr>
              <w:t>28.0 (%)</w:t>
            </w:r>
          </w:p>
        </w:tc>
        <w:tc>
          <w:tcPr>
            <w:tcW w:w="3681" w:type="dxa"/>
          </w:tcPr>
          <w:p w14:paraId="1F10BAFD" w14:textId="77777777" w:rsidR="00187677" w:rsidRPr="00290CBC" w:rsidRDefault="00187677" w:rsidP="00187677">
            <w:pPr>
              <w:pStyle w:val="ListParagraph"/>
              <w:numPr>
                <w:ilvl w:val="0"/>
                <w:numId w:val="8"/>
              </w:numPr>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290CBC">
              <w:rPr>
                <w:rFonts w:ascii="Arial" w:hAnsi="Arial" w:cs="Arial"/>
                <w:sz w:val="20"/>
                <w:szCs w:val="20"/>
                <w:lang w:val="en-US"/>
              </w:rPr>
              <w:t>Dynapenia</w:t>
            </w:r>
            <w:proofErr w:type="spellEnd"/>
            <w:r w:rsidRPr="00290CBC">
              <w:rPr>
                <w:rFonts w:ascii="Arial" w:hAnsi="Arial" w:cs="Arial"/>
                <w:sz w:val="20"/>
                <w:szCs w:val="20"/>
                <w:lang w:val="en-US"/>
              </w:rPr>
              <w:t xml:space="preserve"> </w:t>
            </w:r>
          </w:p>
        </w:tc>
        <w:tc>
          <w:tcPr>
            <w:tcW w:w="1275" w:type="dxa"/>
          </w:tcPr>
          <w:p w14:paraId="5FE2421E"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 xml:space="preserve">70.7 </w:t>
            </w:r>
            <w:r w:rsidRPr="00290CBC">
              <w:rPr>
                <w:rFonts w:ascii="Arial" w:eastAsia="Calibri" w:hAnsi="Arial" w:cs="Arial"/>
                <w:sz w:val="20"/>
                <w:szCs w:val="20"/>
                <w:lang w:val="en-US"/>
              </w:rPr>
              <w:t>(%)</w:t>
            </w:r>
          </w:p>
        </w:tc>
      </w:tr>
      <w:tr w:rsidR="00187677" w:rsidRPr="00290CBC" w14:paraId="041CBF88"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16084146" w14:textId="77777777" w:rsidR="00187677" w:rsidRPr="00290CBC" w:rsidRDefault="00187677" w:rsidP="00187677">
            <w:pPr>
              <w:pStyle w:val="ListParagraph"/>
              <w:numPr>
                <w:ilvl w:val="0"/>
                <w:numId w:val="7"/>
              </w:numPr>
              <w:spacing w:line="276" w:lineRule="auto"/>
              <w:ind w:left="0"/>
              <w:rPr>
                <w:rFonts w:ascii="Arial" w:eastAsia="Calibri" w:hAnsi="Arial" w:cs="Arial"/>
                <w:b w:val="0"/>
                <w:sz w:val="20"/>
                <w:szCs w:val="20"/>
                <w:lang w:val="en-US"/>
              </w:rPr>
            </w:pPr>
            <w:r w:rsidRPr="00290CBC">
              <w:rPr>
                <w:rFonts w:ascii="Arial" w:hAnsi="Arial" w:cs="Arial"/>
                <w:b w:val="0"/>
                <w:sz w:val="20"/>
                <w:szCs w:val="20"/>
                <w:lang w:val="en-US"/>
              </w:rPr>
              <w:t xml:space="preserve">Malnutrition </w:t>
            </w:r>
          </w:p>
        </w:tc>
        <w:tc>
          <w:tcPr>
            <w:tcW w:w="1422" w:type="dxa"/>
            <w:gridSpan w:val="2"/>
          </w:tcPr>
          <w:p w14:paraId="55BCD339"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290CBC">
              <w:rPr>
                <w:rFonts w:ascii="Arial" w:hAnsi="Arial" w:cs="Arial"/>
                <w:sz w:val="20"/>
                <w:szCs w:val="20"/>
                <w:lang w:val="en-US"/>
              </w:rPr>
              <w:t xml:space="preserve">1.9 </w:t>
            </w:r>
            <w:r w:rsidRPr="00290CBC">
              <w:rPr>
                <w:rFonts w:ascii="Arial" w:eastAsia="Calibri" w:hAnsi="Arial" w:cs="Arial"/>
                <w:sz w:val="20"/>
                <w:szCs w:val="20"/>
                <w:lang w:val="en-US"/>
              </w:rPr>
              <w:t>(%)</w:t>
            </w:r>
          </w:p>
        </w:tc>
        <w:tc>
          <w:tcPr>
            <w:tcW w:w="3681" w:type="dxa"/>
          </w:tcPr>
          <w:p w14:paraId="480025C5" w14:textId="77777777" w:rsidR="00187677" w:rsidRPr="00290CBC" w:rsidRDefault="00187677" w:rsidP="00187677">
            <w:pPr>
              <w:pStyle w:val="ListParagraph"/>
              <w:numPr>
                <w:ilvl w:val="0"/>
                <w:numId w:val="8"/>
              </w:numPr>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Sarcopenia</w:t>
            </w:r>
          </w:p>
        </w:tc>
        <w:tc>
          <w:tcPr>
            <w:tcW w:w="1275" w:type="dxa"/>
          </w:tcPr>
          <w:p w14:paraId="48B5DE44"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39.4 (%)</w:t>
            </w:r>
          </w:p>
        </w:tc>
      </w:tr>
      <w:tr w:rsidR="00187677" w:rsidRPr="00290CBC" w14:paraId="16EFBF0E"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5DEC7C4D" w14:textId="77777777" w:rsidR="00187677" w:rsidRPr="00290CBC" w:rsidRDefault="00187677" w:rsidP="00187677">
            <w:pPr>
              <w:pStyle w:val="ListParagraph"/>
              <w:numPr>
                <w:ilvl w:val="0"/>
                <w:numId w:val="7"/>
              </w:numPr>
              <w:spacing w:line="276" w:lineRule="auto"/>
              <w:ind w:left="0"/>
              <w:rPr>
                <w:rFonts w:ascii="Arial" w:hAnsi="Arial" w:cs="Arial"/>
                <w:b w:val="0"/>
                <w:sz w:val="20"/>
                <w:szCs w:val="20"/>
                <w:lang w:val="en-US"/>
              </w:rPr>
            </w:pPr>
            <w:r w:rsidRPr="00290CBC">
              <w:rPr>
                <w:rFonts w:ascii="Arial" w:hAnsi="Arial" w:cs="Arial"/>
                <w:b w:val="0"/>
                <w:sz w:val="20"/>
                <w:szCs w:val="20"/>
                <w:lang w:val="en-US"/>
              </w:rPr>
              <w:t xml:space="preserve">MMSE (SD) </w:t>
            </w:r>
          </w:p>
        </w:tc>
        <w:tc>
          <w:tcPr>
            <w:tcW w:w="1422" w:type="dxa"/>
            <w:gridSpan w:val="2"/>
          </w:tcPr>
          <w:p w14:paraId="54698324"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23.94 (6.33)</w:t>
            </w:r>
          </w:p>
        </w:tc>
        <w:tc>
          <w:tcPr>
            <w:tcW w:w="3681" w:type="dxa"/>
          </w:tcPr>
          <w:p w14:paraId="6ED8EEDE" w14:textId="77777777" w:rsidR="00187677" w:rsidRPr="00290CBC" w:rsidRDefault="00187677" w:rsidP="00187677">
            <w:pPr>
              <w:pStyle w:val="ListParagraph"/>
              <w:numPr>
                <w:ilvl w:val="0"/>
                <w:numId w:val="7"/>
              </w:numPr>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BMI (SD)</w:t>
            </w:r>
          </w:p>
        </w:tc>
        <w:tc>
          <w:tcPr>
            <w:tcW w:w="1275" w:type="dxa"/>
          </w:tcPr>
          <w:p w14:paraId="13509EFB"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29.45 (5.4)</w:t>
            </w:r>
          </w:p>
        </w:tc>
      </w:tr>
      <w:tr w:rsidR="00187677" w:rsidRPr="00290CBC" w14:paraId="6007710E" w14:textId="77777777" w:rsidTr="002B0C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6813496" w14:textId="77777777" w:rsidR="00187677" w:rsidRPr="00290CBC" w:rsidRDefault="00187677" w:rsidP="00187677">
            <w:pPr>
              <w:pStyle w:val="ListParagraph"/>
              <w:numPr>
                <w:ilvl w:val="0"/>
                <w:numId w:val="7"/>
              </w:numPr>
              <w:spacing w:line="276" w:lineRule="auto"/>
              <w:ind w:left="0"/>
              <w:rPr>
                <w:rFonts w:ascii="Arial" w:hAnsi="Arial" w:cs="Arial"/>
                <w:b w:val="0"/>
                <w:sz w:val="20"/>
                <w:szCs w:val="20"/>
                <w:lang w:val="en-US"/>
              </w:rPr>
            </w:pPr>
            <w:r w:rsidRPr="00290CBC">
              <w:rPr>
                <w:rFonts w:ascii="Arial" w:hAnsi="Arial" w:cs="Arial"/>
                <w:b w:val="0"/>
                <w:sz w:val="20"/>
                <w:szCs w:val="20"/>
                <w:lang w:val="en-US"/>
              </w:rPr>
              <w:t>BADL (SD)</w:t>
            </w:r>
          </w:p>
        </w:tc>
        <w:tc>
          <w:tcPr>
            <w:tcW w:w="1422" w:type="dxa"/>
            <w:gridSpan w:val="2"/>
            <w:shd w:val="clear" w:color="auto" w:fill="auto"/>
          </w:tcPr>
          <w:p w14:paraId="25CB1052"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90.21 (0.9)</w:t>
            </w:r>
          </w:p>
        </w:tc>
        <w:tc>
          <w:tcPr>
            <w:tcW w:w="3681" w:type="dxa"/>
            <w:shd w:val="clear" w:color="auto" w:fill="auto"/>
          </w:tcPr>
          <w:p w14:paraId="7A3DEB9C" w14:textId="77777777" w:rsidR="00187677" w:rsidRPr="00290CBC" w:rsidRDefault="00187677" w:rsidP="00187677">
            <w:pPr>
              <w:pStyle w:val="ListParagraph"/>
              <w:numPr>
                <w:ilvl w:val="0"/>
                <w:numId w:val="7"/>
              </w:numPr>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CDR</w:t>
            </w:r>
          </w:p>
        </w:tc>
        <w:tc>
          <w:tcPr>
            <w:tcW w:w="1275" w:type="dxa"/>
            <w:shd w:val="clear" w:color="auto" w:fill="auto"/>
          </w:tcPr>
          <w:p w14:paraId="3484A700" w14:textId="77777777" w:rsidR="00187677" w:rsidRPr="00290CBC" w:rsidRDefault="00187677" w:rsidP="002B0C9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0.48 (0.73)</w:t>
            </w:r>
          </w:p>
        </w:tc>
      </w:tr>
      <w:tr w:rsidR="00187677" w:rsidRPr="00290CBC" w14:paraId="018CD4C0" w14:textId="77777777" w:rsidTr="002B0C91">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18891FEC" w14:textId="77777777" w:rsidR="00187677" w:rsidRPr="00290CBC" w:rsidRDefault="00187677" w:rsidP="00187677">
            <w:pPr>
              <w:pStyle w:val="ListParagraph"/>
              <w:numPr>
                <w:ilvl w:val="0"/>
                <w:numId w:val="7"/>
              </w:numPr>
              <w:spacing w:line="276" w:lineRule="auto"/>
              <w:ind w:left="0"/>
              <w:rPr>
                <w:rFonts w:ascii="Arial" w:hAnsi="Arial" w:cs="Arial"/>
                <w:b w:val="0"/>
                <w:sz w:val="20"/>
                <w:szCs w:val="20"/>
                <w:lang w:val="en-US"/>
              </w:rPr>
            </w:pPr>
            <w:r w:rsidRPr="00290CBC">
              <w:rPr>
                <w:rFonts w:ascii="Arial" w:hAnsi="Arial" w:cs="Arial"/>
                <w:b w:val="0"/>
                <w:sz w:val="20"/>
                <w:szCs w:val="20"/>
                <w:lang w:val="en-US"/>
              </w:rPr>
              <w:t>IADL (SD)</w:t>
            </w:r>
          </w:p>
        </w:tc>
        <w:tc>
          <w:tcPr>
            <w:tcW w:w="1422" w:type="dxa"/>
            <w:gridSpan w:val="2"/>
          </w:tcPr>
          <w:p w14:paraId="5F9A618C"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90CBC">
              <w:rPr>
                <w:rFonts w:ascii="Arial" w:hAnsi="Arial" w:cs="Arial"/>
                <w:sz w:val="20"/>
                <w:szCs w:val="20"/>
                <w:lang w:val="en-US"/>
              </w:rPr>
              <w:t>18.46 (5.7)</w:t>
            </w:r>
          </w:p>
        </w:tc>
        <w:tc>
          <w:tcPr>
            <w:tcW w:w="3681" w:type="dxa"/>
          </w:tcPr>
          <w:p w14:paraId="409D1645" w14:textId="77777777" w:rsidR="00187677" w:rsidRPr="00290CBC" w:rsidRDefault="00187677" w:rsidP="00187677">
            <w:pPr>
              <w:pStyle w:val="ListParagraph"/>
              <w:numPr>
                <w:ilvl w:val="0"/>
                <w:numId w:val="7"/>
              </w:numPr>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5" w:type="dxa"/>
          </w:tcPr>
          <w:p w14:paraId="656C29CF" w14:textId="77777777" w:rsidR="00187677" w:rsidRPr="00290CBC" w:rsidRDefault="00187677" w:rsidP="002B0C9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14:paraId="12CA8878" w14:textId="77777777" w:rsidR="00187677" w:rsidRPr="0058715F" w:rsidRDefault="00187677" w:rsidP="00187677">
      <w:pPr>
        <w:rPr>
          <w:rFonts w:ascii="Arial" w:hAnsi="Arial" w:cs="Arial"/>
          <w:b/>
          <w:sz w:val="16"/>
          <w:szCs w:val="16"/>
          <w:lang w:val="en-US"/>
        </w:rPr>
      </w:pPr>
      <w:r w:rsidRPr="00290CBC">
        <w:rPr>
          <w:rFonts w:ascii="Arial" w:hAnsi="Arial" w:cs="Arial"/>
          <w:sz w:val="16"/>
          <w:szCs w:val="16"/>
          <w:lang w:val="en-US"/>
        </w:rPr>
        <w:t>BADL: Basic Activities of Daily Living, BMI: Body mass index, CDR: Clinical Dementia Rating Scale, GDS: Geriatric depression score, IADL: Instrumental Activities of Daily Living, POMA: Performance-Oriented Mobility Assessment</w:t>
      </w:r>
    </w:p>
    <w:p w14:paraId="7EE21857" w14:textId="77777777" w:rsidR="00187677" w:rsidRDefault="00187677" w:rsidP="00187677"/>
    <w:p w14:paraId="08F85CBE" w14:textId="77777777" w:rsidR="00585FD2" w:rsidRPr="0058715F" w:rsidRDefault="00585FD2" w:rsidP="008D0355">
      <w:pPr>
        <w:widowControl w:val="0"/>
        <w:autoSpaceDE w:val="0"/>
        <w:autoSpaceDN w:val="0"/>
        <w:adjustRightInd w:val="0"/>
        <w:spacing w:line="480" w:lineRule="auto"/>
        <w:rPr>
          <w:rFonts w:ascii="Arial" w:eastAsia="Calibri" w:hAnsi="Arial" w:cs="Arial"/>
          <w:sz w:val="22"/>
          <w:szCs w:val="22"/>
          <w:lang w:val="en-US"/>
        </w:rPr>
        <w:sectPr w:rsidR="00585FD2" w:rsidRPr="0058715F" w:rsidSect="00585FD2">
          <w:pgSz w:w="11900" w:h="16840"/>
          <w:pgMar w:top="1134" w:right="1417" w:bottom="1417" w:left="1417" w:header="708" w:footer="708" w:gutter="0"/>
          <w:cols w:space="708"/>
          <w:docGrid w:linePitch="360"/>
        </w:sectPr>
      </w:pPr>
    </w:p>
    <w:p w14:paraId="2E2D6199" w14:textId="32930FA0" w:rsidR="005119F0" w:rsidRDefault="005119F0" w:rsidP="00585FD2">
      <w:pPr>
        <w:rPr>
          <w:rFonts w:ascii="Arial" w:hAnsi="Arial" w:cs="Arial"/>
          <w:sz w:val="18"/>
          <w:szCs w:val="18"/>
          <w:lang w:val="en-US"/>
        </w:rPr>
        <w:sectPr w:rsidR="005119F0" w:rsidSect="00187677">
          <w:pgSz w:w="16840" w:h="11900" w:orient="landscape"/>
          <w:pgMar w:top="146" w:right="1134" w:bottom="392" w:left="851" w:header="708" w:footer="708" w:gutter="0"/>
          <w:cols w:space="708"/>
          <w:docGrid w:linePitch="360"/>
        </w:sectPr>
      </w:pPr>
    </w:p>
    <w:p w14:paraId="21689EF7" w14:textId="77777777" w:rsidR="00187677" w:rsidRPr="008B311C" w:rsidRDefault="00187677" w:rsidP="00187677">
      <w:pPr>
        <w:tabs>
          <w:tab w:val="left" w:pos="0"/>
        </w:tabs>
        <w:ind w:left="-142" w:firstLine="142"/>
      </w:pPr>
      <w:r w:rsidRPr="008B311C">
        <w:rPr>
          <w:rFonts w:ascii="Arial" w:hAnsi="Arial" w:cs="Arial"/>
          <w:b/>
          <w:lang w:val="en-US"/>
        </w:rPr>
        <w:t>Table 2. Odds ratios for falling risk factors</w:t>
      </w:r>
    </w:p>
    <w:tbl>
      <w:tblPr>
        <w:tblStyle w:val="TableGrid"/>
        <w:tblW w:w="16018" w:type="dxa"/>
        <w:tblInd w:w="-431" w:type="dxa"/>
        <w:tblBorders>
          <w:insideH w:val="single" w:sz="6" w:space="0" w:color="auto"/>
          <w:insideV w:val="single" w:sz="6" w:space="0" w:color="auto"/>
        </w:tblBorders>
        <w:tblLayout w:type="fixed"/>
        <w:tblLook w:val="04A0" w:firstRow="1" w:lastRow="0" w:firstColumn="1" w:lastColumn="0" w:noHBand="0" w:noVBand="1"/>
      </w:tblPr>
      <w:tblGrid>
        <w:gridCol w:w="1841"/>
        <w:gridCol w:w="1277"/>
        <w:gridCol w:w="1276"/>
        <w:gridCol w:w="991"/>
        <w:gridCol w:w="1278"/>
        <w:gridCol w:w="1275"/>
        <w:gridCol w:w="992"/>
        <w:gridCol w:w="1276"/>
        <w:gridCol w:w="1276"/>
        <w:gridCol w:w="992"/>
        <w:gridCol w:w="1276"/>
        <w:gridCol w:w="1276"/>
        <w:gridCol w:w="992"/>
      </w:tblGrid>
      <w:tr w:rsidR="00187677" w:rsidRPr="008B311C" w14:paraId="309D1ECE" w14:textId="77777777" w:rsidTr="002B0C91">
        <w:trPr>
          <w:trHeight w:val="567"/>
        </w:trPr>
        <w:tc>
          <w:tcPr>
            <w:tcW w:w="1841" w:type="dxa"/>
            <w:vMerge w:val="restart"/>
            <w:vAlign w:val="center"/>
          </w:tcPr>
          <w:p w14:paraId="45A72F0A"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Female</w:t>
            </w:r>
          </w:p>
        </w:tc>
        <w:tc>
          <w:tcPr>
            <w:tcW w:w="3544" w:type="dxa"/>
            <w:gridSpan w:val="3"/>
          </w:tcPr>
          <w:p w14:paraId="39C46D26"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Risk of falling according to   Fall history</w:t>
            </w:r>
          </w:p>
        </w:tc>
        <w:tc>
          <w:tcPr>
            <w:tcW w:w="3545" w:type="dxa"/>
            <w:gridSpan w:val="3"/>
          </w:tcPr>
          <w:p w14:paraId="3F9C0E77"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Risk of falling according to POMA score</w:t>
            </w:r>
          </w:p>
        </w:tc>
        <w:tc>
          <w:tcPr>
            <w:tcW w:w="3544" w:type="dxa"/>
            <w:gridSpan w:val="3"/>
          </w:tcPr>
          <w:p w14:paraId="60E3C5E4"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Risk of falling according to Timed up and go test</w:t>
            </w:r>
          </w:p>
        </w:tc>
        <w:tc>
          <w:tcPr>
            <w:tcW w:w="3544" w:type="dxa"/>
            <w:gridSpan w:val="3"/>
          </w:tcPr>
          <w:p w14:paraId="1D2BB3CA"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Risk of falling according to Lower walking speed</w:t>
            </w:r>
          </w:p>
        </w:tc>
      </w:tr>
      <w:tr w:rsidR="00187677" w:rsidRPr="008B311C" w14:paraId="546B6C56" w14:textId="77777777" w:rsidTr="002B0C91">
        <w:trPr>
          <w:trHeight w:val="253"/>
        </w:trPr>
        <w:tc>
          <w:tcPr>
            <w:tcW w:w="1841" w:type="dxa"/>
            <w:vMerge/>
            <w:tcBorders>
              <w:bottom w:val="single" w:sz="6" w:space="0" w:color="auto"/>
            </w:tcBorders>
          </w:tcPr>
          <w:p w14:paraId="16B3972F" w14:textId="77777777" w:rsidR="00187677" w:rsidRPr="008B311C" w:rsidRDefault="00187677" w:rsidP="002B0C91">
            <w:pPr>
              <w:rPr>
                <w:rFonts w:ascii="Arial" w:hAnsi="Arial" w:cs="Arial"/>
                <w:sz w:val="16"/>
                <w:szCs w:val="16"/>
                <w:lang w:val="en-US"/>
              </w:rPr>
            </w:pPr>
          </w:p>
        </w:tc>
        <w:tc>
          <w:tcPr>
            <w:tcW w:w="1277" w:type="dxa"/>
            <w:tcBorders>
              <w:right w:val="single" w:sz="6" w:space="0" w:color="FFFFFF" w:themeColor="background1"/>
            </w:tcBorders>
          </w:tcPr>
          <w:p w14:paraId="02BBB175"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Coefficient</w:t>
            </w:r>
          </w:p>
          <w:p w14:paraId="75937EA3" w14:textId="77777777" w:rsidR="00187677" w:rsidRPr="008B311C" w:rsidRDefault="00187677" w:rsidP="002B0C91">
            <w:pPr>
              <w:jc w:val="center"/>
              <w:rPr>
                <w:rFonts w:ascii="Arial" w:hAnsi="Arial" w:cs="Arial"/>
                <w:b/>
                <w:sz w:val="16"/>
                <w:szCs w:val="16"/>
                <w:lang w:val="en-US"/>
              </w:rPr>
            </w:pPr>
          </w:p>
        </w:tc>
        <w:tc>
          <w:tcPr>
            <w:tcW w:w="1276" w:type="dxa"/>
            <w:tcBorders>
              <w:left w:val="single" w:sz="6" w:space="0" w:color="FFFFFF" w:themeColor="background1"/>
              <w:right w:val="single" w:sz="6" w:space="0" w:color="FFFFFF" w:themeColor="background1"/>
            </w:tcBorders>
          </w:tcPr>
          <w:p w14:paraId="366E28B5"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Odds ratio</w:t>
            </w:r>
          </w:p>
        </w:tc>
        <w:tc>
          <w:tcPr>
            <w:tcW w:w="991" w:type="dxa"/>
            <w:tcBorders>
              <w:left w:val="single" w:sz="6" w:space="0" w:color="FFFFFF" w:themeColor="background1"/>
            </w:tcBorders>
          </w:tcPr>
          <w:p w14:paraId="3B1C6B1D"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P value</w:t>
            </w:r>
          </w:p>
        </w:tc>
        <w:tc>
          <w:tcPr>
            <w:tcW w:w="1278" w:type="dxa"/>
            <w:tcBorders>
              <w:right w:val="single" w:sz="6" w:space="0" w:color="FFFFFF" w:themeColor="background1"/>
            </w:tcBorders>
          </w:tcPr>
          <w:p w14:paraId="4C461CB0"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Coefficient</w:t>
            </w:r>
          </w:p>
        </w:tc>
        <w:tc>
          <w:tcPr>
            <w:tcW w:w="1275" w:type="dxa"/>
            <w:tcBorders>
              <w:left w:val="single" w:sz="6" w:space="0" w:color="FFFFFF" w:themeColor="background1"/>
              <w:right w:val="single" w:sz="6" w:space="0" w:color="FFFFFF" w:themeColor="background1"/>
            </w:tcBorders>
          </w:tcPr>
          <w:p w14:paraId="38C76E05"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Odds ratio</w:t>
            </w:r>
          </w:p>
        </w:tc>
        <w:tc>
          <w:tcPr>
            <w:tcW w:w="992" w:type="dxa"/>
            <w:tcBorders>
              <w:left w:val="single" w:sz="6" w:space="0" w:color="FFFFFF" w:themeColor="background1"/>
            </w:tcBorders>
          </w:tcPr>
          <w:p w14:paraId="55D486BD"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P value</w:t>
            </w:r>
          </w:p>
        </w:tc>
        <w:tc>
          <w:tcPr>
            <w:tcW w:w="1276" w:type="dxa"/>
            <w:tcBorders>
              <w:right w:val="single" w:sz="6" w:space="0" w:color="FFFFFF" w:themeColor="background1"/>
            </w:tcBorders>
          </w:tcPr>
          <w:p w14:paraId="5541E118"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Coefficient</w:t>
            </w:r>
          </w:p>
        </w:tc>
        <w:tc>
          <w:tcPr>
            <w:tcW w:w="1276" w:type="dxa"/>
            <w:tcBorders>
              <w:left w:val="single" w:sz="6" w:space="0" w:color="FFFFFF" w:themeColor="background1"/>
              <w:right w:val="single" w:sz="6" w:space="0" w:color="FFFFFF" w:themeColor="background1"/>
            </w:tcBorders>
          </w:tcPr>
          <w:p w14:paraId="5B6526CA"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Odds ratio</w:t>
            </w:r>
          </w:p>
        </w:tc>
        <w:tc>
          <w:tcPr>
            <w:tcW w:w="992" w:type="dxa"/>
            <w:tcBorders>
              <w:left w:val="single" w:sz="6" w:space="0" w:color="FFFFFF" w:themeColor="background1"/>
            </w:tcBorders>
          </w:tcPr>
          <w:p w14:paraId="528E01C0"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P value</w:t>
            </w:r>
          </w:p>
        </w:tc>
        <w:tc>
          <w:tcPr>
            <w:tcW w:w="1276" w:type="dxa"/>
            <w:tcBorders>
              <w:right w:val="single" w:sz="6" w:space="0" w:color="FFFFFF" w:themeColor="background1"/>
            </w:tcBorders>
          </w:tcPr>
          <w:p w14:paraId="2CE611F2"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Coefficient</w:t>
            </w:r>
          </w:p>
        </w:tc>
        <w:tc>
          <w:tcPr>
            <w:tcW w:w="1276" w:type="dxa"/>
            <w:tcBorders>
              <w:left w:val="single" w:sz="6" w:space="0" w:color="FFFFFF" w:themeColor="background1"/>
              <w:right w:val="single" w:sz="6" w:space="0" w:color="FFFFFF" w:themeColor="background1"/>
            </w:tcBorders>
          </w:tcPr>
          <w:p w14:paraId="114B39AC"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Odds ratio</w:t>
            </w:r>
          </w:p>
        </w:tc>
        <w:tc>
          <w:tcPr>
            <w:tcW w:w="992" w:type="dxa"/>
            <w:tcBorders>
              <w:left w:val="single" w:sz="6" w:space="0" w:color="FFFFFF" w:themeColor="background1"/>
            </w:tcBorders>
          </w:tcPr>
          <w:p w14:paraId="0DF03D46"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P value</w:t>
            </w:r>
          </w:p>
        </w:tc>
      </w:tr>
      <w:tr w:rsidR="00187677" w:rsidRPr="008B311C" w14:paraId="04EEC541" w14:textId="77777777" w:rsidTr="002B0C91">
        <w:trPr>
          <w:trHeight w:val="253"/>
        </w:trPr>
        <w:tc>
          <w:tcPr>
            <w:tcW w:w="1841" w:type="dxa"/>
            <w:vAlign w:val="center"/>
          </w:tcPr>
          <w:p w14:paraId="38280B24"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Dementia</w:t>
            </w:r>
          </w:p>
        </w:tc>
        <w:tc>
          <w:tcPr>
            <w:tcW w:w="1277" w:type="dxa"/>
            <w:tcBorders>
              <w:right w:val="single" w:sz="6" w:space="0" w:color="FFFFFF" w:themeColor="background1"/>
            </w:tcBorders>
            <w:shd w:val="clear" w:color="auto" w:fill="auto"/>
          </w:tcPr>
          <w:p w14:paraId="73402D21"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0.345</w:t>
            </w:r>
          </w:p>
          <w:p w14:paraId="00104F04"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0CB4020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1.412</w:t>
            </w:r>
          </w:p>
        </w:tc>
        <w:tc>
          <w:tcPr>
            <w:tcW w:w="991" w:type="dxa"/>
            <w:tcBorders>
              <w:left w:val="single" w:sz="6" w:space="0" w:color="FFFFFF" w:themeColor="background1"/>
            </w:tcBorders>
            <w:shd w:val="clear" w:color="auto" w:fill="auto"/>
          </w:tcPr>
          <w:p w14:paraId="70BE9B8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0.166</w:t>
            </w:r>
          </w:p>
        </w:tc>
        <w:tc>
          <w:tcPr>
            <w:tcW w:w="1278" w:type="dxa"/>
            <w:tcBorders>
              <w:right w:val="single" w:sz="6" w:space="0" w:color="FFFFFF" w:themeColor="background1"/>
            </w:tcBorders>
            <w:shd w:val="clear" w:color="auto" w:fill="auto"/>
          </w:tcPr>
          <w:p w14:paraId="5B60D75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0.390</w:t>
            </w:r>
          </w:p>
        </w:tc>
        <w:tc>
          <w:tcPr>
            <w:tcW w:w="1275" w:type="dxa"/>
            <w:tcBorders>
              <w:left w:val="single" w:sz="6" w:space="0" w:color="FFFFFF" w:themeColor="background1"/>
              <w:right w:val="single" w:sz="6" w:space="0" w:color="FFFFFF" w:themeColor="background1"/>
            </w:tcBorders>
            <w:shd w:val="clear" w:color="auto" w:fill="auto"/>
          </w:tcPr>
          <w:p w14:paraId="2D31D17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1.477</w:t>
            </w:r>
          </w:p>
        </w:tc>
        <w:tc>
          <w:tcPr>
            <w:tcW w:w="992" w:type="dxa"/>
            <w:tcBorders>
              <w:left w:val="single" w:sz="6" w:space="0" w:color="FFFFFF" w:themeColor="background1"/>
            </w:tcBorders>
            <w:shd w:val="clear" w:color="auto" w:fill="auto"/>
          </w:tcPr>
          <w:p w14:paraId="6B3E7AA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0.230</w:t>
            </w:r>
          </w:p>
        </w:tc>
        <w:tc>
          <w:tcPr>
            <w:tcW w:w="1276" w:type="dxa"/>
            <w:tcBorders>
              <w:right w:val="single" w:sz="6" w:space="0" w:color="FFFFFF" w:themeColor="background1"/>
            </w:tcBorders>
            <w:shd w:val="clear" w:color="auto" w:fill="auto"/>
          </w:tcPr>
          <w:p w14:paraId="56F54FFC"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0.875</w:t>
            </w:r>
          </w:p>
          <w:p w14:paraId="1C0A4A3F"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51CF023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2.399</w:t>
            </w:r>
          </w:p>
        </w:tc>
        <w:tc>
          <w:tcPr>
            <w:tcW w:w="992" w:type="dxa"/>
            <w:tcBorders>
              <w:left w:val="single" w:sz="6" w:space="0" w:color="FFFFFF" w:themeColor="background1"/>
            </w:tcBorders>
            <w:shd w:val="clear" w:color="auto" w:fill="auto"/>
          </w:tcPr>
          <w:p w14:paraId="0D95D693"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0.002</w:t>
            </w:r>
          </w:p>
        </w:tc>
        <w:tc>
          <w:tcPr>
            <w:tcW w:w="1276" w:type="dxa"/>
            <w:tcBorders>
              <w:right w:val="single" w:sz="6" w:space="0" w:color="FFFFFF" w:themeColor="background1"/>
            </w:tcBorders>
            <w:shd w:val="clear" w:color="auto" w:fill="auto"/>
          </w:tcPr>
          <w:p w14:paraId="485574E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0.781</w:t>
            </w:r>
          </w:p>
        </w:tc>
        <w:tc>
          <w:tcPr>
            <w:tcW w:w="1276" w:type="dxa"/>
            <w:tcBorders>
              <w:left w:val="single" w:sz="6" w:space="0" w:color="FFFFFF" w:themeColor="background1"/>
              <w:right w:val="single" w:sz="6" w:space="0" w:color="FFFFFF" w:themeColor="background1"/>
            </w:tcBorders>
            <w:shd w:val="clear" w:color="auto" w:fill="auto"/>
          </w:tcPr>
          <w:p w14:paraId="1172C844"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2.184</w:t>
            </w:r>
          </w:p>
        </w:tc>
        <w:tc>
          <w:tcPr>
            <w:tcW w:w="992" w:type="dxa"/>
            <w:tcBorders>
              <w:left w:val="single" w:sz="6" w:space="0" w:color="FFFFFF" w:themeColor="background1"/>
            </w:tcBorders>
            <w:shd w:val="clear" w:color="auto" w:fill="auto"/>
          </w:tcPr>
          <w:p w14:paraId="7B79A653"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0.005</w:t>
            </w:r>
          </w:p>
        </w:tc>
      </w:tr>
      <w:tr w:rsidR="00187677" w:rsidRPr="008B311C" w14:paraId="28676FA2" w14:textId="77777777" w:rsidTr="002B0C91">
        <w:trPr>
          <w:trHeight w:val="253"/>
        </w:trPr>
        <w:tc>
          <w:tcPr>
            <w:tcW w:w="1841" w:type="dxa"/>
            <w:vAlign w:val="center"/>
          </w:tcPr>
          <w:p w14:paraId="5711EEE8"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Diabetes</w:t>
            </w:r>
          </w:p>
        </w:tc>
        <w:tc>
          <w:tcPr>
            <w:tcW w:w="1277" w:type="dxa"/>
            <w:tcBorders>
              <w:right w:val="single" w:sz="6" w:space="0" w:color="FFFFFF" w:themeColor="background1"/>
            </w:tcBorders>
            <w:shd w:val="clear" w:color="auto" w:fill="auto"/>
          </w:tcPr>
          <w:p w14:paraId="66071F2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0.189</w:t>
            </w:r>
          </w:p>
          <w:p w14:paraId="3A4247EC"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1BCE0A2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1.208</w:t>
            </w:r>
          </w:p>
        </w:tc>
        <w:tc>
          <w:tcPr>
            <w:tcW w:w="991" w:type="dxa"/>
            <w:tcBorders>
              <w:left w:val="single" w:sz="6" w:space="0" w:color="FFFFFF" w:themeColor="background1"/>
            </w:tcBorders>
            <w:shd w:val="clear" w:color="auto" w:fill="auto"/>
          </w:tcPr>
          <w:p w14:paraId="4A67E60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0.319</w:t>
            </w:r>
          </w:p>
        </w:tc>
        <w:tc>
          <w:tcPr>
            <w:tcW w:w="1278" w:type="dxa"/>
            <w:tcBorders>
              <w:right w:val="single" w:sz="6" w:space="0" w:color="FFFFFF" w:themeColor="background1"/>
            </w:tcBorders>
            <w:shd w:val="clear" w:color="auto" w:fill="auto"/>
          </w:tcPr>
          <w:p w14:paraId="0EEFE041"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0.611</w:t>
            </w:r>
          </w:p>
        </w:tc>
        <w:tc>
          <w:tcPr>
            <w:tcW w:w="1275" w:type="dxa"/>
            <w:tcBorders>
              <w:left w:val="single" w:sz="6" w:space="0" w:color="FFFFFF" w:themeColor="background1"/>
              <w:right w:val="single" w:sz="6" w:space="0" w:color="FFFFFF" w:themeColor="background1"/>
            </w:tcBorders>
            <w:shd w:val="clear" w:color="auto" w:fill="auto"/>
          </w:tcPr>
          <w:p w14:paraId="237AC4F4"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1.842</w:t>
            </w:r>
          </w:p>
        </w:tc>
        <w:tc>
          <w:tcPr>
            <w:tcW w:w="992" w:type="dxa"/>
            <w:tcBorders>
              <w:left w:val="single" w:sz="6" w:space="0" w:color="FFFFFF" w:themeColor="background1"/>
            </w:tcBorders>
            <w:shd w:val="clear" w:color="auto" w:fill="auto"/>
          </w:tcPr>
          <w:p w14:paraId="37E285FB"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0.030</w:t>
            </w:r>
          </w:p>
        </w:tc>
        <w:tc>
          <w:tcPr>
            <w:tcW w:w="1276" w:type="dxa"/>
            <w:tcBorders>
              <w:right w:val="single" w:sz="6" w:space="0" w:color="FFFFFF" w:themeColor="background1"/>
            </w:tcBorders>
            <w:shd w:val="clear" w:color="auto" w:fill="auto"/>
          </w:tcPr>
          <w:p w14:paraId="083AB0A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0.706</w:t>
            </w:r>
          </w:p>
          <w:p w14:paraId="4E978833"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2650F9B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2.027</w:t>
            </w:r>
          </w:p>
        </w:tc>
        <w:tc>
          <w:tcPr>
            <w:tcW w:w="992" w:type="dxa"/>
            <w:tcBorders>
              <w:left w:val="single" w:sz="6" w:space="0" w:color="FFFFFF" w:themeColor="background1"/>
            </w:tcBorders>
            <w:shd w:val="clear" w:color="auto" w:fill="auto"/>
          </w:tcPr>
          <w:p w14:paraId="0B881475"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c>
          <w:tcPr>
            <w:tcW w:w="1276" w:type="dxa"/>
            <w:tcBorders>
              <w:right w:val="single" w:sz="6" w:space="0" w:color="FFFFFF" w:themeColor="background1"/>
            </w:tcBorders>
            <w:shd w:val="clear" w:color="auto" w:fill="auto"/>
          </w:tcPr>
          <w:p w14:paraId="7E858A7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0.509</w:t>
            </w:r>
          </w:p>
        </w:tc>
        <w:tc>
          <w:tcPr>
            <w:tcW w:w="1276" w:type="dxa"/>
            <w:tcBorders>
              <w:left w:val="single" w:sz="6" w:space="0" w:color="FFFFFF" w:themeColor="background1"/>
              <w:right w:val="single" w:sz="6" w:space="0" w:color="FFFFFF" w:themeColor="background1"/>
            </w:tcBorders>
            <w:shd w:val="clear" w:color="auto" w:fill="auto"/>
          </w:tcPr>
          <w:p w14:paraId="641DFFBF"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1.663</w:t>
            </w:r>
          </w:p>
        </w:tc>
        <w:tc>
          <w:tcPr>
            <w:tcW w:w="992" w:type="dxa"/>
            <w:tcBorders>
              <w:left w:val="single" w:sz="6" w:space="0" w:color="FFFFFF" w:themeColor="background1"/>
            </w:tcBorders>
            <w:shd w:val="clear" w:color="auto" w:fill="auto"/>
          </w:tcPr>
          <w:p w14:paraId="6DE940CA"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0.017</w:t>
            </w:r>
          </w:p>
        </w:tc>
      </w:tr>
      <w:tr w:rsidR="00187677" w:rsidRPr="008B311C" w14:paraId="0E566293" w14:textId="77777777" w:rsidTr="002B0C91">
        <w:trPr>
          <w:trHeight w:val="253"/>
        </w:trPr>
        <w:tc>
          <w:tcPr>
            <w:tcW w:w="1841" w:type="dxa"/>
            <w:vAlign w:val="center"/>
          </w:tcPr>
          <w:p w14:paraId="23326335"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CCI</w:t>
            </w:r>
          </w:p>
        </w:tc>
        <w:tc>
          <w:tcPr>
            <w:tcW w:w="1277" w:type="dxa"/>
            <w:tcBorders>
              <w:right w:val="single" w:sz="6" w:space="0" w:color="FFFFFF" w:themeColor="background1"/>
            </w:tcBorders>
            <w:shd w:val="clear" w:color="auto" w:fill="auto"/>
          </w:tcPr>
          <w:p w14:paraId="5F14BB6C"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0.212</w:t>
            </w:r>
          </w:p>
        </w:tc>
        <w:tc>
          <w:tcPr>
            <w:tcW w:w="1276" w:type="dxa"/>
            <w:tcBorders>
              <w:left w:val="single" w:sz="6" w:space="0" w:color="FFFFFF" w:themeColor="background1"/>
              <w:right w:val="single" w:sz="6" w:space="0" w:color="FFFFFF" w:themeColor="background1"/>
            </w:tcBorders>
            <w:shd w:val="clear" w:color="auto" w:fill="auto"/>
          </w:tcPr>
          <w:p w14:paraId="39670FE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1.236</w:t>
            </w:r>
          </w:p>
          <w:p w14:paraId="41D9D973" w14:textId="77777777" w:rsidR="00187677" w:rsidRPr="008B311C" w:rsidRDefault="00187677" w:rsidP="002B0C91">
            <w:pPr>
              <w:jc w:val="center"/>
              <w:rPr>
                <w:rFonts w:ascii="Arial" w:hAnsi="Arial" w:cs="Arial"/>
                <w:sz w:val="16"/>
                <w:szCs w:val="16"/>
                <w:lang w:val="en-US"/>
              </w:rPr>
            </w:pPr>
          </w:p>
        </w:tc>
        <w:tc>
          <w:tcPr>
            <w:tcW w:w="991" w:type="dxa"/>
            <w:tcBorders>
              <w:left w:val="single" w:sz="6" w:space="0" w:color="FFFFFF" w:themeColor="background1"/>
            </w:tcBorders>
            <w:shd w:val="clear" w:color="auto" w:fill="auto"/>
          </w:tcPr>
          <w:p w14:paraId="5D77E405"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0.015</w:t>
            </w:r>
          </w:p>
        </w:tc>
        <w:tc>
          <w:tcPr>
            <w:tcW w:w="1278" w:type="dxa"/>
            <w:tcBorders>
              <w:right w:val="single" w:sz="6" w:space="0" w:color="FFFFFF" w:themeColor="background1"/>
            </w:tcBorders>
            <w:shd w:val="clear" w:color="auto" w:fill="auto"/>
          </w:tcPr>
          <w:p w14:paraId="5B738C7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0.272</w:t>
            </w:r>
          </w:p>
        </w:tc>
        <w:tc>
          <w:tcPr>
            <w:tcW w:w="1275" w:type="dxa"/>
            <w:tcBorders>
              <w:left w:val="single" w:sz="6" w:space="0" w:color="FFFFFF" w:themeColor="background1"/>
              <w:right w:val="single" w:sz="6" w:space="0" w:color="FFFFFF" w:themeColor="background1"/>
            </w:tcBorders>
            <w:shd w:val="clear" w:color="auto" w:fill="auto"/>
          </w:tcPr>
          <w:p w14:paraId="7AE0028C"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1.313</w:t>
            </w:r>
          </w:p>
        </w:tc>
        <w:tc>
          <w:tcPr>
            <w:tcW w:w="992" w:type="dxa"/>
            <w:tcBorders>
              <w:left w:val="single" w:sz="6" w:space="0" w:color="FFFFFF" w:themeColor="background1"/>
            </w:tcBorders>
            <w:shd w:val="clear" w:color="auto" w:fill="auto"/>
          </w:tcPr>
          <w:p w14:paraId="7ECEAED7"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0.025</w:t>
            </w:r>
          </w:p>
        </w:tc>
        <w:tc>
          <w:tcPr>
            <w:tcW w:w="1276" w:type="dxa"/>
            <w:tcBorders>
              <w:right w:val="single" w:sz="6" w:space="0" w:color="FFFFFF" w:themeColor="background1"/>
            </w:tcBorders>
            <w:shd w:val="clear" w:color="auto" w:fill="auto"/>
          </w:tcPr>
          <w:p w14:paraId="5A16633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0.421</w:t>
            </w:r>
          </w:p>
          <w:p w14:paraId="27E93197"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382023F4"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1.523</w:t>
            </w:r>
          </w:p>
        </w:tc>
        <w:tc>
          <w:tcPr>
            <w:tcW w:w="992" w:type="dxa"/>
            <w:tcBorders>
              <w:left w:val="single" w:sz="6" w:space="0" w:color="FFFFFF" w:themeColor="background1"/>
            </w:tcBorders>
            <w:shd w:val="clear" w:color="auto" w:fill="auto"/>
          </w:tcPr>
          <w:p w14:paraId="44102706"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shd w:val="clear" w:color="auto" w:fill="auto"/>
          </w:tcPr>
          <w:p w14:paraId="3AB5F3C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0.348</w:t>
            </w:r>
          </w:p>
        </w:tc>
        <w:tc>
          <w:tcPr>
            <w:tcW w:w="1276" w:type="dxa"/>
            <w:tcBorders>
              <w:left w:val="single" w:sz="6" w:space="0" w:color="FFFFFF" w:themeColor="background1"/>
              <w:right w:val="single" w:sz="6" w:space="0" w:color="FFFFFF" w:themeColor="background1"/>
            </w:tcBorders>
            <w:shd w:val="clear" w:color="auto" w:fill="auto"/>
          </w:tcPr>
          <w:p w14:paraId="7156415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1.416</w:t>
            </w:r>
          </w:p>
        </w:tc>
        <w:tc>
          <w:tcPr>
            <w:tcW w:w="992" w:type="dxa"/>
            <w:tcBorders>
              <w:left w:val="single" w:sz="6" w:space="0" w:color="FFFFFF" w:themeColor="background1"/>
            </w:tcBorders>
            <w:shd w:val="clear" w:color="auto" w:fill="auto"/>
          </w:tcPr>
          <w:p w14:paraId="15162A03"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r>
      <w:tr w:rsidR="00187677" w:rsidRPr="008B311C" w14:paraId="16F6C726" w14:textId="77777777" w:rsidTr="002B0C91">
        <w:trPr>
          <w:trHeight w:val="253"/>
        </w:trPr>
        <w:tc>
          <w:tcPr>
            <w:tcW w:w="1841" w:type="dxa"/>
            <w:vAlign w:val="center"/>
          </w:tcPr>
          <w:p w14:paraId="23105EB2"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Osteoarthritis</w:t>
            </w:r>
          </w:p>
        </w:tc>
        <w:tc>
          <w:tcPr>
            <w:tcW w:w="1277" w:type="dxa"/>
            <w:tcBorders>
              <w:right w:val="single" w:sz="6" w:space="0" w:color="FFFFFF" w:themeColor="background1"/>
            </w:tcBorders>
            <w:shd w:val="clear" w:color="auto" w:fill="auto"/>
          </w:tcPr>
          <w:p w14:paraId="460D9C7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0.249</w:t>
            </w:r>
          </w:p>
          <w:p w14:paraId="13387E37"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794EB68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1.283</w:t>
            </w:r>
          </w:p>
        </w:tc>
        <w:tc>
          <w:tcPr>
            <w:tcW w:w="991" w:type="dxa"/>
            <w:tcBorders>
              <w:left w:val="single" w:sz="6" w:space="0" w:color="FFFFFF" w:themeColor="background1"/>
            </w:tcBorders>
            <w:shd w:val="clear" w:color="auto" w:fill="auto"/>
          </w:tcPr>
          <w:p w14:paraId="5BBE56BA"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0.145</w:t>
            </w:r>
          </w:p>
        </w:tc>
        <w:tc>
          <w:tcPr>
            <w:tcW w:w="1278" w:type="dxa"/>
            <w:tcBorders>
              <w:right w:val="single" w:sz="6" w:space="0" w:color="FFFFFF" w:themeColor="background1"/>
            </w:tcBorders>
            <w:shd w:val="clear" w:color="auto" w:fill="auto"/>
          </w:tcPr>
          <w:p w14:paraId="3012023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0.744</w:t>
            </w:r>
          </w:p>
        </w:tc>
        <w:tc>
          <w:tcPr>
            <w:tcW w:w="1275" w:type="dxa"/>
            <w:tcBorders>
              <w:left w:val="single" w:sz="6" w:space="0" w:color="FFFFFF" w:themeColor="background1"/>
              <w:right w:val="single" w:sz="6" w:space="0" w:color="FFFFFF" w:themeColor="background1"/>
            </w:tcBorders>
            <w:shd w:val="clear" w:color="auto" w:fill="auto"/>
          </w:tcPr>
          <w:p w14:paraId="3DEB363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2.105</w:t>
            </w:r>
          </w:p>
        </w:tc>
        <w:tc>
          <w:tcPr>
            <w:tcW w:w="992" w:type="dxa"/>
            <w:tcBorders>
              <w:left w:val="single" w:sz="6" w:space="0" w:color="FFFFFF" w:themeColor="background1"/>
            </w:tcBorders>
            <w:shd w:val="clear" w:color="auto" w:fill="auto"/>
          </w:tcPr>
          <w:p w14:paraId="038AE393"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0.008</w:t>
            </w:r>
          </w:p>
        </w:tc>
        <w:tc>
          <w:tcPr>
            <w:tcW w:w="1276" w:type="dxa"/>
            <w:tcBorders>
              <w:right w:val="single" w:sz="6" w:space="0" w:color="FFFFFF" w:themeColor="background1"/>
            </w:tcBorders>
            <w:shd w:val="clear" w:color="auto" w:fill="auto"/>
          </w:tcPr>
          <w:p w14:paraId="024935DA"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0.541</w:t>
            </w:r>
          </w:p>
          <w:p w14:paraId="4DA3AF8E"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1B92BFB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1.718</w:t>
            </w:r>
          </w:p>
        </w:tc>
        <w:tc>
          <w:tcPr>
            <w:tcW w:w="992" w:type="dxa"/>
            <w:tcBorders>
              <w:left w:val="single" w:sz="6" w:space="0" w:color="FFFFFF" w:themeColor="background1"/>
            </w:tcBorders>
            <w:shd w:val="clear" w:color="auto" w:fill="auto"/>
          </w:tcPr>
          <w:p w14:paraId="67D2AEBE"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0.005</w:t>
            </w:r>
          </w:p>
        </w:tc>
        <w:tc>
          <w:tcPr>
            <w:tcW w:w="1276" w:type="dxa"/>
            <w:tcBorders>
              <w:right w:val="single" w:sz="6" w:space="0" w:color="FFFFFF" w:themeColor="background1"/>
            </w:tcBorders>
            <w:shd w:val="clear" w:color="auto" w:fill="auto"/>
          </w:tcPr>
          <w:p w14:paraId="18869D3F"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0.688</w:t>
            </w:r>
          </w:p>
        </w:tc>
        <w:tc>
          <w:tcPr>
            <w:tcW w:w="1276" w:type="dxa"/>
            <w:tcBorders>
              <w:left w:val="single" w:sz="6" w:space="0" w:color="FFFFFF" w:themeColor="background1"/>
              <w:right w:val="single" w:sz="6" w:space="0" w:color="FFFFFF" w:themeColor="background1"/>
            </w:tcBorders>
            <w:shd w:val="clear" w:color="auto" w:fill="auto"/>
          </w:tcPr>
          <w:p w14:paraId="7F4B34C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1.990</w:t>
            </w:r>
          </w:p>
        </w:tc>
        <w:tc>
          <w:tcPr>
            <w:tcW w:w="992" w:type="dxa"/>
            <w:tcBorders>
              <w:left w:val="single" w:sz="6" w:space="0" w:color="FFFFFF" w:themeColor="background1"/>
            </w:tcBorders>
            <w:shd w:val="clear" w:color="auto" w:fill="auto"/>
          </w:tcPr>
          <w:p w14:paraId="0334ADA8"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r>
      <w:tr w:rsidR="00187677" w:rsidRPr="008B311C" w14:paraId="04DFEBE1" w14:textId="77777777" w:rsidTr="002B0C91">
        <w:trPr>
          <w:trHeight w:val="253"/>
        </w:trPr>
        <w:tc>
          <w:tcPr>
            <w:tcW w:w="1841" w:type="dxa"/>
            <w:vAlign w:val="center"/>
          </w:tcPr>
          <w:p w14:paraId="1442AA5E"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Polypharmacy</w:t>
            </w:r>
          </w:p>
        </w:tc>
        <w:tc>
          <w:tcPr>
            <w:tcW w:w="1277" w:type="dxa"/>
            <w:tcBorders>
              <w:right w:val="single" w:sz="6" w:space="0" w:color="FFFFFF" w:themeColor="background1"/>
            </w:tcBorders>
            <w:shd w:val="clear" w:color="auto" w:fill="auto"/>
          </w:tcPr>
          <w:p w14:paraId="5C8E8D0C"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0.609</w:t>
            </w:r>
          </w:p>
          <w:p w14:paraId="63C5E856"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3A6F296C"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1.839</w:t>
            </w:r>
          </w:p>
        </w:tc>
        <w:tc>
          <w:tcPr>
            <w:tcW w:w="991" w:type="dxa"/>
            <w:tcBorders>
              <w:left w:val="single" w:sz="6" w:space="0" w:color="FFFFFF" w:themeColor="background1"/>
            </w:tcBorders>
            <w:shd w:val="clear" w:color="auto" w:fill="auto"/>
          </w:tcPr>
          <w:p w14:paraId="5594E994"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c>
          <w:tcPr>
            <w:tcW w:w="1278" w:type="dxa"/>
            <w:tcBorders>
              <w:right w:val="single" w:sz="6" w:space="0" w:color="FFFFFF" w:themeColor="background1"/>
            </w:tcBorders>
            <w:shd w:val="clear" w:color="auto" w:fill="auto"/>
          </w:tcPr>
          <w:p w14:paraId="4CD1A85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0.534</w:t>
            </w:r>
          </w:p>
        </w:tc>
        <w:tc>
          <w:tcPr>
            <w:tcW w:w="1275" w:type="dxa"/>
            <w:tcBorders>
              <w:left w:val="single" w:sz="6" w:space="0" w:color="FFFFFF" w:themeColor="background1"/>
              <w:right w:val="single" w:sz="6" w:space="0" w:color="FFFFFF" w:themeColor="background1"/>
            </w:tcBorders>
            <w:shd w:val="clear" w:color="auto" w:fill="auto"/>
          </w:tcPr>
          <w:p w14:paraId="2233AF5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1.706</w:t>
            </w:r>
          </w:p>
        </w:tc>
        <w:tc>
          <w:tcPr>
            <w:tcW w:w="992" w:type="dxa"/>
            <w:tcBorders>
              <w:left w:val="single" w:sz="6" w:space="0" w:color="FFFFFF" w:themeColor="background1"/>
            </w:tcBorders>
            <w:shd w:val="clear" w:color="auto" w:fill="auto"/>
          </w:tcPr>
          <w:p w14:paraId="33DAEDC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0.059</w:t>
            </w:r>
          </w:p>
        </w:tc>
        <w:tc>
          <w:tcPr>
            <w:tcW w:w="1276" w:type="dxa"/>
            <w:tcBorders>
              <w:right w:val="single" w:sz="6" w:space="0" w:color="FFFFFF" w:themeColor="background1"/>
            </w:tcBorders>
            <w:shd w:val="clear" w:color="auto" w:fill="auto"/>
          </w:tcPr>
          <w:p w14:paraId="70E1D711"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0.889</w:t>
            </w:r>
          </w:p>
          <w:p w14:paraId="2304A236"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03CFAEF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2.433</w:t>
            </w:r>
          </w:p>
        </w:tc>
        <w:tc>
          <w:tcPr>
            <w:tcW w:w="992" w:type="dxa"/>
            <w:tcBorders>
              <w:left w:val="single" w:sz="6" w:space="0" w:color="FFFFFF" w:themeColor="background1"/>
            </w:tcBorders>
            <w:shd w:val="clear" w:color="auto" w:fill="auto"/>
          </w:tcPr>
          <w:p w14:paraId="5178CA52"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shd w:val="clear" w:color="auto" w:fill="auto"/>
          </w:tcPr>
          <w:p w14:paraId="21F67E4A"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0.733</w:t>
            </w:r>
          </w:p>
        </w:tc>
        <w:tc>
          <w:tcPr>
            <w:tcW w:w="1276" w:type="dxa"/>
            <w:tcBorders>
              <w:left w:val="single" w:sz="6" w:space="0" w:color="FFFFFF" w:themeColor="background1"/>
              <w:right w:val="single" w:sz="6" w:space="0" w:color="FFFFFF" w:themeColor="background1"/>
            </w:tcBorders>
            <w:shd w:val="clear" w:color="auto" w:fill="auto"/>
          </w:tcPr>
          <w:p w14:paraId="08578FD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2.082</w:t>
            </w:r>
          </w:p>
        </w:tc>
        <w:tc>
          <w:tcPr>
            <w:tcW w:w="992" w:type="dxa"/>
            <w:tcBorders>
              <w:left w:val="single" w:sz="6" w:space="0" w:color="FFFFFF" w:themeColor="background1"/>
            </w:tcBorders>
            <w:shd w:val="clear" w:color="auto" w:fill="auto"/>
          </w:tcPr>
          <w:p w14:paraId="2235CC00"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18052342" w14:textId="77777777" w:rsidTr="002B0C91">
        <w:trPr>
          <w:trHeight w:val="253"/>
        </w:trPr>
        <w:tc>
          <w:tcPr>
            <w:tcW w:w="1841" w:type="dxa"/>
            <w:vAlign w:val="center"/>
          </w:tcPr>
          <w:p w14:paraId="1D68BBFB"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Hyper-polypharmacy</w:t>
            </w:r>
          </w:p>
        </w:tc>
        <w:tc>
          <w:tcPr>
            <w:tcW w:w="1277" w:type="dxa"/>
            <w:tcBorders>
              <w:right w:val="single" w:sz="6" w:space="0" w:color="FFFFFF" w:themeColor="background1"/>
            </w:tcBorders>
            <w:shd w:val="clear" w:color="auto" w:fill="auto"/>
          </w:tcPr>
          <w:p w14:paraId="56004A3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1.098</w:t>
            </w:r>
          </w:p>
          <w:p w14:paraId="642C55D4"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13E5A02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2.999</w:t>
            </w:r>
          </w:p>
        </w:tc>
        <w:tc>
          <w:tcPr>
            <w:tcW w:w="991" w:type="dxa"/>
            <w:tcBorders>
              <w:left w:val="single" w:sz="6" w:space="0" w:color="FFFFFF" w:themeColor="background1"/>
            </w:tcBorders>
            <w:shd w:val="clear" w:color="auto" w:fill="auto"/>
          </w:tcPr>
          <w:p w14:paraId="6B3DAE7D"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8" w:type="dxa"/>
            <w:tcBorders>
              <w:right w:val="single" w:sz="6" w:space="0" w:color="FFFFFF" w:themeColor="background1"/>
            </w:tcBorders>
            <w:shd w:val="clear" w:color="auto" w:fill="auto"/>
          </w:tcPr>
          <w:p w14:paraId="385BE5B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0.514</w:t>
            </w:r>
          </w:p>
        </w:tc>
        <w:tc>
          <w:tcPr>
            <w:tcW w:w="1275" w:type="dxa"/>
            <w:tcBorders>
              <w:left w:val="single" w:sz="6" w:space="0" w:color="FFFFFF" w:themeColor="background1"/>
              <w:right w:val="single" w:sz="6" w:space="0" w:color="FFFFFF" w:themeColor="background1"/>
            </w:tcBorders>
            <w:shd w:val="clear" w:color="auto" w:fill="auto"/>
          </w:tcPr>
          <w:p w14:paraId="3887DA4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1.671</w:t>
            </w:r>
          </w:p>
        </w:tc>
        <w:tc>
          <w:tcPr>
            <w:tcW w:w="992" w:type="dxa"/>
            <w:tcBorders>
              <w:left w:val="single" w:sz="6" w:space="0" w:color="FFFFFF" w:themeColor="background1"/>
            </w:tcBorders>
            <w:shd w:val="clear" w:color="auto" w:fill="auto"/>
          </w:tcPr>
          <w:p w14:paraId="4ECD658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0.197</w:t>
            </w:r>
          </w:p>
        </w:tc>
        <w:tc>
          <w:tcPr>
            <w:tcW w:w="1276" w:type="dxa"/>
            <w:tcBorders>
              <w:right w:val="single" w:sz="6" w:space="0" w:color="FFFFFF" w:themeColor="background1"/>
            </w:tcBorders>
            <w:shd w:val="clear" w:color="auto" w:fill="auto"/>
          </w:tcPr>
          <w:p w14:paraId="38BCCB6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0.933</w:t>
            </w:r>
          </w:p>
          <w:p w14:paraId="3DD4F734"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2E1C613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2.542</w:t>
            </w:r>
          </w:p>
        </w:tc>
        <w:tc>
          <w:tcPr>
            <w:tcW w:w="992" w:type="dxa"/>
            <w:tcBorders>
              <w:left w:val="single" w:sz="6" w:space="0" w:color="FFFFFF" w:themeColor="background1"/>
            </w:tcBorders>
            <w:shd w:val="clear" w:color="auto" w:fill="auto"/>
          </w:tcPr>
          <w:p w14:paraId="11CAD806"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0.006</w:t>
            </w:r>
          </w:p>
        </w:tc>
        <w:tc>
          <w:tcPr>
            <w:tcW w:w="1276" w:type="dxa"/>
            <w:tcBorders>
              <w:right w:val="single" w:sz="6" w:space="0" w:color="FFFFFF" w:themeColor="background1"/>
            </w:tcBorders>
            <w:shd w:val="clear" w:color="auto" w:fill="auto"/>
          </w:tcPr>
          <w:p w14:paraId="2DCE0B8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0.582</w:t>
            </w:r>
          </w:p>
        </w:tc>
        <w:tc>
          <w:tcPr>
            <w:tcW w:w="1276" w:type="dxa"/>
            <w:tcBorders>
              <w:left w:val="single" w:sz="6" w:space="0" w:color="FFFFFF" w:themeColor="background1"/>
              <w:right w:val="single" w:sz="6" w:space="0" w:color="FFFFFF" w:themeColor="background1"/>
            </w:tcBorders>
            <w:shd w:val="clear" w:color="auto" w:fill="auto"/>
          </w:tcPr>
          <w:p w14:paraId="549C764F"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1.790</w:t>
            </w:r>
          </w:p>
        </w:tc>
        <w:tc>
          <w:tcPr>
            <w:tcW w:w="992" w:type="dxa"/>
            <w:tcBorders>
              <w:left w:val="single" w:sz="6" w:space="0" w:color="FFFFFF" w:themeColor="background1"/>
            </w:tcBorders>
            <w:shd w:val="clear" w:color="auto" w:fill="auto"/>
          </w:tcPr>
          <w:p w14:paraId="117386C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0.083</w:t>
            </w:r>
          </w:p>
        </w:tc>
      </w:tr>
      <w:tr w:rsidR="00187677" w:rsidRPr="008B311C" w14:paraId="1C1DEA1C" w14:textId="77777777" w:rsidTr="002B0C91">
        <w:trPr>
          <w:trHeight w:val="253"/>
        </w:trPr>
        <w:tc>
          <w:tcPr>
            <w:tcW w:w="1841" w:type="dxa"/>
            <w:vAlign w:val="center"/>
          </w:tcPr>
          <w:p w14:paraId="18265499"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Walking Stick</w:t>
            </w:r>
          </w:p>
        </w:tc>
        <w:tc>
          <w:tcPr>
            <w:tcW w:w="1277" w:type="dxa"/>
            <w:tcBorders>
              <w:right w:val="single" w:sz="6" w:space="0" w:color="FFFFFF" w:themeColor="background1"/>
            </w:tcBorders>
            <w:shd w:val="clear" w:color="auto" w:fill="auto"/>
          </w:tcPr>
          <w:p w14:paraId="11883F3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0.649</w:t>
            </w:r>
          </w:p>
          <w:p w14:paraId="32EDB4FD"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6445147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1.913</w:t>
            </w:r>
          </w:p>
        </w:tc>
        <w:tc>
          <w:tcPr>
            <w:tcW w:w="991" w:type="dxa"/>
            <w:tcBorders>
              <w:left w:val="single" w:sz="6" w:space="0" w:color="FFFFFF" w:themeColor="background1"/>
            </w:tcBorders>
            <w:shd w:val="clear" w:color="auto" w:fill="auto"/>
          </w:tcPr>
          <w:p w14:paraId="493003A9"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0.007</w:t>
            </w:r>
          </w:p>
        </w:tc>
        <w:tc>
          <w:tcPr>
            <w:tcW w:w="1278" w:type="dxa"/>
            <w:tcBorders>
              <w:right w:val="single" w:sz="6" w:space="0" w:color="FFFFFF" w:themeColor="background1"/>
            </w:tcBorders>
            <w:shd w:val="clear" w:color="auto" w:fill="auto"/>
          </w:tcPr>
          <w:p w14:paraId="520934B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1.865</w:t>
            </w:r>
          </w:p>
        </w:tc>
        <w:tc>
          <w:tcPr>
            <w:tcW w:w="1275" w:type="dxa"/>
            <w:tcBorders>
              <w:left w:val="single" w:sz="6" w:space="0" w:color="FFFFFF" w:themeColor="background1"/>
              <w:right w:val="single" w:sz="6" w:space="0" w:color="FFFFFF" w:themeColor="background1"/>
            </w:tcBorders>
            <w:shd w:val="clear" w:color="auto" w:fill="auto"/>
          </w:tcPr>
          <w:p w14:paraId="46387E3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6.454</w:t>
            </w:r>
          </w:p>
        </w:tc>
        <w:tc>
          <w:tcPr>
            <w:tcW w:w="992" w:type="dxa"/>
            <w:tcBorders>
              <w:left w:val="single" w:sz="6" w:space="0" w:color="FFFFFF" w:themeColor="background1"/>
            </w:tcBorders>
            <w:shd w:val="clear" w:color="auto" w:fill="auto"/>
          </w:tcPr>
          <w:p w14:paraId="004FCC9F"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shd w:val="clear" w:color="auto" w:fill="auto"/>
          </w:tcPr>
          <w:p w14:paraId="106996C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2.217</w:t>
            </w:r>
          </w:p>
          <w:p w14:paraId="3DCB024D"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3024254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9.183</w:t>
            </w:r>
          </w:p>
        </w:tc>
        <w:tc>
          <w:tcPr>
            <w:tcW w:w="992" w:type="dxa"/>
            <w:tcBorders>
              <w:left w:val="single" w:sz="6" w:space="0" w:color="FFFFFF" w:themeColor="background1"/>
            </w:tcBorders>
            <w:shd w:val="clear" w:color="auto" w:fill="auto"/>
          </w:tcPr>
          <w:p w14:paraId="75B7415A"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shd w:val="clear" w:color="auto" w:fill="auto"/>
          </w:tcPr>
          <w:p w14:paraId="1252FFC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1.766</w:t>
            </w:r>
          </w:p>
        </w:tc>
        <w:tc>
          <w:tcPr>
            <w:tcW w:w="1276" w:type="dxa"/>
            <w:tcBorders>
              <w:left w:val="single" w:sz="6" w:space="0" w:color="FFFFFF" w:themeColor="background1"/>
              <w:right w:val="single" w:sz="6" w:space="0" w:color="FFFFFF" w:themeColor="background1"/>
            </w:tcBorders>
            <w:shd w:val="clear" w:color="auto" w:fill="auto"/>
          </w:tcPr>
          <w:p w14:paraId="152A2B84"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5.849</w:t>
            </w:r>
          </w:p>
        </w:tc>
        <w:tc>
          <w:tcPr>
            <w:tcW w:w="992" w:type="dxa"/>
            <w:tcBorders>
              <w:left w:val="single" w:sz="6" w:space="0" w:color="FFFFFF" w:themeColor="background1"/>
            </w:tcBorders>
            <w:shd w:val="clear" w:color="auto" w:fill="auto"/>
          </w:tcPr>
          <w:p w14:paraId="0DD4145D"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43B16E3F" w14:textId="77777777" w:rsidTr="002B0C91">
        <w:trPr>
          <w:trHeight w:val="253"/>
        </w:trPr>
        <w:tc>
          <w:tcPr>
            <w:tcW w:w="1841" w:type="dxa"/>
            <w:vAlign w:val="center"/>
          </w:tcPr>
          <w:p w14:paraId="42AB0219" w14:textId="77777777" w:rsidR="00187677" w:rsidRPr="008B311C" w:rsidRDefault="00187677" w:rsidP="002B0C91">
            <w:pPr>
              <w:rPr>
                <w:rFonts w:ascii="Arial" w:hAnsi="Arial" w:cs="Arial"/>
                <w:b/>
                <w:sz w:val="16"/>
                <w:szCs w:val="16"/>
              </w:rPr>
            </w:pPr>
            <w:r w:rsidRPr="008B311C">
              <w:rPr>
                <w:rFonts w:ascii="Arial" w:hAnsi="Arial" w:cs="Arial"/>
                <w:b/>
                <w:sz w:val="16"/>
                <w:szCs w:val="16"/>
              </w:rPr>
              <w:t>Use of glasses</w:t>
            </w:r>
          </w:p>
        </w:tc>
        <w:tc>
          <w:tcPr>
            <w:tcW w:w="1277" w:type="dxa"/>
            <w:tcBorders>
              <w:right w:val="single" w:sz="6" w:space="0" w:color="FFFFFF" w:themeColor="background1"/>
            </w:tcBorders>
            <w:shd w:val="clear" w:color="auto" w:fill="auto"/>
          </w:tcPr>
          <w:p w14:paraId="357C4F5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-0.154</w:t>
            </w:r>
          </w:p>
          <w:p w14:paraId="7CFBFF9C"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6A8A096B"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0.857</w:t>
            </w:r>
          </w:p>
        </w:tc>
        <w:tc>
          <w:tcPr>
            <w:tcW w:w="991" w:type="dxa"/>
            <w:tcBorders>
              <w:left w:val="single" w:sz="6" w:space="0" w:color="FFFFFF" w:themeColor="background1"/>
            </w:tcBorders>
            <w:shd w:val="clear" w:color="auto" w:fill="auto"/>
          </w:tcPr>
          <w:p w14:paraId="4C98308D"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0.447</w:t>
            </w:r>
          </w:p>
        </w:tc>
        <w:tc>
          <w:tcPr>
            <w:tcW w:w="1278" w:type="dxa"/>
            <w:tcBorders>
              <w:right w:val="single" w:sz="6" w:space="0" w:color="FFFFFF" w:themeColor="background1"/>
            </w:tcBorders>
            <w:shd w:val="clear" w:color="auto" w:fill="auto"/>
          </w:tcPr>
          <w:p w14:paraId="058B7388"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-0.419</w:t>
            </w:r>
          </w:p>
        </w:tc>
        <w:tc>
          <w:tcPr>
            <w:tcW w:w="1275" w:type="dxa"/>
            <w:tcBorders>
              <w:left w:val="single" w:sz="6" w:space="0" w:color="FFFFFF" w:themeColor="background1"/>
              <w:right w:val="single" w:sz="6" w:space="0" w:color="FFFFFF" w:themeColor="background1"/>
            </w:tcBorders>
            <w:shd w:val="clear" w:color="auto" w:fill="auto"/>
          </w:tcPr>
          <w:p w14:paraId="51DBE7DF"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0.658</w:t>
            </w:r>
          </w:p>
        </w:tc>
        <w:tc>
          <w:tcPr>
            <w:tcW w:w="992" w:type="dxa"/>
            <w:tcBorders>
              <w:left w:val="single" w:sz="6" w:space="0" w:color="FFFFFF" w:themeColor="background1"/>
            </w:tcBorders>
            <w:shd w:val="clear" w:color="auto" w:fill="auto"/>
          </w:tcPr>
          <w:p w14:paraId="7C5B2A14"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0.154</w:t>
            </w:r>
          </w:p>
        </w:tc>
        <w:tc>
          <w:tcPr>
            <w:tcW w:w="1276" w:type="dxa"/>
            <w:tcBorders>
              <w:right w:val="single" w:sz="6" w:space="0" w:color="FFFFFF" w:themeColor="background1"/>
            </w:tcBorders>
            <w:shd w:val="clear" w:color="auto" w:fill="auto"/>
          </w:tcPr>
          <w:p w14:paraId="506A39D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0.004</w:t>
            </w:r>
          </w:p>
          <w:p w14:paraId="16393789"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2C143B1E"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1.004</w:t>
            </w:r>
          </w:p>
        </w:tc>
        <w:tc>
          <w:tcPr>
            <w:tcW w:w="992" w:type="dxa"/>
            <w:tcBorders>
              <w:left w:val="single" w:sz="6" w:space="0" w:color="FFFFFF" w:themeColor="background1"/>
            </w:tcBorders>
            <w:shd w:val="clear" w:color="auto" w:fill="auto"/>
          </w:tcPr>
          <w:p w14:paraId="1F2CB828"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0.985</w:t>
            </w:r>
          </w:p>
        </w:tc>
        <w:tc>
          <w:tcPr>
            <w:tcW w:w="1276" w:type="dxa"/>
            <w:tcBorders>
              <w:right w:val="single" w:sz="6" w:space="0" w:color="FFFFFF" w:themeColor="background1"/>
            </w:tcBorders>
            <w:shd w:val="clear" w:color="auto" w:fill="auto"/>
          </w:tcPr>
          <w:p w14:paraId="11A18A3C"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-0.179</w:t>
            </w:r>
          </w:p>
        </w:tc>
        <w:tc>
          <w:tcPr>
            <w:tcW w:w="1276" w:type="dxa"/>
            <w:tcBorders>
              <w:left w:val="single" w:sz="6" w:space="0" w:color="FFFFFF" w:themeColor="background1"/>
              <w:right w:val="single" w:sz="6" w:space="0" w:color="FFFFFF" w:themeColor="background1"/>
            </w:tcBorders>
            <w:shd w:val="clear" w:color="auto" w:fill="auto"/>
          </w:tcPr>
          <w:p w14:paraId="7D40E002"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0.836</w:t>
            </w:r>
          </w:p>
        </w:tc>
        <w:tc>
          <w:tcPr>
            <w:tcW w:w="992" w:type="dxa"/>
            <w:tcBorders>
              <w:left w:val="single" w:sz="6" w:space="0" w:color="FFFFFF" w:themeColor="background1"/>
            </w:tcBorders>
            <w:shd w:val="clear" w:color="auto" w:fill="auto"/>
          </w:tcPr>
          <w:p w14:paraId="3CDEA01E"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0.443</w:t>
            </w:r>
          </w:p>
        </w:tc>
      </w:tr>
      <w:tr w:rsidR="00187677" w:rsidRPr="008B311C" w14:paraId="1702DD77" w14:textId="77777777" w:rsidTr="002B0C91">
        <w:trPr>
          <w:trHeight w:val="253"/>
        </w:trPr>
        <w:tc>
          <w:tcPr>
            <w:tcW w:w="1841" w:type="dxa"/>
            <w:vAlign w:val="center"/>
          </w:tcPr>
          <w:p w14:paraId="08DF4E71"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Urinary Incontinence</w:t>
            </w:r>
          </w:p>
        </w:tc>
        <w:tc>
          <w:tcPr>
            <w:tcW w:w="1277" w:type="dxa"/>
            <w:tcBorders>
              <w:right w:val="single" w:sz="6" w:space="0" w:color="FFFFFF" w:themeColor="background1"/>
            </w:tcBorders>
            <w:shd w:val="clear" w:color="auto" w:fill="auto"/>
          </w:tcPr>
          <w:p w14:paraId="79D0F99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0.476</w:t>
            </w:r>
          </w:p>
          <w:p w14:paraId="610362E7"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59F6245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1.609</w:t>
            </w:r>
          </w:p>
        </w:tc>
        <w:tc>
          <w:tcPr>
            <w:tcW w:w="991" w:type="dxa"/>
            <w:tcBorders>
              <w:left w:val="single" w:sz="6" w:space="0" w:color="FFFFFF" w:themeColor="background1"/>
            </w:tcBorders>
            <w:shd w:val="clear" w:color="auto" w:fill="auto"/>
          </w:tcPr>
          <w:p w14:paraId="52DCF113"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0.006</w:t>
            </w:r>
          </w:p>
        </w:tc>
        <w:tc>
          <w:tcPr>
            <w:tcW w:w="1278" w:type="dxa"/>
            <w:tcBorders>
              <w:right w:val="single" w:sz="6" w:space="0" w:color="FFFFFF" w:themeColor="background1"/>
            </w:tcBorders>
            <w:shd w:val="clear" w:color="auto" w:fill="auto"/>
          </w:tcPr>
          <w:p w14:paraId="01194D1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1.079</w:t>
            </w:r>
          </w:p>
        </w:tc>
        <w:tc>
          <w:tcPr>
            <w:tcW w:w="1275" w:type="dxa"/>
            <w:tcBorders>
              <w:left w:val="single" w:sz="6" w:space="0" w:color="FFFFFF" w:themeColor="background1"/>
              <w:right w:val="single" w:sz="6" w:space="0" w:color="FFFFFF" w:themeColor="background1"/>
            </w:tcBorders>
            <w:shd w:val="clear" w:color="auto" w:fill="auto"/>
          </w:tcPr>
          <w:p w14:paraId="42AED6A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2.943</w:t>
            </w:r>
          </w:p>
        </w:tc>
        <w:tc>
          <w:tcPr>
            <w:tcW w:w="992" w:type="dxa"/>
            <w:tcBorders>
              <w:left w:val="single" w:sz="6" w:space="0" w:color="FFFFFF" w:themeColor="background1"/>
            </w:tcBorders>
            <w:shd w:val="clear" w:color="auto" w:fill="auto"/>
          </w:tcPr>
          <w:p w14:paraId="486E7F98"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c>
          <w:tcPr>
            <w:tcW w:w="1276" w:type="dxa"/>
            <w:tcBorders>
              <w:right w:val="single" w:sz="6" w:space="0" w:color="FFFFFF" w:themeColor="background1"/>
            </w:tcBorders>
            <w:shd w:val="clear" w:color="auto" w:fill="auto"/>
          </w:tcPr>
          <w:p w14:paraId="5221B9D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0.638</w:t>
            </w:r>
          </w:p>
          <w:p w14:paraId="72E456B5"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3CDF4E8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1.892</w:t>
            </w:r>
          </w:p>
        </w:tc>
        <w:tc>
          <w:tcPr>
            <w:tcW w:w="992" w:type="dxa"/>
            <w:tcBorders>
              <w:left w:val="single" w:sz="6" w:space="0" w:color="FFFFFF" w:themeColor="background1"/>
            </w:tcBorders>
            <w:shd w:val="clear" w:color="auto" w:fill="auto"/>
          </w:tcPr>
          <w:p w14:paraId="5DD42C64"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c>
          <w:tcPr>
            <w:tcW w:w="1276" w:type="dxa"/>
            <w:tcBorders>
              <w:right w:val="single" w:sz="6" w:space="0" w:color="FFFFFF" w:themeColor="background1"/>
            </w:tcBorders>
            <w:shd w:val="clear" w:color="auto" w:fill="auto"/>
          </w:tcPr>
          <w:p w14:paraId="2FB7DDA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0.928</w:t>
            </w:r>
          </w:p>
        </w:tc>
        <w:tc>
          <w:tcPr>
            <w:tcW w:w="1276" w:type="dxa"/>
            <w:tcBorders>
              <w:left w:val="single" w:sz="6" w:space="0" w:color="FFFFFF" w:themeColor="background1"/>
              <w:right w:val="single" w:sz="6" w:space="0" w:color="FFFFFF" w:themeColor="background1"/>
            </w:tcBorders>
            <w:shd w:val="clear" w:color="auto" w:fill="auto"/>
          </w:tcPr>
          <w:p w14:paraId="3BBE598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2.530</w:t>
            </w:r>
          </w:p>
        </w:tc>
        <w:tc>
          <w:tcPr>
            <w:tcW w:w="992" w:type="dxa"/>
            <w:tcBorders>
              <w:left w:val="single" w:sz="6" w:space="0" w:color="FFFFFF" w:themeColor="background1"/>
            </w:tcBorders>
            <w:shd w:val="clear" w:color="auto" w:fill="auto"/>
          </w:tcPr>
          <w:p w14:paraId="107C98E9"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75A4A7B8" w14:textId="77777777" w:rsidTr="002B0C91">
        <w:trPr>
          <w:trHeight w:val="253"/>
        </w:trPr>
        <w:tc>
          <w:tcPr>
            <w:tcW w:w="1841" w:type="dxa"/>
            <w:vAlign w:val="center"/>
          </w:tcPr>
          <w:p w14:paraId="63F6E842"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Dizziness</w:t>
            </w:r>
          </w:p>
        </w:tc>
        <w:tc>
          <w:tcPr>
            <w:tcW w:w="1277" w:type="dxa"/>
            <w:tcBorders>
              <w:right w:val="single" w:sz="6" w:space="0" w:color="FFFFFF" w:themeColor="background1"/>
            </w:tcBorders>
            <w:shd w:val="clear" w:color="auto" w:fill="auto"/>
          </w:tcPr>
          <w:p w14:paraId="1239178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0.930</w:t>
            </w:r>
          </w:p>
          <w:p w14:paraId="33475614"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52BE092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2.535</w:t>
            </w:r>
          </w:p>
        </w:tc>
        <w:tc>
          <w:tcPr>
            <w:tcW w:w="991" w:type="dxa"/>
            <w:tcBorders>
              <w:left w:val="single" w:sz="6" w:space="0" w:color="FFFFFF" w:themeColor="background1"/>
            </w:tcBorders>
            <w:shd w:val="clear" w:color="auto" w:fill="auto"/>
          </w:tcPr>
          <w:p w14:paraId="5F729089"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8" w:type="dxa"/>
            <w:tcBorders>
              <w:right w:val="single" w:sz="6" w:space="0" w:color="FFFFFF" w:themeColor="background1"/>
            </w:tcBorders>
            <w:shd w:val="clear" w:color="auto" w:fill="auto"/>
          </w:tcPr>
          <w:p w14:paraId="491FB06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1.123</w:t>
            </w:r>
          </w:p>
        </w:tc>
        <w:tc>
          <w:tcPr>
            <w:tcW w:w="1275" w:type="dxa"/>
            <w:tcBorders>
              <w:left w:val="single" w:sz="6" w:space="0" w:color="FFFFFF" w:themeColor="background1"/>
              <w:right w:val="single" w:sz="6" w:space="0" w:color="FFFFFF" w:themeColor="background1"/>
            </w:tcBorders>
            <w:shd w:val="clear" w:color="auto" w:fill="auto"/>
          </w:tcPr>
          <w:p w14:paraId="5FBF816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3.073</w:t>
            </w:r>
          </w:p>
        </w:tc>
        <w:tc>
          <w:tcPr>
            <w:tcW w:w="992" w:type="dxa"/>
            <w:tcBorders>
              <w:left w:val="single" w:sz="6" w:space="0" w:color="FFFFFF" w:themeColor="background1"/>
            </w:tcBorders>
            <w:shd w:val="clear" w:color="auto" w:fill="auto"/>
          </w:tcPr>
          <w:p w14:paraId="50D48E1B"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shd w:val="clear" w:color="auto" w:fill="auto"/>
          </w:tcPr>
          <w:p w14:paraId="055C906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0.682</w:t>
            </w:r>
          </w:p>
          <w:p w14:paraId="4B1C9D27"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23C5C3E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1.979</w:t>
            </w:r>
          </w:p>
        </w:tc>
        <w:tc>
          <w:tcPr>
            <w:tcW w:w="992" w:type="dxa"/>
            <w:tcBorders>
              <w:left w:val="single" w:sz="6" w:space="0" w:color="FFFFFF" w:themeColor="background1"/>
            </w:tcBorders>
            <w:shd w:val="clear" w:color="auto" w:fill="auto"/>
          </w:tcPr>
          <w:p w14:paraId="74FA1E01"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shd w:val="clear" w:color="auto" w:fill="auto"/>
          </w:tcPr>
          <w:p w14:paraId="3A5E146F"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0.805</w:t>
            </w:r>
          </w:p>
        </w:tc>
        <w:tc>
          <w:tcPr>
            <w:tcW w:w="1276" w:type="dxa"/>
            <w:tcBorders>
              <w:left w:val="single" w:sz="6" w:space="0" w:color="FFFFFF" w:themeColor="background1"/>
              <w:right w:val="single" w:sz="6" w:space="0" w:color="FFFFFF" w:themeColor="background1"/>
            </w:tcBorders>
            <w:shd w:val="clear" w:color="auto" w:fill="auto"/>
          </w:tcPr>
          <w:p w14:paraId="4642BAC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2.237</w:t>
            </w:r>
          </w:p>
        </w:tc>
        <w:tc>
          <w:tcPr>
            <w:tcW w:w="992" w:type="dxa"/>
            <w:tcBorders>
              <w:left w:val="single" w:sz="6" w:space="0" w:color="FFFFFF" w:themeColor="background1"/>
            </w:tcBorders>
            <w:shd w:val="clear" w:color="auto" w:fill="auto"/>
          </w:tcPr>
          <w:p w14:paraId="0903E63F"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1CB110B7" w14:textId="77777777" w:rsidTr="002B0C91">
        <w:trPr>
          <w:trHeight w:val="253"/>
        </w:trPr>
        <w:tc>
          <w:tcPr>
            <w:tcW w:w="1841" w:type="dxa"/>
            <w:vAlign w:val="center"/>
          </w:tcPr>
          <w:p w14:paraId="48C33DD2" w14:textId="77777777" w:rsidR="00187677" w:rsidRPr="008B311C" w:rsidRDefault="00187677" w:rsidP="002B0C91">
            <w:pPr>
              <w:rPr>
                <w:rFonts w:ascii="Arial" w:hAnsi="Arial" w:cs="Arial"/>
                <w:b/>
                <w:sz w:val="16"/>
                <w:szCs w:val="16"/>
              </w:rPr>
            </w:pPr>
            <w:r w:rsidRPr="008B311C">
              <w:rPr>
                <w:rFonts w:ascii="Arial" w:hAnsi="Arial" w:cs="Arial"/>
                <w:b/>
                <w:sz w:val="16"/>
                <w:szCs w:val="16"/>
              </w:rPr>
              <w:t>Pain</w:t>
            </w:r>
          </w:p>
        </w:tc>
        <w:tc>
          <w:tcPr>
            <w:tcW w:w="1277" w:type="dxa"/>
            <w:tcBorders>
              <w:right w:val="single" w:sz="6" w:space="0" w:color="FFFFFF" w:themeColor="background1"/>
            </w:tcBorders>
            <w:shd w:val="clear" w:color="auto" w:fill="auto"/>
          </w:tcPr>
          <w:p w14:paraId="0527846C"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0.278</w:t>
            </w:r>
          </w:p>
          <w:p w14:paraId="580FE29F"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7475E139"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1.320</w:t>
            </w:r>
          </w:p>
        </w:tc>
        <w:tc>
          <w:tcPr>
            <w:tcW w:w="991" w:type="dxa"/>
            <w:tcBorders>
              <w:left w:val="single" w:sz="6" w:space="0" w:color="FFFFFF" w:themeColor="background1"/>
            </w:tcBorders>
            <w:shd w:val="clear" w:color="auto" w:fill="auto"/>
          </w:tcPr>
          <w:p w14:paraId="694E446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0.118</w:t>
            </w:r>
          </w:p>
        </w:tc>
        <w:tc>
          <w:tcPr>
            <w:tcW w:w="1278" w:type="dxa"/>
            <w:tcBorders>
              <w:right w:val="single" w:sz="6" w:space="0" w:color="FFFFFF" w:themeColor="background1"/>
            </w:tcBorders>
            <w:shd w:val="clear" w:color="auto" w:fill="auto"/>
          </w:tcPr>
          <w:p w14:paraId="7AA26D64"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0.476</w:t>
            </w:r>
          </w:p>
        </w:tc>
        <w:tc>
          <w:tcPr>
            <w:tcW w:w="1275" w:type="dxa"/>
            <w:tcBorders>
              <w:left w:val="single" w:sz="6" w:space="0" w:color="FFFFFF" w:themeColor="background1"/>
              <w:right w:val="single" w:sz="6" w:space="0" w:color="FFFFFF" w:themeColor="background1"/>
            </w:tcBorders>
            <w:shd w:val="clear" w:color="auto" w:fill="auto"/>
          </w:tcPr>
          <w:p w14:paraId="444B96F4"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1.610</w:t>
            </w:r>
          </w:p>
        </w:tc>
        <w:tc>
          <w:tcPr>
            <w:tcW w:w="992" w:type="dxa"/>
            <w:tcBorders>
              <w:left w:val="single" w:sz="6" w:space="0" w:color="FFFFFF" w:themeColor="background1"/>
            </w:tcBorders>
            <w:shd w:val="clear" w:color="auto" w:fill="auto"/>
          </w:tcPr>
          <w:p w14:paraId="22EAF1C6"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0.105</w:t>
            </w:r>
          </w:p>
        </w:tc>
        <w:tc>
          <w:tcPr>
            <w:tcW w:w="1276" w:type="dxa"/>
            <w:tcBorders>
              <w:right w:val="single" w:sz="6" w:space="0" w:color="FFFFFF" w:themeColor="background1"/>
            </w:tcBorders>
            <w:shd w:val="clear" w:color="auto" w:fill="auto"/>
          </w:tcPr>
          <w:p w14:paraId="2A49F852"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0.553</w:t>
            </w:r>
          </w:p>
          <w:p w14:paraId="72C82EE3"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04BBB726"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1.739</w:t>
            </w:r>
          </w:p>
        </w:tc>
        <w:tc>
          <w:tcPr>
            <w:tcW w:w="992" w:type="dxa"/>
            <w:tcBorders>
              <w:left w:val="single" w:sz="6" w:space="0" w:color="FFFFFF" w:themeColor="background1"/>
            </w:tcBorders>
            <w:shd w:val="clear" w:color="auto" w:fill="auto"/>
          </w:tcPr>
          <w:p w14:paraId="306DE9DF" w14:textId="77777777" w:rsidR="00187677" w:rsidRPr="008B311C" w:rsidRDefault="00187677" w:rsidP="002B0C91">
            <w:pPr>
              <w:jc w:val="center"/>
              <w:rPr>
                <w:rFonts w:ascii="Arial" w:hAnsi="Arial" w:cs="Arial"/>
                <w:b/>
                <w:sz w:val="16"/>
                <w:szCs w:val="16"/>
              </w:rPr>
            </w:pPr>
            <w:r w:rsidRPr="008B311C">
              <w:rPr>
                <w:rFonts w:ascii="Arial" w:hAnsi="Arial" w:cs="Arial"/>
                <w:b/>
                <w:sz w:val="16"/>
                <w:szCs w:val="16"/>
              </w:rPr>
              <w:t>0.006</w:t>
            </w:r>
          </w:p>
        </w:tc>
        <w:tc>
          <w:tcPr>
            <w:tcW w:w="1276" w:type="dxa"/>
            <w:tcBorders>
              <w:right w:val="single" w:sz="6" w:space="0" w:color="FFFFFF" w:themeColor="background1"/>
            </w:tcBorders>
            <w:shd w:val="clear" w:color="auto" w:fill="auto"/>
          </w:tcPr>
          <w:p w14:paraId="03B1EB4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0.839</w:t>
            </w:r>
          </w:p>
        </w:tc>
        <w:tc>
          <w:tcPr>
            <w:tcW w:w="1276" w:type="dxa"/>
            <w:tcBorders>
              <w:left w:val="single" w:sz="6" w:space="0" w:color="FFFFFF" w:themeColor="background1"/>
              <w:right w:val="single" w:sz="6" w:space="0" w:color="FFFFFF" w:themeColor="background1"/>
            </w:tcBorders>
            <w:shd w:val="clear" w:color="auto" w:fill="auto"/>
          </w:tcPr>
          <w:p w14:paraId="5B9BBF69"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2.315</w:t>
            </w:r>
          </w:p>
        </w:tc>
        <w:tc>
          <w:tcPr>
            <w:tcW w:w="992" w:type="dxa"/>
            <w:tcBorders>
              <w:left w:val="single" w:sz="6" w:space="0" w:color="FFFFFF" w:themeColor="background1"/>
            </w:tcBorders>
            <w:shd w:val="clear" w:color="auto" w:fill="auto"/>
          </w:tcPr>
          <w:p w14:paraId="010AF6F7" w14:textId="77777777" w:rsidR="00187677" w:rsidRPr="008B311C" w:rsidRDefault="00187677" w:rsidP="002B0C91">
            <w:pPr>
              <w:jc w:val="center"/>
              <w:rPr>
                <w:rFonts w:ascii="Arial" w:hAnsi="Arial" w:cs="Arial"/>
                <w:b/>
                <w:sz w:val="16"/>
                <w:szCs w:val="16"/>
              </w:rPr>
            </w:pPr>
            <w:r w:rsidRPr="008B311C">
              <w:rPr>
                <w:rFonts w:ascii="Arial" w:hAnsi="Arial" w:cs="Arial"/>
                <w:b/>
                <w:sz w:val="16"/>
                <w:szCs w:val="16"/>
              </w:rPr>
              <w:t>&lt;0.001</w:t>
            </w:r>
          </w:p>
        </w:tc>
      </w:tr>
      <w:tr w:rsidR="00187677" w:rsidRPr="008B311C" w14:paraId="376A158F" w14:textId="77777777" w:rsidTr="002B0C91">
        <w:trPr>
          <w:trHeight w:val="253"/>
        </w:trPr>
        <w:tc>
          <w:tcPr>
            <w:tcW w:w="1841" w:type="dxa"/>
            <w:vAlign w:val="center"/>
          </w:tcPr>
          <w:p w14:paraId="4FDAEBB0" w14:textId="77777777" w:rsidR="00187677" w:rsidRPr="008B311C" w:rsidRDefault="00187677" w:rsidP="002B0C91">
            <w:pPr>
              <w:rPr>
                <w:rFonts w:ascii="Arial" w:hAnsi="Arial" w:cs="Arial"/>
                <w:b/>
                <w:sz w:val="16"/>
                <w:szCs w:val="16"/>
              </w:rPr>
            </w:pPr>
            <w:r w:rsidRPr="008B311C">
              <w:rPr>
                <w:rFonts w:ascii="Arial" w:hAnsi="Arial" w:cs="Arial"/>
                <w:b/>
                <w:sz w:val="16"/>
                <w:szCs w:val="16"/>
              </w:rPr>
              <w:t>Cataract</w:t>
            </w:r>
          </w:p>
        </w:tc>
        <w:tc>
          <w:tcPr>
            <w:tcW w:w="1277" w:type="dxa"/>
            <w:tcBorders>
              <w:right w:val="single" w:sz="6" w:space="0" w:color="FFFFFF" w:themeColor="background1"/>
            </w:tcBorders>
            <w:shd w:val="clear" w:color="auto" w:fill="auto"/>
          </w:tcPr>
          <w:p w14:paraId="1C908E8D"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0.492</w:t>
            </w:r>
          </w:p>
          <w:p w14:paraId="70B97DA7"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171665FC"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1.635</w:t>
            </w:r>
          </w:p>
        </w:tc>
        <w:tc>
          <w:tcPr>
            <w:tcW w:w="991" w:type="dxa"/>
            <w:tcBorders>
              <w:left w:val="single" w:sz="6" w:space="0" w:color="FFFFFF" w:themeColor="background1"/>
            </w:tcBorders>
            <w:shd w:val="clear" w:color="auto" w:fill="auto"/>
          </w:tcPr>
          <w:p w14:paraId="515320D4" w14:textId="77777777" w:rsidR="00187677" w:rsidRPr="008B311C" w:rsidRDefault="00187677" w:rsidP="002B0C91">
            <w:pPr>
              <w:jc w:val="center"/>
              <w:rPr>
                <w:rFonts w:ascii="Arial" w:hAnsi="Arial" w:cs="Arial"/>
                <w:b/>
                <w:sz w:val="16"/>
                <w:szCs w:val="16"/>
              </w:rPr>
            </w:pPr>
            <w:r w:rsidRPr="008B311C">
              <w:rPr>
                <w:rFonts w:ascii="Arial" w:hAnsi="Arial" w:cs="Arial"/>
                <w:b/>
                <w:sz w:val="16"/>
                <w:szCs w:val="16"/>
              </w:rPr>
              <w:t>0.006</w:t>
            </w:r>
          </w:p>
        </w:tc>
        <w:tc>
          <w:tcPr>
            <w:tcW w:w="1278" w:type="dxa"/>
            <w:tcBorders>
              <w:right w:val="single" w:sz="6" w:space="0" w:color="FFFFFF" w:themeColor="background1"/>
            </w:tcBorders>
            <w:shd w:val="clear" w:color="auto" w:fill="auto"/>
          </w:tcPr>
          <w:p w14:paraId="7D1F4C4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-0.069</w:t>
            </w:r>
          </w:p>
        </w:tc>
        <w:tc>
          <w:tcPr>
            <w:tcW w:w="1275" w:type="dxa"/>
            <w:tcBorders>
              <w:left w:val="single" w:sz="6" w:space="0" w:color="FFFFFF" w:themeColor="background1"/>
              <w:right w:val="single" w:sz="6" w:space="0" w:color="FFFFFF" w:themeColor="background1"/>
            </w:tcBorders>
            <w:shd w:val="clear" w:color="auto" w:fill="auto"/>
          </w:tcPr>
          <w:p w14:paraId="34BDB215"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0.934</w:t>
            </w:r>
          </w:p>
        </w:tc>
        <w:tc>
          <w:tcPr>
            <w:tcW w:w="992" w:type="dxa"/>
            <w:tcBorders>
              <w:left w:val="single" w:sz="6" w:space="0" w:color="FFFFFF" w:themeColor="background1"/>
            </w:tcBorders>
            <w:shd w:val="clear" w:color="auto" w:fill="auto"/>
          </w:tcPr>
          <w:p w14:paraId="6C65A05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0.808</w:t>
            </w:r>
          </w:p>
        </w:tc>
        <w:tc>
          <w:tcPr>
            <w:tcW w:w="1276" w:type="dxa"/>
            <w:tcBorders>
              <w:right w:val="single" w:sz="6" w:space="0" w:color="FFFFFF" w:themeColor="background1"/>
            </w:tcBorders>
            <w:shd w:val="clear" w:color="auto" w:fill="auto"/>
          </w:tcPr>
          <w:p w14:paraId="11C4820C"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0.081</w:t>
            </w:r>
          </w:p>
          <w:p w14:paraId="3ABDBD6F"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1C191235"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1.084</w:t>
            </w:r>
          </w:p>
        </w:tc>
        <w:tc>
          <w:tcPr>
            <w:tcW w:w="992" w:type="dxa"/>
            <w:tcBorders>
              <w:left w:val="single" w:sz="6" w:space="0" w:color="FFFFFF" w:themeColor="background1"/>
            </w:tcBorders>
            <w:shd w:val="clear" w:color="auto" w:fill="auto"/>
          </w:tcPr>
          <w:p w14:paraId="08DC4EA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0.682</w:t>
            </w:r>
          </w:p>
        </w:tc>
        <w:tc>
          <w:tcPr>
            <w:tcW w:w="1276" w:type="dxa"/>
            <w:tcBorders>
              <w:right w:val="single" w:sz="6" w:space="0" w:color="FFFFFF" w:themeColor="background1"/>
            </w:tcBorders>
            <w:shd w:val="clear" w:color="auto" w:fill="auto"/>
          </w:tcPr>
          <w:p w14:paraId="06C21684"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-0.075</w:t>
            </w:r>
          </w:p>
        </w:tc>
        <w:tc>
          <w:tcPr>
            <w:tcW w:w="1276" w:type="dxa"/>
            <w:tcBorders>
              <w:left w:val="single" w:sz="6" w:space="0" w:color="FFFFFF" w:themeColor="background1"/>
              <w:right w:val="single" w:sz="6" w:space="0" w:color="FFFFFF" w:themeColor="background1"/>
            </w:tcBorders>
            <w:shd w:val="clear" w:color="auto" w:fill="auto"/>
          </w:tcPr>
          <w:p w14:paraId="5EE6821E"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0.928</w:t>
            </w:r>
          </w:p>
        </w:tc>
        <w:tc>
          <w:tcPr>
            <w:tcW w:w="992" w:type="dxa"/>
            <w:tcBorders>
              <w:left w:val="single" w:sz="6" w:space="0" w:color="FFFFFF" w:themeColor="background1"/>
            </w:tcBorders>
            <w:shd w:val="clear" w:color="auto" w:fill="auto"/>
          </w:tcPr>
          <w:p w14:paraId="4C1AB3A1"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0.714</w:t>
            </w:r>
          </w:p>
        </w:tc>
      </w:tr>
      <w:tr w:rsidR="00187677" w:rsidRPr="008B311C" w14:paraId="2A5CEFCC" w14:textId="77777777" w:rsidTr="002B0C91">
        <w:trPr>
          <w:trHeight w:val="253"/>
        </w:trPr>
        <w:tc>
          <w:tcPr>
            <w:tcW w:w="1841" w:type="dxa"/>
            <w:vAlign w:val="center"/>
          </w:tcPr>
          <w:p w14:paraId="7BC9E244" w14:textId="77777777" w:rsidR="00187677" w:rsidRPr="008B311C" w:rsidRDefault="00187677" w:rsidP="002B0C91">
            <w:pPr>
              <w:rPr>
                <w:rFonts w:ascii="Arial" w:hAnsi="Arial" w:cs="Arial"/>
                <w:b/>
                <w:sz w:val="16"/>
                <w:szCs w:val="16"/>
              </w:rPr>
            </w:pPr>
            <w:r w:rsidRPr="008B311C">
              <w:rPr>
                <w:rFonts w:ascii="Arial" w:hAnsi="Arial" w:cs="Arial"/>
                <w:b/>
                <w:sz w:val="16"/>
                <w:szCs w:val="16"/>
              </w:rPr>
              <w:t>Hearing Impairment</w:t>
            </w:r>
          </w:p>
        </w:tc>
        <w:tc>
          <w:tcPr>
            <w:tcW w:w="1277" w:type="dxa"/>
            <w:tcBorders>
              <w:right w:val="single" w:sz="6" w:space="0" w:color="FFFFFF" w:themeColor="background1"/>
            </w:tcBorders>
            <w:shd w:val="clear" w:color="auto" w:fill="auto"/>
          </w:tcPr>
          <w:p w14:paraId="0AFA4A4F"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0.663</w:t>
            </w:r>
          </w:p>
          <w:p w14:paraId="3F017910"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368E35C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1.941</w:t>
            </w:r>
          </w:p>
        </w:tc>
        <w:tc>
          <w:tcPr>
            <w:tcW w:w="991" w:type="dxa"/>
            <w:tcBorders>
              <w:left w:val="single" w:sz="6" w:space="0" w:color="FFFFFF" w:themeColor="background1"/>
            </w:tcBorders>
            <w:shd w:val="clear" w:color="auto" w:fill="auto"/>
          </w:tcPr>
          <w:p w14:paraId="08B1DA67" w14:textId="77777777" w:rsidR="00187677" w:rsidRPr="008B311C" w:rsidRDefault="00187677" w:rsidP="002B0C91">
            <w:pPr>
              <w:jc w:val="center"/>
              <w:rPr>
                <w:rFonts w:ascii="Arial" w:hAnsi="Arial" w:cs="Arial"/>
                <w:b/>
                <w:sz w:val="16"/>
                <w:szCs w:val="16"/>
              </w:rPr>
            </w:pPr>
            <w:r w:rsidRPr="008B311C">
              <w:rPr>
                <w:rFonts w:ascii="Arial" w:hAnsi="Arial" w:cs="Arial"/>
                <w:b/>
                <w:sz w:val="16"/>
                <w:szCs w:val="16"/>
              </w:rPr>
              <w:t>&lt;0.001</w:t>
            </w:r>
          </w:p>
        </w:tc>
        <w:tc>
          <w:tcPr>
            <w:tcW w:w="1278" w:type="dxa"/>
            <w:tcBorders>
              <w:right w:val="single" w:sz="6" w:space="0" w:color="FFFFFF" w:themeColor="background1"/>
            </w:tcBorders>
            <w:shd w:val="clear" w:color="auto" w:fill="auto"/>
          </w:tcPr>
          <w:p w14:paraId="2A14635B"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0.201</w:t>
            </w:r>
          </w:p>
        </w:tc>
        <w:tc>
          <w:tcPr>
            <w:tcW w:w="1275" w:type="dxa"/>
            <w:tcBorders>
              <w:left w:val="single" w:sz="6" w:space="0" w:color="FFFFFF" w:themeColor="background1"/>
              <w:right w:val="single" w:sz="6" w:space="0" w:color="FFFFFF" w:themeColor="background1"/>
            </w:tcBorders>
            <w:shd w:val="clear" w:color="auto" w:fill="auto"/>
          </w:tcPr>
          <w:p w14:paraId="6B346DE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1.223</w:t>
            </w:r>
          </w:p>
        </w:tc>
        <w:tc>
          <w:tcPr>
            <w:tcW w:w="992" w:type="dxa"/>
            <w:tcBorders>
              <w:left w:val="single" w:sz="6" w:space="0" w:color="FFFFFF" w:themeColor="background1"/>
            </w:tcBorders>
            <w:shd w:val="clear" w:color="auto" w:fill="auto"/>
          </w:tcPr>
          <w:p w14:paraId="55691A92"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0.478</w:t>
            </w:r>
          </w:p>
        </w:tc>
        <w:tc>
          <w:tcPr>
            <w:tcW w:w="1276" w:type="dxa"/>
            <w:tcBorders>
              <w:right w:val="single" w:sz="6" w:space="0" w:color="FFFFFF" w:themeColor="background1"/>
            </w:tcBorders>
            <w:shd w:val="clear" w:color="auto" w:fill="auto"/>
          </w:tcPr>
          <w:p w14:paraId="3C2D435B"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0.046</w:t>
            </w:r>
          </w:p>
          <w:p w14:paraId="2F7DDE9D"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0AD1FDBD"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1.047</w:t>
            </w:r>
          </w:p>
        </w:tc>
        <w:tc>
          <w:tcPr>
            <w:tcW w:w="992" w:type="dxa"/>
            <w:tcBorders>
              <w:left w:val="single" w:sz="6" w:space="0" w:color="FFFFFF" w:themeColor="background1"/>
            </w:tcBorders>
            <w:shd w:val="clear" w:color="auto" w:fill="auto"/>
          </w:tcPr>
          <w:p w14:paraId="34FFE0D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0.828</w:t>
            </w:r>
          </w:p>
        </w:tc>
        <w:tc>
          <w:tcPr>
            <w:tcW w:w="1276" w:type="dxa"/>
            <w:tcBorders>
              <w:right w:val="single" w:sz="6" w:space="0" w:color="FFFFFF" w:themeColor="background1"/>
            </w:tcBorders>
            <w:shd w:val="clear" w:color="auto" w:fill="auto"/>
          </w:tcPr>
          <w:p w14:paraId="5760DC16"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0.341</w:t>
            </w:r>
          </w:p>
        </w:tc>
        <w:tc>
          <w:tcPr>
            <w:tcW w:w="1276" w:type="dxa"/>
            <w:tcBorders>
              <w:left w:val="single" w:sz="6" w:space="0" w:color="FFFFFF" w:themeColor="background1"/>
              <w:right w:val="single" w:sz="6" w:space="0" w:color="FFFFFF" w:themeColor="background1"/>
            </w:tcBorders>
            <w:shd w:val="clear" w:color="auto" w:fill="auto"/>
          </w:tcPr>
          <w:p w14:paraId="39E8253D"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1.407</w:t>
            </w:r>
          </w:p>
        </w:tc>
        <w:tc>
          <w:tcPr>
            <w:tcW w:w="992" w:type="dxa"/>
            <w:tcBorders>
              <w:left w:val="single" w:sz="6" w:space="0" w:color="FFFFFF" w:themeColor="background1"/>
            </w:tcBorders>
            <w:shd w:val="clear" w:color="auto" w:fill="auto"/>
          </w:tcPr>
          <w:p w14:paraId="19E9688F"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0.111</w:t>
            </w:r>
          </w:p>
        </w:tc>
      </w:tr>
      <w:tr w:rsidR="00187677" w:rsidRPr="008B311C" w14:paraId="5440BEFE" w14:textId="77777777" w:rsidTr="002B0C91">
        <w:trPr>
          <w:trHeight w:val="253"/>
        </w:trPr>
        <w:tc>
          <w:tcPr>
            <w:tcW w:w="1841" w:type="dxa"/>
            <w:vAlign w:val="center"/>
          </w:tcPr>
          <w:p w14:paraId="4A682147" w14:textId="77777777" w:rsidR="00187677" w:rsidRPr="008B311C" w:rsidRDefault="00187677" w:rsidP="002B0C91">
            <w:pPr>
              <w:rPr>
                <w:rFonts w:ascii="Arial" w:hAnsi="Arial" w:cs="Arial"/>
                <w:b/>
                <w:sz w:val="16"/>
                <w:szCs w:val="16"/>
              </w:rPr>
            </w:pPr>
            <w:r w:rsidRPr="008B311C">
              <w:rPr>
                <w:rFonts w:ascii="Arial" w:hAnsi="Arial" w:cs="Arial"/>
                <w:b/>
                <w:sz w:val="16"/>
                <w:szCs w:val="16"/>
              </w:rPr>
              <w:t>Vitamin D</w:t>
            </w:r>
          </w:p>
        </w:tc>
        <w:tc>
          <w:tcPr>
            <w:tcW w:w="1277" w:type="dxa"/>
            <w:tcBorders>
              <w:right w:val="single" w:sz="6" w:space="0" w:color="FFFFFF" w:themeColor="background1"/>
            </w:tcBorders>
            <w:shd w:val="clear" w:color="auto" w:fill="auto"/>
          </w:tcPr>
          <w:p w14:paraId="17D1752A"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0.003</w:t>
            </w:r>
          </w:p>
          <w:p w14:paraId="598893F7"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67A13E0C"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1.003</w:t>
            </w:r>
          </w:p>
        </w:tc>
        <w:tc>
          <w:tcPr>
            <w:tcW w:w="991" w:type="dxa"/>
            <w:tcBorders>
              <w:left w:val="single" w:sz="6" w:space="0" w:color="FFFFFF" w:themeColor="background1"/>
            </w:tcBorders>
            <w:shd w:val="clear" w:color="auto" w:fill="auto"/>
          </w:tcPr>
          <w:p w14:paraId="2FD651F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0.633</w:t>
            </w:r>
          </w:p>
        </w:tc>
        <w:tc>
          <w:tcPr>
            <w:tcW w:w="1278" w:type="dxa"/>
            <w:tcBorders>
              <w:right w:val="single" w:sz="6" w:space="0" w:color="FFFFFF" w:themeColor="background1"/>
            </w:tcBorders>
            <w:shd w:val="clear" w:color="auto" w:fill="auto"/>
          </w:tcPr>
          <w:p w14:paraId="4C133105"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-0.022</w:t>
            </w:r>
          </w:p>
        </w:tc>
        <w:tc>
          <w:tcPr>
            <w:tcW w:w="1275" w:type="dxa"/>
            <w:tcBorders>
              <w:left w:val="single" w:sz="6" w:space="0" w:color="FFFFFF" w:themeColor="background1"/>
              <w:right w:val="single" w:sz="6" w:space="0" w:color="FFFFFF" w:themeColor="background1"/>
            </w:tcBorders>
            <w:shd w:val="clear" w:color="auto" w:fill="auto"/>
          </w:tcPr>
          <w:p w14:paraId="174C60D0"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0.979</w:t>
            </w:r>
          </w:p>
        </w:tc>
        <w:tc>
          <w:tcPr>
            <w:tcW w:w="992" w:type="dxa"/>
            <w:tcBorders>
              <w:left w:val="single" w:sz="6" w:space="0" w:color="FFFFFF" w:themeColor="background1"/>
            </w:tcBorders>
            <w:shd w:val="clear" w:color="auto" w:fill="auto"/>
          </w:tcPr>
          <w:p w14:paraId="682AD6CA"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0.069</w:t>
            </w:r>
          </w:p>
        </w:tc>
        <w:tc>
          <w:tcPr>
            <w:tcW w:w="1276" w:type="dxa"/>
            <w:tcBorders>
              <w:right w:val="single" w:sz="6" w:space="0" w:color="FFFFFF" w:themeColor="background1"/>
            </w:tcBorders>
            <w:shd w:val="clear" w:color="auto" w:fill="auto"/>
          </w:tcPr>
          <w:p w14:paraId="4E7EEB4F"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-0.012</w:t>
            </w:r>
          </w:p>
          <w:p w14:paraId="76160D10"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4700171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0.988</w:t>
            </w:r>
          </w:p>
        </w:tc>
        <w:tc>
          <w:tcPr>
            <w:tcW w:w="992" w:type="dxa"/>
            <w:tcBorders>
              <w:left w:val="single" w:sz="6" w:space="0" w:color="FFFFFF" w:themeColor="background1"/>
            </w:tcBorders>
            <w:shd w:val="clear" w:color="auto" w:fill="auto"/>
          </w:tcPr>
          <w:p w14:paraId="6981FBE8"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0.106</w:t>
            </w:r>
          </w:p>
        </w:tc>
        <w:tc>
          <w:tcPr>
            <w:tcW w:w="1276" w:type="dxa"/>
            <w:tcBorders>
              <w:right w:val="single" w:sz="6" w:space="0" w:color="FFFFFF" w:themeColor="background1"/>
            </w:tcBorders>
            <w:shd w:val="clear" w:color="auto" w:fill="auto"/>
          </w:tcPr>
          <w:p w14:paraId="3AA9E27A"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-0.007</w:t>
            </w:r>
          </w:p>
        </w:tc>
        <w:tc>
          <w:tcPr>
            <w:tcW w:w="1276" w:type="dxa"/>
            <w:tcBorders>
              <w:left w:val="single" w:sz="6" w:space="0" w:color="FFFFFF" w:themeColor="background1"/>
              <w:right w:val="single" w:sz="6" w:space="0" w:color="FFFFFF" w:themeColor="background1"/>
            </w:tcBorders>
            <w:shd w:val="clear" w:color="auto" w:fill="auto"/>
          </w:tcPr>
          <w:p w14:paraId="22622B14"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0.993</w:t>
            </w:r>
          </w:p>
        </w:tc>
        <w:tc>
          <w:tcPr>
            <w:tcW w:w="992" w:type="dxa"/>
            <w:tcBorders>
              <w:left w:val="single" w:sz="6" w:space="0" w:color="FFFFFF" w:themeColor="background1"/>
            </w:tcBorders>
            <w:shd w:val="clear" w:color="auto" w:fill="auto"/>
          </w:tcPr>
          <w:p w14:paraId="2B1B600E"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0.366</w:t>
            </w:r>
          </w:p>
        </w:tc>
      </w:tr>
      <w:tr w:rsidR="00187677" w:rsidRPr="008B311C" w14:paraId="4EED54EA" w14:textId="77777777" w:rsidTr="002B0C91">
        <w:trPr>
          <w:trHeight w:val="253"/>
        </w:trPr>
        <w:tc>
          <w:tcPr>
            <w:tcW w:w="1841" w:type="dxa"/>
            <w:vAlign w:val="center"/>
          </w:tcPr>
          <w:p w14:paraId="52EC022B" w14:textId="77777777" w:rsidR="00187677" w:rsidRPr="008B311C" w:rsidRDefault="00187677" w:rsidP="002B0C91">
            <w:pPr>
              <w:rPr>
                <w:rFonts w:ascii="Arial" w:hAnsi="Arial" w:cs="Arial"/>
                <w:b/>
                <w:sz w:val="16"/>
                <w:szCs w:val="16"/>
              </w:rPr>
            </w:pPr>
            <w:r w:rsidRPr="008B311C">
              <w:rPr>
                <w:rFonts w:ascii="Arial" w:hAnsi="Arial" w:cs="Arial"/>
                <w:b/>
                <w:sz w:val="16"/>
                <w:szCs w:val="16"/>
              </w:rPr>
              <w:t>Vitamin B12</w:t>
            </w:r>
          </w:p>
        </w:tc>
        <w:tc>
          <w:tcPr>
            <w:tcW w:w="1277" w:type="dxa"/>
            <w:tcBorders>
              <w:right w:val="single" w:sz="6" w:space="0" w:color="FFFFFF" w:themeColor="background1"/>
            </w:tcBorders>
            <w:shd w:val="clear" w:color="auto" w:fill="auto"/>
          </w:tcPr>
          <w:p w14:paraId="431C1B0A"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&lt;0.001</w:t>
            </w:r>
          </w:p>
          <w:p w14:paraId="28462C4C"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271E1509"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1.000</w:t>
            </w:r>
          </w:p>
        </w:tc>
        <w:tc>
          <w:tcPr>
            <w:tcW w:w="991" w:type="dxa"/>
            <w:tcBorders>
              <w:left w:val="single" w:sz="6" w:space="0" w:color="FFFFFF" w:themeColor="background1"/>
            </w:tcBorders>
            <w:shd w:val="clear" w:color="auto" w:fill="auto"/>
          </w:tcPr>
          <w:p w14:paraId="4819C14D"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0.734</w:t>
            </w:r>
          </w:p>
        </w:tc>
        <w:tc>
          <w:tcPr>
            <w:tcW w:w="1278" w:type="dxa"/>
            <w:tcBorders>
              <w:right w:val="single" w:sz="6" w:space="0" w:color="FFFFFF" w:themeColor="background1"/>
            </w:tcBorders>
            <w:shd w:val="clear" w:color="auto" w:fill="auto"/>
          </w:tcPr>
          <w:p w14:paraId="1F19884F"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&lt;0.001</w:t>
            </w:r>
          </w:p>
        </w:tc>
        <w:tc>
          <w:tcPr>
            <w:tcW w:w="1275" w:type="dxa"/>
            <w:tcBorders>
              <w:left w:val="single" w:sz="6" w:space="0" w:color="FFFFFF" w:themeColor="background1"/>
              <w:right w:val="single" w:sz="6" w:space="0" w:color="FFFFFF" w:themeColor="background1"/>
            </w:tcBorders>
            <w:shd w:val="clear" w:color="auto" w:fill="auto"/>
          </w:tcPr>
          <w:p w14:paraId="318EF04E"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1.000</w:t>
            </w:r>
          </w:p>
        </w:tc>
        <w:tc>
          <w:tcPr>
            <w:tcW w:w="992" w:type="dxa"/>
            <w:tcBorders>
              <w:left w:val="single" w:sz="6" w:space="0" w:color="FFFFFF" w:themeColor="background1"/>
            </w:tcBorders>
            <w:shd w:val="clear" w:color="auto" w:fill="auto"/>
          </w:tcPr>
          <w:p w14:paraId="53A59D40"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0.884</w:t>
            </w:r>
          </w:p>
        </w:tc>
        <w:tc>
          <w:tcPr>
            <w:tcW w:w="1276" w:type="dxa"/>
            <w:tcBorders>
              <w:right w:val="single" w:sz="6" w:space="0" w:color="FFFFFF" w:themeColor="background1"/>
            </w:tcBorders>
            <w:shd w:val="clear" w:color="auto" w:fill="auto"/>
          </w:tcPr>
          <w:p w14:paraId="138E93F1"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&lt;0.001</w:t>
            </w:r>
          </w:p>
          <w:p w14:paraId="5FCE4969"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07E3183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1.000</w:t>
            </w:r>
          </w:p>
        </w:tc>
        <w:tc>
          <w:tcPr>
            <w:tcW w:w="992" w:type="dxa"/>
            <w:tcBorders>
              <w:left w:val="single" w:sz="6" w:space="0" w:color="FFFFFF" w:themeColor="background1"/>
            </w:tcBorders>
            <w:shd w:val="clear" w:color="auto" w:fill="auto"/>
          </w:tcPr>
          <w:p w14:paraId="2E24AC01"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0.205</w:t>
            </w:r>
          </w:p>
        </w:tc>
        <w:tc>
          <w:tcPr>
            <w:tcW w:w="1276" w:type="dxa"/>
            <w:tcBorders>
              <w:right w:val="single" w:sz="6" w:space="0" w:color="FFFFFF" w:themeColor="background1"/>
            </w:tcBorders>
            <w:shd w:val="clear" w:color="auto" w:fill="auto"/>
          </w:tcPr>
          <w:p w14:paraId="4FE77AC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&lt;0.001</w:t>
            </w:r>
          </w:p>
        </w:tc>
        <w:tc>
          <w:tcPr>
            <w:tcW w:w="1276" w:type="dxa"/>
            <w:tcBorders>
              <w:left w:val="single" w:sz="6" w:space="0" w:color="FFFFFF" w:themeColor="background1"/>
              <w:right w:val="single" w:sz="6" w:space="0" w:color="FFFFFF" w:themeColor="background1"/>
            </w:tcBorders>
            <w:shd w:val="clear" w:color="auto" w:fill="auto"/>
          </w:tcPr>
          <w:p w14:paraId="7E5E0B04"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1.000</w:t>
            </w:r>
          </w:p>
        </w:tc>
        <w:tc>
          <w:tcPr>
            <w:tcW w:w="992" w:type="dxa"/>
            <w:tcBorders>
              <w:left w:val="single" w:sz="6" w:space="0" w:color="FFFFFF" w:themeColor="background1"/>
            </w:tcBorders>
            <w:shd w:val="clear" w:color="auto" w:fill="auto"/>
          </w:tcPr>
          <w:p w14:paraId="78D999C7"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0.279</w:t>
            </w:r>
          </w:p>
        </w:tc>
      </w:tr>
      <w:tr w:rsidR="00187677" w:rsidRPr="008B311C" w14:paraId="44948775" w14:textId="77777777" w:rsidTr="002B0C91">
        <w:trPr>
          <w:trHeight w:val="253"/>
        </w:trPr>
        <w:tc>
          <w:tcPr>
            <w:tcW w:w="1841" w:type="dxa"/>
            <w:vAlign w:val="center"/>
          </w:tcPr>
          <w:p w14:paraId="01DF64F6" w14:textId="77777777" w:rsidR="00187677" w:rsidRPr="008B311C" w:rsidRDefault="00187677" w:rsidP="002B0C91">
            <w:pPr>
              <w:rPr>
                <w:rFonts w:ascii="Arial" w:hAnsi="Arial" w:cs="Arial"/>
                <w:b/>
                <w:sz w:val="16"/>
                <w:szCs w:val="16"/>
              </w:rPr>
            </w:pPr>
            <w:r w:rsidRPr="008B311C">
              <w:rPr>
                <w:rFonts w:ascii="Arial" w:hAnsi="Arial" w:cs="Arial"/>
                <w:b/>
                <w:sz w:val="16"/>
                <w:szCs w:val="16"/>
              </w:rPr>
              <w:t>Folate</w:t>
            </w:r>
          </w:p>
        </w:tc>
        <w:tc>
          <w:tcPr>
            <w:tcW w:w="1277" w:type="dxa"/>
            <w:tcBorders>
              <w:right w:val="single" w:sz="6" w:space="0" w:color="FFFFFF" w:themeColor="background1"/>
            </w:tcBorders>
            <w:shd w:val="clear" w:color="auto" w:fill="auto"/>
          </w:tcPr>
          <w:p w14:paraId="7230DD92"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-0.009</w:t>
            </w:r>
          </w:p>
          <w:p w14:paraId="57B130B0"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43A5AA14"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0.991</w:t>
            </w:r>
          </w:p>
        </w:tc>
        <w:tc>
          <w:tcPr>
            <w:tcW w:w="991" w:type="dxa"/>
            <w:tcBorders>
              <w:left w:val="single" w:sz="6" w:space="0" w:color="FFFFFF" w:themeColor="background1"/>
            </w:tcBorders>
            <w:shd w:val="clear" w:color="auto" w:fill="auto"/>
          </w:tcPr>
          <w:p w14:paraId="457A887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0.603</w:t>
            </w:r>
          </w:p>
        </w:tc>
        <w:tc>
          <w:tcPr>
            <w:tcW w:w="1278" w:type="dxa"/>
            <w:tcBorders>
              <w:right w:val="single" w:sz="6" w:space="0" w:color="FFFFFF" w:themeColor="background1"/>
            </w:tcBorders>
            <w:shd w:val="clear" w:color="auto" w:fill="auto"/>
          </w:tcPr>
          <w:p w14:paraId="08D16CB0"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0.004</w:t>
            </w:r>
          </w:p>
        </w:tc>
        <w:tc>
          <w:tcPr>
            <w:tcW w:w="1275" w:type="dxa"/>
            <w:tcBorders>
              <w:left w:val="single" w:sz="6" w:space="0" w:color="FFFFFF" w:themeColor="background1"/>
              <w:right w:val="single" w:sz="6" w:space="0" w:color="FFFFFF" w:themeColor="background1"/>
            </w:tcBorders>
            <w:shd w:val="clear" w:color="auto" w:fill="auto"/>
          </w:tcPr>
          <w:p w14:paraId="6543454C"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1.004</w:t>
            </w:r>
          </w:p>
        </w:tc>
        <w:tc>
          <w:tcPr>
            <w:tcW w:w="992" w:type="dxa"/>
            <w:tcBorders>
              <w:left w:val="single" w:sz="6" w:space="0" w:color="FFFFFF" w:themeColor="background1"/>
            </w:tcBorders>
            <w:shd w:val="clear" w:color="auto" w:fill="auto"/>
          </w:tcPr>
          <w:p w14:paraId="60C658A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0.882</w:t>
            </w:r>
          </w:p>
        </w:tc>
        <w:tc>
          <w:tcPr>
            <w:tcW w:w="1276" w:type="dxa"/>
            <w:tcBorders>
              <w:right w:val="single" w:sz="6" w:space="0" w:color="FFFFFF" w:themeColor="background1"/>
            </w:tcBorders>
            <w:shd w:val="clear" w:color="auto" w:fill="auto"/>
          </w:tcPr>
          <w:p w14:paraId="344351DD"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-0.007</w:t>
            </w:r>
          </w:p>
          <w:p w14:paraId="15A84D4D" w14:textId="77777777" w:rsidR="00187677" w:rsidRPr="008B311C" w:rsidRDefault="00187677" w:rsidP="002B0C91">
            <w:pPr>
              <w:jc w:val="center"/>
              <w:rPr>
                <w:rFonts w:ascii="Arial" w:hAnsi="Arial" w:cs="Arial"/>
                <w:sz w:val="16"/>
                <w:szCs w:val="16"/>
              </w:rPr>
            </w:pPr>
          </w:p>
        </w:tc>
        <w:tc>
          <w:tcPr>
            <w:tcW w:w="1276" w:type="dxa"/>
            <w:tcBorders>
              <w:left w:val="single" w:sz="6" w:space="0" w:color="FFFFFF" w:themeColor="background1"/>
              <w:right w:val="single" w:sz="6" w:space="0" w:color="FFFFFF" w:themeColor="background1"/>
            </w:tcBorders>
            <w:shd w:val="clear" w:color="auto" w:fill="auto"/>
          </w:tcPr>
          <w:p w14:paraId="74AA376B"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0.993</w:t>
            </w:r>
          </w:p>
        </w:tc>
        <w:tc>
          <w:tcPr>
            <w:tcW w:w="992" w:type="dxa"/>
            <w:tcBorders>
              <w:left w:val="single" w:sz="6" w:space="0" w:color="FFFFFF" w:themeColor="background1"/>
            </w:tcBorders>
            <w:shd w:val="clear" w:color="auto" w:fill="auto"/>
          </w:tcPr>
          <w:p w14:paraId="411D09C5"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0.739</w:t>
            </w:r>
          </w:p>
        </w:tc>
        <w:tc>
          <w:tcPr>
            <w:tcW w:w="1276" w:type="dxa"/>
            <w:tcBorders>
              <w:right w:val="single" w:sz="6" w:space="0" w:color="FFFFFF" w:themeColor="background1"/>
            </w:tcBorders>
            <w:shd w:val="clear" w:color="auto" w:fill="auto"/>
          </w:tcPr>
          <w:p w14:paraId="120C94D3"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0.006</w:t>
            </w:r>
          </w:p>
        </w:tc>
        <w:tc>
          <w:tcPr>
            <w:tcW w:w="1276" w:type="dxa"/>
            <w:tcBorders>
              <w:left w:val="single" w:sz="6" w:space="0" w:color="FFFFFF" w:themeColor="background1"/>
              <w:right w:val="single" w:sz="6" w:space="0" w:color="FFFFFF" w:themeColor="background1"/>
            </w:tcBorders>
            <w:shd w:val="clear" w:color="auto" w:fill="auto"/>
          </w:tcPr>
          <w:p w14:paraId="07B6165B"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1.006</w:t>
            </w:r>
          </w:p>
        </w:tc>
        <w:tc>
          <w:tcPr>
            <w:tcW w:w="992" w:type="dxa"/>
            <w:tcBorders>
              <w:left w:val="single" w:sz="6" w:space="0" w:color="FFFFFF" w:themeColor="background1"/>
            </w:tcBorders>
            <w:shd w:val="clear" w:color="auto" w:fill="auto"/>
          </w:tcPr>
          <w:p w14:paraId="6F846145" w14:textId="77777777" w:rsidR="00187677" w:rsidRPr="008B311C" w:rsidRDefault="00187677" w:rsidP="002B0C91">
            <w:pPr>
              <w:jc w:val="center"/>
              <w:rPr>
                <w:rFonts w:ascii="Arial" w:hAnsi="Arial" w:cs="Arial"/>
                <w:sz w:val="16"/>
                <w:szCs w:val="16"/>
              </w:rPr>
            </w:pPr>
            <w:r w:rsidRPr="008B311C">
              <w:rPr>
                <w:rFonts w:ascii="Arial" w:hAnsi="Arial" w:cs="Arial"/>
                <w:sz w:val="16"/>
                <w:szCs w:val="16"/>
              </w:rPr>
              <w:t>0.759</w:t>
            </w:r>
          </w:p>
        </w:tc>
      </w:tr>
      <w:tr w:rsidR="00187677" w:rsidRPr="008B311C" w14:paraId="66615129" w14:textId="77777777" w:rsidTr="002B0C91">
        <w:trPr>
          <w:trHeight w:val="253"/>
        </w:trPr>
        <w:tc>
          <w:tcPr>
            <w:tcW w:w="1841" w:type="dxa"/>
            <w:shd w:val="clear" w:color="auto" w:fill="auto"/>
          </w:tcPr>
          <w:p w14:paraId="111D62DB"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MMSE</w:t>
            </w:r>
          </w:p>
        </w:tc>
        <w:tc>
          <w:tcPr>
            <w:tcW w:w="1277" w:type="dxa"/>
            <w:tcBorders>
              <w:right w:val="single" w:sz="6" w:space="0" w:color="FFFFFF" w:themeColor="background1"/>
            </w:tcBorders>
            <w:shd w:val="clear" w:color="auto" w:fill="auto"/>
          </w:tcPr>
          <w:p w14:paraId="2F662CBF"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-0.008</w:t>
            </w:r>
          </w:p>
          <w:p w14:paraId="7DCF7645"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1AF941EF"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0.992</w:t>
            </w:r>
          </w:p>
        </w:tc>
        <w:tc>
          <w:tcPr>
            <w:tcW w:w="991" w:type="dxa"/>
            <w:tcBorders>
              <w:left w:val="single" w:sz="6" w:space="0" w:color="FFFFFF" w:themeColor="background1"/>
            </w:tcBorders>
            <w:shd w:val="clear" w:color="auto" w:fill="auto"/>
          </w:tcPr>
          <w:p w14:paraId="676333E1"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0.660</w:t>
            </w:r>
          </w:p>
        </w:tc>
        <w:tc>
          <w:tcPr>
            <w:tcW w:w="1278" w:type="dxa"/>
            <w:tcBorders>
              <w:right w:val="single" w:sz="6" w:space="0" w:color="FFFFFF" w:themeColor="background1"/>
            </w:tcBorders>
            <w:shd w:val="clear" w:color="auto" w:fill="auto"/>
          </w:tcPr>
          <w:p w14:paraId="63CA389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-0.076</w:t>
            </w:r>
          </w:p>
        </w:tc>
        <w:tc>
          <w:tcPr>
            <w:tcW w:w="1275" w:type="dxa"/>
            <w:tcBorders>
              <w:left w:val="single" w:sz="6" w:space="0" w:color="FFFFFF" w:themeColor="background1"/>
              <w:right w:val="single" w:sz="6" w:space="0" w:color="FFFFFF" w:themeColor="background1"/>
            </w:tcBorders>
            <w:shd w:val="clear" w:color="auto" w:fill="auto"/>
          </w:tcPr>
          <w:p w14:paraId="5FE9203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0.926</w:t>
            </w:r>
          </w:p>
        </w:tc>
        <w:tc>
          <w:tcPr>
            <w:tcW w:w="992" w:type="dxa"/>
            <w:tcBorders>
              <w:left w:val="single" w:sz="6" w:space="0" w:color="FFFFFF" w:themeColor="background1"/>
            </w:tcBorders>
            <w:shd w:val="clear" w:color="auto" w:fill="auto"/>
          </w:tcPr>
          <w:p w14:paraId="0D85BC65"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0.002</w:t>
            </w:r>
          </w:p>
        </w:tc>
        <w:tc>
          <w:tcPr>
            <w:tcW w:w="1276" w:type="dxa"/>
            <w:tcBorders>
              <w:right w:val="single" w:sz="6" w:space="0" w:color="FFFFFF" w:themeColor="background1"/>
            </w:tcBorders>
            <w:shd w:val="clear" w:color="auto" w:fill="auto"/>
          </w:tcPr>
          <w:p w14:paraId="5E991D1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-0.067</w:t>
            </w:r>
          </w:p>
          <w:p w14:paraId="32FD2617"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shd w:val="clear" w:color="auto" w:fill="auto"/>
          </w:tcPr>
          <w:p w14:paraId="34AAFF1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0.935</w:t>
            </w:r>
          </w:p>
        </w:tc>
        <w:tc>
          <w:tcPr>
            <w:tcW w:w="992" w:type="dxa"/>
            <w:tcBorders>
              <w:left w:val="single" w:sz="6" w:space="0" w:color="FFFFFF" w:themeColor="background1"/>
            </w:tcBorders>
            <w:shd w:val="clear" w:color="auto" w:fill="auto"/>
          </w:tcPr>
          <w:p w14:paraId="1F0830A7"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c>
          <w:tcPr>
            <w:tcW w:w="1276" w:type="dxa"/>
            <w:tcBorders>
              <w:right w:val="single" w:sz="6" w:space="0" w:color="FFFFFF" w:themeColor="background1"/>
            </w:tcBorders>
            <w:shd w:val="clear" w:color="auto" w:fill="auto"/>
          </w:tcPr>
          <w:p w14:paraId="183F4BB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-0.057</w:t>
            </w:r>
          </w:p>
        </w:tc>
        <w:tc>
          <w:tcPr>
            <w:tcW w:w="1276" w:type="dxa"/>
            <w:tcBorders>
              <w:left w:val="single" w:sz="6" w:space="0" w:color="FFFFFF" w:themeColor="background1"/>
              <w:right w:val="single" w:sz="6" w:space="0" w:color="FFFFFF" w:themeColor="background1"/>
            </w:tcBorders>
            <w:shd w:val="clear" w:color="auto" w:fill="auto"/>
          </w:tcPr>
          <w:p w14:paraId="4F48652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0.945</w:t>
            </w:r>
          </w:p>
        </w:tc>
        <w:tc>
          <w:tcPr>
            <w:tcW w:w="992" w:type="dxa"/>
            <w:tcBorders>
              <w:left w:val="single" w:sz="6" w:space="0" w:color="FFFFFF" w:themeColor="background1"/>
            </w:tcBorders>
            <w:shd w:val="clear" w:color="auto" w:fill="auto"/>
          </w:tcPr>
          <w:p w14:paraId="275E43F2"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0.005</w:t>
            </w:r>
          </w:p>
        </w:tc>
      </w:tr>
      <w:tr w:rsidR="00187677" w:rsidRPr="008B311C" w14:paraId="08A0A7EC" w14:textId="77777777" w:rsidTr="002B0C91">
        <w:trPr>
          <w:trHeight w:val="253"/>
        </w:trPr>
        <w:tc>
          <w:tcPr>
            <w:tcW w:w="1841" w:type="dxa"/>
          </w:tcPr>
          <w:p w14:paraId="3E737F37"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GDS ≥5</w:t>
            </w:r>
          </w:p>
        </w:tc>
        <w:tc>
          <w:tcPr>
            <w:tcW w:w="1277" w:type="dxa"/>
            <w:tcBorders>
              <w:right w:val="single" w:sz="6" w:space="0" w:color="FFFFFF" w:themeColor="background1"/>
            </w:tcBorders>
          </w:tcPr>
          <w:p w14:paraId="6FE43B5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0.926</w:t>
            </w:r>
          </w:p>
          <w:p w14:paraId="21C57B0F"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300EAB11"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2.524</w:t>
            </w:r>
          </w:p>
        </w:tc>
        <w:tc>
          <w:tcPr>
            <w:tcW w:w="991" w:type="dxa"/>
            <w:tcBorders>
              <w:left w:val="single" w:sz="6" w:space="0" w:color="FFFFFF" w:themeColor="background1"/>
            </w:tcBorders>
          </w:tcPr>
          <w:p w14:paraId="3DC582FE"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8" w:type="dxa"/>
            <w:tcBorders>
              <w:right w:val="single" w:sz="6" w:space="0" w:color="FFFFFF" w:themeColor="background1"/>
            </w:tcBorders>
          </w:tcPr>
          <w:p w14:paraId="5D3F1F9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0.698</w:t>
            </w:r>
          </w:p>
        </w:tc>
        <w:tc>
          <w:tcPr>
            <w:tcW w:w="1275" w:type="dxa"/>
            <w:tcBorders>
              <w:left w:val="single" w:sz="6" w:space="0" w:color="FFFFFF" w:themeColor="background1"/>
              <w:right w:val="single" w:sz="6" w:space="0" w:color="FFFFFF" w:themeColor="background1"/>
            </w:tcBorders>
          </w:tcPr>
          <w:p w14:paraId="59ACC5F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2.010</w:t>
            </w:r>
          </w:p>
        </w:tc>
        <w:tc>
          <w:tcPr>
            <w:tcW w:w="992" w:type="dxa"/>
            <w:tcBorders>
              <w:left w:val="single" w:sz="6" w:space="0" w:color="FFFFFF" w:themeColor="background1"/>
            </w:tcBorders>
          </w:tcPr>
          <w:p w14:paraId="54337F34"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0.049</w:t>
            </w:r>
          </w:p>
        </w:tc>
        <w:tc>
          <w:tcPr>
            <w:tcW w:w="1276" w:type="dxa"/>
            <w:tcBorders>
              <w:right w:val="single" w:sz="6" w:space="0" w:color="FFFFFF" w:themeColor="background1"/>
            </w:tcBorders>
          </w:tcPr>
          <w:p w14:paraId="56A3CC0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1.097</w:t>
            </w:r>
          </w:p>
          <w:p w14:paraId="64D5FB3B"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0014017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2.994</w:t>
            </w:r>
          </w:p>
        </w:tc>
        <w:tc>
          <w:tcPr>
            <w:tcW w:w="992" w:type="dxa"/>
            <w:tcBorders>
              <w:left w:val="single" w:sz="6" w:space="0" w:color="FFFFFF" w:themeColor="background1"/>
            </w:tcBorders>
          </w:tcPr>
          <w:p w14:paraId="1A8915D0"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tcPr>
          <w:p w14:paraId="18168F6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1.040</w:t>
            </w:r>
          </w:p>
        </w:tc>
        <w:tc>
          <w:tcPr>
            <w:tcW w:w="1276" w:type="dxa"/>
            <w:tcBorders>
              <w:left w:val="single" w:sz="6" w:space="0" w:color="FFFFFF" w:themeColor="background1"/>
              <w:right w:val="single" w:sz="6" w:space="0" w:color="FFFFFF" w:themeColor="background1"/>
            </w:tcBorders>
          </w:tcPr>
          <w:p w14:paraId="3488247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2.828</w:t>
            </w:r>
          </w:p>
        </w:tc>
        <w:tc>
          <w:tcPr>
            <w:tcW w:w="992" w:type="dxa"/>
            <w:tcBorders>
              <w:left w:val="single" w:sz="6" w:space="0" w:color="FFFFFF" w:themeColor="background1"/>
            </w:tcBorders>
          </w:tcPr>
          <w:p w14:paraId="65EB22BD"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693FA7EA" w14:textId="77777777" w:rsidTr="002B0C91">
        <w:trPr>
          <w:trHeight w:val="253"/>
        </w:trPr>
        <w:tc>
          <w:tcPr>
            <w:tcW w:w="1841" w:type="dxa"/>
          </w:tcPr>
          <w:p w14:paraId="1656B47F"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BADL</w:t>
            </w:r>
          </w:p>
        </w:tc>
        <w:tc>
          <w:tcPr>
            <w:tcW w:w="1277" w:type="dxa"/>
            <w:tcBorders>
              <w:right w:val="single" w:sz="6" w:space="0" w:color="FFFFFF" w:themeColor="background1"/>
            </w:tcBorders>
          </w:tcPr>
          <w:p w14:paraId="1757229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-0.039</w:t>
            </w:r>
          </w:p>
          <w:p w14:paraId="04D7968A"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5DB6D3C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0.961</w:t>
            </w:r>
          </w:p>
        </w:tc>
        <w:tc>
          <w:tcPr>
            <w:tcW w:w="991" w:type="dxa"/>
            <w:tcBorders>
              <w:left w:val="single" w:sz="6" w:space="0" w:color="FFFFFF" w:themeColor="background1"/>
            </w:tcBorders>
          </w:tcPr>
          <w:p w14:paraId="49E709C7"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8" w:type="dxa"/>
            <w:tcBorders>
              <w:right w:val="single" w:sz="6" w:space="0" w:color="FFFFFF" w:themeColor="background1"/>
            </w:tcBorders>
          </w:tcPr>
          <w:p w14:paraId="3F6EEFA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-0.117</w:t>
            </w:r>
          </w:p>
        </w:tc>
        <w:tc>
          <w:tcPr>
            <w:tcW w:w="1275" w:type="dxa"/>
            <w:tcBorders>
              <w:left w:val="single" w:sz="6" w:space="0" w:color="FFFFFF" w:themeColor="background1"/>
              <w:right w:val="single" w:sz="6" w:space="0" w:color="FFFFFF" w:themeColor="background1"/>
            </w:tcBorders>
          </w:tcPr>
          <w:p w14:paraId="1DEBF99D"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0.890</w:t>
            </w:r>
          </w:p>
        </w:tc>
        <w:tc>
          <w:tcPr>
            <w:tcW w:w="992" w:type="dxa"/>
            <w:tcBorders>
              <w:left w:val="single" w:sz="6" w:space="0" w:color="FFFFFF" w:themeColor="background1"/>
            </w:tcBorders>
          </w:tcPr>
          <w:p w14:paraId="00D3B4C3"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tcPr>
          <w:p w14:paraId="54CA3D3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-0.118</w:t>
            </w:r>
          </w:p>
          <w:p w14:paraId="6D9B0613"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6F44FAD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0.888</w:t>
            </w:r>
          </w:p>
        </w:tc>
        <w:tc>
          <w:tcPr>
            <w:tcW w:w="992" w:type="dxa"/>
            <w:tcBorders>
              <w:left w:val="single" w:sz="6" w:space="0" w:color="FFFFFF" w:themeColor="background1"/>
            </w:tcBorders>
          </w:tcPr>
          <w:p w14:paraId="4456FDC4"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tcPr>
          <w:p w14:paraId="585219F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-0.128</w:t>
            </w:r>
          </w:p>
        </w:tc>
        <w:tc>
          <w:tcPr>
            <w:tcW w:w="1276" w:type="dxa"/>
            <w:tcBorders>
              <w:left w:val="single" w:sz="6" w:space="0" w:color="FFFFFF" w:themeColor="background1"/>
              <w:right w:val="single" w:sz="6" w:space="0" w:color="FFFFFF" w:themeColor="background1"/>
            </w:tcBorders>
          </w:tcPr>
          <w:p w14:paraId="60BA5FA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0.879</w:t>
            </w:r>
          </w:p>
        </w:tc>
        <w:tc>
          <w:tcPr>
            <w:tcW w:w="992" w:type="dxa"/>
            <w:tcBorders>
              <w:left w:val="single" w:sz="6" w:space="0" w:color="FFFFFF" w:themeColor="background1"/>
            </w:tcBorders>
          </w:tcPr>
          <w:p w14:paraId="68F3BA51"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410959BD" w14:textId="77777777" w:rsidTr="002B0C91">
        <w:trPr>
          <w:trHeight w:val="253"/>
        </w:trPr>
        <w:tc>
          <w:tcPr>
            <w:tcW w:w="1841" w:type="dxa"/>
          </w:tcPr>
          <w:p w14:paraId="4A19AAD4"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IADL</w:t>
            </w:r>
          </w:p>
        </w:tc>
        <w:tc>
          <w:tcPr>
            <w:tcW w:w="1277" w:type="dxa"/>
            <w:tcBorders>
              <w:right w:val="single" w:sz="6" w:space="0" w:color="FFFFFF" w:themeColor="background1"/>
            </w:tcBorders>
          </w:tcPr>
          <w:p w14:paraId="55BB534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-0.039</w:t>
            </w:r>
          </w:p>
          <w:p w14:paraId="0E773AA4"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0F11699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0.962</w:t>
            </w:r>
          </w:p>
        </w:tc>
        <w:tc>
          <w:tcPr>
            <w:tcW w:w="991" w:type="dxa"/>
            <w:tcBorders>
              <w:left w:val="single" w:sz="6" w:space="0" w:color="FFFFFF" w:themeColor="background1"/>
            </w:tcBorders>
          </w:tcPr>
          <w:p w14:paraId="2A0D832E"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0.028</w:t>
            </w:r>
          </w:p>
        </w:tc>
        <w:tc>
          <w:tcPr>
            <w:tcW w:w="1278" w:type="dxa"/>
            <w:tcBorders>
              <w:right w:val="single" w:sz="6" w:space="0" w:color="FFFFFF" w:themeColor="background1"/>
            </w:tcBorders>
          </w:tcPr>
          <w:p w14:paraId="636E38B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-0.168</w:t>
            </w:r>
          </w:p>
        </w:tc>
        <w:tc>
          <w:tcPr>
            <w:tcW w:w="1275" w:type="dxa"/>
            <w:tcBorders>
              <w:left w:val="single" w:sz="6" w:space="0" w:color="FFFFFF" w:themeColor="background1"/>
              <w:right w:val="single" w:sz="6" w:space="0" w:color="FFFFFF" w:themeColor="background1"/>
            </w:tcBorders>
          </w:tcPr>
          <w:p w14:paraId="168225B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0.845</w:t>
            </w:r>
          </w:p>
        </w:tc>
        <w:tc>
          <w:tcPr>
            <w:tcW w:w="992" w:type="dxa"/>
            <w:tcBorders>
              <w:left w:val="single" w:sz="6" w:space="0" w:color="FFFFFF" w:themeColor="background1"/>
            </w:tcBorders>
          </w:tcPr>
          <w:p w14:paraId="19EC91AE"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tcPr>
          <w:p w14:paraId="239D714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-0.157</w:t>
            </w:r>
          </w:p>
          <w:p w14:paraId="6A0FFCBF"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0260159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0.854</w:t>
            </w:r>
          </w:p>
        </w:tc>
        <w:tc>
          <w:tcPr>
            <w:tcW w:w="992" w:type="dxa"/>
            <w:tcBorders>
              <w:left w:val="single" w:sz="6" w:space="0" w:color="FFFFFF" w:themeColor="background1"/>
            </w:tcBorders>
          </w:tcPr>
          <w:p w14:paraId="3B27F78D"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tcPr>
          <w:p w14:paraId="0750A59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-0.160</w:t>
            </w:r>
          </w:p>
        </w:tc>
        <w:tc>
          <w:tcPr>
            <w:tcW w:w="1276" w:type="dxa"/>
            <w:tcBorders>
              <w:left w:val="single" w:sz="6" w:space="0" w:color="FFFFFF" w:themeColor="background1"/>
              <w:right w:val="single" w:sz="6" w:space="0" w:color="FFFFFF" w:themeColor="background1"/>
            </w:tcBorders>
          </w:tcPr>
          <w:p w14:paraId="3BED08F1"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0.852</w:t>
            </w:r>
          </w:p>
        </w:tc>
        <w:tc>
          <w:tcPr>
            <w:tcW w:w="992" w:type="dxa"/>
            <w:tcBorders>
              <w:left w:val="single" w:sz="6" w:space="0" w:color="FFFFFF" w:themeColor="background1"/>
            </w:tcBorders>
          </w:tcPr>
          <w:p w14:paraId="0F7CC7CA"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6C80DE6D" w14:textId="77777777" w:rsidTr="002B0C91">
        <w:trPr>
          <w:trHeight w:val="253"/>
        </w:trPr>
        <w:tc>
          <w:tcPr>
            <w:tcW w:w="1841" w:type="dxa"/>
          </w:tcPr>
          <w:p w14:paraId="1EC47AD5"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BMI</w:t>
            </w:r>
          </w:p>
        </w:tc>
        <w:tc>
          <w:tcPr>
            <w:tcW w:w="1277" w:type="dxa"/>
            <w:tcBorders>
              <w:right w:val="single" w:sz="6" w:space="0" w:color="FFFFFF" w:themeColor="background1"/>
            </w:tcBorders>
          </w:tcPr>
          <w:p w14:paraId="72A908A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0.017</w:t>
            </w:r>
          </w:p>
          <w:p w14:paraId="59BEEA1B"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0C27E10F"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1.017</w:t>
            </w:r>
          </w:p>
        </w:tc>
        <w:tc>
          <w:tcPr>
            <w:tcW w:w="991" w:type="dxa"/>
            <w:tcBorders>
              <w:left w:val="single" w:sz="6" w:space="0" w:color="FFFFFF" w:themeColor="background1"/>
            </w:tcBorders>
          </w:tcPr>
          <w:p w14:paraId="70F1A85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0.287</w:t>
            </w:r>
          </w:p>
        </w:tc>
        <w:tc>
          <w:tcPr>
            <w:tcW w:w="1278" w:type="dxa"/>
            <w:tcBorders>
              <w:right w:val="single" w:sz="6" w:space="0" w:color="FFFFFF" w:themeColor="background1"/>
            </w:tcBorders>
          </w:tcPr>
          <w:p w14:paraId="01D495D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0.020</w:t>
            </w:r>
          </w:p>
        </w:tc>
        <w:tc>
          <w:tcPr>
            <w:tcW w:w="1275" w:type="dxa"/>
            <w:tcBorders>
              <w:left w:val="single" w:sz="6" w:space="0" w:color="FFFFFF" w:themeColor="background1"/>
              <w:right w:val="single" w:sz="6" w:space="0" w:color="FFFFFF" w:themeColor="background1"/>
            </w:tcBorders>
          </w:tcPr>
          <w:p w14:paraId="5384E01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1.020</w:t>
            </w:r>
          </w:p>
        </w:tc>
        <w:tc>
          <w:tcPr>
            <w:tcW w:w="992" w:type="dxa"/>
            <w:tcBorders>
              <w:left w:val="single" w:sz="6" w:space="0" w:color="FFFFFF" w:themeColor="background1"/>
            </w:tcBorders>
          </w:tcPr>
          <w:p w14:paraId="2B950EA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0.414</w:t>
            </w:r>
          </w:p>
        </w:tc>
        <w:tc>
          <w:tcPr>
            <w:tcW w:w="1276" w:type="dxa"/>
            <w:tcBorders>
              <w:right w:val="single" w:sz="6" w:space="0" w:color="FFFFFF" w:themeColor="background1"/>
            </w:tcBorders>
          </w:tcPr>
          <w:p w14:paraId="105ED2D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0.085</w:t>
            </w:r>
          </w:p>
          <w:p w14:paraId="20CA425E"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0A60CA9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1.067</w:t>
            </w:r>
          </w:p>
        </w:tc>
        <w:tc>
          <w:tcPr>
            <w:tcW w:w="992" w:type="dxa"/>
            <w:tcBorders>
              <w:left w:val="single" w:sz="6" w:space="0" w:color="FFFFFF" w:themeColor="background1"/>
            </w:tcBorders>
          </w:tcPr>
          <w:p w14:paraId="3E48F6C5"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tcPr>
          <w:p w14:paraId="102FBD5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0.053</w:t>
            </w:r>
          </w:p>
        </w:tc>
        <w:tc>
          <w:tcPr>
            <w:tcW w:w="1276" w:type="dxa"/>
            <w:tcBorders>
              <w:left w:val="single" w:sz="6" w:space="0" w:color="FFFFFF" w:themeColor="background1"/>
              <w:right w:val="single" w:sz="6" w:space="0" w:color="FFFFFF" w:themeColor="background1"/>
            </w:tcBorders>
          </w:tcPr>
          <w:p w14:paraId="127F309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1.055</w:t>
            </w:r>
          </w:p>
        </w:tc>
        <w:tc>
          <w:tcPr>
            <w:tcW w:w="992" w:type="dxa"/>
            <w:tcBorders>
              <w:left w:val="single" w:sz="6" w:space="0" w:color="FFFFFF" w:themeColor="background1"/>
            </w:tcBorders>
          </w:tcPr>
          <w:p w14:paraId="3477A1A4"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0.004</w:t>
            </w:r>
          </w:p>
        </w:tc>
      </w:tr>
      <w:tr w:rsidR="00187677" w:rsidRPr="008B311C" w14:paraId="0172EACD" w14:textId="77777777" w:rsidTr="002B0C91">
        <w:trPr>
          <w:trHeight w:val="253"/>
        </w:trPr>
        <w:tc>
          <w:tcPr>
            <w:tcW w:w="1841" w:type="dxa"/>
          </w:tcPr>
          <w:p w14:paraId="26E1F13D"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Malnutrition</w:t>
            </w:r>
          </w:p>
        </w:tc>
        <w:tc>
          <w:tcPr>
            <w:tcW w:w="1277" w:type="dxa"/>
            <w:tcBorders>
              <w:right w:val="single" w:sz="6" w:space="0" w:color="FFFFFF" w:themeColor="background1"/>
            </w:tcBorders>
          </w:tcPr>
          <w:p w14:paraId="44F06B8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0.939</w:t>
            </w:r>
          </w:p>
          <w:p w14:paraId="565A06FD"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56CAF5C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2.557</w:t>
            </w:r>
          </w:p>
        </w:tc>
        <w:tc>
          <w:tcPr>
            <w:tcW w:w="991" w:type="dxa"/>
            <w:tcBorders>
              <w:left w:val="single" w:sz="6" w:space="0" w:color="FFFFFF" w:themeColor="background1"/>
            </w:tcBorders>
          </w:tcPr>
          <w:p w14:paraId="43445D7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0.119</w:t>
            </w:r>
          </w:p>
        </w:tc>
        <w:tc>
          <w:tcPr>
            <w:tcW w:w="1278" w:type="dxa"/>
            <w:tcBorders>
              <w:right w:val="single" w:sz="6" w:space="0" w:color="FFFFFF" w:themeColor="background1"/>
            </w:tcBorders>
          </w:tcPr>
          <w:p w14:paraId="30C172B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1.129</w:t>
            </w:r>
          </w:p>
        </w:tc>
        <w:tc>
          <w:tcPr>
            <w:tcW w:w="1275" w:type="dxa"/>
            <w:tcBorders>
              <w:left w:val="single" w:sz="6" w:space="0" w:color="FFFFFF" w:themeColor="background1"/>
              <w:right w:val="single" w:sz="6" w:space="0" w:color="FFFFFF" w:themeColor="background1"/>
            </w:tcBorders>
          </w:tcPr>
          <w:p w14:paraId="085ADF4E"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3.092</w:t>
            </w:r>
          </w:p>
        </w:tc>
        <w:tc>
          <w:tcPr>
            <w:tcW w:w="992" w:type="dxa"/>
            <w:tcBorders>
              <w:left w:val="single" w:sz="6" w:space="0" w:color="FFFFFF" w:themeColor="background1"/>
            </w:tcBorders>
          </w:tcPr>
          <w:p w14:paraId="21355A6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0.083</w:t>
            </w:r>
          </w:p>
        </w:tc>
        <w:tc>
          <w:tcPr>
            <w:tcW w:w="1276" w:type="dxa"/>
            <w:tcBorders>
              <w:right w:val="single" w:sz="6" w:space="0" w:color="FFFFFF" w:themeColor="background1"/>
            </w:tcBorders>
          </w:tcPr>
          <w:p w14:paraId="16D8E0B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1.520</w:t>
            </w:r>
          </w:p>
          <w:p w14:paraId="19312C57"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0E7EBC0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4.570</w:t>
            </w:r>
          </w:p>
        </w:tc>
        <w:tc>
          <w:tcPr>
            <w:tcW w:w="992" w:type="dxa"/>
            <w:tcBorders>
              <w:left w:val="single" w:sz="6" w:space="0" w:color="FFFFFF" w:themeColor="background1"/>
            </w:tcBorders>
          </w:tcPr>
          <w:p w14:paraId="2EFF4742"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0.097</w:t>
            </w:r>
          </w:p>
        </w:tc>
        <w:tc>
          <w:tcPr>
            <w:tcW w:w="1276" w:type="dxa"/>
            <w:tcBorders>
              <w:right w:val="single" w:sz="6" w:space="0" w:color="FFFFFF" w:themeColor="background1"/>
            </w:tcBorders>
          </w:tcPr>
          <w:p w14:paraId="125D811A"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2.925</w:t>
            </w:r>
          </w:p>
        </w:tc>
        <w:tc>
          <w:tcPr>
            <w:tcW w:w="1276" w:type="dxa"/>
            <w:tcBorders>
              <w:left w:val="single" w:sz="6" w:space="0" w:color="FFFFFF" w:themeColor="background1"/>
              <w:right w:val="single" w:sz="6" w:space="0" w:color="FFFFFF" w:themeColor="background1"/>
            </w:tcBorders>
          </w:tcPr>
          <w:p w14:paraId="282E78EC"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18.633</w:t>
            </w:r>
          </w:p>
        </w:tc>
        <w:tc>
          <w:tcPr>
            <w:tcW w:w="992" w:type="dxa"/>
            <w:tcBorders>
              <w:left w:val="single" w:sz="6" w:space="0" w:color="FFFFFF" w:themeColor="background1"/>
            </w:tcBorders>
          </w:tcPr>
          <w:p w14:paraId="19E1AB3C"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0.017</w:t>
            </w:r>
          </w:p>
        </w:tc>
      </w:tr>
      <w:tr w:rsidR="00187677" w:rsidRPr="008B311C" w14:paraId="09654967" w14:textId="77777777" w:rsidTr="002B0C91">
        <w:trPr>
          <w:trHeight w:val="253"/>
        </w:trPr>
        <w:tc>
          <w:tcPr>
            <w:tcW w:w="1841" w:type="dxa"/>
          </w:tcPr>
          <w:p w14:paraId="30A67152" w14:textId="77777777" w:rsidR="00187677" w:rsidRPr="008B311C" w:rsidRDefault="00187677" w:rsidP="002B0C91">
            <w:pPr>
              <w:rPr>
                <w:rFonts w:ascii="Arial" w:hAnsi="Arial" w:cs="Arial"/>
                <w:b/>
                <w:sz w:val="16"/>
                <w:szCs w:val="16"/>
                <w:lang w:val="en-US"/>
              </w:rPr>
            </w:pPr>
            <w:proofErr w:type="spellStart"/>
            <w:r w:rsidRPr="008B311C">
              <w:rPr>
                <w:rFonts w:ascii="Arial" w:hAnsi="Arial" w:cs="Arial"/>
                <w:b/>
                <w:sz w:val="16"/>
                <w:szCs w:val="16"/>
                <w:lang w:val="en-US"/>
              </w:rPr>
              <w:t>Dynapenia</w:t>
            </w:r>
            <w:proofErr w:type="spellEnd"/>
          </w:p>
        </w:tc>
        <w:tc>
          <w:tcPr>
            <w:tcW w:w="1277" w:type="dxa"/>
            <w:tcBorders>
              <w:right w:val="single" w:sz="6" w:space="0" w:color="FFFFFF" w:themeColor="background1"/>
            </w:tcBorders>
          </w:tcPr>
          <w:p w14:paraId="7C562F21"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0.427</w:t>
            </w:r>
          </w:p>
          <w:p w14:paraId="115AF040"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68BF8EA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1.533</w:t>
            </w:r>
          </w:p>
        </w:tc>
        <w:tc>
          <w:tcPr>
            <w:tcW w:w="991" w:type="dxa"/>
            <w:tcBorders>
              <w:left w:val="single" w:sz="6" w:space="0" w:color="FFFFFF" w:themeColor="background1"/>
            </w:tcBorders>
          </w:tcPr>
          <w:p w14:paraId="17D0A0D8"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0.035</w:t>
            </w:r>
          </w:p>
        </w:tc>
        <w:tc>
          <w:tcPr>
            <w:tcW w:w="1278" w:type="dxa"/>
            <w:tcBorders>
              <w:right w:val="single" w:sz="6" w:space="0" w:color="FFFFFF" w:themeColor="background1"/>
            </w:tcBorders>
          </w:tcPr>
          <w:p w14:paraId="39B741D4"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1.321</w:t>
            </w:r>
          </w:p>
        </w:tc>
        <w:tc>
          <w:tcPr>
            <w:tcW w:w="1275" w:type="dxa"/>
            <w:tcBorders>
              <w:left w:val="single" w:sz="6" w:space="0" w:color="FFFFFF" w:themeColor="background1"/>
              <w:right w:val="single" w:sz="6" w:space="0" w:color="FFFFFF" w:themeColor="background1"/>
            </w:tcBorders>
          </w:tcPr>
          <w:p w14:paraId="4665472B"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3.746</w:t>
            </w:r>
          </w:p>
        </w:tc>
        <w:tc>
          <w:tcPr>
            <w:tcW w:w="992" w:type="dxa"/>
            <w:tcBorders>
              <w:left w:val="single" w:sz="6" w:space="0" w:color="FFFFFF" w:themeColor="background1"/>
            </w:tcBorders>
          </w:tcPr>
          <w:p w14:paraId="36681EB4"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0.006</w:t>
            </w:r>
          </w:p>
        </w:tc>
        <w:tc>
          <w:tcPr>
            <w:tcW w:w="1276" w:type="dxa"/>
            <w:tcBorders>
              <w:right w:val="single" w:sz="6" w:space="0" w:color="FFFFFF" w:themeColor="background1"/>
            </w:tcBorders>
          </w:tcPr>
          <w:p w14:paraId="536EB050"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0.641</w:t>
            </w:r>
          </w:p>
          <w:p w14:paraId="586ECD7E"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2DCE523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1.898</w:t>
            </w:r>
          </w:p>
        </w:tc>
        <w:tc>
          <w:tcPr>
            <w:tcW w:w="992" w:type="dxa"/>
            <w:tcBorders>
              <w:left w:val="single" w:sz="6" w:space="0" w:color="FFFFFF" w:themeColor="background1"/>
            </w:tcBorders>
          </w:tcPr>
          <w:p w14:paraId="5F34A99F"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0.006</w:t>
            </w:r>
          </w:p>
        </w:tc>
        <w:tc>
          <w:tcPr>
            <w:tcW w:w="1276" w:type="dxa"/>
            <w:tcBorders>
              <w:right w:val="single" w:sz="6" w:space="0" w:color="FFFFFF" w:themeColor="background1"/>
            </w:tcBorders>
          </w:tcPr>
          <w:p w14:paraId="025C27F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1.082</w:t>
            </w:r>
          </w:p>
        </w:tc>
        <w:tc>
          <w:tcPr>
            <w:tcW w:w="1276" w:type="dxa"/>
            <w:tcBorders>
              <w:left w:val="single" w:sz="6" w:space="0" w:color="FFFFFF" w:themeColor="background1"/>
              <w:right w:val="single" w:sz="6" w:space="0" w:color="FFFFFF" w:themeColor="background1"/>
            </w:tcBorders>
          </w:tcPr>
          <w:p w14:paraId="2475AAC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2.952</w:t>
            </w:r>
          </w:p>
        </w:tc>
        <w:tc>
          <w:tcPr>
            <w:tcW w:w="992" w:type="dxa"/>
            <w:tcBorders>
              <w:left w:val="single" w:sz="6" w:space="0" w:color="FFFFFF" w:themeColor="background1"/>
            </w:tcBorders>
          </w:tcPr>
          <w:p w14:paraId="5124BCA1"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r>
      <w:tr w:rsidR="00187677" w:rsidRPr="008B311C" w14:paraId="3A2DEAE4" w14:textId="77777777" w:rsidTr="002B0C91">
        <w:trPr>
          <w:trHeight w:val="253"/>
        </w:trPr>
        <w:tc>
          <w:tcPr>
            <w:tcW w:w="1841" w:type="dxa"/>
          </w:tcPr>
          <w:p w14:paraId="0DBDB0E3" w14:textId="77777777" w:rsidR="00187677" w:rsidRPr="008B311C" w:rsidRDefault="00187677" w:rsidP="002B0C91">
            <w:pPr>
              <w:rPr>
                <w:rFonts w:ascii="Arial" w:hAnsi="Arial" w:cs="Arial"/>
                <w:b/>
                <w:sz w:val="16"/>
                <w:szCs w:val="16"/>
                <w:lang w:val="en-US"/>
              </w:rPr>
            </w:pPr>
            <w:r w:rsidRPr="008B311C">
              <w:rPr>
                <w:rFonts w:ascii="Arial" w:hAnsi="Arial" w:cs="Arial"/>
                <w:b/>
                <w:sz w:val="16"/>
                <w:szCs w:val="16"/>
                <w:lang w:val="en-US"/>
              </w:rPr>
              <w:t xml:space="preserve">Frailty </w:t>
            </w:r>
          </w:p>
        </w:tc>
        <w:tc>
          <w:tcPr>
            <w:tcW w:w="1277" w:type="dxa"/>
            <w:tcBorders>
              <w:right w:val="single" w:sz="6" w:space="0" w:color="FFFFFF" w:themeColor="background1"/>
            </w:tcBorders>
          </w:tcPr>
          <w:p w14:paraId="4137BE58"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1.101</w:t>
            </w:r>
          </w:p>
          <w:p w14:paraId="128E138F"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6F910367"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3.008</w:t>
            </w:r>
          </w:p>
        </w:tc>
        <w:tc>
          <w:tcPr>
            <w:tcW w:w="991" w:type="dxa"/>
            <w:tcBorders>
              <w:left w:val="single" w:sz="6" w:space="0" w:color="FFFFFF" w:themeColor="background1"/>
            </w:tcBorders>
          </w:tcPr>
          <w:p w14:paraId="293C77F0"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8" w:type="dxa"/>
            <w:tcBorders>
              <w:right w:val="single" w:sz="6" w:space="0" w:color="FFFFFF" w:themeColor="background1"/>
            </w:tcBorders>
          </w:tcPr>
          <w:p w14:paraId="0FD1ECDC"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3.323</w:t>
            </w:r>
          </w:p>
        </w:tc>
        <w:tc>
          <w:tcPr>
            <w:tcW w:w="1275" w:type="dxa"/>
            <w:tcBorders>
              <w:left w:val="single" w:sz="6" w:space="0" w:color="FFFFFF" w:themeColor="background1"/>
              <w:right w:val="single" w:sz="6" w:space="0" w:color="FFFFFF" w:themeColor="background1"/>
            </w:tcBorders>
          </w:tcPr>
          <w:p w14:paraId="03787005"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27.738</w:t>
            </w:r>
          </w:p>
        </w:tc>
        <w:tc>
          <w:tcPr>
            <w:tcW w:w="992" w:type="dxa"/>
            <w:tcBorders>
              <w:left w:val="single" w:sz="6" w:space="0" w:color="FFFFFF" w:themeColor="background1"/>
            </w:tcBorders>
          </w:tcPr>
          <w:p w14:paraId="3E6E16DB"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0.001</w:t>
            </w:r>
          </w:p>
        </w:tc>
        <w:tc>
          <w:tcPr>
            <w:tcW w:w="1276" w:type="dxa"/>
            <w:tcBorders>
              <w:right w:val="single" w:sz="6" w:space="0" w:color="FFFFFF" w:themeColor="background1"/>
            </w:tcBorders>
          </w:tcPr>
          <w:p w14:paraId="206F9B63"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1.419</w:t>
            </w:r>
          </w:p>
          <w:p w14:paraId="74A8F7E8" w14:textId="77777777" w:rsidR="00187677" w:rsidRPr="008B311C" w:rsidRDefault="00187677" w:rsidP="002B0C91">
            <w:pPr>
              <w:jc w:val="center"/>
              <w:rPr>
                <w:rFonts w:ascii="Arial" w:hAnsi="Arial" w:cs="Arial"/>
                <w:sz w:val="16"/>
                <w:szCs w:val="16"/>
                <w:lang w:val="en-US"/>
              </w:rPr>
            </w:pPr>
          </w:p>
        </w:tc>
        <w:tc>
          <w:tcPr>
            <w:tcW w:w="1276" w:type="dxa"/>
            <w:tcBorders>
              <w:left w:val="single" w:sz="6" w:space="0" w:color="FFFFFF" w:themeColor="background1"/>
              <w:right w:val="single" w:sz="6" w:space="0" w:color="FFFFFF" w:themeColor="background1"/>
            </w:tcBorders>
          </w:tcPr>
          <w:p w14:paraId="113B8269"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4.135</w:t>
            </w:r>
          </w:p>
        </w:tc>
        <w:tc>
          <w:tcPr>
            <w:tcW w:w="992" w:type="dxa"/>
            <w:tcBorders>
              <w:left w:val="single" w:sz="6" w:space="0" w:color="FFFFFF" w:themeColor="background1"/>
            </w:tcBorders>
          </w:tcPr>
          <w:p w14:paraId="3306A4D3" w14:textId="77777777" w:rsidR="00187677" w:rsidRPr="008B311C" w:rsidRDefault="00187677" w:rsidP="002B0C91">
            <w:pPr>
              <w:jc w:val="center"/>
              <w:rPr>
                <w:rFonts w:ascii="Arial" w:hAnsi="Arial" w:cs="Arial"/>
                <w:b/>
                <w:sz w:val="16"/>
                <w:szCs w:val="16"/>
                <w:lang w:val="en-US"/>
              </w:rPr>
            </w:pPr>
            <w:r w:rsidRPr="008B311C">
              <w:rPr>
                <w:rFonts w:ascii="Arial" w:hAnsi="Arial" w:cs="Arial"/>
                <w:b/>
                <w:sz w:val="16"/>
                <w:szCs w:val="16"/>
                <w:lang w:val="en-US"/>
              </w:rPr>
              <w:t>&lt;0.001</w:t>
            </w:r>
          </w:p>
        </w:tc>
        <w:tc>
          <w:tcPr>
            <w:tcW w:w="1276" w:type="dxa"/>
            <w:tcBorders>
              <w:right w:val="single" w:sz="6" w:space="0" w:color="FFFFFF" w:themeColor="background1"/>
            </w:tcBorders>
          </w:tcPr>
          <w:p w14:paraId="20EE12B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1.564</w:t>
            </w:r>
          </w:p>
        </w:tc>
        <w:tc>
          <w:tcPr>
            <w:tcW w:w="1276" w:type="dxa"/>
            <w:tcBorders>
              <w:left w:val="single" w:sz="6" w:space="0" w:color="FFFFFF" w:themeColor="background1"/>
              <w:right w:val="single" w:sz="6" w:space="0" w:color="FFFFFF" w:themeColor="background1"/>
            </w:tcBorders>
          </w:tcPr>
          <w:p w14:paraId="6850A4B6" w14:textId="77777777" w:rsidR="00187677" w:rsidRPr="008B311C" w:rsidRDefault="00187677" w:rsidP="002B0C91">
            <w:pPr>
              <w:jc w:val="center"/>
              <w:rPr>
                <w:rFonts w:ascii="Arial" w:hAnsi="Arial" w:cs="Arial"/>
                <w:sz w:val="16"/>
                <w:szCs w:val="16"/>
                <w:lang w:val="en-US"/>
              </w:rPr>
            </w:pPr>
            <w:r w:rsidRPr="008B311C">
              <w:rPr>
                <w:rFonts w:ascii="Arial" w:hAnsi="Arial" w:cs="Arial"/>
                <w:sz w:val="16"/>
                <w:szCs w:val="16"/>
                <w:lang w:val="en-US"/>
              </w:rPr>
              <w:t>4.777</w:t>
            </w:r>
          </w:p>
        </w:tc>
        <w:tc>
          <w:tcPr>
            <w:tcW w:w="992" w:type="dxa"/>
            <w:tcBorders>
              <w:left w:val="single" w:sz="6" w:space="0" w:color="FFFFFF" w:themeColor="background1"/>
            </w:tcBorders>
          </w:tcPr>
          <w:p w14:paraId="78CBB6BA" w14:textId="77777777" w:rsidR="00187677" w:rsidRPr="008B311C" w:rsidRDefault="00187677" w:rsidP="00187677">
            <w:pPr>
              <w:jc w:val="center"/>
              <w:rPr>
                <w:rFonts w:ascii="Arial" w:hAnsi="Arial" w:cs="Arial"/>
                <w:b/>
                <w:sz w:val="16"/>
                <w:szCs w:val="16"/>
                <w:lang w:val="en-US"/>
              </w:rPr>
            </w:pPr>
            <w:r w:rsidRPr="008B311C">
              <w:rPr>
                <w:rFonts w:ascii="Arial" w:hAnsi="Arial" w:cs="Arial"/>
                <w:b/>
                <w:sz w:val="16"/>
                <w:szCs w:val="16"/>
                <w:lang w:val="en-US"/>
              </w:rPr>
              <w:t>&lt;0.001</w:t>
            </w:r>
          </w:p>
        </w:tc>
      </w:tr>
    </w:tbl>
    <w:p w14:paraId="0E990745" w14:textId="77777777" w:rsidR="00187677" w:rsidRPr="008B311C" w:rsidRDefault="00187677" w:rsidP="00187677">
      <w:pPr>
        <w:rPr>
          <w:rFonts w:ascii="Arial" w:hAnsi="Arial" w:cs="Arial"/>
          <w:sz w:val="16"/>
          <w:szCs w:val="16"/>
          <w:lang w:val="en-US"/>
        </w:rPr>
      </w:pPr>
      <w:r w:rsidRPr="008B311C">
        <w:rPr>
          <w:rFonts w:ascii="Arial" w:hAnsi="Arial" w:cs="Arial"/>
          <w:sz w:val="16"/>
          <w:szCs w:val="16"/>
          <w:lang w:val="en-US"/>
        </w:rPr>
        <w:t xml:space="preserve">BADL: Basic Activities of Daily Living, BMI: Body mass index, CCI: </w:t>
      </w:r>
      <w:proofErr w:type="spellStart"/>
      <w:r w:rsidRPr="008B311C">
        <w:rPr>
          <w:rFonts w:ascii="Arial" w:hAnsi="Arial" w:cs="Arial"/>
          <w:sz w:val="16"/>
          <w:szCs w:val="16"/>
          <w:lang w:val="en-US"/>
        </w:rPr>
        <w:t>Charlson</w:t>
      </w:r>
      <w:proofErr w:type="spellEnd"/>
      <w:r w:rsidRPr="008B311C">
        <w:rPr>
          <w:rFonts w:ascii="Arial" w:hAnsi="Arial" w:cs="Arial"/>
          <w:sz w:val="16"/>
          <w:szCs w:val="16"/>
          <w:lang w:val="en-US"/>
        </w:rPr>
        <w:t xml:space="preserve"> comorbidity index, GDS: Geriatric depression score, IADL: Instrumental Activities of Daily Living, MMSE: Mini-Mental State Examination, POMA: Performance-Oriented Mobility Assessment</w:t>
      </w:r>
    </w:p>
    <w:p w14:paraId="2132D08B" w14:textId="50C0BED2" w:rsidR="00187677" w:rsidRPr="00187677" w:rsidRDefault="00187677" w:rsidP="00585FD2">
      <w:pPr>
        <w:rPr>
          <w:rFonts w:ascii="Arial" w:hAnsi="Arial" w:cs="Arial"/>
          <w:sz w:val="16"/>
          <w:szCs w:val="16"/>
          <w:lang w:val="en-US"/>
        </w:rPr>
        <w:sectPr w:rsidR="00187677" w:rsidRPr="00187677" w:rsidSect="00187677">
          <w:type w:val="continuous"/>
          <w:pgSz w:w="16840" w:h="11900" w:orient="landscape"/>
          <w:pgMar w:top="357" w:right="1134" w:bottom="357" w:left="851" w:header="567" w:footer="567" w:gutter="0"/>
          <w:cols w:space="708"/>
          <w:docGrid w:linePitch="360"/>
        </w:sectPr>
      </w:pPr>
      <w:r w:rsidRPr="008B311C">
        <w:rPr>
          <w:rFonts w:ascii="Arial" w:hAnsi="Arial" w:cs="Arial"/>
          <w:sz w:val="16"/>
          <w:szCs w:val="16"/>
          <w:lang w:val="en-US"/>
        </w:rPr>
        <w:t>*All data are adjusted for age, education level and living environmen</w:t>
      </w:r>
      <w:r>
        <w:rPr>
          <w:rFonts w:ascii="Arial" w:hAnsi="Arial" w:cs="Arial"/>
          <w:sz w:val="16"/>
          <w:szCs w:val="16"/>
          <w:lang w:val="en-US"/>
        </w:rPr>
        <w:t>t</w:t>
      </w:r>
    </w:p>
    <w:p w14:paraId="684ED01E" w14:textId="77777777" w:rsidR="005119F0" w:rsidRDefault="005119F0" w:rsidP="005119F0">
      <w:pPr>
        <w:widowControl w:val="0"/>
        <w:autoSpaceDE w:val="0"/>
        <w:autoSpaceDN w:val="0"/>
        <w:adjustRightInd w:val="0"/>
        <w:spacing w:line="480" w:lineRule="auto"/>
        <w:ind w:right="-737"/>
        <w:rPr>
          <w:rFonts w:ascii="Arial" w:eastAsia="Calibri" w:hAnsi="Arial" w:cs="Arial"/>
          <w:sz w:val="22"/>
          <w:szCs w:val="22"/>
          <w:lang w:val="en-US"/>
        </w:rPr>
        <w:sectPr w:rsidR="005119F0" w:rsidSect="00585FD2">
          <w:pgSz w:w="11900" w:h="16840"/>
          <w:pgMar w:top="1134" w:right="993" w:bottom="851" w:left="709" w:header="708" w:footer="708" w:gutter="0"/>
          <w:cols w:space="708"/>
          <w:docGrid w:linePitch="360"/>
        </w:sectPr>
      </w:pPr>
      <w:bookmarkStart w:id="0" w:name="_GoBack"/>
      <w:bookmarkEnd w:id="0"/>
    </w:p>
    <w:p w14:paraId="303FCECE" w14:textId="77777777" w:rsidR="00187677" w:rsidRPr="0058715F" w:rsidRDefault="00187677" w:rsidP="00187677">
      <w:pPr>
        <w:rPr>
          <w:rFonts w:ascii="Arial" w:hAnsi="Arial" w:cs="Arial"/>
          <w:b/>
          <w:lang w:val="en-US"/>
        </w:rPr>
      </w:pPr>
      <w:r w:rsidRPr="0058715F">
        <w:rPr>
          <w:rFonts w:ascii="Arial" w:hAnsi="Arial" w:cs="Arial"/>
          <w:b/>
          <w:lang w:val="en-US"/>
        </w:rPr>
        <w:lastRenderedPageBreak/>
        <w:t xml:space="preserve">Table 3. Chi-square test of association between the variables </w:t>
      </w:r>
    </w:p>
    <w:p w14:paraId="1AED938C" w14:textId="77777777" w:rsidR="00187677" w:rsidRPr="0058715F" w:rsidRDefault="00187677" w:rsidP="00187677">
      <w:pPr>
        <w:rPr>
          <w:rFonts w:ascii="Arial" w:hAnsi="Arial" w:cs="Arial"/>
          <w:b/>
          <w:lang w:val="en-US"/>
        </w:rPr>
      </w:pPr>
    </w:p>
    <w:tbl>
      <w:tblPr>
        <w:tblStyle w:val="PlainTable2"/>
        <w:tblW w:w="9923" w:type="dxa"/>
        <w:tblBorders>
          <w:bottom w:val="single" w:sz="4" w:space="0" w:color="auto"/>
          <w:insideH w:val="single" w:sz="4" w:space="0" w:color="7F7F7F" w:themeColor="text1" w:themeTint="80"/>
        </w:tblBorders>
        <w:tblLook w:val="04A0" w:firstRow="1" w:lastRow="0" w:firstColumn="1" w:lastColumn="0" w:noHBand="0" w:noVBand="1"/>
      </w:tblPr>
      <w:tblGrid>
        <w:gridCol w:w="3261"/>
        <w:gridCol w:w="2268"/>
        <w:gridCol w:w="1984"/>
        <w:gridCol w:w="2410"/>
      </w:tblGrid>
      <w:tr w:rsidR="00187677" w:rsidRPr="0058715F" w14:paraId="0A8ED016" w14:textId="77777777" w:rsidTr="002B0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27422C1D" w14:textId="77777777" w:rsidR="00187677" w:rsidRPr="0058715F" w:rsidRDefault="00187677" w:rsidP="002B0C91">
            <w:pPr>
              <w:rPr>
                <w:rFonts w:ascii="Arial" w:hAnsi="Arial" w:cs="Arial"/>
                <w:sz w:val="20"/>
                <w:szCs w:val="20"/>
                <w:lang w:val="en-US"/>
              </w:rPr>
            </w:pPr>
          </w:p>
        </w:tc>
        <w:tc>
          <w:tcPr>
            <w:tcW w:w="2268" w:type="dxa"/>
            <w:tcBorders>
              <w:bottom w:val="none" w:sz="0" w:space="0" w:color="auto"/>
            </w:tcBorders>
          </w:tcPr>
          <w:p w14:paraId="30A32E9A" w14:textId="77777777" w:rsidR="00187677" w:rsidRPr="0058715F" w:rsidRDefault="00187677" w:rsidP="002B0C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Risk of falling according to</w:t>
            </w:r>
          </w:p>
          <w:p w14:paraId="7F3F8A28" w14:textId="77777777" w:rsidR="00187677" w:rsidRPr="0058715F" w:rsidRDefault="00187677" w:rsidP="002B0C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Fall history</w:t>
            </w:r>
          </w:p>
        </w:tc>
        <w:tc>
          <w:tcPr>
            <w:tcW w:w="1984" w:type="dxa"/>
            <w:tcBorders>
              <w:bottom w:val="none" w:sz="0" w:space="0" w:color="auto"/>
            </w:tcBorders>
          </w:tcPr>
          <w:p w14:paraId="43A413EC" w14:textId="77777777" w:rsidR="00187677" w:rsidRPr="0058715F" w:rsidRDefault="00187677" w:rsidP="002B0C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Risk of falling according to</w:t>
            </w:r>
          </w:p>
          <w:p w14:paraId="089D1416" w14:textId="77777777" w:rsidR="00187677" w:rsidRPr="0058715F" w:rsidRDefault="00187677" w:rsidP="002B0C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POMA</w:t>
            </w:r>
          </w:p>
        </w:tc>
        <w:tc>
          <w:tcPr>
            <w:tcW w:w="2410" w:type="dxa"/>
            <w:tcBorders>
              <w:bottom w:val="none" w:sz="0" w:space="0" w:color="auto"/>
            </w:tcBorders>
          </w:tcPr>
          <w:p w14:paraId="0D18512F" w14:textId="77777777" w:rsidR="00187677" w:rsidRPr="0058715F" w:rsidRDefault="00187677" w:rsidP="002B0C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Risk of falling according to</w:t>
            </w:r>
          </w:p>
          <w:p w14:paraId="78EF2C99" w14:textId="77777777" w:rsidR="00187677" w:rsidRPr="0058715F" w:rsidRDefault="00187677" w:rsidP="002B0C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Timed Up and Go test</w:t>
            </w:r>
          </w:p>
        </w:tc>
      </w:tr>
      <w:tr w:rsidR="00187677" w:rsidRPr="0058715F" w14:paraId="0A5AB7E6" w14:textId="77777777" w:rsidTr="002B0C9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3D1A20D" w14:textId="77777777" w:rsidR="00187677" w:rsidRPr="0058715F" w:rsidRDefault="00187677" w:rsidP="002B0C91">
            <w:pPr>
              <w:rPr>
                <w:rFonts w:ascii="Arial" w:hAnsi="Arial" w:cs="Arial"/>
                <w:sz w:val="20"/>
                <w:szCs w:val="20"/>
                <w:lang w:val="en-US"/>
              </w:rPr>
            </w:pPr>
            <w:r w:rsidRPr="0058715F">
              <w:rPr>
                <w:rFonts w:ascii="Arial" w:hAnsi="Arial" w:cs="Arial"/>
                <w:sz w:val="20"/>
                <w:szCs w:val="20"/>
                <w:lang w:val="en-US"/>
              </w:rPr>
              <w:t xml:space="preserve">Risk of falling according to </w:t>
            </w:r>
          </w:p>
          <w:p w14:paraId="3C42A031" w14:textId="77777777" w:rsidR="00187677" w:rsidRPr="0058715F" w:rsidRDefault="00187677" w:rsidP="002B0C91">
            <w:pPr>
              <w:rPr>
                <w:rFonts w:ascii="Arial" w:hAnsi="Arial" w:cs="Arial"/>
                <w:sz w:val="20"/>
                <w:szCs w:val="20"/>
                <w:lang w:val="en-US"/>
              </w:rPr>
            </w:pPr>
            <w:r w:rsidRPr="0058715F">
              <w:rPr>
                <w:rFonts w:ascii="Arial" w:hAnsi="Arial" w:cs="Arial"/>
                <w:sz w:val="20"/>
                <w:szCs w:val="20"/>
                <w:lang w:val="en-US"/>
              </w:rPr>
              <w:t>POMA</w:t>
            </w:r>
          </w:p>
        </w:tc>
        <w:tc>
          <w:tcPr>
            <w:tcW w:w="2268" w:type="dxa"/>
            <w:vAlign w:val="center"/>
          </w:tcPr>
          <w:p w14:paraId="63085EFA" w14:textId="77777777" w:rsidR="00187677" w:rsidRPr="0058715F" w:rsidRDefault="00187677" w:rsidP="002B0C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14.303 (p &lt;0.001)</w:t>
            </w:r>
          </w:p>
        </w:tc>
        <w:tc>
          <w:tcPr>
            <w:tcW w:w="1984" w:type="dxa"/>
            <w:vAlign w:val="center"/>
          </w:tcPr>
          <w:p w14:paraId="53307B3B" w14:textId="77777777" w:rsidR="00187677" w:rsidRPr="0058715F" w:rsidRDefault="00187677" w:rsidP="002B0C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410" w:type="dxa"/>
            <w:vAlign w:val="center"/>
          </w:tcPr>
          <w:p w14:paraId="05F45B2E" w14:textId="77777777" w:rsidR="00187677" w:rsidRPr="0058715F" w:rsidRDefault="00187677" w:rsidP="002B0C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187677" w:rsidRPr="0058715F" w14:paraId="2987BE61" w14:textId="77777777" w:rsidTr="002B0C91">
        <w:trPr>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54DB145" w14:textId="77777777" w:rsidR="00187677" w:rsidRPr="0058715F" w:rsidRDefault="00187677" w:rsidP="002B0C91">
            <w:pPr>
              <w:rPr>
                <w:rFonts w:ascii="Arial" w:hAnsi="Arial" w:cs="Arial"/>
                <w:sz w:val="20"/>
                <w:szCs w:val="20"/>
                <w:lang w:val="en-US"/>
              </w:rPr>
            </w:pPr>
            <w:r w:rsidRPr="0058715F">
              <w:rPr>
                <w:rFonts w:ascii="Arial" w:hAnsi="Arial" w:cs="Arial"/>
                <w:sz w:val="20"/>
                <w:szCs w:val="20"/>
                <w:lang w:val="en-US"/>
              </w:rPr>
              <w:t xml:space="preserve">Risk of falling according to </w:t>
            </w:r>
          </w:p>
          <w:p w14:paraId="20967F2E" w14:textId="77777777" w:rsidR="00187677" w:rsidRPr="0058715F" w:rsidRDefault="00187677" w:rsidP="002B0C91">
            <w:pPr>
              <w:rPr>
                <w:rFonts w:ascii="Arial" w:hAnsi="Arial" w:cs="Arial"/>
                <w:sz w:val="20"/>
                <w:szCs w:val="20"/>
                <w:lang w:val="en-US"/>
              </w:rPr>
            </w:pPr>
            <w:r w:rsidRPr="0058715F">
              <w:rPr>
                <w:rFonts w:ascii="Arial" w:hAnsi="Arial" w:cs="Arial"/>
                <w:sz w:val="20"/>
                <w:szCs w:val="20"/>
                <w:lang w:val="en-US"/>
              </w:rPr>
              <w:t>Timed Up and Go test</w:t>
            </w:r>
          </w:p>
        </w:tc>
        <w:tc>
          <w:tcPr>
            <w:tcW w:w="2268" w:type="dxa"/>
            <w:vAlign w:val="center"/>
          </w:tcPr>
          <w:p w14:paraId="4899DCC1" w14:textId="77777777" w:rsidR="00187677" w:rsidRPr="0058715F" w:rsidRDefault="00187677" w:rsidP="002B0C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25.506 (p &lt;0.001)</w:t>
            </w:r>
          </w:p>
        </w:tc>
        <w:tc>
          <w:tcPr>
            <w:tcW w:w="1984" w:type="dxa"/>
            <w:vAlign w:val="center"/>
          </w:tcPr>
          <w:p w14:paraId="51B6B82C" w14:textId="77777777" w:rsidR="00187677" w:rsidRPr="0058715F" w:rsidRDefault="00187677" w:rsidP="002B0C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134.485 (p&lt;0.001)</w:t>
            </w:r>
          </w:p>
        </w:tc>
        <w:tc>
          <w:tcPr>
            <w:tcW w:w="2410" w:type="dxa"/>
            <w:vAlign w:val="center"/>
          </w:tcPr>
          <w:p w14:paraId="69C44494" w14:textId="77777777" w:rsidR="00187677" w:rsidRPr="0058715F" w:rsidRDefault="00187677" w:rsidP="002B0C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187677" w:rsidRPr="0058715F" w14:paraId="48091019" w14:textId="77777777" w:rsidTr="002B0C9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79F5632" w14:textId="77777777" w:rsidR="00187677" w:rsidRPr="0058715F" w:rsidRDefault="00187677" w:rsidP="002B0C91">
            <w:pPr>
              <w:rPr>
                <w:rFonts w:ascii="Arial" w:hAnsi="Arial" w:cs="Arial"/>
                <w:sz w:val="20"/>
                <w:szCs w:val="20"/>
                <w:lang w:val="en-US"/>
              </w:rPr>
            </w:pPr>
            <w:r w:rsidRPr="0058715F">
              <w:rPr>
                <w:rFonts w:ascii="Arial" w:hAnsi="Arial" w:cs="Arial"/>
                <w:sz w:val="20"/>
                <w:szCs w:val="20"/>
                <w:lang w:val="en-US"/>
              </w:rPr>
              <w:t xml:space="preserve">Risk of falling according to </w:t>
            </w:r>
          </w:p>
          <w:p w14:paraId="16BA9688" w14:textId="77777777" w:rsidR="00187677" w:rsidRPr="0058715F" w:rsidRDefault="00187677" w:rsidP="002B0C91">
            <w:pPr>
              <w:rPr>
                <w:rFonts w:ascii="Arial" w:hAnsi="Arial" w:cs="Arial"/>
                <w:sz w:val="20"/>
                <w:szCs w:val="20"/>
                <w:lang w:val="en-US"/>
              </w:rPr>
            </w:pPr>
            <w:r w:rsidRPr="0058715F">
              <w:rPr>
                <w:rFonts w:ascii="Arial" w:hAnsi="Arial" w:cs="Arial"/>
                <w:sz w:val="20"/>
                <w:szCs w:val="20"/>
                <w:lang w:val="en-US"/>
              </w:rPr>
              <w:t>Low Walking Speed</w:t>
            </w:r>
          </w:p>
        </w:tc>
        <w:tc>
          <w:tcPr>
            <w:tcW w:w="2268" w:type="dxa"/>
            <w:vAlign w:val="center"/>
          </w:tcPr>
          <w:p w14:paraId="0F2D9522" w14:textId="77777777" w:rsidR="00187677" w:rsidRPr="0058715F" w:rsidRDefault="00187677" w:rsidP="002B0C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21.381 (p&lt;0.001)</w:t>
            </w:r>
          </w:p>
        </w:tc>
        <w:tc>
          <w:tcPr>
            <w:tcW w:w="1984" w:type="dxa"/>
            <w:vAlign w:val="center"/>
          </w:tcPr>
          <w:p w14:paraId="62BEF5E4" w14:textId="77777777" w:rsidR="00187677" w:rsidRPr="0058715F" w:rsidRDefault="00187677" w:rsidP="002B0C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130.826 (p&lt;0.001)</w:t>
            </w:r>
          </w:p>
        </w:tc>
        <w:tc>
          <w:tcPr>
            <w:tcW w:w="2410" w:type="dxa"/>
            <w:vAlign w:val="center"/>
          </w:tcPr>
          <w:p w14:paraId="52EC230A" w14:textId="77777777" w:rsidR="00187677" w:rsidRPr="0058715F" w:rsidRDefault="00187677" w:rsidP="002B0C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8715F">
              <w:rPr>
                <w:rFonts w:ascii="Arial" w:hAnsi="Arial" w:cs="Arial"/>
                <w:sz w:val="20"/>
                <w:szCs w:val="20"/>
                <w:lang w:val="en-US"/>
              </w:rPr>
              <w:t>268.696 (p&lt;0.001)</w:t>
            </w:r>
          </w:p>
        </w:tc>
      </w:tr>
    </w:tbl>
    <w:p w14:paraId="1EBB6447" w14:textId="77777777" w:rsidR="00187677" w:rsidRPr="0058715F" w:rsidRDefault="00187677" w:rsidP="00187677">
      <w:pPr>
        <w:tabs>
          <w:tab w:val="left" w:pos="4524"/>
        </w:tabs>
        <w:rPr>
          <w:lang w:val="en-US"/>
        </w:rPr>
      </w:pPr>
      <w:r>
        <w:rPr>
          <w:lang w:val="en-US"/>
        </w:rPr>
        <w:tab/>
      </w:r>
    </w:p>
    <w:p w14:paraId="1602BF6D" w14:textId="77777777" w:rsidR="00187677" w:rsidRDefault="00187677" w:rsidP="00187677">
      <w:pPr>
        <w:ind w:left="-142"/>
      </w:pPr>
    </w:p>
    <w:p w14:paraId="4E65374A" w14:textId="1E060732" w:rsidR="00585FD2" w:rsidRPr="0058715F" w:rsidRDefault="00585FD2" w:rsidP="005119F0">
      <w:pPr>
        <w:widowControl w:val="0"/>
        <w:autoSpaceDE w:val="0"/>
        <w:autoSpaceDN w:val="0"/>
        <w:adjustRightInd w:val="0"/>
        <w:spacing w:line="480" w:lineRule="auto"/>
        <w:ind w:right="-737"/>
        <w:rPr>
          <w:rFonts w:ascii="Arial" w:eastAsia="Calibri" w:hAnsi="Arial" w:cs="Arial"/>
          <w:sz w:val="22"/>
          <w:szCs w:val="22"/>
          <w:lang w:val="en-US"/>
        </w:rPr>
      </w:pPr>
    </w:p>
    <w:sectPr w:rsidR="00585FD2" w:rsidRPr="0058715F" w:rsidSect="00187677">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D267" w14:textId="77777777" w:rsidR="00553AFD" w:rsidRDefault="00553AFD" w:rsidP="000325A0">
      <w:r>
        <w:separator/>
      </w:r>
    </w:p>
  </w:endnote>
  <w:endnote w:type="continuationSeparator" w:id="0">
    <w:p w14:paraId="19CC4C8B" w14:textId="77777777" w:rsidR="00553AFD" w:rsidRDefault="00553AFD" w:rsidP="0003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OTf0129623">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36CF" w14:textId="77777777" w:rsidR="00553AFD" w:rsidRDefault="00553AFD" w:rsidP="000325A0">
      <w:r>
        <w:separator/>
      </w:r>
    </w:p>
  </w:footnote>
  <w:footnote w:type="continuationSeparator" w:id="0">
    <w:p w14:paraId="695BDE84" w14:textId="77777777" w:rsidR="00553AFD" w:rsidRDefault="00553AFD" w:rsidP="0003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44D30"/>
    <w:multiLevelType w:val="hybridMultilevel"/>
    <w:tmpl w:val="533C7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8B6E08"/>
    <w:multiLevelType w:val="hybridMultilevel"/>
    <w:tmpl w:val="77269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3844F8"/>
    <w:multiLevelType w:val="hybridMultilevel"/>
    <w:tmpl w:val="57663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139C1"/>
    <w:multiLevelType w:val="hybridMultilevel"/>
    <w:tmpl w:val="7F00B3B2"/>
    <w:lvl w:ilvl="0" w:tplc="D50A592C">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B31ABA"/>
    <w:multiLevelType w:val="hybridMultilevel"/>
    <w:tmpl w:val="4594A85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80E49"/>
    <w:multiLevelType w:val="hybridMultilevel"/>
    <w:tmpl w:val="6F101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C20F3B"/>
    <w:multiLevelType w:val="hybridMultilevel"/>
    <w:tmpl w:val="807214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C"/>
    <w:rsid w:val="00002F12"/>
    <w:rsid w:val="000038D1"/>
    <w:rsid w:val="000064F1"/>
    <w:rsid w:val="000156C3"/>
    <w:rsid w:val="000325A0"/>
    <w:rsid w:val="00035A4C"/>
    <w:rsid w:val="00044186"/>
    <w:rsid w:val="000442D7"/>
    <w:rsid w:val="00046391"/>
    <w:rsid w:val="000517A8"/>
    <w:rsid w:val="0005393D"/>
    <w:rsid w:val="000567F7"/>
    <w:rsid w:val="00057D6F"/>
    <w:rsid w:val="0006232D"/>
    <w:rsid w:val="00065263"/>
    <w:rsid w:val="00066C81"/>
    <w:rsid w:val="00067EF0"/>
    <w:rsid w:val="00081667"/>
    <w:rsid w:val="00082E1F"/>
    <w:rsid w:val="000852B6"/>
    <w:rsid w:val="0008699B"/>
    <w:rsid w:val="00093E2E"/>
    <w:rsid w:val="00094788"/>
    <w:rsid w:val="00096490"/>
    <w:rsid w:val="00097B8B"/>
    <w:rsid w:val="000A08E6"/>
    <w:rsid w:val="000A3B40"/>
    <w:rsid w:val="000A52F7"/>
    <w:rsid w:val="000A56D1"/>
    <w:rsid w:val="000C5BEE"/>
    <w:rsid w:val="000D62F2"/>
    <w:rsid w:val="000D6996"/>
    <w:rsid w:val="000E1D6A"/>
    <w:rsid w:val="000E2C41"/>
    <w:rsid w:val="000E3296"/>
    <w:rsid w:val="000E6996"/>
    <w:rsid w:val="000F1F6E"/>
    <w:rsid w:val="000F39AC"/>
    <w:rsid w:val="000F7FA5"/>
    <w:rsid w:val="00100C6B"/>
    <w:rsid w:val="00110050"/>
    <w:rsid w:val="0011314E"/>
    <w:rsid w:val="001153D1"/>
    <w:rsid w:val="001161C1"/>
    <w:rsid w:val="00120EF1"/>
    <w:rsid w:val="0012476B"/>
    <w:rsid w:val="00130E2A"/>
    <w:rsid w:val="00144A59"/>
    <w:rsid w:val="001454A7"/>
    <w:rsid w:val="00147305"/>
    <w:rsid w:val="0015044D"/>
    <w:rsid w:val="00155B53"/>
    <w:rsid w:val="00160480"/>
    <w:rsid w:val="0016127D"/>
    <w:rsid w:val="00161E00"/>
    <w:rsid w:val="001629E0"/>
    <w:rsid w:val="001800B6"/>
    <w:rsid w:val="00181936"/>
    <w:rsid w:val="00187677"/>
    <w:rsid w:val="00190C63"/>
    <w:rsid w:val="001972AC"/>
    <w:rsid w:val="001A758B"/>
    <w:rsid w:val="001B04C4"/>
    <w:rsid w:val="001C1860"/>
    <w:rsid w:val="001C31C3"/>
    <w:rsid w:val="001E285D"/>
    <w:rsid w:val="001F262A"/>
    <w:rsid w:val="001F2E64"/>
    <w:rsid w:val="001F4F55"/>
    <w:rsid w:val="002023C4"/>
    <w:rsid w:val="00210275"/>
    <w:rsid w:val="002137DF"/>
    <w:rsid w:val="00221747"/>
    <w:rsid w:val="00223E87"/>
    <w:rsid w:val="00226086"/>
    <w:rsid w:val="00226F9C"/>
    <w:rsid w:val="00230CE9"/>
    <w:rsid w:val="002462AA"/>
    <w:rsid w:val="00247D72"/>
    <w:rsid w:val="00251BEA"/>
    <w:rsid w:val="002540F6"/>
    <w:rsid w:val="00256369"/>
    <w:rsid w:val="00257DE6"/>
    <w:rsid w:val="00265A6D"/>
    <w:rsid w:val="00283025"/>
    <w:rsid w:val="0028731B"/>
    <w:rsid w:val="002901EF"/>
    <w:rsid w:val="00293B83"/>
    <w:rsid w:val="00295941"/>
    <w:rsid w:val="002968B2"/>
    <w:rsid w:val="002A5385"/>
    <w:rsid w:val="002B1989"/>
    <w:rsid w:val="002B34EA"/>
    <w:rsid w:val="002C2183"/>
    <w:rsid w:val="002C46F7"/>
    <w:rsid w:val="002C4A7E"/>
    <w:rsid w:val="002C597C"/>
    <w:rsid w:val="002D5673"/>
    <w:rsid w:val="002D748D"/>
    <w:rsid w:val="002E7FCE"/>
    <w:rsid w:val="002F02F2"/>
    <w:rsid w:val="002F31A3"/>
    <w:rsid w:val="00300232"/>
    <w:rsid w:val="00301540"/>
    <w:rsid w:val="003103FD"/>
    <w:rsid w:val="003161B3"/>
    <w:rsid w:val="00317F3E"/>
    <w:rsid w:val="00321D7F"/>
    <w:rsid w:val="00326E2D"/>
    <w:rsid w:val="00331022"/>
    <w:rsid w:val="0033429C"/>
    <w:rsid w:val="003354B2"/>
    <w:rsid w:val="003414B6"/>
    <w:rsid w:val="00347E1C"/>
    <w:rsid w:val="00357127"/>
    <w:rsid w:val="0036443C"/>
    <w:rsid w:val="003702F6"/>
    <w:rsid w:val="003704E9"/>
    <w:rsid w:val="00370791"/>
    <w:rsid w:val="00372704"/>
    <w:rsid w:val="0038043C"/>
    <w:rsid w:val="0038060F"/>
    <w:rsid w:val="0038233F"/>
    <w:rsid w:val="003855CF"/>
    <w:rsid w:val="00386D8F"/>
    <w:rsid w:val="003902A8"/>
    <w:rsid w:val="00393FC2"/>
    <w:rsid w:val="003A12EA"/>
    <w:rsid w:val="003A44B2"/>
    <w:rsid w:val="003A4B9A"/>
    <w:rsid w:val="003B0DE1"/>
    <w:rsid w:val="003B2514"/>
    <w:rsid w:val="003B7152"/>
    <w:rsid w:val="003C3B07"/>
    <w:rsid w:val="003C4B34"/>
    <w:rsid w:val="003C77D5"/>
    <w:rsid w:val="003D0676"/>
    <w:rsid w:val="003E039A"/>
    <w:rsid w:val="003E1434"/>
    <w:rsid w:val="003E1A60"/>
    <w:rsid w:val="003E651A"/>
    <w:rsid w:val="003F7FEE"/>
    <w:rsid w:val="004052B7"/>
    <w:rsid w:val="00405A3B"/>
    <w:rsid w:val="00405B2D"/>
    <w:rsid w:val="004075B2"/>
    <w:rsid w:val="00411CC5"/>
    <w:rsid w:val="00412367"/>
    <w:rsid w:val="0042099F"/>
    <w:rsid w:val="0042294C"/>
    <w:rsid w:val="00426C51"/>
    <w:rsid w:val="00431E1D"/>
    <w:rsid w:val="00432E50"/>
    <w:rsid w:val="00435BC6"/>
    <w:rsid w:val="00437347"/>
    <w:rsid w:val="00447560"/>
    <w:rsid w:val="00464AB0"/>
    <w:rsid w:val="00470500"/>
    <w:rsid w:val="004803E0"/>
    <w:rsid w:val="00481943"/>
    <w:rsid w:val="00492243"/>
    <w:rsid w:val="0049320B"/>
    <w:rsid w:val="00493D0B"/>
    <w:rsid w:val="004C1A09"/>
    <w:rsid w:val="004C253C"/>
    <w:rsid w:val="004D0C14"/>
    <w:rsid w:val="004E17D7"/>
    <w:rsid w:val="004E6FAE"/>
    <w:rsid w:val="004F01A1"/>
    <w:rsid w:val="004F6023"/>
    <w:rsid w:val="004F6636"/>
    <w:rsid w:val="00507070"/>
    <w:rsid w:val="005119F0"/>
    <w:rsid w:val="00513535"/>
    <w:rsid w:val="00531D84"/>
    <w:rsid w:val="00531FDA"/>
    <w:rsid w:val="00536EB3"/>
    <w:rsid w:val="00541D83"/>
    <w:rsid w:val="00551BAA"/>
    <w:rsid w:val="005522D6"/>
    <w:rsid w:val="00553AFD"/>
    <w:rsid w:val="00553C4C"/>
    <w:rsid w:val="005553A4"/>
    <w:rsid w:val="00560145"/>
    <w:rsid w:val="005702ED"/>
    <w:rsid w:val="00570624"/>
    <w:rsid w:val="00570911"/>
    <w:rsid w:val="0057118D"/>
    <w:rsid w:val="00573250"/>
    <w:rsid w:val="00574F34"/>
    <w:rsid w:val="00576825"/>
    <w:rsid w:val="00585FD2"/>
    <w:rsid w:val="0058715F"/>
    <w:rsid w:val="00590074"/>
    <w:rsid w:val="005903D1"/>
    <w:rsid w:val="005A5472"/>
    <w:rsid w:val="005A65B1"/>
    <w:rsid w:val="005B0EC3"/>
    <w:rsid w:val="005B78A2"/>
    <w:rsid w:val="005C00F0"/>
    <w:rsid w:val="005C010F"/>
    <w:rsid w:val="005C138F"/>
    <w:rsid w:val="005D3BC3"/>
    <w:rsid w:val="005E0604"/>
    <w:rsid w:val="005E3186"/>
    <w:rsid w:val="005E5C5E"/>
    <w:rsid w:val="00602A87"/>
    <w:rsid w:val="0060388A"/>
    <w:rsid w:val="00605A92"/>
    <w:rsid w:val="00607E82"/>
    <w:rsid w:val="006111FE"/>
    <w:rsid w:val="006152BF"/>
    <w:rsid w:val="006167D7"/>
    <w:rsid w:val="006170FB"/>
    <w:rsid w:val="00620A57"/>
    <w:rsid w:val="006222B4"/>
    <w:rsid w:val="00622C70"/>
    <w:rsid w:val="006253A3"/>
    <w:rsid w:val="0063420D"/>
    <w:rsid w:val="00636676"/>
    <w:rsid w:val="006401FA"/>
    <w:rsid w:val="00640C91"/>
    <w:rsid w:val="006511C7"/>
    <w:rsid w:val="00657C97"/>
    <w:rsid w:val="00665150"/>
    <w:rsid w:val="006662D6"/>
    <w:rsid w:val="0067254B"/>
    <w:rsid w:val="0067549E"/>
    <w:rsid w:val="00675D6C"/>
    <w:rsid w:val="00680770"/>
    <w:rsid w:val="00682138"/>
    <w:rsid w:val="006868CD"/>
    <w:rsid w:val="00686BBC"/>
    <w:rsid w:val="006971D5"/>
    <w:rsid w:val="006A248C"/>
    <w:rsid w:val="006A65B0"/>
    <w:rsid w:val="006B2A74"/>
    <w:rsid w:val="006B6005"/>
    <w:rsid w:val="006D55AB"/>
    <w:rsid w:val="006E0300"/>
    <w:rsid w:val="006E2512"/>
    <w:rsid w:val="006F0ADA"/>
    <w:rsid w:val="006F23D4"/>
    <w:rsid w:val="006F58FD"/>
    <w:rsid w:val="007011B8"/>
    <w:rsid w:val="00705A3A"/>
    <w:rsid w:val="00707616"/>
    <w:rsid w:val="00707FA5"/>
    <w:rsid w:val="00714367"/>
    <w:rsid w:val="00716909"/>
    <w:rsid w:val="007171D6"/>
    <w:rsid w:val="007307F4"/>
    <w:rsid w:val="00736B5B"/>
    <w:rsid w:val="00755171"/>
    <w:rsid w:val="00756726"/>
    <w:rsid w:val="007622CA"/>
    <w:rsid w:val="00763836"/>
    <w:rsid w:val="00764D99"/>
    <w:rsid w:val="007716F0"/>
    <w:rsid w:val="00772FC0"/>
    <w:rsid w:val="007873D1"/>
    <w:rsid w:val="0079352B"/>
    <w:rsid w:val="00797CAA"/>
    <w:rsid w:val="007A0591"/>
    <w:rsid w:val="007A1CBF"/>
    <w:rsid w:val="007A4084"/>
    <w:rsid w:val="007A5C47"/>
    <w:rsid w:val="007A6A18"/>
    <w:rsid w:val="007B4D73"/>
    <w:rsid w:val="007B5821"/>
    <w:rsid w:val="007B7F48"/>
    <w:rsid w:val="007C7376"/>
    <w:rsid w:val="007D108F"/>
    <w:rsid w:val="007D11D9"/>
    <w:rsid w:val="007D15A2"/>
    <w:rsid w:val="007D2503"/>
    <w:rsid w:val="007D3599"/>
    <w:rsid w:val="007D366C"/>
    <w:rsid w:val="007E61E9"/>
    <w:rsid w:val="007F1629"/>
    <w:rsid w:val="008070FE"/>
    <w:rsid w:val="00811504"/>
    <w:rsid w:val="00821727"/>
    <w:rsid w:val="00824FB1"/>
    <w:rsid w:val="00827511"/>
    <w:rsid w:val="00831EB8"/>
    <w:rsid w:val="00841700"/>
    <w:rsid w:val="00846609"/>
    <w:rsid w:val="00850973"/>
    <w:rsid w:val="0085230F"/>
    <w:rsid w:val="00855040"/>
    <w:rsid w:val="00855D7A"/>
    <w:rsid w:val="00856449"/>
    <w:rsid w:val="008565EE"/>
    <w:rsid w:val="00863BF5"/>
    <w:rsid w:val="00865191"/>
    <w:rsid w:val="00866EDE"/>
    <w:rsid w:val="008800F3"/>
    <w:rsid w:val="0088102A"/>
    <w:rsid w:val="0088335D"/>
    <w:rsid w:val="00893B7F"/>
    <w:rsid w:val="0089554E"/>
    <w:rsid w:val="008961AA"/>
    <w:rsid w:val="008A4B77"/>
    <w:rsid w:val="008B01B6"/>
    <w:rsid w:val="008B6A74"/>
    <w:rsid w:val="008C02DE"/>
    <w:rsid w:val="008D0355"/>
    <w:rsid w:val="008E0BDD"/>
    <w:rsid w:val="008E321B"/>
    <w:rsid w:val="008E3B7C"/>
    <w:rsid w:val="008E65E3"/>
    <w:rsid w:val="008E672B"/>
    <w:rsid w:val="008E7E24"/>
    <w:rsid w:val="008F214C"/>
    <w:rsid w:val="008F26D1"/>
    <w:rsid w:val="00911B55"/>
    <w:rsid w:val="00914ADC"/>
    <w:rsid w:val="0091682D"/>
    <w:rsid w:val="0091779A"/>
    <w:rsid w:val="00920EEB"/>
    <w:rsid w:val="00921266"/>
    <w:rsid w:val="00921C2D"/>
    <w:rsid w:val="00921FA4"/>
    <w:rsid w:val="00933FC2"/>
    <w:rsid w:val="0097066F"/>
    <w:rsid w:val="00970F58"/>
    <w:rsid w:val="0097178D"/>
    <w:rsid w:val="009762B7"/>
    <w:rsid w:val="00976BB4"/>
    <w:rsid w:val="009771B8"/>
    <w:rsid w:val="00982187"/>
    <w:rsid w:val="00985428"/>
    <w:rsid w:val="009922A0"/>
    <w:rsid w:val="009A536E"/>
    <w:rsid w:val="009A7292"/>
    <w:rsid w:val="009B17BA"/>
    <w:rsid w:val="009B385E"/>
    <w:rsid w:val="009B531A"/>
    <w:rsid w:val="009B56AD"/>
    <w:rsid w:val="009C081E"/>
    <w:rsid w:val="009C45C7"/>
    <w:rsid w:val="009C4FE0"/>
    <w:rsid w:val="009C7888"/>
    <w:rsid w:val="009D2F08"/>
    <w:rsid w:val="009E139E"/>
    <w:rsid w:val="009E1879"/>
    <w:rsid w:val="009E2E33"/>
    <w:rsid w:val="009F16C1"/>
    <w:rsid w:val="00A03D49"/>
    <w:rsid w:val="00A2118A"/>
    <w:rsid w:val="00A237ED"/>
    <w:rsid w:val="00A26CD9"/>
    <w:rsid w:val="00A27C1F"/>
    <w:rsid w:val="00A354D3"/>
    <w:rsid w:val="00A51C33"/>
    <w:rsid w:val="00A53523"/>
    <w:rsid w:val="00A554E4"/>
    <w:rsid w:val="00A741F5"/>
    <w:rsid w:val="00A775B6"/>
    <w:rsid w:val="00A81E28"/>
    <w:rsid w:val="00A8355F"/>
    <w:rsid w:val="00A9099E"/>
    <w:rsid w:val="00A946D0"/>
    <w:rsid w:val="00A96510"/>
    <w:rsid w:val="00AA05A4"/>
    <w:rsid w:val="00AA3F9E"/>
    <w:rsid w:val="00AA57C8"/>
    <w:rsid w:val="00AB15ED"/>
    <w:rsid w:val="00AB1E56"/>
    <w:rsid w:val="00AB28A6"/>
    <w:rsid w:val="00AB4CF1"/>
    <w:rsid w:val="00AB7130"/>
    <w:rsid w:val="00AC204C"/>
    <w:rsid w:val="00AC4823"/>
    <w:rsid w:val="00AC6845"/>
    <w:rsid w:val="00AC7214"/>
    <w:rsid w:val="00AC7A36"/>
    <w:rsid w:val="00AD2A32"/>
    <w:rsid w:val="00AD32CF"/>
    <w:rsid w:val="00AE369B"/>
    <w:rsid w:val="00B01C72"/>
    <w:rsid w:val="00B02D5C"/>
    <w:rsid w:val="00B069E1"/>
    <w:rsid w:val="00B10301"/>
    <w:rsid w:val="00B174B0"/>
    <w:rsid w:val="00B326E8"/>
    <w:rsid w:val="00B40FAD"/>
    <w:rsid w:val="00B46F65"/>
    <w:rsid w:val="00B51983"/>
    <w:rsid w:val="00B52AC8"/>
    <w:rsid w:val="00B543FD"/>
    <w:rsid w:val="00B547E7"/>
    <w:rsid w:val="00B623E5"/>
    <w:rsid w:val="00B62E1A"/>
    <w:rsid w:val="00B73812"/>
    <w:rsid w:val="00B74309"/>
    <w:rsid w:val="00B80277"/>
    <w:rsid w:val="00B80E39"/>
    <w:rsid w:val="00B81311"/>
    <w:rsid w:val="00B9375B"/>
    <w:rsid w:val="00B93A7B"/>
    <w:rsid w:val="00BA3674"/>
    <w:rsid w:val="00BB0BCE"/>
    <w:rsid w:val="00BB6F01"/>
    <w:rsid w:val="00BB794B"/>
    <w:rsid w:val="00BC367E"/>
    <w:rsid w:val="00BD59FB"/>
    <w:rsid w:val="00BE4E68"/>
    <w:rsid w:val="00BE584F"/>
    <w:rsid w:val="00BF0748"/>
    <w:rsid w:val="00BF0B04"/>
    <w:rsid w:val="00BF38AD"/>
    <w:rsid w:val="00C01ECD"/>
    <w:rsid w:val="00C16D36"/>
    <w:rsid w:val="00C17D56"/>
    <w:rsid w:val="00C20BA9"/>
    <w:rsid w:val="00C22480"/>
    <w:rsid w:val="00C32816"/>
    <w:rsid w:val="00C32CFE"/>
    <w:rsid w:val="00C35376"/>
    <w:rsid w:val="00C3555F"/>
    <w:rsid w:val="00C50E0F"/>
    <w:rsid w:val="00C53962"/>
    <w:rsid w:val="00C619D4"/>
    <w:rsid w:val="00C64C82"/>
    <w:rsid w:val="00C65071"/>
    <w:rsid w:val="00C65D7E"/>
    <w:rsid w:val="00C72402"/>
    <w:rsid w:val="00C73BF9"/>
    <w:rsid w:val="00C77566"/>
    <w:rsid w:val="00C834C4"/>
    <w:rsid w:val="00C92DD5"/>
    <w:rsid w:val="00C95EEE"/>
    <w:rsid w:val="00CA7CA5"/>
    <w:rsid w:val="00CB76BD"/>
    <w:rsid w:val="00CC3762"/>
    <w:rsid w:val="00CD088D"/>
    <w:rsid w:val="00CD1D22"/>
    <w:rsid w:val="00CD40DC"/>
    <w:rsid w:val="00CD435D"/>
    <w:rsid w:val="00CF31C6"/>
    <w:rsid w:val="00D02428"/>
    <w:rsid w:val="00D027B2"/>
    <w:rsid w:val="00D25BD6"/>
    <w:rsid w:val="00D30DD9"/>
    <w:rsid w:val="00D41A59"/>
    <w:rsid w:val="00D428E8"/>
    <w:rsid w:val="00D45098"/>
    <w:rsid w:val="00D45105"/>
    <w:rsid w:val="00D45483"/>
    <w:rsid w:val="00D45624"/>
    <w:rsid w:val="00D52C50"/>
    <w:rsid w:val="00D551AC"/>
    <w:rsid w:val="00D56B63"/>
    <w:rsid w:val="00D62F2B"/>
    <w:rsid w:val="00D67D2D"/>
    <w:rsid w:val="00D67FB2"/>
    <w:rsid w:val="00D774DB"/>
    <w:rsid w:val="00D84C1C"/>
    <w:rsid w:val="00D85F36"/>
    <w:rsid w:val="00D86BD2"/>
    <w:rsid w:val="00D904CF"/>
    <w:rsid w:val="00D951A7"/>
    <w:rsid w:val="00DA0B9C"/>
    <w:rsid w:val="00DA2A34"/>
    <w:rsid w:val="00DA7717"/>
    <w:rsid w:val="00DB5B4F"/>
    <w:rsid w:val="00DB785A"/>
    <w:rsid w:val="00DC09CC"/>
    <w:rsid w:val="00DC489C"/>
    <w:rsid w:val="00DC51CC"/>
    <w:rsid w:val="00DD3AE4"/>
    <w:rsid w:val="00DD61D8"/>
    <w:rsid w:val="00DE2FCC"/>
    <w:rsid w:val="00DE3000"/>
    <w:rsid w:val="00DE7B01"/>
    <w:rsid w:val="00E039DF"/>
    <w:rsid w:val="00E043CD"/>
    <w:rsid w:val="00E06A3A"/>
    <w:rsid w:val="00E128D2"/>
    <w:rsid w:val="00E17A7A"/>
    <w:rsid w:val="00E225D9"/>
    <w:rsid w:val="00E3263F"/>
    <w:rsid w:val="00E372E4"/>
    <w:rsid w:val="00E41959"/>
    <w:rsid w:val="00E44EBB"/>
    <w:rsid w:val="00E50A9A"/>
    <w:rsid w:val="00E60AB4"/>
    <w:rsid w:val="00E63A62"/>
    <w:rsid w:val="00E656FD"/>
    <w:rsid w:val="00E738CF"/>
    <w:rsid w:val="00E74656"/>
    <w:rsid w:val="00E82491"/>
    <w:rsid w:val="00E944A1"/>
    <w:rsid w:val="00EA1ACD"/>
    <w:rsid w:val="00EA687F"/>
    <w:rsid w:val="00EA6B14"/>
    <w:rsid w:val="00EA6F54"/>
    <w:rsid w:val="00EB3FAC"/>
    <w:rsid w:val="00EB7AF8"/>
    <w:rsid w:val="00EC1047"/>
    <w:rsid w:val="00ED1B11"/>
    <w:rsid w:val="00ED1D17"/>
    <w:rsid w:val="00EE00A1"/>
    <w:rsid w:val="00EE212E"/>
    <w:rsid w:val="00EE29C1"/>
    <w:rsid w:val="00EE7D97"/>
    <w:rsid w:val="00EF0CCC"/>
    <w:rsid w:val="00EF13AB"/>
    <w:rsid w:val="00F04C94"/>
    <w:rsid w:val="00F114C6"/>
    <w:rsid w:val="00F13B59"/>
    <w:rsid w:val="00F15361"/>
    <w:rsid w:val="00F209BF"/>
    <w:rsid w:val="00F23342"/>
    <w:rsid w:val="00F36CB1"/>
    <w:rsid w:val="00F40FF8"/>
    <w:rsid w:val="00F41D79"/>
    <w:rsid w:val="00F53E1E"/>
    <w:rsid w:val="00F5581E"/>
    <w:rsid w:val="00F57768"/>
    <w:rsid w:val="00F57A80"/>
    <w:rsid w:val="00F61A29"/>
    <w:rsid w:val="00F8152A"/>
    <w:rsid w:val="00F84593"/>
    <w:rsid w:val="00F8664E"/>
    <w:rsid w:val="00F90549"/>
    <w:rsid w:val="00F90880"/>
    <w:rsid w:val="00F94D7F"/>
    <w:rsid w:val="00F9580C"/>
    <w:rsid w:val="00FA07CC"/>
    <w:rsid w:val="00FA184C"/>
    <w:rsid w:val="00FB0263"/>
    <w:rsid w:val="00FB0436"/>
    <w:rsid w:val="00FB603F"/>
    <w:rsid w:val="00FC3CDE"/>
    <w:rsid w:val="00FC6493"/>
    <w:rsid w:val="00FD57E2"/>
    <w:rsid w:val="00FE09BA"/>
    <w:rsid w:val="00FF2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BF8CB"/>
  <w15:chartTrackingRefBased/>
  <w15:docId w15:val="{A0A46360-6BF9-7647-BAB0-42FEDA69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5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3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873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53C"/>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unhideWhenUsed/>
    <w:rsid w:val="004C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212121"/>
      <w:sz w:val="20"/>
      <w:szCs w:val="20"/>
      <w:u w:val="single"/>
      <w:lang w:eastAsia="tr-TR"/>
    </w:rPr>
  </w:style>
  <w:style w:type="character" w:customStyle="1" w:styleId="HTMLPreformattedChar">
    <w:name w:val="HTML Preformatted Char"/>
    <w:basedOn w:val="DefaultParagraphFont"/>
    <w:link w:val="HTMLPreformatted"/>
    <w:uiPriority w:val="99"/>
    <w:rsid w:val="004C253C"/>
    <w:rPr>
      <w:rFonts w:ascii="Courier New" w:eastAsia="Times New Roman" w:hAnsi="Courier New" w:cs="Courier New"/>
      <w:color w:val="212121"/>
      <w:sz w:val="20"/>
      <w:szCs w:val="20"/>
      <w:u w:val="single"/>
      <w:lang w:eastAsia="tr-TR"/>
    </w:rPr>
  </w:style>
  <w:style w:type="character" w:styleId="Hyperlink">
    <w:name w:val="Hyperlink"/>
    <w:basedOn w:val="DefaultParagraphFont"/>
    <w:uiPriority w:val="99"/>
    <w:unhideWhenUsed/>
    <w:rsid w:val="00AC7214"/>
    <w:rPr>
      <w:color w:val="0563C1" w:themeColor="hyperlink"/>
      <w:u w:val="single"/>
    </w:rPr>
  </w:style>
  <w:style w:type="character" w:customStyle="1" w:styleId="zmlenmeyenBahsetme1">
    <w:name w:val="Çözümlenmeyen Bahsetme1"/>
    <w:basedOn w:val="DefaultParagraphFont"/>
    <w:uiPriority w:val="99"/>
    <w:semiHidden/>
    <w:unhideWhenUsed/>
    <w:rsid w:val="00AC7214"/>
    <w:rPr>
      <w:color w:val="808080"/>
      <w:shd w:val="clear" w:color="auto" w:fill="E6E6E6"/>
    </w:rPr>
  </w:style>
  <w:style w:type="paragraph" w:styleId="ListParagraph">
    <w:name w:val="List Paragraph"/>
    <w:basedOn w:val="Normal"/>
    <w:uiPriority w:val="34"/>
    <w:qFormat/>
    <w:rsid w:val="00AC7214"/>
    <w:pPr>
      <w:ind w:left="720"/>
      <w:contextualSpacing/>
    </w:pPr>
  </w:style>
  <w:style w:type="character" w:styleId="FollowedHyperlink">
    <w:name w:val="FollowedHyperlink"/>
    <w:basedOn w:val="DefaultParagraphFont"/>
    <w:uiPriority w:val="99"/>
    <w:semiHidden/>
    <w:unhideWhenUsed/>
    <w:rsid w:val="00AC7214"/>
    <w:rPr>
      <w:color w:val="954F72" w:themeColor="followedHyperlink"/>
      <w:u w:val="single"/>
    </w:rPr>
  </w:style>
  <w:style w:type="paragraph" w:customStyle="1" w:styleId="EndNoteBibliography">
    <w:name w:val="EndNote Bibliography"/>
    <w:basedOn w:val="Normal"/>
    <w:link w:val="EndNoteBibliographyChar"/>
    <w:rsid w:val="00D551AC"/>
    <w:pPr>
      <w:spacing w:after="200"/>
    </w:pPr>
    <w:rPr>
      <w:rFonts w:ascii="Calibri" w:eastAsia="Times New Roman" w:hAnsi="Calibri" w:cs="Times New Roman"/>
      <w:noProof/>
      <w:color w:val="212121"/>
      <w:sz w:val="22"/>
      <w:szCs w:val="20"/>
      <w:u w:val="single"/>
      <w:lang w:val="en-US" w:eastAsia="tr-TR"/>
    </w:rPr>
  </w:style>
  <w:style w:type="character" w:customStyle="1" w:styleId="EndNoteBibliographyChar">
    <w:name w:val="EndNote Bibliography Char"/>
    <w:basedOn w:val="HTMLPreformattedChar"/>
    <w:link w:val="EndNoteBibliography"/>
    <w:rsid w:val="00D551AC"/>
    <w:rPr>
      <w:rFonts w:ascii="Calibri" w:eastAsia="Times New Roman" w:hAnsi="Calibri" w:cs="Times New Roman"/>
      <w:noProof/>
      <w:color w:val="212121"/>
      <w:sz w:val="22"/>
      <w:szCs w:val="20"/>
      <w:u w:val="single"/>
      <w:lang w:val="en-US" w:eastAsia="tr-TR"/>
    </w:rPr>
  </w:style>
  <w:style w:type="paragraph" w:styleId="NormalWeb">
    <w:name w:val="Normal (Web)"/>
    <w:basedOn w:val="Normal"/>
    <w:uiPriority w:val="99"/>
    <w:semiHidden/>
    <w:unhideWhenUsed/>
    <w:rsid w:val="00755171"/>
    <w:pPr>
      <w:spacing w:before="100" w:beforeAutospacing="1" w:after="100" w:afterAutospacing="1"/>
    </w:pPr>
    <w:rPr>
      <w:rFonts w:ascii="Times New Roman" w:eastAsia="Times New Roman" w:hAnsi="Times New Roman" w:cs="Times New Roman"/>
      <w:lang w:eastAsia="tr-TR"/>
    </w:rPr>
  </w:style>
  <w:style w:type="character" w:customStyle="1" w:styleId="Heading2Char">
    <w:name w:val="Heading 2 Char"/>
    <w:basedOn w:val="DefaultParagraphFont"/>
    <w:link w:val="Heading2"/>
    <w:uiPriority w:val="9"/>
    <w:semiHidden/>
    <w:rsid w:val="00DD3AE4"/>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DD3AE4"/>
  </w:style>
  <w:style w:type="character" w:customStyle="1" w:styleId="Heading4Char">
    <w:name w:val="Heading 4 Char"/>
    <w:basedOn w:val="DefaultParagraphFont"/>
    <w:link w:val="Heading4"/>
    <w:uiPriority w:val="9"/>
    <w:semiHidden/>
    <w:rsid w:val="0028731B"/>
    <w:rPr>
      <w:rFonts w:asciiTheme="majorHAnsi" w:eastAsiaTheme="majorEastAsia" w:hAnsiTheme="majorHAnsi" w:cstheme="majorBidi"/>
      <w:i/>
      <w:iCs/>
      <w:color w:val="2F5496" w:themeColor="accent1" w:themeShade="BF"/>
    </w:rPr>
  </w:style>
  <w:style w:type="character" w:customStyle="1" w:styleId="zmlenmeyenBahsetme2">
    <w:name w:val="Çözümlenmeyen Bahsetme2"/>
    <w:basedOn w:val="DefaultParagraphFont"/>
    <w:uiPriority w:val="99"/>
    <w:semiHidden/>
    <w:unhideWhenUsed/>
    <w:rsid w:val="00F41D79"/>
    <w:rPr>
      <w:color w:val="605E5C"/>
      <w:shd w:val="clear" w:color="auto" w:fill="E1DFDD"/>
    </w:rPr>
  </w:style>
  <w:style w:type="character" w:styleId="CommentReference">
    <w:name w:val="annotation reference"/>
    <w:basedOn w:val="DefaultParagraphFont"/>
    <w:uiPriority w:val="99"/>
    <w:semiHidden/>
    <w:unhideWhenUsed/>
    <w:rsid w:val="00F53E1E"/>
    <w:rPr>
      <w:sz w:val="16"/>
      <w:szCs w:val="16"/>
    </w:rPr>
  </w:style>
  <w:style w:type="paragraph" w:styleId="CommentText">
    <w:name w:val="annotation text"/>
    <w:basedOn w:val="Normal"/>
    <w:link w:val="CommentTextChar"/>
    <w:uiPriority w:val="99"/>
    <w:semiHidden/>
    <w:unhideWhenUsed/>
    <w:rsid w:val="00F53E1E"/>
    <w:rPr>
      <w:sz w:val="20"/>
      <w:szCs w:val="20"/>
    </w:rPr>
  </w:style>
  <w:style w:type="character" w:customStyle="1" w:styleId="CommentTextChar">
    <w:name w:val="Comment Text Char"/>
    <w:basedOn w:val="DefaultParagraphFont"/>
    <w:link w:val="CommentText"/>
    <w:uiPriority w:val="99"/>
    <w:semiHidden/>
    <w:rsid w:val="00F53E1E"/>
    <w:rPr>
      <w:sz w:val="20"/>
      <w:szCs w:val="20"/>
    </w:rPr>
  </w:style>
  <w:style w:type="paragraph" w:styleId="CommentSubject">
    <w:name w:val="annotation subject"/>
    <w:basedOn w:val="CommentText"/>
    <w:next w:val="CommentText"/>
    <w:link w:val="CommentSubjectChar"/>
    <w:uiPriority w:val="99"/>
    <w:semiHidden/>
    <w:unhideWhenUsed/>
    <w:rsid w:val="00F53E1E"/>
    <w:rPr>
      <w:b/>
      <w:bCs/>
    </w:rPr>
  </w:style>
  <w:style w:type="character" w:customStyle="1" w:styleId="CommentSubjectChar">
    <w:name w:val="Comment Subject Char"/>
    <w:basedOn w:val="CommentTextChar"/>
    <w:link w:val="CommentSubject"/>
    <w:uiPriority w:val="99"/>
    <w:semiHidden/>
    <w:rsid w:val="00F53E1E"/>
    <w:rPr>
      <w:b/>
      <w:bCs/>
      <w:sz w:val="20"/>
      <w:szCs w:val="20"/>
    </w:rPr>
  </w:style>
  <w:style w:type="paragraph" w:styleId="BalloonText">
    <w:name w:val="Balloon Text"/>
    <w:basedOn w:val="Normal"/>
    <w:link w:val="BalloonTextChar"/>
    <w:uiPriority w:val="99"/>
    <w:semiHidden/>
    <w:unhideWhenUsed/>
    <w:rsid w:val="00F53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1E"/>
    <w:rPr>
      <w:rFonts w:ascii="Segoe UI" w:hAnsi="Segoe UI" w:cs="Segoe UI"/>
      <w:sz w:val="18"/>
      <w:szCs w:val="18"/>
    </w:rPr>
  </w:style>
  <w:style w:type="character" w:customStyle="1" w:styleId="zmlenmeyenBahsetme3">
    <w:name w:val="Çözümlenmeyen Bahsetme3"/>
    <w:basedOn w:val="DefaultParagraphFont"/>
    <w:uiPriority w:val="99"/>
    <w:semiHidden/>
    <w:unhideWhenUsed/>
    <w:rsid w:val="00E3263F"/>
    <w:rPr>
      <w:color w:val="605E5C"/>
      <w:shd w:val="clear" w:color="auto" w:fill="E1DFDD"/>
    </w:rPr>
  </w:style>
  <w:style w:type="character" w:customStyle="1" w:styleId="apple-converted-space">
    <w:name w:val="apple-converted-space"/>
    <w:basedOn w:val="DefaultParagraphFont"/>
    <w:rsid w:val="005E3186"/>
  </w:style>
  <w:style w:type="table" w:styleId="PlainTable2">
    <w:name w:val="Plain Table 2"/>
    <w:basedOn w:val="TableNormal"/>
    <w:uiPriority w:val="42"/>
    <w:rsid w:val="00585FD2"/>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85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5A0"/>
    <w:pPr>
      <w:tabs>
        <w:tab w:val="center" w:pos="4536"/>
        <w:tab w:val="right" w:pos="9072"/>
      </w:tabs>
    </w:pPr>
  </w:style>
  <w:style w:type="character" w:customStyle="1" w:styleId="HeaderChar">
    <w:name w:val="Header Char"/>
    <w:basedOn w:val="DefaultParagraphFont"/>
    <w:link w:val="Header"/>
    <w:uiPriority w:val="99"/>
    <w:rsid w:val="000325A0"/>
  </w:style>
  <w:style w:type="paragraph" w:styleId="Footer">
    <w:name w:val="footer"/>
    <w:basedOn w:val="Normal"/>
    <w:link w:val="FooterChar"/>
    <w:uiPriority w:val="99"/>
    <w:unhideWhenUsed/>
    <w:rsid w:val="000325A0"/>
    <w:pPr>
      <w:tabs>
        <w:tab w:val="center" w:pos="4536"/>
        <w:tab w:val="right" w:pos="9072"/>
      </w:tabs>
    </w:pPr>
  </w:style>
  <w:style w:type="character" w:customStyle="1" w:styleId="FooterChar">
    <w:name w:val="Footer Char"/>
    <w:basedOn w:val="DefaultParagraphFont"/>
    <w:link w:val="Footer"/>
    <w:uiPriority w:val="99"/>
    <w:rsid w:val="0003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2027">
      <w:bodyDiv w:val="1"/>
      <w:marLeft w:val="0"/>
      <w:marRight w:val="0"/>
      <w:marTop w:val="0"/>
      <w:marBottom w:val="0"/>
      <w:divBdr>
        <w:top w:val="none" w:sz="0" w:space="0" w:color="auto"/>
        <w:left w:val="none" w:sz="0" w:space="0" w:color="auto"/>
        <w:bottom w:val="none" w:sz="0" w:space="0" w:color="auto"/>
        <w:right w:val="none" w:sz="0" w:space="0" w:color="auto"/>
      </w:divBdr>
      <w:divsChild>
        <w:div w:id="1329599830">
          <w:marLeft w:val="0"/>
          <w:marRight w:val="0"/>
          <w:marTop w:val="0"/>
          <w:marBottom w:val="0"/>
          <w:divBdr>
            <w:top w:val="none" w:sz="0" w:space="0" w:color="auto"/>
            <w:left w:val="none" w:sz="0" w:space="0" w:color="auto"/>
            <w:bottom w:val="none" w:sz="0" w:space="0" w:color="auto"/>
            <w:right w:val="none" w:sz="0" w:space="0" w:color="auto"/>
          </w:divBdr>
          <w:divsChild>
            <w:div w:id="1874612815">
              <w:marLeft w:val="0"/>
              <w:marRight w:val="0"/>
              <w:marTop w:val="0"/>
              <w:marBottom w:val="0"/>
              <w:divBdr>
                <w:top w:val="none" w:sz="0" w:space="0" w:color="auto"/>
                <w:left w:val="none" w:sz="0" w:space="0" w:color="auto"/>
                <w:bottom w:val="none" w:sz="0" w:space="0" w:color="auto"/>
                <w:right w:val="none" w:sz="0" w:space="0" w:color="auto"/>
              </w:divBdr>
              <w:divsChild>
                <w:div w:id="4619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916">
      <w:bodyDiv w:val="1"/>
      <w:marLeft w:val="0"/>
      <w:marRight w:val="0"/>
      <w:marTop w:val="0"/>
      <w:marBottom w:val="0"/>
      <w:divBdr>
        <w:top w:val="none" w:sz="0" w:space="0" w:color="auto"/>
        <w:left w:val="none" w:sz="0" w:space="0" w:color="auto"/>
        <w:bottom w:val="none" w:sz="0" w:space="0" w:color="auto"/>
        <w:right w:val="none" w:sz="0" w:space="0" w:color="auto"/>
      </w:divBdr>
      <w:divsChild>
        <w:div w:id="1665549674">
          <w:marLeft w:val="0"/>
          <w:marRight w:val="0"/>
          <w:marTop w:val="34"/>
          <w:marBottom w:val="34"/>
          <w:divBdr>
            <w:top w:val="none" w:sz="0" w:space="0" w:color="auto"/>
            <w:left w:val="none" w:sz="0" w:space="0" w:color="auto"/>
            <w:bottom w:val="none" w:sz="0" w:space="0" w:color="auto"/>
            <w:right w:val="none" w:sz="0" w:space="0" w:color="auto"/>
          </w:divBdr>
        </w:div>
      </w:divsChild>
    </w:div>
    <w:div w:id="112214359">
      <w:bodyDiv w:val="1"/>
      <w:marLeft w:val="0"/>
      <w:marRight w:val="0"/>
      <w:marTop w:val="0"/>
      <w:marBottom w:val="0"/>
      <w:divBdr>
        <w:top w:val="none" w:sz="0" w:space="0" w:color="auto"/>
        <w:left w:val="none" w:sz="0" w:space="0" w:color="auto"/>
        <w:bottom w:val="none" w:sz="0" w:space="0" w:color="auto"/>
        <w:right w:val="none" w:sz="0" w:space="0" w:color="auto"/>
      </w:divBdr>
    </w:div>
    <w:div w:id="184711032">
      <w:bodyDiv w:val="1"/>
      <w:marLeft w:val="0"/>
      <w:marRight w:val="0"/>
      <w:marTop w:val="0"/>
      <w:marBottom w:val="0"/>
      <w:divBdr>
        <w:top w:val="none" w:sz="0" w:space="0" w:color="auto"/>
        <w:left w:val="none" w:sz="0" w:space="0" w:color="auto"/>
        <w:bottom w:val="none" w:sz="0" w:space="0" w:color="auto"/>
        <w:right w:val="none" w:sz="0" w:space="0" w:color="auto"/>
      </w:divBdr>
      <w:divsChild>
        <w:div w:id="1770808717">
          <w:marLeft w:val="0"/>
          <w:marRight w:val="0"/>
          <w:marTop w:val="120"/>
          <w:marBottom w:val="360"/>
          <w:divBdr>
            <w:top w:val="none" w:sz="0" w:space="0" w:color="auto"/>
            <w:left w:val="none" w:sz="0" w:space="0" w:color="auto"/>
            <w:bottom w:val="none" w:sz="0" w:space="0" w:color="auto"/>
            <w:right w:val="none" w:sz="0" w:space="0" w:color="auto"/>
          </w:divBdr>
          <w:divsChild>
            <w:div w:id="690103832">
              <w:marLeft w:val="0"/>
              <w:marRight w:val="0"/>
              <w:marTop w:val="0"/>
              <w:marBottom w:val="0"/>
              <w:divBdr>
                <w:top w:val="none" w:sz="0" w:space="0" w:color="auto"/>
                <w:left w:val="none" w:sz="0" w:space="0" w:color="auto"/>
                <w:bottom w:val="none" w:sz="0" w:space="0" w:color="auto"/>
                <w:right w:val="none" w:sz="0" w:space="0" w:color="auto"/>
              </w:divBdr>
            </w:div>
            <w:div w:id="18902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0138">
      <w:bodyDiv w:val="1"/>
      <w:marLeft w:val="0"/>
      <w:marRight w:val="0"/>
      <w:marTop w:val="0"/>
      <w:marBottom w:val="0"/>
      <w:divBdr>
        <w:top w:val="none" w:sz="0" w:space="0" w:color="auto"/>
        <w:left w:val="none" w:sz="0" w:space="0" w:color="auto"/>
        <w:bottom w:val="none" w:sz="0" w:space="0" w:color="auto"/>
        <w:right w:val="none" w:sz="0" w:space="0" w:color="auto"/>
      </w:divBdr>
    </w:div>
    <w:div w:id="212079786">
      <w:bodyDiv w:val="1"/>
      <w:marLeft w:val="0"/>
      <w:marRight w:val="0"/>
      <w:marTop w:val="0"/>
      <w:marBottom w:val="0"/>
      <w:divBdr>
        <w:top w:val="none" w:sz="0" w:space="0" w:color="auto"/>
        <w:left w:val="none" w:sz="0" w:space="0" w:color="auto"/>
        <w:bottom w:val="none" w:sz="0" w:space="0" w:color="auto"/>
        <w:right w:val="none" w:sz="0" w:space="0" w:color="auto"/>
      </w:divBdr>
      <w:divsChild>
        <w:div w:id="474377471">
          <w:marLeft w:val="0"/>
          <w:marRight w:val="0"/>
          <w:marTop w:val="0"/>
          <w:marBottom w:val="0"/>
          <w:divBdr>
            <w:top w:val="none" w:sz="0" w:space="0" w:color="auto"/>
            <w:left w:val="none" w:sz="0" w:space="0" w:color="auto"/>
            <w:bottom w:val="none" w:sz="0" w:space="0" w:color="auto"/>
            <w:right w:val="none" w:sz="0" w:space="0" w:color="auto"/>
          </w:divBdr>
          <w:divsChild>
            <w:div w:id="1028264248">
              <w:marLeft w:val="0"/>
              <w:marRight w:val="0"/>
              <w:marTop w:val="0"/>
              <w:marBottom w:val="0"/>
              <w:divBdr>
                <w:top w:val="none" w:sz="0" w:space="0" w:color="auto"/>
                <w:left w:val="none" w:sz="0" w:space="0" w:color="auto"/>
                <w:bottom w:val="none" w:sz="0" w:space="0" w:color="auto"/>
                <w:right w:val="none" w:sz="0" w:space="0" w:color="auto"/>
              </w:divBdr>
              <w:divsChild>
                <w:div w:id="1364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050">
      <w:bodyDiv w:val="1"/>
      <w:marLeft w:val="0"/>
      <w:marRight w:val="0"/>
      <w:marTop w:val="0"/>
      <w:marBottom w:val="0"/>
      <w:divBdr>
        <w:top w:val="none" w:sz="0" w:space="0" w:color="auto"/>
        <w:left w:val="none" w:sz="0" w:space="0" w:color="auto"/>
        <w:bottom w:val="none" w:sz="0" w:space="0" w:color="auto"/>
        <w:right w:val="none" w:sz="0" w:space="0" w:color="auto"/>
      </w:divBdr>
      <w:divsChild>
        <w:div w:id="796992975">
          <w:marLeft w:val="0"/>
          <w:marRight w:val="0"/>
          <w:marTop w:val="120"/>
          <w:marBottom w:val="360"/>
          <w:divBdr>
            <w:top w:val="none" w:sz="0" w:space="0" w:color="auto"/>
            <w:left w:val="none" w:sz="0" w:space="0" w:color="auto"/>
            <w:bottom w:val="none" w:sz="0" w:space="0" w:color="auto"/>
            <w:right w:val="none" w:sz="0" w:space="0" w:color="auto"/>
          </w:divBdr>
          <w:divsChild>
            <w:div w:id="1474560907">
              <w:marLeft w:val="0"/>
              <w:marRight w:val="0"/>
              <w:marTop w:val="0"/>
              <w:marBottom w:val="0"/>
              <w:divBdr>
                <w:top w:val="none" w:sz="0" w:space="0" w:color="auto"/>
                <w:left w:val="none" w:sz="0" w:space="0" w:color="auto"/>
                <w:bottom w:val="none" w:sz="0" w:space="0" w:color="auto"/>
                <w:right w:val="none" w:sz="0" w:space="0" w:color="auto"/>
              </w:divBdr>
            </w:div>
            <w:div w:id="2097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4683">
      <w:bodyDiv w:val="1"/>
      <w:marLeft w:val="0"/>
      <w:marRight w:val="0"/>
      <w:marTop w:val="0"/>
      <w:marBottom w:val="0"/>
      <w:divBdr>
        <w:top w:val="none" w:sz="0" w:space="0" w:color="auto"/>
        <w:left w:val="none" w:sz="0" w:space="0" w:color="auto"/>
        <w:bottom w:val="none" w:sz="0" w:space="0" w:color="auto"/>
        <w:right w:val="none" w:sz="0" w:space="0" w:color="auto"/>
      </w:divBdr>
      <w:divsChild>
        <w:div w:id="1085106781">
          <w:marLeft w:val="0"/>
          <w:marRight w:val="0"/>
          <w:marTop w:val="0"/>
          <w:marBottom w:val="0"/>
          <w:divBdr>
            <w:top w:val="none" w:sz="0" w:space="0" w:color="auto"/>
            <w:left w:val="none" w:sz="0" w:space="0" w:color="auto"/>
            <w:bottom w:val="none" w:sz="0" w:space="0" w:color="auto"/>
            <w:right w:val="none" w:sz="0" w:space="0" w:color="auto"/>
          </w:divBdr>
          <w:divsChild>
            <w:div w:id="1143422715">
              <w:marLeft w:val="0"/>
              <w:marRight w:val="0"/>
              <w:marTop w:val="0"/>
              <w:marBottom w:val="0"/>
              <w:divBdr>
                <w:top w:val="none" w:sz="0" w:space="0" w:color="auto"/>
                <w:left w:val="none" w:sz="0" w:space="0" w:color="auto"/>
                <w:bottom w:val="none" w:sz="0" w:space="0" w:color="auto"/>
                <w:right w:val="none" w:sz="0" w:space="0" w:color="auto"/>
              </w:divBdr>
              <w:divsChild>
                <w:div w:id="1993480566">
                  <w:marLeft w:val="0"/>
                  <w:marRight w:val="0"/>
                  <w:marTop w:val="0"/>
                  <w:marBottom w:val="0"/>
                  <w:divBdr>
                    <w:top w:val="none" w:sz="0" w:space="0" w:color="auto"/>
                    <w:left w:val="none" w:sz="0" w:space="0" w:color="auto"/>
                    <w:bottom w:val="none" w:sz="0" w:space="0" w:color="auto"/>
                    <w:right w:val="none" w:sz="0" w:space="0" w:color="auto"/>
                  </w:divBdr>
                  <w:divsChild>
                    <w:div w:id="3615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5912">
      <w:bodyDiv w:val="1"/>
      <w:marLeft w:val="0"/>
      <w:marRight w:val="0"/>
      <w:marTop w:val="0"/>
      <w:marBottom w:val="0"/>
      <w:divBdr>
        <w:top w:val="none" w:sz="0" w:space="0" w:color="auto"/>
        <w:left w:val="none" w:sz="0" w:space="0" w:color="auto"/>
        <w:bottom w:val="none" w:sz="0" w:space="0" w:color="auto"/>
        <w:right w:val="none" w:sz="0" w:space="0" w:color="auto"/>
      </w:divBdr>
      <w:divsChild>
        <w:div w:id="270434093">
          <w:marLeft w:val="0"/>
          <w:marRight w:val="0"/>
          <w:marTop w:val="120"/>
          <w:marBottom w:val="360"/>
          <w:divBdr>
            <w:top w:val="none" w:sz="0" w:space="0" w:color="auto"/>
            <w:left w:val="none" w:sz="0" w:space="0" w:color="auto"/>
            <w:bottom w:val="none" w:sz="0" w:space="0" w:color="auto"/>
            <w:right w:val="none" w:sz="0" w:space="0" w:color="auto"/>
          </w:divBdr>
          <w:divsChild>
            <w:div w:id="1821724956">
              <w:marLeft w:val="0"/>
              <w:marRight w:val="0"/>
              <w:marTop w:val="0"/>
              <w:marBottom w:val="0"/>
              <w:divBdr>
                <w:top w:val="none" w:sz="0" w:space="0" w:color="auto"/>
                <w:left w:val="none" w:sz="0" w:space="0" w:color="auto"/>
                <w:bottom w:val="none" w:sz="0" w:space="0" w:color="auto"/>
                <w:right w:val="none" w:sz="0" w:space="0" w:color="auto"/>
              </w:divBdr>
            </w:div>
            <w:div w:id="807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8428">
      <w:bodyDiv w:val="1"/>
      <w:marLeft w:val="0"/>
      <w:marRight w:val="0"/>
      <w:marTop w:val="0"/>
      <w:marBottom w:val="0"/>
      <w:divBdr>
        <w:top w:val="none" w:sz="0" w:space="0" w:color="auto"/>
        <w:left w:val="none" w:sz="0" w:space="0" w:color="auto"/>
        <w:bottom w:val="none" w:sz="0" w:space="0" w:color="auto"/>
        <w:right w:val="none" w:sz="0" w:space="0" w:color="auto"/>
      </w:divBdr>
    </w:div>
    <w:div w:id="387385689">
      <w:bodyDiv w:val="1"/>
      <w:marLeft w:val="0"/>
      <w:marRight w:val="0"/>
      <w:marTop w:val="0"/>
      <w:marBottom w:val="0"/>
      <w:divBdr>
        <w:top w:val="none" w:sz="0" w:space="0" w:color="auto"/>
        <w:left w:val="none" w:sz="0" w:space="0" w:color="auto"/>
        <w:bottom w:val="none" w:sz="0" w:space="0" w:color="auto"/>
        <w:right w:val="none" w:sz="0" w:space="0" w:color="auto"/>
      </w:divBdr>
      <w:divsChild>
        <w:div w:id="1650209739">
          <w:marLeft w:val="0"/>
          <w:marRight w:val="0"/>
          <w:marTop w:val="0"/>
          <w:marBottom w:val="0"/>
          <w:divBdr>
            <w:top w:val="none" w:sz="0" w:space="0" w:color="auto"/>
            <w:left w:val="none" w:sz="0" w:space="0" w:color="auto"/>
            <w:bottom w:val="none" w:sz="0" w:space="0" w:color="auto"/>
            <w:right w:val="none" w:sz="0" w:space="0" w:color="auto"/>
          </w:divBdr>
          <w:divsChild>
            <w:div w:id="398290751">
              <w:marLeft w:val="0"/>
              <w:marRight w:val="0"/>
              <w:marTop w:val="0"/>
              <w:marBottom w:val="0"/>
              <w:divBdr>
                <w:top w:val="none" w:sz="0" w:space="0" w:color="auto"/>
                <w:left w:val="none" w:sz="0" w:space="0" w:color="auto"/>
                <w:bottom w:val="none" w:sz="0" w:space="0" w:color="auto"/>
                <w:right w:val="none" w:sz="0" w:space="0" w:color="auto"/>
              </w:divBdr>
              <w:divsChild>
                <w:div w:id="6014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02">
      <w:bodyDiv w:val="1"/>
      <w:marLeft w:val="0"/>
      <w:marRight w:val="0"/>
      <w:marTop w:val="0"/>
      <w:marBottom w:val="0"/>
      <w:divBdr>
        <w:top w:val="none" w:sz="0" w:space="0" w:color="auto"/>
        <w:left w:val="none" w:sz="0" w:space="0" w:color="auto"/>
        <w:bottom w:val="none" w:sz="0" w:space="0" w:color="auto"/>
        <w:right w:val="none" w:sz="0" w:space="0" w:color="auto"/>
      </w:divBdr>
    </w:div>
    <w:div w:id="556822249">
      <w:bodyDiv w:val="1"/>
      <w:marLeft w:val="0"/>
      <w:marRight w:val="0"/>
      <w:marTop w:val="0"/>
      <w:marBottom w:val="0"/>
      <w:divBdr>
        <w:top w:val="none" w:sz="0" w:space="0" w:color="auto"/>
        <w:left w:val="none" w:sz="0" w:space="0" w:color="auto"/>
        <w:bottom w:val="none" w:sz="0" w:space="0" w:color="auto"/>
        <w:right w:val="none" w:sz="0" w:space="0" w:color="auto"/>
      </w:divBdr>
      <w:divsChild>
        <w:div w:id="181937719">
          <w:marLeft w:val="0"/>
          <w:marRight w:val="0"/>
          <w:marTop w:val="0"/>
          <w:marBottom w:val="0"/>
          <w:divBdr>
            <w:top w:val="none" w:sz="0" w:space="0" w:color="auto"/>
            <w:left w:val="none" w:sz="0" w:space="0" w:color="auto"/>
            <w:bottom w:val="none" w:sz="0" w:space="0" w:color="auto"/>
            <w:right w:val="none" w:sz="0" w:space="0" w:color="auto"/>
          </w:divBdr>
          <w:divsChild>
            <w:div w:id="1504784754">
              <w:marLeft w:val="0"/>
              <w:marRight w:val="0"/>
              <w:marTop w:val="0"/>
              <w:marBottom w:val="0"/>
              <w:divBdr>
                <w:top w:val="none" w:sz="0" w:space="0" w:color="auto"/>
                <w:left w:val="none" w:sz="0" w:space="0" w:color="auto"/>
                <w:bottom w:val="none" w:sz="0" w:space="0" w:color="auto"/>
                <w:right w:val="none" w:sz="0" w:space="0" w:color="auto"/>
              </w:divBdr>
              <w:divsChild>
                <w:div w:id="19618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1524">
      <w:bodyDiv w:val="1"/>
      <w:marLeft w:val="0"/>
      <w:marRight w:val="0"/>
      <w:marTop w:val="0"/>
      <w:marBottom w:val="0"/>
      <w:divBdr>
        <w:top w:val="none" w:sz="0" w:space="0" w:color="auto"/>
        <w:left w:val="none" w:sz="0" w:space="0" w:color="auto"/>
        <w:bottom w:val="none" w:sz="0" w:space="0" w:color="auto"/>
        <w:right w:val="none" w:sz="0" w:space="0" w:color="auto"/>
      </w:divBdr>
    </w:div>
    <w:div w:id="618493039">
      <w:bodyDiv w:val="1"/>
      <w:marLeft w:val="0"/>
      <w:marRight w:val="0"/>
      <w:marTop w:val="0"/>
      <w:marBottom w:val="0"/>
      <w:divBdr>
        <w:top w:val="none" w:sz="0" w:space="0" w:color="auto"/>
        <w:left w:val="none" w:sz="0" w:space="0" w:color="auto"/>
        <w:bottom w:val="none" w:sz="0" w:space="0" w:color="auto"/>
        <w:right w:val="none" w:sz="0" w:space="0" w:color="auto"/>
      </w:divBdr>
    </w:div>
    <w:div w:id="679813340">
      <w:bodyDiv w:val="1"/>
      <w:marLeft w:val="0"/>
      <w:marRight w:val="0"/>
      <w:marTop w:val="0"/>
      <w:marBottom w:val="0"/>
      <w:divBdr>
        <w:top w:val="none" w:sz="0" w:space="0" w:color="auto"/>
        <w:left w:val="none" w:sz="0" w:space="0" w:color="auto"/>
        <w:bottom w:val="none" w:sz="0" w:space="0" w:color="auto"/>
        <w:right w:val="none" w:sz="0" w:space="0" w:color="auto"/>
      </w:divBdr>
    </w:div>
    <w:div w:id="681395597">
      <w:bodyDiv w:val="1"/>
      <w:marLeft w:val="0"/>
      <w:marRight w:val="0"/>
      <w:marTop w:val="0"/>
      <w:marBottom w:val="0"/>
      <w:divBdr>
        <w:top w:val="none" w:sz="0" w:space="0" w:color="auto"/>
        <w:left w:val="none" w:sz="0" w:space="0" w:color="auto"/>
        <w:bottom w:val="none" w:sz="0" w:space="0" w:color="auto"/>
        <w:right w:val="none" w:sz="0" w:space="0" w:color="auto"/>
      </w:divBdr>
    </w:div>
    <w:div w:id="710766627">
      <w:bodyDiv w:val="1"/>
      <w:marLeft w:val="0"/>
      <w:marRight w:val="0"/>
      <w:marTop w:val="0"/>
      <w:marBottom w:val="0"/>
      <w:divBdr>
        <w:top w:val="none" w:sz="0" w:space="0" w:color="auto"/>
        <w:left w:val="none" w:sz="0" w:space="0" w:color="auto"/>
        <w:bottom w:val="none" w:sz="0" w:space="0" w:color="auto"/>
        <w:right w:val="none" w:sz="0" w:space="0" w:color="auto"/>
      </w:divBdr>
      <w:divsChild>
        <w:div w:id="514808152">
          <w:marLeft w:val="0"/>
          <w:marRight w:val="0"/>
          <w:marTop w:val="0"/>
          <w:marBottom w:val="0"/>
          <w:divBdr>
            <w:top w:val="none" w:sz="0" w:space="0" w:color="auto"/>
            <w:left w:val="none" w:sz="0" w:space="0" w:color="auto"/>
            <w:bottom w:val="none" w:sz="0" w:space="0" w:color="auto"/>
            <w:right w:val="none" w:sz="0" w:space="0" w:color="auto"/>
          </w:divBdr>
          <w:divsChild>
            <w:div w:id="783768476">
              <w:marLeft w:val="0"/>
              <w:marRight w:val="0"/>
              <w:marTop w:val="0"/>
              <w:marBottom w:val="0"/>
              <w:divBdr>
                <w:top w:val="none" w:sz="0" w:space="0" w:color="auto"/>
                <w:left w:val="none" w:sz="0" w:space="0" w:color="auto"/>
                <w:bottom w:val="none" w:sz="0" w:space="0" w:color="auto"/>
                <w:right w:val="none" w:sz="0" w:space="0" w:color="auto"/>
              </w:divBdr>
              <w:divsChild>
                <w:div w:id="1457525375">
                  <w:marLeft w:val="0"/>
                  <w:marRight w:val="0"/>
                  <w:marTop w:val="0"/>
                  <w:marBottom w:val="0"/>
                  <w:divBdr>
                    <w:top w:val="none" w:sz="0" w:space="0" w:color="auto"/>
                    <w:left w:val="none" w:sz="0" w:space="0" w:color="auto"/>
                    <w:bottom w:val="none" w:sz="0" w:space="0" w:color="auto"/>
                    <w:right w:val="none" w:sz="0" w:space="0" w:color="auto"/>
                  </w:divBdr>
                  <w:divsChild>
                    <w:div w:id="8174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6209">
      <w:bodyDiv w:val="1"/>
      <w:marLeft w:val="0"/>
      <w:marRight w:val="0"/>
      <w:marTop w:val="0"/>
      <w:marBottom w:val="0"/>
      <w:divBdr>
        <w:top w:val="none" w:sz="0" w:space="0" w:color="auto"/>
        <w:left w:val="none" w:sz="0" w:space="0" w:color="auto"/>
        <w:bottom w:val="none" w:sz="0" w:space="0" w:color="auto"/>
        <w:right w:val="none" w:sz="0" w:space="0" w:color="auto"/>
      </w:divBdr>
    </w:div>
    <w:div w:id="842596801">
      <w:bodyDiv w:val="1"/>
      <w:marLeft w:val="0"/>
      <w:marRight w:val="0"/>
      <w:marTop w:val="0"/>
      <w:marBottom w:val="0"/>
      <w:divBdr>
        <w:top w:val="none" w:sz="0" w:space="0" w:color="auto"/>
        <w:left w:val="none" w:sz="0" w:space="0" w:color="auto"/>
        <w:bottom w:val="none" w:sz="0" w:space="0" w:color="auto"/>
        <w:right w:val="none" w:sz="0" w:space="0" w:color="auto"/>
      </w:divBdr>
      <w:divsChild>
        <w:div w:id="2036156616">
          <w:marLeft w:val="0"/>
          <w:marRight w:val="0"/>
          <w:marTop w:val="0"/>
          <w:marBottom w:val="0"/>
          <w:divBdr>
            <w:top w:val="none" w:sz="0" w:space="0" w:color="auto"/>
            <w:left w:val="none" w:sz="0" w:space="0" w:color="auto"/>
            <w:bottom w:val="none" w:sz="0" w:space="0" w:color="auto"/>
            <w:right w:val="none" w:sz="0" w:space="0" w:color="auto"/>
          </w:divBdr>
          <w:divsChild>
            <w:div w:id="1195341248">
              <w:marLeft w:val="0"/>
              <w:marRight w:val="0"/>
              <w:marTop w:val="0"/>
              <w:marBottom w:val="0"/>
              <w:divBdr>
                <w:top w:val="none" w:sz="0" w:space="0" w:color="auto"/>
                <w:left w:val="none" w:sz="0" w:space="0" w:color="auto"/>
                <w:bottom w:val="none" w:sz="0" w:space="0" w:color="auto"/>
                <w:right w:val="none" w:sz="0" w:space="0" w:color="auto"/>
              </w:divBdr>
              <w:divsChild>
                <w:div w:id="8730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6355">
      <w:bodyDiv w:val="1"/>
      <w:marLeft w:val="0"/>
      <w:marRight w:val="0"/>
      <w:marTop w:val="0"/>
      <w:marBottom w:val="0"/>
      <w:divBdr>
        <w:top w:val="none" w:sz="0" w:space="0" w:color="auto"/>
        <w:left w:val="none" w:sz="0" w:space="0" w:color="auto"/>
        <w:bottom w:val="none" w:sz="0" w:space="0" w:color="auto"/>
        <w:right w:val="none" w:sz="0" w:space="0" w:color="auto"/>
      </w:divBdr>
      <w:divsChild>
        <w:div w:id="1256402468">
          <w:marLeft w:val="0"/>
          <w:marRight w:val="0"/>
          <w:marTop w:val="120"/>
          <w:marBottom w:val="360"/>
          <w:divBdr>
            <w:top w:val="none" w:sz="0" w:space="0" w:color="auto"/>
            <w:left w:val="none" w:sz="0" w:space="0" w:color="auto"/>
            <w:bottom w:val="none" w:sz="0" w:space="0" w:color="auto"/>
            <w:right w:val="none" w:sz="0" w:space="0" w:color="auto"/>
          </w:divBdr>
          <w:divsChild>
            <w:div w:id="1338772551">
              <w:marLeft w:val="0"/>
              <w:marRight w:val="0"/>
              <w:marTop w:val="0"/>
              <w:marBottom w:val="0"/>
              <w:divBdr>
                <w:top w:val="none" w:sz="0" w:space="0" w:color="auto"/>
                <w:left w:val="none" w:sz="0" w:space="0" w:color="auto"/>
                <w:bottom w:val="none" w:sz="0" w:space="0" w:color="auto"/>
                <w:right w:val="none" w:sz="0" w:space="0" w:color="auto"/>
              </w:divBdr>
            </w:div>
            <w:div w:id="3247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6330">
      <w:bodyDiv w:val="1"/>
      <w:marLeft w:val="0"/>
      <w:marRight w:val="0"/>
      <w:marTop w:val="0"/>
      <w:marBottom w:val="0"/>
      <w:divBdr>
        <w:top w:val="none" w:sz="0" w:space="0" w:color="auto"/>
        <w:left w:val="none" w:sz="0" w:space="0" w:color="auto"/>
        <w:bottom w:val="none" w:sz="0" w:space="0" w:color="auto"/>
        <w:right w:val="none" w:sz="0" w:space="0" w:color="auto"/>
      </w:divBdr>
      <w:divsChild>
        <w:div w:id="1704478403">
          <w:marLeft w:val="0"/>
          <w:marRight w:val="0"/>
          <w:marTop w:val="0"/>
          <w:marBottom w:val="0"/>
          <w:divBdr>
            <w:top w:val="none" w:sz="0" w:space="0" w:color="auto"/>
            <w:left w:val="none" w:sz="0" w:space="0" w:color="auto"/>
            <w:bottom w:val="none" w:sz="0" w:space="0" w:color="auto"/>
            <w:right w:val="none" w:sz="0" w:space="0" w:color="auto"/>
          </w:divBdr>
          <w:divsChild>
            <w:div w:id="1317104890">
              <w:marLeft w:val="0"/>
              <w:marRight w:val="0"/>
              <w:marTop w:val="0"/>
              <w:marBottom w:val="0"/>
              <w:divBdr>
                <w:top w:val="none" w:sz="0" w:space="0" w:color="auto"/>
                <w:left w:val="none" w:sz="0" w:space="0" w:color="auto"/>
                <w:bottom w:val="none" w:sz="0" w:space="0" w:color="auto"/>
                <w:right w:val="none" w:sz="0" w:space="0" w:color="auto"/>
              </w:divBdr>
              <w:divsChild>
                <w:div w:id="1532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66925">
      <w:bodyDiv w:val="1"/>
      <w:marLeft w:val="0"/>
      <w:marRight w:val="0"/>
      <w:marTop w:val="0"/>
      <w:marBottom w:val="0"/>
      <w:divBdr>
        <w:top w:val="none" w:sz="0" w:space="0" w:color="auto"/>
        <w:left w:val="none" w:sz="0" w:space="0" w:color="auto"/>
        <w:bottom w:val="none" w:sz="0" w:space="0" w:color="auto"/>
        <w:right w:val="none" w:sz="0" w:space="0" w:color="auto"/>
      </w:divBdr>
      <w:divsChild>
        <w:div w:id="472017545">
          <w:marLeft w:val="0"/>
          <w:marRight w:val="0"/>
          <w:marTop w:val="120"/>
          <w:marBottom w:val="360"/>
          <w:divBdr>
            <w:top w:val="none" w:sz="0" w:space="0" w:color="auto"/>
            <w:left w:val="none" w:sz="0" w:space="0" w:color="auto"/>
            <w:bottom w:val="none" w:sz="0" w:space="0" w:color="auto"/>
            <w:right w:val="none" w:sz="0" w:space="0" w:color="auto"/>
          </w:divBdr>
          <w:divsChild>
            <w:div w:id="1461803114">
              <w:marLeft w:val="0"/>
              <w:marRight w:val="0"/>
              <w:marTop w:val="0"/>
              <w:marBottom w:val="0"/>
              <w:divBdr>
                <w:top w:val="none" w:sz="0" w:space="0" w:color="auto"/>
                <w:left w:val="none" w:sz="0" w:space="0" w:color="auto"/>
                <w:bottom w:val="none" w:sz="0" w:space="0" w:color="auto"/>
                <w:right w:val="none" w:sz="0" w:space="0" w:color="auto"/>
              </w:divBdr>
            </w:div>
            <w:div w:id="17864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6570">
      <w:bodyDiv w:val="1"/>
      <w:marLeft w:val="0"/>
      <w:marRight w:val="0"/>
      <w:marTop w:val="0"/>
      <w:marBottom w:val="0"/>
      <w:divBdr>
        <w:top w:val="none" w:sz="0" w:space="0" w:color="auto"/>
        <w:left w:val="none" w:sz="0" w:space="0" w:color="auto"/>
        <w:bottom w:val="none" w:sz="0" w:space="0" w:color="auto"/>
        <w:right w:val="none" w:sz="0" w:space="0" w:color="auto"/>
      </w:divBdr>
      <w:divsChild>
        <w:div w:id="1252162236">
          <w:marLeft w:val="0"/>
          <w:marRight w:val="0"/>
          <w:marTop w:val="120"/>
          <w:marBottom w:val="360"/>
          <w:divBdr>
            <w:top w:val="none" w:sz="0" w:space="0" w:color="auto"/>
            <w:left w:val="none" w:sz="0" w:space="0" w:color="auto"/>
            <w:bottom w:val="none" w:sz="0" w:space="0" w:color="auto"/>
            <w:right w:val="none" w:sz="0" w:space="0" w:color="auto"/>
          </w:divBdr>
          <w:divsChild>
            <w:div w:id="720595090">
              <w:marLeft w:val="0"/>
              <w:marRight w:val="0"/>
              <w:marTop w:val="0"/>
              <w:marBottom w:val="0"/>
              <w:divBdr>
                <w:top w:val="none" w:sz="0" w:space="0" w:color="auto"/>
                <w:left w:val="none" w:sz="0" w:space="0" w:color="auto"/>
                <w:bottom w:val="none" w:sz="0" w:space="0" w:color="auto"/>
                <w:right w:val="none" w:sz="0" w:space="0" w:color="auto"/>
              </w:divBdr>
            </w:div>
            <w:div w:id="14114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3995">
      <w:bodyDiv w:val="1"/>
      <w:marLeft w:val="0"/>
      <w:marRight w:val="0"/>
      <w:marTop w:val="0"/>
      <w:marBottom w:val="0"/>
      <w:divBdr>
        <w:top w:val="none" w:sz="0" w:space="0" w:color="auto"/>
        <w:left w:val="none" w:sz="0" w:space="0" w:color="auto"/>
        <w:bottom w:val="none" w:sz="0" w:space="0" w:color="auto"/>
        <w:right w:val="none" w:sz="0" w:space="0" w:color="auto"/>
      </w:divBdr>
    </w:div>
    <w:div w:id="972058139">
      <w:bodyDiv w:val="1"/>
      <w:marLeft w:val="0"/>
      <w:marRight w:val="0"/>
      <w:marTop w:val="0"/>
      <w:marBottom w:val="0"/>
      <w:divBdr>
        <w:top w:val="none" w:sz="0" w:space="0" w:color="auto"/>
        <w:left w:val="none" w:sz="0" w:space="0" w:color="auto"/>
        <w:bottom w:val="none" w:sz="0" w:space="0" w:color="auto"/>
        <w:right w:val="none" w:sz="0" w:space="0" w:color="auto"/>
      </w:divBdr>
      <w:divsChild>
        <w:div w:id="518661211">
          <w:marLeft w:val="0"/>
          <w:marRight w:val="0"/>
          <w:marTop w:val="0"/>
          <w:marBottom w:val="0"/>
          <w:divBdr>
            <w:top w:val="none" w:sz="0" w:space="0" w:color="auto"/>
            <w:left w:val="none" w:sz="0" w:space="0" w:color="auto"/>
            <w:bottom w:val="none" w:sz="0" w:space="0" w:color="auto"/>
            <w:right w:val="none" w:sz="0" w:space="0" w:color="auto"/>
          </w:divBdr>
          <w:divsChild>
            <w:div w:id="763838409">
              <w:marLeft w:val="0"/>
              <w:marRight w:val="0"/>
              <w:marTop w:val="0"/>
              <w:marBottom w:val="0"/>
              <w:divBdr>
                <w:top w:val="none" w:sz="0" w:space="0" w:color="auto"/>
                <w:left w:val="none" w:sz="0" w:space="0" w:color="auto"/>
                <w:bottom w:val="none" w:sz="0" w:space="0" w:color="auto"/>
                <w:right w:val="none" w:sz="0" w:space="0" w:color="auto"/>
              </w:divBdr>
              <w:divsChild>
                <w:div w:id="18314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6256">
      <w:bodyDiv w:val="1"/>
      <w:marLeft w:val="0"/>
      <w:marRight w:val="0"/>
      <w:marTop w:val="0"/>
      <w:marBottom w:val="0"/>
      <w:divBdr>
        <w:top w:val="none" w:sz="0" w:space="0" w:color="auto"/>
        <w:left w:val="none" w:sz="0" w:space="0" w:color="auto"/>
        <w:bottom w:val="none" w:sz="0" w:space="0" w:color="auto"/>
        <w:right w:val="none" w:sz="0" w:space="0" w:color="auto"/>
      </w:divBdr>
      <w:divsChild>
        <w:div w:id="1266617620">
          <w:marLeft w:val="0"/>
          <w:marRight w:val="0"/>
          <w:marTop w:val="0"/>
          <w:marBottom w:val="0"/>
          <w:divBdr>
            <w:top w:val="none" w:sz="0" w:space="0" w:color="auto"/>
            <w:left w:val="none" w:sz="0" w:space="0" w:color="auto"/>
            <w:bottom w:val="none" w:sz="0" w:space="0" w:color="auto"/>
            <w:right w:val="none" w:sz="0" w:space="0" w:color="auto"/>
          </w:divBdr>
          <w:divsChild>
            <w:div w:id="750010775">
              <w:marLeft w:val="0"/>
              <w:marRight w:val="0"/>
              <w:marTop w:val="0"/>
              <w:marBottom w:val="0"/>
              <w:divBdr>
                <w:top w:val="none" w:sz="0" w:space="0" w:color="auto"/>
                <w:left w:val="none" w:sz="0" w:space="0" w:color="auto"/>
                <w:bottom w:val="none" w:sz="0" w:space="0" w:color="auto"/>
                <w:right w:val="none" w:sz="0" w:space="0" w:color="auto"/>
              </w:divBdr>
              <w:divsChild>
                <w:div w:id="13388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243">
      <w:bodyDiv w:val="1"/>
      <w:marLeft w:val="0"/>
      <w:marRight w:val="0"/>
      <w:marTop w:val="0"/>
      <w:marBottom w:val="0"/>
      <w:divBdr>
        <w:top w:val="none" w:sz="0" w:space="0" w:color="auto"/>
        <w:left w:val="none" w:sz="0" w:space="0" w:color="auto"/>
        <w:bottom w:val="none" w:sz="0" w:space="0" w:color="auto"/>
        <w:right w:val="none" w:sz="0" w:space="0" w:color="auto"/>
      </w:divBdr>
    </w:div>
    <w:div w:id="1113473747">
      <w:bodyDiv w:val="1"/>
      <w:marLeft w:val="0"/>
      <w:marRight w:val="0"/>
      <w:marTop w:val="0"/>
      <w:marBottom w:val="0"/>
      <w:divBdr>
        <w:top w:val="none" w:sz="0" w:space="0" w:color="auto"/>
        <w:left w:val="none" w:sz="0" w:space="0" w:color="auto"/>
        <w:bottom w:val="none" w:sz="0" w:space="0" w:color="auto"/>
        <w:right w:val="none" w:sz="0" w:space="0" w:color="auto"/>
      </w:divBdr>
      <w:divsChild>
        <w:div w:id="1822574488">
          <w:marLeft w:val="0"/>
          <w:marRight w:val="0"/>
          <w:marTop w:val="0"/>
          <w:marBottom w:val="0"/>
          <w:divBdr>
            <w:top w:val="none" w:sz="0" w:space="0" w:color="auto"/>
            <w:left w:val="none" w:sz="0" w:space="0" w:color="auto"/>
            <w:bottom w:val="none" w:sz="0" w:space="0" w:color="auto"/>
            <w:right w:val="none" w:sz="0" w:space="0" w:color="auto"/>
          </w:divBdr>
          <w:divsChild>
            <w:div w:id="1340084301">
              <w:marLeft w:val="0"/>
              <w:marRight w:val="0"/>
              <w:marTop w:val="0"/>
              <w:marBottom w:val="0"/>
              <w:divBdr>
                <w:top w:val="none" w:sz="0" w:space="0" w:color="auto"/>
                <w:left w:val="none" w:sz="0" w:space="0" w:color="auto"/>
                <w:bottom w:val="none" w:sz="0" w:space="0" w:color="auto"/>
                <w:right w:val="none" w:sz="0" w:space="0" w:color="auto"/>
              </w:divBdr>
              <w:divsChild>
                <w:div w:id="14891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3278">
      <w:bodyDiv w:val="1"/>
      <w:marLeft w:val="0"/>
      <w:marRight w:val="0"/>
      <w:marTop w:val="0"/>
      <w:marBottom w:val="0"/>
      <w:divBdr>
        <w:top w:val="none" w:sz="0" w:space="0" w:color="auto"/>
        <w:left w:val="none" w:sz="0" w:space="0" w:color="auto"/>
        <w:bottom w:val="none" w:sz="0" w:space="0" w:color="auto"/>
        <w:right w:val="none" w:sz="0" w:space="0" w:color="auto"/>
      </w:divBdr>
      <w:divsChild>
        <w:div w:id="2125297981">
          <w:marLeft w:val="0"/>
          <w:marRight w:val="0"/>
          <w:marTop w:val="120"/>
          <w:marBottom w:val="360"/>
          <w:divBdr>
            <w:top w:val="none" w:sz="0" w:space="0" w:color="auto"/>
            <w:left w:val="none" w:sz="0" w:space="0" w:color="auto"/>
            <w:bottom w:val="none" w:sz="0" w:space="0" w:color="auto"/>
            <w:right w:val="none" w:sz="0" w:space="0" w:color="auto"/>
          </w:divBdr>
          <w:divsChild>
            <w:div w:id="1438915125">
              <w:marLeft w:val="0"/>
              <w:marRight w:val="0"/>
              <w:marTop w:val="0"/>
              <w:marBottom w:val="0"/>
              <w:divBdr>
                <w:top w:val="none" w:sz="0" w:space="0" w:color="auto"/>
                <w:left w:val="none" w:sz="0" w:space="0" w:color="auto"/>
                <w:bottom w:val="none" w:sz="0" w:space="0" w:color="auto"/>
                <w:right w:val="none" w:sz="0" w:space="0" w:color="auto"/>
              </w:divBdr>
            </w:div>
            <w:div w:id="19689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2877">
      <w:bodyDiv w:val="1"/>
      <w:marLeft w:val="0"/>
      <w:marRight w:val="0"/>
      <w:marTop w:val="0"/>
      <w:marBottom w:val="0"/>
      <w:divBdr>
        <w:top w:val="none" w:sz="0" w:space="0" w:color="auto"/>
        <w:left w:val="none" w:sz="0" w:space="0" w:color="auto"/>
        <w:bottom w:val="none" w:sz="0" w:space="0" w:color="auto"/>
        <w:right w:val="none" w:sz="0" w:space="0" w:color="auto"/>
      </w:divBdr>
      <w:divsChild>
        <w:div w:id="1446657260">
          <w:marLeft w:val="0"/>
          <w:marRight w:val="0"/>
          <w:marTop w:val="0"/>
          <w:marBottom w:val="0"/>
          <w:divBdr>
            <w:top w:val="none" w:sz="0" w:space="0" w:color="auto"/>
            <w:left w:val="none" w:sz="0" w:space="0" w:color="auto"/>
            <w:bottom w:val="none" w:sz="0" w:space="0" w:color="auto"/>
            <w:right w:val="none" w:sz="0" w:space="0" w:color="auto"/>
          </w:divBdr>
          <w:divsChild>
            <w:div w:id="1977371719">
              <w:marLeft w:val="0"/>
              <w:marRight w:val="0"/>
              <w:marTop w:val="0"/>
              <w:marBottom w:val="0"/>
              <w:divBdr>
                <w:top w:val="none" w:sz="0" w:space="0" w:color="auto"/>
                <w:left w:val="none" w:sz="0" w:space="0" w:color="auto"/>
                <w:bottom w:val="none" w:sz="0" w:space="0" w:color="auto"/>
                <w:right w:val="none" w:sz="0" w:space="0" w:color="auto"/>
              </w:divBdr>
              <w:divsChild>
                <w:div w:id="2278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756">
      <w:bodyDiv w:val="1"/>
      <w:marLeft w:val="0"/>
      <w:marRight w:val="0"/>
      <w:marTop w:val="0"/>
      <w:marBottom w:val="0"/>
      <w:divBdr>
        <w:top w:val="none" w:sz="0" w:space="0" w:color="auto"/>
        <w:left w:val="none" w:sz="0" w:space="0" w:color="auto"/>
        <w:bottom w:val="none" w:sz="0" w:space="0" w:color="auto"/>
        <w:right w:val="none" w:sz="0" w:space="0" w:color="auto"/>
      </w:divBdr>
      <w:divsChild>
        <w:div w:id="1613512650">
          <w:marLeft w:val="0"/>
          <w:marRight w:val="0"/>
          <w:marTop w:val="0"/>
          <w:marBottom w:val="0"/>
          <w:divBdr>
            <w:top w:val="none" w:sz="0" w:space="0" w:color="auto"/>
            <w:left w:val="none" w:sz="0" w:space="0" w:color="auto"/>
            <w:bottom w:val="none" w:sz="0" w:space="0" w:color="auto"/>
            <w:right w:val="none" w:sz="0" w:space="0" w:color="auto"/>
          </w:divBdr>
          <w:divsChild>
            <w:div w:id="226380941">
              <w:marLeft w:val="0"/>
              <w:marRight w:val="0"/>
              <w:marTop w:val="0"/>
              <w:marBottom w:val="0"/>
              <w:divBdr>
                <w:top w:val="none" w:sz="0" w:space="0" w:color="auto"/>
                <w:left w:val="none" w:sz="0" w:space="0" w:color="auto"/>
                <w:bottom w:val="none" w:sz="0" w:space="0" w:color="auto"/>
                <w:right w:val="none" w:sz="0" w:space="0" w:color="auto"/>
              </w:divBdr>
              <w:divsChild>
                <w:div w:id="11407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3088">
      <w:bodyDiv w:val="1"/>
      <w:marLeft w:val="0"/>
      <w:marRight w:val="0"/>
      <w:marTop w:val="0"/>
      <w:marBottom w:val="0"/>
      <w:divBdr>
        <w:top w:val="none" w:sz="0" w:space="0" w:color="auto"/>
        <w:left w:val="none" w:sz="0" w:space="0" w:color="auto"/>
        <w:bottom w:val="none" w:sz="0" w:space="0" w:color="auto"/>
        <w:right w:val="none" w:sz="0" w:space="0" w:color="auto"/>
      </w:divBdr>
      <w:divsChild>
        <w:div w:id="2145345981">
          <w:marLeft w:val="0"/>
          <w:marRight w:val="0"/>
          <w:marTop w:val="0"/>
          <w:marBottom w:val="0"/>
          <w:divBdr>
            <w:top w:val="none" w:sz="0" w:space="0" w:color="auto"/>
            <w:left w:val="none" w:sz="0" w:space="0" w:color="auto"/>
            <w:bottom w:val="none" w:sz="0" w:space="0" w:color="auto"/>
            <w:right w:val="none" w:sz="0" w:space="0" w:color="auto"/>
          </w:divBdr>
          <w:divsChild>
            <w:div w:id="272783836">
              <w:marLeft w:val="0"/>
              <w:marRight w:val="0"/>
              <w:marTop w:val="0"/>
              <w:marBottom w:val="0"/>
              <w:divBdr>
                <w:top w:val="none" w:sz="0" w:space="0" w:color="auto"/>
                <w:left w:val="none" w:sz="0" w:space="0" w:color="auto"/>
                <w:bottom w:val="none" w:sz="0" w:space="0" w:color="auto"/>
                <w:right w:val="none" w:sz="0" w:space="0" w:color="auto"/>
              </w:divBdr>
              <w:divsChild>
                <w:div w:id="1564753191">
                  <w:marLeft w:val="0"/>
                  <w:marRight w:val="0"/>
                  <w:marTop w:val="0"/>
                  <w:marBottom w:val="0"/>
                  <w:divBdr>
                    <w:top w:val="none" w:sz="0" w:space="0" w:color="auto"/>
                    <w:left w:val="none" w:sz="0" w:space="0" w:color="auto"/>
                    <w:bottom w:val="none" w:sz="0" w:space="0" w:color="auto"/>
                    <w:right w:val="none" w:sz="0" w:space="0" w:color="auto"/>
                  </w:divBdr>
                  <w:divsChild>
                    <w:div w:id="5404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0294">
      <w:bodyDiv w:val="1"/>
      <w:marLeft w:val="0"/>
      <w:marRight w:val="0"/>
      <w:marTop w:val="0"/>
      <w:marBottom w:val="0"/>
      <w:divBdr>
        <w:top w:val="none" w:sz="0" w:space="0" w:color="auto"/>
        <w:left w:val="none" w:sz="0" w:space="0" w:color="auto"/>
        <w:bottom w:val="none" w:sz="0" w:space="0" w:color="auto"/>
        <w:right w:val="none" w:sz="0" w:space="0" w:color="auto"/>
      </w:divBdr>
    </w:div>
    <w:div w:id="1227489601">
      <w:bodyDiv w:val="1"/>
      <w:marLeft w:val="0"/>
      <w:marRight w:val="0"/>
      <w:marTop w:val="0"/>
      <w:marBottom w:val="0"/>
      <w:divBdr>
        <w:top w:val="none" w:sz="0" w:space="0" w:color="auto"/>
        <w:left w:val="none" w:sz="0" w:space="0" w:color="auto"/>
        <w:bottom w:val="none" w:sz="0" w:space="0" w:color="auto"/>
        <w:right w:val="none" w:sz="0" w:space="0" w:color="auto"/>
      </w:divBdr>
    </w:div>
    <w:div w:id="1260985134">
      <w:bodyDiv w:val="1"/>
      <w:marLeft w:val="0"/>
      <w:marRight w:val="0"/>
      <w:marTop w:val="0"/>
      <w:marBottom w:val="0"/>
      <w:divBdr>
        <w:top w:val="none" w:sz="0" w:space="0" w:color="auto"/>
        <w:left w:val="none" w:sz="0" w:space="0" w:color="auto"/>
        <w:bottom w:val="none" w:sz="0" w:space="0" w:color="auto"/>
        <w:right w:val="none" w:sz="0" w:space="0" w:color="auto"/>
      </w:divBdr>
    </w:div>
    <w:div w:id="1273901397">
      <w:bodyDiv w:val="1"/>
      <w:marLeft w:val="0"/>
      <w:marRight w:val="0"/>
      <w:marTop w:val="0"/>
      <w:marBottom w:val="0"/>
      <w:divBdr>
        <w:top w:val="none" w:sz="0" w:space="0" w:color="auto"/>
        <w:left w:val="none" w:sz="0" w:space="0" w:color="auto"/>
        <w:bottom w:val="none" w:sz="0" w:space="0" w:color="auto"/>
        <w:right w:val="none" w:sz="0" w:space="0" w:color="auto"/>
      </w:divBdr>
    </w:div>
    <w:div w:id="1305307116">
      <w:bodyDiv w:val="1"/>
      <w:marLeft w:val="0"/>
      <w:marRight w:val="0"/>
      <w:marTop w:val="0"/>
      <w:marBottom w:val="0"/>
      <w:divBdr>
        <w:top w:val="none" w:sz="0" w:space="0" w:color="auto"/>
        <w:left w:val="none" w:sz="0" w:space="0" w:color="auto"/>
        <w:bottom w:val="none" w:sz="0" w:space="0" w:color="auto"/>
        <w:right w:val="none" w:sz="0" w:space="0" w:color="auto"/>
      </w:divBdr>
    </w:div>
    <w:div w:id="1321350084">
      <w:bodyDiv w:val="1"/>
      <w:marLeft w:val="0"/>
      <w:marRight w:val="0"/>
      <w:marTop w:val="0"/>
      <w:marBottom w:val="0"/>
      <w:divBdr>
        <w:top w:val="none" w:sz="0" w:space="0" w:color="auto"/>
        <w:left w:val="none" w:sz="0" w:space="0" w:color="auto"/>
        <w:bottom w:val="none" w:sz="0" w:space="0" w:color="auto"/>
        <w:right w:val="none" w:sz="0" w:space="0" w:color="auto"/>
      </w:divBdr>
    </w:div>
    <w:div w:id="1401977441">
      <w:bodyDiv w:val="1"/>
      <w:marLeft w:val="0"/>
      <w:marRight w:val="0"/>
      <w:marTop w:val="0"/>
      <w:marBottom w:val="0"/>
      <w:divBdr>
        <w:top w:val="none" w:sz="0" w:space="0" w:color="auto"/>
        <w:left w:val="none" w:sz="0" w:space="0" w:color="auto"/>
        <w:bottom w:val="none" w:sz="0" w:space="0" w:color="auto"/>
        <w:right w:val="none" w:sz="0" w:space="0" w:color="auto"/>
      </w:divBdr>
    </w:div>
    <w:div w:id="1423137232">
      <w:bodyDiv w:val="1"/>
      <w:marLeft w:val="0"/>
      <w:marRight w:val="0"/>
      <w:marTop w:val="0"/>
      <w:marBottom w:val="0"/>
      <w:divBdr>
        <w:top w:val="none" w:sz="0" w:space="0" w:color="auto"/>
        <w:left w:val="none" w:sz="0" w:space="0" w:color="auto"/>
        <w:bottom w:val="none" w:sz="0" w:space="0" w:color="auto"/>
        <w:right w:val="none" w:sz="0" w:space="0" w:color="auto"/>
      </w:divBdr>
      <w:divsChild>
        <w:div w:id="1077631341">
          <w:marLeft w:val="0"/>
          <w:marRight w:val="0"/>
          <w:marTop w:val="120"/>
          <w:marBottom w:val="360"/>
          <w:divBdr>
            <w:top w:val="none" w:sz="0" w:space="0" w:color="auto"/>
            <w:left w:val="none" w:sz="0" w:space="0" w:color="auto"/>
            <w:bottom w:val="none" w:sz="0" w:space="0" w:color="auto"/>
            <w:right w:val="none" w:sz="0" w:space="0" w:color="auto"/>
          </w:divBdr>
          <w:divsChild>
            <w:div w:id="2007129302">
              <w:marLeft w:val="0"/>
              <w:marRight w:val="0"/>
              <w:marTop w:val="0"/>
              <w:marBottom w:val="0"/>
              <w:divBdr>
                <w:top w:val="none" w:sz="0" w:space="0" w:color="auto"/>
                <w:left w:val="none" w:sz="0" w:space="0" w:color="auto"/>
                <w:bottom w:val="none" w:sz="0" w:space="0" w:color="auto"/>
                <w:right w:val="none" w:sz="0" w:space="0" w:color="auto"/>
              </w:divBdr>
            </w:div>
            <w:div w:id="677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9888">
      <w:bodyDiv w:val="1"/>
      <w:marLeft w:val="0"/>
      <w:marRight w:val="0"/>
      <w:marTop w:val="0"/>
      <w:marBottom w:val="0"/>
      <w:divBdr>
        <w:top w:val="none" w:sz="0" w:space="0" w:color="auto"/>
        <w:left w:val="none" w:sz="0" w:space="0" w:color="auto"/>
        <w:bottom w:val="none" w:sz="0" w:space="0" w:color="auto"/>
        <w:right w:val="none" w:sz="0" w:space="0" w:color="auto"/>
      </w:divBdr>
      <w:divsChild>
        <w:div w:id="1586919995">
          <w:marLeft w:val="0"/>
          <w:marRight w:val="0"/>
          <w:marTop w:val="0"/>
          <w:marBottom w:val="0"/>
          <w:divBdr>
            <w:top w:val="none" w:sz="0" w:space="0" w:color="auto"/>
            <w:left w:val="none" w:sz="0" w:space="0" w:color="auto"/>
            <w:bottom w:val="none" w:sz="0" w:space="0" w:color="auto"/>
            <w:right w:val="none" w:sz="0" w:space="0" w:color="auto"/>
          </w:divBdr>
          <w:divsChild>
            <w:div w:id="1325009910">
              <w:marLeft w:val="0"/>
              <w:marRight w:val="0"/>
              <w:marTop w:val="0"/>
              <w:marBottom w:val="0"/>
              <w:divBdr>
                <w:top w:val="none" w:sz="0" w:space="0" w:color="auto"/>
                <w:left w:val="none" w:sz="0" w:space="0" w:color="auto"/>
                <w:bottom w:val="none" w:sz="0" w:space="0" w:color="auto"/>
                <w:right w:val="none" w:sz="0" w:space="0" w:color="auto"/>
              </w:divBdr>
              <w:divsChild>
                <w:div w:id="1987664170">
                  <w:marLeft w:val="0"/>
                  <w:marRight w:val="0"/>
                  <w:marTop w:val="0"/>
                  <w:marBottom w:val="0"/>
                  <w:divBdr>
                    <w:top w:val="none" w:sz="0" w:space="0" w:color="auto"/>
                    <w:left w:val="none" w:sz="0" w:space="0" w:color="auto"/>
                    <w:bottom w:val="none" w:sz="0" w:space="0" w:color="auto"/>
                    <w:right w:val="none" w:sz="0" w:space="0" w:color="auto"/>
                  </w:divBdr>
                  <w:divsChild>
                    <w:div w:id="1499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6101">
      <w:bodyDiv w:val="1"/>
      <w:marLeft w:val="0"/>
      <w:marRight w:val="0"/>
      <w:marTop w:val="0"/>
      <w:marBottom w:val="0"/>
      <w:divBdr>
        <w:top w:val="none" w:sz="0" w:space="0" w:color="auto"/>
        <w:left w:val="none" w:sz="0" w:space="0" w:color="auto"/>
        <w:bottom w:val="none" w:sz="0" w:space="0" w:color="auto"/>
        <w:right w:val="none" w:sz="0" w:space="0" w:color="auto"/>
      </w:divBdr>
    </w:div>
    <w:div w:id="1472480386">
      <w:bodyDiv w:val="1"/>
      <w:marLeft w:val="0"/>
      <w:marRight w:val="0"/>
      <w:marTop w:val="0"/>
      <w:marBottom w:val="0"/>
      <w:divBdr>
        <w:top w:val="none" w:sz="0" w:space="0" w:color="auto"/>
        <w:left w:val="none" w:sz="0" w:space="0" w:color="auto"/>
        <w:bottom w:val="none" w:sz="0" w:space="0" w:color="auto"/>
        <w:right w:val="none" w:sz="0" w:space="0" w:color="auto"/>
      </w:divBdr>
    </w:div>
    <w:div w:id="1522351539">
      <w:bodyDiv w:val="1"/>
      <w:marLeft w:val="0"/>
      <w:marRight w:val="0"/>
      <w:marTop w:val="0"/>
      <w:marBottom w:val="0"/>
      <w:divBdr>
        <w:top w:val="none" w:sz="0" w:space="0" w:color="auto"/>
        <w:left w:val="none" w:sz="0" w:space="0" w:color="auto"/>
        <w:bottom w:val="none" w:sz="0" w:space="0" w:color="auto"/>
        <w:right w:val="none" w:sz="0" w:space="0" w:color="auto"/>
      </w:divBdr>
      <w:divsChild>
        <w:div w:id="682778806">
          <w:marLeft w:val="0"/>
          <w:marRight w:val="0"/>
          <w:marTop w:val="0"/>
          <w:marBottom w:val="0"/>
          <w:divBdr>
            <w:top w:val="none" w:sz="0" w:space="0" w:color="auto"/>
            <w:left w:val="none" w:sz="0" w:space="0" w:color="auto"/>
            <w:bottom w:val="none" w:sz="0" w:space="0" w:color="auto"/>
            <w:right w:val="none" w:sz="0" w:space="0" w:color="auto"/>
          </w:divBdr>
          <w:divsChild>
            <w:div w:id="1932814087">
              <w:marLeft w:val="0"/>
              <w:marRight w:val="0"/>
              <w:marTop w:val="0"/>
              <w:marBottom w:val="0"/>
              <w:divBdr>
                <w:top w:val="none" w:sz="0" w:space="0" w:color="auto"/>
                <w:left w:val="none" w:sz="0" w:space="0" w:color="auto"/>
                <w:bottom w:val="none" w:sz="0" w:space="0" w:color="auto"/>
                <w:right w:val="none" w:sz="0" w:space="0" w:color="auto"/>
              </w:divBdr>
              <w:divsChild>
                <w:div w:id="1685399204">
                  <w:marLeft w:val="0"/>
                  <w:marRight w:val="0"/>
                  <w:marTop w:val="0"/>
                  <w:marBottom w:val="0"/>
                  <w:divBdr>
                    <w:top w:val="none" w:sz="0" w:space="0" w:color="auto"/>
                    <w:left w:val="none" w:sz="0" w:space="0" w:color="auto"/>
                    <w:bottom w:val="none" w:sz="0" w:space="0" w:color="auto"/>
                    <w:right w:val="none" w:sz="0" w:space="0" w:color="auto"/>
                  </w:divBdr>
                  <w:divsChild>
                    <w:div w:id="15948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4036">
      <w:bodyDiv w:val="1"/>
      <w:marLeft w:val="0"/>
      <w:marRight w:val="0"/>
      <w:marTop w:val="0"/>
      <w:marBottom w:val="0"/>
      <w:divBdr>
        <w:top w:val="none" w:sz="0" w:space="0" w:color="auto"/>
        <w:left w:val="none" w:sz="0" w:space="0" w:color="auto"/>
        <w:bottom w:val="none" w:sz="0" w:space="0" w:color="auto"/>
        <w:right w:val="none" w:sz="0" w:space="0" w:color="auto"/>
      </w:divBdr>
      <w:divsChild>
        <w:div w:id="102459879">
          <w:marLeft w:val="0"/>
          <w:marRight w:val="0"/>
          <w:marTop w:val="0"/>
          <w:marBottom w:val="0"/>
          <w:divBdr>
            <w:top w:val="none" w:sz="0" w:space="0" w:color="auto"/>
            <w:left w:val="none" w:sz="0" w:space="0" w:color="auto"/>
            <w:bottom w:val="none" w:sz="0" w:space="0" w:color="auto"/>
            <w:right w:val="none" w:sz="0" w:space="0" w:color="auto"/>
          </w:divBdr>
          <w:divsChild>
            <w:div w:id="2108648375">
              <w:marLeft w:val="0"/>
              <w:marRight w:val="0"/>
              <w:marTop w:val="0"/>
              <w:marBottom w:val="0"/>
              <w:divBdr>
                <w:top w:val="none" w:sz="0" w:space="0" w:color="auto"/>
                <w:left w:val="none" w:sz="0" w:space="0" w:color="auto"/>
                <w:bottom w:val="none" w:sz="0" w:space="0" w:color="auto"/>
                <w:right w:val="none" w:sz="0" w:space="0" w:color="auto"/>
              </w:divBdr>
              <w:divsChild>
                <w:div w:id="2104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8750">
      <w:bodyDiv w:val="1"/>
      <w:marLeft w:val="0"/>
      <w:marRight w:val="0"/>
      <w:marTop w:val="0"/>
      <w:marBottom w:val="0"/>
      <w:divBdr>
        <w:top w:val="none" w:sz="0" w:space="0" w:color="auto"/>
        <w:left w:val="none" w:sz="0" w:space="0" w:color="auto"/>
        <w:bottom w:val="none" w:sz="0" w:space="0" w:color="auto"/>
        <w:right w:val="none" w:sz="0" w:space="0" w:color="auto"/>
      </w:divBdr>
      <w:divsChild>
        <w:div w:id="464085838">
          <w:marLeft w:val="0"/>
          <w:marRight w:val="0"/>
          <w:marTop w:val="0"/>
          <w:marBottom w:val="0"/>
          <w:divBdr>
            <w:top w:val="none" w:sz="0" w:space="0" w:color="auto"/>
            <w:left w:val="none" w:sz="0" w:space="0" w:color="auto"/>
            <w:bottom w:val="none" w:sz="0" w:space="0" w:color="auto"/>
            <w:right w:val="none" w:sz="0" w:space="0" w:color="auto"/>
          </w:divBdr>
          <w:divsChild>
            <w:div w:id="182865272">
              <w:marLeft w:val="0"/>
              <w:marRight w:val="0"/>
              <w:marTop w:val="0"/>
              <w:marBottom w:val="0"/>
              <w:divBdr>
                <w:top w:val="none" w:sz="0" w:space="0" w:color="auto"/>
                <w:left w:val="none" w:sz="0" w:space="0" w:color="auto"/>
                <w:bottom w:val="none" w:sz="0" w:space="0" w:color="auto"/>
                <w:right w:val="none" w:sz="0" w:space="0" w:color="auto"/>
              </w:divBdr>
              <w:divsChild>
                <w:div w:id="1306157210">
                  <w:marLeft w:val="0"/>
                  <w:marRight w:val="0"/>
                  <w:marTop w:val="0"/>
                  <w:marBottom w:val="0"/>
                  <w:divBdr>
                    <w:top w:val="none" w:sz="0" w:space="0" w:color="auto"/>
                    <w:left w:val="none" w:sz="0" w:space="0" w:color="auto"/>
                    <w:bottom w:val="none" w:sz="0" w:space="0" w:color="auto"/>
                    <w:right w:val="none" w:sz="0" w:space="0" w:color="auto"/>
                  </w:divBdr>
                  <w:divsChild>
                    <w:div w:id="279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21313">
      <w:bodyDiv w:val="1"/>
      <w:marLeft w:val="0"/>
      <w:marRight w:val="0"/>
      <w:marTop w:val="0"/>
      <w:marBottom w:val="0"/>
      <w:divBdr>
        <w:top w:val="none" w:sz="0" w:space="0" w:color="auto"/>
        <w:left w:val="none" w:sz="0" w:space="0" w:color="auto"/>
        <w:bottom w:val="none" w:sz="0" w:space="0" w:color="auto"/>
        <w:right w:val="none" w:sz="0" w:space="0" w:color="auto"/>
      </w:divBdr>
      <w:divsChild>
        <w:div w:id="270674132">
          <w:marLeft w:val="0"/>
          <w:marRight w:val="0"/>
          <w:marTop w:val="0"/>
          <w:marBottom w:val="0"/>
          <w:divBdr>
            <w:top w:val="none" w:sz="0" w:space="0" w:color="auto"/>
            <w:left w:val="none" w:sz="0" w:space="0" w:color="auto"/>
            <w:bottom w:val="none" w:sz="0" w:space="0" w:color="auto"/>
            <w:right w:val="none" w:sz="0" w:space="0" w:color="auto"/>
          </w:divBdr>
          <w:divsChild>
            <w:div w:id="462776738">
              <w:marLeft w:val="0"/>
              <w:marRight w:val="0"/>
              <w:marTop w:val="0"/>
              <w:marBottom w:val="0"/>
              <w:divBdr>
                <w:top w:val="none" w:sz="0" w:space="0" w:color="auto"/>
                <w:left w:val="none" w:sz="0" w:space="0" w:color="auto"/>
                <w:bottom w:val="none" w:sz="0" w:space="0" w:color="auto"/>
                <w:right w:val="none" w:sz="0" w:space="0" w:color="auto"/>
              </w:divBdr>
              <w:divsChild>
                <w:div w:id="6987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4482">
      <w:bodyDiv w:val="1"/>
      <w:marLeft w:val="0"/>
      <w:marRight w:val="0"/>
      <w:marTop w:val="0"/>
      <w:marBottom w:val="0"/>
      <w:divBdr>
        <w:top w:val="none" w:sz="0" w:space="0" w:color="auto"/>
        <w:left w:val="none" w:sz="0" w:space="0" w:color="auto"/>
        <w:bottom w:val="none" w:sz="0" w:space="0" w:color="auto"/>
        <w:right w:val="none" w:sz="0" w:space="0" w:color="auto"/>
      </w:divBdr>
    </w:div>
    <w:div w:id="1709337242">
      <w:bodyDiv w:val="1"/>
      <w:marLeft w:val="0"/>
      <w:marRight w:val="0"/>
      <w:marTop w:val="0"/>
      <w:marBottom w:val="0"/>
      <w:divBdr>
        <w:top w:val="none" w:sz="0" w:space="0" w:color="auto"/>
        <w:left w:val="none" w:sz="0" w:space="0" w:color="auto"/>
        <w:bottom w:val="none" w:sz="0" w:space="0" w:color="auto"/>
        <w:right w:val="none" w:sz="0" w:space="0" w:color="auto"/>
      </w:divBdr>
      <w:divsChild>
        <w:div w:id="97145778">
          <w:marLeft w:val="0"/>
          <w:marRight w:val="0"/>
          <w:marTop w:val="120"/>
          <w:marBottom w:val="360"/>
          <w:divBdr>
            <w:top w:val="none" w:sz="0" w:space="0" w:color="auto"/>
            <w:left w:val="none" w:sz="0" w:space="0" w:color="auto"/>
            <w:bottom w:val="none" w:sz="0" w:space="0" w:color="auto"/>
            <w:right w:val="none" w:sz="0" w:space="0" w:color="auto"/>
          </w:divBdr>
          <w:divsChild>
            <w:div w:id="422147073">
              <w:marLeft w:val="0"/>
              <w:marRight w:val="0"/>
              <w:marTop w:val="0"/>
              <w:marBottom w:val="0"/>
              <w:divBdr>
                <w:top w:val="none" w:sz="0" w:space="0" w:color="auto"/>
                <w:left w:val="none" w:sz="0" w:space="0" w:color="auto"/>
                <w:bottom w:val="none" w:sz="0" w:space="0" w:color="auto"/>
                <w:right w:val="none" w:sz="0" w:space="0" w:color="auto"/>
              </w:divBdr>
            </w:div>
            <w:div w:id="33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9692">
      <w:bodyDiv w:val="1"/>
      <w:marLeft w:val="0"/>
      <w:marRight w:val="0"/>
      <w:marTop w:val="0"/>
      <w:marBottom w:val="0"/>
      <w:divBdr>
        <w:top w:val="none" w:sz="0" w:space="0" w:color="auto"/>
        <w:left w:val="none" w:sz="0" w:space="0" w:color="auto"/>
        <w:bottom w:val="none" w:sz="0" w:space="0" w:color="auto"/>
        <w:right w:val="none" w:sz="0" w:space="0" w:color="auto"/>
      </w:divBdr>
    </w:div>
    <w:div w:id="1721518210">
      <w:bodyDiv w:val="1"/>
      <w:marLeft w:val="0"/>
      <w:marRight w:val="0"/>
      <w:marTop w:val="0"/>
      <w:marBottom w:val="0"/>
      <w:divBdr>
        <w:top w:val="none" w:sz="0" w:space="0" w:color="auto"/>
        <w:left w:val="none" w:sz="0" w:space="0" w:color="auto"/>
        <w:bottom w:val="none" w:sz="0" w:space="0" w:color="auto"/>
        <w:right w:val="none" w:sz="0" w:space="0" w:color="auto"/>
      </w:divBdr>
    </w:div>
    <w:div w:id="1810047355">
      <w:bodyDiv w:val="1"/>
      <w:marLeft w:val="0"/>
      <w:marRight w:val="0"/>
      <w:marTop w:val="0"/>
      <w:marBottom w:val="0"/>
      <w:divBdr>
        <w:top w:val="none" w:sz="0" w:space="0" w:color="auto"/>
        <w:left w:val="none" w:sz="0" w:space="0" w:color="auto"/>
        <w:bottom w:val="none" w:sz="0" w:space="0" w:color="auto"/>
        <w:right w:val="none" w:sz="0" w:space="0" w:color="auto"/>
      </w:divBdr>
      <w:divsChild>
        <w:div w:id="1379432466">
          <w:marLeft w:val="0"/>
          <w:marRight w:val="0"/>
          <w:marTop w:val="120"/>
          <w:marBottom w:val="360"/>
          <w:divBdr>
            <w:top w:val="none" w:sz="0" w:space="0" w:color="auto"/>
            <w:left w:val="none" w:sz="0" w:space="0" w:color="auto"/>
            <w:bottom w:val="none" w:sz="0" w:space="0" w:color="auto"/>
            <w:right w:val="none" w:sz="0" w:space="0" w:color="auto"/>
          </w:divBdr>
          <w:divsChild>
            <w:div w:id="5713338">
              <w:marLeft w:val="0"/>
              <w:marRight w:val="0"/>
              <w:marTop w:val="0"/>
              <w:marBottom w:val="0"/>
              <w:divBdr>
                <w:top w:val="none" w:sz="0" w:space="0" w:color="auto"/>
                <w:left w:val="none" w:sz="0" w:space="0" w:color="auto"/>
                <w:bottom w:val="none" w:sz="0" w:space="0" w:color="auto"/>
                <w:right w:val="none" w:sz="0" w:space="0" w:color="auto"/>
              </w:divBdr>
            </w:div>
            <w:div w:id="12357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39668">
      <w:bodyDiv w:val="1"/>
      <w:marLeft w:val="0"/>
      <w:marRight w:val="0"/>
      <w:marTop w:val="0"/>
      <w:marBottom w:val="0"/>
      <w:divBdr>
        <w:top w:val="none" w:sz="0" w:space="0" w:color="auto"/>
        <w:left w:val="none" w:sz="0" w:space="0" w:color="auto"/>
        <w:bottom w:val="none" w:sz="0" w:space="0" w:color="auto"/>
        <w:right w:val="none" w:sz="0" w:space="0" w:color="auto"/>
      </w:divBdr>
    </w:div>
    <w:div w:id="1844394774">
      <w:bodyDiv w:val="1"/>
      <w:marLeft w:val="0"/>
      <w:marRight w:val="0"/>
      <w:marTop w:val="0"/>
      <w:marBottom w:val="0"/>
      <w:divBdr>
        <w:top w:val="none" w:sz="0" w:space="0" w:color="auto"/>
        <w:left w:val="none" w:sz="0" w:space="0" w:color="auto"/>
        <w:bottom w:val="none" w:sz="0" w:space="0" w:color="auto"/>
        <w:right w:val="none" w:sz="0" w:space="0" w:color="auto"/>
      </w:divBdr>
      <w:divsChild>
        <w:div w:id="1566408372">
          <w:marLeft w:val="0"/>
          <w:marRight w:val="0"/>
          <w:marTop w:val="0"/>
          <w:marBottom w:val="0"/>
          <w:divBdr>
            <w:top w:val="none" w:sz="0" w:space="0" w:color="auto"/>
            <w:left w:val="none" w:sz="0" w:space="0" w:color="auto"/>
            <w:bottom w:val="none" w:sz="0" w:space="0" w:color="auto"/>
            <w:right w:val="none" w:sz="0" w:space="0" w:color="auto"/>
          </w:divBdr>
          <w:divsChild>
            <w:div w:id="1155729868">
              <w:marLeft w:val="0"/>
              <w:marRight w:val="0"/>
              <w:marTop w:val="0"/>
              <w:marBottom w:val="0"/>
              <w:divBdr>
                <w:top w:val="none" w:sz="0" w:space="0" w:color="auto"/>
                <w:left w:val="none" w:sz="0" w:space="0" w:color="auto"/>
                <w:bottom w:val="none" w:sz="0" w:space="0" w:color="auto"/>
                <w:right w:val="none" w:sz="0" w:space="0" w:color="auto"/>
              </w:divBdr>
              <w:divsChild>
                <w:div w:id="17531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8432">
      <w:bodyDiv w:val="1"/>
      <w:marLeft w:val="0"/>
      <w:marRight w:val="0"/>
      <w:marTop w:val="0"/>
      <w:marBottom w:val="0"/>
      <w:divBdr>
        <w:top w:val="none" w:sz="0" w:space="0" w:color="auto"/>
        <w:left w:val="none" w:sz="0" w:space="0" w:color="auto"/>
        <w:bottom w:val="none" w:sz="0" w:space="0" w:color="auto"/>
        <w:right w:val="none" w:sz="0" w:space="0" w:color="auto"/>
      </w:divBdr>
      <w:divsChild>
        <w:div w:id="1925871067">
          <w:marLeft w:val="0"/>
          <w:marRight w:val="0"/>
          <w:marTop w:val="0"/>
          <w:marBottom w:val="0"/>
          <w:divBdr>
            <w:top w:val="none" w:sz="0" w:space="0" w:color="auto"/>
            <w:left w:val="none" w:sz="0" w:space="0" w:color="auto"/>
            <w:bottom w:val="none" w:sz="0" w:space="0" w:color="auto"/>
            <w:right w:val="none" w:sz="0" w:space="0" w:color="auto"/>
          </w:divBdr>
          <w:divsChild>
            <w:div w:id="45180645">
              <w:marLeft w:val="0"/>
              <w:marRight w:val="0"/>
              <w:marTop w:val="0"/>
              <w:marBottom w:val="0"/>
              <w:divBdr>
                <w:top w:val="none" w:sz="0" w:space="0" w:color="auto"/>
                <w:left w:val="none" w:sz="0" w:space="0" w:color="auto"/>
                <w:bottom w:val="none" w:sz="0" w:space="0" w:color="auto"/>
                <w:right w:val="none" w:sz="0" w:space="0" w:color="auto"/>
              </w:divBdr>
              <w:divsChild>
                <w:div w:id="21081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2777">
      <w:bodyDiv w:val="1"/>
      <w:marLeft w:val="0"/>
      <w:marRight w:val="0"/>
      <w:marTop w:val="0"/>
      <w:marBottom w:val="0"/>
      <w:divBdr>
        <w:top w:val="none" w:sz="0" w:space="0" w:color="auto"/>
        <w:left w:val="none" w:sz="0" w:space="0" w:color="auto"/>
        <w:bottom w:val="none" w:sz="0" w:space="0" w:color="auto"/>
        <w:right w:val="none" w:sz="0" w:space="0" w:color="auto"/>
      </w:divBdr>
    </w:div>
    <w:div w:id="1938902009">
      <w:bodyDiv w:val="1"/>
      <w:marLeft w:val="0"/>
      <w:marRight w:val="0"/>
      <w:marTop w:val="0"/>
      <w:marBottom w:val="0"/>
      <w:divBdr>
        <w:top w:val="none" w:sz="0" w:space="0" w:color="auto"/>
        <w:left w:val="none" w:sz="0" w:space="0" w:color="auto"/>
        <w:bottom w:val="none" w:sz="0" w:space="0" w:color="auto"/>
        <w:right w:val="none" w:sz="0" w:space="0" w:color="auto"/>
      </w:divBdr>
    </w:div>
    <w:div w:id="1965574687">
      <w:bodyDiv w:val="1"/>
      <w:marLeft w:val="0"/>
      <w:marRight w:val="0"/>
      <w:marTop w:val="0"/>
      <w:marBottom w:val="0"/>
      <w:divBdr>
        <w:top w:val="none" w:sz="0" w:space="0" w:color="auto"/>
        <w:left w:val="none" w:sz="0" w:space="0" w:color="auto"/>
        <w:bottom w:val="none" w:sz="0" w:space="0" w:color="auto"/>
        <w:right w:val="none" w:sz="0" w:space="0" w:color="auto"/>
      </w:divBdr>
    </w:div>
    <w:div w:id="20008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sik@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4389-D36A-45F1-9349-A43A2237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33085</Words>
  <Characters>188586</Characters>
  <Application>Microsoft Office Word</Application>
  <DocSecurity>0</DocSecurity>
  <Lines>1571</Lines>
  <Paragraphs>442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DOKUZLAR</dc:creator>
  <cp:keywords/>
  <dc:description/>
  <cp:lastModifiedBy>Lee Smith</cp:lastModifiedBy>
  <cp:revision>2</cp:revision>
  <dcterms:created xsi:type="dcterms:W3CDTF">2019-05-08T14:52:00Z</dcterms:created>
  <dcterms:modified xsi:type="dcterms:W3CDTF">2019-05-08T14:52:00Z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http://www.zotero.org/styles/diabetes-care</vt:lpwstr>
  </property>
  <property fmtid="{D5CDD505-2E9C-101B-9397-08002B2CF9AE}" pid="11" name="Mendeley Recent Style Name 4_1">
    <vt:lpwstr>Diabetes Care</vt:lpwstr>
  </property>
  <property fmtid="{D5CDD505-2E9C-101B-9397-08002B2CF9AE}" pid="12" name="Mendeley Recent Style Id 5_1">
    <vt:lpwstr>http://www.zotero.org/styles/experimental-gerontology</vt:lpwstr>
  </property>
  <property fmtid="{D5CDD505-2E9C-101B-9397-08002B2CF9AE}" pid="13" name="Mendeley Recent Style Name 5_1">
    <vt:lpwstr>Experimental Gerontology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607c77a0-d56c-3940-8d58-7cbe8ec18ead</vt:lpwstr>
  </property>
  <property fmtid="{D5CDD505-2E9C-101B-9397-08002B2CF9AE}" pid="24" name="Mendeley Citation Style_1">
    <vt:lpwstr>http://www.zotero.org/styles/diabetes-care</vt:lpwstr>
  </property>
</Properties>
</file>