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E54BC" w14:textId="61AFECBF" w:rsidR="00312690" w:rsidRDefault="005F115E" w:rsidP="005A226D">
      <w:pPr>
        <w:spacing w:line="360" w:lineRule="auto"/>
        <w:jc w:val="center"/>
        <w:rPr>
          <w:b/>
          <w:lang w:val="en-US"/>
        </w:rPr>
      </w:pPr>
      <w:r w:rsidRPr="00493003">
        <w:rPr>
          <w:b/>
          <w:lang w:val="en-US"/>
        </w:rPr>
        <w:t>THE RELATIONSHIP BETWEEN MINI NUTRITIONAL ASSESSMENT SCORE AND INSOMNIA SEVERITY IN OLDER ADULTS</w:t>
      </w:r>
    </w:p>
    <w:p w14:paraId="3726CD84" w14:textId="0FE098E4" w:rsidR="00493003" w:rsidRDefault="00493003" w:rsidP="00493003">
      <w:pPr>
        <w:jc w:val="center"/>
        <w:rPr>
          <w:b/>
          <w:vertAlign w:val="superscript"/>
        </w:rPr>
      </w:pPr>
      <w:r>
        <w:rPr>
          <w:b/>
        </w:rPr>
        <w:t>Pinar Soysal</w:t>
      </w:r>
      <w:r w:rsidRPr="002B4E20">
        <w:rPr>
          <w:b/>
          <w:vertAlign w:val="superscript"/>
        </w:rPr>
        <w:t>1</w:t>
      </w:r>
      <w:r w:rsidRPr="002B4E20">
        <w:rPr>
          <w:b/>
        </w:rPr>
        <w:t>, Lee Smith</w:t>
      </w:r>
      <w:r w:rsidRPr="002B4E20">
        <w:rPr>
          <w:b/>
          <w:vertAlign w:val="superscript"/>
        </w:rPr>
        <w:t>2</w:t>
      </w:r>
      <w:r w:rsidRPr="002B4E20">
        <w:rPr>
          <w:b/>
        </w:rPr>
        <w:t xml:space="preserve">, </w:t>
      </w:r>
      <w:proofErr w:type="spellStart"/>
      <w:r w:rsidRPr="002B4E20">
        <w:rPr>
          <w:b/>
        </w:rPr>
        <w:t>Ozge</w:t>
      </w:r>
      <w:proofErr w:type="spellEnd"/>
      <w:r w:rsidRPr="002B4E20">
        <w:rPr>
          <w:b/>
        </w:rPr>
        <w:t xml:space="preserve"> Dokuzlar</w:t>
      </w:r>
      <w:r w:rsidRPr="002B4E20">
        <w:rPr>
          <w:b/>
          <w:vertAlign w:val="superscript"/>
        </w:rPr>
        <w:t>3</w:t>
      </w:r>
      <w:r>
        <w:rPr>
          <w:b/>
        </w:rPr>
        <w:t xml:space="preserve">, Ahmet </w:t>
      </w:r>
      <w:proofErr w:type="spellStart"/>
      <w:r>
        <w:rPr>
          <w:b/>
        </w:rPr>
        <w:t>Turan</w:t>
      </w:r>
      <w:proofErr w:type="spellEnd"/>
      <w:r>
        <w:rPr>
          <w:b/>
        </w:rPr>
        <w:t xml:space="preserve"> Isik</w:t>
      </w:r>
      <w:r w:rsidRPr="002B4E20">
        <w:rPr>
          <w:b/>
          <w:vertAlign w:val="superscript"/>
        </w:rPr>
        <w:t>3</w:t>
      </w:r>
    </w:p>
    <w:p w14:paraId="66A70330" w14:textId="77777777" w:rsidR="00493003" w:rsidRPr="002B4E20" w:rsidRDefault="00493003" w:rsidP="00493003">
      <w:pPr>
        <w:jc w:val="center"/>
        <w:rPr>
          <w:b/>
        </w:rPr>
      </w:pPr>
    </w:p>
    <w:p w14:paraId="30323828" w14:textId="77777777" w:rsidR="00493003" w:rsidRPr="002B4E20" w:rsidRDefault="00493003" w:rsidP="00493003">
      <w:r w:rsidRPr="002B4E20">
        <w:rPr>
          <w:vertAlign w:val="superscript"/>
        </w:rPr>
        <w:t>1</w:t>
      </w:r>
      <w:r w:rsidRPr="002B4E20">
        <w:t xml:space="preserve">Department of Geriatric Medicine, </w:t>
      </w:r>
      <w:proofErr w:type="spellStart"/>
      <w:r w:rsidRPr="002B4E20">
        <w:t>Bezmialem</w:t>
      </w:r>
      <w:proofErr w:type="spellEnd"/>
      <w:r w:rsidRPr="002B4E20">
        <w:t xml:space="preserve"> </w:t>
      </w:r>
      <w:proofErr w:type="spellStart"/>
      <w:r w:rsidRPr="002B4E20">
        <w:t>Vakif</w:t>
      </w:r>
      <w:proofErr w:type="spellEnd"/>
      <w:r w:rsidRPr="002B4E20">
        <w:t xml:space="preserve"> University, Faculty of Medicine, Istanbul</w:t>
      </w:r>
    </w:p>
    <w:p w14:paraId="11A129B4" w14:textId="77777777" w:rsidR="00493003" w:rsidRPr="002B4E20" w:rsidRDefault="00493003" w:rsidP="00493003">
      <w:r w:rsidRPr="002B4E20">
        <w:rPr>
          <w:vertAlign w:val="superscript"/>
        </w:rPr>
        <w:t>2</w:t>
      </w:r>
      <w:r w:rsidRPr="002B4E20">
        <w:t>The Cambridge Centre for Sport and Exercise Sciences, Anglia Ruskin University, Cambridge, United Kingdom</w:t>
      </w:r>
    </w:p>
    <w:p w14:paraId="6EC9A9B1" w14:textId="77777777" w:rsidR="00493003" w:rsidRPr="002B4E20" w:rsidRDefault="00493003" w:rsidP="00493003">
      <w:proofErr w:type="gramStart"/>
      <w:r w:rsidRPr="002B4E20">
        <w:rPr>
          <w:vertAlign w:val="superscript"/>
        </w:rPr>
        <w:t>3</w:t>
      </w:r>
      <w:proofErr w:type="gramEnd"/>
      <w:r w:rsidRPr="002B4E20">
        <w:t xml:space="preserve"> Department of Geriatric Medicine, Faculty of Medicine, </w:t>
      </w:r>
      <w:proofErr w:type="spellStart"/>
      <w:r w:rsidRPr="002B4E20">
        <w:t>Dokuz</w:t>
      </w:r>
      <w:proofErr w:type="spellEnd"/>
      <w:r w:rsidRPr="002B4E20">
        <w:t xml:space="preserve"> </w:t>
      </w:r>
      <w:proofErr w:type="spellStart"/>
      <w:r w:rsidRPr="002B4E20">
        <w:t>Eylul</w:t>
      </w:r>
      <w:proofErr w:type="spellEnd"/>
      <w:r w:rsidRPr="002B4E20">
        <w:t xml:space="preserve"> University, Izmir, Turkey.</w:t>
      </w:r>
    </w:p>
    <w:p w14:paraId="351A33CE" w14:textId="19F9A1C7" w:rsidR="00493003" w:rsidRDefault="00493003" w:rsidP="005A226D">
      <w:pPr>
        <w:spacing w:line="360" w:lineRule="auto"/>
        <w:jc w:val="center"/>
        <w:rPr>
          <w:b/>
          <w:lang w:val="en-US"/>
        </w:rPr>
      </w:pPr>
    </w:p>
    <w:p w14:paraId="18C00A1D" w14:textId="1E9FD24F" w:rsidR="00493003" w:rsidRDefault="00493003" w:rsidP="005A226D">
      <w:pPr>
        <w:spacing w:line="360" w:lineRule="auto"/>
        <w:jc w:val="center"/>
        <w:rPr>
          <w:b/>
          <w:lang w:val="en-US"/>
        </w:rPr>
      </w:pPr>
    </w:p>
    <w:p w14:paraId="7453EBD9" w14:textId="2BF02362" w:rsidR="00493003" w:rsidRDefault="00493003" w:rsidP="005A226D">
      <w:pPr>
        <w:spacing w:line="360" w:lineRule="auto"/>
        <w:jc w:val="center"/>
        <w:rPr>
          <w:b/>
        </w:rPr>
      </w:pPr>
    </w:p>
    <w:p w14:paraId="368A253E" w14:textId="542CE012" w:rsidR="00493003" w:rsidRDefault="00493003" w:rsidP="005A226D">
      <w:pPr>
        <w:spacing w:line="360" w:lineRule="auto"/>
        <w:jc w:val="center"/>
        <w:rPr>
          <w:b/>
        </w:rPr>
      </w:pPr>
    </w:p>
    <w:p w14:paraId="589CF7C4" w14:textId="5F993E63" w:rsidR="00493003" w:rsidRDefault="00493003" w:rsidP="005A226D">
      <w:pPr>
        <w:spacing w:line="360" w:lineRule="auto"/>
        <w:jc w:val="center"/>
        <w:rPr>
          <w:b/>
        </w:rPr>
      </w:pPr>
    </w:p>
    <w:p w14:paraId="14FB4F48" w14:textId="66E21DC2" w:rsidR="00493003" w:rsidRDefault="00493003" w:rsidP="005A226D">
      <w:pPr>
        <w:spacing w:line="360" w:lineRule="auto"/>
        <w:jc w:val="center"/>
        <w:rPr>
          <w:b/>
        </w:rPr>
      </w:pPr>
    </w:p>
    <w:p w14:paraId="0B9C9636" w14:textId="7EEFE2F9" w:rsidR="00493003" w:rsidRDefault="00493003" w:rsidP="005A226D">
      <w:pPr>
        <w:spacing w:line="360" w:lineRule="auto"/>
        <w:jc w:val="center"/>
        <w:rPr>
          <w:b/>
        </w:rPr>
      </w:pPr>
    </w:p>
    <w:p w14:paraId="53E36A35" w14:textId="5D76403C" w:rsidR="00493003" w:rsidRDefault="00493003" w:rsidP="005A226D">
      <w:pPr>
        <w:spacing w:line="360" w:lineRule="auto"/>
        <w:jc w:val="center"/>
        <w:rPr>
          <w:b/>
        </w:rPr>
      </w:pPr>
    </w:p>
    <w:p w14:paraId="1C8B389B" w14:textId="020352E9" w:rsidR="00493003" w:rsidRDefault="00493003" w:rsidP="005A226D">
      <w:pPr>
        <w:spacing w:line="360" w:lineRule="auto"/>
        <w:jc w:val="center"/>
        <w:rPr>
          <w:b/>
        </w:rPr>
      </w:pPr>
    </w:p>
    <w:p w14:paraId="54905922" w14:textId="2A40A7EF" w:rsidR="00493003" w:rsidRDefault="00493003" w:rsidP="005A226D">
      <w:pPr>
        <w:spacing w:line="360" w:lineRule="auto"/>
        <w:jc w:val="center"/>
        <w:rPr>
          <w:b/>
        </w:rPr>
      </w:pPr>
    </w:p>
    <w:p w14:paraId="0D77427C" w14:textId="66B8B06D" w:rsidR="00493003" w:rsidRDefault="00493003" w:rsidP="005A226D">
      <w:pPr>
        <w:spacing w:line="360" w:lineRule="auto"/>
        <w:jc w:val="center"/>
        <w:rPr>
          <w:b/>
        </w:rPr>
      </w:pPr>
    </w:p>
    <w:p w14:paraId="56552162" w14:textId="3D06B8ED" w:rsidR="00493003" w:rsidRDefault="00493003" w:rsidP="005A226D">
      <w:pPr>
        <w:spacing w:line="360" w:lineRule="auto"/>
        <w:jc w:val="center"/>
        <w:rPr>
          <w:b/>
        </w:rPr>
      </w:pPr>
    </w:p>
    <w:p w14:paraId="45F12B39" w14:textId="78AC6C58" w:rsidR="00493003" w:rsidRDefault="00493003" w:rsidP="005A226D">
      <w:pPr>
        <w:spacing w:line="360" w:lineRule="auto"/>
        <w:jc w:val="center"/>
        <w:rPr>
          <w:b/>
        </w:rPr>
      </w:pPr>
    </w:p>
    <w:p w14:paraId="09C5521A" w14:textId="0ABA5ADB" w:rsidR="00493003" w:rsidRDefault="00493003" w:rsidP="005A226D">
      <w:pPr>
        <w:spacing w:line="360" w:lineRule="auto"/>
        <w:jc w:val="center"/>
        <w:rPr>
          <w:b/>
        </w:rPr>
      </w:pPr>
    </w:p>
    <w:p w14:paraId="2A3C4785" w14:textId="3E45AD80" w:rsidR="00493003" w:rsidRDefault="00493003" w:rsidP="005A226D">
      <w:pPr>
        <w:spacing w:line="360" w:lineRule="auto"/>
        <w:jc w:val="center"/>
        <w:rPr>
          <w:b/>
        </w:rPr>
      </w:pPr>
    </w:p>
    <w:p w14:paraId="121DD787" w14:textId="1CE80144" w:rsidR="00493003" w:rsidRDefault="00493003" w:rsidP="005A226D">
      <w:pPr>
        <w:spacing w:line="360" w:lineRule="auto"/>
        <w:jc w:val="center"/>
        <w:rPr>
          <w:b/>
        </w:rPr>
      </w:pPr>
    </w:p>
    <w:p w14:paraId="0B8554E3" w14:textId="282B5653" w:rsidR="00493003" w:rsidRDefault="00493003" w:rsidP="005A226D">
      <w:pPr>
        <w:spacing w:line="360" w:lineRule="auto"/>
        <w:jc w:val="center"/>
        <w:rPr>
          <w:b/>
        </w:rPr>
      </w:pPr>
    </w:p>
    <w:p w14:paraId="219B6EF8" w14:textId="19B3D7CF" w:rsidR="00493003" w:rsidRDefault="00493003" w:rsidP="005A226D">
      <w:pPr>
        <w:spacing w:line="360" w:lineRule="auto"/>
        <w:jc w:val="center"/>
        <w:rPr>
          <w:b/>
        </w:rPr>
      </w:pPr>
    </w:p>
    <w:p w14:paraId="236AE4C3" w14:textId="77777777" w:rsidR="00493003" w:rsidRPr="00493003" w:rsidRDefault="00493003" w:rsidP="005A226D">
      <w:pPr>
        <w:spacing w:line="360" w:lineRule="auto"/>
        <w:jc w:val="center"/>
        <w:rPr>
          <w:b/>
        </w:rPr>
      </w:pPr>
    </w:p>
    <w:p w14:paraId="7063347C" w14:textId="29BCDCCF" w:rsidR="00947D0E" w:rsidRPr="00493003" w:rsidRDefault="00326084" w:rsidP="005A226D">
      <w:pPr>
        <w:spacing w:line="360" w:lineRule="auto"/>
        <w:jc w:val="both"/>
        <w:rPr>
          <w:b/>
        </w:rPr>
      </w:pPr>
      <w:r w:rsidRPr="00493003">
        <w:rPr>
          <w:b/>
        </w:rPr>
        <w:t>A</w:t>
      </w:r>
      <w:r w:rsidR="00947D0E" w:rsidRPr="00493003">
        <w:rPr>
          <w:b/>
        </w:rPr>
        <w:t>BSTRACT</w:t>
      </w:r>
      <w:r w:rsidR="00C16184" w:rsidRPr="00493003">
        <w:rPr>
          <w:b/>
        </w:rPr>
        <w:t xml:space="preserve"> </w:t>
      </w:r>
      <w:bookmarkStart w:id="0" w:name="_GoBack"/>
      <w:bookmarkEnd w:id="0"/>
    </w:p>
    <w:p w14:paraId="0F8CCB1D" w14:textId="69C5B3A8" w:rsidR="00B30BA8" w:rsidRPr="00493003" w:rsidRDefault="00A1792A" w:rsidP="005A226D">
      <w:pPr>
        <w:spacing w:line="360" w:lineRule="auto"/>
        <w:jc w:val="both"/>
      </w:pPr>
      <w:r w:rsidRPr="00493003">
        <w:rPr>
          <w:b/>
          <w:bCs/>
          <w:lang w:val="en-US"/>
        </w:rPr>
        <w:t>OBJECTIVES</w:t>
      </w:r>
      <w:r w:rsidR="008A1B6D" w:rsidRPr="00493003">
        <w:rPr>
          <w:b/>
        </w:rPr>
        <w:t>:</w:t>
      </w:r>
      <w:r w:rsidR="006253E7" w:rsidRPr="00493003">
        <w:t xml:space="preserve"> </w:t>
      </w:r>
      <w:r w:rsidR="00ED3E3C" w:rsidRPr="00493003">
        <w:rPr>
          <w:lang w:val="en"/>
        </w:rPr>
        <w:t>Both</w:t>
      </w:r>
      <w:r w:rsidR="00ED3E3C" w:rsidRPr="00493003">
        <w:t xml:space="preserve"> insomnia and malnutrition are quite common, and can cause similar negative consequences, such as falls, depression, and cognitive impairment in older adults, but </w:t>
      </w:r>
      <w:r w:rsidR="00ED3E3C" w:rsidRPr="00493003">
        <w:rPr>
          <w:lang w:val="en"/>
        </w:rPr>
        <w:t>there is no study investigating the relationship between the two.</w:t>
      </w:r>
      <w:r w:rsidR="009F2930" w:rsidRPr="00493003">
        <w:t>The aim</w:t>
      </w:r>
      <w:r w:rsidR="00DF6FED" w:rsidRPr="00493003">
        <w:t xml:space="preserve">s were </w:t>
      </w:r>
      <w:r w:rsidR="009F2930" w:rsidRPr="00493003">
        <w:t xml:space="preserve">to </w:t>
      </w:r>
      <w:r w:rsidR="00DF6FED" w:rsidRPr="00493003">
        <w:t xml:space="preserve">investigate </w:t>
      </w:r>
      <w:r w:rsidR="009F2930" w:rsidRPr="00493003">
        <w:t>relationship</w:t>
      </w:r>
      <w:r w:rsidR="00DF6FED" w:rsidRPr="00493003">
        <w:t>s</w:t>
      </w:r>
      <w:r w:rsidR="009F2930" w:rsidRPr="00493003">
        <w:t xml:space="preserve"> between </w:t>
      </w:r>
      <w:r w:rsidR="00DD12AF" w:rsidRPr="00493003">
        <w:t>insomnia</w:t>
      </w:r>
      <w:r w:rsidR="00A805EC" w:rsidRPr="00493003">
        <w:t xml:space="preserve">/insomnia severity </w:t>
      </w:r>
      <w:r w:rsidR="009F2930" w:rsidRPr="00493003">
        <w:t>and</w:t>
      </w:r>
      <w:r w:rsidR="00DD12AF" w:rsidRPr="00493003">
        <w:t xml:space="preserve"> </w:t>
      </w:r>
      <w:r w:rsidR="00CB0038" w:rsidRPr="00493003">
        <w:t>Mi</w:t>
      </w:r>
      <w:r w:rsidR="009D1A49" w:rsidRPr="00493003">
        <w:t>ni Nutritional Assessment score</w:t>
      </w:r>
      <w:r w:rsidR="009F2930" w:rsidRPr="00493003">
        <w:t xml:space="preserve">, </w:t>
      </w:r>
      <w:r w:rsidR="00DF6FED" w:rsidRPr="00493003">
        <w:t>and</w:t>
      </w:r>
      <w:r w:rsidR="009F2930" w:rsidRPr="00493003">
        <w:t xml:space="preserve"> </w:t>
      </w:r>
      <w:r w:rsidR="00DD12AF" w:rsidRPr="00493003">
        <w:t>serum nutrient</w:t>
      </w:r>
      <w:r w:rsidR="006116C7" w:rsidRPr="00493003">
        <w:t>s</w:t>
      </w:r>
      <w:r w:rsidR="00DD12AF" w:rsidRPr="00493003">
        <w:t xml:space="preserve"> levels</w:t>
      </w:r>
      <w:r w:rsidR="009701D4" w:rsidRPr="00493003">
        <w:t>.</w:t>
      </w:r>
    </w:p>
    <w:p w14:paraId="7DD84223" w14:textId="246A4FBC" w:rsidR="00A1792A" w:rsidRPr="00493003" w:rsidRDefault="00A1792A" w:rsidP="005A226D">
      <w:pPr>
        <w:spacing w:line="360" w:lineRule="auto"/>
        <w:jc w:val="both"/>
        <w:rPr>
          <w:bCs/>
          <w:lang w:val="en-US"/>
        </w:rPr>
      </w:pPr>
      <w:r w:rsidRPr="00493003">
        <w:rPr>
          <w:b/>
          <w:bCs/>
          <w:lang w:val="en-US"/>
        </w:rPr>
        <w:t xml:space="preserve">SETTING AND PARTICIPANTS: </w:t>
      </w:r>
      <w:r w:rsidRPr="00493003">
        <w:t xml:space="preserve">Aged 65 years or older, </w:t>
      </w:r>
      <w:r w:rsidR="00383BA2" w:rsidRPr="00493003">
        <w:t>575 outpatients were included</w:t>
      </w:r>
      <w:r w:rsidRPr="00493003">
        <w:t>.</w:t>
      </w:r>
    </w:p>
    <w:p w14:paraId="2031707C" w14:textId="4E6E684A" w:rsidR="008A1B6D" w:rsidRPr="00493003" w:rsidRDefault="00A1792A" w:rsidP="005A226D">
      <w:pPr>
        <w:spacing w:line="360" w:lineRule="auto"/>
        <w:jc w:val="both"/>
      </w:pPr>
      <w:r w:rsidRPr="00493003">
        <w:rPr>
          <w:b/>
        </w:rPr>
        <w:t>METHODS:</w:t>
      </w:r>
      <w:r w:rsidR="00CB0038" w:rsidRPr="00493003">
        <w:t xml:space="preserve"> MNA</w:t>
      </w:r>
      <w:r w:rsidR="00337645" w:rsidRPr="00493003">
        <w:t xml:space="preserve"> </w:t>
      </w:r>
      <w:r w:rsidR="00D17741" w:rsidRPr="00493003">
        <w:t xml:space="preserve">&gt;23.5, </w:t>
      </w:r>
      <w:r w:rsidR="00B62737" w:rsidRPr="00493003">
        <w:t xml:space="preserve">17-23.5, </w:t>
      </w:r>
      <w:r w:rsidR="006253E7" w:rsidRPr="00493003">
        <w:t xml:space="preserve">&lt;17, were categorized as </w:t>
      </w:r>
      <w:r w:rsidR="00D17741" w:rsidRPr="00493003">
        <w:t>normal nutritional status</w:t>
      </w:r>
      <w:r w:rsidR="006253E7" w:rsidRPr="00493003">
        <w:t>, malnutrition</w:t>
      </w:r>
      <w:r w:rsidR="00D17741" w:rsidRPr="00493003">
        <w:t xml:space="preserve"> risk</w:t>
      </w:r>
      <w:r w:rsidR="006253E7" w:rsidRPr="00493003">
        <w:t>, and malnutrition, respectively.</w:t>
      </w:r>
      <w:r w:rsidR="00383BA2" w:rsidRPr="00493003">
        <w:t xml:space="preserve"> </w:t>
      </w:r>
      <w:r w:rsidR="002C3C85" w:rsidRPr="00493003">
        <w:t>Serum v</w:t>
      </w:r>
      <w:r w:rsidR="00A60FF4" w:rsidRPr="00493003">
        <w:t xml:space="preserve">itamin B12, vitamin D and folate </w:t>
      </w:r>
      <w:bookmarkStart w:id="1" w:name="_Hlk529539159"/>
      <w:r w:rsidR="00A60FF4" w:rsidRPr="00493003">
        <w:t>deficiencies</w:t>
      </w:r>
      <w:bookmarkEnd w:id="1"/>
      <w:r w:rsidR="00D17741" w:rsidRPr="00493003">
        <w:t xml:space="preserve"> were also evaluated.</w:t>
      </w:r>
      <w:r w:rsidR="00E53ED8" w:rsidRPr="00493003">
        <w:t xml:space="preserve"> </w:t>
      </w:r>
      <w:r w:rsidR="00AF6DEE" w:rsidRPr="00493003">
        <w:t>Insomnia Severity Index (ISI)</w:t>
      </w:r>
      <w:r w:rsidR="006253E7" w:rsidRPr="00493003">
        <w:t xml:space="preserve"> with scores of 8 and higher</w:t>
      </w:r>
      <w:r w:rsidR="00AF6DEE" w:rsidRPr="00493003">
        <w:t>, indicated</w:t>
      </w:r>
      <w:r w:rsidR="006253E7" w:rsidRPr="00493003">
        <w:t xml:space="preserve"> insomnia, which was </w:t>
      </w:r>
      <w:r w:rsidR="00D17741" w:rsidRPr="00493003">
        <w:t>further</w:t>
      </w:r>
      <w:r w:rsidR="006253E7" w:rsidRPr="00493003">
        <w:t xml:space="preserve"> stratified according to ISI score as mild (8-14), moderate (15-21), or severe (22-28).</w:t>
      </w:r>
      <w:r w:rsidR="00A60FF4" w:rsidRPr="00493003">
        <w:t xml:space="preserve"> </w:t>
      </w:r>
    </w:p>
    <w:p w14:paraId="5B65D950" w14:textId="5D3A6EE6" w:rsidR="00D622BA" w:rsidRPr="00493003" w:rsidRDefault="00A1792A" w:rsidP="005A226D">
      <w:pPr>
        <w:spacing w:line="360" w:lineRule="auto"/>
        <w:jc w:val="both"/>
      </w:pPr>
      <w:r w:rsidRPr="00493003">
        <w:rPr>
          <w:b/>
        </w:rPr>
        <w:t>RESULTS:</w:t>
      </w:r>
      <w:r w:rsidR="00493003">
        <w:rPr>
          <w:b/>
        </w:rPr>
        <w:t xml:space="preserve"> </w:t>
      </w:r>
      <w:r w:rsidR="00B36A81" w:rsidRPr="00493003">
        <w:t>T</w:t>
      </w:r>
      <w:r w:rsidR="00BB1C82" w:rsidRPr="00493003">
        <w:t xml:space="preserve">he mean age was 73.1 ± 7.7 years, </w:t>
      </w:r>
      <w:r w:rsidR="00AF6DEE" w:rsidRPr="00493003">
        <w:t xml:space="preserve">with </w:t>
      </w:r>
      <w:r w:rsidR="00BB1C82" w:rsidRPr="00493003">
        <w:t>73.2%</w:t>
      </w:r>
      <w:r w:rsidR="00AF6DEE" w:rsidRPr="00493003">
        <w:t xml:space="preserve"> being</w:t>
      </w:r>
      <w:r w:rsidR="00B62737" w:rsidRPr="00493003">
        <w:t xml:space="preserve"> female.</w:t>
      </w:r>
      <w:r w:rsidR="00383BA2" w:rsidRPr="00493003">
        <w:t xml:space="preserve"> </w:t>
      </w:r>
      <w:r w:rsidR="00C452E9" w:rsidRPr="00493003">
        <w:t xml:space="preserve">The prevalence of patients with </w:t>
      </w:r>
      <w:r w:rsidR="00BB1C82" w:rsidRPr="00493003">
        <w:t xml:space="preserve">no insomnia, </w:t>
      </w:r>
      <w:r w:rsidR="00C452E9" w:rsidRPr="00493003">
        <w:t xml:space="preserve">mild insomnia, moderate insomnia and severe insomnia were </w:t>
      </w:r>
      <w:r w:rsidR="00BB1C82" w:rsidRPr="00493003">
        <w:t xml:space="preserve">34.4%, </w:t>
      </w:r>
      <w:r w:rsidR="00C452E9" w:rsidRPr="00493003">
        <w:t xml:space="preserve">20.9%, 30.1%, and 14.6%, </w:t>
      </w:r>
      <w:r w:rsidR="00D17741" w:rsidRPr="00493003">
        <w:t>respectively.</w:t>
      </w:r>
      <w:r w:rsidR="00DF6FED" w:rsidRPr="00493003">
        <w:t xml:space="preserve"> </w:t>
      </w:r>
      <w:r w:rsidR="004D1E13" w:rsidRPr="00493003">
        <w:rPr>
          <w:lang w:val="en-US"/>
        </w:rPr>
        <w:t xml:space="preserve">After adjusting for </w:t>
      </w:r>
      <w:r w:rsidR="009701D4" w:rsidRPr="00493003">
        <w:t>gender,education, number of drugs,</w:t>
      </w:r>
      <w:r w:rsidR="00D77547" w:rsidRPr="00493003">
        <w:t xml:space="preserve"> </w:t>
      </w:r>
      <w:proofErr w:type="spellStart"/>
      <w:r w:rsidR="00223026" w:rsidRPr="00493003">
        <w:t>Charlson</w:t>
      </w:r>
      <w:proofErr w:type="spellEnd"/>
      <w:r w:rsidR="00223026" w:rsidRPr="00493003">
        <w:t xml:space="preserve"> comorbidity index, presence of depression, and</w:t>
      </w:r>
      <w:r w:rsidR="00223026" w:rsidRPr="00493003">
        <w:rPr>
          <w:b/>
          <w:bCs/>
        </w:rPr>
        <w:t xml:space="preserve"> </w:t>
      </w:r>
      <w:r w:rsidR="00223026" w:rsidRPr="00493003">
        <w:rPr>
          <w:bCs/>
        </w:rPr>
        <w:t>Mini-Mental State Examination</w:t>
      </w:r>
      <w:r w:rsidR="00223026" w:rsidRPr="00493003">
        <w:t xml:space="preserve"> scores</w:t>
      </w:r>
      <w:r w:rsidR="004D1E13" w:rsidRPr="00493003">
        <w:rPr>
          <w:lang w:val="en-US"/>
        </w:rPr>
        <w:t xml:space="preserve">, </w:t>
      </w:r>
      <w:r w:rsidR="005D099D" w:rsidRPr="00493003">
        <w:rPr>
          <w:lang w:val="en-US"/>
        </w:rPr>
        <w:t xml:space="preserve">patients </w:t>
      </w:r>
      <w:r w:rsidR="004D1E13" w:rsidRPr="00493003">
        <w:rPr>
          <w:lang w:val="en-US"/>
        </w:rPr>
        <w:t xml:space="preserve">with insomnia had lower MNA scores than </w:t>
      </w:r>
      <w:r w:rsidR="00596BEC" w:rsidRPr="00493003">
        <w:rPr>
          <w:lang w:val="en-US"/>
        </w:rPr>
        <w:t>those</w:t>
      </w:r>
      <w:r w:rsidR="004D1E13" w:rsidRPr="00493003">
        <w:rPr>
          <w:lang w:val="en-US"/>
        </w:rPr>
        <w:t xml:space="preserve"> without insomnia (OR=0.84, 95% CI: 0.7-0.9</w:t>
      </w:r>
      <w:r w:rsidR="00A94A78" w:rsidRPr="00493003">
        <w:rPr>
          <w:lang w:val="en-US"/>
        </w:rPr>
        <w:t>, p</w:t>
      </w:r>
      <w:r w:rsidR="004D1E13" w:rsidRPr="00493003">
        <w:rPr>
          <w:lang w:val="en-US"/>
        </w:rPr>
        <w:t>&lt;</w:t>
      </w:r>
      <w:r w:rsidR="009701D4" w:rsidRPr="00493003">
        <w:rPr>
          <w:lang w:val="en-US"/>
        </w:rPr>
        <w:t>0.0</w:t>
      </w:r>
      <w:r w:rsidR="00497971" w:rsidRPr="00493003">
        <w:rPr>
          <w:lang w:val="en-US"/>
        </w:rPr>
        <w:t>0</w:t>
      </w:r>
      <w:r w:rsidR="009701D4" w:rsidRPr="00493003">
        <w:rPr>
          <w:lang w:val="en-US"/>
        </w:rPr>
        <w:t>1).</w:t>
      </w:r>
      <w:r w:rsidR="004D1E13" w:rsidRPr="00493003">
        <w:rPr>
          <w:lang w:val="en-US"/>
        </w:rPr>
        <w:t xml:space="preserve">There were significant relationships between moderate/severe insomnia and the presence of malnutrition and risk of malnutrition </w:t>
      </w:r>
      <w:r w:rsidR="00A94A78" w:rsidRPr="00493003">
        <w:rPr>
          <w:lang w:val="en-US"/>
        </w:rPr>
        <w:t>(OR=</w:t>
      </w:r>
      <w:r w:rsidR="004D1E13" w:rsidRPr="00493003">
        <w:rPr>
          <w:lang w:val="en-US"/>
        </w:rPr>
        <w:t>1.6, 95% CI:</w:t>
      </w:r>
      <w:r w:rsidR="00CB1EE3" w:rsidRPr="00493003">
        <w:rPr>
          <w:lang w:val="en-US"/>
        </w:rPr>
        <w:t xml:space="preserve"> </w:t>
      </w:r>
      <w:r w:rsidR="004D1E13" w:rsidRPr="00493003">
        <w:rPr>
          <w:lang w:val="en-US"/>
        </w:rPr>
        <w:t xml:space="preserve">1.0-2.5, </w:t>
      </w:r>
      <w:r w:rsidR="00A94A78" w:rsidRPr="00493003">
        <w:rPr>
          <w:lang w:val="en-US"/>
        </w:rPr>
        <w:t>p</w:t>
      </w:r>
      <w:r w:rsidR="004D1E13" w:rsidRPr="00493003">
        <w:rPr>
          <w:lang w:val="en-US"/>
        </w:rPr>
        <w:t>=0.046 /</w:t>
      </w:r>
      <w:r w:rsidR="00A94A78" w:rsidRPr="00493003">
        <w:rPr>
          <w:lang w:val="en-US"/>
        </w:rPr>
        <w:t xml:space="preserve"> OR=</w:t>
      </w:r>
      <w:r w:rsidR="004D1E13" w:rsidRPr="00493003">
        <w:rPr>
          <w:lang w:val="en-US"/>
        </w:rPr>
        <w:t>1.6, 95% CI:1.0-2.7</w:t>
      </w:r>
      <w:r w:rsidR="00A94A78" w:rsidRPr="00493003">
        <w:rPr>
          <w:lang w:val="en-US"/>
        </w:rPr>
        <w:t>, p</w:t>
      </w:r>
      <w:r w:rsidR="004D1E13" w:rsidRPr="00493003">
        <w:rPr>
          <w:lang w:val="en-US"/>
        </w:rPr>
        <w:t>=0.042) and MNA scores (OR= 0.83, 95% CI:0.7-0.9</w:t>
      </w:r>
      <w:r w:rsidR="00A94A78" w:rsidRPr="00493003">
        <w:rPr>
          <w:lang w:val="en-US"/>
        </w:rPr>
        <w:t>, p</w:t>
      </w:r>
      <w:r w:rsidR="004D1E13" w:rsidRPr="00493003">
        <w:rPr>
          <w:lang w:val="en-US"/>
        </w:rPr>
        <w:t>&lt;0.0</w:t>
      </w:r>
      <w:r w:rsidR="00497971" w:rsidRPr="00493003">
        <w:rPr>
          <w:lang w:val="en-US"/>
        </w:rPr>
        <w:t>0</w:t>
      </w:r>
      <w:r w:rsidR="004D1E13" w:rsidRPr="00493003">
        <w:rPr>
          <w:lang w:val="en-US"/>
        </w:rPr>
        <w:t xml:space="preserve">1) </w:t>
      </w:r>
      <w:r w:rsidR="00A94A78" w:rsidRPr="00493003">
        <w:rPr>
          <w:lang w:val="en-US"/>
        </w:rPr>
        <w:t>/ OR=</w:t>
      </w:r>
      <w:r w:rsidR="004D1E13" w:rsidRPr="00493003">
        <w:rPr>
          <w:lang w:val="en-US"/>
        </w:rPr>
        <w:t>0.82, 95% CI:0.7-0.9</w:t>
      </w:r>
      <w:r w:rsidR="00A94A78" w:rsidRPr="00493003">
        <w:rPr>
          <w:lang w:val="en-US"/>
        </w:rPr>
        <w:t xml:space="preserve">, </w:t>
      </w:r>
      <w:r w:rsidR="004D1E13" w:rsidRPr="00493003">
        <w:rPr>
          <w:lang w:val="en-US"/>
        </w:rPr>
        <w:t xml:space="preserve"> </w:t>
      </w:r>
      <w:r w:rsidR="00A94A78" w:rsidRPr="00493003">
        <w:rPr>
          <w:lang w:val="en-US"/>
        </w:rPr>
        <w:t>p</w:t>
      </w:r>
      <w:r w:rsidR="004D1E13" w:rsidRPr="00493003">
        <w:rPr>
          <w:lang w:val="en-US"/>
        </w:rPr>
        <w:t>&lt;0.0</w:t>
      </w:r>
      <w:r w:rsidR="00497971" w:rsidRPr="00493003">
        <w:rPr>
          <w:lang w:val="en-US"/>
        </w:rPr>
        <w:t>0</w:t>
      </w:r>
      <w:r w:rsidR="004D1E13" w:rsidRPr="00493003">
        <w:rPr>
          <w:lang w:val="en-US"/>
        </w:rPr>
        <w:t>1)</w:t>
      </w:r>
      <w:r w:rsidR="00D87D87" w:rsidRPr="00493003">
        <w:rPr>
          <w:lang w:val="en-US"/>
        </w:rPr>
        <w:t>.</w:t>
      </w:r>
      <w:r w:rsidR="00BB1C82" w:rsidRPr="00493003">
        <w:t>Ther</w:t>
      </w:r>
      <w:r w:rsidR="00AF6DEE" w:rsidRPr="00493003">
        <w:t>e was no significant difference</w:t>
      </w:r>
      <w:r w:rsidR="00BB1C82" w:rsidRPr="00493003">
        <w:t xml:space="preserve"> between insomnia severity status and serum</w:t>
      </w:r>
      <w:r w:rsidR="001D14F8" w:rsidRPr="00493003">
        <w:t xml:space="preserve"> vitamin D, Vitamin B12, folate </w:t>
      </w:r>
      <w:r w:rsidR="00BB1C82" w:rsidRPr="00493003">
        <w:t xml:space="preserve">levels or classification of these nutrients (p&gt;0.05).  </w:t>
      </w:r>
    </w:p>
    <w:p w14:paraId="2EC8B79E" w14:textId="189BF922" w:rsidR="0070705D" w:rsidRPr="00493003" w:rsidRDefault="00097F55" w:rsidP="005A226D">
      <w:pPr>
        <w:spacing w:line="360" w:lineRule="auto"/>
        <w:jc w:val="both"/>
        <w:rPr>
          <w:color w:val="FF0000"/>
          <w:lang w:val="tr-TR"/>
        </w:rPr>
      </w:pPr>
      <w:r w:rsidRPr="00493003">
        <w:rPr>
          <w:b/>
        </w:rPr>
        <w:t>Conclusions and Implications</w:t>
      </w:r>
      <w:r w:rsidR="008A1B6D" w:rsidRPr="00493003">
        <w:rPr>
          <w:b/>
        </w:rPr>
        <w:t>:</w:t>
      </w:r>
      <w:r w:rsidR="00D77547" w:rsidRPr="00493003">
        <w:rPr>
          <w:b/>
        </w:rPr>
        <w:t xml:space="preserve"> </w:t>
      </w:r>
      <w:r w:rsidR="00D40B7B" w:rsidRPr="00493003">
        <w:t xml:space="preserve">There is a close relationship between </w:t>
      </w:r>
      <w:r w:rsidR="009D1A49" w:rsidRPr="00493003">
        <w:t>MNA score</w:t>
      </w:r>
      <w:r w:rsidR="002D611D" w:rsidRPr="00493003">
        <w:t>s</w:t>
      </w:r>
      <w:r w:rsidR="00230794" w:rsidRPr="00493003">
        <w:t xml:space="preserve"> </w:t>
      </w:r>
      <w:r w:rsidR="00D40B7B" w:rsidRPr="00493003">
        <w:t>and insomnia/</w:t>
      </w:r>
      <w:r w:rsidR="00230794" w:rsidRPr="00493003">
        <w:t>insomnia severity</w:t>
      </w:r>
      <w:r w:rsidR="009F0398" w:rsidRPr="00493003">
        <w:t xml:space="preserve"> in older adults.</w:t>
      </w:r>
      <w:r w:rsidR="000E198C" w:rsidRPr="00493003">
        <w:t xml:space="preserve"> </w:t>
      </w:r>
      <w:r w:rsidR="0070705D" w:rsidRPr="00493003">
        <w:rPr>
          <w:lang w:val="en"/>
        </w:rPr>
        <w:t>Therefore</w:t>
      </w:r>
      <w:r w:rsidR="004A042F" w:rsidRPr="00493003">
        <w:rPr>
          <w:lang w:val="en"/>
        </w:rPr>
        <w:t xml:space="preserve">, </w:t>
      </w:r>
      <w:r w:rsidR="0070705D" w:rsidRPr="00493003">
        <w:rPr>
          <w:lang w:val="en"/>
        </w:rPr>
        <w:t xml:space="preserve">when evaluating an elderly patient with insomnia, malnutrition should be </w:t>
      </w:r>
      <w:r w:rsidR="00D44CE6" w:rsidRPr="00493003">
        <w:rPr>
          <w:lang w:val="en"/>
        </w:rPr>
        <w:t>evaluated</w:t>
      </w:r>
      <w:r w:rsidR="0070705D" w:rsidRPr="00493003">
        <w:rPr>
          <w:lang w:val="en"/>
        </w:rPr>
        <w:t xml:space="preserve">, or insomnia should also be questioned in an elderly patient with malnutrition. Thus, more effective </w:t>
      </w:r>
      <w:r w:rsidR="00D17741" w:rsidRPr="00493003">
        <w:rPr>
          <w:lang w:val="en"/>
        </w:rPr>
        <w:t xml:space="preserve">management of </w:t>
      </w:r>
      <w:r w:rsidR="008A3031" w:rsidRPr="00493003">
        <w:rPr>
          <w:lang w:val="en"/>
        </w:rPr>
        <w:t>the two</w:t>
      </w:r>
      <w:r w:rsidR="00D17741" w:rsidRPr="00493003">
        <w:rPr>
          <w:lang w:val="en"/>
        </w:rPr>
        <w:t xml:space="preserve"> can </w:t>
      </w:r>
      <w:r w:rsidR="0070705D" w:rsidRPr="00493003">
        <w:rPr>
          <w:lang w:val="en"/>
        </w:rPr>
        <w:t>be possible.</w:t>
      </w:r>
    </w:p>
    <w:p w14:paraId="08F3CB57" w14:textId="7D012347" w:rsidR="00D40B7B" w:rsidRPr="00493003" w:rsidRDefault="00082DA1" w:rsidP="005A226D">
      <w:pPr>
        <w:spacing w:line="360" w:lineRule="auto"/>
        <w:jc w:val="both"/>
      </w:pPr>
      <w:r w:rsidRPr="00493003">
        <w:rPr>
          <w:b/>
        </w:rPr>
        <w:t>Keyword:</w:t>
      </w:r>
      <w:r w:rsidR="00EA07EF" w:rsidRPr="00493003">
        <w:t xml:space="preserve"> insomnia; mini nutritional assessment</w:t>
      </w:r>
      <w:r w:rsidRPr="00493003">
        <w:t xml:space="preserve">; </w:t>
      </w:r>
      <w:r w:rsidRPr="00493003">
        <w:rPr>
          <w:lang w:val="en"/>
        </w:rPr>
        <w:t>micronutrient</w:t>
      </w:r>
      <w:r w:rsidRPr="00493003">
        <w:t>; nutrition; vitamin D; vitamin B12; folate</w:t>
      </w:r>
    </w:p>
    <w:p w14:paraId="3A038C64" w14:textId="77777777" w:rsidR="00E4057B" w:rsidRPr="00493003" w:rsidRDefault="00E4057B" w:rsidP="005A226D">
      <w:pPr>
        <w:spacing w:line="360" w:lineRule="auto"/>
        <w:jc w:val="both"/>
      </w:pPr>
    </w:p>
    <w:p w14:paraId="686B4C08" w14:textId="77777777" w:rsidR="00E4057B" w:rsidRPr="00493003" w:rsidRDefault="00E4057B" w:rsidP="005A226D">
      <w:pPr>
        <w:spacing w:line="360" w:lineRule="auto"/>
        <w:jc w:val="both"/>
      </w:pPr>
    </w:p>
    <w:p w14:paraId="3E72A720" w14:textId="618E0A0B" w:rsidR="00D77547" w:rsidRDefault="00D77547" w:rsidP="005A226D">
      <w:pPr>
        <w:spacing w:line="360" w:lineRule="auto"/>
        <w:jc w:val="both"/>
      </w:pPr>
    </w:p>
    <w:p w14:paraId="212431A6" w14:textId="77777777" w:rsidR="00493003" w:rsidRPr="00493003" w:rsidRDefault="00493003" w:rsidP="005A226D">
      <w:pPr>
        <w:spacing w:line="360" w:lineRule="auto"/>
        <w:jc w:val="both"/>
      </w:pPr>
    </w:p>
    <w:p w14:paraId="0CC4F05D" w14:textId="184A8D35" w:rsidR="00177BF4" w:rsidRPr="00493003" w:rsidRDefault="00177BF4" w:rsidP="005A226D">
      <w:pPr>
        <w:spacing w:line="360" w:lineRule="auto"/>
        <w:jc w:val="both"/>
        <w:rPr>
          <w:b/>
        </w:rPr>
      </w:pPr>
      <w:r w:rsidRPr="00493003">
        <w:rPr>
          <w:b/>
        </w:rPr>
        <w:lastRenderedPageBreak/>
        <w:t>INTRODUCTION</w:t>
      </w:r>
    </w:p>
    <w:p w14:paraId="1764031D" w14:textId="6E2B82EA" w:rsidR="00174888" w:rsidRPr="00493003" w:rsidRDefault="00400847" w:rsidP="005A226D">
      <w:pPr>
        <w:spacing w:line="360" w:lineRule="auto"/>
        <w:jc w:val="both"/>
      </w:pPr>
      <w:r w:rsidRPr="00493003">
        <w:rPr>
          <w:lang w:val="en"/>
        </w:rPr>
        <w:t xml:space="preserve">Insomnia is defined as persistently having difficulty in </w:t>
      </w:r>
      <w:r w:rsidR="00C1704E" w:rsidRPr="00493003">
        <w:rPr>
          <w:lang w:val="en"/>
        </w:rPr>
        <w:t>initiating and sustaining sleep, or waking</w:t>
      </w:r>
      <w:r w:rsidRPr="00493003">
        <w:rPr>
          <w:lang w:val="en"/>
        </w:rPr>
        <w:t xml:space="preserve"> up </w:t>
      </w:r>
      <w:r w:rsidR="00C1704E" w:rsidRPr="00493003">
        <w:rPr>
          <w:lang w:val="en"/>
        </w:rPr>
        <w:t xml:space="preserve">too </w:t>
      </w:r>
      <w:r w:rsidRPr="00493003">
        <w:rPr>
          <w:lang w:val="en"/>
        </w:rPr>
        <w:t xml:space="preserve">early </w:t>
      </w:r>
      <w:r w:rsidR="00C1704E" w:rsidRPr="00493003">
        <w:rPr>
          <w:lang w:val="en"/>
        </w:rPr>
        <w:t xml:space="preserve">in the mornings </w:t>
      </w:r>
      <w:r w:rsidR="00E73DBF" w:rsidRPr="00493003">
        <w:rPr>
          <w:lang w:val="en"/>
        </w:rPr>
        <w:t xml:space="preserve">and not </w:t>
      </w:r>
      <w:r w:rsidRPr="00493003">
        <w:rPr>
          <w:lang w:val="en"/>
        </w:rPr>
        <w:t>fall</w:t>
      </w:r>
      <w:r w:rsidR="00E73DBF" w:rsidRPr="00493003">
        <w:rPr>
          <w:lang w:val="en"/>
        </w:rPr>
        <w:t>ing</w:t>
      </w:r>
      <w:r w:rsidRPr="00493003">
        <w:rPr>
          <w:lang w:val="en"/>
        </w:rPr>
        <w:t xml:space="preserve"> a</w:t>
      </w:r>
      <w:r w:rsidR="00FF50DF" w:rsidRPr="00493003">
        <w:rPr>
          <w:lang w:val="en"/>
        </w:rPr>
        <w:t>sleep again</w:t>
      </w:r>
      <w:r w:rsidR="002D274B" w:rsidRPr="00493003">
        <w:rPr>
          <w:lang w:val="en"/>
        </w:rPr>
        <w:t>.</w:t>
      </w:r>
      <w:r w:rsidR="00FF50DF" w:rsidRPr="00493003">
        <w:t xml:space="preserve"> </w:t>
      </w:r>
      <w:r w:rsidR="00FF50DF" w:rsidRPr="00493003">
        <w:fldChar w:fldCharType="begin" w:fldLock="1"/>
      </w:r>
      <w:r w:rsidR="000A0AE7" w:rsidRPr="00493003">
        <w:instrText>ADDIN CSL_CITATION {"citationItems":[{"id":"ITEM-1","itemData":{"DOI":"10.1016/j.cger.2018.01.008","ISBN":"9781493965786","ISSN":"18798853","PMID":"20308755","abstract":"Although some physiologic changes in sleep are a normal part of the aging process, other sleep complaints made by elderly patients can indicate a primary or secondary sleep disorder. It is important to recognize the difference between normal age-related changes and what may require further testing to make an accurate diagnosis. Proper diagnosis and treatment of sleep disorders can improve the quality of life and safety for the elderly and their families.","author":[{"dropping-particle":"","family":"Yaremchuk","given":"Kathleen","non-dropping-particle":"","parse-names":false,"suffix":""}],"container-title":"Clinics in Geriatric Medicine","id":"ITEM-1","issued":{"date-parts":[["2018"]]},"title":"Sleep Disorders in the Elderly","type":"article"},"uris":["http://www.mendeley.com/documents/?uuid=9682c029-d6c7-42e6-92d4-b84dfa9f2665","http://www.mendeley.com/documents/?uuid=8c7facd2-4b9b-48e6-9676-87b3fa503d93"]}],"mendeley":{"formattedCitation":"(1)","plainTextFormattedCitation":"(1)","previouslyFormattedCitation":"(1)"},"properties":{"noteIndex":0},"schema":"https://github.com/citation-style-language/schema/raw/master/csl-citation.json"}</w:instrText>
      </w:r>
      <w:r w:rsidR="00FF50DF" w:rsidRPr="00493003">
        <w:fldChar w:fldCharType="separate"/>
      </w:r>
      <w:r w:rsidR="00883C63" w:rsidRPr="00493003">
        <w:rPr>
          <w:noProof/>
        </w:rPr>
        <w:t>(1)</w:t>
      </w:r>
      <w:r w:rsidR="00FF50DF" w:rsidRPr="00493003">
        <w:fldChar w:fldCharType="end"/>
      </w:r>
      <w:r w:rsidR="00CA03DC" w:rsidRPr="00493003">
        <w:t xml:space="preserve"> </w:t>
      </w:r>
      <w:r w:rsidR="002D274B" w:rsidRPr="00493003">
        <w:rPr>
          <w:lang w:val="en"/>
        </w:rPr>
        <w:t>While the prevalence of i</w:t>
      </w:r>
      <w:r w:rsidR="004A3B33" w:rsidRPr="00493003">
        <w:rPr>
          <w:lang w:val="en"/>
        </w:rPr>
        <w:t>nsomnia is 12% -20%</w:t>
      </w:r>
      <w:r w:rsidR="002D274B" w:rsidRPr="00493003">
        <w:rPr>
          <w:lang w:val="en"/>
        </w:rPr>
        <w:t xml:space="preserve"> in </w:t>
      </w:r>
      <w:r w:rsidR="00DF6FED" w:rsidRPr="00493003">
        <w:rPr>
          <w:lang w:val="en"/>
        </w:rPr>
        <w:t xml:space="preserve">the </w:t>
      </w:r>
      <w:r w:rsidR="002D274B" w:rsidRPr="00493003">
        <w:rPr>
          <w:lang w:val="en"/>
        </w:rPr>
        <w:t>general population</w:t>
      </w:r>
      <w:r w:rsidR="004A3B33" w:rsidRPr="00493003">
        <w:rPr>
          <w:lang w:val="en"/>
        </w:rPr>
        <w:t xml:space="preserve">, the prevalence rate of insomnia </w:t>
      </w:r>
      <w:r w:rsidR="002D274B" w:rsidRPr="00493003">
        <w:rPr>
          <w:lang w:val="en"/>
        </w:rPr>
        <w:t>symptoms ranges from 30% to 48%</w:t>
      </w:r>
      <w:r w:rsidR="002D274B" w:rsidRPr="00493003">
        <w:t xml:space="preserve"> </w:t>
      </w:r>
      <w:r w:rsidR="002D274B" w:rsidRPr="00493003">
        <w:rPr>
          <w:lang w:val="en"/>
        </w:rPr>
        <w:t>in the elderly.</w:t>
      </w:r>
      <w:r w:rsidR="002D274B" w:rsidRPr="00493003">
        <w:t xml:space="preserve"> </w:t>
      </w:r>
      <w:r w:rsidR="002D274B" w:rsidRPr="00493003">
        <w:fldChar w:fldCharType="begin" w:fldLock="1"/>
      </w:r>
      <w:r w:rsidR="000A0AE7" w:rsidRPr="00493003">
        <w:instrText>ADDIN CSL_CITATION {"citationItems":[{"id":"ITEM-1","itemData":{"DOI":"10.5664/jcsm.7172","ISBN":"0161-8105 (Print)\\r0161-8105 (Linking)","ISSN":"15509397","PMID":"10755805","abstract":"The elderly are known to have a high prevalence of insomnia. Causes of insomnia include: medical, psychiatric, and drug issues; circadian rhythm changes; sleep disorders; and psychosocial factors. The elderly frequently use sleeping aids. Risks associated with elderly patients' use of hypnotic drugs are attributable to concomitant comorbid conditions, use of multiple medications, altered pharmacokinetics, and increased central nervous system sensitivity to these drugs. Treatment options for insomnia include behavior modification and pharmacotherapy. The choice of hypnotics is based on matching the nature of the insomnia to the hypnotic agent. Benzodiazepine receptor agonists are common hypnotics prescribed for insomnia in the elderly. The ideal agent has rapid onset, duration of action that lasts through the night but no residual daytime effects, and no adverse effects. The longer-acting agents have been shown to result in a higher risk of falls and hip fractures in the elderly. This relationship is not apparent with short-acting agents. Zaleplon, the newest benzodiazepine receptor agonist, has the shortest half-life of available agents. Studies have demonstrated that zaleplon is effective in improving sleep latency, duration, and sleep quality in the elderly. Zaleplon does not appear to cause rebound insomnia, residual sedation, or adversely affect psychomotor function. The key for the healthcare professional is finding the appropriate treatment or treatment combination, including behavioral modification and pharmacotherapy. When hypnotics are indicated, the most appropriate short-acting agent should be considered.","author":[{"dropping-particle":"","family":"Patel","given":"Dhaval","non-dropping-particle":"","parse-names":false,"suffix":""},{"dropping-particle":"","family":"Steinberg","given":"Joel","non-dropping-particle":"","parse-names":false,"suffix":""},{"dropping-particle":"","family":"Patel","given":"Pragnesh","non-dropping-particle":"","parse-names":false,"suffix":""}],"container-title":"Journal of Clinical Sleep Medicine","id":"ITEM-1","issued":{"date-parts":[["2018"]]},"title":"Insomnia in the elderly: A review","type":"article"},"uris":["http://www.mendeley.com/documents/?uuid=8ba741a5-34e7-4428-a3c0-38abb3f20037"]}],"mendeley":{"formattedCitation":"(2)","plainTextFormattedCitation":"(2)","previouslyFormattedCitation":"(2)"},"properties":{"noteIndex":0},"schema":"https://github.com/citation-style-language/schema/raw/master/csl-citation.json"}</w:instrText>
      </w:r>
      <w:r w:rsidR="002D274B" w:rsidRPr="00493003">
        <w:fldChar w:fldCharType="separate"/>
      </w:r>
      <w:r w:rsidR="00883C63" w:rsidRPr="00493003">
        <w:rPr>
          <w:noProof/>
        </w:rPr>
        <w:t>(2)</w:t>
      </w:r>
      <w:r w:rsidR="002D274B" w:rsidRPr="00493003">
        <w:fldChar w:fldCharType="end"/>
      </w:r>
      <w:r w:rsidR="006838C7" w:rsidRPr="00493003">
        <w:t xml:space="preserve"> </w:t>
      </w:r>
      <w:r w:rsidR="004A3B33" w:rsidRPr="00493003">
        <w:rPr>
          <w:lang w:val="en"/>
        </w:rPr>
        <w:t xml:space="preserve">In a study of 6,899 </w:t>
      </w:r>
      <w:r w:rsidR="002D274B" w:rsidRPr="00493003">
        <w:rPr>
          <w:lang w:val="en"/>
        </w:rPr>
        <w:t>older adults</w:t>
      </w:r>
      <w:r w:rsidR="004A3B33" w:rsidRPr="00493003">
        <w:rPr>
          <w:lang w:val="en"/>
        </w:rPr>
        <w:t xml:space="preserve"> aged 65 years and over, the incidence of annual insomnia was found to be 7%,</w:t>
      </w:r>
      <w:r w:rsidR="008B4EB9" w:rsidRPr="00493003">
        <w:rPr>
          <w:lang w:val="en"/>
        </w:rPr>
        <w:t xml:space="preserve"> and</w:t>
      </w:r>
      <w:r w:rsidR="004A3B33" w:rsidRPr="00493003">
        <w:rPr>
          <w:lang w:val="en"/>
        </w:rPr>
        <w:t xml:space="preserve"> it has been reported that </w:t>
      </w:r>
      <w:r w:rsidR="002D274B" w:rsidRPr="00493003">
        <w:rPr>
          <w:lang w:val="en"/>
        </w:rPr>
        <w:t xml:space="preserve">some </w:t>
      </w:r>
      <w:r w:rsidR="004A3B33" w:rsidRPr="00493003">
        <w:rPr>
          <w:lang w:val="en"/>
        </w:rPr>
        <w:t>drugs (</w:t>
      </w:r>
      <w:r w:rsidR="00BD2FC0" w:rsidRPr="00493003">
        <w:rPr>
          <w:lang w:val="en"/>
        </w:rPr>
        <w:t>e.g.</w:t>
      </w:r>
      <w:r w:rsidR="004A3B33" w:rsidRPr="00493003">
        <w:rPr>
          <w:lang w:val="en"/>
        </w:rPr>
        <w:t>, b</w:t>
      </w:r>
      <w:r w:rsidR="00124AA0" w:rsidRPr="00493003">
        <w:rPr>
          <w:lang w:val="en"/>
        </w:rPr>
        <w:t>eta blockers) and</w:t>
      </w:r>
      <w:r w:rsidR="004A3B33" w:rsidRPr="00493003">
        <w:rPr>
          <w:lang w:val="en"/>
        </w:rPr>
        <w:t xml:space="preserve"> </w:t>
      </w:r>
      <w:r w:rsidR="002D274B" w:rsidRPr="00493003">
        <w:rPr>
          <w:lang w:val="en"/>
        </w:rPr>
        <w:t xml:space="preserve">comorbidities such as </w:t>
      </w:r>
      <w:r w:rsidR="004A3B33" w:rsidRPr="00493003">
        <w:rPr>
          <w:lang w:val="en"/>
        </w:rPr>
        <w:t>chronic pain, depression, cancer, chronic obstructive pulmonary disease, cardiovascular diseases, and some other factors, such as inactivity, decreased social relationships and caregiving, are increasingly associated with insomnia.</w:t>
      </w:r>
      <w:r w:rsidR="004A3B33" w:rsidRPr="00493003">
        <w:rPr>
          <w:lang w:val="en-US"/>
        </w:rPr>
        <w:t xml:space="preserve"> </w:t>
      </w:r>
      <w:r w:rsidR="002D274B" w:rsidRPr="00493003">
        <w:fldChar w:fldCharType="begin" w:fldLock="1"/>
      </w:r>
      <w:r w:rsidR="000A0AE7" w:rsidRPr="00493003">
        <w:instrText>ADDIN CSL_CITATION {"citationItems":[{"id":"ITEM-1","itemData":{"DOI":"10.1126/science.1194352","ISBN":"8524008946","ISSN":"1095-9203","PMID":"20724624","abstract":"The photon emission from a semiconductor quantum dot directed by a nanoscale gold antenna could be used in quantum optics.","author":[{"dropping-particle":"","family":"Foley","given":"Daniel J.","non-dropping-particle":"","parse-names":false,"suffix":""},{"dropping-particle":"","family":"Monjan","given":"Andrew","non-dropping-particle":"","parse-names":false,"suffix":""},{"dropping-particle":"","family":"Simonsick","given":"Eleanor M.","non-dropping-particle":"","parse-names":false,"suffix":""},{"dropping-particle":"","family":"Wallace","given":"Robert B.","non-dropping-particle":"","parse-names":false,"suffix":""},{"dropping-particle":"","family":"Blazer","given":"Dan G.","non-dropping-particle":"","parse-names":false,"suffix":""}],"container-title":"Journal of Sleep Research &amp; Sleep Medicine","id":"ITEM-1","issued":{"date-parts":[["1999"]]},"title":"Incidence and remission of insomnia among elderly adults: An epidemiologic study of 6,800 persons over three years.","type":"article-journal"},"uris":["http://www.mendeley.com/documents/?uuid=b32cf2d6-318f-4591-b300-455f55613139"]}],"mendeley":{"formattedCitation":"(3)","plainTextFormattedCitation":"(3)","previouslyFormattedCitation":"(3)"},"properties":{"noteIndex":0},"schema":"https://github.com/citation-style-language/schema/raw/master/csl-citation.json"}</w:instrText>
      </w:r>
      <w:r w:rsidR="002D274B" w:rsidRPr="00493003">
        <w:fldChar w:fldCharType="separate"/>
      </w:r>
      <w:r w:rsidR="00883C63" w:rsidRPr="00493003">
        <w:rPr>
          <w:noProof/>
        </w:rPr>
        <w:t>(3)</w:t>
      </w:r>
      <w:r w:rsidR="002D274B" w:rsidRPr="00493003">
        <w:rPr>
          <w:lang w:val="en-US"/>
        </w:rPr>
        <w:fldChar w:fldCharType="end"/>
      </w:r>
      <w:r w:rsidR="00E21430" w:rsidRPr="00493003">
        <w:rPr>
          <w:lang w:val="en-US"/>
        </w:rPr>
        <w:t xml:space="preserve"> </w:t>
      </w:r>
      <w:r w:rsidR="004A3B33" w:rsidRPr="00493003">
        <w:rPr>
          <w:lang w:val="en"/>
        </w:rPr>
        <w:t xml:space="preserve">On the other hand, regardless of all these and similar factors, aging-related circadian rhythm disturbances </w:t>
      </w:r>
      <w:r w:rsidR="00292A71" w:rsidRPr="00493003">
        <w:rPr>
          <w:lang w:val="en"/>
        </w:rPr>
        <w:t xml:space="preserve">can </w:t>
      </w:r>
      <w:r w:rsidR="004A3B33" w:rsidRPr="00493003">
        <w:rPr>
          <w:lang w:val="en"/>
        </w:rPr>
        <w:t>contribute to the development of later-life insomnia, such as</w:t>
      </w:r>
      <w:r w:rsidR="00E21430" w:rsidRPr="00493003">
        <w:rPr>
          <w:lang w:val="en"/>
        </w:rPr>
        <w:t xml:space="preserve"> changes in</w:t>
      </w:r>
      <w:r w:rsidR="004A3B33" w:rsidRPr="00493003">
        <w:rPr>
          <w:lang w:val="en"/>
        </w:rPr>
        <w:t xml:space="preserve"> the amplitude of the circadian oscillation of physiological parameters </w:t>
      </w:r>
      <w:r w:rsidR="00E21430" w:rsidRPr="00493003">
        <w:rPr>
          <w:lang w:val="en"/>
        </w:rPr>
        <w:t>like</w:t>
      </w:r>
      <w:r w:rsidR="004A3B33" w:rsidRPr="00493003">
        <w:rPr>
          <w:lang w:val="en"/>
        </w:rPr>
        <w:t xml:space="preserve"> melatonin or the decrease in the effectiveness of the suprachiasmatic nucleus in the hypothalamus.</w:t>
      </w:r>
      <w:r w:rsidR="004A3B33" w:rsidRPr="00493003">
        <w:t xml:space="preserve"> </w:t>
      </w:r>
      <w:r w:rsidR="00E21430" w:rsidRPr="00493003">
        <w:fldChar w:fldCharType="begin" w:fldLock="1"/>
      </w:r>
      <w:r w:rsidR="000A0AE7" w:rsidRPr="00493003">
        <w:instrText>ADDIN CSL_CITATION {"citationItems":[{"id":"ITEM-1","itemData":{"DOI":"10.1111/psyg.12319","ISBN":"1346-3500","ISSN":"14798301","PMID":"29878472","abstract":"In contrast to newborns, who spend 16-20 h in sleep each day, adults need only about sleep daily. However, many elderly may struggle to obtain those 8 h in one block. In addition to changes in sleep duration, sleep patterns change as age progresses. Like the physical changes that occur during old age, an alteration in sleep pattern is also a part of the normal ageing process. As people age, they tend to have a harder time falling asleep and more trouble staying asleep. Older people spend more time in the lighter stages of sleep than in deep sleep. As the circadian mechanism in older people becomes less efficient, their sleep schedule is shifted forward. Even when they manage to obtain 7 or 8 h sleep, they wake up early, as they have gone to sleep quite early. The prevalence of sleep disorders is higher among older adults. Loud snoring, which is more common in the elderly, can be a symptom of obstructive sleep apnoea, which puts a person at risk for cardiovascular diseases, headaches, memory loss, and depression. Restless legs syndrome and periodic limb movement disorder that disrupt sleep are more prevalent in older persons. Other common medical problems of old age such as hypertension diabetes mellitus, renal failure, respiratory diseases such as asthma, immune disorders, gastroesophageal reflux disease, physical disability, dementia, pain, depression, and anxiety are all associated with sleep disturbances.","author":[{"dropping-particle":"","family":"Gulia","given":"Kamalesh K.","non-dropping-particle":"","parse-names":false,"suffix":""},{"dropping-particle":"","family":"Kumar","given":"Velayudhan Mohan","non-dropping-particle":"","parse-names":false,"suffix":""}],"container-title":"Psychogeriatrics","id":"ITEM-1","issued":{"date-parts":[["2018"]]},"title":"Sleep disorders in the elderly: a growing challenge","type":"article"},"uris":["http://www.mendeley.com/documents/?uuid=9057e55e-19be-4e88-924c-40ba6a7f9bde"]}],"mendeley":{"formattedCitation":"(4)","plainTextFormattedCitation":"(4)","previouslyFormattedCitation":"(4)"},"properties":{"noteIndex":0},"schema":"https://github.com/citation-style-language/schema/raw/master/csl-citation.json"}</w:instrText>
      </w:r>
      <w:r w:rsidR="00E21430" w:rsidRPr="00493003">
        <w:fldChar w:fldCharType="separate"/>
      </w:r>
      <w:r w:rsidR="00883C63" w:rsidRPr="00493003">
        <w:rPr>
          <w:noProof/>
        </w:rPr>
        <w:t>(4)</w:t>
      </w:r>
      <w:r w:rsidR="00E21430" w:rsidRPr="00493003">
        <w:fldChar w:fldCharType="end"/>
      </w:r>
      <w:r w:rsidR="00EA0D0D" w:rsidRPr="00493003">
        <w:t xml:space="preserve"> </w:t>
      </w:r>
      <w:r w:rsidR="00EC2CA8" w:rsidRPr="00493003">
        <w:rPr>
          <w:lang w:val="en"/>
        </w:rPr>
        <w:t>If not treated, insomnia can lead to dementia, depression, anxiety, delirium, diminis</w:t>
      </w:r>
      <w:r w:rsidR="00076B4C" w:rsidRPr="00493003">
        <w:rPr>
          <w:lang w:val="en"/>
        </w:rPr>
        <w:t xml:space="preserve">hed quality of life, falls, </w:t>
      </w:r>
      <w:r w:rsidR="00D413C4" w:rsidRPr="00493003">
        <w:rPr>
          <w:lang w:val="en"/>
        </w:rPr>
        <w:t>and cardiovascular</w:t>
      </w:r>
      <w:r w:rsidR="00076B4C" w:rsidRPr="00493003">
        <w:rPr>
          <w:lang w:val="en"/>
        </w:rPr>
        <w:t xml:space="preserve"> diseases such as </w:t>
      </w:r>
      <w:r w:rsidR="00EC2CA8" w:rsidRPr="00493003">
        <w:rPr>
          <w:lang w:val="en"/>
        </w:rPr>
        <w:t>hypertension, myocardial infarction, and stroke.</w:t>
      </w:r>
      <w:r w:rsidR="00EC2CA8" w:rsidRPr="00493003">
        <w:t xml:space="preserve"> </w:t>
      </w:r>
      <w:r w:rsidR="00516D3A" w:rsidRPr="00493003">
        <w:fldChar w:fldCharType="begin" w:fldLock="1"/>
      </w:r>
      <w:r w:rsidR="000A0AE7" w:rsidRPr="00493003">
        <w:instrText>ADDIN CSL_CITATION {"citationItems":[{"id":"ITEM-1","itemData":{"DOI":"10.1111/psyg.12319","ISBN":"1346-3500","ISSN":"14798301","PMID":"29878472","abstract":"In contrast to newborns, who spend 16-20 h in sleep each day, adults need only about sleep daily. However, many elderly may struggle to obtain those 8 h in one block. In addition to changes in sleep duration, sleep patterns change as age progresses. Like the physical changes that occur during old age, an alteration in sleep pattern is also a part of the normal ageing process. As people age, they tend to have a harder time falling asleep and more trouble staying asleep. Older people spend more time in the lighter stages of sleep than in deep sleep. As the circadian mechanism in older people becomes less efficient, their sleep schedule is shifted forward. Even when they manage to obtain 7 or 8 h sleep, they wake up early, as they have gone to sleep quite early. The prevalence of sleep disorders is higher among older adults. Loud snoring, which is more common in the elderly, can be a symptom of obstructive sleep apnoea, which puts a person at risk for cardiovascular diseases, headaches, memory loss, and depression. Restless legs syndrome and periodic limb movement disorder that disrupt sleep are more prevalent in older persons. Other common medical problems of old age such as hypertension diabetes mellitus, renal failure, respiratory diseases such as asthma, immune disorders, gastroesophageal reflux disease, physical disability, dementia, pain, depression, and anxiety are all associated with sleep disturbances.","author":[{"dropping-particle":"","family":"Gulia","given":"Kamalesh K.","non-dropping-particle":"","parse-names":false,"suffix":""},{"dropping-particle":"","family":"Kumar","given":"Velayudhan Mohan","non-dropping-particle":"","parse-names":false,"suffix":""}],"container-title":"Psychogeriatrics","id":"ITEM-1","issued":{"date-parts":[["2018"]]},"title":"Sleep disorders in the elderly: a growing challenge","type":"article"},"uris":["http://www.mendeley.com/documents/?uuid=9057e55e-19be-4e88-924c-40ba6a7f9bde"]},{"id":"ITEM-2","itemData":{"DOI":"10.1016/j.amjmed.2005.10.051","ISBN":"1555-7162 (Electronic)","ISSN":"00029343","PMID":"16750956","abstract":"Insomnia is a prevalent problem in late life. Sleep problems in the elderly are often mistakenly considered a normal part of aging. Insomnia, the most common sleep disorder, is a subjective report of insufficient or nonrestorative sleep despite adequate opportunity to sleep. Despite the fact that more than 50% of elderly people have insomnia, it is typically undertreated, and nonpharmacologic interventions are underused by health care practitioners. This article will review the causes of insomnia in the elderly, the approach to patient evaluation, and the nonpharmacologic and pharmacologic treatment of insomnia. © 2006 Elsevier Inc. All rights reserved.","author":[{"dropping-particle":"","family":"Kamel","given":"Nabil S.","non-dropping-particle":"","parse-names":false,"suffix":""},{"dropping-particle":"","family":"Gammack","given":"Julie K.","non-dropping-particle":"","parse-names":false,"suffix":""}],"container-title":"American Journal of Medicine","id":"ITEM-2","issued":{"date-parts":[["2006"]]},"title":"Insomnia in the Elderly: Cause, Approach, and Treatment","type":"article"},"uris":["http://www.mendeley.com/documents/?uuid=5f2a9bec-c50c-4f1f-b61a-73ef596a665a"]}],"mendeley":{"formattedCitation":"(4,5)","plainTextFormattedCitation":"(4,5)","previouslyFormattedCitation":"(4,5)"},"properties":{"noteIndex":0},"schema":"https://github.com/citation-style-language/schema/raw/master/csl-citation.json"}</w:instrText>
      </w:r>
      <w:r w:rsidR="00516D3A" w:rsidRPr="00493003">
        <w:fldChar w:fldCharType="separate"/>
      </w:r>
      <w:r w:rsidR="00883C63" w:rsidRPr="00493003">
        <w:rPr>
          <w:noProof/>
        </w:rPr>
        <w:t>(4,5)</w:t>
      </w:r>
      <w:r w:rsidR="00516D3A" w:rsidRPr="00493003">
        <w:fldChar w:fldCharType="end"/>
      </w:r>
      <w:r w:rsidR="00120B9B" w:rsidRPr="00493003">
        <w:t xml:space="preserve"> </w:t>
      </w:r>
      <w:proofErr w:type="gramStart"/>
      <w:r w:rsidR="00EC2CA8" w:rsidRPr="00493003">
        <w:rPr>
          <w:lang w:val="en"/>
        </w:rPr>
        <w:t>With</w:t>
      </w:r>
      <w:proofErr w:type="gramEnd"/>
      <w:r w:rsidR="00EC2CA8" w:rsidRPr="00493003">
        <w:rPr>
          <w:lang w:val="en"/>
        </w:rPr>
        <w:t xml:space="preserve"> the appropriate treatment of insomnia, the development of such complications can be prevented.</w:t>
      </w:r>
      <w:r w:rsidR="00EC2CA8" w:rsidRPr="00493003">
        <w:rPr>
          <w:lang w:val="tr-TR"/>
        </w:rPr>
        <w:t xml:space="preserve"> </w:t>
      </w:r>
      <w:r w:rsidR="00EC2CA8" w:rsidRPr="00493003">
        <w:rPr>
          <w:lang w:val="en"/>
        </w:rPr>
        <w:t>However, as well as insomnia, drugs used to treat it have also a number of side effects.</w:t>
      </w:r>
      <w:r w:rsidR="00076B4C" w:rsidRPr="00493003">
        <w:t xml:space="preserve"> </w:t>
      </w:r>
      <w:r w:rsidR="00076B4C" w:rsidRPr="00493003">
        <w:fldChar w:fldCharType="begin" w:fldLock="1"/>
      </w:r>
      <w:r w:rsidR="000A0AE7" w:rsidRPr="00493003">
        <w:instrText>ADDIN CSL_CITATION {"citationItems":[{"id":"ITEM-1","itemData":{"DOI":"http://dx.doi.org/10.1111/psyg.12320","ISSN":"1346-3500","abstract":"Both insomnia and its treatment can lead to the development of delirium in older adults. In the present case, delirium occurred after a single dose of zopiclone was given for insomnia treatment in an 84-year-old patient. Considering the case, patients and caregivers should be informed about the rare complication when zopiclone is prescribed.Copyright © 2018 Japanese Psychogeriatric Society","author":[{"dropping-particle":"","family":"U.","given":"Kalan","non-dropping-particle":"","parse-names":false,"suffix":""},{"dropping-particle":"","family":"P.","given":"Soysal","non-dropping-particle":"","parse-names":false,"suffix":""},{"dropping-particle":"","family":"Isik A.T.  AO  - Soysal","given":"Pinar; ORCID: http://orcid.org/0000-0002-6042-1718","non-dropping-particle":"","parse-names":false,"suffix":""}],"container-title":"Psychogeriatrics","id":"ITEM-1","issued":{"date-parts":[["2018"]]},"title":"Delirium associated with only one dose of zopiclone in an older adult","type":"article-journal"},"uris":["http://www.mendeley.com/documents/?uuid=5711b234-ea72-464d-8900-1d7ab41b0f24"]}],"mendeley":{"formattedCitation":"(6)","plainTextFormattedCitation":"(6)","previouslyFormattedCitation":"(6)"},"properties":{"noteIndex":0},"schema":"https://github.com/citation-style-language/schema/raw/master/csl-citation.json"}</w:instrText>
      </w:r>
      <w:r w:rsidR="00076B4C" w:rsidRPr="00493003">
        <w:fldChar w:fldCharType="separate"/>
      </w:r>
      <w:r w:rsidR="00883C63" w:rsidRPr="00493003">
        <w:rPr>
          <w:noProof/>
        </w:rPr>
        <w:t>(6)</w:t>
      </w:r>
      <w:r w:rsidR="00076B4C" w:rsidRPr="00493003">
        <w:fldChar w:fldCharType="end"/>
      </w:r>
      <w:r w:rsidR="00A60618" w:rsidRPr="00493003">
        <w:t xml:space="preserve"> </w:t>
      </w:r>
      <w:r w:rsidR="00174888" w:rsidRPr="00493003">
        <w:rPr>
          <w:lang w:val="en"/>
        </w:rPr>
        <w:t>For this reason, the number of studies investigating the reversible causes of insomnia in recent years has increased.</w:t>
      </w:r>
      <w:r w:rsidR="005300C3" w:rsidRPr="00493003">
        <w:rPr>
          <w:lang w:val="en"/>
        </w:rPr>
        <w:t xml:space="preserve"> </w:t>
      </w:r>
    </w:p>
    <w:p w14:paraId="4133D5EC" w14:textId="6898FEEF" w:rsidR="00EA0D0D" w:rsidRPr="00493003" w:rsidRDefault="00E846B2" w:rsidP="005A226D">
      <w:pPr>
        <w:spacing w:line="360" w:lineRule="auto"/>
        <w:jc w:val="both"/>
        <w:rPr>
          <w:lang w:val="en"/>
        </w:rPr>
      </w:pPr>
      <w:r w:rsidRPr="00493003">
        <w:rPr>
          <w:lang w:val="en"/>
        </w:rPr>
        <w:t>Both</w:t>
      </w:r>
      <w:r w:rsidRPr="00493003">
        <w:t xml:space="preserve"> micronutrient deficiencies and malnutrit</w:t>
      </w:r>
      <w:r w:rsidR="00EB174A" w:rsidRPr="00493003">
        <w:t>ion</w:t>
      </w:r>
      <w:r w:rsidRPr="00493003">
        <w:t xml:space="preserve"> </w:t>
      </w:r>
      <w:r w:rsidR="00EB174A" w:rsidRPr="00493003">
        <w:t xml:space="preserve">or malnutrition risk </w:t>
      </w:r>
      <w:r w:rsidRPr="00493003">
        <w:t xml:space="preserve">are quite common, and </w:t>
      </w:r>
      <w:r w:rsidR="006F47F7" w:rsidRPr="00493003">
        <w:rPr>
          <w:lang w:val="en-US"/>
        </w:rPr>
        <w:t>are risk factors for</w:t>
      </w:r>
      <w:r w:rsidRPr="00493003">
        <w:t xml:space="preserve"> a variety of negative consequences, such as sarcopenia, frailty, falls, depression, and cognitive impairment</w:t>
      </w:r>
      <w:r w:rsidR="00EB174A" w:rsidRPr="00493003">
        <w:t xml:space="preserve"> in older adults </w:t>
      </w:r>
      <w:r w:rsidR="00EB174A" w:rsidRPr="00493003">
        <w:fldChar w:fldCharType="begin" w:fldLock="1"/>
      </w:r>
      <w:r w:rsidR="000A0AE7" w:rsidRPr="00493003">
        <w:instrText>ADDIN CSL_CITATION {"citationItems":[{"id":"ITEM-1","itemData":{"DOI":"10.1016/j.exger.2018.12.007","ISSN":"1873-6815 (Electronic)","PMID":"30550763","abstract":"It is not known whether undernutrition causes vitamin B12 and folate deficiencies. The present study aimed to determine whether nutritional status, measured using the Mini Nutritional Assessment (MNA) scale, and body mass index (BMI) are indicators of lower level serum vitamin B12 and folate in older adults. 1007 outpatients aged 65years or over were included the study. MNA scores &gt;23.5, 17-23.5, &lt;17, were categorized as normal nutritional status, risk of malnutrition, and malnutrition, respectively. Weight status was assessed using BMI and categorized as under or normal weight (&lt;25kg/m(2)), overweight (25-30kg/m(2)), class I obese (30.0-35kg/m(2)), class II obese (35-40kg/m(2)), and class III obese (&gt;/=40kg/m(2)). Vitamin B12 and folate deficiencies were defined as &lt;200pg/ml and &lt;3ng/ml, respectively. Among 1007 patients with an average age of 74.3+/-8.2years, 6.9% were categorized as having malnutrition and 31.2% were categorized as at risk of malnutrition. While 45.7% of patients were categorized as having vitamin B12 deficiency and 0.9% folate deficiency. There were no differences between patients with malnutrition, at risk of malnutrition, and good nutrition in serum vitamin B12 or folate levels, or the presence of vitamin B12 or folate deficiency after adjustment for age, gender, and education (p&gt;0.05). The results were the same across BMI classifications (p&gt;0.05). Vitamin B12 and folate levels are not associated with nutritional or weight status and these should be evaluated independently of BMI and MNA values.","author":[{"dropping-particle":"","family":"Soysal","given":"Pinar","non-dropping-particle":"","parse-names":false,"suffix":""},{"dropping-particle":"","family":"Smith","given":"Lee","non-dropping-particle":"","parse-names":false,"suffix":""},{"dropping-particle":"","family":"Capar","given":"Emre","non-dropping-particle":"","parse-names":false,"suffix":""},{"dropping-particle":"","family":"Kalan","given":"Ugur","non-dropping-particle":"","parse-names":false,"suffix":""},{"dropping-particle":"","family":"Arik","given":"Ferhat","non-dropping-particle":"","parse-names":false,"suffix":""},{"dropping-particle":"","family":"Isik","given":"Ahmet Turan","non-dropping-particle":"","parse-names":false,"suffix":""}],"container-title":"Experimental gerontology","id":"ITEM-1","issued":{"date-parts":[["2018","12"]]},"language":"eng","page":"1-6","publisher-place":"England","title":"Vitamin B12 and folate deficiencies are not associated with nutritional or weight status in older adults.","type":"article-journal","volume":"116"},"uris":["http://www.mendeley.com/documents/?uuid=24e9d220-045a-44a6-b583-c5efc344aeb8"]},{"id":"ITEM-2","itemData":{"DOI":"10.1111/ggi.13252","ISSN":"14470594","author":[{"dropping-particle":"","family":"Soysal","given":"P.","non-dropping-particle":"","parse-names":false,"suffix":""},{"dropping-particle":"","family":"Turan Isik","given":"A.","non-dropping-particle":"","parse-names":false,"suffix":""}],"container-title":"Geriatrics and Gerontology International","id":"ITEM-2","issue":"4","issued":{"date-parts":[["2018"]]},"title":"Vitamin B&lt;inf&gt;12&lt;/inf&gt;deficiency can be a cause of acute reversible parkinsonism and cognitive impairment in older adults","type":"article-journal","volume":"18"},"uris":["http://www.mendeley.com/documents/?uuid=5cb72452-699c-39c0-b475-84330685fc65"]},{"id":"ITEM-3","itemData":{"DOI":"10.1016/J.EXGER.2017.05.017","ISBN":"1442-2042 (Electronic)\\r0919-8172 (Linking)","ISSN":"0531-5565","PMID":"28549839","abstract":"Sarcopenia and dynapenia are related to repeated falls, mobility restriction, depression, frailty, increased mortality and morbidity. The aim of this study is to evaluate the relationship between vitamin B12 deficiency and sarcopenia in older adults. 403 patients, who attended to outpatient clinic and underwent comprehensive geriatric assessment, were included study. All cases' skeletal muscle mass (SMM), walking speed and hand grip strength were recorded by bioimpedance, 4meter walking test and hand dynamometer respectively. The diagnosis of sarcopenia was defined according to the criteria of the European Working Group on Sarcopenia in Older People. Sarcopenia was accepted low SMM with low handgrip strength or low physical performance. Dynapenia was defined as handgrip strength &lt;30kg (men) and &lt;20kg (women). The prevalence of sarcopenia and dynapenia was 24.8% and 32.0%, respectively. In the patients with sarcopenia, mean age, osteoporosis and frailty were higher, and MMSE, and instrumental ADL scores were lower than the patients without sarcopenia (p&lt;0.05). The frequency of sarcopenia and dynapenia were 31.6% and 35.4%, respectively, in patients with vitamin B12 levels &lt;400pg/mL. In addition lean body mass, total skeletal mass and skeletal muscle mass index were lower in the patients with vitamin B12 levels &lt;400pg/mL compared to higher than 400pg/mL (p&lt;0.05). Sarcopenia, which results in lots of negative clinical outcomes in older adults, might be related to vitamin B12 deficiency. Therefore, these patients should be periodically examined for vitamin B12 deficiency due to the potential negative clinical outcomes such as sarcopenia in older adults.","author":[{"dropping-particle":"","family":"Ates Bulut","given":"Esra","non-dropping-particle":"","parse-names":false,"suffix":""},{"dropping-particle":"","family":"Soysal","given":"Pinar","non-dropping-particle":"","parse-names":false,"suffix":""},{"dropping-particle":"","family":"Aydin","given":"Ali Ekrem","non-dropping-particle":"","parse-names":false,"suffix":""},{"dropping-particle":"","family":"Dokuzlar","given":"Ozge","non-dropping-particle":"","parse-names":false,"suffix":""},{"dropping-particle":"","family":"Kocyigit","given":"Suleyman Emre","non-dropping-particle":"","parse-names":false,"suffix":""},{"dropping-particle":"","family":"Isik","given":"Ahmet Turan","non-dropping-particle":"","parse-names":false,"suffix":""}],"container-title":"Experimental Gerontology","id":"ITEM-3","issued":{"date-parts":[["2017"]]},"title":"Vitamin B12 deficiency might be related to sarcopenia in older adults","type":"article-journal"},"uris":["http://www.mendeley.com/documents/?uuid=2ba257a9-3b41-4910-9f84-5d4f670709db"]}],"mendeley":{"formattedCitation":"(7–9)","plainTextFormattedCitation":"(7–9)","previouslyFormattedCitation":"(7–9)"},"properties":{"noteIndex":0},"schema":"https://github.com/citation-style-language/schema/raw/master/csl-citation.json"}</w:instrText>
      </w:r>
      <w:r w:rsidR="00EB174A" w:rsidRPr="00493003">
        <w:fldChar w:fldCharType="separate"/>
      </w:r>
      <w:r w:rsidR="00883C63" w:rsidRPr="00493003">
        <w:rPr>
          <w:noProof/>
        </w:rPr>
        <w:t>(7–9)</w:t>
      </w:r>
      <w:r w:rsidR="00EB174A" w:rsidRPr="00493003">
        <w:fldChar w:fldCharType="end"/>
      </w:r>
      <w:r w:rsidR="00EB174A" w:rsidRPr="00493003">
        <w:t xml:space="preserve">. </w:t>
      </w:r>
      <w:r w:rsidR="00174888" w:rsidRPr="00493003">
        <w:rPr>
          <w:lang w:val="en"/>
        </w:rPr>
        <w:t xml:space="preserve">In only a few of these studies, a significant relationship between micronutrient abnormalities and sleep was shown </w:t>
      </w:r>
      <w:r w:rsidR="00AE7D2D" w:rsidRPr="00493003">
        <w:rPr>
          <w:lang w:val="en"/>
        </w:rPr>
        <w:t>following the evalua</w:t>
      </w:r>
      <w:r w:rsidR="00174888" w:rsidRPr="00493003">
        <w:rPr>
          <w:lang w:val="en"/>
        </w:rPr>
        <w:t>t</w:t>
      </w:r>
      <w:r w:rsidR="00AE7D2D" w:rsidRPr="00493003">
        <w:rPr>
          <w:lang w:val="en"/>
        </w:rPr>
        <w:t>i</w:t>
      </w:r>
      <w:r w:rsidR="00174888" w:rsidRPr="00493003">
        <w:rPr>
          <w:lang w:val="en"/>
        </w:rPr>
        <w:t xml:space="preserve">on of the effect of </w:t>
      </w:r>
      <w:r w:rsidR="00AE7D2D" w:rsidRPr="00493003">
        <w:rPr>
          <w:lang w:val="en"/>
        </w:rPr>
        <w:t>nutritional factors on insomnia</w:t>
      </w:r>
      <w:r w:rsidR="00174888" w:rsidRPr="00493003">
        <w:rPr>
          <w:lang w:val="en"/>
        </w:rPr>
        <w:t>.</w:t>
      </w:r>
      <w:r w:rsidR="00174888" w:rsidRPr="00493003">
        <w:t xml:space="preserve"> </w:t>
      </w:r>
      <w:r w:rsidR="000776D4" w:rsidRPr="00493003">
        <w:fldChar w:fldCharType="begin" w:fldLock="1"/>
      </w:r>
      <w:r w:rsidR="000A0AE7" w:rsidRPr="00493003">
        <w:instrText>ADDIN CSL_CITATION {"citationItems":[{"id":"ITEM-1","itemData":{"DOI":"10.1371/journal.pone.0103490","ISBN":"1932-6203","ISSN":"19326203","PMID":"25137304","abstract":"BACKGROUND: The associations between nutritional biomarkers and measures of sleep quantity and quality remain unclear.\\n\\nMETHODS: Cross-sectional data from the National Health and Nutrition Examination Surveys (NHANES) 2005-2006 were used. We selected 2,459 adults aged 20-85, with complete data on key variables. Five sleep measures were constructed as primary outcomes: (A) Sleep duration; (B) Sleep disorder; (C) Three factors obtained from factor analysis of 15 items and labeled as \"Poor sleep-related daytime dysfunction\" (Factor 1), \"Sleepiness\" (Factor 2) and \"Sleep disturbance\" (Factor 3). Main exposures were serum concentrations of key nutrients, namely retinol, retinyl esters, carotenoids (α-carotene, β-carotene, β-cryptoxanthin, lutein+zeaxanthin, lycopene), folate, vitamin B-12, total homocysteine (tHcy), vitamin C, 25-hydroxyvitamin D (25(OH)D) and vitamin E. Main analyses consisted of multiple linear, logistic and multinomial logit models.\\n\\nRESULTS: Among key findings, independent inverse associations were found between serum vitamin B-12 and sleep duration, 25(OH)D and sleepiness (as well as insomnia), and between folate and sleep disturbance. Serum total carotenoids concentration was linked to higher odds of short sleep duration (i.e. 5-6 h per night) compared to normal sleep duration (7-8 h per night).\\n\\nCONCLUSIONS: A few of the selected serum nutritional biomarkers were associated with sleep quantity and quality. Longitudinal studies are needed to ascertain temporality and assess putative causal relationships.","author":[{"dropping-particle":"","family":"Beydoun","given":"May A.","non-dropping-particle":"","parse-names":false,"suffix":""},{"dropping-particle":"","family":"Gamaldo","given":"Alyssa A.","non-dropping-particle":"","parse-names":false,"suffix":""},{"dropping-particle":"","family":"Canas","given":"Jose A.","non-dropping-particle":"","parse-names":false,"suffix":""},{"dropping-particle":"","family":"Beydoun","given":"Hind A.","non-dropping-particle":"","parse-names":false,"suffix":""},{"dropping-particle":"","family":"Shah","given":"Mauli T.","non-dropping-particle":"","parse-names":false,"suffix":""},{"dropping-particle":"","family":"McNeely","given":"Jessica M.","non-dropping-particle":"","parse-names":false,"suffix":""},{"dropping-particle":"","family":"Zonderman","given":"Alan B.","non-dropping-particle":"","parse-names":false,"suffix":""}],"container-title":"PLoS ONE","id":"ITEM-1","issued":{"date-parts":[["2014"]]},"title":"Serum nutritional biomarkers and their associations with sleep among US adults in recent national surveys","type":"article-journal"},"uris":["http://www.mendeley.com/documents/?uuid=961c5dbb-ab1e-4b72-aa60-697d44a7a97c"]},{"id":"ITEM-2","itemData":{"DOI":"10.5665/sleep.4408","ISBN":"1550-9109 (Electronic)\\r0161-8105 (Linking)","ISSN":"0161-8105","PMID":"25581929","abstract":"STUDY OBJECTIVES: Maintaining adequate serum levels of vitamin D may be important for sleep duration and quality; however, these associations are not well understood. We examined whether levels of serum 25(OH)D are associated with objective measures of sleep in older men. SETTING AND PARTICIPANTS: Cross-sectional study within a large cohort of community-dwelling older men, the MrOS study. INTERVENTIONS: Among 3,048 men age 68 years or older, we measured total serum vitamin D. Objective estimates of nightly total sleep time, sleep efficiency, and wake time after sleep onset (WASO) were obtained using wrist actigraphy worn for an average of 5 consecutive 24-h periods. RESULTS: 16.4% of this study population had low levels of vitamin D (&lt; 20.3 ng/mL 25(OH)D). Lower serum vitamin D levels were associated with a higher odds of short (&lt; 5 h) sleep duration, (odds ratio [OR] for the highest (≥ 40.06 ng/mL) versus lowest (&lt; 20.3 ng/mL) quartile of 25(OH)D, 2.15; 95 % confidence interval (CI), 1.21-3.79; Ptrend = 0.004) as well as increased odds of actigraphy-measured sleep efficiency of less than 70% (OR, 1.45; 95% CI, 0.97-2.18; Ptrend = 0.004), after controlling for age, clinic, season, comorbidities, body mass index, and physical and cognitive function. Lower vitamin D levels were also associated with increased WASO in age-adjusted, but not multivariable adjusted models. CONCLUSIONS: Among older men, low levels of total serum 25(OH)D are associated with poorer sleep including short sleep duration and lower sleep efficiency. These findings, if confirmed by others, suggest a potential role for vitamin D in maintaining healthy sleep.","author":[{"dropping-particle":"","family":"Massa","given":"Jennifer","non-dropping-particle":"","parse-names":false,"suffix":""},{"dropping-particle":"","family":"Stone","given":"Katie L.","non-dropping-particle":"","parse-names":false,"suffix":""},{"dropping-particle":"","family":"Wei","given":"Esther K.","non-dropping-particle":"","parse-names":false,"suffix":""},{"dropping-particle":"","family":"Harrison","given":"Stephanie L.","non-dropping-particle":"","parse-names":false,"suffix":""},{"dropping-particle":"","family":"Barrett-Connor","given":"Elizabeth","non-dropping-particle":"","parse-names":false,"suffix":""},{"dropping-particle":"","family":"Lane","given":"Nancy E.","non-dropping-particle":"","parse-names":false,"suffix":""},{"dropping-particle":"","family":"Paudel","given":"Misti","non-dropping-particle":"","parse-names":false,"suffix":""},{"dropping-particle":"","family":"Redline","given":"Susan","non-dropping-particle":"","parse-names":false,"suffix":""},{"dropping-particle":"","family":"Ancoli-Israel","given":"Sonia","non-dropping-particle":"","parse-names":false,"suffix":""},{"dropping-particle":"","family":"Orwoll","given":"Eric","non-dropping-particle":"","parse-names":false,"suffix":""},{"dropping-particle":"","family":"Schernhammer","given":"Eva","non-dropping-particle":"","parse-names":false,"suffix":""}],"container-title":"Sleep","id":"ITEM-2","issued":{"date-parts":[["2015"]]},"title":"Vitamin D and Actigraphic Sleep Outcomes in Older Community-Dwelling Men: The MrOS Sleep Study","type":"article-journal"},"uris":["http://www.mendeley.com/documents/?uuid=f8be41db-e804-43fc-89d5-9cc6fcdc6883"]},{"id":"ITEM-3","itemData":{"DOI":"10.1111/jsr.12084","ISBN":"2148207474","ISSN":"09621105","PMID":"23992533","abstract":"Sleep symptoms are associated with weight gain and cardiometabolic disease. The potential role of diet has been largely unexplored. Data from the 2007-2008 National Health and Nutrition Examination Survey (NHANES) were used (n = 4552) to determine which nutrients were associated with sleep symptoms in a nationally representative sample. Survey items assessed difficulty falling asleep, sleep maintenance difficulties, non-restorative sleep and daytime sleepiness. Analyses were adjusted for energy intake, other dietary factors, exercise, body mass index (BMI) and sociodemographics. Population-weighted, logistic regression, with backwards-stepwise selection, examined which nutrients were associated with sleep symptoms. Odds ratios (ORs) reflect the difference in odds of sleep symptoms associated with a doubling in nutrient. Nutrients that were associated independently with difficulty falling asleep included (in order): alpha-carotene (OR = 0.96), selenium (OR = 0.80), dodecanoic acid (OR = 0.91), calcium (OR = 0.83) and hexadecanoic acid (OR = 1.10). Nutrients that were associated independently with sleep maintenance difficulties included: salt (OR = 1.19), butanoic acid (0.81), carbohydrate (OR = 0.71), dodecanoic acid (OR = 0.90), vitamin D (OR = 0.84), lycopene (OR = 0.98), hexanoic acid (OR = 1.25) and moisture (OR = 1.27). Nutrients that were associated independently with non-restorative sleep included butanoic acid (OR = 1.09), calcium (OR = 0.81), vitamin C (OR = 0.92), water (OR = 0.98), moisture (OR = 1.41) and cholesterol (OR = 1.10). Nutrients that were associated independently with sleepiness included: moisture (OR = 1.20), theobromine (OR = 1.04), potassium (OR = 0.70) and water (OR = 0.97). These results suggest novel associations between sleep symptoms and diet/metabolism, potentially explaining associations between sleep and cardiometabolic diseases.","author":[{"dropping-particle":"","family":"Grandner","given":"Michael A.","non-dropping-particle":"","parse-names":false,"suffix":""},{"dropping-particle":"","family":"Jackson","given":"Nicholas","non-dropping-particle":"","parse-names":false,"suffix":""},{"dropping-particle":"","family":"Gerstner","given":"Jason R.","non-dropping-particle":"","parse-names":false,"suffix":""},{"dropping-particle":"","family":"Knutson","given":"Kristen L.","non-dropping-particle":"","parse-names":false,"suffix":""}],"container-title":"Journal of Sleep Research","id":"ITEM-3","issued":{"date-parts":[["2014"]]},"title":"Sleep symptoms associated with intake of specific dietary nutrients","type":"article-journal"},"uris":["http://www.mendeley.com/documents/?uuid=29956037-490f-4b47-ab5a-850f75f03c0d"]}],"mendeley":{"formattedCitation":"(10–12)","plainTextFormattedCitation":"(10–12)","previouslyFormattedCitation":"(10–12)"},"properties":{"noteIndex":0},"schema":"https://github.com/citation-style-language/schema/raw/master/csl-citation.json"}</w:instrText>
      </w:r>
      <w:r w:rsidR="000776D4" w:rsidRPr="00493003">
        <w:fldChar w:fldCharType="separate"/>
      </w:r>
      <w:r w:rsidR="00883C63" w:rsidRPr="00493003">
        <w:rPr>
          <w:noProof/>
        </w:rPr>
        <w:t>(10–12)</w:t>
      </w:r>
      <w:r w:rsidR="000776D4" w:rsidRPr="00493003">
        <w:fldChar w:fldCharType="end"/>
      </w:r>
      <w:r w:rsidR="000776D4" w:rsidRPr="00493003">
        <w:t xml:space="preserve"> </w:t>
      </w:r>
      <w:r w:rsidR="001A40D2" w:rsidRPr="00493003">
        <w:rPr>
          <w:lang w:val="en-US"/>
        </w:rPr>
        <w:t>One study found a relationship</w:t>
      </w:r>
      <w:r w:rsidR="001A40D2" w:rsidRPr="00493003">
        <w:rPr>
          <w:lang w:val="en"/>
        </w:rPr>
        <w:t xml:space="preserve"> </w:t>
      </w:r>
      <w:r w:rsidR="00AE7D2D" w:rsidRPr="00493003">
        <w:rPr>
          <w:lang w:val="en"/>
        </w:rPr>
        <w:t xml:space="preserve">between low </w:t>
      </w:r>
      <w:r w:rsidR="00EA0D0D" w:rsidRPr="00493003">
        <w:rPr>
          <w:lang w:val="en"/>
        </w:rPr>
        <w:t xml:space="preserve">serum </w:t>
      </w:r>
      <w:r w:rsidR="00AE7D2D" w:rsidRPr="00493003">
        <w:rPr>
          <w:lang w:val="en"/>
        </w:rPr>
        <w:t xml:space="preserve">vitamin D levels and short sleep duration and lower </w:t>
      </w:r>
      <w:r w:rsidR="000776D4" w:rsidRPr="00493003">
        <w:rPr>
          <w:lang w:val="en"/>
        </w:rPr>
        <w:t xml:space="preserve">sleep efficiency in </w:t>
      </w:r>
      <w:r w:rsidR="00EA0D0D" w:rsidRPr="00493003">
        <w:rPr>
          <w:lang w:val="en"/>
        </w:rPr>
        <w:t>older</w:t>
      </w:r>
      <w:r w:rsidR="000776D4" w:rsidRPr="00493003">
        <w:rPr>
          <w:lang w:val="en"/>
        </w:rPr>
        <w:t xml:space="preserve"> men</w:t>
      </w:r>
      <w:r w:rsidR="00F50F3A" w:rsidRPr="00493003">
        <w:t xml:space="preserve">. </w:t>
      </w:r>
      <w:r w:rsidR="000776D4" w:rsidRPr="00493003">
        <w:fldChar w:fldCharType="begin" w:fldLock="1"/>
      </w:r>
      <w:r w:rsidR="000A0AE7" w:rsidRPr="00493003">
        <w:instrText>ADDIN CSL_CITATION {"citationItems":[{"id":"ITEM-1","itemData":{"DOI":"10.5665/sleep.4408","ISBN":"1550-9109 (Electronic)\\r0161-8105 (Linking)","ISSN":"0161-8105","PMID":"25581929","abstract":"STUDY OBJECTIVES: Maintaining adequate serum levels of vitamin D may be important for sleep duration and quality; however, these associations are not well understood. We examined whether levels of serum 25(OH)D are associated with objective measures of sleep in older men. SETTING AND PARTICIPANTS: Cross-sectional study within a large cohort of community-dwelling older men, the MrOS study. INTERVENTIONS: Among 3,048 men age 68 years or older, we measured total serum vitamin D. Objective estimates of nightly total sleep time, sleep efficiency, and wake time after sleep onset (WASO) were obtained using wrist actigraphy worn for an average of 5 consecutive 24-h periods. RESULTS: 16.4% of this study population had low levels of vitamin D (&lt; 20.3 ng/mL 25(OH)D). Lower serum vitamin D levels were associated with a higher odds of short (&lt; 5 h) sleep duration, (odds ratio [OR] for the highest (≥ 40.06 ng/mL) versus lowest (&lt; 20.3 ng/mL) quartile of 25(OH)D, 2.15; 95 % confidence interval (CI), 1.21-3.79; Ptrend = 0.004) as well as increased odds of actigraphy-measured sleep efficiency of less than 70% (OR, 1.45; 95% CI, 0.97-2.18; Ptrend = 0.004), after controlling for age, clinic, season, comorbidities, body mass index, and physical and cognitive function. Lower vitamin D levels were also associated with increased WASO in age-adjusted, but not multivariable adjusted models. CONCLUSIONS: Among older men, low levels of total serum 25(OH)D are associated with poorer sleep including short sleep duration and lower sleep efficiency. These findings, if confirmed by others, suggest a potential role for vitamin D in maintaining healthy sleep.","author":[{"dropping-particle":"","family":"Massa","given":"Jennifer","non-dropping-particle":"","parse-names":false,"suffix":""},{"dropping-particle":"","family":"Stone","given":"Katie L.","non-dropping-particle":"","parse-names":false,"suffix":""},{"dropping-particle":"","family":"Wei","given":"Esther K.","non-dropping-particle":"","parse-names":false,"suffix":""},{"dropping-particle":"","family":"Harrison","given":"Stephanie L.","non-dropping-particle":"","parse-names":false,"suffix":""},{"dropping-particle":"","family":"Barrett-Connor","given":"Elizabeth","non-dropping-particle":"","parse-names":false,"suffix":""},{"dropping-particle":"","family":"Lane","given":"Nancy E.","non-dropping-particle":"","parse-names":false,"suffix":""},{"dropping-particle":"","family":"Paudel","given":"Misti","non-dropping-particle":"","parse-names":false,"suffix":""},{"dropping-particle":"","family":"Redline","given":"Susan","non-dropping-particle":"","parse-names":false,"suffix":""},{"dropping-particle":"","family":"Ancoli-Israel","given":"Sonia","non-dropping-particle":"","parse-names":false,"suffix":""},{"dropping-particle":"","family":"Orwoll","given":"Eric","non-dropping-particle":"","parse-names":false,"suffix":""},{"dropping-particle":"","family":"Schernhammer","given":"Eva","non-dropping-particle":"","parse-names":false,"suffix":""}],"container-title":"Sleep","id":"ITEM-1","issued":{"date-parts":[["2015"]]},"title":"Vitamin D and Actigraphic Sleep Outcomes in Older Community-Dwelling Men: The MrOS Sleep Study","type":"article-journal"},"uris":["http://www.mendeley.com/documents/?uuid=f8be41db-e804-43fc-89d5-9cc6fcdc6883"]}],"mendeley":{"formattedCitation":"(11)","plainTextFormattedCitation":"(11)","previouslyFormattedCitation":"(11)"},"properties":{"noteIndex":0},"schema":"https://github.com/citation-style-language/schema/raw/master/csl-citation.json"}</w:instrText>
      </w:r>
      <w:r w:rsidR="000776D4" w:rsidRPr="00493003">
        <w:fldChar w:fldCharType="separate"/>
      </w:r>
      <w:r w:rsidR="00883C63" w:rsidRPr="00493003">
        <w:rPr>
          <w:noProof/>
        </w:rPr>
        <w:t>(11)</w:t>
      </w:r>
      <w:r w:rsidR="000776D4" w:rsidRPr="00493003">
        <w:fldChar w:fldCharType="end"/>
      </w:r>
      <w:r w:rsidR="000776D4" w:rsidRPr="00493003">
        <w:t xml:space="preserve"> </w:t>
      </w:r>
      <w:r w:rsidR="002C2F21" w:rsidRPr="00493003">
        <w:rPr>
          <w:lang w:val="en-US"/>
        </w:rPr>
        <w:t>Another identified a correlation between</w:t>
      </w:r>
      <w:r w:rsidR="002C2F21" w:rsidRPr="00493003">
        <w:rPr>
          <w:lang w:val="en"/>
        </w:rPr>
        <w:t xml:space="preserve"> </w:t>
      </w:r>
      <w:r w:rsidR="00AE7D2D" w:rsidRPr="00493003">
        <w:rPr>
          <w:lang w:val="en"/>
        </w:rPr>
        <w:t>vitamin B12, vitamin D and folate deficiency and sleep disturbance</w:t>
      </w:r>
      <w:r w:rsidR="000776D4" w:rsidRPr="00493003">
        <w:rPr>
          <w:lang w:val="en"/>
        </w:rPr>
        <w:t>.</w:t>
      </w:r>
      <w:r w:rsidR="00AE7D2D" w:rsidRPr="00493003">
        <w:t xml:space="preserve"> </w:t>
      </w:r>
      <w:r w:rsidR="008753F6" w:rsidRPr="00493003">
        <w:t>(8)</w:t>
      </w:r>
      <w:r w:rsidR="000776D4" w:rsidRPr="00493003">
        <w:t xml:space="preserve"> </w:t>
      </w:r>
      <w:r w:rsidR="00AE7D2D" w:rsidRPr="00493003">
        <w:rPr>
          <w:lang w:val="en"/>
        </w:rPr>
        <w:t>M</w:t>
      </w:r>
      <w:r w:rsidR="0071610A" w:rsidRPr="00493003">
        <w:rPr>
          <w:lang w:val="en"/>
        </w:rPr>
        <w:t xml:space="preserve">oreover, although malnutrition </w:t>
      </w:r>
      <w:r w:rsidR="00AE7D2D" w:rsidRPr="00493003">
        <w:rPr>
          <w:lang w:val="en"/>
        </w:rPr>
        <w:t>is as important as micronutrient deficiency and is common, to the best of our knowledge, there is no study investigating the relationship between malnutrition and insomnia.</w:t>
      </w:r>
      <w:r w:rsidR="00120A52" w:rsidRPr="00493003">
        <w:rPr>
          <w:lang w:val="en"/>
        </w:rPr>
        <w:t xml:space="preserve"> </w:t>
      </w:r>
    </w:p>
    <w:p w14:paraId="00764ADC" w14:textId="4B921FE9" w:rsidR="00627FB8" w:rsidRPr="00493003" w:rsidRDefault="00120A52" w:rsidP="005A226D">
      <w:pPr>
        <w:spacing w:line="360" w:lineRule="auto"/>
        <w:jc w:val="both"/>
        <w:rPr>
          <w:lang w:val="en"/>
        </w:rPr>
      </w:pPr>
      <w:r w:rsidRPr="00493003">
        <w:rPr>
          <w:lang w:val="en"/>
        </w:rPr>
        <w:t xml:space="preserve">Therefore, the aim of this study was to investigate the </w:t>
      </w:r>
      <w:r w:rsidR="00F51DC5" w:rsidRPr="00493003">
        <w:rPr>
          <w:lang w:val="en"/>
        </w:rPr>
        <w:t xml:space="preserve">relationship between </w:t>
      </w:r>
      <w:r w:rsidR="00F51DC5" w:rsidRPr="00493003">
        <w:rPr>
          <w:lang w:val="en-US"/>
        </w:rPr>
        <w:t>Mini Nutritional Assessment</w:t>
      </w:r>
      <w:r w:rsidR="00F21EBE" w:rsidRPr="00493003">
        <w:rPr>
          <w:lang w:val="en"/>
        </w:rPr>
        <w:t xml:space="preserve"> score</w:t>
      </w:r>
      <w:r w:rsidR="00EB2814" w:rsidRPr="00493003">
        <w:rPr>
          <w:lang w:val="en"/>
        </w:rPr>
        <w:t>s</w:t>
      </w:r>
      <w:r w:rsidR="00CB0038" w:rsidRPr="00493003">
        <w:rPr>
          <w:lang w:val="en"/>
        </w:rPr>
        <w:t>/</w:t>
      </w:r>
      <w:r w:rsidRPr="00493003">
        <w:rPr>
          <w:lang w:val="en"/>
        </w:rPr>
        <w:t>nutrient</w:t>
      </w:r>
      <w:r w:rsidR="000776D4" w:rsidRPr="00493003">
        <w:rPr>
          <w:lang w:val="en"/>
        </w:rPr>
        <w:t>s</w:t>
      </w:r>
      <w:r w:rsidR="00F51DC5" w:rsidRPr="00493003">
        <w:rPr>
          <w:lang w:val="en"/>
        </w:rPr>
        <w:t xml:space="preserve"> and</w:t>
      </w:r>
      <w:r w:rsidR="00CB0038" w:rsidRPr="00493003">
        <w:rPr>
          <w:lang w:val="en"/>
        </w:rPr>
        <w:t xml:space="preserve"> insomnia/</w:t>
      </w:r>
      <w:r w:rsidRPr="00493003">
        <w:rPr>
          <w:lang w:val="en"/>
        </w:rPr>
        <w:t>insomnia severity in the elderly.</w:t>
      </w:r>
    </w:p>
    <w:p w14:paraId="25270899" w14:textId="4F909919" w:rsidR="003D70C5" w:rsidRPr="00493003" w:rsidRDefault="003D70C5" w:rsidP="005A226D">
      <w:pPr>
        <w:spacing w:line="360" w:lineRule="auto"/>
        <w:jc w:val="both"/>
        <w:rPr>
          <w:b/>
        </w:rPr>
      </w:pPr>
      <w:r w:rsidRPr="00493003">
        <w:rPr>
          <w:b/>
        </w:rPr>
        <w:t>Methods</w:t>
      </w:r>
    </w:p>
    <w:p w14:paraId="341B3713" w14:textId="131C92EC" w:rsidR="00C4797B" w:rsidRPr="00493003" w:rsidRDefault="00C4797B" w:rsidP="005A226D">
      <w:pPr>
        <w:spacing w:line="360" w:lineRule="auto"/>
        <w:jc w:val="both"/>
        <w:rPr>
          <w:b/>
        </w:rPr>
      </w:pPr>
      <w:r w:rsidRPr="00493003">
        <w:rPr>
          <w:b/>
        </w:rPr>
        <w:t>Patients</w:t>
      </w:r>
    </w:p>
    <w:p w14:paraId="5639AAE2" w14:textId="549323AA" w:rsidR="003D70C5" w:rsidRPr="00493003" w:rsidRDefault="003D70C5" w:rsidP="005A226D">
      <w:pPr>
        <w:spacing w:line="360" w:lineRule="auto"/>
        <w:jc w:val="both"/>
      </w:pPr>
      <w:r w:rsidRPr="00493003">
        <w:lastRenderedPageBreak/>
        <w:t xml:space="preserve">A total of </w:t>
      </w:r>
      <w:r w:rsidR="00886F57" w:rsidRPr="00493003">
        <w:t>575</w:t>
      </w:r>
      <w:r w:rsidR="00635724" w:rsidRPr="00493003">
        <w:t xml:space="preserve"> older outpatient</w:t>
      </w:r>
      <w:r w:rsidRPr="00493003">
        <w:t xml:space="preserve"> who were admitte</w:t>
      </w:r>
      <w:r w:rsidR="00291616" w:rsidRPr="00493003">
        <w:t>d to a geriatric clinic</w:t>
      </w:r>
      <w:r w:rsidR="000E38F0" w:rsidRPr="00493003">
        <w:t xml:space="preserve"> </w:t>
      </w:r>
      <w:r w:rsidRPr="00493003">
        <w:t xml:space="preserve">were included in this study. </w:t>
      </w:r>
      <w:r w:rsidR="00F94855" w:rsidRPr="00493003">
        <w:t>All the patients underwent Compr</w:t>
      </w:r>
      <w:r w:rsidR="002A0D39" w:rsidRPr="00493003">
        <w:t>e</w:t>
      </w:r>
      <w:r w:rsidR="00F94855" w:rsidRPr="00493003">
        <w:t xml:space="preserve">hensive Geriatric Assessment (CGA). </w:t>
      </w:r>
      <w:r w:rsidR="00A0068B" w:rsidRPr="00493003">
        <w:fldChar w:fldCharType="begin" w:fldLock="1"/>
      </w:r>
      <w:r w:rsidR="000A0AE7" w:rsidRPr="00493003">
        <w:instrText>ADDIN CSL_CITATION {"citationItems":[{"id":"ITEM-1","itemData":{"DOI":"10.2147/CIA.S159966","ISBN":"9780199980536","ISSN":"11781998","PMID":"29674846","abstract":"Background Polypharmacy and inappropriate drug use cause numerous complications, such as cognitive impairment, frailty, falls, and functional dependence. The present study aimed to determine the effect of the comprehensive geriatric assessment (CGA) on polypharmacy, potentially inappropriate medications (PIMs) and potential prescribing omissions (PPOs), and to evaluate the economic reflections of medication changes. Methods One thousand five hundred and seventy-nine older patients, who had undergone CGA, were retrospectively evaluated. The drugs, drug groups, and number of drugs that the patients used were recorded. Appropriate drug therapy was identified by both CGA and STOPP/START criteria. Based on these criteria, PIMs were discontinued and PPOs were started. The monthly cost of these drugs was calculated separately for PIMs and PPOs by using the drugstore records. Results After CGA, while the prevalence of non-polypharmacy was increased from 43.3% to 65.6%, the prevalence of polypharmacy and hyperpolypharmacy was decreased from 56.7% to 34.4% and 12.0% to 3.6%, respectively. The three most common PIMs discontinued were proton pump inhibitors, anti-dementia drugs, and antipsychotics, respectively. However, the most common PPOs started were vitamin D and B12 supplements, and anti-depressants. After CGA, monthly saved total per capita cost of PIMs was US$12.8 and monthly increased total per capita cost of PPOs was $5.6. Conclusion It was demonstrated that prevalence of polypharmacy, PIM, and PPO could be decreased by CGA including START/STOPP criteria in older adults. Furthermore, this will have beneficial effects on economical parameters due to decreasing drug-related health care costs.","author":[{"dropping-particle":"","family":"Unutmaz","given":"Gulcin Done","non-dropping-particle":"","parse-names":false,"suffix":""},{"dropping-particle":"","family":"Soysal","given":"Pinar","non-dropping-particle":"","parse-names":false,"suffix":""},{"dropping-particle":"","family":"Tuven","given":"Busra","non-dropping-particle":"","parse-names":false,"suffix":""},{"dropping-particle":"","family":"Isik","given":"Ahmet Turan","non-dropping-particle":"","parse-names":false,"suffix":""}],"container-title":"Clinical Interventions in Aging","id":"ITEM-1","issued":{"date-parts":[["2018"]]},"title":"Costs of medication in older patients: Before and after comprehensive geriatric assessment","type":"article-journal"},"uris":["http://www.mendeley.com/documents/?uuid=4f178bc5-b5ad-47bb-9a69-69d38cc86d24"]}],"mendeley":{"formattedCitation":"(13)","plainTextFormattedCitation":"(13)","previouslyFormattedCitation":"(13)"},"properties":{"noteIndex":0},"schema":"https://github.com/citation-style-language/schema/raw/master/csl-citation.json"}</w:instrText>
      </w:r>
      <w:r w:rsidR="00A0068B" w:rsidRPr="00493003">
        <w:fldChar w:fldCharType="separate"/>
      </w:r>
      <w:r w:rsidR="00883C63" w:rsidRPr="00493003">
        <w:rPr>
          <w:noProof/>
        </w:rPr>
        <w:t>(13)</w:t>
      </w:r>
      <w:r w:rsidR="00A0068B" w:rsidRPr="00493003">
        <w:fldChar w:fldCharType="end"/>
      </w:r>
      <w:r w:rsidR="00A0068B" w:rsidRPr="00493003">
        <w:t xml:space="preserve"> </w:t>
      </w:r>
      <w:r w:rsidRPr="00493003">
        <w:t xml:space="preserve">The investigation conformed to </w:t>
      </w:r>
      <w:r w:rsidR="00A06505" w:rsidRPr="00493003">
        <w:t xml:space="preserve">the Declaration of Helsinki </w:t>
      </w:r>
      <w:r w:rsidRPr="00493003">
        <w:t xml:space="preserve">was approved by our local ethics committee. </w:t>
      </w:r>
      <w:r w:rsidR="004B19FB" w:rsidRPr="00493003">
        <w:t xml:space="preserve">Informed consent was provided by each participant or a legal guardian before participating in the study. </w:t>
      </w:r>
    </w:p>
    <w:p w14:paraId="0922F59F" w14:textId="3D778112" w:rsidR="00CD48D8" w:rsidRPr="00493003" w:rsidRDefault="00C4797B" w:rsidP="005A226D">
      <w:pPr>
        <w:spacing w:line="360" w:lineRule="auto"/>
        <w:jc w:val="both"/>
      </w:pPr>
      <w:r w:rsidRPr="00493003">
        <w:t>P</w:t>
      </w:r>
      <w:r w:rsidR="001565D5" w:rsidRPr="00493003">
        <w:t>atients who ha</w:t>
      </w:r>
      <w:r w:rsidR="00BD2FC0" w:rsidRPr="00493003">
        <w:t>d</w:t>
      </w:r>
      <w:r w:rsidR="001565D5" w:rsidRPr="00493003">
        <w:t xml:space="preserve"> severe illness that may impair</w:t>
      </w:r>
      <w:r w:rsidR="00BD2FC0" w:rsidRPr="00493003">
        <w:t xml:space="preserve"> their</w:t>
      </w:r>
      <w:r w:rsidR="001565D5" w:rsidRPr="00493003">
        <w:t xml:space="preserve"> general health status, such </w:t>
      </w:r>
      <w:r w:rsidR="00F01BF6" w:rsidRPr="00493003">
        <w:t>as acute cerebrovascular event</w:t>
      </w:r>
      <w:r w:rsidR="001565D5" w:rsidRPr="00493003">
        <w:t>, sepsis, acute renal failure, acute coronary syndrome, and acute respiratory failure</w:t>
      </w:r>
      <w:r w:rsidRPr="00493003">
        <w:t>; p</w:t>
      </w:r>
      <w:r w:rsidR="001565D5" w:rsidRPr="00493003">
        <w:t>atients under 65 years of age</w:t>
      </w:r>
      <w:r w:rsidRPr="00493003">
        <w:t>; p</w:t>
      </w:r>
      <w:r w:rsidR="001565D5" w:rsidRPr="00493003">
        <w:t>atients who did not agree to undergo the CGA</w:t>
      </w:r>
      <w:r w:rsidRPr="00493003">
        <w:t>; p</w:t>
      </w:r>
      <w:r w:rsidR="00AE7E1A" w:rsidRPr="00493003">
        <w:t xml:space="preserve">atients who </w:t>
      </w:r>
      <w:r w:rsidR="00CC70E7" w:rsidRPr="00493003">
        <w:t>take medication for sleep disorders or who take nutritional supplements for malnut</w:t>
      </w:r>
      <w:r w:rsidR="00291616" w:rsidRPr="00493003">
        <w:t>rition or nutrient deficiencies were excluded.</w:t>
      </w:r>
      <w:r w:rsidR="00CB3CC9" w:rsidRPr="00493003">
        <w:t xml:space="preserve"> </w:t>
      </w:r>
      <w:r w:rsidR="00281EA4" w:rsidRPr="00493003">
        <w:rPr>
          <w:lang w:val="en-US"/>
        </w:rPr>
        <w:t>P</w:t>
      </w:r>
      <w:r w:rsidR="0072474E" w:rsidRPr="00493003">
        <w:rPr>
          <w:lang w:val="en-US"/>
        </w:rPr>
        <w:t xml:space="preserve">atients with moderate and severe dementia were also </w:t>
      </w:r>
      <w:r w:rsidR="00C34AF6" w:rsidRPr="00493003">
        <w:rPr>
          <w:lang w:val="en-US"/>
        </w:rPr>
        <w:t>ruled out</w:t>
      </w:r>
      <w:r w:rsidR="0072474E" w:rsidRPr="00493003">
        <w:rPr>
          <w:lang w:val="en-US"/>
        </w:rPr>
        <w:t xml:space="preserve"> </w:t>
      </w:r>
      <w:r w:rsidR="0072474E" w:rsidRPr="00493003">
        <w:t xml:space="preserve">because self-reports based on their memory might be unreliable for </w:t>
      </w:r>
      <w:r w:rsidR="00291616" w:rsidRPr="00493003">
        <w:t>questio</w:t>
      </w:r>
      <w:r w:rsidR="00CD3427" w:rsidRPr="00493003">
        <w:t xml:space="preserve">ns about insomnia and nutrition, but patients with mild dementia were included. </w:t>
      </w:r>
    </w:p>
    <w:p w14:paraId="723089C4" w14:textId="77777777" w:rsidR="0098152B" w:rsidRPr="00493003" w:rsidRDefault="0098152B" w:rsidP="005A226D">
      <w:pPr>
        <w:spacing w:line="360" w:lineRule="auto"/>
        <w:jc w:val="both"/>
        <w:rPr>
          <w:b/>
          <w:lang w:val="en-US"/>
        </w:rPr>
      </w:pPr>
      <w:bookmarkStart w:id="2" w:name="_Hlk528242752"/>
      <w:r w:rsidRPr="00493003">
        <w:rPr>
          <w:b/>
          <w:lang w:val="en-US"/>
        </w:rPr>
        <w:t>Patients’ Characteristics:</w:t>
      </w:r>
    </w:p>
    <w:bookmarkEnd w:id="2"/>
    <w:p w14:paraId="20870911" w14:textId="695989C0" w:rsidR="006811E4" w:rsidRPr="00493003" w:rsidRDefault="00A354B0" w:rsidP="005A226D">
      <w:pPr>
        <w:spacing w:line="360" w:lineRule="auto"/>
        <w:jc w:val="both"/>
      </w:pPr>
      <w:r w:rsidRPr="00493003">
        <w:t>Patients</w:t>
      </w:r>
      <w:r w:rsidR="00BA2528" w:rsidRPr="00493003">
        <w:t xml:space="preserve">’ age, gender, </w:t>
      </w:r>
      <w:r w:rsidR="00E869C6" w:rsidRPr="00493003">
        <w:t>education</w:t>
      </w:r>
      <w:r w:rsidR="00BA2528" w:rsidRPr="00493003">
        <w:t xml:space="preserve"> level, and drugs</w:t>
      </w:r>
      <w:r w:rsidR="00E869C6" w:rsidRPr="00493003">
        <w:t xml:space="preserve"> </w:t>
      </w:r>
      <w:r w:rsidRPr="00493003">
        <w:t xml:space="preserve">were recorded. Those with hypertension, </w:t>
      </w:r>
      <w:r w:rsidR="00A35901" w:rsidRPr="00493003">
        <w:rPr>
          <w:lang w:val="en-US"/>
        </w:rPr>
        <w:t>ischemic heart disease</w:t>
      </w:r>
      <w:r w:rsidRPr="00493003">
        <w:t>, congestive heart failure, diabetes mellitus, peripheral arterial disease, chronic obstructive pulmonary disease</w:t>
      </w:r>
      <w:r w:rsidR="00A330CD" w:rsidRPr="00493003">
        <w:t xml:space="preserve"> (COPD)</w:t>
      </w:r>
      <w:r w:rsidR="0033004C" w:rsidRPr="00493003">
        <w:t>,</w:t>
      </w:r>
      <w:r w:rsidRPr="00493003">
        <w:t xml:space="preserve"> </w:t>
      </w:r>
      <w:r w:rsidR="00C91D2B" w:rsidRPr="00493003">
        <w:t>cerebrovascular disease</w:t>
      </w:r>
      <w:r w:rsidR="0033004C" w:rsidRPr="00493003">
        <w:t xml:space="preserve"> or Parkinson’s Disease</w:t>
      </w:r>
      <w:r w:rsidR="005427DD" w:rsidRPr="00493003">
        <w:t xml:space="preserve"> </w:t>
      </w:r>
      <w:r w:rsidRPr="00493003">
        <w:t xml:space="preserve">were identified by their </w:t>
      </w:r>
      <w:r w:rsidR="003A0E54" w:rsidRPr="00493003">
        <w:t xml:space="preserve">or caregivers’ </w:t>
      </w:r>
      <w:r w:rsidRPr="00493003">
        <w:t>self-reports</w:t>
      </w:r>
      <w:r w:rsidR="00EB655B" w:rsidRPr="00493003">
        <w:t>.</w:t>
      </w:r>
      <w:r w:rsidR="00215772" w:rsidRPr="00493003">
        <w:t xml:space="preserve"> </w:t>
      </w:r>
      <w:r w:rsidR="00842F22" w:rsidRPr="00493003">
        <w:t xml:space="preserve">In addition, comorbidity status of the patients was evaluated using the </w:t>
      </w:r>
      <w:proofErr w:type="spellStart"/>
      <w:r w:rsidR="00842F22" w:rsidRPr="00493003">
        <w:t>Ch</w:t>
      </w:r>
      <w:r w:rsidR="00077B51" w:rsidRPr="00493003">
        <w:t>arlson</w:t>
      </w:r>
      <w:proofErr w:type="spellEnd"/>
      <w:r w:rsidR="00077B51" w:rsidRPr="00493003">
        <w:t xml:space="preserve"> Comorbidity Index (CCI)</w:t>
      </w:r>
      <w:r w:rsidR="006811E4" w:rsidRPr="00493003">
        <w:t>.</w:t>
      </w:r>
      <w:r w:rsidR="00077B51" w:rsidRPr="00493003">
        <w:t xml:space="preserve"> </w:t>
      </w:r>
      <w:r w:rsidR="000A0AE7" w:rsidRPr="00493003">
        <w:fldChar w:fldCharType="begin" w:fldLock="1"/>
      </w:r>
      <w:r w:rsidR="000A0AE7" w:rsidRPr="00493003">
        <w:instrText>ADDIN CSL_CITATION {"citationItems":[{"id":"ITEM-1","itemData":{"DOI":"10.1016/0021-9681(87)90171-8","ISBN":"0021-9681 (Print)\\r0021-9681 (Linking)","ISSN":"00219681","PMID":"3558716","abstract":"The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 5\", 85% (82). The index was tested for its ability to predict risk of death from comorbid disease in the second cohort of 685 patients during a 10-yr follow-up. The percent of patients who died of comorbid disease for the different scores were: \"0\", 8% (588); \"1\", 25% (54); \"2\", 48% (25); \" ≥ 3\", 59% (18). With each increased level of the comorbidity index, there were stepwise increases in the cumulative mortality attributable to comorbid disease (log rank χ2 = 165; p &lt; 0.0001). In this longer follow-up, age was also a predictor of mortality (p &lt;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 © 1987.","author":[{"dropping-particle":"","family":"Charlson","given":"Mary E.","non-dropping-particle":"","parse-names":false,"suffix":""},{"dropping-particle":"","family":"Pompei","given":"Peter","non-dropping-particle":"","parse-names":false,"suffix":""},{"dropping-particle":"","family":"Ales","given":"Kathy L.","non-dropping-particle":"","parse-names":false,"suffix":""},{"dropping-particle":"","family":"MacKenzie","given":"C. Ronald","non-dropping-particle":"","parse-names":false,"suffix":""}],"container-title":"Journal of Chronic Diseases","id":"ITEM-1","issued":{"date-parts":[["1987"]]},"title":"A new method of classifying prognostic comorbidity in longitudinal studies: Development and validation","type":"article-journal"},"uris":["http://www.mendeley.com/documents/?uuid=9279cb40-ac7d-40a4-80ec-73a34e877131"]}],"mendeley":{"formattedCitation":"(14)","plainTextFormattedCitation":"(14)","previouslyFormattedCitation":"(14)"},"properties":{"noteIndex":0},"schema":"https://github.com/citation-style-language/schema/raw/master/csl-citation.json"}</w:instrText>
      </w:r>
      <w:r w:rsidR="000A0AE7" w:rsidRPr="00493003">
        <w:fldChar w:fldCharType="separate"/>
      </w:r>
      <w:r w:rsidR="000A0AE7" w:rsidRPr="00493003">
        <w:rPr>
          <w:noProof/>
        </w:rPr>
        <w:t>(14)</w:t>
      </w:r>
      <w:r w:rsidR="000A0AE7" w:rsidRPr="00493003">
        <w:fldChar w:fldCharType="end"/>
      </w:r>
      <w:r w:rsidR="006811E4" w:rsidRPr="00493003">
        <w:t xml:space="preserve"> </w:t>
      </w:r>
      <w:r w:rsidR="00C80BDE" w:rsidRPr="00493003">
        <w:rPr>
          <w:lang w:val="en-US"/>
        </w:rPr>
        <w:t xml:space="preserve">Dementia and depression were diagnosed according to Diagnostic and Statistical Manual of Mental Disorders Fifth Edition (DSM-5) criteria. </w:t>
      </w:r>
      <w:r w:rsidR="00462C63" w:rsidRPr="00493003">
        <w:rPr>
          <w:lang w:val="en-US"/>
        </w:rPr>
        <w:fldChar w:fldCharType="begin" w:fldLock="1"/>
      </w:r>
      <w:r w:rsidR="000A0AE7" w:rsidRPr="00493003">
        <w:rPr>
          <w:lang w:val="en-US"/>
        </w:rPr>
        <w:instrText>ADDIN CSL_CITATION {"citationItems":[{"id":"ITEM-1","itemData":{"DOI":"10.1176/appi.books.9780890425596.744053","ISBN":"0890425558","ISSN":"2317-1782","PMID":"24413388","abstract":"Diagnostic and Statistical Manual of Mental Disorders 4th edition TR.","author":[{"dropping-particle":"","family":"American Psychiatric Association","given":"","non-dropping-particle":"","parse-names":false,"suffix":""}],"container-title":"Diagnostic and Statistical Manual of Mental Disorders, 5th Edition","id":"ITEM-1","issued":{"date-parts":[["2013"]]},"title":"Diagnostic and Statistical Manual of Mental Disorders DMS V","type":"book"},"uris":["http://www.mendeley.com/documents/?uuid=f73676cd-f794-4b8e-a05d-7914eb54a3ed"]}],"mendeley":{"formattedCitation":"(15)","plainTextFormattedCitation":"(15)","previouslyFormattedCitation":"(15)"},"properties":{"noteIndex":0},"schema":"https://github.com/citation-style-language/schema/raw/master/csl-citation.json"}</w:instrText>
      </w:r>
      <w:r w:rsidR="00462C63" w:rsidRPr="00493003">
        <w:rPr>
          <w:lang w:val="en-US"/>
        </w:rPr>
        <w:fldChar w:fldCharType="separate"/>
      </w:r>
      <w:r w:rsidR="000A0AE7" w:rsidRPr="00493003">
        <w:rPr>
          <w:noProof/>
          <w:lang w:val="en-US"/>
        </w:rPr>
        <w:t>(15)</w:t>
      </w:r>
      <w:r w:rsidR="00462C63" w:rsidRPr="00493003">
        <w:rPr>
          <w:lang w:val="en-US"/>
        </w:rPr>
        <w:fldChar w:fldCharType="end"/>
      </w:r>
      <w:r w:rsidR="00FA01AE" w:rsidRPr="00493003">
        <w:rPr>
          <w:lang w:val="en-US"/>
        </w:rPr>
        <w:t xml:space="preserve"> </w:t>
      </w:r>
      <w:r w:rsidR="002F401A" w:rsidRPr="00493003">
        <w:t xml:space="preserve">All the participants underwent </w:t>
      </w:r>
      <w:r w:rsidR="0033004C" w:rsidRPr="00493003">
        <w:t xml:space="preserve">the </w:t>
      </w:r>
      <w:r w:rsidR="002F401A" w:rsidRPr="00493003">
        <w:t xml:space="preserve">Mini-Mental State Examination, </w:t>
      </w:r>
      <w:r w:rsidR="0033004C" w:rsidRPr="00493003">
        <w:t xml:space="preserve">and </w:t>
      </w:r>
      <w:r w:rsidR="002F401A" w:rsidRPr="00493003">
        <w:t>Geriatric Depression Scale-15 for</w:t>
      </w:r>
      <w:r w:rsidR="00462C63" w:rsidRPr="00493003">
        <w:t xml:space="preserve"> neurocognitive evaluation. </w:t>
      </w:r>
      <w:r w:rsidR="006811E4" w:rsidRPr="00493003">
        <w:fldChar w:fldCharType="begin" w:fldLock="1"/>
      </w:r>
      <w:r w:rsidR="007E006A" w:rsidRPr="00493003">
        <w:instrText>ADDIN CSL_CITATION {"citationItems":[{"id":"ITEM-1","itemData":{"DOI":"10.1017/S1041610218000236","ISSN":"1741203X","PMID":"29560848","abstract":"Copyright © International Psychogeriatric Association 2018 Introduction:: Depression is a common and serious healthcare problem for older adults. This study aimed to determine the validity and reliability of GDS-4 and GDS-5 in Turkish, and to establish a new short-form Geriatric Depression Scale (GDS) for our population, and also determine the superiority of each short scale to another. Methods:: A total of 437 outpatients were enrolled in the study. A researcher evaluated all participants according to the Diagnostic and Statistical Manual of Mental Disorders-fifth edition (DSM-5) diagnostic criteria, and then another researcher applied GDS-15 to all participants. We obtained the answers of short GDS forms, examined in this study, from GDS-15 forms. After Cohen's κ analysis, we compared the diagnostic value of each question for geriatric depression according to their κ values, and developed three (TGDS-3), four (TGDS-4), five (TGDS-5), and six (TGDS-6) question scales to screen geriatric depression in Turkish population. Results:: A total of 437 participants were assessed. The mean age (SD) of the patients was 72.95 years (7.37).Cronbach's α values of GDS-4 and GDS-5 were &lt;0.70. Cronbach's α values of TGDS-3, TGDS-4, TGDS-5, and TGDS-6 were &gt;0.70. The best cut-off values were ≥5 for GDS-15 and GDS-5, and ≥1 for others. Discussion:: GDS-15 is the most powerful screening scale for geriatric depression. GDS-4 and GDS-5 are not eligible for depression screening in Turkish older adults. All new short scales are valid and reliable, and TGDS-4 is a practical, less time-consuming option for daily practice.","author":[{"dropping-particle":"","family":"Dokuzlar","given":"Ozge","non-dropping-particle":"","parse-names":false,"suffix":""},{"dropping-particle":"","family":"Soysal","given":"Pinar","non-dropping-particle":"","parse-names":false,"suffix":""},{"dropping-particle":"","family":"Usarel","given":"Cansu","non-dropping-particle":"","parse-names":false,"suffix":""},{"dropping-particle":"","family":"Isik","given":"Ahmet Turan","non-dropping-particle":"","parse-names":false,"suffix":""}],"container-title":"International Psychogeriatrics","id":"ITEM-1","issued":{"date-parts":[["2018"]]},"title":"The evaluation and design of a short depression screening tool in Turkish older adults","type":"article-journal"},"uris":["http://www.mendeley.com/documents/?uuid=0798896b-ca2e-4e81-9b65-89d76d8098f4"]},{"id":"ITEM-2","itemData":{"ISSN":"1300-2163","PMID":"12794644","abstract":"OBJECTIVE Reliability and validity of the Mini Mental State Examination in differentiating mild dementia from normal controls in Turkish population. METHOD The Standardized Mini Mental State Examination (SMMSE) and its instruction were translated into Turkish. A total of 212 subjects with mean age of 77 +/- 6, were recruited for the study. 71 were diagnosed to be demented and 141 were evaluated as normal controls. The scale total score was analysed for discriminant validity using Student's t-test. Sensitivity, specificity, positive and negative predictive values and kappa score were calculated for all of the scores between 18 and 29. Kappa value was calculated for the comparison of the dementia diagnosis between the two investigators using the best cut off score obtained in the analysis above. RESULTS Statistical analysis revealed that the Turkish version of the SMMSE has high discriminant validity and interrater reliability in the diagnosis of mild dementia. The cut off score 23/24 was found to have the highest sensitivity (0.91), specificity (0.95), positive and negative predictive values (0.90 and 0.95) and kappa score (0.86). Interrater reliability analysis showed high correlation (r:0.99) and kappa value (0.92). CONCLUSION The results of this study showed that the Turkish version of the SMMSE has high reliability and validity for the diagnosis of mild dementia in Turkish population.","author":[{"dropping-particle":"","family":"Güngen","given":"Can","non-dropping-particle":"","parse-names":false,"suffix":""},{"dropping-particle":"","family":"Ertan","given":"Turan","non-dropping-particle":"","parse-names":false,"suffix":""},{"dropping-particle":"","family":"Eker","given":"Engin","non-dropping-particle":"","parse-names":false,"suffix":""},{"dropping-particle":"","family":"Yaşar","given":"Resmiye","non-dropping-particle":"","parse-names":false,"suffix":""},{"dropping-particle":"","family":"Engin","given":"Funda","non-dropping-particle":"","parse-names":false,"suffix":""}],"container-title":"Türk Psikiyatri Dergisi","id":"ITEM-2","issued":{"date-parts":[["2002"]]},"title":"Reliability and validity of the standardized Mini Mental State Examination in the diagnosis of mild dementia in Turkish population","type":"article-journal"},"uris":["http://www.mendeley.com/documents/?uuid=78860941-cce4-43cf-ae54-be08db6f426a"]}],"mendeley":{"formattedCitation":"(16,17)","plainTextFormattedCitation":"(16,17)","previouslyFormattedCitation":"(16,17)"},"properties":{"noteIndex":0},"schema":"https://github.com/citation-style-language/schema/raw/master/csl-citation.json"}</w:instrText>
      </w:r>
      <w:r w:rsidR="006811E4" w:rsidRPr="00493003">
        <w:fldChar w:fldCharType="separate"/>
      </w:r>
      <w:r w:rsidR="006811E4" w:rsidRPr="00493003">
        <w:rPr>
          <w:noProof/>
        </w:rPr>
        <w:t>(16,17)</w:t>
      </w:r>
      <w:r w:rsidR="006811E4" w:rsidRPr="00493003">
        <w:fldChar w:fldCharType="end"/>
      </w:r>
    </w:p>
    <w:p w14:paraId="4C6D100B" w14:textId="777398CE" w:rsidR="0033004C" w:rsidRPr="00493003" w:rsidRDefault="0033004C" w:rsidP="005A226D">
      <w:pPr>
        <w:spacing w:line="360" w:lineRule="auto"/>
        <w:jc w:val="both"/>
      </w:pPr>
      <w:r w:rsidRPr="00493003">
        <w:rPr>
          <w:b/>
          <w:lang w:val="en-US"/>
        </w:rPr>
        <w:t xml:space="preserve">Nutritional Evaluation </w:t>
      </w:r>
    </w:p>
    <w:p w14:paraId="01023389" w14:textId="3192337A" w:rsidR="00C80BDE" w:rsidRPr="00493003" w:rsidRDefault="00C80BDE" w:rsidP="005A226D">
      <w:pPr>
        <w:spacing w:line="360" w:lineRule="auto"/>
        <w:jc w:val="both"/>
        <w:rPr>
          <w:lang w:val="en-US"/>
        </w:rPr>
      </w:pPr>
      <w:r w:rsidRPr="00493003">
        <w:rPr>
          <w:lang w:val="en-US"/>
        </w:rPr>
        <w:t>MNA (Mini Nutritional Assessment) was performed in all patients to detect nutritional status</w:t>
      </w:r>
      <w:r w:rsidR="00D41D31" w:rsidRPr="00493003">
        <w:rPr>
          <w:lang w:val="en-US"/>
        </w:rPr>
        <w:t xml:space="preserve">, </w:t>
      </w:r>
      <w:r w:rsidRPr="00493003">
        <w:rPr>
          <w:lang w:val="en-US"/>
        </w:rPr>
        <w:t xml:space="preserve">even if their MNA-Short Form scores were ≥12. </w:t>
      </w:r>
      <w:r w:rsidR="0033004C" w:rsidRPr="00493003">
        <w:rPr>
          <w:lang w:val="en-US"/>
        </w:rPr>
        <w:t xml:space="preserve">If the total score was &gt; 23.5, 17-23.5, &lt;17, it was accepted </w:t>
      </w:r>
      <w:r w:rsidR="001563A1" w:rsidRPr="00493003">
        <w:rPr>
          <w:lang w:val="en-US"/>
        </w:rPr>
        <w:t>as</w:t>
      </w:r>
      <w:r w:rsidR="0033004C" w:rsidRPr="00493003">
        <w:rPr>
          <w:lang w:val="en-US"/>
        </w:rPr>
        <w:t xml:space="preserve"> </w:t>
      </w:r>
      <w:r w:rsidRPr="00493003">
        <w:rPr>
          <w:lang w:val="en-US"/>
        </w:rPr>
        <w:t>well-nourished</w:t>
      </w:r>
      <w:r w:rsidR="0033004C" w:rsidRPr="00493003">
        <w:rPr>
          <w:lang w:val="en-US"/>
        </w:rPr>
        <w:t>, risk of malnutrition, and malnutrition, respectively.</w:t>
      </w:r>
      <w:r w:rsidR="00617BFD" w:rsidRPr="00493003">
        <w:rPr>
          <w:rFonts w:ascii="Times New Roman" w:hAnsi="Times New Roman" w:cs="Times New Roman"/>
          <w:sz w:val="24"/>
          <w:szCs w:val="24"/>
          <w:lang w:val="en-US"/>
        </w:rPr>
        <w:t xml:space="preserve"> </w:t>
      </w:r>
      <w:r w:rsidR="00AA7D38" w:rsidRPr="00493003">
        <w:t>The MNA test is composed of simple measurements and 18 brief questions that can be completed in &lt; 10 min: anthropometric measurements (4 questions related to BMI, weight loss, brachial circumference, and calf circumference); Global assessment (6 questions related to lifestyle, medication, and mobility); Dietary questionnaire and subjective assessment (8 questions related to number of meals, food and fluid intake, and autonomy of feeding, self-perception of health and nutrition)</w:t>
      </w:r>
      <w:r w:rsidR="00617BFD" w:rsidRPr="00493003">
        <w:t>.</w:t>
      </w:r>
      <w:r w:rsidR="0033004C" w:rsidRPr="00493003">
        <w:rPr>
          <w:lang w:val="en-US"/>
        </w:rPr>
        <w:t xml:space="preserve"> </w:t>
      </w:r>
      <w:r w:rsidR="006C464B" w:rsidRPr="00493003">
        <w:rPr>
          <w:lang w:val="en-US"/>
        </w:rPr>
        <w:fldChar w:fldCharType="begin" w:fldLock="1"/>
      </w:r>
      <w:r w:rsidR="006811E4" w:rsidRPr="00493003">
        <w:rPr>
          <w:lang w:val="en-US"/>
        </w:rPr>
        <w:instrText>ADDIN CSL_CITATION {"citationItems":[{"id":"ITEM-1","itemData":{"DOI":"10.1016/S0899-9007(98)00171-3","ISBN":"0899-9007","ISSN":"08999007","PMID":"9990575","abstract":"The Mini Nutritional Assessment (MNA) has recently been designed and validated to provide a single, rapid assessment of nutritional status in elderly patients in outpatient clinics, hospitals, and nursing homes. It has been translated into several languages and validated in many clinics around the world. The MNA test is composed of simple measurements and brief questions that can be completed in about 10 min. Discriminant analysis was used to compare the findings of the MNA with the nutritional status determined by physicians, using the standard extensive nutritional assessment including complete anthropometric, clinical biochemistry, and dietary parameters. The sum of the MNA score distinguishes between elderly patients with: 1) adequate nutritional status, MNA ≥ 24; 2) protein-calorie malnutrition, MNA &lt; 17; 3) at risk of malnutrition, MNA between 17 and 23.5. With this scoring, sensitivity was found to be 96%, specificity 98%, and predictive value 97%. The MNA scale was also found to be predictive of mortality and hospital cost. Most important it is possible to identify people at risk for malnutrition, scores between 17 and 23.5, before severe changes in weight or albumin levels occur. These individuals are more likely to have a decrease in caloric: intake that can be easily corrected by nutritional intervention.","author":[{"dropping-particle":"","family":"Vellas","given":"Bruno","non-dropping-particle":"","parse-names":false,"suffix":""},{"dropping-particle":"","family":"Guigoz","given":"Yves","non-dropping-particle":"","parse-names":false,"suffix":""},{"dropping-particle":"","family":"Garry","given":"Philip J.","non-dropping-particle":"","parse-names":false,"suffix":""},{"dropping-particle":"","family":"Nourhashemi","given":"Fati","non-dropping-particle":"","parse-names":false,"suffix":""},{"dropping-particle":"","family":"Bennahum","given":"David","non-dropping-particle":"","parse-names":false,"suffix":""},{"dropping-particle":"","family":"Lauque","given":"Sylvie","non-dropping-particle":"","parse-names":false,"suffix":""},{"dropping-particle":"","family":"Albarede","given":"Jean Louis","non-dropping-particle":"","parse-names":false,"suffix":""}],"container-title":"Nutrition","id":"ITEM-1","issued":{"date-parts":[["1999"]]},"title":"The mini nutritional assessment (MNA) and its use in grading the nutritional state of elderly patients","type":"article-journal"},"uris":["http://www.mendeley.com/documents/?uuid=64183642-54f3-4c5c-b724-06f11b87bf54"]}],"mendeley":{"formattedCitation":"(18)","plainTextFormattedCitation":"(18)","previouslyFormattedCitation":"(18)"},"properties":{"noteIndex":0},"schema":"https://github.com/citation-style-language/schema/raw/master/csl-citation.json"}</w:instrText>
      </w:r>
      <w:r w:rsidR="006C464B" w:rsidRPr="00493003">
        <w:rPr>
          <w:lang w:val="en-US"/>
        </w:rPr>
        <w:fldChar w:fldCharType="separate"/>
      </w:r>
      <w:r w:rsidR="006811E4" w:rsidRPr="00493003">
        <w:rPr>
          <w:noProof/>
          <w:lang w:val="en-US"/>
        </w:rPr>
        <w:t>(18)</w:t>
      </w:r>
      <w:r w:rsidR="006C464B" w:rsidRPr="00493003">
        <w:rPr>
          <w:lang w:val="en-US"/>
        </w:rPr>
        <w:fldChar w:fldCharType="end"/>
      </w:r>
      <w:r w:rsidR="006C464B" w:rsidRPr="00493003">
        <w:rPr>
          <w:lang w:val="en-US"/>
        </w:rPr>
        <w:t xml:space="preserve"> </w:t>
      </w:r>
      <w:r w:rsidR="00B6126F" w:rsidRPr="00493003">
        <w:t xml:space="preserve">Due to the potentially multifactorial origin of nutritional risk in the older adults, the MNA specifically designed and validated for the </w:t>
      </w:r>
      <w:proofErr w:type="spellStart"/>
      <w:r w:rsidR="00B6126F" w:rsidRPr="00493003">
        <w:t>olders</w:t>
      </w:r>
      <w:proofErr w:type="spellEnd"/>
      <w:r w:rsidR="00B6126F" w:rsidRPr="00493003">
        <w:t xml:space="preserve">. Given the multi-dimensional approach, the MNA  properly addresses this requirement and the prevalence of nutritional conditions provided by the MNA appears in the measure able to reflect the nutritional features. </w:t>
      </w:r>
      <w:r w:rsidR="00B02148" w:rsidRPr="00493003">
        <w:t>(</w:t>
      </w:r>
      <w:r w:rsidR="00B02148" w:rsidRPr="00493003">
        <w:rPr>
          <w:lang w:val="en-US"/>
        </w:rPr>
        <w:t xml:space="preserve">19) </w:t>
      </w:r>
      <w:r w:rsidR="0033004C" w:rsidRPr="00493003">
        <w:rPr>
          <w:lang w:val="en-US"/>
        </w:rPr>
        <w:t xml:space="preserve">To calculate body mass index (BMI), height was measured to the nearest centimeter (cm) and weight was measured to the nearest half-kilogram (kg) with the same stadiometer. </w:t>
      </w:r>
    </w:p>
    <w:p w14:paraId="1872953E" w14:textId="77777777" w:rsidR="0067739E" w:rsidRPr="00493003" w:rsidRDefault="0067739E" w:rsidP="005A226D">
      <w:pPr>
        <w:spacing w:line="360" w:lineRule="auto"/>
        <w:jc w:val="both"/>
        <w:rPr>
          <w:lang w:val="en-US"/>
        </w:rPr>
      </w:pPr>
    </w:p>
    <w:p w14:paraId="2E8B8BA9" w14:textId="16B666BF" w:rsidR="00AC1566" w:rsidRPr="00493003" w:rsidRDefault="00AC1566" w:rsidP="005A226D">
      <w:pPr>
        <w:spacing w:line="360" w:lineRule="auto"/>
        <w:jc w:val="both"/>
        <w:rPr>
          <w:b/>
        </w:rPr>
      </w:pPr>
      <w:r w:rsidRPr="00493003">
        <w:rPr>
          <w:b/>
        </w:rPr>
        <w:t xml:space="preserve">Assessment of </w:t>
      </w:r>
      <w:r w:rsidR="00E810F4" w:rsidRPr="00493003">
        <w:rPr>
          <w:b/>
        </w:rPr>
        <w:t>Insomnia</w:t>
      </w:r>
    </w:p>
    <w:p w14:paraId="660F7125" w14:textId="0E0227A6" w:rsidR="000B7600" w:rsidRPr="00493003" w:rsidRDefault="00A51186" w:rsidP="005A226D">
      <w:pPr>
        <w:spacing w:line="360" w:lineRule="auto"/>
        <w:jc w:val="both"/>
        <w:rPr>
          <w:lang w:val="en-US"/>
        </w:rPr>
      </w:pPr>
      <w:r w:rsidRPr="00493003">
        <w:rPr>
          <w:lang w:val="en-US"/>
        </w:rPr>
        <w:t>Insomnia Severity Index (ISI) consists of 7 questionnaire items that capture self</w:t>
      </w:r>
      <w:r w:rsidR="00C4439C" w:rsidRPr="00493003">
        <w:rPr>
          <w:lang w:val="en-US"/>
        </w:rPr>
        <w:t>-</w:t>
      </w:r>
      <w:r w:rsidRPr="00493003">
        <w:rPr>
          <w:lang w:val="en-US"/>
        </w:rPr>
        <w:t>reported symptoms and daytime consequences of insomnia, according to criteria from the Diagnostic and Statistical Manual of Mental Disorders, Fourth Edition.</w:t>
      </w:r>
      <w:r w:rsidR="00E93027" w:rsidRPr="00493003">
        <w:rPr>
          <w:lang w:val="en-US"/>
        </w:rPr>
        <w:t xml:space="preserve"> </w:t>
      </w:r>
      <w:r w:rsidRPr="00493003">
        <w:rPr>
          <w:lang w:val="en-US"/>
        </w:rPr>
        <w:t>ISI scores range from 0 to 28, with higher scores indicating more severe insomnia. ISI scores of 8 or higher indicated insomnia, with severity further stratified according to ISI score as subthreshold (herein termed mild) (8–14), moderate (15–21), and severe (22–28).</w:t>
      </w:r>
      <w:r w:rsidR="000B7600" w:rsidRPr="00493003">
        <w:rPr>
          <w:rFonts w:ascii="AdvPSSAB-R" w:hAnsi="AdvPSSAB-R" w:cs="AdvPSSAB-R"/>
          <w:color w:val="231F20"/>
          <w:lang w:val="en-US"/>
        </w:rPr>
        <w:t xml:space="preserve"> </w:t>
      </w:r>
      <w:r w:rsidR="009E4287" w:rsidRPr="00493003">
        <w:rPr>
          <w:lang w:val="en-US"/>
        </w:rPr>
        <w:fldChar w:fldCharType="begin" w:fldLock="1"/>
      </w:r>
      <w:r w:rsidR="006811E4" w:rsidRPr="00493003">
        <w:rPr>
          <w:lang w:val="en-US"/>
        </w:rPr>
        <w:instrText>ADDIN CSL_CITATION {"citationItems":[{"id":"ITEM-1","itemData":{"DOI":"10.1016/S1389-9457(00)00065-4","ISBN":"1540-2002","ISSN":"13899457","PMID":"11438246","abstract":"Background: Insomnia is a prevalent health complaint that is often difficult to evaluate reliably. There is an important need for brief and valid assessment tools to assist practitioners in the clinical evaluation of insomnia complaints. Objective: This paper reports on the clinical validation of the Insomnia Severity Index (ISI) as a brief screening measure of insomnia and as an outcome measure in treatment research. The psychometric properties (internal consistency, concurrent validity, factor structure) of the ISI were evaluated in two samples of insomnia patients. Methods: The first study examined the internal consistency and concurrent validity of the ISI in 145 patients evaluated for insomnia at a sleep disorders clinic. Data from the ISI were compared to those of a sleep diary measure. In the second study, the concurrent validity of the ISI was evaluated in a sample of 78 older patients who participated in a randomized-controlled trial of behavioral and pharmacological therapies for insomnia. Change scores on the ISI over time were compared with those obtained from sleep diaries and polysomnography. Comparisons were also made between ISI scores obtained from patients, significant others, and clinicians. Results: The results of Study 1 showed that the ISI has adequate internal consistency and is a reliable self-report measure to evaluate perceived sleep difficulties. The results from Study 2 also indicated that the ISI is a valid and sensitive measure to detect changes in perceived sleep difficulties with treatment. In addition, there is a close convergence between scores obtained from the ISI patient's version and those from the clinician's and significant other's versions. Conclusions: The present findings indicate that the ISI is a reliable and valid instrument to quantify perceived insomnia severity. The ISI is likely to be a clinically useful tool as a screening device or as an outcome measure in insomnia treatment research. © 2001 Elsevier Science B.V. All rights reserved.","author":[{"dropping-particle":"","family":"Bastien","given":"Célyne H.","non-dropping-particle":"","parse-names":false,"suffix":""},{"dropping-particle":"","family":"Vallières","given":"Annie","non-dropping-particle":"","parse-names":false,"suffix":""},{"dropping-particle":"","family":"Morin","given":"Charles M.","non-dropping-particle":"","parse-names":false,"suffix":""}],"container-title":"Sleep Medicine","id":"ITEM-1","issued":{"date-parts":[["2001"]]},"title":"Validation of the insomnia severity index as an outcome measure for insomnia research","type":"article-journal"},"uris":["http://www.mendeley.com/documents/?uuid=2c63ac91-a66f-4430-ac5b-61cba645f52e"]},{"id":"ITEM-2","itemData":{"DOI":"10.1093/sleep/34.5.601","ISBN":"1389-9457","ISSN":"15509109","PMID":"21532953","abstract":"BACKGROUND Although insomnia is a prevalent complaint with significant morbidity, it often remains unrecognized and untreated. Brief and valid instruments are needed both for screening and outcome assessment. This study examined psychometric indices of the Insomnia Severity Index (ISI) to detect cases of insomnia in a population-based sample and to evaluate treatment response in a clinical sample. METHODS Participants were 959 individuals selected from the community for an epidemiological study of insomnia (Community sample) and 183 individuals evaluated for insomnia treatment and 62 controls without insomnia (Clinical sample). They completed the ISI and several measures of sleep quality, fatigue, psychological symptoms, and quality of life; those in the Clinical sample also completed sleep diaries, polysomnography, and interviews to validate their insomnia/good sleep status and assess treatment response. In addition to standard psychometric indices of reliability and validity, item response theory analyses were computed to examine ISI item response patterns. Receiver operating curves were used to derive optimal cutoff scores for case identification and to quantify the minimally important changes in relation to global improvement ratings obtained by an independent assessor. RESULTS ISI internal consistency was excellent for both samples (Cronbach α of 0.90 and 0.91). Item response analyses revealed adequate discriminatory capacity for 5 of the 7 items. Convergent validity was supported by significant correlations between total ISI score and measures of fatigue, quality of life, anxiety, and depression. A cutoff score of 10 was optimal (86.1% sensitivity and 87.7% specificity) for detecting insomnia cases in the community sample. In the clinical sample, a change score of -8.4 points (95% CI: -7.1, -9.4) was associated with moderate improvement as rated by an independent assessor after treatment. CONCLUSION These findings provide further evidence that the ISI is a reliable and valid instrument to detect cases of insomnia in the population and is sensitive to treatment response in clinical patients.","author":[{"dropping-particle":"","family":"Morin","given":"Charles M.","non-dropping-particle":"","parse-names":false,"suffix":""},{"dropping-particle":"","family":"Belleville","given":"Geneviève","non-dropping-particle":"","parse-names":false,"suffix":""},{"dropping-particle":"","family":"Bélanger","given":"Lynda","non-dropping-particle":"","parse-names":false,"suffix":""},{"dropping-particle":"","family":"Ivers","given":"Hans","non-dropping-particle":"","parse-names":false,"suffix":""}],"container-title":"Sleep","id":"ITEM-2","issued":{"date-parts":[["2011"]]},"title":"The insomnia severity index: Psychometric indicators to detect insomnia cases and evaluate treatment response","type":"article-journal"},"uris":["http://www.mendeley.com/documents/?uuid=6b363b6b-d8a3-4d9d-8dfc-3b6d4f1d8bcc"]}],"mendeley":{"formattedCitation":"(19,20)","plainTextFormattedCitation":"(19,20)","previouslyFormattedCitation":"(19,20)"},"properties":{"noteIndex":0},"schema":"https://github.com/citation-style-language/schema/raw/master/csl-citation.json"}</w:instrText>
      </w:r>
      <w:r w:rsidR="009E4287" w:rsidRPr="00493003">
        <w:rPr>
          <w:lang w:val="en-US"/>
        </w:rPr>
        <w:fldChar w:fldCharType="separate"/>
      </w:r>
      <w:r w:rsidR="00D84D2B" w:rsidRPr="00493003">
        <w:rPr>
          <w:noProof/>
          <w:lang w:val="en-US"/>
        </w:rPr>
        <w:t>(20,21</w:t>
      </w:r>
      <w:r w:rsidR="006811E4" w:rsidRPr="00493003">
        <w:rPr>
          <w:noProof/>
          <w:lang w:val="en-US"/>
        </w:rPr>
        <w:t>)</w:t>
      </w:r>
      <w:r w:rsidR="009E4287" w:rsidRPr="00493003">
        <w:rPr>
          <w:lang w:val="en-US"/>
        </w:rPr>
        <w:fldChar w:fldCharType="end"/>
      </w:r>
    </w:p>
    <w:p w14:paraId="74DAE965" w14:textId="740B0386" w:rsidR="000810FB" w:rsidRPr="00493003" w:rsidRDefault="000810FB" w:rsidP="005A226D">
      <w:pPr>
        <w:spacing w:line="360" w:lineRule="auto"/>
        <w:jc w:val="both"/>
        <w:rPr>
          <w:b/>
          <w:lang w:val="en-US"/>
        </w:rPr>
      </w:pPr>
      <w:r w:rsidRPr="00493003">
        <w:rPr>
          <w:b/>
          <w:lang w:val="en-US"/>
        </w:rPr>
        <w:t>Vitamin B12, folate and vitamin D assessment</w:t>
      </w:r>
    </w:p>
    <w:p w14:paraId="764AADDE" w14:textId="710AB870" w:rsidR="00314E02" w:rsidRPr="00493003" w:rsidRDefault="000810FB" w:rsidP="005A226D">
      <w:pPr>
        <w:spacing w:line="360" w:lineRule="auto"/>
        <w:jc w:val="both"/>
        <w:rPr>
          <w:lang w:val="en-US"/>
        </w:rPr>
      </w:pPr>
      <w:r w:rsidRPr="00493003">
        <w:rPr>
          <w:lang w:val="en-US"/>
        </w:rPr>
        <w:t xml:space="preserve">To evaluate the biochemical evidence of insufficient intake and the metabolic condition, blood samples were collected in the morning after at least 8 h of fasting. Serum vitamin B12 level was considered to be deficient and low serum vitamin B12 level when it was below 200 </w:t>
      </w:r>
      <w:proofErr w:type="spellStart"/>
      <w:r w:rsidRPr="00493003">
        <w:rPr>
          <w:lang w:val="en-US"/>
        </w:rPr>
        <w:t>pg</w:t>
      </w:r>
      <w:proofErr w:type="spellEnd"/>
      <w:r w:rsidRPr="00493003">
        <w:rPr>
          <w:lang w:val="en-US"/>
        </w:rPr>
        <w:t xml:space="preserve">/ml and below 400 </w:t>
      </w:r>
      <w:proofErr w:type="spellStart"/>
      <w:r w:rsidRPr="00493003">
        <w:rPr>
          <w:lang w:val="en-US"/>
        </w:rPr>
        <w:t>pg</w:t>
      </w:r>
      <w:proofErr w:type="spellEnd"/>
      <w:r w:rsidRPr="00493003">
        <w:rPr>
          <w:lang w:val="en-US"/>
        </w:rPr>
        <w:t xml:space="preserve">/ml, respectively. </w:t>
      </w:r>
      <w:r w:rsidR="005B0A41" w:rsidRPr="00493003">
        <w:rPr>
          <w:lang w:val="en-US"/>
        </w:rPr>
        <w:fldChar w:fldCharType="begin" w:fldLock="1"/>
      </w:r>
      <w:r w:rsidR="006811E4" w:rsidRPr="00493003">
        <w:rPr>
          <w:lang w:val="en-US"/>
        </w:rPr>
        <w:instrText>ADDIN CSL_CITATION {"citationItems":[{"id":"ITEM-1","itemData":{"DOI":"10.1080/10177833.2010.11790645","ISSN":"13029657","PMID":"23179545","abstract":"Objective: The aim of this study was to examine the effects of early\\nvitamin B12 replacement on cognitive and functional status in elderly\\nsubjects with low vitamin B12 levels by using neuropsychological\\nassessment scales.\\nMethods: A total of 327 elderly patients with low vitamin B12 levels\\n(&lt;400 pg/ml) were evaluated. While 116 of 327 patients had cognitive\\nimpairment, 211 subjects did not. All patients were prescribed 1000\\nmicrograms cyanocobalamin intramuscularly every week for 1 month, then\\nmonthly for 5 months. The mini-mental status examination (MMSE), clock\\ndrawing test, activities of daily living, and instrumental activities of\\ndaily living scales were applied to all patients at baseline and 6\\nmonth.\\nResults: At the 6-month evaluation it was found that 120 subjects have\\nreceived only 1 dose or no vitamin B12 supplementation for various\\nreasons. While their complete blood count parameters were stable;\\nvitamin B12 levels, cognitive and functional scales' scores worsened\\nsignificantly (p values &lt;0.051. However, 207 subjects who had received 2\\nor more doses of B12 supplementation, showed statistically significant\\nincrease in their vitamin B12 levels, mini-mental state examination,\\nclock drawing scales scores (p values &lt;0.05) and preservation in their\\nactivities of daily living and instrumental activities of daily living\\nscales' scores.\\nConclusion: Testing and close follow-up for vitamin B12 levels and early\\nsupplementation of vitamin B12 levels &lt;400 pg/ml in geriatric subjects\\nseem to improve the cognitive status and maintain the functional status.","author":[{"dropping-particle":"","family":"Bozoglu","given":"Ergun","non-dropping-particle":"","parse-names":false,"suffix":""},{"dropping-particle":"","family":"Isik","given":"Ahmet Turan","non-dropping-particle":"","parse-names":false,"suffix":""},{"dropping-particle":"","family":"Doruk","given":"Huseyin","non-dropping-particle":"","parse-names":false,"suffix":""},{"dropping-particle":"","family":"Kilic","given":"Selim","non-dropping-particle":"","parse-names":false,"suffix":""}],"container-title":"Klinik Psikofarmakoloji Bulteni","id":"ITEM-1","issued":{"date-parts":[["2010"]]},"title":"The effects of early vitamin B12 replacement therapy on the cognitive and functional status of elderly subjects","type":"article-journal"},"uris":["http://www.mendeley.com/documents/?uuid=049cac97-3d3a-4a76-9cb8-420cd1e0492f"]}],"mendeley":{"formattedCitation":"(21)","plainTextFormattedCitation":"(21)","previouslyFormattedCitation":"(21)"},"properties":{"noteIndex":0},"schema":"https://github.com/citation-style-language/schema/raw/master/csl-citation.json"}</w:instrText>
      </w:r>
      <w:r w:rsidR="005B0A41" w:rsidRPr="00493003">
        <w:rPr>
          <w:lang w:val="en-US"/>
        </w:rPr>
        <w:fldChar w:fldCharType="separate"/>
      </w:r>
      <w:r w:rsidR="00D84D2B" w:rsidRPr="00493003">
        <w:rPr>
          <w:noProof/>
          <w:lang w:val="en-US"/>
        </w:rPr>
        <w:t>(22</w:t>
      </w:r>
      <w:r w:rsidR="006811E4" w:rsidRPr="00493003">
        <w:rPr>
          <w:noProof/>
          <w:lang w:val="en-US"/>
        </w:rPr>
        <w:t>)</w:t>
      </w:r>
      <w:r w:rsidR="005B0A41" w:rsidRPr="00493003">
        <w:rPr>
          <w:lang w:val="en-US"/>
        </w:rPr>
        <w:fldChar w:fldCharType="end"/>
      </w:r>
      <w:r w:rsidR="00A74604" w:rsidRPr="00493003">
        <w:rPr>
          <w:lang w:val="en-US"/>
        </w:rPr>
        <w:t xml:space="preserve"> </w:t>
      </w:r>
      <w:r w:rsidR="00772794" w:rsidRPr="00493003">
        <w:rPr>
          <w:lang w:val="en-US"/>
        </w:rPr>
        <w:t xml:space="preserve">Vitamin B12 was also evaluated </w:t>
      </w:r>
      <w:r w:rsidR="00314E02" w:rsidRPr="00493003">
        <w:rPr>
          <w:lang w:val="en-US"/>
        </w:rPr>
        <w:t xml:space="preserve">according to cut-off 150 </w:t>
      </w:r>
      <w:proofErr w:type="spellStart"/>
      <w:r w:rsidR="00314E02" w:rsidRPr="00493003">
        <w:rPr>
          <w:lang w:val="en-US"/>
        </w:rPr>
        <w:t>pg</w:t>
      </w:r>
      <w:proofErr w:type="spellEnd"/>
      <w:r w:rsidR="00314E02" w:rsidRPr="00493003">
        <w:rPr>
          <w:lang w:val="en-US"/>
        </w:rPr>
        <w:t>/ml.</w:t>
      </w:r>
      <w:r w:rsidR="005B0A41" w:rsidRPr="00493003">
        <w:rPr>
          <w:lang w:val="en-US"/>
        </w:rPr>
        <w:fldChar w:fldCharType="begin" w:fldLock="1"/>
      </w:r>
      <w:r w:rsidR="006811E4" w:rsidRPr="00493003">
        <w:rPr>
          <w:lang w:val="en-US"/>
        </w:rPr>
        <w:instrText>ADDIN CSL_CITATION {"citationItems":[{"id":"ITEM-1","itemData":{"DOI":"10.3390/nu10111583","ISSN":"2072-6643 (Electronic)","PMID":"30373264","abstract":"Micronutrients include vitamins, minerals and, trace elements that are required in minute quantities but play a vital role in normal human growth, development and physiological functioning. Micronutrient deficiencies, also known as hidden hunger, are a global issue, with particularly high prevalence rates in developing countries. Currently, Sri Lanka is experiencing the double burden of over- and undernutrition. This review describes the micronutrient status of Sri Lanka based on results of national surveys and related articles published from 2000. The available data suggest a higher prevalence of iron, zinc, calcium, folate, and vitamin A deficiencies. The prevalence of iodine deficiency has declined gradually following the implementation of a universal salt iodization program. Iron deficiency is the most common cause of anemia and low red blood cell indices. Females are more vulnerable to micronutrient deficiencies than males. The coexistence of multiple micronutrient deficiencies and concurrent macro- and micronutrient deficiencies is common. Studies have shown an association between micronutrient deficiencies and different demographic, socioeconomic, and dietary factors. Therefore, there is a need for comprehensive studies, nutritional policies, and nationwide intervention programs in Sri Lanka to improve the micronutrient status of the population.","author":[{"dropping-particle":"","family":"Abeywickrama","given":"Hansani Madushika","non-dropping-particle":"","parse-names":false,"suffix":""},{"dropping-particle":"","family":"Koyama","given":"Yu","non-dropping-particle":"","parse-names":false,"suffix":""},{"dropping-particle":"","family":"Uchiyama","given":"Mieko","non-dropping-particle":"","parse-names":false,"suffix":""},{"dropping-particle":"","family":"Shimizu","given":"Utako","non-dropping-particle":"","parse-names":false,"suffix":""},{"dropping-particle":"","family":"Iwasa","given":"Yuka","non-dropping-particle":"","parse-names":false,"suffix":""},{"dropping-particle":"","family":"Yamada","given":"Etsuko","non-dropping-particle":"","parse-names":false,"suffix":""},{"dropping-particle":"","family":"Ohashi","given":"Kazuki","non-dropping-particle":"","parse-names":false,"suffix":""},{"dropping-particle":"","family":"Mitobe","given":"Yuta","non-dropping-particle":"","parse-names":false,"suffix":""}],"container-title":"Nutrients","id":"ITEM-1","issue":"11","issued":{"date-parts":[["2018","10"]]},"language":"eng","publisher-place":"Switzerland","title":"Micronutrient Status in Sri Lanka: A Review.","type":"article-journal","volume":"10"},"uris":["http://www.mendeley.com/documents/?uuid=5db06fec-4fb0-4924-bf85-77a8d1138368"]}],"mendeley":{"formattedCitation":"(22)","plainTextFormattedCitation":"(22)","previouslyFormattedCitation":"(22)"},"properties":{"noteIndex":0},"schema":"https://github.com/citation-style-language/schema/raw/master/csl-citation.json"}</w:instrText>
      </w:r>
      <w:r w:rsidR="005B0A41" w:rsidRPr="00493003">
        <w:rPr>
          <w:lang w:val="en-US"/>
        </w:rPr>
        <w:fldChar w:fldCharType="separate"/>
      </w:r>
      <w:r w:rsidR="00D84D2B" w:rsidRPr="00493003">
        <w:rPr>
          <w:noProof/>
          <w:lang w:val="en-US"/>
        </w:rPr>
        <w:t>(23</w:t>
      </w:r>
      <w:r w:rsidR="006811E4" w:rsidRPr="00493003">
        <w:rPr>
          <w:noProof/>
          <w:lang w:val="en-US"/>
        </w:rPr>
        <w:t>)</w:t>
      </w:r>
      <w:r w:rsidR="005B0A41" w:rsidRPr="00493003">
        <w:rPr>
          <w:lang w:val="en-US"/>
        </w:rPr>
        <w:fldChar w:fldCharType="end"/>
      </w:r>
      <w:r w:rsidR="00314E02" w:rsidRPr="00493003">
        <w:rPr>
          <w:lang w:val="en-US"/>
        </w:rPr>
        <w:t xml:space="preserve"> </w:t>
      </w:r>
      <w:r w:rsidR="00772794" w:rsidRPr="00493003">
        <w:rPr>
          <w:lang w:val="en-US"/>
        </w:rPr>
        <w:t>F</w:t>
      </w:r>
      <w:r w:rsidRPr="00493003">
        <w:rPr>
          <w:lang w:val="en-US"/>
        </w:rPr>
        <w:t xml:space="preserve">olate deficiency and low folate level were evaluated according to both &lt; 3 ng/ml and 6 ng/ml, respectively. </w:t>
      </w:r>
      <w:r w:rsidR="005B0A41" w:rsidRPr="00493003">
        <w:rPr>
          <w:lang w:val="en-US"/>
        </w:rPr>
        <w:fldChar w:fldCharType="begin" w:fldLock="1"/>
      </w:r>
      <w:r w:rsidR="000A0AE7" w:rsidRPr="00493003">
        <w:rPr>
          <w:lang w:val="en-US"/>
        </w:rPr>
        <w:instrText>ADDIN CSL_CITATION {"citationItems":[{"id":"ITEM-1","itemData":{"DOI":"10.1016/j.exger.2018.12.007","ISSN":"1873-6815 (Electronic)","PMID":"30550763","abstract":"It is not known whether undernutrition causes vitamin B12 and folate deficiencies. The present study aimed to determine whether nutritional status, measured using the Mini Nutritional Assessment (MNA) scale, and body mass index (BMI) are indicators of lower level serum vitamin B12 and folate in older adults. 1007 outpatients aged 65years or over were included the study. MNA scores &gt;23.5, 17-23.5, &lt;17, were categorized as normal nutritional status, risk of malnutrition, and malnutrition, respectively. Weight status was assessed using BMI and categorized as under or normal weight (&lt;25kg/m(2)), overweight (25-30kg/m(2)), class I obese (30.0-35kg/m(2)), class II obese (35-40kg/m(2)), and class III obese (&gt;/=40kg/m(2)). Vitamin B12 and folate deficiencies were defined as &lt;200pg/ml and &lt;3ng/ml, respectively. Among 1007 patients with an average age of 74.3+/-8.2years, 6.9% were categorized as having malnutrition and 31.2% were categorized as at risk of malnutrition. While 45.7% of patients were categorized as having vitamin B12 deficiency and 0.9% folate deficiency. There were no differences between patients with malnutrition, at risk of malnutrition, and good nutrition in serum vitamin B12 or folate levels, or the presence of vitamin B12 or folate deficiency after adjustment for age, gender, and education (p&gt;0.05). The results were the same across BMI classifications (p&gt;0.05). Vitamin B12 and folate levels are not associated with nutritional or weight status and these should be evaluated independently of BMI and MNA values.","author":[{"dropping-particle":"","family":"Soysal","given":"Pinar","non-dropping-particle":"","parse-names":false,"suffix":""},{"dropping-particle":"","family":"Smith","given":"Lee","non-dropping-particle":"","parse-names":false,"suffix":""},{"dropping-particle":"","family":"Capar","given":"Emre","non-dropping-particle":"","parse-names":false,"suffix":""},{"dropping-particle":"","family":"Kalan","given":"Ugur","non-dropping-particle":"","parse-names":false,"suffix":""},{"dropping-particle":"","family":"Arik","given":"Ferhat","non-dropping-particle":"","parse-names":false,"suffix":""},{"dropping-particle":"","family":"Isik","given":"Ahmet Turan","non-dropping-particle":"","parse-names":false,"suffix":""}],"container-title":"Experimental gerontology","id":"ITEM-1","issued":{"date-parts":[["2018","12"]]},"language":"eng","page":"1-6","publisher-place":"England","title":"Vitamin B12 and folate deficiencies are not associated with nutritional or weight status in older adults.","type":"article-journal","volume":"116"},"uris":["http://www.mendeley.com/documents/?uuid=24e9d220-045a-44a6-b583-c5efc344aeb8"]}],"mendeley":{"formattedCitation":"(7)","plainTextFormattedCitation":"(7)","previouslyFormattedCitation":"(7)"},"properties":{"noteIndex":0},"schema":"https://github.com/citation-style-language/schema/raw/master/csl-citation.json"}</w:instrText>
      </w:r>
      <w:r w:rsidR="005B0A41" w:rsidRPr="00493003">
        <w:rPr>
          <w:lang w:val="en-US"/>
        </w:rPr>
        <w:fldChar w:fldCharType="separate"/>
      </w:r>
      <w:r w:rsidR="00883C63" w:rsidRPr="00493003">
        <w:rPr>
          <w:noProof/>
          <w:lang w:val="en-US"/>
        </w:rPr>
        <w:t>(7)</w:t>
      </w:r>
      <w:r w:rsidR="005B0A41" w:rsidRPr="00493003">
        <w:rPr>
          <w:lang w:val="en-US"/>
        </w:rPr>
        <w:fldChar w:fldCharType="end"/>
      </w:r>
      <w:r w:rsidR="005B0A41" w:rsidRPr="00493003">
        <w:rPr>
          <w:lang w:val="en-US"/>
        </w:rPr>
        <w:t xml:space="preserve"> </w:t>
      </w:r>
      <w:r w:rsidR="00AB18C1" w:rsidRPr="00493003">
        <w:t>After blood collection the gel tubes were centrifuged within one hour and the sera stored at 20</w:t>
      </w:r>
      <w:r w:rsidR="00AB18C1" w:rsidRPr="00493003">
        <w:rPr>
          <w:vertAlign w:val="superscript"/>
        </w:rPr>
        <w:t>0</w:t>
      </w:r>
      <w:r w:rsidR="00AB18C1" w:rsidRPr="00493003">
        <w:t xml:space="preserve">C for serum vitamin D analysis. 25(OH) D was measured by radioimmunoassay method. Patients with 25(OH) D &lt; 10 ng/ml were considered to have vitamin D deficiency, and 25(OH) D=10-20 ng/ml </w:t>
      </w:r>
      <w:r w:rsidR="0066289C" w:rsidRPr="00493003">
        <w:t>w</w:t>
      </w:r>
      <w:r w:rsidR="00AB18C1" w:rsidRPr="00493003">
        <w:t>as accepted as insufficiency.</w:t>
      </w:r>
      <w:r w:rsidR="00A74604" w:rsidRPr="00493003">
        <w:rPr>
          <w:lang w:val="en-US"/>
        </w:rPr>
        <w:t xml:space="preserve"> </w:t>
      </w:r>
      <w:r w:rsidR="00A74604" w:rsidRPr="00493003">
        <w:rPr>
          <w:lang w:val="en-US"/>
        </w:rPr>
        <w:fldChar w:fldCharType="begin" w:fldLock="1"/>
      </w:r>
      <w:r w:rsidR="006811E4" w:rsidRPr="00493003">
        <w:rPr>
          <w:lang w:val="en-US"/>
        </w:rPr>
        <w:instrText>ADDIN CSL_CITATION {"citationItems":[{"id":"ITEM-1","itemData":{"DOI":"10.4065/mcp.2010.0567","ISBN":"1942-5546 (Electronic) 0025-6196 (Linking)","ISSN":"00256196","PMID":"21193656","abstract":"Vitamin D deficiency, which classically manifests as bone disease (either rickets or osteomalacia), is characterized by impaired bone mineralization. More recently, the term vitamin D insufficiency has been used to describe low levels of serum 25-hydroxyvitamin D that may be associated with other disease outcomes. Reliance on a single cutoff value to define vitamin D deficiency or insufficiency is problematic because of the wide individual variability of the functional effects of vitamin D and interaction with calcium intakes. In adults, vitamin D supplementation reduces the risk of fractures and falls. The evidence for other purported beneficial effects of vitamin D is primarily based on observational studies. We selected studies with the strongest level of evidence for clinical decision making related to vitamin D and health outcomes from our personal libraries of the vitamin D literature and from a search of the PubMed database using the term vitamin D in combination with the following terms related to the potential nonskeletal benefits of vitamin D: mortality, cardiovascular, diabetes mellitus, cancer, multiple sclerosis, allergy, asthma, infection, depression, psychiatric, and pain. Conclusive demonstration of these benefits awaits the outcome of controlled clinical trials. © 2011 Mayo Foundation for Medical Education and Research.","author":[{"dropping-particle":"","family":"Thacher","given":"Tom D.","non-dropping-particle":"","parse-names":false,"suffix":""},{"dropping-particle":"","family":"Clarke","given":"Bart L.","non-dropping-particle":"","parse-names":false,"suffix":""}],"container-title":"Mayo Clinic Proceedings","id":"ITEM-1","issued":{"date-parts":[["2011"]]},"title":"Vitamin D insufficiency","type":"article"},"uris":["http://www.mendeley.com/documents/?uuid=da8ab101-e193-4290-8a3d-2825dd16d5f6"]}],"mendeley":{"formattedCitation":"(23)","plainTextFormattedCitation":"(23)","previouslyFormattedCitation":"(23)"},"properties":{"noteIndex":0},"schema":"https://github.com/citation-style-language/schema/raw/master/csl-citation.json"}</w:instrText>
      </w:r>
      <w:r w:rsidR="00A74604" w:rsidRPr="00493003">
        <w:rPr>
          <w:lang w:val="en-US"/>
        </w:rPr>
        <w:fldChar w:fldCharType="separate"/>
      </w:r>
      <w:r w:rsidR="00D84D2B" w:rsidRPr="00493003">
        <w:rPr>
          <w:noProof/>
          <w:lang w:val="en-US"/>
        </w:rPr>
        <w:t>(24</w:t>
      </w:r>
      <w:r w:rsidR="006811E4" w:rsidRPr="00493003">
        <w:rPr>
          <w:noProof/>
          <w:lang w:val="en-US"/>
        </w:rPr>
        <w:t>)</w:t>
      </w:r>
      <w:r w:rsidR="00A74604" w:rsidRPr="00493003">
        <w:rPr>
          <w:lang w:val="en-US"/>
        </w:rPr>
        <w:fldChar w:fldCharType="end"/>
      </w:r>
      <w:r w:rsidRPr="00493003">
        <w:rPr>
          <w:lang w:val="en-US"/>
        </w:rPr>
        <w:t xml:space="preserve"> </w:t>
      </w:r>
    </w:p>
    <w:p w14:paraId="627D5BAF" w14:textId="3B339A38" w:rsidR="00E873AB" w:rsidRPr="00493003" w:rsidRDefault="001A2BA5" w:rsidP="005A226D">
      <w:pPr>
        <w:spacing w:line="360" w:lineRule="auto"/>
        <w:jc w:val="both"/>
      </w:pPr>
      <w:r w:rsidRPr="00493003">
        <w:rPr>
          <w:b/>
        </w:rPr>
        <w:t>Laboratory Findings</w:t>
      </w:r>
    </w:p>
    <w:p w14:paraId="2D3D9705" w14:textId="57669B64" w:rsidR="001A2BA5" w:rsidRPr="00493003" w:rsidRDefault="00145353" w:rsidP="005A226D">
      <w:pPr>
        <w:spacing w:line="360" w:lineRule="auto"/>
        <w:jc w:val="both"/>
      </w:pPr>
      <w:r w:rsidRPr="00493003">
        <w:t xml:space="preserve">Laboratory tests </w:t>
      </w:r>
      <w:r w:rsidR="0067739E" w:rsidRPr="00493003">
        <w:t xml:space="preserve">were </w:t>
      </w:r>
      <w:r w:rsidRPr="00493003">
        <w:t xml:space="preserve">performed to assess biochemical, metabolic, and nutritional status of the patients included measurements of complete blood count, kidney and liver functions, cholesterol levels, thyroid </w:t>
      </w:r>
      <w:r w:rsidR="00AB18C1" w:rsidRPr="00493003">
        <w:t xml:space="preserve">stimulating hormone, and HbA1c. </w:t>
      </w:r>
      <w:r w:rsidR="00ED5354" w:rsidRPr="00493003">
        <w:t>All</w:t>
      </w:r>
      <w:r w:rsidRPr="00493003">
        <w:t xml:space="preserve"> these biochemical tests were performed using the Diagnostic Modular Systems auto </w:t>
      </w:r>
      <w:r w:rsidR="00585397" w:rsidRPr="00493003">
        <w:t>analyser</w:t>
      </w:r>
      <w:r w:rsidRPr="00493003">
        <w:t xml:space="preserve"> (Roche E170 and P-800).</w:t>
      </w:r>
      <w:r w:rsidR="000F722B" w:rsidRPr="00493003">
        <w:t xml:space="preserve"> </w:t>
      </w:r>
    </w:p>
    <w:p w14:paraId="20A96717" w14:textId="5C726CC4" w:rsidR="00E873AB" w:rsidRPr="00493003" w:rsidRDefault="00E873AB" w:rsidP="005A226D">
      <w:pPr>
        <w:spacing w:line="360" w:lineRule="auto"/>
        <w:jc w:val="both"/>
        <w:rPr>
          <w:b/>
        </w:rPr>
      </w:pPr>
      <w:r w:rsidRPr="00493003">
        <w:rPr>
          <w:b/>
        </w:rPr>
        <w:t>Statistical Analyses</w:t>
      </w:r>
    </w:p>
    <w:p w14:paraId="37CA3A6B" w14:textId="17AFD5BD" w:rsidR="0099242F" w:rsidRPr="00493003" w:rsidRDefault="00E873AB" w:rsidP="005A226D">
      <w:pPr>
        <w:spacing w:line="360" w:lineRule="auto"/>
        <w:jc w:val="both"/>
      </w:pPr>
      <w:r w:rsidRPr="00493003">
        <w:t xml:space="preserve">Data were </w:t>
      </w:r>
      <w:r w:rsidR="00F12C29" w:rsidRPr="00493003">
        <w:t>analysed</w:t>
      </w:r>
      <w:r w:rsidRPr="00493003">
        <w:t xml:space="preserve"> using SPSS, version 22. Descripti</w:t>
      </w:r>
      <w:r w:rsidR="008074C6" w:rsidRPr="00493003">
        <w:t>ve statistics are shown as mean</w:t>
      </w:r>
      <w:r w:rsidR="00F12C29" w:rsidRPr="00493003">
        <w:rPr>
          <w:rFonts w:cstheme="minorHAnsi"/>
        </w:rPr>
        <w:t>±</w:t>
      </w:r>
      <w:r w:rsidRPr="00493003">
        <w:t>standard deviation for variables with normal distribution, median (minimum to maximum) for non</w:t>
      </w:r>
      <w:r w:rsidR="00F12C29" w:rsidRPr="00493003">
        <w:t>-</w:t>
      </w:r>
      <w:r w:rsidRPr="00493003">
        <w:t>normal distributions, and number of cases and percentage for nominal variables. When the group number was 2, the significance of differences between the groups in terms of averages was investigated by t test, and if in median values</w:t>
      </w:r>
      <w:r w:rsidR="0066289C" w:rsidRPr="00493003">
        <w:t xml:space="preserve">, </w:t>
      </w:r>
      <w:r w:rsidRPr="00493003">
        <w:t xml:space="preserve">was investigated by Mann-Whitney test. When the number of groups was more than 2, the significance was investigated by analysis of variance and the </w:t>
      </w:r>
      <w:proofErr w:type="spellStart"/>
      <w:r w:rsidRPr="00493003">
        <w:t>Kruskal</w:t>
      </w:r>
      <w:proofErr w:type="spellEnd"/>
      <w:r w:rsidRPr="00493003">
        <w:t>-Wallis test for averages and medians, respectively. Nominal variables were assessed by the Pearson chi-square or Fisher exact test. Variances in more than 2 groups were assessed by post hoc Tukey tests</w:t>
      </w:r>
      <w:r w:rsidR="0099242F" w:rsidRPr="00493003">
        <w:t xml:space="preserve">. We used </w:t>
      </w:r>
      <w:r w:rsidR="00923555" w:rsidRPr="00493003">
        <w:rPr>
          <w:lang w:val="en-US"/>
        </w:rPr>
        <w:t>linear regression</w:t>
      </w:r>
      <w:r w:rsidR="00923555" w:rsidRPr="00493003">
        <w:t xml:space="preserve"> and </w:t>
      </w:r>
      <w:r w:rsidR="0099242F" w:rsidRPr="00493003">
        <w:t xml:space="preserve">logistic regression to analyse associations between sleep status and nutritional status and MNA scores, </w:t>
      </w:r>
      <w:r w:rsidR="0099242F" w:rsidRPr="00493003">
        <w:rPr>
          <w:lang w:val="en-US"/>
        </w:rPr>
        <w:t>adjusted for all covariates</w:t>
      </w:r>
      <w:r w:rsidR="0099242F" w:rsidRPr="00493003">
        <w:t xml:space="preserve"> including gender, education, number of drugs, CCI, presence of depression, and MMSE scores. </w:t>
      </w:r>
      <w:r w:rsidR="000135DE" w:rsidRPr="00493003">
        <w:t xml:space="preserve">For p </w:t>
      </w:r>
      <w:r w:rsidR="0099242F" w:rsidRPr="00493003">
        <w:t>&lt;0.05, results were considered statistically significant.</w:t>
      </w:r>
    </w:p>
    <w:p w14:paraId="7BCBC37D" w14:textId="77777777" w:rsidR="0099242F" w:rsidRPr="00493003" w:rsidRDefault="0099242F" w:rsidP="005A226D">
      <w:pPr>
        <w:spacing w:line="360" w:lineRule="auto"/>
        <w:jc w:val="both"/>
      </w:pPr>
    </w:p>
    <w:p w14:paraId="04B23142" w14:textId="0AD6E7AB" w:rsidR="00D87BE8" w:rsidRPr="00493003" w:rsidRDefault="00530A6F" w:rsidP="005A226D">
      <w:pPr>
        <w:spacing w:line="360" w:lineRule="auto"/>
        <w:jc w:val="both"/>
        <w:rPr>
          <w:b/>
        </w:rPr>
      </w:pPr>
      <w:r w:rsidRPr="00493003">
        <w:rPr>
          <w:b/>
        </w:rPr>
        <w:t>RESULTS</w:t>
      </w:r>
    </w:p>
    <w:p w14:paraId="3B07FF99" w14:textId="2C9F5693" w:rsidR="00996A4C" w:rsidRPr="00493003" w:rsidRDefault="000610AC" w:rsidP="005A226D">
      <w:pPr>
        <w:spacing w:line="360" w:lineRule="auto"/>
        <w:jc w:val="both"/>
      </w:pPr>
      <w:bookmarkStart w:id="3" w:name="_Hlk529532314"/>
      <w:r w:rsidRPr="00493003">
        <w:t>The mean age</w:t>
      </w:r>
      <w:r w:rsidR="003A0DBC" w:rsidRPr="00493003">
        <w:t xml:space="preserve"> </w:t>
      </w:r>
      <w:r w:rsidR="00C00569" w:rsidRPr="00493003">
        <w:t>of 575</w:t>
      </w:r>
      <w:r w:rsidRPr="00493003">
        <w:t xml:space="preserve"> patients was </w:t>
      </w:r>
      <w:r w:rsidR="00B12A6D" w:rsidRPr="00493003">
        <w:rPr>
          <w:lang w:val="en-US"/>
        </w:rPr>
        <w:t>73</w:t>
      </w:r>
      <w:r w:rsidRPr="00493003">
        <w:rPr>
          <w:lang w:val="en-US"/>
        </w:rPr>
        <w:t xml:space="preserve">.1 </w:t>
      </w:r>
      <w:r w:rsidRPr="00493003">
        <w:rPr>
          <w:rFonts w:cstheme="minorHAnsi"/>
          <w:lang w:val="en-US"/>
        </w:rPr>
        <w:t>±</w:t>
      </w:r>
      <w:r w:rsidR="00B12A6D" w:rsidRPr="00493003">
        <w:rPr>
          <w:lang w:val="en-US"/>
        </w:rPr>
        <w:t>7.7</w:t>
      </w:r>
      <w:r w:rsidR="00F51FFF" w:rsidRPr="00493003">
        <w:rPr>
          <w:lang w:val="en-US"/>
        </w:rPr>
        <w:t xml:space="preserve">, </w:t>
      </w:r>
      <w:r w:rsidR="00E52556" w:rsidRPr="00493003">
        <w:rPr>
          <w:lang w:val="en-US"/>
        </w:rPr>
        <w:t xml:space="preserve">73.2% of them was female and mean </w:t>
      </w:r>
      <w:r w:rsidR="00F51FFF" w:rsidRPr="00493003">
        <w:rPr>
          <w:lang w:val="en-US"/>
        </w:rPr>
        <w:t xml:space="preserve">education level was </w:t>
      </w:r>
      <w:r w:rsidR="00E52556" w:rsidRPr="00493003">
        <w:rPr>
          <w:lang w:val="en-US"/>
        </w:rPr>
        <w:t xml:space="preserve">3.2 </w:t>
      </w:r>
      <w:r w:rsidR="00E52556" w:rsidRPr="00493003">
        <w:rPr>
          <w:rFonts w:cstheme="minorHAnsi"/>
          <w:lang w:val="en-US"/>
        </w:rPr>
        <w:t>±</w:t>
      </w:r>
      <w:r w:rsidR="00E52556" w:rsidRPr="00493003">
        <w:rPr>
          <w:lang w:val="en-US"/>
        </w:rPr>
        <w:t xml:space="preserve"> 1.9. </w:t>
      </w:r>
      <w:r w:rsidR="00494FF3" w:rsidRPr="00493003">
        <w:t xml:space="preserve">The prevalence of </w:t>
      </w:r>
      <w:r w:rsidR="005C2543" w:rsidRPr="00493003">
        <w:t xml:space="preserve">patients without </w:t>
      </w:r>
      <w:r w:rsidR="00C210E0" w:rsidRPr="00493003">
        <w:t xml:space="preserve">insomnia </w:t>
      </w:r>
      <w:r w:rsidR="005C2543" w:rsidRPr="00493003">
        <w:t xml:space="preserve">was </w:t>
      </w:r>
      <w:r w:rsidR="00E52556" w:rsidRPr="00493003">
        <w:t xml:space="preserve">(ISI &lt; 8) </w:t>
      </w:r>
      <w:r w:rsidR="00C210E0" w:rsidRPr="00493003">
        <w:t>34.4</w:t>
      </w:r>
      <w:r w:rsidR="00494FF3" w:rsidRPr="00493003">
        <w:t xml:space="preserve">%. </w:t>
      </w:r>
      <w:r w:rsidR="00FA3C3A" w:rsidRPr="00493003">
        <w:t>The prevalence of p</w:t>
      </w:r>
      <w:r w:rsidR="00DE373D" w:rsidRPr="00493003">
        <w:t xml:space="preserve">atients with mild insomnia, </w:t>
      </w:r>
      <w:r w:rsidR="00DE373D" w:rsidRPr="00493003">
        <w:rPr>
          <w:lang w:val="en-US"/>
        </w:rPr>
        <w:t xml:space="preserve">moderate insomnia and severe insomnia were 20.9%, 30.1%, and 14.6%, </w:t>
      </w:r>
      <w:r w:rsidRPr="00493003">
        <w:t>respectively</w:t>
      </w:r>
      <w:bookmarkEnd w:id="3"/>
      <w:r w:rsidRPr="00493003">
        <w:t>.</w:t>
      </w:r>
      <w:r w:rsidR="003232EF" w:rsidRPr="00493003">
        <w:t xml:space="preserve"> </w:t>
      </w:r>
      <w:r w:rsidR="00D12375" w:rsidRPr="00493003">
        <w:rPr>
          <w:bCs/>
          <w:lang w:val="tr-TR"/>
        </w:rPr>
        <w:t xml:space="preserve">There is no difference between the groups in terms of </w:t>
      </w:r>
      <w:r w:rsidR="00D12375" w:rsidRPr="00493003">
        <w:t xml:space="preserve">laboratory findings </w:t>
      </w:r>
      <w:r w:rsidR="001A6C99" w:rsidRPr="00493003">
        <w:t xml:space="preserve">including kidney and liver functions, cholesterol levels, thyroid stimulating hormone </w:t>
      </w:r>
      <w:r w:rsidR="00D12375" w:rsidRPr="00493003">
        <w:rPr>
          <w:bCs/>
          <w:lang w:val="tr-TR"/>
        </w:rPr>
        <w:t xml:space="preserve">(p&gt;0.05).  </w:t>
      </w:r>
      <w:r w:rsidR="00C76961" w:rsidRPr="00493003">
        <w:rPr>
          <w:lang w:val="en-US"/>
        </w:rPr>
        <w:t xml:space="preserve">Table 1 shows demographic and clinical characteristics. </w:t>
      </w:r>
      <w:bookmarkStart w:id="4" w:name="_Hlk529532632"/>
      <w:r w:rsidR="00E950A7" w:rsidRPr="00493003">
        <w:t>There was</w:t>
      </w:r>
      <w:r w:rsidR="004D303E" w:rsidRPr="00493003">
        <w:t xml:space="preserve"> </w:t>
      </w:r>
      <w:r w:rsidR="003232EF" w:rsidRPr="00493003">
        <w:t>a</w:t>
      </w:r>
      <w:r w:rsidR="004D303E" w:rsidRPr="00493003">
        <w:t xml:space="preserve"> </w:t>
      </w:r>
      <w:r w:rsidR="003232EF" w:rsidRPr="00493003">
        <w:t>significant difference</w:t>
      </w:r>
      <w:r w:rsidR="00C76961" w:rsidRPr="00493003">
        <w:t xml:space="preserve"> between groups in terms of gender</w:t>
      </w:r>
      <w:r w:rsidR="004D303E" w:rsidRPr="00493003">
        <w:t xml:space="preserve">, education, </w:t>
      </w:r>
      <w:r w:rsidR="00D12375" w:rsidRPr="00493003">
        <w:t xml:space="preserve">number of drugs, CCI, presence of depression, and MMSE scores </w:t>
      </w:r>
      <w:r w:rsidR="00D12375" w:rsidRPr="00493003">
        <w:rPr>
          <w:bCs/>
          <w:lang w:val="tr-TR"/>
        </w:rPr>
        <w:t xml:space="preserve">(p&lt;0.05). </w:t>
      </w:r>
      <w:r w:rsidR="005D0BD3" w:rsidRPr="00493003">
        <w:t xml:space="preserve">The </w:t>
      </w:r>
      <w:r w:rsidR="00A56D2E" w:rsidRPr="00493003">
        <w:t>four</w:t>
      </w:r>
      <w:r w:rsidR="00D12375" w:rsidRPr="00493003">
        <w:t xml:space="preserve"> insomnia severity</w:t>
      </w:r>
      <w:r w:rsidR="005D0BD3" w:rsidRPr="00493003">
        <w:t xml:space="preserve"> groups were compared with respect to</w:t>
      </w:r>
      <w:r w:rsidR="001E1A29" w:rsidRPr="00493003">
        <w:t xml:space="preserve"> </w:t>
      </w:r>
      <w:r w:rsidR="00D12375" w:rsidRPr="00493003">
        <w:t>nutritional</w:t>
      </w:r>
      <w:r w:rsidR="001E1A29" w:rsidRPr="00493003">
        <w:t xml:space="preserve"> </w:t>
      </w:r>
      <w:r w:rsidR="005D0BD3" w:rsidRPr="00493003">
        <w:t>parameters, and</w:t>
      </w:r>
      <w:r w:rsidR="00917B75" w:rsidRPr="00493003">
        <w:t xml:space="preserve"> lower MNA scores and higher rates of malnutrition and malnutrition risk </w:t>
      </w:r>
      <w:r w:rsidR="004B69AB" w:rsidRPr="00493003">
        <w:t xml:space="preserve">were </w:t>
      </w:r>
      <w:r w:rsidR="005D0BD3" w:rsidRPr="00493003">
        <w:t xml:space="preserve">detected </w:t>
      </w:r>
      <w:r w:rsidR="001E1A29" w:rsidRPr="00493003">
        <w:t xml:space="preserve">in </w:t>
      </w:r>
      <w:r w:rsidR="00C3794A" w:rsidRPr="00493003">
        <w:t xml:space="preserve">patients with </w:t>
      </w:r>
      <w:r w:rsidR="00DB5083" w:rsidRPr="00493003">
        <w:t xml:space="preserve">moderate and severe insomnia </w:t>
      </w:r>
      <w:r w:rsidR="000B41F6" w:rsidRPr="00493003">
        <w:t xml:space="preserve">compared to the </w:t>
      </w:r>
      <w:r w:rsidR="00B04B7F" w:rsidRPr="00493003">
        <w:t>patients</w:t>
      </w:r>
      <w:r w:rsidR="00955657" w:rsidRPr="00493003">
        <w:t xml:space="preserve"> </w:t>
      </w:r>
      <w:r w:rsidR="008B2363" w:rsidRPr="00493003">
        <w:t xml:space="preserve">with </w:t>
      </w:r>
      <w:r w:rsidR="00DB5083" w:rsidRPr="00493003">
        <w:t xml:space="preserve">mild insomnia or without insomnia </w:t>
      </w:r>
      <w:r w:rsidR="000C3EE5" w:rsidRPr="00493003">
        <w:t>(p&lt;0.001</w:t>
      </w:r>
      <w:r w:rsidR="005D0BD3" w:rsidRPr="00493003">
        <w:t>).</w:t>
      </w:r>
      <w:r w:rsidR="00E96FBF" w:rsidRPr="00493003">
        <w:t xml:space="preserve"> </w:t>
      </w:r>
      <w:r w:rsidR="00F14F22" w:rsidRPr="00493003">
        <w:t>When groups were adjusted for</w:t>
      </w:r>
      <w:r w:rsidR="000C3EE5" w:rsidRPr="00493003">
        <w:t xml:space="preserve"> all covariates,</w:t>
      </w:r>
      <w:r w:rsidR="00C241B2" w:rsidRPr="00493003">
        <w:rPr>
          <w:bCs/>
        </w:rPr>
        <w:t xml:space="preserve"> the</w:t>
      </w:r>
      <w:r w:rsidR="0058722E" w:rsidRPr="00493003">
        <w:rPr>
          <w:bCs/>
        </w:rPr>
        <w:t xml:space="preserve"> significant</w:t>
      </w:r>
      <w:r w:rsidR="00C241B2" w:rsidRPr="00493003">
        <w:rPr>
          <w:bCs/>
        </w:rPr>
        <w:t xml:space="preserve"> differences between </w:t>
      </w:r>
      <w:r w:rsidR="000C3EE5" w:rsidRPr="00493003">
        <w:rPr>
          <w:bCs/>
        </w:rPr>
        <w:t xml:space="preserve">nutritional status and insomnia severity status </w:t>
      </w:r>
      <w:r w:rsidR="00F14F22" w:rsidRPr="00493003">
        <w:t>persisted</w:t>
      </w:r>
      <w:r w:rsidR="00C241B2" w:rsidRPr="00493003">
        <w:t xml:space="preserve"> </w:t>
      </w:r>
      <w:r w:rsidR="00F14F22" w:rsidRPr="00493003">
        <w:t>(p&lt;0.05)</w:t>
      </w:r>
      <w:r w:rsidR="00C241B2" w:rsidRPr="00493003">
        <w:t xml:space="preserve">. </w:t>
      </w:r>
      <w:r w:rsidR="00E96FBF" w:rsidRPr="00493003">
        <w:t>There w</w:t>
      </w:r>
      <w:r w:rsidR="001D236E" w:rsidRPr="00493003">
        <w:t>ere</w:t>
      </w:r>
      <w:r w:rsidR="00E96FBF" w:rsidRPr="00493003">
        <w:t xml:space="preserve"> no </w:t>
      </w:r>
      <w:r w:rsidR="00E96FBF" w:rsidRPr="00493003">
        <w:rPr>
          <w:bCs/>
        </w:rPr>
        <w:t xml:space="preserve">significant differences between insomnia severity status and serum vitamin D, Vitamin B12, folate levels or </w:t>
      </w:r>
      <w:r w:rsidR="00E96FBF" w:rsidRPr="00493003">
        <w:rPr>
          <w:bCs/>
          <w:lang w:val="en-US"/>
        </w:rPr>
        <w:t>cla</w:t>
      </w:r>
      <w:r w:rsidR="00190B71" w:rsidRPr="00493003">
        <w:rPr>
          <w:bCs/>
          <w:lang w:val="en-US"/>
        </w:rPr>
        <w:t xml:space="preserve">ssification of these nutrients </w:t>
      </w:r>
      <w:r w:rsidR="00190B71" w:rsidRPr="00493003">
        <w:rPr>
          <w:bCs/>
          <w:lang w:val="tr-TR"/>
        </w:rPr>
        <w:t xml:space="preserve">(p&gt;0.05).  </w:t>
      </w:r>
    </w:p>
    <w:p w14:paraId="06F04DDA" w14:textId="4B3AA3C6" w:rsidR="008F47C3" w:rsidRPr="00493003" w:rsidRDefault="00DE0C45" w:rsidP="005A226D">
      <w:pPr>
        <w:spacing w:line="360" w:lineRule="auto"/>
        <w:jc w:val="both"/>
      </w:pPr>
      <w:r w:rsidRPr="00493003">
        <w:t xml:space="preserve">The relations between </w:t>
      </w:r>
      <w:r w:rsidR="00F748D1" w:rsidRPr="00493003">
        <w:t>nutritional</w:t>
      </w:r>
      <w:r w:rsidR="001C7B76" w:rsidRPr="00493003">
        <w:t xml:space="preserve"> status</w:t>
      </w:r>
      <w:r w:rsidRPr="00493003">
        <w:t xml:space="preserve"> and </w:t>
      </w:r>
      <w:r w:rsidR="001C7B76" w:rsidRPr="00493003">
        <w:t>insomnia groups</w:t>
      </w:r>
      <w:r w:rsidRPr="00493003">
        <w:t xml:space="preserve"> were investigated using</w:t>
      </w:r>
      <w:r w:rsidR="00CC3B4E" w:rsidRPr="00493003">
        <w:rPr>
          <w:rFonts w:ascii="Times New Roman" w:hAnsi="Times New Roman"/>
          <w:b/>
          <w:lang w:val="tr-TR"/>
        </w:rPr>
        <w:t xml:space="preserve"> </w:t>
      </w:r>
      <w:r w:rsidR="003E3B87" w:rsidRPr="00493003">
        <w:t xml:space="preserve">logistic </w:t>
      </w:r>
      <w:r w:rsidR="00B20AF8" w:rsidRPr="00493003">
        <w:rPr>
          <w:lang w:val="tr-TR"/>
        </w:rPr>
        <w:t xml:space="preserve">regression </w:t>
      </w:r>
      <w:r w:rsidR="00CC3B4E" w:rsidRPr="00493003">
        <w:rPr>
          <w:lang w:val="tr-TR"/>
        </w:rPr>
        <w:t xml:space="preserve">analysis </w:t>
      </w:r>
      <w:r w:rsidR="00CC3B4E" w:rsidRPr="00493003">
        <w:t xml:space="preserve">adjusting for </w:t>
      </w:r>
      <w:r w:rsidR="00A13CC5" w:rsidRPr="00493003">
        <w:t xml:space="preserve">all the covariates. </w:t>
      </w:r>
      <w:r w:rsidR="00960726" w:rsidRPr="00493003">
        <w:rPr>
          <w:bCs/>
          <w:lang w:val="tr-TR"/>
        </w:rPr>
        <w:t xml:space="preserve">Results </w:t>
      </w:r>
      <w:r w:rsidR="00CC3B4E" w:rsidRPr="00493003">
        <w:rPr>
          <w:bCs/>
        </w:rPr>
        <w:t>showed that there was a statistically significant relationship between</w:t>
      </w:r>
      <w:r w:rsidR="001C7B76" w:rsidRPr="00493003">
        <w:rPr>
          <w:bCs/>
        </w:rPr>
        <w:t xml:space="preserve"> </w:t>
      </w:r>
      <w:r w:rsidR="00403F69" w:rsidRPr="00493003">
        <w:rPr>
          <w:bCs/>
        </w:rPr>
        <w:t>insomnia status and MNA and nutritional status</w:t>
      </w:r>
      <w:r w:rsidR="00656408" w:rsidRPr="00493003">
        <w:t xml:space="preserve"> (p&lt;0.05).</w:t>
      </w:r>
      <w:r w:rsidR="00F505F7" w:rsidRPr="00493003">
        <w:t xml:space="preserve"> </w:t>
      </w:r>
      <w:r w:rsidR="00B727AB" w:rsidRPr="00493003">
        <w:t>Their odd ratios were</w:t>
      </w:r>
      <w:r w:rsidR="002C2594" w:rsidRPr="00493003">
        <w:t xml:space="preserve"> shown in Table 2</w:t>
      </w:r>
      <w:r w:rsidR="008F1D90" w:rsidRPr="00493003">
        <w:t>.</w:t>
      </w:r>
      <w:r w:rsidR="00B727AB" w:rsidRPr="00493003">
        <w:t xml:space="preserve"> </w:t>
      </w:r>
      <w:r w:rsidR="00BB7D59" w:rsidRPr="00493003">
        <w:rPr>
          <w:lang w:val="en-US"/>
        </w:rPr>
        <w:t xml:space="preserve">Relationships between </w:t>
      </w:r>
      <w:r w:rsidR="00BB7D59" w:rsidRPr="00493003">
        <w:rPr>
          <w:bCs/>
        </w:rPr>
        <w:t>insomnia status and MNA and nutritional status</w:t>
      </w:r>
      <w:r w:rsidR="00BB7D59" w:rsidRPr="00493003">
        <w:t xml:space="preserve"> </w:t>
      </w:r>
      <w:r w:rsidR="00BB7D59" w:rsidRPr="00493003">
        <w:rPr>
          <w:lang w:val="en-US"/>
        </w:rPr>
        <w:t xml:space="preserve">were investigated using multiple linear regression models and are shown in Table 2. </w:t>
      </w:r>
      <w:r w:rsidR="00BB7D59" w:rsidRPr="00493003">
        <w:t xml:space="preserve"> </w:t>
      </w:r>
      <w:r w:rsidR="006539C4" w:rsidRPr="00493003">
        <w:rPr>
          <w:lang w:val="en-US"/>
        </w:rPr>
        <w:t>There were</w:t>
      </w:r>
      <w:r w:rsidR="00BB7D59" w:rsidRPr="00493003">
        <w:rPr>
          <w:lang w:val="en-US"/>
        </w:rPr>
        <w:t xml:space="preserve"> significant positive correlations between malnutrition/risk of malnutrition and insomnia/moderate and insomnia/severe insomnia, whereas insomnia status and MNA scores showed a significant negative correlation </w:t>
      </w:r>
      <w:r w:rsidR="00BB7D59" w:rsidRPr="00493003">
        <w:t>(p&lt;0.05)</w:t>
      </w:r>
      <w:r w:rsidR="00D0158E" w:rsidRPr="00493003">
        <w:t>.</w:t>
      </w:r>
    </w:p>
    <w:p w14:paraId="3C051AD4" w14:textId="4BE75799" w:rsidR="007E4BEC" w:rsidRPr="00493003" w:rsidRDefault="00E87803" w:rsidP="005A226D">
      <w:pPr>
        <w:spacing w:line="360" w:lineRule="auto"/>
        <w:jc w:val="both"/>
      </w:pPr>
      <w:r w:rsidRPr="00493003">
        <w:t xml:space="preserve">Figure 1 shows </w:t>
      </w:r>
      <w:r w:rsidR="00896475" w:rsidRPr="00493003">
        <w:t xml:space="preserve">the </w:t>
      </w:r>
      <w:r w:rsidRPr="00493003">
        <w:t>comparison of</w:t>
      </w:r>
      <w:r w:rsidRPr="00493003">
        <w:rPr>
          <w:b/>
        </w:rPr>
        <w:t xml:space="preserve"> </w:t>
      </w:r>
      <w:bookmarkEnd w:id="4"/>
      <w:r w:rsidRPr="00493003">
        <w:t>prevalence of insomnia according to nutritional status (p&lt;0.05).</w:t>
      </w:r>
    </w:p>
    <w:p w14:paraId="2AE30C6F" w14:textId="77777777" w:rsidR="007E4BEC" w:rsidRPr="00493003" w:rsidRDefault="007E4BEC" w:rsidP="005A226D">
      <w:pPr>
        <w:spacing w:line="360" w:lineRule="auto"/>
        <w:jc w:val="both"/>
      </w:pPr>
    </w:p>
    <w:p w14:paraId="53A52070" w14:textId="092B6748" w:rsidR="005A394F" w:rsidRPr="00493003" w:rsidRDefault="00062A11" w:rsidP="005A226D">
      <w:pPr>
        <w:spacing w:line="360" w:lineRule="auto"/>
        <w:jc w:val="both"/>
        <w:rPr>
          <w:b/>
        </w:rPr>
      </w:pPr>
      <w:r w:rsidRPr="00493003">
        <w:rPr>
          <w:b/>
        </w:rPr>
        <w:t>Discussion</w:t>
      </w:r>
    </w:p>
    <w:p w14:paraId="459C72A3" w14:textId="72A18969" w:rsidR="000D530C" w:rsidRPr="00493003" w:rsidRDefault="007C3833" w:rsidP="005A226D">
      <w:pPr>
        <w:spacing w:line="360" w:lineRule="auto"/>
        <w:jc w:val="both"/>
        <w:rPr>
          <w:lang w:val="tr-TR"/>
        </w:rPr>
      </w:pPr>
      <w:r w:rsidRPr="00493003">
        <w:rPr>
          <w:lang w:val="en"/>
        </w:rPr>
        <w:t xml:space="preserve">In this study, the relationship between insomnia and insomnia severity and nutritional status was investigated in the elderly, and </w:t>
      </w:r>
      <w:r w:rsidR="001B1D9C" w:rsidRPr="00493003">
        <w:rPr>
          <w:lang w:val="en"/>
        </w:rPr>
        <w:t>MNA scores</w:t>
      </w:r>
      <w:r w:rsidR="009E5482" w:rsidRPr="00493003">
        <w:rPr>
          <w:lang w:val="en"/>
        </w:rPr>
        <w:t xml:space="preserve"> were found to be lower</w:t>
      </w:r>
      <w:r w:rsidRPr="00493003">
        <w:rPr>
          <w:lang w:val="en"/>
        </w:rPr>
        <w:t xml:space="preserve"> in patients with moderate and severe insomnia. Insomnia or moderate to severe insomnia have been shown to be significantly correlated with nutritional status and associated with low MNA scores.</w:t>
      </w:r>
      <w:r w:rsidR="005207EC" w:rsidRPr="00493003">
        <w:rPr>
          <w:lang w:val="tr-TR"/>
        </w:rPr>
        <w:t xml:space="preserve"> However, </w:t>
      </w:r>
      <w:r w:rsidR="005207EC" w:rsidRPr="00493003">
        <w:rPr>
          <w:lang w:val="en"/>
        </w:rPr>
        <w:t>f</w:t>
      </w:r>
      <w:r w:rsidR="00D24207" w:rsidRPr="00493003">
        <w:rPr>
          <w:lang w:val="en"/>
        </w:rPr>
        <w:t>or mild insomnia, this relationship was not detected.</w:t>
      </w:r>
    </w:p>
    <w:p w14:paraId="3F1708AC" w14:textId="293E8FB7" w:rsidR="00B54EBA" w:rsidRPr="00493003" w:rsidRDefault="00D24207" w:rsidP="005A226D">
      <w:pPr>
        <w:spacing w:line="360" w:lineRule="auto"/>
        <w:jc w:val="both"/>
        <w:rPr>
          <w:lang w:val="tr-TR"/>
        </w:rPr>
      </w:pPr>
      <w:r w:rsidRPr="00493003">
        <w:rPr>
          <w:lang w:val="en"/>
        </w:rPr>
        <w:t>Insomn</w:t>
      </w:r>
      <w:r w:rsidR="00674E79" w:rsidRPr="00493003">
        <w:rPr>
          <w:lang w:val="en"/>
        </w:rPr>
        <w:t>ia is common in older adults</w:t>
      </w:r>
      <w:r w:rsidRPr="00493003">
        <w:rPr>
          <w:lang w:val="en"/>
        </w:rPr>
        <w:t>, but the prevalence of both insomnia and moderate and severe insomnia in our study was more frequent than previous studies.</w:t>
      </w:r>
      <w:r w:rsidRPr="00493003">
        <w:rPr>
          <w:lang w:val="tr-TR"/>
        </w:rPr>
        <w:t xml:space="preserve"> </w:t>
      </w:r>
      <w:r w:rsidR="00674E79" w:rsidRPr="00493003">
        <w:rPr>
          <w:lang w:val="tr-TR"/>
        </w:rPr>
        <w:fldChar w:fldCharType="begin" w:fldLock="1"/>
      </w:r>
      <w:r w:rsidR="006811E4" w:rsidRPr="00493003">
        <w:rPr>
          <w:lang w:val="tr-TR"/>
        </w:rPr>
        <w:instrText>ADDIN CSL_CITATION {"citationItems":[{"id":"ITEM-1","itemData":{"DOI":"10.1002/ejp.1130","ISSN":"1532-2149 (Electronic)","PMID":"29034538","abstract":"BACKGROUND: Insomnia is one of the most common complaints in chronic pain. This study aimed to evaluate the association of insomnia with well-being, quality of life and health care costs. METHODS: The sample included 2790 older individuals (median age = 76; interquartile range [IQR] = 70-82) with chronic pain. The participants completed a postal survey assessing basic demographic data, pain intensity and frequency, height, weight, comorbidities, general well-being, quality of life and the insomnia severity index (ISI). Data on health care costs were calculated as costs per year (euro prices) and measured in terms of outpatient and inpatient care, pain drugs, total drugs and total health care costs. RESULTS: The overall fraction of clinical insomnia was 24.6% (moderate clinical insomnia: 21.9% [95% CI: 18.8-23.3]; severe clinical insomnia: 2.7% [95% CI: 1.6-3.2]). Persons who reported clinical insomnia were more likely to experience pain more frequently with higher pain intensity compared to those reported no clinically significant insomnia. Mean total health care costs were euro 8469 (95% CI: euro4029-euro14,271) for persons with severe insomnia compared with euro 4345 (95% CI: euro4033-euro4694) for persons with no clinically significant insomnia. An association between severe insomnia, well-being, quality of life, outpatient care, total drugs costs and total health care costs remained after controlling for age, sex, pain intensity, frequency, body mass index and comorbidities using linear regression models. CONCLUSIONS: Our results determine an independent association of insomnia with low health-related quality of life and increased health care costs in older adults with chronic pain. SIGNIFICANCE: The concurrence and the severity of insomnia among older adults with chronic pain were associated with decreased well-being and quality of life, and increased health care costs to society.","author":[{"dropping-particle":"","family":"Dragioti","given":"E","non-dropping-particle":"","parse-names":false,"suffix":""},{"dropping-particle":"","family":"Bernfort","given":"L","non-dropping-particle":"","parse-names":false,"suffix":""},{"dropping-particle":"","family":"Larsson","given":"B","non-dropping-particle":"","parse-names":false,"suffix":""},{"dropping-particle":"","family":"Gerdle","given":"B","non-dropping-particle":"","parse-names":false,"suffix":""},{"dropping-particle":"","family":"Levin","given":"L A","non-dropping-particle":"","parse-names":false,"suffix":""}],"container-title":"European journal of pain (London, England)","id":"ITEM-1","issue":"2","issued":{"date-parts":[["2018","2"]]},"language":"eng","page":"414-425","publisher-place":"England","title":"Association of insomnia severity with well-being, quality of life and health care costs: A cross-sectional study in older adults with chronic pain (PainS65+).","type":"article-journal","volume":"22"},"uris":["http://www.mendeley.com/documents/?uuid=f88e6438-c428-467b-853e-ef60e2a75f95"]}],"mendeley":{"formattedCitation":"(24)","plainTextFormattedCitation":"(24)","previouslyFormattedCitation":"(24)"},"properties":{"noteIndex":0},"schema":"https://github.com/citation-style-language/schema/raw/master/csl-citation.json"}</w:instrText>
      </w:r>
      <w:r w:rsidR="00674E79" w:rsidRPr="00493003">
        <w:rPr>
          <w:lang w:val="tr-TR"/>
        </w:rPr>
        <w:fldChar w:fldCharType="separate"/>
      </w:r>
      <w:r w:rsidR="00D84D2B" w:rsidRPr="00493003">
        <w:rPr>
          <w:noProof/>
          <w:lang w:val="tr-TR"/>
        </w:rPr>
        <w:t>(25</w:t>
      </w:r>
      <w:r w:rsidR="006811E4" w:rsidRPr="00493003">
        <w:rPr>
          <w:noProof/>
          <w:lang w:val="tr-TR"/>
        </w:rPr>
        <w:t>)</w:t>
      </w:r>
      <w:r w:rsidR="00674E79" w:rsidRPr="00493003">
        <w:rPr>
          <w:lang w:val="tr-TR"/>
        </w:rPr>
        <w:fldChar w:fldCharType="end"/>
      </w:r>
      <w:r w:rsidR="00674E79" w:rsidRPr="00493003">
        <w:rPr>
          <w:lang w:val="tr-TR"/>
        </w:rPr>
        <w:t xml:space="preserve"> </w:t>
      </w:r>
      <w:r w:rsidRPr="00493003">
        <w:rPr>
          <w:lang w:val="en"/>
        </w:rPr>
        <w:t xml:space="preserve">In a meta-analysis, the prevalence of sleep </w:t>
      </w:r>
      <w:r w:rsidR="00F94855" w:rsidRPr="00493003">
        <w:rPr>
          <w:lang w:val="en"/>
        </w:rPr>
        <w:t xml:space="preserve">problems </w:t>
      </w:r>
      <w:r w:rsidRPr="00493003">
        <w:rPr>
          <w:lang w:val="en"/>
        </w:rPr>
        <w:t xml:space="preserve">was found to be </w:t>
      </w:r>
      <w:r w:rsidR="001E77D4" w:rsidRPr="00493003">
        <w:rPr>
          <w:lang w:val="en"/>
        </w:rPr>
        <w:t xml:space="preserve">high in low- and middle-income </w:t>
      </w:r>
      <w:r w:rsidRPr="00493003">
        <w:rPr>
          <w:lang w:val="en"/>
        </w:rPr>
        <w:t>countries and was associated with depression, low educati</w:t>
      </w:r>
      <w:r w:rsidR="008509F9" w:rsidRPr="00493003">
        <w:rPr>
          <w:lang w:val="en"/>
        </w:rPr>
        <w:t xml:space="preserve">on and low socioeconomic status; </w:t>
      </w:r>
      <w:r w:rsidR="001E77D4" w:rsidRPr="00493003">
        <w:rPr>
          <w:lang w:val="en-US"/>
        </w:rPr>
        <w:t xml:space="preserve">which </w:t>
      </w:r>
      <w:r w:rsidR="001E77D4" w:rsidRPr="00493003">
        <w:rPr>
          <w:lang w:val="en"/>
        </w:rPr>
        <w:t xml:space="preserve">may explain the high insomnia prevalence in our study. </w:t>
      </w:r>
      <w:r w:rsidR="008509F9" w:rsidRPr="00493003">
        <w:rPr>
          <w:lang w:val="en"/>
        </w:rPr>
        <w:fldChar w:fldCharType="begin" w:fldLock="1"/>
      </w:r>
      <w:r w:rsidR="006811E4" w:rsidRPr="00493003">
        <w:rPr>
          <w:lang w:val="en"/>
        </w:rPr>
        <w:instrText>ADDIN CSL_CITATION {"citationItems":[{"id":"ITEM-1","itemData":{"DOI":"10.1016/j.sleep.2012.02.009","ISBN":"1389-9457","ISSN":"13899457","PMID":"22503944","abstract":"Background: Although it is well recognized that the prevalence of sleep complaints increases with age, estimates in developing countries are still unknown. The present study aims to estimate the prevalence and prevalence ratios of the correlates of sleep complaints in a large population of older adults from low and middle income countries (LAMICs). Methods: A cross-sectional survey was performed in 16,680 65. year-old or older residents in catchment areas of Cuba, the Dominican Republic, Peru, Venezuela, Mexico, China, India, and Puerto Rico (10/66 Dementia Research Group study). Information about socio-demographic factors, lifestyle, health, and sleep complaints was obtained. Results were standardized by age, sex, household clustering, and residence site (urban or rural). Prevalence ratios were derived for each country and fixed effects meta-analyses were used to combine them. Results: The standardized prevalence of sleep complaints varied from 9.1% (China) to 37.7% (India). The meta-analysis showed that female gender, urban residence, low educational level, low physical activity status, high pain scores, poor health, higher memory impairment score, presence of major depression, mild cognitive impairment, and high number of co-morbidities were associated with sleep complaints. Conclusions: This study robustly characterized the prevalence of sleep complaints in large samples of the elderly in LAMICs and identified potential risk factors that may be specific to these populations. This approach can help to direct health-care efforts related to sleep disturbances in these countries. © 2012 Elsevier B.V.","author":[{"dropping-particle":"","family":"Mazzotti","given":"Diego Robles","non-dropping-particle":"","parse-names":false,"suffix":""},{"dropping-particle":"","family":"Guindalini","given":"Camila","non-dropping-particle":"","parse-names":false,"suffix":""},{"dropping-particle":"","family":"Sosa","given":"Ana Luisa","non-dropping-particle":"","parse-names":false,"suffix":""},{"dropping-particle":"","family":"Ferri","given":"Cleusa P.","non-dropping-particle":"","parse-names":false,"suffix":""},{"dropping-particle":"","family":"Tufik","given":"Sergio","non-dropping-particle":"","parse-names":false,"suffix":""}],"container-title":"Sleep Medicine","id":"ITEM-1","issued":{"date-parts":[["2012"]]},"title":"Prevalence and correlates for sleep complaints in older adults in low and middle income countries: A 10/66 Dementia Research Group study","type":"article-journal"},"uris":["http://www.mendeley.com/documents/?uuid=f0f9ca16-5b14-40a4-9d0f-91ba1286e9e0"]}],"mendeley":{"formattedCitation":"(25)","plainTextFormattedCitation":"(25)","previouslyFormattedCitation":"(25)"},"properties":{"noteIndex":0},"schema":"https://github.com/citation-style-language/schema/raw/master/csl-citation.json"}</w:instrText>
      </w:r>
      <w:r w:rsidR="008509F9" w:rsidRPr="00493003">
        <w:rPr>
          <w:lang w:val="en"/>
        </w:rPr>
        <w:fldChar w:fldCharType="separate"/>
      </w:r>
      <w:r w:rsidR="00D84D2B" w:rsidRPr="00493003">
        <w:rPr>
          <w:noProof/>
          <w:lang w:val="en"/>
        </w:rPr>
        <w:t>(26</w:t>
      </w:r>
      <w:r w:rsidR="006811E4" w:rsidRPr="00493003">
        <w:rPr>
          <w:noProof/>
          <w:lang w:val="en"/>
        </w:rPr>
        <w:t>)</w:t>
      </w:r>
      <w:r w:rsidR="008509F9" w:rsidRPr="00493003">
        <w:rPr>
          <w:lang w:val="en"/>
        </w:rPr>
        <w:fldChar w:fldCharType="end"/>
      </w:r>
      <w:r w:rsidR="008509F9" w:rsidRPr="00493003">
        <w:rPr>
          <w:lang w:val="en"/>
        </w:rPr>
        <w:t xml:space="preserve"> </w:t>
      </w:r>
      <w:r w:rsidR="00381FF9" w:rsidRPr="00493003">
        <w:rPr>
          <w:lang w:val="en"/>
        </w:rPr>
        <w:t>In addition to this high incidence of insomnia, it may be associated with difficulty in maintaining daily activities, falling, fractures, stroke, physical disability, dementia, respiratory symptoms and cardiac diseases.</w:t>
      </w:r>
      <w:r w:rsidR="008509F9" w:rsidRPr="00493003">
        <w:t xml:space="preserve"> </w:t>
      </w:r>
      <w:r w:rsidR="008509F9" w:rsidRPr="00493003">
        <w:fldChar w:fldCharType="begin" w:fldLock="1"/>
      </w:r>
      <w:r w:rsidR="000A0AE7" w:rsidRPr="00493003">
        <w:instrText>ADDIN CSL_CITATION {"citationItems":[{"id":"ITEM-1","itemData":{"DOI":"10.1126/science.1194352","ISBN":"8524008946","ISSN":"1095-9203","PMID":"20724624","abstract":"The photon emission from a semiconductor quantum dot directed by a nanoscale gold antenna could be used in quantum optics.","author":[{"dropping-particle":"","family":"Foley","given":"Daniel J.","non-dropping-particle":"","parse-names":false,"suffix":""},{"dropping-particle":"","family":"Monjan","given":"Andrew","non-dropping-particle":"","parse-names":false,"suffix":""},{"dropping-particle":"","family":"Simonsick","given":"Eleanor M.","non-dropping-particle":"","parse-names":false,"suffix":""},{"dropping-particle":"","family":"Wallace","given":"Robert B.","non-dropping-particle":"","parse-names":false,"suffix":""},{"dropping-particle":"","family":"Blazer","given":"Dan G.","non-dropping-particle":"","parse-names":false,"suffix":""}],"container-title":"Journal of Sleep Research &amp; Sleep Medicine","id":"ITEM-1","issued":{"date-parts":[["1999"]]},"title":"Incidence and remission of insomnia among elderly adults: An epidemiologic study of 6,800 persons over three years.","type":"article-journal"},"uris":["http://www.mendeley.com/documents/?uuid=b32cf2d6-318f-4591-b300-455f55613139"]}],"mendeley":{"formattedCitation":"(3)","plainTextFormattedCitation":"(3)","previouslyFormattedCitation":"(3)"},"properties":{"noteIndex":0},"schema":"https://github.com/citation-style-language/schema/raw/master/csl-citation.json"}</w:instrText>
      </w:r>
      <w:r w:rsidR="008509F9" w:rsidRPr="00493003">
        <w:fldChar w:fldCharType="separate"/>
      </w:r>
      <w:r w:rsidR="00883C63" w:rsidRPr="00493003">
        <w:rPr>
          <w:noProof/>
        </w:rPr>
        <w:t>(3)</w:t>
      </w:r>
      <w:r w:rsidR="008509F9" w:rsidRPr="00493003">
        <w:fldChar w:fldCharType="end"/>
      </w:r>
      <w:r w:rsidR="00B54EBA" w:rsidRPr="00493003">
        <w:t xml:space="preserve"> </w:t>
      </w:r>
      <w:r w:rsidR="00381FF9" w:rsidRPr="00493003">
        <w:rPr>
          <w:lang w:val="en"/>
        </w:rPr>
        <w:t xml:space="preserve">Moreover, considering that the drugs used for the treatment of insomnia in the elderly have numerous side effects, the importance of revealing the causes of </w:t>
      </w:r>
      <w:r w:rsidR="00ED004A" w:rsidRPr="00493003">
        <w:rPr>
          <w:lang w:val="en"/>
        </w:rPr>
        <w:t xml:space="preserve">reversible </w:t>
      </w:r>
      <w:r w:rsidR="00381FF9" w:rsidRPr="00493003">
        <w:rPr>
          <w:lang w:val="en"/>
        </w:rPr>
        <w:t>insomnia, which may lead to insomnia, will be better understood.</w:t>
      </w:r>
      <w:r w:rsidR="00381FF9" w:rsidRPr="00493003">
        <w:t xml:space="preserve"> </w:t>
      </w:r>
      <w:r w:rsidR="008509F9" w:rsidRPr="00493003">
        <w:fldChar w:fldCharType="begin" w:fldLock="1"/>
      </w:r>
      <w:r w:rsidR="000A0AE7" w:rsidRPr="00493003">
        <w:instrText>ADDIN CSL_CITATION {"citationItems":[{"id":"ITEM-1","itemData":{"DOI":"http://dx.doi.org/10.1111/psyg.12320","ISSN":"1346-3500","abstract":"Both insomnia and its treatment can lead to the development of delirium in older adults. In the present case, delirium occurred after a single dose of zopiclone was given for insomnia treatment in an 84-year-old patient. Considering the case, patients and caregivers should be informed about the rare complication when zopiclone is prescribed.Copyright © 2018 Japanese Psychogeriatric Society","author":[{"dropping-particle":"","family":"U.","given":"Kalan","non-dropping-particle":"","parse-names":false,"suffix":""},{"dropping-particle":"","family":"P.","given":"Soysal","non-dropping-particle":"","parse-names":false,"suffix":""},{"dropping-particle":"","family":"Isik A.T.  AO  - Soysal","given":"Pinar; ORCID: http://orcid.org/0000-0002-6042-1718","non-dropping-particle":"","parse-names":false,"suffix":""}],"container-title":"Psychogeriatrics","id":"ITEM-1","issued":{"date-parts":[["2018"]]},"title":"Delirium associated with only one dose of zopiclone in an older adult","type":"article-journal"},"uris":["http://www.mendeley.com/documents/?uuid=5711b234-ea72-464d-8900-1d7ab41b0f24"]}],"mendeley":{"formattedCitation":"(6)","plainTextFormattedCitation":"(6)","previouslyFormattedCitation":"(6)"},"properties":{"noteIndex":0},"schema":"https://github.com/citation-style-language/schema/raw/master/csl-citation.json"}</w:instrText>
      </w:r>
      <w:r w:rsidR="008509F9" w:rsidRPr="00493003">
        <w:fldChar w:fldCharType="separate"/>
      </w:r>
      <w:r w:rsidR="00883C63" w:rsidRPr="00493003">
        <w:rPr>
          <w:noProof/>
        </w:rPr>
        <w:t>(6)</w:t>
      </w:r>
      <w:r w:rsidR="008509F9" w:rsidRPr="00493003">
        <w:fldChar w:fldCharType="end"/>
      </w:r>
      <w:r w:rsidR="00E302DC" w:rsidRPr="00493003">
        <w:t xml:space="preserve"> </w:t>
      </w:r>
    </w:p>
    <w:p w14:paraId="0A906533" w14:textId="19599093" w:rsidR="00D93F61" w:rsidRPr="00493003" w:rsidRDefault="00ED004A" w:rsidP="005A226D">
      <w:pPr>
        <w:spacing w:line="360" w:lineRule="auto"/>
        <w:jc w:val="both"/>
        <w:rPr>
          <w:bCs/>
          <w:lang w:val="tr-TR"/>
        </w:rPr>
      </w:pPr>
      <w:r w:rsidRPr="00493003">
        <w:rPr>
          <w:lang w:val="en"/>
        </w:rPr>
        <w:t xml:space="preserve">Malnutrition/the risk of malnutrition, such as insomnia, is one of the most important geriatric syndromes that may cause complications similar to that </w:t>
      </w:r>
      <w:r w:rsidR="00954A0E" w:rsidRPr="00493003">
        <w:rPr>
          <w:lang w:val="en"/>
        </w:rPr>
        <w:t>of insomnia with increasing age;</w:t>
      </w:r>
      <w:r w:rsidR="00892825" w:rsidRPr="00493003">
        <w:t xml:space="preserve"> </w:t>
      </w:r>
      <w:r w:rsidR="00954A0E" w:rsidRPr="00493003">
        <w:rPr>
          <w:lang w:val="en"/>
        </w:rPr>
        <w:t>however, there is no study investigating how insomnia is affected by nutritional status of patients.</w:t>
      </w:r>
      <w:r w:rsidR="00F90B22" w:rsidRPr="00493003">
        <w:t xml:space="preserve"> </w:t>
      </w:r>
      <w:r w:rsidR="00954A0E" w:rsidRPr="00493003">
        <w:rPr>
          <w:lang w:val="en"/>
        </w:rPr>
        <w:t xml:space="preserve">In our study, it was found that MNA scores and normal nutritional status were lower in </w:t>
      </w:r>
      <w:r w:rsidR="00F94855" w:rsidRPr="00493003">
        <w:rPr>
          <w:lang w:val="en"/>
        </w:rPr>
        <w:t xml:space="preserve">patients with </w:t>
      </w:r>
      <w:r w:rsidR="00954A0E" w:rsidRPr="00493003">
        <w:rPr>
          <w:lang w:val="en"/>
        </w:rPr>
        <w:t>insomnia</w:t>
      </w:r>
      <w:r w:rsidR="00B344A3" w:rsidRPr="00493003">
        <w:rPr>
          <w:lang w:val="en"/>
        </w:rPr>
        <w:t>,</w:t>
      </w:r>
      <w:r w:rsidR="005A77F8" w:rsidRPr="00493003">
        <w:rPr>
          <w:lang w:val="en"/>
        </w:rPr>
        <w:t xml:space="preserve"> particularly </w:t>
      </w:r>
      <w:r w:rsidR="005044BA" w:rsidRPr="00493003">
        <w:rPr>
          <w:lang w:val="en"/>
        </w:rPr>
        <w:t xml:space="preserve">in patients with </w:t>
      </w:r>
      <w:r w:rsidR="005A77F8" w:rsidRPr="00493003">
        <w:rPr>
          <w:lang w:val="en"/>
        </w:rPr>
        <w:t>moderate and severe insomnia</w:t>
      </w:r>
      <w:r w:rsidR="005044BA" w:rsidRPr="00493003">
        <w:rPr>
          <w:lang w:val="en"/>
        </w:rPr>
        <w:t>.</w:t>
      </w:r>
      <w:r w:rsidR="00954A0E" w:rsidRPr="00493003">
        <w:rPr>
          <w:lang w:val="en"/>
        </w:rPr>
        <w:t xml:space="preserve"> Possible mechanisms that explain this may include</w:t>
      </w:r>
      <w:r w:rsidR="007E30F3" w:rsidRPr="00493003">
        <w:t xml:space="preserve">: </w:t>
      </w:r>
      <w:r w:rsidR="00954A0E" w:rsidRPr="00493003">
        <w:rPr>
          <w:lang w:val="en"/>
        </w:rPr>
        <w:t>Firstly, malnutrition may cause neurodegeneration and white matter damage, which may impair the regulation of brain functions.</w:t>
      </w:r>
      <w:r w:rsidR="00954A0E" w:rsidRPr="00493003">
        <w:t xml:space="preserve"> </w:t>
      </w:r>
      <w:r w:rsidR="00915988" w:rsidRPr="00493003">
        <w:fldChar w:fldCharType="begin" w:fldLock="1"/>
      </w:r>
      <w:r w:rsidR="006811E4" w:rsidRPr="00493003">
        <w:instrText>ADDIN CSL_CITATION {"citationItems":[{"id":"ITEM-1","itemData":{"author":[{"dropping-particle":"","family":"Masanori Mukai, Kazumitsu Mukai, Hiroo Ichikawa, Mikio Wakasa, Daisuke Sanada, Takanori Shibata, Mitsuru Kawamura","given":"Tadao Akizawa","non-dropping-particle":"","parse-names":false,"suffix":""}],"container-title":"Nippon Toseki Igakkai Zasshi","id":"ITEM-1","issue":"7","issued":{"date-parts":[["2008"]]},"page":"421-428","title":"Malnutrition and cerebral white matter lesions in dialysis patients","type":"article-journal","volume":"41"},"uris":["http://www.mendeley.com/documents/?uuid=210d1307-7886-4deb-8877-1f944bf0d516"]},{"id":"ITEM-2","itemData":{"ISBN":"0025-7753 (Print)\r0025-7753","ISSN":"0025-7753","PMID":"15860169","abstract":"The incidence of cerebral atrophy in patients with anorexia nervosa and its relation to nutritional parameters has not been considered yet.","author":[{"dropping-particle":"","family":"Fleta Zaragozano","given":"Jesús","non-dropping-particle":"","parse-names":false,"suffix":""},{"dropping-particle":"","family":"Jiménez Vidal","given":"Africa","non-dropping-particle":"","parse-names":false,"suffix":""},{"dropping-particle":"","family":"Velilla Picazo","given":"Mariano","non-dropping-particle":"","parse-names":false,"suffix":""},{"dropping-particle":"","family":"González Castro","given":"Gema","non-dropping-particle":"","parse-names":false,"suffix":""},{"dropping-particle":"","family":"Pina Leita","given":"Ignacio","non-dropping-particle":"","parse-names":false,"suffix":""},{"dropping-particle":"","family":"Olivares López","given":"José Luis","non-dropping-particle":"","parse-names":false,"suffix":""}],"container-title":"Medicina clínica","id":"ITEM-2","issued":{"date-parts":[["2005"]]},"title":"[Anorexia nervosa and cerebral atrophy in adolescents].","type":"article-journal"},"uris":["http://www.mendeley.com/documents/?uuid=4809268c-dd59-4bc2-8492-a4157379278e"]},{"id":"ITEM-3","itemData":{"DOI":"10.1111/jgs.14385","ISBN":"0002-8614","ISSN":"15325415","PMID":"27792245","abstract":"Objectives To study the associations between protein energy malnutrition, micronutrient malnutrition, brain atrophy, and cerebrovascular lesions. Design Cross-sectional. Setting Geriatric outpatient clinic. Participants Older adults (N = 475; mean age 80 ± 7). Measurements Nutritional status was assessed using the Mini Nutritional Assessment ( MNA) and according to serum micronutrient levels (vitamins B1, B6, B12, D; folic acid). White matter hyperintensities ( WMHs), global cortical brain atrophy, and medial temporal lobe atrophy on magnetic resonance imaging ( MRI) were rated using visual rating scales. Logistic regression analyses were performed to assess associations between the three MNA categories (&lt;17, 17-23.5, ≥23.5) and micronutrients (per SD decrease) and WMHs and measures of brain atrophy. Results Included were 359 participants. Forty-eight participants (13%) were malnourished ( MNA &lt;17), and 197 (55%) were at risk of malnutrition ( MNA = 17-23.5). Participants at risk of malnutrition (odds ratio ( OR) = 1.93, 95% confidence interval ( CI) = 1.01-3.71) or who were malnourished ( OR = 2.80, 95% CI = 1.19-6.60) had a greater probability of having severe WMHs independent of age and sex than those with adequate nutritional status. Results remained significant after further adjustments for cognitive function, depressive symptoms, cardiovascular risk factors, history of cardiovascular disease, smoking and alcohol use, and micronutrient levels. Lower vitamin B1 ( OR = 1.51, 95% CI = 1.11-2.08) and B12 ( OR = 1.45, 95% CI = 1.02-2.04) levels were also related to greater risk of severe WMHs, independent of age and sex. Results remained significant after additional adjustments. MNA and vitamin levels were not associated with measures of brain atrophy. Conclusion Malnutrition and lower vitamin B1 and B12 levels were independently associated with greater risk of WMHs. Underlying mechanisms need to be further clarified, and whether nutritional interventions can modify these findings also needs to be studied.","author":[{"dropping-particle":"","family":"van der Schueren","given":"Marian A.E.","non-dropping-particle":"de","parse-names":false,"suffix":""},{"dropping-particle":"","family":"Lonterman-Monasch","given":"Sabine","non-dropping-particle":"","parse-names":false,"suffix":""},{"dropping-particle":"","family":"Flier","given":"Wiesje M.","non-dropping-particle":"van der","parse-names":false,"suffix":""},{"dropping-particle":"","family":"Kramer","given":"Mark H.","non-dropping-particle":"","parse-names":false,"suffix":""},{"dropping-particle":"","family":"Maier","given":"Andrea B.","non-dropping-particle":"","parse-names":false,"suffix":""},{"dropping-particle":"","family":"Muller","given":"Majon","non-dropping-particle":"","parse-names":false,"suffix":""}],"container-title":"Journal of the American Geriatrics Society","id":"ITEM-3","issued":{"date-parts":[["2016"]]},"title":"Malnutrition and Risk of Structural Brain Changes Seen on Magnetic Resonance Imaging in Older Adults","type":"article-journal"},"uris":["http://www.mendeley.com/documents/?uuid=042dda48-ce44-42e4-91e0-ce94966750c4"]}],"mendeley":{"formattedCitation":"(26–28)","plainTextFormattedCitation":"(26–28)","previouslyFormattedCitation":"(26–28)"},"properties":{"noteIndex":0},"schema":"https://github.com/citation-style-language/schema/raw/master/csl-citation.json"}</w:instrText>
      </w:r>
      <w:r w:rsidR="00915988" w:rsidRPr="00493003">
        <w:fldChar w:fldCharType="separate"/>
      </w:r>
      <w:r w:rsidR="00D84D2B" w:rsidRPr="00493003">
        <w:rPr>
          <w:noProof/>
        </w:rPr>
        <w:t>(27–29</w:t>
      </w:r>
      <w:r w:rsidR="006811E4" w:rsidRPr="00493003">
        <w:rPr>
          <w:noProof/>
        </w:rPr>
        <w:t>)</w:t>
      </w:r>
      <w:r w:rsidR="00915988" w:rsidRPr="00493003">
        <w:fldChar w:fldCharType="end"/>
      </w:r>
      <w:r w:rsidR="00915988" w:rsidRPr="00493003">
        <w:t xml:space="preserve"> </w:t>
      </w:r>
      <w:r w:rsidR="005C650B" w:rsidRPr="00493003">
        <w:rPr>
          <w:lang w:val="en"/>
        </w:rPr>
        <w:t xml:space="preserve">For example, in previous studies, dialysis patients with anorexia nervosa and severe weight loss had a higher risk of </w:t>
      </w:r>
      <w:r w:rsidR="00493121" w:rsidRPr="00493003">
        <w:rPr>
          <w:lang w:val="en"/>
        </w:rPr>
        <w:t xml:space="preserve">the </w:t>
      </w:r>
      <w:r w:rsidR="005C650B" w:rsidRPr="00493003">
        <w:rPr>
          <w:lang w:val="en"/>
        </w:rPr>
        <w:t>brain atrophy and low fat mass was associated with more white matter hyperintensities (WMHs).</w:t>
      </w:r>
      <w:r w:rsidR="005C650B" w:rsidRPr="00493003">
        <w:t xml:space="preserve"> </w:t>
      </w:r>
      <w:r w:rsidR="00042D11" w:rsidRPr="00493003">
        <w:fldChar w:fldCharType="begin" w:fldLock="1"/>
      </w:r>
      <w:r w:rsidR="006811E4" w:rsidRPr="00493003">
        <w:instrText>ADDIN CSL_CITATION {"citationItems":[{"id":"ITEM-1","itemData":{"ISBN":"0025-7753 (Print)\r0025-7753","ISSN":"0025-7753","PMID":"15860169","abstract":"The incidence of cerebral atrophy in patients with anorexia nervosa and its relation to nutritional parameters has not been considered yet.","author":[{"dropping-particle":"","family":"Fleta Zaragozano","given":"Jesús","non-dropping-particle":"","parse-names":false,"suffix":""},{"dropping-particle":"","family":"Jiménez Vidal","given":"Africa","non-dropping-particle":"","parse-names":false,"suffix":""},{"dropping-particle":"","family":"Velilla Picazo","given":"Mariano","non-dropping-particle":"","parse-names":false,"suffix":""},{"dropping-particle":"","family":"González Castro","given":"Gema","non-dropping-particle":"","parse-names":false,"suffix":""},{"dropping-particle":"","family":"Pina Leita","given":"Ignacio","non-dropping-particle":"","parse-names":false,"suffix":""},{"dropping-particle":"","family":"Olivares López","given":"José Luis","non-dropping-particle":"","parse-names":false,"suffix":""}],"container-title":"Medicina clínica","id":"ITEM-1","issued":{"date-parts":[["2005"]]},"title":"[Anorexia nervosa and cerebral atrophy in adolescents].","type":"article-journal"},"uris":["http://www.mendeley.com/documents/?uuid=4809268c-dd59-4bc2-8492-a4157379278e"]}],"mendeley":{"formattedCitation":"(27)","plainTextFormattedCitation":"(27)","previouslyFormattedCitation":"(27)"},"properties":{"noteIndex":0},"schema":"https://github.com/citation-style-language/schema/raw/master/csl-citation.json"}</w:instrText>
      </w:r>
      <w:r w:rsidR="00042D11" w:rsidRPr="00493003">
        <w:fldChar w:fldCharType="separate"/>
      </w:r>
      <w:r w:rsidR="00D84D2B" w:rsidRPr="00493003">
        <w:rPr>
          <w:noProof/>
        </w:rPr>
        <w:t>(28</w:t>
      </w:r>
      <w:r w:rsidR="006811E4" w:rsidRPr="00493003">
        <w:rPr>
          <w:noProof/>
        </w:rPr>
        <w:t>)</w:t>
      </w:r>
      <w:r w:rsidR="00042D11" w:rsidRPr="00493003">
        <w:fldChar w:fldCharType="end"/>
      </w:r>
      <w:r w:rsidR="00125E0C" w:rsidRPr="00493003">
        <w:t xml:space="preserve"> </w:t>
      </w:r>
      <w:r w:rsidR="00CD7A21" w:rsidRPr="00493003">
        <w:rPr>
          <w:lang w:val="en"/>
        </w:rPr>
        <w:t>In a study by Marian et al.</w:t>
      </w:r>
      <w:r w:rsidR="005C650B" w:rsidRPr="00493003">
        <w:rPr>
          <w:lang w:val="en"/>
        </w:rPr>
        <w:t xml:space="preserve">, it was claimed </w:t>
      </w:r>
      <w:r w:rsidR="00CD7A21" w:rsidRPr="00493003">
        <w:rPr>
          <w:lang w:val="en"/>
        </w:rPr>
        <w:t xml:space="preserve">in the elderly </w:t>
      </w:r>
      <w:r w:rsidR="005C650B" w:rsidRPr="00493003">
        <w:rPr>
          <w:lang w:val="en"/>
        </w:rPr>
        <w:t xml:space="preserve">that malnutrition may cause WMHs rather than brain atrophy, </w:t>
      </w:r>
      <w:r w:rsidR="00CD7A21" w:rsidRPr="00493003">
        <w:rPr>
          <w:lang w:val="en"/>
        </w:rPr>
        <w:t xml:space="preserve">which </w:t>
      </w:r>
      <w:r w:rsidR="005C650B" w:rsidRPr="00493003">
        <w:rPr>
          <w:lang w:val="en"/>
        </w:rPr>
        <w:t>may be explained by malnutrition alone</w:t>
      </w:r>
      <w:r w:rsidR="00CD7A21" w:rsidRPr="00493003">
        <w:rPr>
          <w:lang w:val="en"/>
        </w:rPr>
        <w:t xml:space="preserve"> that impairs cardiovascular homeostasis</w:t>
      </w:r>
      <w:r w:rsidR="005C650B" w:rsidRPr="00493003">
        <w:rPr>
          <w:lang w:val="en"/>
        </w:rPr>
        <w:t xml:space="preserve"> </w:t>
      </w:r>
      <w:r w:rsidR="006632EE" w:rsidRPr="00493003">
        <w:rPr>
          <w:lang w:val="en"/>
        </w:rPr>
        <w:t>independently of</w:t>
      </w:r>
      <w:r w:rsidR="005C650B" w:rsidRPr="00493003">
        <w:rPr>
          <w:lang w:val="en"/>
        </w:rPr>
        <w:t xml:space="preserve"> oth</w:t>
      </w:r>
      <w:r w:rsidR="00CD7A21" w:rsidRPr="00493003">
        <w:rPr>
          <w:lang w:val="en"/>
        </w:rPr>
        <w:t>er cardiovascular risk factors,</w:t>
      </w:r>
      <w:r w:rsidR="00493121" w:rsidRPr="00493003">
        <w:rPr>
          <w:lang w:val="en"/>
        </w:rPr>
        <w:t xml:space="preserve"> </w:t>
      </w:r>
      <w:r w:rsidR="005C650B" w:rsidRPr="00493003">
        <w:rPr>
          <w:lang w:val="en"/>
        </w:rPr>
        <w:t>as in our study</w:t>
      </w:r>
      <w:r w:rsidR="008E388D" w:rsidRPr="00493003">
        <w:rPr>
          <w:lang w:val="en"/>
        </w:rPr>
        <w:t xml:space="preserve">. </w:t>
      </w:r>
      <w:r w:rsidR="006632EE" w:rsidRPr="00493003">
        <w:rPr>
          <w:lang w:val="en"/>
        </w:rPr>
        <w:fldChar w:fldCharType="begin" w:fldLock="1"/>
      </w:r>
      <w:r w:rsidR="006811E4" w:rsidRPr="00493003">
        <w:rPr>
          <w:lang w:val="en"/>
        </w:rPr>
        <w:instrText>ADDIN CSL_CITATION {"citationItems":[{"id":"ITEM-1","itemData":{"author":[{"dropping-particle":"","family":"Handler P","given":"Bernheim F","non-dropping-particle":"","parse-names":false,"suffix":""}],"container-title":"Am J Physiol","id":"ITEM-1","issued":{"date-parts":[["1950"]]},"page":"189","title":"Influence of dietary factors on hypertension induced by choline deficiency.","type":"article-journal","volume":"162"},"uris":["http://www.mendeley.com/documents/?uuid=3f19c720-3260-4e6e-b2ea-4ebc1b634a04"]},{"id":"ITEM-2","itemData":{"DOI":"10.1111/jgs.14385","ISBN":"0002-8614","ISSN":"15325415","PMID":"27792245","abstract":"Objectives To study the associations between protein energy malnutrition, micronutrient malnutrition, brain atrophy, and cerebrovascular lesions. Design Cross-sectional. Setting Geriatric outpatient clinic. Participants Older adults (N = 475; mean age 80 ± 7). Measurements Nutritional status was assessed using the Mini Nutritional Assessment ( MNA) and according to serum micronutrient levels (vitamins B1, B6, B12, D; folic acid). White matter hyperintensities ( WMHs), global cortical brain atrophy, and medial temporal lobe atrophy on magnetic resonance imaging ( MRI) were rated using visual rating scales. Logistic regression analyses were performed to assess associations between the three MNA categories (&lt;17, 17-23.5, ≥23.5) and micronutrients (per SD decrease) and WMHs and measures of brain atrophy. Results Included were 359 participants. Forty-eight participants (13%) were malnourished ( MNA &lt;17), and 197 (55%) were at risk of malnutrition ( MNA = 17-23.5). Participants at risk of malnutrition (odds ratio ( OR) = 1.93, 95% confidence interval ( CI) = 1.01-3.71) or who were malnourished ( OR = 2.80, 95% CI = 1.19-6.60) had a greater probability of having severe WMHs independent of age and sex than those with adequate nutritional status. Results remained significant after further adjustments for cognitive function, depressive symptoms, cardiovascular risk factors, history of cardiovascular disease, smoking and alcohol use, and micronutrient levels. Lower vitamin B1 ( OR = 1.51, 95% CI = 1.11-2.08) and B12 ( OR = 1.45, 95% CI = 1.02-2.04) levels were also related to greater risk of severe WMHs, independent of age and sex. Results remained significant after additional adjustments. MNA and vitamin levels were not associated with measures of brain atrophy. Conclusion Malnutrition and lower vitamin B1 and B12 levels were independently associated with greater risk of WMHs. Underlying mechanisms need to be further clarified, and whether nutritional interventions can modify these findings also needs to be studied.","author":[{"dropping-particle":"","family":"van der Schueren","given":"Marian A.E.","non-dropping-particle":"de","parse-names":false,"suffix":""},{"dropping-particle":"","family":"Lonterman-Monasch","given":"Sabine","non-dropping-particle":"","parse-names":false,"suffix":""},{"dropping-particle":"","family":"Flier","given":"Wiesje M.","non-dropping-particle":"van der","parse-names":false,"suffix":""},{"dropping-particle":"","family":"Kramer","given":"Mark H.","non-dropping-particle":"","parse-names":false,"suffix":""},{"dropping-particle":"","family":"Maier","given":"Andrea B.","non-dropping-particle":"","parse-names":false,"suffix":""},{"dropping-particle":"","family":"Muller","given":"Majon","non-dropping-particle":"","parse-names":false,"suffix":""}],"container-title":"Journal of the American Geriatrics Society","id":"ITEM-2","issued":{"date-parts":[["2016"]]},"title":"Malnutrition and Risk of Structural Brain Changes Seen on Magnetic Resonance Imaging in Older Adults","type":"article-journal"},"uris":["http://www.mendeley.com/documents/?uuid=042dda48-ce44-42e4-91e0-ce94966750c4"]}],"mendeley":{"formattedCitation":"(28,29)","plainTextFormattedCitation":"(28,29)","previouslyFormattedCitation":"(28,29)"},"properties":{"noteIndex":0},"schema":"https://github.com/citation-style-language/schema/raw/master/csl-citation.json"}</w:instrText>
      </w:r>
      <w:r w:rsidR="006632EE" w:rsidRPr="00493003">
        <w:rPr>
          <w:lang w:val="en"/>
        </w:rPr>
        <w:fldChar w:fldCharType="separate"/>
      </w:r>
      <w:r w:rsidR="00D84D2B" w:rsidRPr="00493003">
        <w:rPr>
          <w:noProof/>
          <w:lang w:val="en"/>
        </w:rPr>
        <w:t>(29,30</w:t>
      </w:r>
      <w:r w:rsidR="006811E4" w:rsidRPr="00493003">
        <w:rPr>
          <w:noProof/>
          <w:lang w:val="en"/>
        </w:rPr>
        <w:t>)</w:t>
      </w:r>
      <w:r w:rsidR="006632EE" w:rsidRPr="00493003">
        <w:rPr>
          <w:lang w:val="en"/>
        </w:rPr>
        <w:fldChar w:fldCharType="end"/>
      </w:r>
      <w:r w:rsidR="006632EE" w:rsidRPr="00493003">
        <w:rPr>
          <w:lang w:val="en-US"/>
        </w:rPr>
        <w:t xml:space="preserve"> </w:t>
      </w:r>
      <w:r w:rsidR="00BB362C" w:rsidRPr="00493003">
        <w:rPr>
          <w:lang w:val="en"/>
        </w:rPr>
        <w:t>Additionally</w:t>
      </w:r>
      <w:r w:rsidR="00CD7A21" w:rsidRPr="00493003">
        <w:rPr>
          <w:lang w:val="en"/>
        </w:rPr>
        <w:t>, malnutrition-related inflammation is another cause of WMHs</w:t>
      </w:r>
      <w:r w:rsidR="00BB362C" w:rsidRPr="00493003">
        <w:rPr>
          <w:lang w:val="en-US"/>
        </w:rPr>
        <w:t xml:space="preserve">. </w:t>
      </w:r>
      <w:r w:rsidR="00BB362C" w:rsidRPr="00493003">
        <w:rPr>
          <w:lang w:val="en-US"/>
        </w:rPr>
        <w:fldChar w:fldCharType="begin" w:fldLock="1"/>
      </w:r>
      <w:r w:rsidR="006811E4" w:rsidRPr="00493003">
        <w:rPr>
          <w:lang w:val="en-US"/>
        </w:rPr>
        <w:instrText>ADDIN CSL_CITATION {"citationItems":[{"id":"ITEM-1","itemData":{"DOI":"10.1186/s12882-017-0777-1","ISSN":"14712369","PMID":"29262796","abstract":"BACKGROUNDChronic kidney disease patients have an increased prevalence of subclinical cerebrovascular diseases. Dialysis patients have severe vascular diseases burden. The cerebral small vessel diseases (CSVD) are difficult to find by clinical assessment. The evaluation of CVSD needs MRI. Cognitive impairment is a consequence of CVSD which is diagnosed by cognitive testing. These limited the study of CVSD and cognitive function in dialysis patients. Peritoneal dialysis (PD) patients are minority of dialysis population. We know even fewer about the CVSD in this special population.METHODSIn this cross-sectional study, we enrolled 72 PD patients who received care at the Peking Union Medical College hospital peritoneal dialysis center. CSVD were assessed by brain MR images. Cognitive function was evaluated with the Chinese version of the MMSE and MoCA.RESULTSIn our PD patients, the brain MRI showed the prevalence different signs of CSVD were: lacunar infarcts 38.9%, microbleeds 36.1%, abnormal brain white matter hyperintensities (WMHs) 48.6%, and intracerebral hemorrhage 4.2%. 25% and 86.8%of our patients could be diagnosed as cognitive impairment, according to the MMSE and MoCA test, respectively. nPCR was lower in patients with a lacunar infarct or intracerebral hemorrhage, and relative to the MMSA/MoCA score; hsCRP was higher in patients with lacunar infarct or abnormal WMHs and negative relative to the MMSA/MoCA score. In logistic regression analyses, nPCR was an independent risk factor for lacunar infarcts and impaired cognitive function. The presence of lacunar infarct was an independent risk factor for cognitive function decline.CONCLUSIONWe demonstrated a high prevalence of CSVD and cognitive impairment in our PD patients. Lacunar infarct was the main kind of CVSD responsible for PD patients cognitive function decline. Our novel observation also revealed an association between malnutrition-inflammation and CSVD.","author":[{"dropping-particle":"","family":"Zheng","given":"Ke","non-dropping-particle":"","parse-names":false,"suffix":""},{"dropping-particle":"","family":"Wang","given":"Haiyun","non-dropping-particle":"","parse-names":false,"suffix":""},{"dropping-particle":"","family":"Hou","given":"Bo","non-dropping-particle":"","parse-names":false,"suffix":""},{"dropping-particle":"","family":"You","given":"Hui","non-dropping-particle":"","parse-names":false,"suffix":""},{"dropping-particle":"","family":"Yuan","given":"Jing","non-dropping-particle":"","parse-names":false,"suffix":""},{"dropping-particle":"","family":"Luo","given":"Kai","non-dropping-particle":"","parse-names":false,"suffix":""},{"dropping-particle":"","family":"Chen","given":"Limeng","non-dropping-particle":"","parse-names":false,"suffix":""},{"dropping-particle":"","family":"Li","given":"Mingxi","non-dropping-particle":"","parse-names":false,"suffix":""},{"dropping-particle":"","family":"Xu","given":"Qun","non-dropping-particle":"","parse-names":false,"suffix":""},{"dropping-particle":"","family":"Zhu","given":"Yicheng","non-dropping-particle":"","parse-names":false,"suffix":""},{"dropping-particle":"","family":"Cui","given":"Liying","non-dropping-particle":"","parse-names":false,"suffix":""},{"dropping-particle":"","family":"Nigwekar","given":"Sagar Uday","non-dropping-particle":"","parse-names":false,"suffix":""},{"dropping-particle":"","family":"Feng","given":"Feng","non-dropping-particle":"","parse-names":false,"suffix":""},{"dropping-particle":"","family":"Li","given":"Xuemei","non-dropping-particle":"","parse-names":false,"suffix":""}],"container-title":"BMC Nephrology","id":"ITEM-1","issued":{"date-parts":[["2017"]]},"title":"Malnutrition-inflammation is a risk factor for cerebral small vessel diseases and cognitive decline in peritoneal dialysis patients: A cross-sectional observational study","type":"article-journal"},"uris":["http://www.mendeley.com/documents/?uuid=f866652c-356a-4064-887f-63cfccc73c98"]}],"mendeley":{"formattedCitation":"(30)","plainTextFormattedCitation":"(30)","previouslyFormattedCitation":"(30)"},"properties":{"noteIndex":0},"schema":"https://github.com/citation-style-language/schema/raw/master/csl-citation.json"}</w:instrText>
      </w:r>
      <w:r w:rsidR="00BB362C" w:rsidRPr="00493003">
        <w:rPr>
          <w:lang w:val="en-US"/>
        </w:rPr>
        <w:fldChar w:fldCharType="separate"/>
      </w:r>
      <w:r w:rsidR="00D84D2B" w:rsidRPr="00493003">
        <w:rPr>
          <w:noProof/>
          <w:lang w:val="en-US"/>
        </w:rPr>
        <w:t>(31</w:t>
      </w:r>
      <w:r w:rsidR="006811E4" w:rsidRPr="00493003">
        <w:rPr>
          <w:noProof/>
          <w:lang w:val="en-US"/>
        </w:rPr>
        <w:t>)</w:t>
      </w:r>
      <w:r w:rsidR="00BB362C" w:rsidRPr="00493003">
        <w:rPr>
          <w:lang w:val="en-US"/>
        </w:rPr>
        <w:fldChar w:fldCharType="end"/>
      </w:r>
      <w:r w:rsidR="00BB362C" w:rsidRPr="00493003">
        <w:rPr>
          <w:lang w:val="en-US"/>
        </w:rPr>
        <w:t xml:space="preserve"> </w:t>
      </w:r>
      <w:r w:rsidR="00CD7A21" w:rsidRPr="00493003">
        <w:rPr>
          <w:lang w:val="en"/>
        </w:rPr>
        <w:t xml:space="preserve">In recent years, these WMHs have been found to cause insomnia by disrupting the integrity between left thalamus and pars </w:t>
      </w:r>
      <w:proofErr w:type="spellStart"/>
      <w:r w:rsidR="004B31D8" w:rsidRPr="00493003">
        <w:rPr>
          <w:lang w:val="en"/>
        </w:rPr>
        <w:t>triangularis</w:t>
      </w:r>
      <w:proofErr w:type="spellEnd"/>
      <w:r w:rsidR="00CD7A21" w:rsidRPr="00493003">
        <w:rPr>
          <w:lang w:val="en"/>
        </w:rPr>
        <w:t xml:space="preserve"> tracts.</w:t>
      </w:r>
      <w:r w:rsidR="00CD7A21" w:rsidRPr="00493003">
        <w:t xml:space="preserve"> </w:t>
      </w:r>
      <w:r w:rsidR="00014277" w:rsidRPr="00493003">
        <w:fldChar w:fldCharType="begin" w:fldLock="1"/>
      </w:r>
      <w:r w:rsidR="006811E4" w:rsidRPr="00493003">
        <w:instrText>ADDIN CSL_CITATION {"citationItems":[{"id":"ITEM-1","itemData":{"DOI":"10.1503/jpn.170195","ISSN":"1488-2434 (Electronic)","PMID":"30371992","abstract":"Background: Previous studies have reported functional and structural abnormalities in the thalamus and the pars triangularis of the inferior frontal gyrus in patients with insomnia disorder. However, no studies have been conducted on the white-matter tracts between these 2 brain regions. We aimed to compare the white-matter integrity and structure of the left thalamus-pars triangularis tracts between patients with insomnia and controls, and to characterize the relationship between white-matter integrity and clinical features in patients with insomnia. Methods: In total, 22 participants with insomnia disorder and 27 controls underwent overnight polysomnography and brain magnetic resonance imaging, and then completed self-report clinical questionnaires and neurocognitive tests for spatial planning. Structural and diffusion measures such as fractional anisotropy, axial diffusivity, radial diffusivity and trace were analyzed in group comparison and correlation analyses. Results: The insomnia group showed significantly lower fractional anisotropy (F = 8.647, p = 0.02) and axial diffusivity (F = 5.895, p = 0.038) in the left thalamus-pars triangularis tracts than controls. In patients with insomnia, fractional anisotropy in the tracts was correlated with the results of the Stockings of Cambridge test (r = 0.451, p = 0.034), and radial diffusivity was correlated with Epworth Sleepiness Scale score (r = 0.437, p = 0.042). Limitations: Limitations included analyses of limited brain regions and the cross-sectional design. Conclusion: The insomnia group showed decreased integrity in the left thalamus-pars triangularis tracts, and integrity was correlated with cognition and daytime sleepiness. These results may imply that insomnia is characterized by disintegration of the white-matter tract between the left thalamus and inferior frontal gyrus.","author":[{"dropping-particle":"","family":"Kang","given":"Jae Myeong","non-dropping-particle":"","parse-names":false,"suffix":""},{"dropping-particle":"","family":"Joo","given":"Sung Woo","non-dropping-particle":"","parse-names":false,"suffix":""},{"dropping-particle":"","family":"Son","given":"Young-Don","non-dropping-particle":"","parse-names":false,"suffix":""},{"dropping-particle":"","family":"Kim","given":"Hyun","non-dropping-particle":"","parse-names":false,"suffix":""},{"dropping-particle":"","family":"Ko","given":"Kwang-Pil","non-dropping-particle":"","parse-names":false,"suffix":""},{"dropping-particle":"","family":"Lee","given":"Jung Sun","non-dropping-particle":"","parse-names":false,"suffix":""},{"dropping-particle":"","family":"Kang","given":"Seung-Gul","non-dropping-particle":"","parse-names":false,"suffix":""}],"container-title":"Journal of psychiatry &amp; neuroscience : JPN","id":"ITEM-1","issue":"6","issued":{"date-parts":[["2018","11"]]},"language":"eng","page":"366-374","publisher-place":"Canada","title":"Low white-matter integrity between the left thalamus and inferior frontal gyrus in patients with insomnia disorder","type":"article-journal","volume":"43"},"uris":["http://www.mendeley.com/documents/?uuid=436883ec-8436-41c3-9cbd-710aa03fb145"]}],"mendeley":{"formattedCitation":"(31)","plainTextFormattedCitation":"(31)","previouslyFormattedCitation":"(31)"},"properties":{"noteIndex":0},"schema":"https://github.com/citation-style-language/schema/raw/master/csl-citation.json"}</w:instrText>
      </w:r>
      <w:r w:rsidR="00014277" w:rsidRPr="00493003">
        <w:fldChar w:fldCharType="separate"/>
      </w:r>
      <w:r w:rsidR="00D84D2B" w:rsidRPr="00493003">
        <w:rPr>
          <w:noProof/>
        </w:rPr>
        <w:t>(32</w:t>
      </w:r>
      <w:r w:rsidR="006811E4" w:rsidRPr="00493003">
        <w:rPr>
          <w:noProof/>
        </w:rPr>
        <w:t>)</w:t>
      </w:r>
      <w:r w:rsidR="00014277" w:rsidRPr="00493003">
        <w:fldChar w:fldCharType="end"/>
      </w:r>
      <w:r w:rsidR="004C4022" w:rsidRPr="00493003">
        <w:t xml:space="preserve"> </w:t>
      </w:r>
      <w:r w:rsidR="00CD7A21" w:rsidRPr="00493003">
        <w:t xml:space="preserve">In another study, </w:t>
      </w:r>
      <w:r w:rsidR="005A4518" w:rsidRPr="00493003">
        <w:t xml:space="preserve">the dysfunctions of </w:t>
      </w:r>
      <w:r w:rsidR="007702B4" w:rsidRPr="00493003">
        <w:t>white matter</w:t>
      </w:r>
      <w:r w:rsidR="005A4518" w:rsidRPr="00493003">
        <w:t xml:space="preserve"> structural network connectivity </w:t>
      </w:r>
      <w:r w:rsidR="00CD7A21" w:rsidRPr="00493003">
        <w:t>in healthy adults were found to be as</w:t>
      </w:r>
      <w:r w:rsidR="00014277" w:rsidRPr="00493003">
        <w:t>sociated with insomnia symptoms</w:t>
      </w:r>
      <w:r w:rsidR="007702B4" w:rsidRPr="00493003">
        <w:t xml:space="preserve">. </w:t>
      </w:r>
      <w:r w:rsidR="00014277" w:rsidRPr="00493003">
        <w:fldChar w:fldCharType="begin" w:fldLock="1"/>
      </w:r>
      <w:r w:rsidR="006811E4" w:rsidRPr="00493003">
        <w:instrText>ADDIN CSL_CITATION {"citationItems":[{"id":"ITEM-1","itemData":{"DOI":"10.3389/fnhum.2017.00583","ISBN":"1662-5161 (Print)\r1662-5161","ISSN":"1662-5161","PMID":"29249951","abstract":"Neuroimaging studies have revealed that insomnia is characterized by aberrant neuronal connectivity in specific brain regions, but the topological disruptions in the white matter (WM) structural connectivity networks remains largely unknown in insomnia. The current study uses diffusion tensor imaging (DTI) tractography to construct the WM structural networks and graph theory analysis to detect alterations of the brain structural networks. The study participants comprised 30 healthy subjects with insomnia symptoms (IS) and 62 healthy subjects without insomnia symptoms. Both the two groups showed small-world properties regarding their WM structural connectivity networks. By contrast, increased local efficiency and decreased global efficiency were identified in the IS group, indicating an insomnia-related shift in topology away from regular networks. In addition, the IS group exhibited disrupted nodal topological characteristics in regions involving the fronto-limbic and the default-mode systems. To our knowledge, this is the first study to explore the topological organization of WM structural network connectivity in insomnia. More importantly, the dysfunctions of large-scale brain systems including the fronto-limbic pathways, salience network, and default-mode network in insomnia were identified, which provides new insights into the insomnia connectome. Topology-based brain network analysis thus could be a potential biomarker for insomnia symptoms.","author":[{"dropping-particle":"","family":"Lu","given":"Feng-Mei","non-dropping-particle":"","parse-names":false,"suffix":""},{"dropping-particle":"","family":"Dai","given":"Jing","non-dropping-particle":"","parse-names":false,"suffix":""},{"dropping-particle":"","family":"Couto","given":"Tania A.","non-dropping-particle":"","parse-names":false,"suffix":""},{"dropping-particle":"","family":"Liu","given":"Chun-Hong","non-dropping-particle":"","parse-names":false,"suffix":""},{"dropping-particle":"","family":"Chen","given":"Heng","non-dropping-particle":"","parse-names":false,"suffix":""},{"dropping-particle":"","family":"Lu","given":"Shun-Li","non-dropping-particle":"","parse-names":false,"suffix":""},{"dropping-particle":"","family":"Tang","given":"Li-Rong","non-dropping-particle":"","parse-names":false,"suffix":""},{"dropping-particle":"","family":"Tie","given":"Chang-Le","non-dropping-particle":"","parse-names":false,"suffix":""},{"dropping-particle":"","family":"Chen","given":"Hua-Fu","non-dropping-particle":"","parse-names":false,"suffix":""},{"dropping-particle":"","family":"He","given":"Man-Xi","non-dropping-particle":"","parse-names":false,"suffix":""},{"dropping-particle":"","family":"Xiang","given":"Yu-Tao","non-dropping-particle":"","parse-names":false,"suffix":""},{"dropping-particle":"","family":"Yuan","given":"Zhen","non-dropping-particle":"","parse-names":false,"suffix":""}],"container-title":"Frontiers in Human Neuroscience","id":"ITEM-1","issued":{"date-parts":[["2017"]]},"title":"Diffusion Tensor Imaging Tractography Reveals Disrupted White Matter Structural Connectivity Network in Healthy Adults with Insomnia Symptoms","type":"article-journal"},"uris":["http://www.mendeley.com/documents/?uuid=52209ecb-1207-47ce-a04c-0f894e3c3f95"]}],"mendeley":{"formattedCitation":"(32)","plainTextFormattedCitation":"(32)","previouslyFormattedCitation":"(32)"},"properties":{"noteIndex":0},"schema":"https://github.com/citation-style-language/schema/raw/master/csl-citation.json"}</w:instrText>
      </w:r>
      <w:r w:rsidR="00014277" w:rsidRPr="00493003">
        <w:fldChar w:fldCharType="separate"/>
      </w:r>
      <w:r w:rsidR="00D84D2B" w:rsidRPr="00493003">
        <w:rPr>
          <w:noProof/>
        </w:rPr>
        <w:t>(33</w:t>
      </w:r>
      <w:r w:rsidR="006811E4" w:rsidRPr="00493003">
        <w:rPr>
          <w:noProof/>
        </w:rPr>
        <w:t>)</w:t>
      </w:r>
      <w:r w:rsidR="00014277" w:rsidRPr="00493003">
        <w:fldChar w:fldCharType="end"/>
      </w:r>
      <w:r w:rsidR="00014277" w:rsidRPr="00493003">
        <w:t xml:space="preserve"> </w:t>
      </w:r>
      <w:r w:rsidR="00665736" w:rsidRPr="00493003">
        <w:rPr>
          <w:lang w:val="en"/>
        </w:rPr>
        <w:t>On the other hand, experimental studies have shown that in rats with malnutrition, the size of the suprachiasmatic nucleus, which is the most powerful pacemaker for circadian rhythm, has</w:t>
      </w:r>
      <w:r w:rsidR="008B6CE1" w:rsidRPr="00493003">
        <w:rPr>
          <w:lang w:val="en"/>
        </w:rPr>
        <w:t xml:space="preserve"> a key role in sleep physiology, and that sleep deprivation is decreased by energy and nutritional supplementation</w:t>
      </w:r>
      <w:r w:rsidR="00417532" w:rsidRPr="00493003">
        <w:rPr>
          <w:lang w:val="en"/>
        </w:rPr>
        <w:t>.</w:t>
      </w:r>
      <w:r w:rsidR="008B6CE1" w:rsidRPr="00493003">
        <w:rPr>
          <w:lang w:val="en"/>
        </w:rPr>
        <w:t xml:space="preserve"> </w:t>
      </w:r>
      <w:r w:rsidR="00417532" w:rsidRPr="00493003">
        <w:rPr>
          <w:lang w:val="en"/>
        </w:rPr>
        <w:fldChar w:fldCharType="begin" w:fldLock="1"/>
      </w:r>
      <w:r w:rsidR="006811E4" w:rsidRPr="00493003">
        <w:rPr>
          <w:lang w:val="en"/>
        </w:rPr>
        <w:instrText>ADDIN CSL_CITATION {"citationItems":[{"id":"ITEM-1","itemData":{"ISBN":"0067-9666","ISSN":"0067-9666 (Print)","PMID":"7786400","abstract":"The effects of prenatal and postnatal protein malnutrition on the major and minor somatic axes of the suprachiasmatic nucleus (SCN) cells of the rat were investigated. Female rats were fed either 6%, 8% or 25% casein diet 5 weeks before mating, during gestation and lactation. After weaning the pups were maintained on the same diet until sacrifice at 30, 90 or 220 days of age. The major and minor axes in fusiform, multipolar and ovoid cells were measured in Nissl-stained SCN slices. Although the 8% diet group displayed significant reductions in fusiform and ovoid cells, the 6% diet group showed the most intense reductions in cell size of the three cell types. In the 6% diet group, cell size was significantly lower at 30 days but the difference with the other nutritional groups ameliorated at 90 days and almost reached control values at 220 days. These data suggest that malnutrition maintained during gestation and postnatal life reduces the somatic size of SCN cells. This alteration may be a morphological substrate underlying sleep and behavioral circadian alterations observed in malnourished rats.","author":[{"dropping-particle":"","family":"Cintra","given":"L","non-dropping-particle":"","parse-names":false,"suffix":""},{"dropping-particle":"","family":"Galvan","given":"A","non-dropping-particle":"","parse-names":false,"suffix":""},{"dropping-particle":"","family":"Diaz-Cintra","given":"S","non-dropping-particle":"","parse-names":false,"suffix":""},{"dropping-particle":"","family":"Escobar","given":"C","non-dropping-particle":"","parse-names":false,"suffix":""}],"container-title":"Boletin de estudios medicos y biologicos","id":"ITEM-1","issued":{"date-parts":[["1994"]]},"title":"Protein malnutrition on suprachiasmatic nucleus cells in rats of three ages.","type":"article"},"uris":["http://www.mendeley.com/documents/?uuid=5c8d425d-f637-4b5b-b2fd-2e5994d1b812"]},{"id":"ITEM-2","itemData":{"DOI":"10.1016/0166-4328(95)00009-I","ISBN":"0166-4328 (Print)\\r0166-4328 (Linking)","ISSN":"01664328","PMID":"7546317","abstract":"Sleep deprivation disrupts vital biological processes that are necessary for cognitive ability and physical health, but the physiological changes that underlie these outward effects are largely unknown. The purpose of the present studies in the laboratory rat is to prolong sleep deprivation to delineate the pathophysiology and to determine its mediation. In the rat, the course of prolonged sleep deprivation has a syndromic nature and eventuates in a life-threatening state. An early and central symptom of sleep deprivation is a progressive increase in peripheral energy expenditure to nearly double normal levels. An attempt to alleviate this negative energy balance by feeding rats a balanced diet that is high in its efficiency of utilization prolongs survival and attenuates or delays development of malnutrition-like symptoms, indicating that several symptoms can be manipulated to some extent by energy and nutrient consumption. Most changes in neuroendocrine parameters appear to be responses to metabolic demands, such as increased plasma catecholamines indicating sympathetic activation. Plasma total thyroid hormones, however, decline to severely low levels; a metabolic complication that is associated with other sleep deprivation-induced symptoms, such as a decline in body temperature to hypothermic levels despite increased energy expenditure. Metabolic mapping of the brain revealed a dissociation between the energy metabolism of the brain and that of the body. Sleep deprivation's effects on cerebral structures are heterogenous and unidirectional toward decreased functional activity. The hypometabolic brain structures are concentrated in the hypothalamus, thalamus and limbic system, whereas few regions in the rest of the brain and none in the medulla, are affected. Correspondence can be found between some of the affected cerebral structures and several of the peripheral symptoms, such as hyperphagia and possible heat retention problems. The factor predisposing to mortality is a decreased resistance to infection. Lethal opportunistic organisms are permitted to infect the bloodstream, which presumably results in a cascade of toxic-like reactions. Host defense is thus the first system to fail. There is neither fever nor marked tissue inflammatory reactions typical of infectious disease states, suggesting that sleep deprivation is immunosuppressive. Each of the four major abnormalities identified - (1) a deep negative energy balance and associated malnutrition;…","author":[{"dropping-particle":"","family":"Everson","given":"Carol A.","non-dropping-particle":"","parse-names":false,"suffix":""}],"container-title":"Behavioural Brain Research","id":"ITEM-2","issued":{"date-parts":[["1995"]]},"title":"Functional consequences of sustained sleep deprivation in the rat","type":"article-journal"},"uris":["http://www.mendeley.com/documents/?uuid=f2307acc-731c-4821-98a4-617d89382803"]}],"mendeley":{"formattedCitation":"(33,34)","plainTextFormattedCitation":"(33,34)","previouslyFormattedCitation":"(33,34)"},"properties":{"noteIndex":0},"schema":"https://github.com/citation-style-language/schema/raw/master/csl-citation.json"}</w:instrText>
      </w:r>
      <w:r w:rsidR="00417532" w:rsidRPr="00493003">
        <w:rPr>
          <w:lang w:val="en"/>
        </w:rPr>
        <w:fldChar w:fldCharType="separate"/>
      </w:r>
      <w:r w:rsidR="00D84D2B" w:rsidRPr="00493003">
        <w:rPr>
          <w:noProof/>
          <w:lang w:val="en"/>
        </w:rPr>
        <w:t>(34,35</w:t>
      </w:r>
      <w:r w:rsidR="006811E4" w:rsidRPr="00493003">
        <w:rPr>
          <w:noProof/>
          <w:lang w:val="en"/>
        </w:rPr>
        <w:t>)</w:t>
      </w:r>
      <w:r w:rsidR="00417532" w:rsidRPr="00493003">
        <w:rPr>
          <w:lang w:val="en"/>
        </w:rPr>
        <w:fldChar w:fldCharType="end"/>
      </w:r>
      <w:r w:rsidR="00417532" w:rsidRPr="00493003">
        <w:rPr>
          <w:lang w:val="en"/>
        </w:rPr>
        <w:t xml:space="preserve"> </w:t>
      </w:r>
      <w:r w:rsidR="008B6CE1" w:rsidRPr="00493003">
        <w:rPr>
          <w:lang w:val="en"/>
        </w:rPr>
        <w:t>Secondly, dietary factors can affect melatonin release.</w:t>
      </w:r>
      <w:r w:rsidR="00C17A38" w:rsidRPr="00493003">
        <w:rPr>
          <w:lang w:val="en"/>
        </w:rPr>
        <w:t xml:space="preserve"> </w:t>
      </w:r>
      <w:r w:rsidR="00C17A38" w:rsidRPr="00493003">
        <w:rPr>
          <w:lang w:val="en"/>
        </w:rPr>
        <w:fldChar w:fldCharType="begin" w:fldLock="1"/>
      </w:r>
      <w:r w:rsidR="006811E4" w:rsidRPr="00493003">
        <w:rPr>
          <w:lang w:val="en"/>
        </w:rPr>
        <w:instrText>ADDIN CSL_CITATION {"citationItems":[{"id":"ITEM-1","itemData":{"DOI":"10.3402/fnr.v56i0.17252","ISBN":"1654-6628","ISSN":"1654-6628","PMID":"22826693","abstract":"Melatonin is secreted principally by the pineal gland and mainly at nighttime. The primary physiological function is to convey information of the daily cycle of light and darkness to the body. In addition, it may have other health-related functions. Melatonin is synthesized from tryptophan, an essential dietary amino acid. It has been demonstrated that some nutritional factors, such as intake of vegetables, caffeine, and some vitamins and minerals, could modify melatonin production but with less intensity than light, the most dominant synchronizer of melatonin production. This review will focus on the nutritional factors apart from the intake of tryptophan that affect melatonin levels in humans. Overall, foods containing melatonin or promoting the synthesis of it by impacting the availability of tryptophan, as well those containing vitamins and minerals which are needed as co-factors and activators in the synthesis of melatonin, may modulate the levels of melatonin. Even so, the influence of daytime diet on the synthesis of nocturnal melatonin is limited, however, the influence of the diet seems to be more obvious on the daytime levels.","author":[{"dropping-particle":"","family":"Peuhkuri","given":"Katri","non-dropping-particle":"","parse-names":false,"suffix":""},{"dropping-particle":"","family":"Sihvola","given":"Nora","non-dropping-particle":"","parse-names":false,"suffix":""},{"dropping-particle":"","family":"Korpela","given":"Riitta","non-dropping-particle":"","parse-names":false,"suffix":""}],"container-title":"Food &amp; Nutrition Research","id":"ITEM-1","issued":{"date-parts":[["2012"]]},"title":"Dietary factors and fluctuating levels of melatonin","type":"article-journal"},"uris":["http://www.mendeley.com/documents/?uuid=4802a106-b1d7-48e4-86ad-12b771b9a11f"]}],"mendeley":{"formattedCitation":"(35)","plainTextFormattedCitation":"(35)","previouslyFormattedCitation":"(35)"},"properties":{"noteIndex":0},"schema":"https://github.com/citation-style-language/schema/raw/master/csl-citation.json"}</w:instrText>
      </w:r>
      <w:r w:rsidR="00C17A38" w:rsidRPr="00493003">
        <w:rPr>
          <w:lang w:val="en"/>
        </w:rPr>
        <w:fldChar w:fldCharType="separate"/>
      </w:r>
      <w:r w:rsidR="00D84D2B" w:rsidRPr="00493003">
        <w:rPr>
          <w:noProof/>
          <w:lang w:val="en"/>
        </w:rPr>
        <w:t>(36</w:t>
      </w:r>
      <w:r w:rsidR="006811E4" w:rsidRPr="00493003">
        <w:rPr>
          <w:noProof/>
          <w:lang w:val="en"/>
        </w:rPr>
        <w:t>)</w:t>
      </w:r>
      <w:r w:rsidR="00C17A38" w:rsidRPr="00493003">
        <w:rPr>
          <w:lang w:val="en"/>
        </w:rPr>
        <w:fldChar w:fldCharType="end"/>
      </w:r>
      <w:r w:rsidR="00C17A38" w:rsidRPr="00493003">
        <w:rPr>
          <w:lang w:val="en"/>
        </w:rPr>
        <w:t xml:space="preserve"> </w:t>
      </w:r>
      <w:r w:rsidR="008B6CE1" w:rsidRPr="00493003">
        <w:rPr>
          <w:lang w:val="en"/>
        </w:rPr>
        <w:t xml:space="preserve">Melatonin is a circulating </w:t>
      </w:r>
      <w:proofErr w:type="spellStart"/>
      <w:r w:rsidR="008B6CE1" w:rsidRPr="00493003">
        <w:rPr>
          <w:lang w:val="en"/>
        </w:rPr>
        <w:t>neurohormone</w:t>
      </w:r>
      <w:proofErr w:type="spellEnd"/>
      <w:r w:rsidR="008B6CE1" w:rsidRPr="00493003">
        <w:rPr>
          <w:lang w:val="en"/>
        </w:rPr>
        <w:t xml:space="preserve">, which is mainly secreted at night and is produced from </w:t>
      </w:r>
      <w:r w:rsidR="009E6409" w:rsidRPr="00493003">
        <w:rPr>
          <w:lang w:val="en"/>
        </w:rPr>
        <w:t>tryptophan</w:t>
      </w:r>
      <w:r w:rsidR="008B6CE1" w:rsidRPr="00493003">
        <w:rPr>
          <w:lang w:val="en"/>
        </w:rPr>
        <w:t>, an essential amino acid</w:t>
      </w:r>
      <w:r w:rsidR="00C17A38" w:rsidRPr="00493003">
        <w:rPr>
          <w:lang w:val="en"/>
        </w:rPr>
        <w:t>.</w:t>
      </w:r>
      <w:r w:rsidR="008B6CE1" w:rsidRPr="00493003">
        <w:rPr>
          <w:lang w:val="en"/>
        </w:rPr>
        <w:t xml:space="preserve"> </w:t>
      </w:r>
      <w:r w:rsidR="00C17A38" w:rsidRPr="00493003">
        <w:rPr>
          <w:lang w:val="en"/>
        </w:rPr>
        <w:fldChar w:fldCharType="begin" w:fldLock="1"/>
      </w:r>
      <w:r w:rsidR="006811E4" w:rsidRPr="00493003">
        <w:rPr>
          <w:lang w:val="en"/>
        </w:rPr>
        <w:instrText>ADDIN CSL_CITATION {"citationItems":[{"id":"ITEM-1","itemData":{"DOI":"10.3402/fnr.v56i0.17252","ISBN":"1654-6628","ISSN":"1654-6628","PMID":"22826693","abstract":"Melatonin is secreted principally by the pineal gland and mainly at nighttime. The primary physiological function is to convey information of the daily cycle of light and darkness to the body. In addition, it may have other health-related functions. Melatonin is synthesized from tryptophan, an essential dietary amino acid. It has been demonstrated that some nutritional factors, such as intake of vegetables, caffeine, and some vitamins and minerals, could modify melatonin production but with less intensity than light, the most dominant synchronizer of melatonin production. This review will focus on the nutritional factors apart from the intake of tryptophan that affect melatonin levels in humans. Overall, foods containing melatonin or promoting the synthesis of it by impacting the availability of tryptophan, as well those containing vitamins and minerals which are needed as co-factors and activators in the synthesis of melatonin, may modulate the levels of melatonin. Even so, the influence of daytime diet on the synthesis of nocturnal melatonin is limited, however, the influence of the diet seems to be more obvious on the daytime levels.","author":[{"dropping-particle":"","family":"Peuhkuri","given":"Katri","non-dropping-particle":"","parse-names":false,"suffix":""},{"dropping-particle":"","family":"Sihvola","given":"Nora","non-dropping-particle":"","parse-names":false,"suffix":""},{"dropping-particle":"","family":"Korpela","given":"Riitta","non-dropping-particle":"","parse-names":false,"suffix":""}],"container-title":"Food &amp; Nutrition Research","id":"ITEM-1","issued":{"date-parts":[["2012"]]},"title":"Dietary factors and fluctuating levels of melatonin","type":"article-journal"},"uris":["http://www.mendeley.com/documents/?uuid=4802a106-b1d7-48e4-86ad-12b771b9a11f"]}],"mendeley":{"formattedCitation":"(35)","plainTextFormattedCitation":"(35)","previouslyFormattedCitation":"(35)"},"properties":{"noteIndex":0},"schema":"https://github.com/citation-style-language/schema/raw/master/csl-citation.json"}</w:instrText>
      </w:r>
      <w:r w:rsidR="00C17A38" w:rsidRPr="00493003">
        <w:rPr>
          <w:lang w:val="en"/>
        </w:rPr>
        <w:fldChar w:fldCharType="separate"/>
      </w:r>
      <w:r w:rsidR="006811E4" w:rsidRPr="00493003">
        <w:rPr>
          <w:noProof/>
          <w:lang w:val="en"/>
        </w:rPr>
        <w:t>(35)</w:t>
      </w:r>
      <w:r w:rsidR="00C17A38" w:rsidRPr="00493003">
        <w:rPr>
          <w:lang w:val="en"/>
        </w:rPr>
        <w:fldChar w:fldCharType="end"/>
      </w:r>
      <w:r w:rsidR="004B678B" w:rsidRPr="00493003">
        <w:rPr>
          <w:lang w:val="en"/>
        </w:rPr>
        <w:t xml:space="preserve"> </w:t>
      </w:r>
      <w:r w:rsidR="00B63E26" w:rsidRPr="00493003">
        <w:t xml:space="preserve"> </w:t>
      </w:r>
      <w:r w:rsidR="008B6CE1" w:rsidRPr="00493003">
        <w:rPr>
          <w:lang w:val="en"/>
        </w:rPr>
        <w:t>It is important to detect the daily light and dark cycle, so that the circadian rhythm can be regulated and help us fall asleep and stay asleep.</w:t>
      </w:r>
      <w:r w:rsidR="008B6CE1" w:rsidRPr="00493003">
        <w:t xml:space="preserve"> </w:t>
      </w:r>
      <w:r w:rsidR="008815D2" w:rsidRPr="00493003">
        <w:rPr>
          <w:lang w:val="en"/>
        </w:rPr>
        <w:fldChar w:fldCharType="begin" w:fldLock="1"/>
      </w:r>
      <w:r w:rsidR="006811E4" w:rsidRPr="00493003">
        <w:rPr>
          <w:lang w:val="en"/>
        </w:rPr>
        <w:instrText>ADDIN CSL_CITATION {"citationItems":[{"id":"ITEM-1","itemData":{"DOI":"10.3402/fnr.v56i0.17252","ISBN":"1654-6628","ISSN":"1654-6628","PMID":"22826693","abstract":"Melatonin is secreted principally by the pineal gland and mainly at nighttime. The primary physiological function is to convey information of the daily cycle of light and darkness to the body. In addition, it may have other health-related functions. Melatonin is synthesized from tryptophan, an essential dietary amino acid. It has been demonstrated that some nutritional factors, such as intake of vegetables, caffeine, and some vitamins and minerals, could modify melatonin production but with less intensity than light, the most dominant synchronizer of melatonin production. This review will focus on the nutritional factors apart from the intake of tryptophan that affect melatonin levels in humans. Overall, foods containing melatonin or promoting the synthesis of it by impacting the availability of tryptophan, as well those containing vitamins and minerals which are needed as co-factors and activators in the synthesis of melatonin, may modulate the levels of melatonin. Even so, the influence of daytime diet on the synthesis of nocturnal melatonin is limited, however, the influence of the diet seems to be more obvious on the daytime levels.","author":[{"dropping-particle":"","family":"Peuhkuri","given":"Katri","non-dropping-particle":"","parse-names":false,"suffix":""},{"dropping-particle":"","family":"Sihvola","given":"Nora","non-dropping-particle":"","parse-names":false,"suffix":""},{"dropping-particle":"","family":"Korpela","given":"Riitta","non-dropping-particle":"","parse-names":false,"suffix":""}],"container-title":"Food &amp; Nutrition Research","id":"ITEM-1","issued":{"date-parts":[["2012"]]},"title":"Dietary factors and fluctuating levels of melatonin","type":"article-journal"},"uris":["http://www.mendeley.com/documents/?uuid=4802a106-b1d7-48e4-86ad-12b771b9a11f"]}],"mendeley":{"formattedCitation":"(35)","plainTextFormattedCitation":"(35)","previouslyFormattedCitation":"(35)"},"properties":{"noteIndex":0},"schema":"https://github.com/citation-style-language/schema/raw/master/csl-citation.json"}</w:instrText>
      </w:r>
      <w:r w:rsidR="008815D2" w:rsidRPr="00493003">
        <w:rPr>
          <w:lang w:val="en"/>
        </w:rPr>
        <w:fldChar w:fldCharType="separate"/>
      </w:r>
      <w:r w:rsidR="00D84D2B" w:rsidRPr="00493003">
        <w:rPr>
          <w:noProof/>
          <w:lang w:val="en"/>
        </w:rPr>
        <w:t>(36</w:t>
      </w:r>
      <w:r w:rsidR="006811E4" w:rsidRPr="00493003">
        <w:rPr>
          <w:noProof/>
          <w:lang w:val="en"/>
        </w:rPr>
        <w:t>)</w:t>
      </w:r>
      <w:r w:rsidR="008815D2" w:rsidRPr="00493003">
        <w:fldChar w:fldCharType="end"/>
      </w:r>
      <w:r w:rsidR="00B63E26" w:rsidRPr="00493003">
        <w:t xml:space="preserve"> </w:t>
      </w:r>
      <w:r w:rsidR="0042054A" w:rsidRPr="00493003">
        <w:rPr>
          <w:lang w:val="en"/>
        </w:rPr>
        <w:t>There are many studies showing the effect of diet on the synthesis or concentration of melatonin. For example, it has been shown in human studies that energy restriction decreases the release of melatonin at night.</w:t>
      </w:r>
      <w:r w:rsidR="00221335" w:rsidRPr="00493003">
        <w:rPr>
          <w:lang w:val="en"/>
        </w:rPr>
        <w:t xml:space="preserve"> </w:t>
      </w:r>
      <w:r w:rsidR="00221335" w:rsidRPr="00493003">
        <w:rPr>
          <w:lang w:val="en"/>
        </w:rPr>
        <w:fldChar w:fldCharType="begin" w:fldLock="1"/>
      </w:r>
      <w:r w:rsidR="006811E4" w:rsidRPr="00493003">
        <w:rPr>
          <w:lang w:val="en"/>
        </w:rPr>
        <w:instrText>ADDIN CSL_CITATION {"citationItems":[{"id":"ITEM-1","itemData":{"DOI":"10.3402/fnr.v56i0.17252","ISBN":"1654-6628","ISSN":"1654-6628","PMID":"22826693","abstract":"Melatonin is secreted principally by the pineal gland and mainly at nighttime. The primary physiological function is to convey information of the daily cycle of light and darkness to the body. In addition, it may have other health-related functions. Melatonin is synthesized from tryptophan, an essential dietary amino acid. It has been demonstrated that some nutritional factors, such as intake of vegetables, caffeine, and some vitamins and minerals, could modify melatonin production but with less intensity than light, the most dominant synchronizer of melatonin production. This review will focus on the nutritional factors apart from the intake of tryptophan that affect melatonin levels in humans. Overall, foods containing melatonin or promoting the synthesis of it by impacting the availability of tryptophan, as well those containing vitamins and minerals which are needed as co-factors and activators in the synthesis of melatonin, may modulate the levels of melatonin. Even so, the influence of daytime diet on the synthesis of nocturnal melatonin is limited, however, the influence of the diet seems to be more obvious on the daytime levels.","author":[{"dropping-particle":"","family":"Peuhkuri","given":"Katri","non-dropping-particle":"","parse-names":false,"suffix":""},{"dropping-particle":"","family":"Sihvola","given":"Nora","non-dropping-particle":"","parse-names":false,"suffix":""},{"dropping-particle":"","family":"Korpela","given":"Riitta","non-dropping-particle":"","parse-names":false,"suffix":""}],"container-title":"Food &amp; Nutrition Research","id":"ITEM-1","issued":{"date-parts":[["2012"]]},"title":"Dietary factors and fluctuating levels of melatonin","type":"article-journal"},"uris":["http://www.mendeley.com/documents/?uuid=4802a106-b1d7-48e4-86ad-12b771b9a11f"]},{"id":"ITEM-2","itemData":{"DOI":"10.1159/000070485","ISBN":"0250-6807","ISSN":"02506807","PMID":"12748412","abstract":"Periodically repeated short-term fasting is a frequently practised tradition worldwide. Empirical reports suggest that during fasting periods the quality of sleep and daytime performance are improved. The effects of a home-based 1-week modified fasting on sleep patterns and daytime vigilance and performance were analysed in 15 healthy non-obese volunteers.","author":[{"dropping-particle":"","family":"Michalsen","given":"A.","non-dropping-particle":"","parse-names":false,"suffix":""},{"dropping-particle":"","family":"Schlegel","given":"F.","non-dropping-particle":"","parse-names":false,"suffix":""},{"dropping-particle":"","family":"Rodenbeck","given":"A.","non-dropping-particle":"","parse-names":false,"suffix":""},{"dropping-particle":"","family":"Lüdtke","given":"R.","non-dropping-particle":"","parse-names":false,"suffix":""},{"dropping-particle":"","family":"Huether","given":"G.","non-dropping-particle":"","parse-names":false,"suffix":""},{"dropping-particle":"","family":"Teschler","given":"H.","non-dropping-particle":"","parse-names":false,"suffix":""},{"dropping-particle":"","family":"Dobos","given":"G. J.","non-dropping-particle":"","parse-names":false,"suffix":""}],"container-title":"Annals of Nutrition and Metabolism","id":"ITEM-2","issued":{"date-parts":[["2003"]]},"title":"Effects of short-term modified fasting on sleep patterns and daytime vigilance in non-obese subjects: Results of a pilot study","type":"article-journal"},"uris":["http://www.mendeley.com/documents/?uuid=180e455b-2c59-4157-aa77-19cedebbf785"]},{"id":"ITEM-3","itemData":{"DOI":"10.1016/0026-0495(92)90294-K","ISBN":"0026-0495 (Print)\r0026-0495 (Linking)","ISSN":"00260495","PMID":"1406296","abstract":"To investigate whether the function of pinealocytes is altered in obesity, nocturnal melatonin (MT) secretion was determined in nine healthy subjects and compared with that of eight obese individuals. Serum MT levels were measured every second hour between 6:00 pm and 8:00 am, and total nocturnal MT secretion (as reflected by the MT incremental area), MT peak time, and nocturnal urinary MT excretion were determined. None of these parameters differed significantly in the two groups. The obese subjects were reinvestigated after 2 days of complete fasting. This caused a decrease in body weight and basal blood glucose levels of 2.6 ± 0.2 kg (mean ± SEM, P &lt; .001) and 1.5 ± 0.2 mmol/L (P &lt; .001), respectively, whereas serum cortisol levels remained unchanged. Short-term fasting reduced nocturnal MT secretion, as evidenced by MT incremental areas, which were reduced from 2.01 ± 0.26 before fasting to 1.64 ± 0.26 nmol/L · h after fasting (P &lt; .02). MT secretion peaks were reached simultaneously, and urinary MT excretion values did not change significantly in fasting. To see whether glucose supplementation during short-term fasting would normalize nocturnal MT secretion, we gave an additional seven obese subjects eight small oral doses of glucose (each dose, 0.5 g/kg body weight) at regular intervals during a 2-day fast. Their body weight decreased by 2.8 ± 0.4 kg (P &lt; .001), but blood glucose and cortisol concentrations were similar before and after the glucose-supplemented fast, as was the nocturnal MT secretion. These findings imply that pinealocytes of fed obese patients secrete normal amounts of MT during the night, but lose secretory potential during fasting-induced hypoglycemia. Since glucose supplementation during fasting returns MT secretion to normal, it is assumed that pinealocytes of obese individuals require a certain minimal glucose delivery to function normally. © 1992.","author":[{"dropping-particle":"","family":"Röjdmark","given":"Sven","non-dropping-particle":"","parse-names":false,"suffix":""},{"dropping-particle":"","family":"Rössner","given":"Stephan","non-dropping-particle":"","parse-names":false,"suffix":""},{"dropping-particle":"","family":"Wetterberg","given":"Lennart","non-dropping-particle":"","parse-names":false,"suffix":""}],"container-title":"Metabolism","id":"ITEM-3","issued":{"date-parts":[["1992"]]},"title":"Effect of short-term fasting on nocturnal melatonin secretion in obesity","type":"article-journal"},"uris":["http://www.mendeley.com/documents/?uuid=0f1000be-1e44-4fa2-9fac-4fe713a4a8e5"]}],"mendeley":{"formattedCitation":"(35–37)","plainTextFormattedCitation":"(35–37)","previouslyFormattedCitation":"(35–37)"},"properties":{"noteIndex":0},"schema":"https://github.com/citation-style-language/schema/raw/master/csl-citation.json"}</w:instrText>
      </w:r>
      <w:r w:rsidR="00221335" w:rsidRPr="00493003">
        <w:rPr>
          <w:lang w:val="en"/>
        </w:rPr>
        <w:fldChar w:fldCharType="separate"/>
      </w:r>
      <w:r w:rsidR="00D84D2B" w:rsidRPr="00493003">
        <w:rPr>
          <w:noProof/>
          <w:lang w:val="en"/>
        </w:rPr>
        <w:t>(36-38</w:t>
      </w:r>
      <w:r w:rsidR="006811E4" w:rsidRPr="00493003">
        <w:rPr>
          <w:noProof/>
          <w:lang w:val="en"/>
        </w:rPr>
        <w:t>)</w:t>
      </w:r>
      <w:r w:rsidR="00221335" w:rsidRPr="00493003">
        <w:rPr>
          <w:lang w:val="en"/>
        </w:rPr>
        <w:fldChar w:fldCharType="end"/>
      </w:r>
      <w:r w:rsidR="00221335" w:rsidRPr="00493003">
        <w:rPr>
          <w:lang w:val="en-US"/>
        </w:rPr>
        <w:t xml:space="preserve"> </w:t>
      </w:r>
      <w:proofErr w:type="gramStart"/>
      <w:r w:rsidR="002C43DA" w:rsidRPr="00493003">
        <w:rPr>
          <w:lang w:val="en"/>
        </w:rPr>
        <w:t>In</w:t>
      </w:r>
      <w:proofErr w:type="gramEnd"/>
      <w:r w:rsidR="002C43DA" w:rsidRPr="00493003">
        <w:rPr>
          <w:lang w:val="en"/>
        </w:rPr>
        <w:t xml:space="preserve"> short-term (2 days) fasting healthy men, melatonin secretion was decreased compared to the control group, and normalization of melatonin levels were found after glucose supplementation.</w:t>
      </w:r>
      <w:r w:rsidR="002C43DA" w:rsidRPr="00493003">
        <w:t xml:space="preserve"> </w:t>
      </w:r>
      <w:r w:rsidR="00221335" w:rsidRPr="00493003">
        <w:fldChar w:fldCharType="begin" w:fldLock="1"/>
      </w:r>
      <w:r w:rsidR="006811E4" w:rsidRPr="00493003">
        <w:instrText>ADDIN CSL_CITATION {"citationItems":[{"id":"ITEM-1","itemData":{"ISSN":"0300-0664 (Print)","PMID":"2598477","abstract":"To investigate whether short-term fasting influences hormone release from human pinealocytes, nocturnal melatonin (MT) secretion was studied before and at the end of a 2-day fast in seven normal subjects (group A). Serum MT was measured every second hour between 1800 and 0800 h, and the nocturnal MT secretion, as reflected by the MT incremental area (MT area appearing above the 1800 h level), was calculated and compared before and during the fast. MT excretion by the urine (between 2200 and 0700 h) was also determined before, during, and after the period of food deprivation. Body weight and blood glucose concentration fell by 2.5 +/- 0.2 kg (mean +/- SEM, P less than 0.001) and 1.7 +/- 0.2 mmol/l (P less than 0.001) respectively during the fast. Nocturnal MT secretion declined by 19 +/- 3% (P less than 0.002), in contrast to urinary MT excretion which remained unaffected. In order to prevent blood glucose from falling significantly during the period of food deprivation, six additional normal subjects (group B) were given eight small oral doses of glucose (each dose 0.5 g/kg) at regular intervals during the 2-day fast. This did not prevent a weight loss (2.1 +/- 0.5 kg, P less than 0.01) of similar magnitude as in group A, but it restored a normal nocturnal MT secretion. The fact that glucose supplementation during fasting returns a decreased MT secretion to normal suggests that human pinealocytes require a certain minimal glucose delivery to function normally.","author":[{"dropping-particle":"","family":"Rojdmark","given":"S","non-dropping-particle":"","parse-names":false,"suffix":""},{"dropping-particle":"","family":"Wetterberg","given":"L","non-dropping-particle":"","parse-names":false,"suffix":""}],"container-title":"Clinical endocrinology","id":"ITEM-1","issue":"4","issued":{"date-parts":[["1989","4"]]},"language":"eng","page":"451-457","publisher-place":"England","title":"Short-term fasting inhibits the nocturnal melatonin secretion in healthy man.","type":"article-journal","volume":"30"},"uris":["http://www.mendeley.com/documents/?uuid=c58d3dac-de94-48d7-ad0e-bea8ee5ec733"]}],"mendeley":{"formattedCitation":"(38)","plainTextFormattedCitation":"(38)","previouslyFormattedCitation":"(38)"},"properties":{"noteIndex":0},"schema":"https://github.com/citation-style-language/schema/raw/master/csl-citation.json"}</w:instrText>
      </w:r>
      <w:r w:rsidR="00221335" w:rsidRPr="00493003">
        <w:fldChar w:fldCharType="separate"/>
      </w:r>
      <w:r w:rsidR="006811E4" w:rsidRPr="00493003">
        <w:rPr>
          <w:noProof/>
        </w:rPr>
        <w:t>(38)</w:t>
      </w:r>
      <w:r w:rsidR="00221335" w:rsidRPr="00493003">
        <w:fldChar w:fldCharType="end"/>
      </w:r>
      <w:r w:rsidR="00221335" w:rsidRPr="00493003">
        <w:t xml:space="preserve"> </w:t>
      </w:r>
      <w:r w:rsidR="002C43DA" w:rsidRPr="00493003">
        <w:rPr>
          <w:lang w:val="en"/>
        </w:rPr>
        <w:t>Similar studies have been made in obese and the same results have been obtained</w:t>
      </w:r>
      <w:r w:rsidR="00221335" w:rsidRPr="00493003">
        <w:rPr>
          <w:lang w:val="en"/>
        </w:rPr>
        <w:t>.</w:t>
      </w:r>
      <w:r w:rsidR="00221335" w:rsidRPr="00493003">
        <w:t xml:space="preserve"> </w:t>
      </w:r>
      <w:r w:rsidR="00221335" w:rsidRPr="00493003">
        <w:fldChar w:fldCharType="begin" w:fldLock="1"/>
      </w:r>
      <w:r w:rsidR="006811E4" w:rsidRPr="00493003">
        <w:instrText>ADDIN CSL_CITATION {"citationItems":[{"id":"ITEM-1","itemData":{"DOI":"10.1016/j.appet.2015.07.014","ISSN":"1095-8304 (Electronic)","PMID":"26189885","abstract":"UNLABELLED: Sleep is an important pillar of health and a modifiable risk factor for diabetes, stroke and obesity. Little is known of diet and sleep patterns of Hispanics/Latinos in the US. Here we examine eating behavior as a function of sleep duration in a sub-sample of 11,888 participants from the Hispanic Community Health Study/Study of Latinos, a community-based cohort study of Hispanics aged 18-74 years in four US cities. Using a cross-sectional probability sample with self-report data on habitual sleep duration and up to two 24-h dietary recalls, we quantified the Alternative Healthy Eating Index (AHEI-2010) score, a measure of diet quality, and intake of selected nutrients related to cardiovascular health. Linear regression models were fit to estimate least-square means of usual nutrient intake of saturated fats, potassium density, fiber, calcium, caffeine and the AHEI-2010 score by sleep duration adjusting for age, sex, Hispanic/Latino background, income, employment status, education, depressive symptomology, and years lived in the US. Distribution of calories over the day and association with sleep duration and BMI were also examined. Short sleepers (&lt;/=6 h) had significantly lower intake of potassium, fiber and calcium and long sleepers (&gt;/=9 h) had significantly lower intake of caffeine compared to others sleepers after adjusting for covariates. However no difference in the AHEI-2010 score was seen by sleep duration. Significantly more long sleepers, compared to intermediate and short sleepers, reported having &gt;/=30% total daily calories before bedtime. Not consuming a snack or meal within 3 h before bedtime was associated with higher AHEI-2010 scores. These findings identify novel differences in dietary patterns by sleep duration in a Hispanic/Latino cohort in the U.S. CLINICALTRIALS. GOV IDENTIFIER: NCT02060344.","author":[{"dropping-particle":"","family":"Mossavar-Rahmani","given":"Yasmin","non-dropping-particle":"","parse-names":false,"suffix":""},{"dropping-particle":"","family":"Jung","given":"Molly","non-dropping-particle":"","parse-names":false,"suffix":""},{"dropping-particle":"","family":"Patel","given":"Sanjay R","non-dropping-particle":"","parse-names":false,"suffix":""},{"dropping-particle":"","family":"Sotres-Alvarez","given":"Daniela","non-dropping-particle":"","parse-names":false,"suffix":""},{"dropping-particle":"","family":"Arens","given":"Raanan","non-dropping-particle":"","parse-names":false,"suffix":""},{"dropping-particle":"","family":"Ramos","given":"Alberto","non-dropping-particle":"","parse-names":false,"suffix":""},{"dropping-particle":"","family":"Redline","given":"Susan","non-dropping-particle":"","parse-names":false,"suffix":""},{"dropping-particle":"","family":"Rock","given":"Cheryl L","non-dropping-particle":"","parse-names":false,"suffix":""},{"dropping-particle":"","family":"Horn","given":"Linda","non-dropping-particle":"Van","parse-names":false,"suffix":""}],"container-title":"Appetite","id":"ITEM-1","issued":{"date-parts":[["2015","12"]]},"language":"eng","page":"275-284","publisher-place":"England","title":"Eating behavior by sleep duration in the Hispanic Community Health Study/Study of Latinos.","type":"article-journal","volume":"95"},"uris":["http://www.mendeley.com/documents/?uuid=f1e44c4e-1673-456d-9e68-388d0e94264e"]}],"mendeley":{"formattedCitation":"(39)","plainTextFormattedCitation":"(39)","previouslyFormattedCitation":"(39)"},"properties":{"noteIndex":0},"schema":"https://github.com/citation-style-language/schema/raw/master/csl-citation.json"}</w:instrText>
      </w:r>
      <w:r w:rsidR="00221335" w:rsidRPr="00493003">
        <w:fldChar w:fldCharType="separate"/>
      </w:r>
      <w:r w:rsidR="00D84D2B" w:rsidRPr="00493003">
        <w:rPr>
          <w:noProof/>
        </w:rPr>
        <w:t>(40</w:t>
      </w:r>
      <w:r w:rsidR="006811E4" w:rsidRPr="00493003">
        <w:rPr>
          <w:noProof/>
        </w:rPr>
        <w:t>)</w:t>
      </w:r>
      <w:r w:rsidR="00221335" w:rsidRPr="00493003">
        <w:fldChar w:fldCharType="end"/>
      </w:r>
      <w:r w:rsidR="00221335" w:rsidRPr="00493003">
        <w:t xml:space="preserve"> </w:t>
      </w:r>
      <w:r w:rsidR="00404EDE" w:rsidRPr="00493003">
        <w:t xml:space="preserve">Thirdly, </w:t>
      </w:r>
      <w:r w:rsidR="002802D8" w:rsidRPr="00493003">
        <w:rPr>
          <w:lang w:val="en"/>
        </w:rPr>
        <w:t>i</w:t>
      </w:r>
      <w:r w:rsidR="00986998" w:rsidRPr="00493003">
        <w:rPr>
          <w:lang w:val="en"/>
        </w:rPr>
        <w:t>n patients with malnutrition, Orexin, a neuropeptide released from the hypothalamus to increase nutrition, also increases alertness.</w:t>
      </w:r>
      <w:r w:rsidR="00986998" w:rsidRPr="00493003">
        <w:t xml:space="preserve"> </w:t>
      </w:r>
      <w:r w:rsidR="00221335" w:rsidRPr="00493003">
        <w:fldChar w:fldCharType="begin" w:fldLock="1"/>
      </w:r>
      <w:r w:rsidR="006811E4" w:rsidRPr="00493003">
        <w:instrText>ADDIN CSL_CITATION {"citationItems":[{"id":"ITEM-1","itemData":{"DOI":"10.1007/s11920-016-0728-8","ISBN":"9780721607979","ISSN":"15351645","PMID":"27553980","abstract":"L'insonnia è legata a un aumento del rischio di disturbi alimentari, mentre i disturbi alimentari sono legati al sonno più disturbato. L'insonnia è legata anche i risultati del trattamento più poveri per i disturbi alimentari. Tuttavia, negli ultimi dieci anni, gli studi l'esame del sonno e disturbi del comportamento alimentare hanno fatto affidamento sui sondaggi, senza misure oggettive del sonno per solo i dati actigrafia per binge eating disorder anoressia nervosa o di bulimia nervosa, e. Disturbi del sonno è meglio definito per la sindrome di notte mangiare, dove l'efficienza del sonno è ridotto e il rilascio di melatonina è in ritardo. Gli studi che includono il sonno oggettivamente misurato e parametri metabolici combinati con i dati comorbidità psichiatrica potrebbe aiutare a identificare in quali circostanze disturbi alimentari e disturbi del sonno produrre un effetto additivo per la gravità dei sintomi e per i quali il sonno poveri sarebbe aumentare il rischio di un disturbo alimentare. terapia cognitivo-comportamentale per l'insonnia può essere un utile aggiunta al trattamento di quelli con entrambi disturbo alimentare e l'insonnia.","author":[{"dropping-particle":"","family":"Allison","given":"Kelly C.","non-dropping-particle":"","parse-names":false,"suffix":""},{"dropping-particle":"","family":"Spaeth","given":"Andrea","non-dropping-particle":"","parse-names":false,"suffix":""},{"dropping-particle":"","family":"Hopkins","given":"Christina M.","non-dropping-particle":"","parse-names":false,"suffix":""}],"container-title":"Current Psychiatry Reports","id":"ITEM-1","issued":{"date-parts":[["2016"]]},"title":"Sleep and Eating Disorders","type":"article"},"uris":["http://www.mendeley.com/documents/?uuid=0900061f-913e-41ae-a3c3-5bff3e7bbd2c"]}],"mendeley":{"formattedCitation":"(40)","plainTextFormattedCitation":"(40)","previouslyFormattedCitation":"(40)"},"properties":{"noteIndex":0},"schema":"https://github.com/citation-style-language/schema/raw/master/csl-citation.json"}</w:instrText>
      </w:r>
      <w:r w:rsidR="00221335" w:rsidRPr="00493003">
        <w:fldChar w:fldCharType="separate"/>
      </w:r>
      <w:r w:rsidR="00D84D2B" w:rsidRPr="00493003">
        <w:rPr>
          <w:noProof/>
        </w:rPr>
        <w:t>(41</w:t>
      </w:r>
      <w:r w:rsidR="006811E4" w:rsidRPr="00493003">
        <w:rPr>
          <w:noProof/>
        </w:rPr>
        <w:t>)</w:t>
      </w:r>
      <w:r w:rsidR="00221335" w:rsidRPr="00493003">
        <w:fldChar w:fldCharType="end"/>
      </w:r>
      <w:r w:rsidR="00000BBD" w:rsidRPr="00493003">
        <w:t xml:space="preserve"> </w:t>
      </w:r>
      <w:r w:rsidR="00C60FB4" w:rsidRPr="00493003">
        <w:rPr>
          <w:lang w:val="en"/>
        </w:rPr>
        <w:t>Accordingly, a large number of studies have shown that sleep is adversely affected in patients with anorexia and bulimia nervosa compared to those without; therefore, sleep is thought to be a clinical marker for eating disorders</w:t>
      </w:r>
      <w:r w:rsidR="00C60FB4" w:rsidRPr="00493003">
        <w:rPr>
          <w:bCs/>
        </w:rPr>
        <w:t xml:space="preserve">. </w:t>
      </w:r>
      <w:r w:rsidR="00C60FB4" w:rsidRPr="00493003">
        <w:rPr>
          <w:bCs/>
        </w:rPr>
        <w:fldChar w:fldCharType="begin" w:fldLock="1"/>
      </w:r>
      <w:r w:rsidR="006811E4" w:rsidRPr="00493003">
        <w:rPr>
          <w:bCs/>
        </w:rPr>
        <w:instrText>ADDIN CSL_CITATION {"citationItems":[{"id":"ITEM-1","itemData":{"DOI":"10.1016/j.sleep.2018.03.032","ISSN":"18785506","PMID":"29890462","abstract":"Objective: Sleep wake cycle and eating patterns undergo major changes throughout life and have been proved to be very correlated. Eating disorder prevalence is increasing and sleep problems are very common among them. The current study is concerned with investigating the sleep pattern in anorexia and bulimia female patients using both subjective and objective assessment tools. Methods: A cross sectional study of sleep patterns using structured sleep disorder questionnaire and full night polysomnography in 23 female patients with bulimia and anorexia, patients aged 18–45 years not on any treatment for a month at least, compared to a sex and age matched control group (20 participants), all cases were collected from the Institute of Psychiatry, Ain Shams University over 18 months interval. Results: Significant affection of most domains of sleep measured by subjective and objective assessment tools in patients compared with the control group. Discussion: Sleep is equally affected in bulimia and anorexia patients, confirming that sleep and eating disorders are highly correlated. Sleep may be a clinical marker in eating disorders.","author":[{"dropping-particle":"","family":"Asaad Abdou","given":"Tarek","non-dropping-particle":"","parse-names":false,"suffix":""},{"dropping-particle":"","family":"Esawy","given":"Heba Ibrahim","non-dropping-particle":"","parse-names":false,"suffix":""},{"dropping-particle":"","family":"Abdel Razek Mohamed","given":"Ghada","non-dropping-particle":"","parse-names":false,"suffix":""},{"dropping-particle":"","family":"Hussein Ahmed","given":"Hanan","non-dropping-particle":"","parse-names":false,"suffix":""},{"dropping-particle":"","family":"Elhabiby","given":"Mahmoud Mamdouh","non-dropping-particle":"","parse-names":false,"suffix":""},{"dropping-particle":"","family":"Khalil","given":"Sherien Ahmed","non-dropping-particle":"","parse-names":false,"suffix":""},{"dropping-particle":"","family":"El-Hawary","given":"Yomna Ahmed","non-dropping-particle":"","parse-names":false,"suffix":""}],"container-title":"Sleep Medicine","id":"ITEM-1","issued":{"date-parts":[["2018"]]},"title":"Sleep profile in anorexia and bulimia nervosa female patients","type":"article-journal"},"uris":["http://www.mendeley.com/documents/?uuid=088e4fc7-677e-4c97-a0bb-bc854061e6e4"]}],"mendeley":{"formattedCitation":"(41)","plainTextFormattedCitation":"(41)","previouslyFormattedCitation":"(41)"},"properties":{"noteIndex":0},"schema":"https://github.com/citation-style-language/schema/raw/master/csl-citation.json"}</w:instrText>
      </w:r>
      <w:r w:rsidR="00C60FB4" w:rsidRPr="00493003">
        <w:rPr>
          <w:bCs/>
        </w:rPr>
        <w:fldChar w:fldCharType="separate"/>
      </w:r>
      <w:r w:rsidR="00D84D2B" w:rsidRPr="00493003">
        <w:rPr>
          <w:bCs/>
          <w:noProof/>
        </w:rPr>
        <w:t>(42</w:t>
      </w:r>
      <w:r w:rsidR="006811E4" w:rsidRPr="00493003">
        <w:rPr>
          <w:bCs/>
          <w:noProof/>
        </w:rPr>
        <w:t>)</w:t>
      </w:r>
      <w:r w:rsidR="00C60FB4" w:rsidRPr="00493003">
        <w:rPr>
          <w:bCs/>
        </w:rPr>
        <w:fldChar w:fldCharType="end"/>
      </w:r>
      <w:r w:rsidR="00C60FB4" w:rsidRPr="00493003">
        <w:rPr>
          <w:bCs/>
        </w:rPr>
        <w:t xml:space="preserve"> </w:t>
      </w:r>
      <w:r w:rsidR="007E006A" w:rsidRPr="00493003">
        <w:rPr>
          <w:lang w:val="en-US"/>
        </w:rPr>
        <w:t>Orexin neurons “fire” with circadian rhythm; thus, orexin levels increase during periods of wakefulness, whereas serum rates of Orexin decrease during sleep. A recent study demonstrated that plasma orexin levels were higher in patie</w:t>
      </w:r>
      <w:r w:rsidR="001A62F8" w:rsidRPr="00493003">
        <w:rPr>
          <w:lang w:val="en-US"/>
        </w:rPr>
        <w:t xml:space="preserve">nts with insomnia than those </w:t>
      </w:r>
      <w:r w:rsidR="007E006A" w:rsidRPr="00493003">
        <w:rPr>
          <w:lang w:val="en-US"/>
        </w:rPr>
        <w:t xml:space="preserve">without insomnia. </w:t>
      </w:r>
      <w:r w:rsidR="007E006A" w:rsidRPr="00493003">
        <w:rPr>
          <w:lang w:val="en-US"/>
        </w:rPr>
        <w:fldChar w:fldCharType="begin" w:fldLock="1"/>
      </w:r>
      <w:r w:rsidR="00B066E9" w:rsidRPr="00493003">
        <w:rPr>
          <w:lang w:val="en-US"/>
        </w:rPr>
        <w:instrText>ADDIN CSL_CITATION {"citationItems":[{"id":"ITEM-1","itemData":{"DOI":"10.1016/j.peptides.2016.12.008","ISSN":"18735169","abstract":"Orexins, also known as hypocretins, play a regulatory role in the sleep-wake cycle by activating orexin receptors. Previous animal studies have shown that sleep deprivation can elevate orexinergic peptide levels. However, the relationship between insomnia disorder and orexin-A levels in humans has not been explored. In the current study, we examined plasma orexin-A levels in patients with insomnia disorder and in normal sleepers. We also studied the possible mechanisms underlying changes in orexin-A levels between the study groups; this included investigations of prepro-orexin and orexin receptor gene polymorphisms as well as exploration of other variables. We measured plasma orexin-A levels in 228 patients with insomnia disorder and 282 normal sleepers. The results indicated that the patients with insomnia disorder had significantly higher orexin-A levels than normal sleepers (63.42 ± 37.56 vs. 54.84 ± 23.95 pg/ml). A positive relationship was detected between orexin-A level and age in patients with insomnia disorder. Orexin-A levels were elevated in relation to course of insomnia, as well as in relation to increased Insomnia Severity Index score. None of the evaluated prepro-orexin gene single nucleotide polymorphisms were informative between the two study populations. After sequencing all orexin receptor exons, one variation (rs2271933) in the OX1R gene and one variation (rs2653349) in the OX2R gene were found. However, no significant differences were found in either genotypic or allelic frequency distributions between the two study groups. It is suggested that the increased plasma orexin-A levels in patients with insomnia disorder are associated with the course and severity of insomnia, but not with prepro-orexin and orexin receptor gene polymorphisms.","author":[{"dropping-particle":"","family":"Tang","given":"Shi","non-dropping-particle":"","parse-names":false,"suffix":""},{"dropping-particle":"","family":"Huang","given":"Weiwei","non-dropping-particle":"","parse-names":false,"suffix":""},{"dropping-particle":"","family":"Lu","given":"Shanshan","non-dropping-particle":"","parse-names":false,"suffix":""},{"dropping-particle":"","family":"Lu","given":"Lili","non-dropping-particle":"","parse-names":false,"suffix":""},{"dropping-particle":"","family":"Li","given":"Guohua","non-dropping-particle":"","parse-names":false,"suffix":""},{"dropping-particle":"","family":"Chen","given":"Xu","non-dropping-particle":"","parse-names":false,"suffix":""},{"dropping-particle":"","family":"Liu","given":"Xiaomin","non-dropping-particle":"","parse-names":false,"suffix":""},{"dropping-particle":"","family":"Lv","given":"Xin","non-dropping-particle":"","parse-names":false,"suffix":""},{"dropping-particle":"","family":"Zhao","given":"Zhangning","non-dropping-particle":"","parse-names":false,"suffix":""},{"dropping-particle":"","family":"Duan","given":"Ruisheng","non-dropping-particle":"","parse-names":false,"suffix":""},{"dropping-particle":"","family":"Du","given":"Yifeng","non-dropping-particle":"","parse-names":false,"suffix":""},{"dropping-particle":"","family":"Tang","given":"Jiyou","non-dropping-particle":"","parse-names":false,"suffix":""}],"container-title":"Peptides","id":"ITEM-1","issued":{"date-parts":[["2017"]]},"title":"Increased plasma orexin-A levels in patients with insomnia disorder are not associated with prepro-orexin or orexin receptor gene polymorphisms","type":"article-journal"},"uris":["http://www.mendeley.com/documents/?uuid=5599099a-a26a-45ac-955a-6f82a92376b6"]}],"mendeley":{"formattedCitation":"(42)","plainTextFormattedCitation":"(42)","previouslyFormattedCitation":"(42)"},"properties":{"noteIndex":0},"schema":"https://github.com/citation-style-language/schema/raw/master/csl-citation.json"}</w:instrText>
      </w:r>
      <w:r w:rsidR="007E006A" w:rsidRPr="00493003">
        <w:rPr>
          <w:lang w:val="en-US"/>
        </w:rPr>
        <w:fldChar w:fldCharType="separate"/>
      </w:r>
      <w:r w:rsidR="00D84D2B" w:rsidRPr="00493003">
        <w:rPr>
          <w:noProof/>
          <w:lang w:val="en-US"/>
        </w:rPr>
        <w:t>(43</w:t>
      </w:r>
      <w:r w:rsidR="007E006A" w:rsidRPr="00493003">
        <w:rPr>
          <w:noProof/>
          <w:lang w:val="en-US"/>
        </w:rPr>
        <w:t>)</w:t>
      </w:r>
      <w:r w:rsidR="007E006A" w:rsidRPr="00493003">
        <w:rPr>
          <w:lang w:val="en-US"/>
        </w:rPr>
        <w:fldChar w:fldCharType="end"/>
      </w:r>
      <w:r w:rsidR="00B066E9" w:rsidRPr="00493003">
        <w:rPr>
          <w:lang w:val="en-US"/>
        </w:rPr>
        <w:t xml:space="preserve"> </w:t>
      </w:r>
      <w:r w:rsidR="007E006A" w:rsidRPr="00493003">
        <w:rPr>
          <w:bCs/>
          <w:lang w:val="en-US"/>
        </w:rPr>
        <w:t xml:space="preserve">Orexin receptor antagonists also were </w:t>
      </w:r>
      <w:r w:rsidR="007E006A" w:rsidRPr="00493003">
        <w:rPr>
          <w:lang w:val="en-US"/>
        </w:rPr>
        <w:t xml:space="preserve">shown to improve sleep, and might be </w:t>
      </w:r>
      <w:r w:rsidR="007E006A" w:rsidRPr="00493003">
        <w:t xml:space="preserve">potential pharmacologic agents for treatment of disordered eating in humans. </w:t>
      </w:r>
      <w:r w:rsidR="0085121B" w:rsidRPr="00493003">
        <w:fldChar w:fldCharType="begin" w:fldLock="1"/>
      </w:r>
      <w:r w:rsidR="0085121B" w:rsidRPr="00493003">
        <w:instrText>ADDIN CSL_CITATION {"citationItems":[{"id":"ITEM-1","itemData":{"DOI":"10.5665/sleep.2386","ISSN":"1550-9109","PMID":"23372274","abstract":"STUDY OBJECTIVES: Suvorexant (MK-4305) is an orexin receptor antagonist being developed for the treatment of insomnia. This report describes the effects of nighttime administration of suvorexant on polysomnography (PSG) sleep parameters in healthy young men.\\n\\nDESIGN: Randomized, double-blind, placebo-controlled, 4-period crossover PSG study, followed by an additional 5(th) period to assess pharmacokinetics.\\n\\nSETTING: Sleep laboratory.\\n\\nPARTICIPANTS: Healthy young men between 18 and 45 years of age (22 enrolled, 19 completed).\\n\\nINTERVENTIONS: Periods 1-4: suvorexant (10 mg, 50 mg, or 100 mg) or placebo 1 h before nighttime PSG recording. Period 5: suvorexant 10 mg, 50 mg, or 100 mg.\\n\\nMEASUREMENTS AND RESULTS: In Periods 1-4, overnight sleep parameters were recorded by PSG and next-morning residual effects were assessed by psychomotor performance tests and subjective assessments. Statistically significant sleep-promoting effects were observed with all doses of suvorexant compared to placebo. Suvorexant 50 mg and 100 mg significantly decreased latency to persistent sleep and wake after sleep onset time, and increased sleep efficiency. Suvorexant 10 mg significantly decreased wake after sleep onset time. There were no statistically significant effects of suvorexant on EEG frequency bands including delta (slow wave) activity based on power spectral analysis. Suvorexant was well tolerated. There was no evidence of next-day residual effects for suvorexant 10 mg. Suvorexant 50 mg statistically significantly reduced subjective alertness, and suvorexant 100 mg significantly increased reaction time and reduced subjective alertness. There were no statistically significant effects of any suvorexant dose on digit symbol substitution test performance. In Period 5, plasma samples of suvorexant were collected for pharmacokinetic evaluation. The median T(max) was 3 hours and apparent terminal t(½) was 9-13 hours.\\n\\nCONCLUSIONS: In healthy young men without sleep disorders, suvorexant promoted sleep with some evidence of residual effects at the highest doses.","author":[{"dropping-particle":"","family":"Sun","given":"Hong","non-dropping-particle":"","parse-names":false,"suffix":""},{"dropping-particle":"","family":"Kennedy","given":"William P","non-dropping-particle":"","parse-names":false,"suffix":""},{"dropping-particle":"","family":"Wilbraham","given":"Darren","non-dropping-particle":"","parse-names":false,"suffix":""},{"dropping-particle":"","family":"Lewis","given":"Nicole","non-dropping-particle":"","parse-names":false,"suffix":""},{"dropping-particle":"","family":"Calder","given":"Nicole","non-dropping-particle":"","parse-names":false,"suffix":""},{"dropping-particle":"","family":"Li","given":"Xiaodong","non-dropping-particle":"","parse-names":false,"suffix":""},{"dropping-particle":"","family":"Ma","given":"Junshui","non-dropping-particle":"","parse-names":false,"suffix":""},{"dropping-particle":"","family":"Yee","given":"Ka Lai","non-dropping-particle":"","parse-names":false,"suffix":""},{"dropping-particle":"","family":"Ermlich","given":"Susan","non-dropping-particle":"","parse-names":false,"suffix":""},{"dropping-particle":"","family":"Mangin","given":"Eric","non-dropping-particle":"","parse-names":false,"suffix":""},{"dropping-particle":"","family":"Lines","given":"Christopher","non-dropping-particle":"","parse-names":false,"suffix":""},{"dropping-particle":"","family":"Rosen","given":"Laura","non-dropping-particle":"","parse-names":false,"suffix":""},{"dropping-particle":"","family":"Chodakewitz","given":"Jeffrey","non-dropping-particle":"","parse-names":false,"suffix":""},{"dropping-particle":"","family":"Murphy","given":"Gail M","non-dropping-particle":"","parse-names":false,"suffix":""}],"container-title":"Sleep","id":"ITEM-1","issued":{"date-parts":[["2013"]]},"title":"Effects of suvorexant, an orexin receptor antagonist, on sleep parameters as measured by polysomnography in healthy men.","type":"article-journal"},"uris":["http://www.mendeley.com/documents/?uuid=d7c4375b-260e-4261-9a85-f76b810954fa"]},{"id":"ITEM-2","itemData":{"DOI":"10.1038/srep16143","ISSN":"2045-2322 (Electronic)","PMID":"26536818","abstract":"The orexin/hypocretin system is important for reward-seeking behaviors, however less is known about its function in non-homeostatic feeding. Environmental influences, particularly cues for food can stimulate feeding in the absence of hunger and lead to maladaptive overeating behavior. The key components of the neural network that mediates this cue-induced overeating in sated rats include lateral hypothalamus, amygdala, and medial prefrontal cortex (mPFC), yet the neuropharmacological mechanisms within this network remain unknown. The current study investigated a causal role for orexin in cue-driven feeding, and examined the neural substrates through which orexin mediates this effect. Systemic administration of the orexin-1 receptor (OX1R) antagonist SB-334867 had no effect on baseline eating, but significantly reduced cue-driven consumption in sated rats. Complementary neural analysis revealed that decreased cue-induced feeding under SB-334867 increased Fos expression in mPFC and paraventricular thalamus. These results demonstrate that OX1R signaling critically regulates cue-induced feeding, and suggest orexin is acting through prefrontal cortical and thalamic sites to drive eating in the absence of hunger. These findings inform our understanding of how food-associated cues override signals from the body to promote overeating, and indicate OX1R antagonism as a potential pharmacologic target for treatment of disordered eating in humans.","author":[{"dropping-particle":"","family":"Cole","given":"Sindy","non-dropping-particle":"","parse-names":false,"suffix":""},{"dropping-particle":"","family":"Mayer","given":"Heather S","non-dropping-particle":"","parse-names":false,"suffix":""},{"dropping-particle":"","family":"Petrovich","given":"Gorica D","non-dropping-particle":"","parse-names":false,"suffix":""}],"container-title":"Scientific reports","id":"ITEM-2","issued":{"date-parts":[["2015","11"]]},"language":"eng","page":"16143","publisher-place":"England","title":"Orexin/Hypocretin-1 Receptor Antagonism Selectively Reduces Cue-Induced Feeding in Sated Rats and Recruits Medial Prefrontal Cortex and Thalamus.","type":"article-journal","volume":"5"},"uris":["http://www.mendeley.com/documents/?uuid=792fe032-f4dc-40a7-8a18-9da23cc5fa01"]}],"mendeley":{"formattedCitation":"(43,44)","plainTextFormattedCitation":"(43,44)"},"properties":{"noteIndex":0},"schema":"https://github.com/citation-style-language/schema/raw/master/csl-citation.json"}</w:instrText>
      </w:r>
      <w:r w:rsidR="0085121B" w:rsidRPr="00493003">
        <w:fldChar w:fldCharType="separate"/>
      </w:r>
      <w:r w:rsidR="00D84D2B" w:rsidRPr="00493003">
        <w:rPr>
          <w:noProof/>
        </w:rPr>
        <w:t>(44,45</w:t>
      </w:r>
      <w:r w:rsidR="0085121B" w:rsidRPr="00493003">
        <w:rPr>
          <w:noProof/>
        </w:rPr>
        <w:t>)</w:t>
      </w:r>
      <w:r w:rsidR="0085121B" w:rsidRPr="00493003">
        <w:fldChar w:fldCharType="end"/>
      </w:r>
      <w:r w:rsidR="007E006A" w:rsidRPr="00493003">
        <w:rPr>
          <w:lang w:val="en-US"/>
        </w:rPr>
        <w:t xml:space="preserve"> </w:t>
      </w:r>
      <w:r w:rsidR="007E006A" w:rsidRPr="00493003">
        <w:t xml:space="preserve">However, </w:t>
      </w:r>
      <w:r w:rsidR="007E006A" w:rsidRPr="00493003">
        <w:rPr>
          <w:lang w:val="en-US"/>
        </w:rPr>
        <w:t>further researc</w:t>
      </w:r>
      <w:r w:rsidR="00C8128E" w:rsidRPr="00493003">
        <w:rPr>
          <w:lang w:val="en-US"/>
        </w:rPr>
        <w:t xml:space="preserve">h is necessary to address this </w:t>
      </w:r>
      <w:r w:rsidR="007E006A" w:rsidRPr="00493003">
        <w:rPr>
          <w:lang w:val="en-US"/>
        </w:rPr>
        <w:t>issue</w:t>
      </w:r>
      <w:r w:rsidR="00C60FB4" w:rsidRPr="00493003">
        <w:rPr>
          <w:lang w:val="en-US"/>
        </w:rPr>
        <w:t xml:space="preserve">. </w:t>
      </w:r>
      <w:r w:rsidR="00000BBD" w:rsidRPr="00493003">
        <w:rPr>
          <w:bCs/>
        </w:rPr>
        <w:t xml:space="preserve">Lastly, </w:t>
      </w:r>
      <w:r w:rsidR="002802D8" w:rsidRPr="00493003">
        <w:rPr>
          <w:bCs/>
          <w:lang w:val="en"/>
        </w:rPr>
        <w:t>insomnia itself may also affect dietary behaviors and intake</w:t>
      </w:r>
      <w:r w:rsidR="000140C2" w:rsidRPr="00493003">
        <w:rPr>
          <w:bCs/>
          <w:lang w:val="en-US"/>
        </w:rPr>
        <w:t>.</w:t>
      </w:r>
      <w:r w:rsidR="00115CBF" w:rsidRPr="00493003">
        <w:rPr>
          <w:bCs/>
          <w:lang w:val="en-US"/>
        </w:rPr>
        <w:t xml:space="preserve"> </w:t>
      </w:r>
      <w:r w:rsidR="00115CBF" w:rsidRPr="00493003">
        <w:rPr>
          <w:bCs/>
          <w:lang w:val="en-US"/>
        </w:rPr>
        <w:fldChar w:fldCharType="begin" w:fldLock="1"/>
      </w:r>
      <w:r w:rsidR="0085121B" w:rsidRPr="00493003">
        <w:rPr>
          <w:bCs/>
          <w:lang w:val="en-US"/>
        </w:rPr>
        <w:instrText>ADDIN CSL_CITATION {"citationItems":[{"id":"ITEM-1","itemData":{"DOI":"10.1017/S136898001000296X","ISSN":"14752727","PMID":"21029511","abstract":"OBJECTIVE: To identify major meal and snack eating patterns, and examine their relationships with sleep duration. DESIGN: The analyses included 27 983 participants in a prospective cohort study of women aged 35 to 74 years in the USA or Puerto Rico. RESULTS: The principal component analysis of eight meal and snack frequency items at different times across the day yielded two major eating patterns: (i) eating during conventional eating hours (defined as times from breakfast to dinner); and (ii) dominance of snacks over meals. Comparing the identified eating patterns among women with varying sleep duration (&lt;5, 5-5·9, 6-6·9, 7-7·9, 8-8·9, 9-9·9 and ≥10 h daily), the tendency for eating during conventional eating hours decreased with decreasing sleep duration: adjusted mean score of -0·54 (95% CI -0·68, -0·41) in women sleeping for &lt;5 h daily v. 0·08 (95% CI 0·06, 0·11) among those with 7-7·9 h of sleep daily. The extent of snack dominance over meals increased in women with shorter sleep. Women with long (≥10 h) sleep duration had eating patterns similar to those with short (&lt;6 h) sleep duration. Lower tendency for eating during conventional eating hours and greater snack dominance over meals were also related to higher intakes of fat and sweets for energy and lower intakes of fruits and vegetables. CONCLUSIONS: Disrupted eating patterns and diet of poor nutritional quality may exacerbate the development of obesity and metabolic diseases in habitual short and very long sleepers.","author":[{"dropping-particle":"","family":"Kim","given":"Sangmi","non-dropping-particle":"","parse-names":false,"suffix":""},{"dropping-particle":"","family":"Deroo","given":"Lisa A.","non-dropping-particle":"","parse-names":false,"suffix":""},{"dropping-particle":"","family":"Sandler","given":"Dale P.","non-dropping-particle":"","parse-names":false,"suffix":""}],"container-title":"Public Health Nutrition","id":"ITEM-1","issued":{"date-parts":[["2011"]]},"title":"Eating patterns and nutritional characteristics associated with sleep duration","type":"article-journal"},"uris":["http://www.mendeley.com/documents/?uuid=a14ede61-d805-4d7e-aea3-c80b6a3cc3d5"]}],"mendeley":{"formattedCitation":"(45)","plainTextFormattedCitation":"(45)","previouslyFormattedCitation":"(45)"},"properties":{"noteIndex":0},"schema":"https://github.com/citation-style-language/schema/raw/master/csl-citation.json"}</w:instrText>
      </w:r>
      <w:r w:rsidR="00115CBF" w:rsidRPr="00493003">
        <w:rPr>
          <w:bCs/>
          <w:lang w:val="en-US"/>
        </w:rPr>
        <w:fldChar w:fldCharType="separate"/>
      </w:r>
      <w:r w:rsidR="00D84D2B" w:rsidRPr="00493003">
        <w:rPr>
          <w:bCs/>
          <w:noProof/>
          <w:lang w:val="en-US"/>
        </w:rPr>
        <w:t>(46</w:t>
      </w:r>
      <w:r w:rsidR="0085121B" w:rsidRPr="00493003">
        <w:rPr>
          <w:bCs/>
          <w:noProof/>
          <w:lang w:val="en-US"/>
        </w:rPr>
        <w:t>)</w:t>
      </w:r>
      <w:r w:rsidR="00115CBF" w:rsidRPr="00493003">
        <w:rPr>
          <w:bCs/>
          <w:lang w:val="en-US"/>
        </w:rPr>
        <w:fldChar w:fldCharType="end"/>
      </w:r>
      <w:r w:rsidR="000140C2" w:rsidRPr="00493003">
        <w:rPr>
          <w:bCs/>
          <w:lang w:val="en-US"/>
        </w:rPr>
        <w:t xml:space="preserve"> </w:t>
      </w:r>
      <w:r w:rsidR="002802D8" w:rsidRPr="00493003">
        <w:rPr>
          <w:bCs/>
          <w:lang w:val="en"/>
        </w:rPr>
        <w:t>For example, decreased appetite for heart failure patients was associated with insomnia</w:t>
      </w:r>
      <w:r w:rsidR="00115CBF" w:rsidRPr="00493003">
        <w:rPr>
          <w:bCs/>
          <w:lang w:val="en-US"/>
        </w:rPr>
        <w:t xml:space="preserve">. </w:t>
      </w:r>
      <w:r w:rsidR="00115CBF" w:rsidRPr="00493003">
        <w:rPr>
          <w:bCs/>
          <w:lang w:val="en-US"/>
        </w:rPr>
        <w:fldChar w:fldCharType="begin" w:fldLock="1"/>
      </w:r>
      <w:r w:rsidR="0085121B" w:rsidRPr="00493003">
        <w:rPr>
          <w:bCs/>
          <w:lang w:val="en-US"/>
        </w:rPr>
        <w:instrText>ADDIN CSL_CITATION {"citationItems":[{"id":"ITEM-1","itemData":{"DOI":"10.1111/jocn.13220","ISBN":"0962-1067","ISSN":"13652702","PMID":"26879764","abstract":"AIMS AND OBJECTIVES To explore the prevalence of decreased appetite and factors associated with appetite among patients with stable heart failure. BACKGROUND Decreased appetite is an important factor for the development of undernutrition among patients with heart failure, but there are knowledge gaps about prevalence and the factors related to appetite in this patient group. DESIGN Observational, cross-sectional study. METHODS A total of 186 patients with mild to severe heart failure were consecutively recruited from three heart failure outpatient clinics. Data were obtained from medical records (heart failure diagnosis, comorbidity and medical treatment) and self-rated questionnaires (demographics, appetite, self-perceived health, symptoms of depression and sleep). Blood samples were taken to determine myocardial stress and nutrition status. Heart failure symptoms and cognitive function were assessed by clinical examinations. The Council on Nutrition Appetite Questionnaire was used to assess self-reported appetite. Bivariate correlations and multivariate linear regression analyses were conducted to explore factors associated with appetite. RESULTS Seventy-one patients (38%) experienced a loss of appetite with a significant risk of developing weight loss. The final multiple regression model showed that age, symptoms of depression, insomnia, cognitive function and pharmacological treatment were associated with appetite, explaining 27% of the total variance. CONCLUSION In this cross-sectional study, a large share of patients with heart failure was affected by decreased appetite, associated with demographic, psychosocial and medical factors. RELEVANCE TO CLINICAL PRACTICE Loss of appetite is a prevalent problem among patients with heart failure that may lead to undernutrition. Health care professionals should routinely assess appetite and discuss patients' experiences of appetite, nutrition intake and body weight and give appropriate nutritional advice with respect to individual needs.","author":[{"dropping-particle":"","family":"Andreae","given":"Christina","non-dropping-particle":"","parse-names":false,"suffix":""},{"dropping-particle":"","family":"Strömberg","given":"Anna","non-dropping-particle":"","parse-names":false,"suffix":""},{"dropping-particle":"","family":"Årestedt","given":"Kristofer","non-dropping-particle":"","parse-names":false,"suffix":""}],"container-title":"Journal of Clinical Nursing","id":"ITEM-1","issued":{"date-parts":[["2016"]]},"title":"Prevalence and associated factors for decreased appetite among patients with stable heart failure","type":"article-journal"},"uris":["http://www.mendeley.com/documents/?uuid=a57b0946-3e4e-497f-ab03-a1010edf2db0"]}],"mendeley":{"formattedCitation":"(46)","plainTextFormattedCitation":"(46)","previouslyFormattedCitation":"(46)"},"properties":{"noteIndex":0},"schema":"https://github.com/citation-style-language/schema/raw/master/csl-citation.json"}</w:instrText>
      </w:r>
      <w:r w:rsidR="00115CBF" w:rsidRPr="00493003">
        <w:rPr>
          <w:bCs/>
          <w:lang w:val="en-US"/>
        </w:rPr>
        <w:fldChar w:fldCharType="separate"/>
      </w:r>
      <w:r w:rsidR="00D84D2B" w:rsidRPr="00493003">
        <w:rPr>
          <w:bCs/>
          <w:noProof/>
          <w:lang w:val="en-US"/>
        </w:rPr>
        <w:t>(47</w:t>
      </w:r>
      <w:r w:rsidR="0085121B" w:rsidRPr="00493003">
        <w:rPr>
          <w:bCs/>
          <w:noProof/>
          <w:lang w:val="en-US"/>
        </w:rPr>
        <w:t>)</w:t>
      </w:r>
      <w:r w:rsidR="00115CBF" w:rsidRPr="00493003">
        <w:rPr>
          <w:bCs/>
          <w:lang w:val="en-US"/>
        </w:rPr>
        <w:fldChar w:fldCharType="end"/>
      </w:r>
      <w:r w:rsidR="00A72BB2" w:rsidRPr="00493003">
        <w:rPr>
          <w:bCs/>
          <w:lang w:val="en-US"/>
        </w:rPr>
        <w:t xml:space="preserve"> </w:t>
      </w:r>
      <w:r w:rsidR="002802D8" w:rsidRPr="00493003">
        <w:rPr>
          <w:bCs/>
          <w:lang w:val="en"/>
        </w:rPr>
        <w:t>On the other hand, decreased sleep time may also help to explain the cause of worsening nutrient status by increasing insomnia severity.</w:t>
      </w:r>
      <w:r w:rsidR="002802D8" w:rsidRPr="00493003">
        <w:rPr>
          <w:bCs/>
          <w:lang w:val="en-US"/>
        </w:rPr>
        <w:t xml:space="preserve"> </w:t>
      </w:r>
      <w:r w:rsidR="009A575E" w:rsidRPr="00493003">
        <w:rPr>
          <w:bCs/>
          <w:lang w:val="en-US"/>
        </w:rPr>
        <w:fldChar w:fldCharType="begin" w:fldLock="1"/>
      </w:r>
      <w:r w:rsidR="0085121B" w:rsidRPr="00493003">
        <w:rPr>
          <w:bCs/>
          <w:lang w:val="en-US"/>
        </w:rPr>
        <w:instrText xml:space="preserve">ADDIN CSL_CITATION {"citationItems":[{"id":"ITEM-1","itemData":{"DOI":"10.1113/jphysiol.2010.197517","ISBN":"1469-7793","ISSN":"00223751","PMID":"21059762","abstract":"Sleep has been proposed to be a physiological adaptation to conserve energy, but little research has examined this proposed function of sleep in humans. We quantified effects of sleep, sleep deprivation and recovery sleep on whole-body total daily energy expenditure (EE) and on EE during the habitual day and nighttime. We also determined effects of sleep stage during baseline and recovery sleep on EE. Seven healthy participants aged 22 ± 5 years (mean ± s.d.) maintained </w:instrText>
      </w:r>
      <w:r w:rsidR="0085121B" w:rsidRPr="00493003">
        <w:rPr>
          <w:rFonts w:ascii="Cambria Math" w:hAnsi="Cambria Math" w:cs="Cambria Math"/>
          <w:bCs/>
          <w:lang w:val="en-US"/>
        </w:rPr>
        <w:instrText>∼</w:instrText>
      </w:r>
      <w:r w:rsidR="0085121B" w:rsidRPr="00493003">
        <w:rPr>
          <w:bCs/>
          <w:lang w:val="en-US"/>
        </w:rPr>
        <w:instrText xml:space="preserve">8 h per night sleep schedules for 1 week before the study and consumed a weight-maintenance diet for 3 days prior to and during the laboratory protocol. Following a habituation night, subjects lived in a whole-room indirect calorimeter for 3 days. The first 24 h served as baseline – 16 h wakefulness, 8 h scheduled sleep – and this was followed by 40 h sleep deprivation and 8 h scheduled recovery sleep. Findings show that, compared to baseline, 24 h EE was significantly increased by </w:instrText>
      </w:r>
      <w:r w:rsidR="0085121B" w:rsidRPr="00493003">
        <w:rPr>
          <w:rFonts w:ascii="Cambria Math" w:hAnsi="Cambria Math" w:cs="Cambria Math"/>
          <w:bCs/>
          <w:lang w:val="en-US"/>
        </w:rPr>
        <w:instrText>∼</w:instrText>
      </w:r>
      <w:r w:rsidR="0085121B" w:rsidRPr="00493003">
        <w:rPr>
          <w:bCs/>
          <w:lang w:val="en-US"/>
        </w:rPr>
        <w:instrText xml:space="preserve">7% during the first 24 h of sleep deprivation and was significantly decreased by </w:instrText>
      </w:r>
      <w:r w:rsidR="0085121B" w:rsidRPr="00493003">
        <w:rPr>
          <w:rFonts w:ascii="Cambria Math" w:hAnsi="Cambria Math" w:cs="Cambria Math"/>
          <w:bCs/>
          <w:lang w:val="en-US"/>
        </w:rPr>
        <w:instrText>∼</w:instrText>
      </w:r>
      <w:r w:rsidR="0085121B" w:rsidRPr="00493003">
        <w:rPr>
          <w:bCs/>
          <w:lang w:val="en-US"/>
        </w:rPr>
        <w:instrText xml:space="preserve">5% during recovery, which included hours awake 25-40 and 8 h recovery sleep. During the night time, EE was significantly increased by </w:instrText>
      </w:r>
      <w:r w:rsidR="0085121B" w:rsidRPr="00493003">
        <w:rPr>
          <w:rFonts w:ascii="Cambria Math" w:hAnsi="Cambria Math" w:cs="Cambria Math"/>
          <w:bCs/>
          <w:lang w:val="en-US"/>
        </w:rPr>
        <w:instrText>∼</w:instrText>
      </w:r>
      <w:r w:rsidR="0085121B" w:rsidRPr="00493003">
        <w:rPr>
          <w:bCs/>
          <w:lang w:val="en-US"/>
        </w:rPr>
        <w:instrText xml:space="preserve">32% on the sleep deprivation night and significantly decreased by </w:instrText>
      </w:r>
      <w:r w:rsidR="0085121B" w:rsidRPr="00493003">
        <w:rPr>
          <w:rFonts w:ascii="Cambria Math" w:hAnsi="Cambria Math" w:cs="Cambria Math"/>
          <w:bCs/>
          <w:lang w:val="en-US"/>
        </w:rPr>
        <w:instrText>∼</w:instrText>
      </w:r>
      <w:r w:rsidR="0085121B" w:rsidRPr="00493003">
        <w:rPr>
          <w:bCs/>
          <w:lang w:val="en-US"/>
        </w:rPr>
        <w:instrText>4% during recovery sleep compared to baseline. Small differences in EE were observed among sleep stages, but wakefulness during the sleep episode was associated with increased energy expenditure. These findings provide support for the hypothesis that sleep conserves energy and that sleep deprivation increases total daily EE in humans.","author":[{"dropping-particle":"","family":"Jung","given":"Christopher M.","non-dropping-particle":"","parse-names":false,"suffix":""},{"dropping-particle":"","family":"Melanson","given":"Edward L.","non-dropping-particle":"","parse-names":false,"suffix":""},{"dropping-particle":"","family":"Frydendall","given":"Emily J.","non-dropping-particle":"","parse-names":false,"suffix":""},{"dropping-particle":"","family":"Perreault","given":"Leigh","non-dropping-particle":"","parse-names":false,"suffix":""},{"dropping-particle":"","family":"Eckel","given":"Robert H.","non-dropping-particle":"","parse-names":false,"suffix":""},{"dropping-particle":"","family":"Wright","given":"Kenneth P.","non-dropping-particle":"","parse-names":false,"suffix":""}],"container-title":"Journal of Physiology","id":"ITEM-1","issued":{"date-parts":[["2011"]]},"title":"Energy expenditure during sleep, sleep deprivation and sleep following sleep deprivation in adult humans","type":"article-journal"},"uris":["http://www.mendeley.com/documents/?uuid=d278da82-162d-46b3-9a2a-10e58b9f1702"]}],"mendeley":{"formattedCitation":"(47)","plainTextFormattedCitation":"(47)","previouslyFormattedCitation":"(47)"},"properties":{"noteIndex":0},"schema":"https://github.com/citation-style-language/schema/raw/master/csl-citation.json"}</w:instrText>
      </w:r>
      <w:r w:rsidR="009A575E" w:rsidRPr="00493003">
        <w:rPr>
          <w:bCs/>
          <w:lang w:val="en-US"/>
        </w:rPr>
        <w:fldChar w:fldCharType="separate"/>
      </w:r>
      <w:r w:rsidR="00D84D2B" w:rsidRPr="00493003">
        <w:rPr>
          <w:bCs/>
          <w:noProof/>
          <w:lang w:val="en-US"/>
        </w:rPr>
        <w:t>(48</w:t>
      </w:r>
      <w:r w:rsidR="0085121B" w:rsidRPr="00493003">
        <w:rPr>
          <w:bCs/>
          <w:noProof/>
          <w:lang w:val="en-US"/>
        </w:rPr>
        <w:t>)</w:t>
      </w:r>
      <w:r w:rsidR="009A575E" w:rsidRPr="00493003">
        <w:rPr>
          <w:bCs/>
          <w:lang w:val="en-US"/>
        </w:rPr>
        <w:fldChar w:fldCharType="end"/>
      </w:r>
      <w:r w:rsidR="00A72BB2" w:rsidRPr="00493003">
        <w:rPr>
          <w:bCs/>
          <w:lang w:val="en-US"/>
        </w:rPr>
        <w:t xml:space="preserve"> </w:t>
      </w:r>
      <w:r w:rsidR="00E51939" w:rsidRPr="00493003">
        <w:rPr>
          <w:bCs/>
          <w:lang w:val="en"/>
        </w:rPr>
        <w:t>However, future studies</w:t>
      </w:r>
      <w:r w:rsidR="00D93F61" w:rsidRPr="00493003">
        <w:rPr>
          <w:bCs/>
          <w:lang w:val="en"/>
        </w:rPr>
        <w:t xml:space="preserve"> utilizing a longitudinal or experimental design</w:t>
      </w:r>
      <w:r w:rsidR="00E51939" w:rsidRPr="00493003">
        <w:rPr>
          <w:bCs/>
          <w:lang w:val="en"/>
        </w:rPr>
        <w:t xml:space="preserve"> are needed to establish the accuracy of all these hypotheses.</w:t>
      </w:r>
      <w:r w:rsidR="00E51939" w:rsidRPr="00493003">
        <w:rPr>
          <w:bCs/>
          <w:lang w:val="tr-TR"/>
        </w:rPr>
        <w:t xml:space="preserve"> </w:t>
      </w:r>
    </w:p>
    <w:p w14:paraId="78AE92A8" w14:textId="00C7ED32" w:rsidR="009A575E" w:rsidRPr="00493003" w:rsidRDefault="00E51939" w:rsidP="005A226D">
      <w:pPr>
        <w:spacing w:line="360" w:lineRule="auto"/>
        <w:jc w:val="both"/>
        <w:rPr>
          <w:bCs/>
          <w:lang w:val="en"/>
        </w:rPr>
      </w:pPr>
      <w:r w:rsidRPr="00493003">
        <w:rPr>
          <w:bCs/>
          <w:lang w:val="en"/>
        </w:rPr>
        <w:t xml:space="preserve">Our study is the first to investigate insomnia severity and nutritional status in the elderly. </w:t>
      </w:r>
      <w:r w:rsidR="00DD288E" w:rsidRPr="00493003">
        <w:rPr>
          <w:bCs/>
          <w:lang w:val="en"/>
        </w:rPr>
        <w:t>S</w:t>
      </w:r>
      <w:r w:rsidRPr="00493003">
        <w:rPr>
          <w:bCs/>
          <w:lang w:val="en"/>
        </w:rPr>
        <w:t xml:space="preserve">o far, </w:t>
      </w:r>
      <w:r w:rsidR="00392823" w:rsidRPr="00493003">
        <w:rPr>
          <w:bCs/>
          <w:lang w:val="en"/>
        </w:rPr>
        <w:t>correlation between malnutrition and insomnia was</w:t>
      </w:r>
      <w:r w:rsidR="00DD288E" w:rsidRPr="00493003">
        <w:rPr>
          <w:bCs/>
          <w:lang w:val="en"/>
        </w:rPr>
        <w:t xml:space="preserve"> v</w:t>
      </w:r>
      <w:r w:rsidR="00D109B7" w:rsidRPr="00493003">
        <w:rPr>
          <w:bCs/>
          <w:lang w:val="en"/>
        </w:rPr>
        <w:t>aguely</w:t>
      </w:r>
      <w:r w:rsidR="00392823" w:rsidRPr="00493003">
        <w:rPr>
          <w:bCs/>
          <w:lang w:val="en"/>
        </w:rPr>
        <w:t xml:space="preserve"> </w:t>
      </w:r>
      <w:r w:rsidR="00DD288E" w:rsidRPr="00493003">
        <w:rPr>
          <w:bCs/>
          <w:lang w:val="en"/>
        </w:rPr>
        <w:t xml:space="preserve">mentioned in </w:t>
      </w:r>
      <w:r w:rsidRPr="00493003">
        <w:rPr>
          <w:bCs/>
          <w:lang w:val="en"/>
        </w:rPr>
        <w:t>studies investigating geriatric syndromes associated with malnutrition in the elderly,</w:t>
      </w:r>
      <w:r w:rsidR="00392823" w:rsidRPr="00493003">
        <w:rPr>
          <w:bCs/>
          <w:lang w:val="en"/>
        </w:rPr>
        <w:t xml:space="preserve"> but </w:t>
      </w:r>
      <w:r w:rsidR="00DD288E" w:rsidRPr="00493003">
        <w:rPr>
          <w:bCs/>
          <w:lang w:val="en"/>
        </w:rPr>
        <w:t xml:space="preserve">this correlation could not elaborately be evaluated </w:t>
      </w:r>
      <w:r w:rsidR="00392823" w:rsidRPr="00493003">
        <w:rPr>
          <w:bCs/>
          <w:lang w:val="en"/>
        </w:rPr>
        <w:t>because</w:t>
      </w:r>
      <w:r w:rsidR="00DD288E" w:rsidRPr="00493003">
        <w:rPr>
          <w:bCs/>
          <w:lang w:val="en"/>
        </w:rPr>
        <w:t xml:space="preserve"> they were </w:t>
      </w:r>
      <w:r w:rsidR="00392823" w:rsidRPr="00493003">
        <w:rPr>
          <w:bCs/>
          <w:lang w:val="en"/>
        </w:rPr>
        <w:t>not aimed for this purpose</w:t>
      </w:r>
      <w:r w:rsidRPr="00493003">
        <w:rPr>
          <w:bCs/>
          <w:lang w:val="en"/>
        </w:rPr>
        <w:t>.</w:t>
      </w:r>
      <w:r w:rsidR="00E1702C" w:rsidRPr="00493003">
        <w:rPr>
          <w:bCs/>
          <w:lang w:val="en-US"/>
        </w:rPr>
        <w:t xml:space="preserve"> </w:t>
      </w:r>
      <w:r w:rsidR="009A575E" w:rsidRPr="00493003">
        <w:rPr>
          <w:bCs/>
          <w:lang w:val="en-US"/>
        </w:rPr>
        <w:fldChar w:fldCharType="begin" w:fldLock="1"/>
      </w:r>
      <w:r w:rsidR="0085121B" w:rsidRPr="00493003">
        <w:rPr>
          <w:bCs/>
          <w:lang w:val="en-US"/>
        </w:rPr>
        <w:instrText>ADDIN CSL_CITATION {"citationItems":[{"id":"ITEM-1","itemData":{"ISSN":"2090-262X (Electronic)","PMID":"30341994","abstract":"BACKGROUND: Malnutrition is a multifactorial problem that contributes to many health problems, as a cause or as a consequence. In elderly, it is a major health problem as it leads to progressive decline in physical and cognitive health, increased utilization of health services, and increased mortality. AIM: To screen the elderly persons for malnutrition and to detect the underlying factors of this problem. MATERIALS AND METHODS: A cross-sectional study was conducted on 320 elderly persons. A structured interview questionnaire sheet was used. It included sociodemographic data; anthropometric measurement; the Mini-Nutritional Assessment-Short Form in its Arabic version; and physical, psychosocial, and cognitive risk factors of malnutrition. RESULTS: Overall, 35% of the participants were malnourished and 38.4% were at risk of malnutrition. There were significant associations between malnutrition or being at risk of malnutrition and all the studied sociodemographic characteristics (P&lt;0.05) except tobacco smoking (P=0.39). Moreover, significant association (P&lt;0.05) was detected between malnutrition and lack of physical exercise, oral and gastrointestinal tract problems, chronic pain, physical dependency, number of chronic diseases, and number of drugs taken regularly. Social isolation, insomnia, special senses problems, and depression were the significant psychosocial and cognitive risk factors. CONCLUSION: Malnutrition or being at risk of malnutrition is prevalent among the rural elderly persons in Qalyobeya Governorate. The underlying factors were sociodemographic factors, lack of physical exercise, morbidities, and some psychological and cognitive factors. It is recommended that nutritional assessment should be included in any designed geriatric healthcare and health appraisal for the elderly.","author":[{"dropping-particle":"","family":"El-Desouky","given":"Rasha","non-dropping-particle":"","parse-names":false,"suffix":""},{"dropping-particle":"","family":"Abed","given":"Hala","non-dropping-particle":"","parse-names":false,"suffix":""}],"container-title":"The Journal of the Egyptian Public Health Association","id":"ITEM-1","issue":"3","issued":{"date-parts":[["2017","9"]]},"language":"eng","page":"156-166","publisher-place":"England","title":"Screening of malnutrition and its correlates among a sample of rural elderly in Qalyobeya Governorate, Egypt.","type":"article-journal","volume":"92"},"uris":["http://www.mendeley.com/documents/?uuid=ac1ddd06-6455-4df0-852c-8d7b02d3fdda"]},{"id":"ITEM-2","itemData":{"DOI":"10.1016/j.clnu.2010.04.006","ISBN":"0261-5614","ISSN":"02615614","PMID":"20627486","abstract":"Background &amp; Aims: Age related decline in food intake is associated with various physiological, psychological and social factors. Our aim was to assess the nutritional status of our elderly patients and its association with other geriatric syndromes. Methods: In this cross-sectional population based study, Mini Nutritional Assessment (MNA) test was used to evaluate nutritional status of 413 elderly patients who were admitted to our outpatient clinic in the last 12 months. MNA test results were compared with the laboratory findings and established geriatric syndromes. Results: Poor nutritional status was found in 44% of the patients (n = 181: 13% malnutrition, 31% malnutrition risk). Malnutrition rate was higher among those with subsequent hospitalization (n = 122, 25% vs 8%). Patients with poor nutritional status had lower blood haemoglobin, serum total protein and albumin, and revealed more chronic diseases and geriatric syndromes (6 ± 2 vs 3 ± 2, p &lt; 0.0001). Patients with depression, fecal incontinence, decreased cognitive function and functional dependence showed poor nutritional status according to MNA test results. Conclusions: Malnutrition rate of our patients was comparable with the previous data. Malnutrition risk showed positive correlation with the number of existing geriatric syndromes. Depression, dementia, functional dependence and multiple co-morbidities were associated with poor nutritional status. © 2010 Elsevier Ltd and European Society for Clinical Nutrition and Metabolism.","author":[{"dropping-particle":"","family":"Saka","given":"Bulent","non-dropping-particle":"","parse-names":false,"suffix":""},{"dropping-particle":"","family":"Kaya","given":"Omer","non-dropping-particle":"","parse-names":false,"suffix":""},{"dropping-particle":"","family":"Ozturk","given":"Gulistan Bahat","non-dropping-particle":"","parse-names":false,"suffix":""},{"dropping-particle":"","family":"Erten","given":"Nilgun","non-dropping-particle":"","parse-names":false,"suffix":""},{"dropping-particle":"","family":"Karan","given":"M. Akif","non-dropping-particle":"","parse-names":false,"suffix":""}],"container-title":"Clinical Nutrition","id":"ITEM-2","issued":{"date-parts":[["2010"]]},"title":"Malnutrition in the elderly and its relationship with other geriatric syndromes","type":"article-journal"},"uris":["http://www.mendeley.com/documents/?uuid=5268b020-dd30-4720-a493-58ec7c79be67"]}],"mendeley":{"formattedCitation":"(48,49)","plainTextFormattedCitation":"(48,49)","previouslyFormattedCitation":"(48,49)"},"properties":{"noteIndex":0},"schema":"https://github.com/citation-style-language/schema/raw/master/csl-citation.json"}</w:instrText>
      </w:r>
      <w:r w:rsidR="009A575E" w:rsidRPr="00493003">
        <w:rPr>
          <w:bCs/>
          <w:lang w:val="en-US"/>
        </w:rPr>
        <w:fldChar w:fldCharType="separate"/>
      </w:r>
      <w:r w:rsidR="00D84D2B" w:rsidRPr="00493003">
        <w:rPr>
          <w:bCs/>
          <w:noProof/>
          <w:lang w:val="en-US"/>
        </w:rPr>
        <w:t>(49,50</w:t>
      </w:r>
      <w:r w:rsidR="0085121B" w:rsidRPr="00493003">
        <w:rPr>
          <w:bCs/>
          <w:noProof/>
          <w:lang w:val="en-US"/>
        </w:rPr>
        <w:t>)</w:t>
      </w:r>
      <w:r w:rsidR="009A575E" w:rsidRPr="00493003">
        <w:rPr>
          <w:bCs/>
          <w:lang w:val="en-US"/>
        </w:rPr>
        <w:fldChar w:fldCharType="end"/>
      </w:r>
      <w:r w:rsidR="009A575E" w:rsidRPr="00493003">
        <w:rPr>
          <w:bCs/>
          <w:lang w:val="en-US"/>
        </w:rPr>
        <w:t xml:space="preserve"> </w:t>
      </w:r>
      <w:r w:rsidRPr="00493003">
        <w:rPr>
          <w:bCs/>
          <w:lang w:val="en"/>
        </w:rPr>
        <w:t>Although some studies have shown that vitamin B12, folate and especially vitamin D may cause insomnia</w:t>
      </w:r>
      <w:r w:rsidR="00CD3427" w:rsidRPr="00493003">
        <w:rPr>
          <w:bCs/>
          <w:lang w:val="en"/>
        </w:rPr>
        <w:t xml:space="preserve"> </w:t>
      </w:r>
      <w:r w:rsidR="00CD3427" w:rsidRPr="00493003">
        <w:rPr>
          <w:bCs/>
          <w:lang w:val="en"/>
        </w:rPr>
        <w:fldChar w:fldCharType="begin" w:fldLock="1"/>
      </w:r>
      <w:r w:rsidR="000A0AE7" w:rsidRPr="00493003">
        <w:rPr>
          <w:bCs/>
          <w:lang w:val="en"/>
        </w:rPr>
        <w:instrText>ADDIN CSL_CITATION {"citationItems":[{"id":"ITEM-1","itemData":{"DOI":"10.5665/sleep.4408","ISBN":"1550-9109 (Electronic)\\r0161-8105 (Linking)","ISSN":"0161-8105","PMID":"25581929","abstract":"STUDY OBJECTIVES: Maintaining adequate serum levels of vitamin D may be important for sleep duration and quality; however, these associations are not well understood. We examined whether levels of serum 25(OH)D are associated with objective measures of sleep in older men. SETTING AND PARTICIPANTS: Cross-sectional study within a large cohort of community-dwelling older men, the MrOS study. INTERVENTIONS: Among 3,048 men age 68 years or older, we measured total serum vitamin D. Objective estimates of nightly total sleep time, sleep efficiency, and wake time after sleep onset (WASO) were obtained using wrist actigraphy worn for an average of 5 consecutive 24-h periods. RESULTS: 16.4% of this study population had low levels of vitamin D (&lt; 20.3 ng/mL 25(OH)D). Lower serum vitamin D levels were associated with a higher odds of short (&lt; 5 h) sleep duration, (odds ratio [OR] for the highest (≥ 40.06 ng/mL) versus lowest (&lt; 20.3 ng/mL) quartile of 25(OH)D, 2.15; 95 % confidence interval (CI), 1.21-3.79; Ptrend = 0.004) as well as increased odds of actigraphy-measured sleep efficiency of less than 70% (OR, 1.45; 95% CI, 0.97-2.18; Ptrend = 0.004), after controlling for age, clinic, season, comorbidities, body mass index, and physical and cognitive function. Lower vitamin D levels were also associated with increased WASO in age-adjusted, but not multivariable adjusted models. CONCLUSIONS: Among older men, low levels of total serum 25(OH)D are associated with poorer sleep including short sleep duration and lower sleep efficiency. These findings, if confirmed by others, suggest a potential role for vitamin D in maintaining healthy sleep.","author":[{"dropping-particle":"","family":"Massa","given":"Jennifer","non-dropping-particle":"","parse-names":false,"suffix":""},{"dropping-particle":"","family":"Stone","given":"Katie L.","non-dropping-particle":"","parse-names":false,"suffix":""},{"dropping-particle":"","family":"Wei","given":"Esther K.","non-dropping-particle":"","parse-names":false,"suffix":""},{"dropping-particle":"","family":"Harrison","given":"Stephanie L.","non-dropping-particle":"","parse-names":false,"suffix":""},{"dropping-particle":"","family":"Barrett-Connor","given":"Elizabeth","non-dropping-particle":"","parse-names":false,"suffix":""},{"dropping-particle":"","family":"Lane","given":"Nancy E.","non-dropping-particle":"","parse-names":false,"suffix":""},{"dropping-particle":"","family":"Paudel","given":"Misti","non-dropping-particle":"","parse-names":false,"suffix":""},{"dropping-particle":"","family":"Redline","given":"Susan","non-dropping-particle":"","parse-names":false,"suffix":""},{"dropping-particle":"","family":"Ancoli-Israel","given":"Sonia","non-dropping-particle":"","parse-names":false,"suffix":""},{"dropping-particle":"","family":"Orwoll","given":"Eric","non-dropping-particle":"","parse-names":false,"suffix":""},{"dropping-particle":"","family":"Schernhammer","given":"Eva","non-dropping-particle":"","parse-names":false,"suffix":""}],"container-title":"Sleep","id":"ITEM-1","issued":{"date-parts":[["2015"]]},"title":"Vitamin D and Actigraphic Sleep Outcomes in Older Community-Dwelling Men: The MrOS Sleep Study","type":"article-journal"},"uris":["http://www.mendeley.com/documents/?uuid=f8be41db-e804-43fc-89d5-9cc6fcdc6883"]},{"id":"ITEM-2","itemData":{"DOI":"10.1371/journal.pone.0103490","ISBN":"1932-6203","ISSN":"19326203","PMID":"25137304","abstract":"BACKGROUND: The associations between nutritional biomarkers and measures of sleep quantity and quality remain unclear.\\n\\nMETHODS: Cross-sectional data from the National Health and Nutrition Examination Surveys (NHANES) 2005-2006 were used. We selected 2,459 adults aged 20-85, with complete data on key variables. Five sleep measures were constructed as primary outcomes: (A) Sleep duration; (B) Sleep disorder; (C) Three factors obtained from factor analysis of 15 items and labeled as \"Poor sleep-related daytime dysfunction\" (Factor 1), \"Sleepiness\" (Factor 2) and \"Sleep disturbance\" (Factor 3). Main exposures were serum concentrations of key nutrients, namely retinol, retinyl esters, carotenoids (α-carotene, β-carotene, β-cryptoxanthin, lutein+zeaxanthin, lycopene), folate, vitamin B-12, total homocysteine (tHcy), vitamin C, 25-hydroxyvitamin D (25(OH)D) and vitamin E. Main analyses consisted of multiple linear, logistic and multinomial logit models.\\n\\nRESULTS: Among key findings, independent inverse associations were found between serum vitamin B-12 and sleep duration, 25(OH)D and sleepiness (as well as insomnia), and between folate and sleep disturbance. Serum total carotenoids concentration was linked to higher odds of short sleep duration (i.e. 5-6 h per night) compared to normal sleep duration (7-8 h per night).\\n\\nCONCLUSIONS: A few of the selected serum nutritional biomarkers were associated with sleep quantity and quality. Longitudinal studies are needed to ascertain temporality and assess putative causal relationships.","author":[{"dropping-particle":"","family":"Beydoun","given":"May A.","non-dropping-particle":"","parse-names":false,"suffix":""},{"dropping-particle":"","family":"Gamaldo","given":"Alyssa A.","non-dropping-particle":"","parse-names":false,"suffix":""},{"dropping-particle":"","family":"Canas","given":"Jose A.","non-dropping-particle":"","parse-names":false,"suffix":""},{"dropping-particle":"","family":"Beydoun","given":"Hind A.","non-dropping-particle":"","parse-names":false,"suffix":""},{"dropping-particle":"","family":"Shah","given":"Mauli T.","non-dropping-particle":"","parse-names":false,"suffix":""},{"dropping-particle":"","family":"McNeely","given":"Jessica M.","non-dropping-particle":"","parse-names":false,"suffix":""},{"dropping-particle":"","family":"Zonderman","given":"Alan B.","non-dropping-particle":"","parse-names":false,"suffix":""}],"container-title":"PLoS ONE","id":"ITEM-2","issued":{"date-parts":[["2014"]]},"title":"Serum nutritional biomarkers and their associations with sleep among US adults in recent national surveys","type":"article-journal"},"uris":["http://www.mendeley.com/documents/?uuid=961c5dbb-ab1e-4b72-aa60-697d44a7a97c"]}],"mendeley":{"formattedCitation":"(10,11)","plainTextFormattedCitation":"(10,11)","previouslyFormattedCitation":"(10,11)"},"properties":{"noteIndex":0},"schema":"https://github.com/citation-style-language/schema/raw/master/csl-citation.json"}</w:instrText>
      </w:r>
      <w:r w:rsidR="00CD3427" w:rsidRPr="00493003">
        <w:rPr>
          <w:bCs/>
          <w:lang w:val="en"/>
        </w:rPr>
        <w:fldChar w:fldCharType="separate"/>
      </w:r>
      <w:r w:rsidR="00883C63" w:rsidRPr="00493003">
        <w:rPr>
          <w:bCs/>
          <w:noProof/>
          <w:lang w:val="en"/>
        </w:rPr>
        <w:t>(10,11)</w:t>
      </w:r>
      <w:r w:rsidR="00CD3427" w:rsidRPr="00493003">
        <w:rPr>
          <w:bCs/>
          <w:lang w:val="en"/>
        </w:rPr>
        <w:fldChar w:fldCharType="end"/>
      </w:r>
      <w:r w:rsidRPr="00493003">
        <w:rPr>
          <w:bCs/>
          <w:lang w:val="en"/>
        </w:rPr>
        <w:t>, it is unclear whether this relationship is due to malnutrition or indeed nutrient deficiency, since none of these studies concurrently have nutritional status assess</w:t>
      </w:r>
      <w:r w:rsidR="009A575E" w:rsidRPr="00493003">
        <w:rPr>
          <w:bCs/>
          <w:lang w:val="en"/>
        </w:rPr>
        <w:t xml:space="preserve">ed. </w:t>
      </w:r>
    </w:p>
    <w:p w14:paraId="53A8CEB5" w14:textId="2A7B1C82" w:rsidR="005D42A7" w:rsidRPr="00493003" w:rsidRDefault="003270D6" w:rsidP="005A226D">
      <w:pPr>
        <w:spacing w:line="360" w:lineRule="auto"/>
        <w:jc w:val="both"/>
        <w:rPr>
          <w:bCs/>
        </w:rPr>
      </w:pPr>
      <w:r w:rsidRPr="00493003">
        <w:rPr>
          <w:bCs/>
          <w:lang w:val="en"/>
        </w:rPr>
        <w:t>The strengths of our study are: the number of adequate samples; grading</w:t>
      </w:r>
      <w:r w:rsidR="000F7077" w:rsidRPr="00493003">
        <w:rPr>
          <w:bCs/>
          <w:lang w:val="en"/>
        </w:rPr>
        <w:t xml:space="preserve"> </w:t>
      </w:r>
      <w:r w:rsidRPr="00493003">
        <w:rPr>
          <w:bCs/>
          <w:lang w:val="en"/>
        </w:rPr>
        <w:t>not only the presence of insomnia, but also the severity of insomnia; MNA-long form applied to all patients; simultaneous evaluation of both nutritional and vitamin B12, folate and vitamin D.</w:t>
      </w:r>
      <w:r w:rsidR="00C52CE8" w:rsidRPr="00493003">
        <w:rPr>
          <w:bCs/>
          <w:lang w:val="en"/>
        </w:rPr>
        <w:t xml:space="preserve"> However, our</w:t>
      </w:r>
      <w:r w:rsidR="00D93F61" w:rsidRPr="00493003">
        <w:rPr>
          <w:bCs/>
          <w:lang w:val="en"/>
        </w:rPr>
        <w:t xml:space="preserve"> study is not without limitation</w:t>
      </w:r>
      <w:r w:rsidR="000F7077" w:rsidRPr="00493003">
        <w:rPr>
          <w:bCs/>
          <w:lang w:val="en"/>
        </w:rPr>
        <w:t xml:space="preserve">. First, </w:t>
      </w:r>
      <w:r w:rsidR="00EE2E97" w:rsidRPr="00493003">
        <w:rPr>
          <w:bCs/>
          <w:lang w:val="en-US"/>
        </w:rPr>
        <w:t xml:space="preserve">the present study was cross-sectional in design and the direction of the association is not known. That is, it is not known whether insomnia leads to poor nutritional parameters or whether poor nutritional parameters lead to insomnia. It is possible that the relationship is bidirectional. Future research of an experimental prospective design is now needed. </w:t>
      </w:r>
      <w:r w:rsidR="000F7077" w:rsidRPr="00493003">
        <w:rPr>
          <w:bCs/>
          <w:lang w:val="en"/>
        </w:rPr>
        <w:t xml:space="preserve">Second, only </w:t>
      </w:r>
      <w:r w:rsidR="00D93F61" w:rsidRPr="00493003">
        <w:rPr>
          <w:bCs/>
          <w:lang w:val="en"/>
        </w:rPr>
        <w:t xml:space="preserve">the </w:t>
      </w:r>
      <w:r w:rsidR="000F7077" w:rsidRPr="00493003">
        <w:rPr>
          <w:bCs/>
          <w:lang w:val="en"/>
        </w:rPr>
        <w:t>insomnia severity index scale was used for insomnia,</w:t>
      </w:r>
      <w:r w:rsidR="00D93F61" w:rsidRPr="00493003">
        <w:rPr>
          <w:bCs/>
          <w:lang w:val="en"/>
        </w:rPr>
        <w:t xml:space="preserve"> future studies should consider using objective measures of sleep to diagnose insomnia, such as actigraphy. </w:t>
      </w:r>
      <w:r w:rsidR="00755B37" w:rsidRPr="00493003">
        <w:rPr>
          <w:bCs/>
          <w:lang w:val="en"/>
        </w:rPr>
        <w:t xml:space="preserve">Third, </w:t>
      </w:r>
      <w:r w:rsidR="00AA670A" w:rsidRPr="00493003">
        <w:rPr>
          <w:bCs/>
        </w:rPr>
        <w:t>the correlation</w:t>
      </w:r>
      <w:r w:rsidR="002E6C6A" w:rsidRPr="00493003">
        <w:rPr>
          <w:bCs/>
        </w:rPr>
        <w:t>s</w:t>
      </w:r>
      <w:r w:rsidR="00AA670A" w:rsidRPr="00493003">
        <w:rPr>
          <w:bCs/>
        </w:rPr>
        <w:t xml:space="preserve"> </w:t>
      </w:r>
      <w:r w:rsidR="002E6C6A" w:rsidRPr="00493003">
        <w:rPr>
          <w:bCs/>
        </w:rPr>
        <w:t xml:space="preserve">between </w:t>
      </w:r>
      <w:r w:rsidR="00AA670A" w:rsidRPr="00493003">
        <w:rPr>
          <w:bCs/>
          <w:lang w:val="en-US"/>
        </w:rPr>
        <w:t xml:space="preserve">MNA </w:t>
      </w:r>
      <w:r w:rsidR="002E6C6A" w:rsidRPr="00493003">
        <w:rPr>
          <w:bCs/>
        </w:rPr>
        <w:t xml:space="preserve">items associated with food </w:t>
      </w:r>
      <w:r w:rsidR="00CB3A47" w:rsidRPr="00493003">
        <w:rPr>
          <w:bCs/>
          <w:lang w:val="en-US"/>
        </w:rPr>
        <w:t xml:space="preserve">intake </w:t>
      </w:r>
      <w:r w:rsidR="002E6C6A" w:rsidRPr="00493003">
        <w:rPr>
          <w:bCs/>
        </w:rPr>
        <w:t xml:space="preserve">or </w:t>
      </w:r>
      <w:r w:rsidR="00FD7EBD" w:rsidRPr="00493003">
        <w:rPr>
          <w:bCs/>
          <w:lang w:val="en-US"/>
        </w:rPr>
        <w:t>weight/</w:t>
      </w:r>
      <w:r w:rsidR="002E6C6A" w:rsidRPr="00493003">
        <w:rPr>
          <w:bCs/>
          <w:lang w:val="en-US"/>
        </w:rPr>
        <w:t xml:space="preserve">weight loss variables </w:t>
      </w:r>
      <w:r w:rsidR="002E6C6A" w:rsidRPr="00493003">
        <w:rPr>
          <w:bCs/>
        </w:rPr>
        <w:t xml:space="preserve">and insomnia were not evaluated. </w:t>
      </w:r>
      <w:r w:rsidR="00C52CE8" w:rsidRPr="00493003">
        <w:rPr>
          <w:bCs/>
          <w:lang w:val="en"/>
        </w:rPr>
        <w:t xml:space="preserve">Last, </w:t>
      </w:r>
      <w:r w:rsidR="00C52CE8" w:rsidRPr="00493003">
        <w:rPr>
          <w:bCs/>
        </w:rPr>
        <w:t>the number of patients with folate deficiency was so low that it was not able to be analysed.</w:t>
      </w:r>
    </w:p>
    <w:p w14:paraId="1E0E0406" w14:textId="36BD9097" w:rsidR="00C13287" w:rsidRPr="00493003" w:rsidRDefault="00C13287" w:rsidP="005A226D">
      <w:pPr>
        <w:spacing w:line="360" w:lineRule="auto"/>
        <w:jc w:val="both"/>
        <w:rPr>
          <w:b/>
          <w:bCs/>
        </w:rPr>
      </w:pPr>
      <w:r w:rsidRPr="00493003">
        <w:rPr>
          <w:b/>
          <w:bCs/>
        </w:rPr>
        <w:t>Conclusions and Implications</w:t>
      </w:r>
    </w:p>
    <w:p w14:paraId="3DFDF26F" w14:textId="420C1F5F" w:rsidR="00C0077C" w:rsidRPr="005A226D" w:rsidRDefault="000F7077" w:rsidP="005A226D">
      <w:pPr>
        <w:spacing w:line="360" w:lineRule="auto"/>
        <w:jc w:val="both"/>
        <w:rPr>
          <w:lang w:val="en"/>
        </w:rPr>
      </w:pPr>
      <w:r w:rsidRPr="00493003">
        <w:rPr>
          <w:bCs/>
          <w:lang w:val="en"/>
        </w:rPr>
        <w:t xml:space="preserve">In conclusion, there is a close relationship between insomnia and insomnia severity and nutritional status in the elderly. </w:t>
      </w:r>
      <w:r w:rsidR="007B37C6" w:rsidRPr="00493003">
        <w:rPr>
          <w:lang w:val="en"/>
        </w:rPr>
        <w:t>Especially in patients with moderate and severe insomnia, MNA scores are lower</w:t>
      </w:r>
      <w:r w:rsidR="00404867" w:rsidRPr="00493003">
        <w:rPr>
          <w:lang w:val="en"/>
        </w:rPr>
        <w:t>.</w:t>
      </w:r>
      <w:r w:rsidR="007B37C6" w:rsidRPr="00493003">
        <w:rPr>
          <w:lang w:val="en"/>
        </w:rPr>
        <w:t xml:space="preserve"> Therefore, when evaluating an elderly patient with insomnia in geriatric practice, malnutrition should be evaluated or insomnia should be questioned in an elderly patient with malnutrition. Thus, more effective management of </w:t>
      </w:r>
      <w:r w:rsidR="001B5A10" w:rsidRPr="00493003">
        <w:rPr>
          <w:lang w:val="en"/>
        </w:rPr>
        <w:t xml:space="preserve">the two </w:t>
      </w:r>
      <w:r w:rsidR="007B37C6" w:rsidRPr="00493003">
        <w:rPr>
          <w:lang w:val="en"/>
        </w:rPr>
        <w:t>will be possible.</w:t>
      </w:r>
    </w:p>
    <w:p w14:paraId="7104D33E" w14:textId="77777777" w:rsidR="00082DA1" w:rsidRPr="005A226D" w:rsidRDefault="00082DA1" w:rsidP="005A226D">
      <w:pPr>
        <w:spacing w:line="360" w:lineRule="auto"/>
        <w:jc w:val="both"/>
        <w:rPr>
          <w:lang w:val="en"/>
        </w:rPr>
      </w:pPr>
    </w:p>
    <w:p w14:paraId="6128EE81" w14:textId="10D164B6" w:rsidR="00082DA1" w:rsidRPr="005A226D" w:rsidRDefault="00082DA1" w:rsidP="005A226D">
      <w:pPr>
        <w:spacing w:line="360" w:lineRule="auto"/>
        <w:jc w:val="both"/>
        <w:rPr>
          <w:b/>
          <w:lang w:val="en"/>
        </w:rPr>
      </w:pPr>
      <w:r w:rsidRPr="005A226D">
        <w:rPr>
          <w:b/>
        </w:rPr>
        <w:t>Acknowledgements </w:t>
      </w:r>
    </w:p>
    <w:p w14:paraId="7A52A3CD" w14:textId="21BDC63E" w:rsidR="00082DA1" w:rsidRPr="005A226D" w:rsidRDefault="00082DA1" w:rsidP="005A226D">
      <w:pPr>
        <w:spacing w:line="360" w:lineRule="auto"/>
        <w:jc w:val="both"/>
      </w:pPr>
      <w:r w:rsidRPr="005A226D">
        <w:t>Conflicts of Interest: No conflicts of interest for all authors.</w:t>
      </w:r>
    </w:p>
    <w:p w14:paraId="3049FEB9" w14:textId="0A0C00BE" w:rsidR="00082DA1" w:rsidRPr="005A226D" w:rsidRDefault="00082DA1" w:rsidP="005A226D">
      <w:pPr>
        <w:spacing w:line="360" w:lineRule="auto"/>
        <w:jc w:val="both"/>
        <w:rPr>
          <w:lang w:val="en"/>
        </w:rPr>
      </w:pPr>
      <w:r w:rsidRPr="005A226D">
        <w:t>There is no funding.</w:t>
      </w:r>
    </w:p>
    <w:p w14:paraId="5C60F2FE" w14:textId="35955CE1" w:rsidR="00EE4048" w:rsidRPr="005A226D" w:rsidRDefault="00EE4048" w:rsidP="005A226D">
      <w:pPr>
        <w:spacing w:line="360" w:lineRule="auto"/>
        <w:jc w:val="both"/>
        <w:rPr>
          <w:b/>
        </w:rPr>
      </w:pPr>
      <w:r w:rsidRPr="005A226D">
        <w:rPr>
          <w:b/>
          <w:lang w:val="en"/>
        </w:rPr>
        <w:t>References</w:t>
      </w:r>
    </w:p>
    <w:p w14:paraId="30876A79" w14:textId="77777777" w:rsidR="00FA2A3D" w:rsidRPr="005A226D" w:rsidRDefault="00FA2A3D" w:rsidP="005A226D">
      <w:pPr>
        <w:spacing w:line="360" w:lineRule="auto"/>
        <w:jc w:val="both"/>
      </w:pPr>
    </w:p>
    <w:p w14:paraId="4FA94C1E" w14:textId="2AC0DC0C" w:rsidR="0085121B" w:rsidRPr="005A226D" w:rsidRDefault="008509F9" w:rsidP="005A226D">
      <w:pPr>
        <w:widowControl w:val="0"/>
        <w:autoSpaceDE w:val="0"/>
        <w:autoSpaceDN w:val="0"/>
        <w:adjustRightInd w:val="0"/>
        <w:spacing w:line="360" w:lineRule="auto"/>
        <w:ind w:left="640" w:hanging="640"/>
        <w:rPr>
          <w:rFonts w:ascii="Calibri" w:hAnsi="Calibri" w:cs="Calibri"/>
          <w:noProof/>
          <w:szCs w:val="24"/>
        </w:rPr>
      </w:pPr>
      <w:r w:rsidRPr="005A226D">
        <w:rPr>
          <w:lang w:val="en-US"/>
        </w:rPr>
        <w:fldChar w:fldCharType="begin" w:fldLock="1"/>
      </w:r>
      <w:r w:rsidRPr="005A226D">
        <w:rPr>
          <w:lang w:val="en-US"/>
        </w:rPr>
        <w:instrText xml:space="preserve">ADDIN Mendeley Bibliography CSL_BIBLIOGRAPHY </w:instrText>
      </w:r>
      <w:r w:rsidRPr="005A226D">
        <w:rPr>
          <w:lang w:val="en-US"/>
        </w:rPr>
        <w:fldChar w:fldCharType="separate"/>
      </w:r>
      <w:r w:rsidR="0085121B" w:rsidRPr="005A226D">
        <w:rPr>
          <w:rFonts w:ascii="Calibri" w:hAnsi="Calibri" w:cs="Calibri"/>
          <w:noProof/>
          <w:szCs w:val="24"/>
        </w:rPr>
        <w:t xml:space="preserve">1. </w:t>
      </w:r>
      <w:r w:rsidR="0085121B" w:rsidRPr="005A226D">
        <w:rPr>
          <w:rFonts w:ascii="Calibri" w:hAnsi="Calibri" w:cs="Calibri"/>
          <w:noProof/>
          <w:szCs w:val="24"/>
        </w:rPr>
        <w:tab/>
        <w:t>Yaremchuk K. Sleep Disorders in the Elderly. Clini</w:t>
      </w:r>
      <w:r w:rsidR="00EE38E8" w:rsidRPr="005A226D">
        <w:rPr>
          <w:rFonts w:ascii="Calibri" w:hAnsi="Calibri" w:cs="Calibri"/>
          <w:noProof/>
          <w:szCs w:val="24"/>
        </w:rPr>
        <w:t>cs in Geriatric Medicine. 2018; 34(2):205-216.</w:t>
      </w:r>
    </w:p>
    <w:p w14:paraId="2CD9FDF5" w14:textId="70F3A93A"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2. </w:t>
      </w:r>
      <w:r w:rsidRPr="005A226D">
        <w:rPr>
          <w:rFonts w:ascii="Calibri" w:hAnsi="Calibri" w:cs="Calibri"/>
          <w:noProof/>
          <w:szCs w:val="24"/>
        </w:rPr>
        <w:tab/>
        <w:t>Patel D, Steinberg J, Patel P. Insomnia in the elderly: A review. Journal of</w:t>
      </w:r>
      <w:r w:rsidR="00CD5C8F" w:rsidRPr="005A226D">
        <w:rPr>
          <w:rFonts w:ascii="Calibri" w:hAnsi="Calibri" w:cs="Calibri"/>
          <w:noProof/>
          <w:szCs w:val="24"/>
        </w:rPr>
        <w:t xml:space="preserve"> Clinical Sleep Medicine. 2018; 15;14(6):1017-1024.</w:t>
      </w:r>
    </w:p>
    <w:p w14:paraId="41F0586D" w14:textId="700C1CD2"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3. </w:t>
      </w:r>
      <w:r w:rsidRPr="005A226D">
        <w:rPr>
          <w:rFonts w:ascii="Calibri" w:hAnsi="Calibri" w:cs="Calibri"/>
          <w:noProof/>
          <w:szCs w:val="24"/>
        </w:rPr>
        <w:tab/>
        <w:t xml:space="preserve">Foley DJ, Monjan A, Simonsick EM, Wallace RB, Blazer DG. Incidence and remission of insomnia among elderly adults: An epidemiologic study of 6,800 persons over three years. J Sleep Res Sleep Med. 1999; </w:t>
      </w:r>
      <w:r w:rsidR="00210FCF" w:rsidRPr="005A226D">
        <w:rPr>
          <w:rFonts w:ascii="Calibri" w:hAnsi="Calibri" w:cs="Calibri"/>
          <w:noProof/>
          <w:szCs w:val="24"/>
        </w:rPr>
        <w:t>1;22 Suppl 2:S366-72.</w:t>
      </w:r>
    </w:p>
    <w:p w14:paraId="3C7D1ED2" w14:textId="2E27DAD2"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4. </w:t>
      </w:r>
      <w:r w:rsidRPr="005A226D">
        <w:rPr>
          <w:rFonts w:ascii="Calibri" w:hAnsi="Calibri" w:cs="Calibri"/>
          <w:noProof/>
          <w:szCs w:val="24"/>
        </w:rPr>
        <w:tab/>
        <w:t>Gulia KK, Kumar VM. Sleep disorders in the elderly: a growing cha</w:t>
      </w:r>
      <w:r w:rsidR="00210FCF" w:rsidRPr="005A226D">
        <w:rPr>
          <w:rFonts w:ascii="Calibri" w:hAnsi="Calibri" w:cs="Calibri"/>
          <w:noProof/>
          <w:szCs w:val="24"/>
        </w:rPr>
        <w:t>llenge. Psychogeriatrics. 2018; 18(3):155-165.</w:t>
      </w:r>
    </w:p>
    <w:p w14:paraId="2714343C" w14:textId="2E749989"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5. </w:t>
      </w:r>
      <w:r w:rsidRPr="005A226D">
        <w:rPr>
          <w:rFonts w:ascii="Calibri" w:hAnsi="Calibri" w:cs="Calibri"/>
          <w:noProof/>
          <w:szCs w:val="24"/>
        </w:rPr>
        <w:tab/>
        <w:t>Kamel NS, Gammack JK. Insomnia in the Elderly: Cause, Approach, and Treatment. American Jo</w:t>
      </w:r>
      <w:r w:rsidR="00395E30" w:rsidRPr="005A226D">
        <w:rPr>
          <w:rFonts w:ascii="Calibri" w:hAnsi="Calibri" w:cs="Calibri"/>
          <w:noProof/>
          <w:szCs w:val="24"/>
        </w:rPr>
        <w:t>urnal of Medicine. 2006; 119(6):463-9.</w:t>
      </w:r>
    </w:p>
    <w:p w14:paraId="4D24A262" w14:textId="54235540"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6. </w:t>
      </w:r>
      <w:r w:rsidRPr="005A226D">
        <w:rPr>
          <w:rFonts w:ascii="Calibri" w:hAnsi="Calibri" w:cs="Calibri"/>
          <w:noProof/>
          <w:szCs w:val="24"/>
        </w:rPr>
        <w:tab/>
      </w:r>
      <w:r w:rsidR="00395E30" w:rsidRPr="005A226D">
        <w:rPr>
          <w:rFonts w:ascii="Calibri" w:hAnsi="Calibri" w:cs="Calibri"/>
          <w:noProof/>
          <w:szCs w:val="24"/>
        </w:rPr>
        <w:t xml:space="preserve">Kalan U, Soysal P, Isik AT. </w:t>
      </w:r>
      <w:r w:rsidRPr="005A226D">
        <w:rPr>
          <w:rFonts w:ascii="Calibri" w:hAnsi="Calibri" w:cs="Calibri"/>
          <w:noProof/>
          <w:szCs w:val="24"/>
        </w:rPr>
        <w:t xml:space="preserve">Delirium associated with only one dose of zopiclone in an older adult. Psychogeriatrics. 2018; </w:t>
      </w:r>
      <w:r w:rsidR="00395E30" w:rsidRPr="005A226D">
        <w:rPr>
          <w:rFonts w:ascii="Calibri" w:hAnsi="Calibri" w:cs="Calibri"/>
          <w:noProof/>
          <w:szCs w:val="24"/>
        </w:rPr>
        <w:t>18(4):321-323</w:t>
      </w:r>
    </w:p>
    <w:p w14:paraId="11767979" w14:textId="095E7D18"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7. </w:t>
      </w:r>
      <w:r w:rsidRPr="005A226D">
        <w:rPr>
          <w:rFonts w:ascii="Calibri" w:hAnsi="Calibri" w:cs="Calibri"/>
          <w:noProof/>
          <w:szCs w:val="24"/>
        </w:rPr>
        <w:tab/>
        <w:t>Soysal P, Smith L, Capar E, Kalan U, Arik F, Isik AT. Vitamin B12 and folate deficiencies are not associated with nutritional or weight status in older adults.</w:t>
      </w:r>
      <w:r w:rsidR="001D75A9" w:rsidRPr="005A226D">
        <w:rPr>
          <w:rFonts w:ascii="Calibri" w:hAnsi="Calibri" w:cs="Calibri"/>
          <w:noProof/>
          <w:szCs w:val="24"/>
        </w:rPr>
        <w:t xml:space="preserve"> Exp Gerontol. England; 2018</w:t>
      </w:r>
      <w:r w:rsidRPr="005A226D">
        <w:rPr>
          <w:rFonts w:ascii="Calibri" w:hAnsi="Calibri" w:cs="Calibri"/>
          <w:noProof/>
          <w:szCs w:val="24"/>
        </w:rPr>
        <w:t xml:space="preserve">;116:1–6. </w:t>
      </w:r>
    </w:p>
    <w:p w14:paraId="091ED1B4" w14:textId="77777777"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8. </w:t>
      </w:r>
      <w:r w:rsidRPr="005A226D">
        <w:rPr>
          <w:rFonts w:ascii="Calibri" w:hAnsi="Calibri" w:cs="Calibri"/>
          <w:noProof/>
          <w:szCs w:val="24"/>
        </w:rPr>
        <w:tab/>
        <w:t xml:space="preserve">Soysal P, Turan Isik A. Vitamin B&lt;inf&gt;12&lt;/inf&gt;deficiency can be a cause of acute reversible parkinsonism and cognitive impairment in older adults. Geriatr Gerontol Int. 2018;18(4). </w:t>
      </w:r>
    </w:p>
    <w:p w14:paraId="7E5FA973" w14:textId="2979A020"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9. </w:t>
      </w:r>
      <w:r w:rsidRPr="005A226D">
        <w:rPr>
          <w:rFonts w:ascii="Calibri" w:hAnsi="Calibri" w:cs="Calibri"/>
          <w:noProof/>
          <w:szCs w:val="24"/>
        </w:rPr>
        <w:tab/>
        <w:t xml:space="preserve">Ates Bulut E, Soysal P, Aydin AE, Dokuzlar O, Kocyigit SE, Isik AT. Vitamin B12 deficiency might be related to sarcopenia in older adults. Exp Gerontol. 2017; </w:t>
      </w:r>
      <w:r w:rsidR="00282C13" w:rsidRPr="005A226D">
        <w:rPr>
          <w:rFonts w:ascii="Calibri" w:hAnsi="Calibri" w:cs="Calibri"/>
          <w:noProof/>
          <w:szCs w:val="24"/>
        </w:rPr>
        <w:t>95:136-140</w:t>
      </w:r>
    </w:p>
    <w:p w14:paraId="36F4906C" w14:textId="3D4E655A"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10. </w:t>
      </w:r>
      <w:r w:rsidRPr="005A226D">
        <w:rPr>
          <w:rFonts w:ascii="Calibri" w:hAnsi="Calibri" w:cs="Calibri"/>
          <w:noProof/>
          <w:szCs w:val="24"/>
        </w:rPr>
        <w:tab/>
        <w:t xml:space="preserve">Beydoun MA, Gamaldo AA, Canas JA, Beydoun HA, Shah MT, McNeely JM, et al. Serum nutritional biomarkers and their associations with sleep among US adults in recent national surveys. PLoS One. 2014; </w:t>
      </w:r>
      <w:r w:rsidR="00282C13" w:rsidRPr="005A226D">
        <w:rPr>
          <w:rFonts w:ascii="Calibri" w:hAnsi="Calibri" w:cs="Calibri"/>
          <w:noProof/>
          <w:szCs w:val="24"/>
        </w:rPr>
        <w:t>19;9(8):e103490</w:t>
      </w:r>
    </w:p>
    <w:p w14:paraId="5F554B96" w14:textId="752CA7A8"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11. </w:t>
      </w:r>
      <w:r w:rsidRPr="005A226D">
        <w:rPr>
          <w:rFonts w:ascii="Calibri" w:hAnsi="Calibri" w:cs="Calibri"/>
          <w:noProof/>
          <w:szCs w:val="24"/>
        </w:rPr>
        <w:tab/>
        <w:t>Massa J, Stone KL, Wei EK, Harrison SL, Barrett-Connor E, Lane NE, et al. Vitamin D and Actigraphic Sleep Outcomes in Older Community-Dwelling Men: The</w:t>
      </w:r>
      <w:r w:rsidR="00EF7EEC" w:rsidRPr="005A226D">
        <w:rPr>
          <w:rFonts w:ascii="Calibri" w:hAnsi="Calibri" w:cs="Calibri"/>
          <w:noProof/>
          <w:szCs w:val="24"/>
        </w:rPr>
        <w:t xml:space="preserve"> MrOS Sleep Study. Sleep. 2015;38(2):251-7.</w:t>
      </w:r>
    </w:p>
    <w:p w14:paraId="664196DA" w14:textId="5A224652"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12. </w:t>
      </w:r>
      <w:r w:rsidRPr="005A226D">
        <w:rPr>
          <w:rFonts w:ascii="Calibri" w:hAnsi="Calibri" w:cs="Calibri"/>
          <w:noProof/>
          <w:szCs w:val="24"/>
        </w:rPr>
        <w:tab/>
        <w:t xml:space="preserve">Grandner MA, Jackson N, Gerstner JR, Knutson KL. Sleep symptoms associated with intake of specific dietary nutrients. J Sleep Res. 2014; </w:t>
      </w:r>
      <w:r w:rsidR="0069249A" w:rsidRPr="005A226D">
        <w:rPr>
          <w:rFonts w:ascii="Calibri" w:hAnsi="Calibri" w:cs="Calibri"/>
          <w:noProof/>
          <w:szCs w:val="24"/>
        </w:rPr>
        <w:t>23(1):22-34.</w:t>
      </w:r>
    </w:p>
    <w:p w14:paraId="7D450F78" w14:textId="1A855311"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13. </w:t>
      </w:r>
      <w:r w:rsidRPr="005A226D">
        <w:rPr>
          <w:rFonts w:ascii="Calibri" w:hAnsi="Calibri" w:cs="Calibri"/>
          <w:noProof/>
          <w:szCs w:val="24"/>
        </w:rPr>
        <w:tab/>
        <w:t xml:space="preserve">Unutmaz GD, Soysal P, Tuven B, Isik AT. Costs of medication in older patients: Before and after comprehensive geriatric assessment. Clin Interv Aging. 2018; </w:t>
      </w:r>
      <w:r w:rsidR="007D7F2D" w:rsidRPr="005A226D">
        <w:rPr>
          <w:rFonts w:ascii="Calibri" w:hAnsi="Calibri" w:cs="Calibri"/>
          <w:noProof/>
          <w:szCs w:val="24"/>
        </w:rPr>
        <w:t>9;13:607-613</w:t>
      </w:r>
      <w:r w:rsidR="00105027" w:rsidRPr="005A226D">
        <w:rPr>
          <w:rFonts w:ascii="Calibri" w:hAnsi="Calibri" w:cs="Calibri"/>
          <w:noProof/>
          <w:szCs w:val="24"/>
        </w:rPr>
        <w:t>.</w:t>
      </w:r>
    </w:p>
    <w:p w14:paraId="5D6F6C79" w14:textId="382C271E"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14. </w:t>
      </w:r>
      <w:r w:rsidRPr="005A226D">
        <w:rPr>
          <w:rFonts w:ascii="Calibri" w:hAnsi="Calibri" w:cs="Calibri"/>
          <w:noProof/>
          <w:szCs w:val="24"/>
        </w:rPr>
        <w:tab/>
        <w:t xml:space="preserve">Charlson ME, Pompei P, Ales KL, MacKenzie CR. A new method of classifying prognostic comorbidity in longitudinal studies: Development and validation. J Chronic Dis. 1987; </w:t>
      </w:r>
      <w:r w:rsidR="00105027" w:rsidRPr="005A226D">
        <w:rPr>
          <w:rFonts w:ascii="Calibri" w:hAnsi="Calibri" w:cs="Calibri"/>
          <w:noProof/>
          <w:szCs w:val="24"/>
        </w:rPr>
        <w:t>40(5):373-83</w:t>
      </w:r>
    </w:p>
    <w:p w14:paraId="16A13DCB" w14:textId="77777777"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15. </w:t>
      </w:r>
      <w:r w:rsidRPr="005A226D">
        <w:rPr>
          <w:rFonts w:ascii="Calibri" w:hAnsi="Calibri" w:cs="Calibri"/>
          <w:noProof/>
          <w:szCs w:val="24"/>
        </w:rPr>
        <w:tab/>
        <w:t xml:space="preserve">American Psychiatric Association. Diagnostic and Statistical Manual of Mental Disorders DMS V. Diagnostic and Statistical Manual of Mental Disorders, 5th Edition. 2013. </w:t>
      </w:r>
    </w:p>
    <w:p w14:paraId="42CC546F" w14:textId="0A094B29"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16. </w:t>
      </w:r>
      <w:r w:rsidRPr="005A226D">
        <w:rPr>
          <w:rFonts w:ascii="Calibri" w:hAnsi="Calibri" w:cs="Calibri"/>
          <w:noProof/>
          <w:szCs w:val="24"/>
        </w:rPr>
        <w:tab/>
        <w:t xml:space="preserve">Dokuzlar O, Soysal P, Usarel C, Isik AT. The evaluation and design of a short depression screening tool in Turkish older adults. Int Psychogeriatrics. 2018; </w:t>
      </w:r>
      <w:r w:rsidR="000840F5" w:rsidRPr="005A226D">
        <w:rPr>
          <w:rFonts w:ascii="Calibri" w:hAnsi="Calibri" w:cs="Calibri"/>
          <w:noProof/>
          <w:szCs w:val="24"/>
        </w:rPr>
        <w:t>30(10):1541-1548.</w:t>
      </w:r>
    </w:p>
    <w:p w14:paraId="33D00F4D" w14:textId="55EFC841"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17. </w:t>
      </w:r>
      <w:r w:rsidRPr="005A226D">
        <w:rPr>
          <w:rFonts w:ascii="Calibri" w:hAnsi="Calibri" w:cs="Calibri"/>
          <w:noProof/>
          <w:szCs w:val="24"/>
        </w:rPr>
        <w:tab/>
        <w:t xml:space="preserve">Güngen C, Ertan T, Eker E, Yaşar R, Engin F. Reliability and validity of the standardized Mini Mental State Examination in the diagnosis of mild dementia in Turkish population. Türk Psikiyatr Derg. 2002; </w:t>
      </w:r>
      <w:r w:rsidR="00BA5689" w:rsidRPr="005A226D">
        <w:rPr>
          <w:rFonts w:ascii="Calibri" w:hAnsi="Calibri" w:cs="Calibri"/>
          <w:noProof/>
          <w:szCs w:val="24"/>
        </w:rPr>
        <w:t>13(4):273-81.</w:t>
      </w:r>
    </w:p>
    <w:p w14:paraId="4FE7C2CE" w14:textId="405AF697"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 xml:space="preserve">18. </w:t>
      </w:r>
      <w:r w:rsidRPr="005A226D">
        <w:rPr>
          <w:rFonts w:ascii="Calibri" w:hAnsi="Calibri" w:cs="Calibri"/>
          <w:noProof/>
          <w:szCs w:val="24"/>
        </w:rPr>
        <w:tab/>
        <w:t xml:space="preserve">Vellas B, Guigoz Y, Garry PJ, Nourhashemi F, Bennahum D, Lauque S, et al. The mini nutritional assessment (MNA) and its use in grading the nutritional state of elderly patients. Nutrition. 1999; </w:t>
      </w:r>
      <w:r w:rsidR="00282244" w:rsidRPr="005A226D">
        <w:rPr>
          <w:rFonts w:ascii="Calibri" w:hAnsi="Calibri" w:cs="Calibri"/>
          <w:noProof/>
          <w:szCs w:val="24"/>
        </w:rPr>
        <w:t>15(2):116-22.</w:t>
      </w:r>
    </w:p>
    <w:p w14:paraId="5698607E" w14:textId="24D4EBB2" w:rsidR="001E651C"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lang w:val="en-US"/>
        </w:rPr>
        <w:t xml:space="preserve">19.      </w:t>
      </w:r>
      <w:r w:rsidRPr="005A226D">
        <w:rPr>
          <w:rFonts w:ascii="Calibri" w:hAnsi="Calibri" w:cs="Calibri"/>
          <w:noProof/>
          <w:szCs w:val="24"/>
        </w:rPr>
        <w:t xml:space="preserve"> </w:t>
      </w:r>
      <w:hyperlink r:id="rId6" w:history="1">
        <w:r w:rsidRPr="005A226D">
          <w:t>Cereda E</w:t>
        </w:r>
      </w:hyperlink>
      <w:r w:rsidRPr="005A226D">
        <w:rPr>
          <w:rFonts w:ascii="Calibri" w:hAnsi="Calibri" w:cs="Calibri"/>
          <w:noProof/>
          <w:szCs w:val="24"/>
        </w:rPr>
        <w:t xml:space="preserve">. Mini nutritional assessment. </w:t>
      </w:r>
      <w:hyperlink r:id="rId7" w:tooltip="Current opinion in clinical nutrition and metabolic care." w:history="1">
        <w:r w:rsidRPr="005A226D">
          <w:t>Curr Opin Clin Nutr Metab Care.</w:t>
        </w:r>
      </w:hyperlink>
      <w:r w:rsidRPr="005A226D">
        <w:rPr>
          <w:rFonts w:ascii="Calibri" w:hAnsi="Calibri" w:cs="Calibri"/>
          <w:noProof/>
          <w:szCs w:val="24"/>
        </w:rPr>
        <w:t> 2012 Jan;15(1):29-41.</w:t>
      </w:r>
    </w:p>
    <w:p w14:paraId="09293DC5" w14:textId="75F6C5C9"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20</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Bastien CH, Vallières A, Morin CM. Validation of the insomnia severity index as an outcome measure for insomnia research. Sleep Med. 2001; </w:t>
      </w:r>
      <w:r w:rsidR="00760C31" w:rsidRPr="005A226D">
        <w:rPr>
          <w:rFonts w:ascii="Calibri" w:hAnsi="Calibri" w:cs="Calibri"/>
          <w:noProof/>
          <w:szCs w:val="24"/>
        </w:rPr>
        <w:t>2(4):297-307.</w:t>
      </w:r>
    </w:p>
    <w:p w14:paraId="0E335562" w14:textId="05D0A1A9"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21</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Morin CM, Belleville G, Bélanger L, Ivers H. The insomnia severity index: Psychometric indicators to detect insomnia cases and evaluate treatment response. Sleep. 2011; </w:t>
      </w:r>
      <w:r w:rsidR="00982F2E" w:rsidRPr="005A226D">
        <w:rPr>
          <w:rFonts w:ascii="Calibri" w:hAnsi="Calibri" w:cs="Calibri"/>
          <w:noProof/>
          <w:szCs w:val="24"/>
        </w:rPr>
        <w:t>1;34(5):601-8.</w:t>
      </w:r>
    </w:p>
    <w:p w14:paraId="625F4786" w14:textId="46A8DB59"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22</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Bozoglu E, Isik AT, Doruk H, Kilic S. The effects of early vitamin B12 replacement therapy on the cognitive and functional status of elderly subjects. Klin Psikofarmakol Bul. 2010; </w:t>
      </w:r>
      <w:r w:rsidR="00916714" w:rsidRPr="005A226D">
        <w:rPr>
          <w:rFonts w:ascii="Calibri" w:hAnsi="Calibri" w:cs="Calibri"/>
          <w:noProof/>
          <w:szCs w:val="24"/>
        </w:rPr>
        <w:t>20:120-124.</w:t>
      </w:r>
    </w:p>
    <w:p w14:paraId="7C47BEFC" w14:textId="2C78F53B"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23</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Abeywickrama HM, Koyama Y, Uchiyama M, Shimizu U, Iwasa Y, Yamada E, et al. Micronutrient Status in Sri Lanka: A Review. </w:t>
      </w:r>
      <w:r w:rsidR="0067437A" w:rsidRPr="005A226D">
        <w:rPr>
          <w:rFonts w:ascii="Calibri" w:hAnsi="Calibri" w:cs="Calibri"/>
          <w:noProof/>
          <w:szCs w:val="24"/>
        </w:rPr>
        <w:t>Nutrients. Switzerland; 2018</w:t>
      </w:r>
      <w:r w:rsidR="0085121B" w:rsidRPr="005A226D">
        <w:rPr>
          <w:rFonts w:ascii="Calibri" w:hAnsi="Calibri" w:cs="Calibri"/>
          <w:noProof/>
          <w:szCs w:val="24"/>
        </w:rPr>
        <w:t xml:space="preserve">;10(11). </w:t>
      </w:r>
    </w:p>
    <w:p w14:paraId="6776CB8C" w14:textId="294EC64F"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24</w:t>
      </w:r>
      <w:r w:rsidR="0085121B" w:rsidRPr="005A226D">
        <w:rPr>
          <w:rFonts w:ascii="Calibri" w:hAnsi="Calibri" w:cs="Calibri"/>
          <w:noProof/>
          <w:szCs w:val="24"/>
        </w:rPr>
        <w:t xml:space="preserve">. </w:t>
      </w:r>
      <w:r w:rsidR="0085121B" w:rsidRPr="005A226D">
        <w:rPr>
          <w:rFonts w:ascii="Calibri" w:hAnsi="Calibri" w:cs="Calibri"/>
          <w:noProof/>
          <w:szCs w:val="24"/>
        </w:rPr>
        <w:tab/>
        <w:t>Thacher TD, Clarke BL. Vitamin D insufficiency.</w:t>
      </w:r>
      <w:r w:rsidR="0067437A" w:rsidRPr="005A226D">
        <w:rPr>
          <w:rFonts w:ascii="Calibri" w:hAnsi="Calibri" w:cs="Calibri"/>
          <w:noProof/>
          <w:szCs w:val="24"/>
        </w:rPr>
        <w:t xml:space="preserve"> Mayo Clinic Proceedings. 2011;</w:t>
      </w:r>
      <w:r w:rsidR="0067437A" w:rsidRPr="005A226D">
        <w:rPr>
          <w:rFonts w:ascii="Arial" w:hAnsi="Arial" w:cs="Arial"/>
          <w:color w:val="000000"/>
          <w:sz w:val="17"/>
          <w:szCs w:val="17"/>
          <w:shd w:val="clear" w:color="auto" w:fill="FFFFFF"/>
        </w:rPr>
        <w:t xml:space="preserve"> </w:t>
      </w:r>
      <w:r w:rsidR="0067437A" w:rsidRPr="005A226D">
        <w:rPr>
          <w:rFonts w:ascii="Calibri" w:hAnsi="Calibri" w:cs="Calibri"/>
          <w:noProof/>
          <w:szCs w:val="24"/>
        </w:rPr>
        <w:t>86(1):50-60</w:t>
      </w:r>
    </w:p>
    <w:p w14:paraId="536B9964" w14:textId="777E445F"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25</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Dragioti E, Bernfort L, Larsson B, Gerdle B, Levin LA. Association of insomnia severity with well-being, quality of life and health care costs: A cross-sectional study in older adults with chronic pain (PainS65+). Eur J Pain. England; 2018 Feb;22(2):414–25. </w:t>
      </w:r>
    </w:p>
    <w:p w14:paraId="61E881DE" w14:textId="544B89E7"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26</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Mazzotti DR, Guindalini C, Sosa AL, Ferri CP, Tufik S. Prevalence and correlates for sleep complaints in older adults in low and middle income countries: A 10/66 Dementia Research Group study. Sleep Med. 2012; </w:t>
      </w:r>
      <w:r w:rsidR="00A526FC" w:rsidRPr="005A226D">
        <w:rPr>
          <w:rFonts w:ascii="Calibri" w:hAnsi="Calibri" w:cs="Calibri"/>
          <w:noProof/>
          <w:szCs w:val="24"/>
        </w:rPr>
        <w:t>13(6):697-702.</w:t>
      </w:r>
    </w:p>
    <w:p w14:paraId="2FCB1B1C" w14:textId="1B3E7073"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27</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Masanori Mukai, Kazumitsu Mukai, Hiroo Ichikawa, Mikio Wakasa, Daisuke Sanada, Takanori Shibata, Mitsuru Kawamura TA. Malnutrition and cerebral white matter lesions in dialysis patients. Nippon Toseki Igakkai Zasshi. 2008;41(7):421–8. </w:t>
      </w:r>
    </w:p>
    <w:p w14:paraId="1DDBC582" w14:textId="143074CC"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28</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Fleta Zaragozano J, Jiménez Vidal A, Velilla Picazo M, González Castro G, Pina Leita I, Olivares López JL. [Anorexia nervosa and cerebral atrophy in adolescents]. Med Clin (Barc). 2005; </w:t>
      </w:r>
      <w:r w:rsidR="002404CC" w:rsidRPr="005A226D">
        <w:rPr>
          <w:rFonts w:ascii="Calibri" w:hAnsi="Calibri" w:cs="Calibri"/>
          <w:noProof/>
          <w:szCs w:val="24"/>
        </w:rPr>
        <w:t>124(15):571-2.</w:t>
      </w:r>
    </w:p>
    <w:p w14:paraId="1334D8E2" w14:textId="56576FD8"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29</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de van der Schueren MAE, Lonterman-Monasch S, van der Flier WM, Kramer MH, Maier AB, Muller M. Malnutrition and Risk of Structural Brain Changes Seen on Magnetic Resonance Imaging in Older Adults. J Am Geriatr Soc. 2016; </w:t>
      </w:r>
      <w:r w:rsidR="002404CC" w:rsidRPr="005A226D">
        <w:rPr>
          <w:rFonts w:ascii="Calibri" w:hAnsi="Calibri" w:cs="Calibri"/>
          <w:noProof/>
          <w:szCs w:val="24"/>
        </w:rPr>
        <w:t>64(12):2457-2463. </w:t>
      </w:r>
    </w:p>
    <w:p w14:paraId="6D71029B" w14:textId="7342EACE"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30</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Handler P BF. Influence of dietary factors on hypertension induced by choline deficiency. Am J Physiol. 1950;162:189. </w:t>
      </w:r>
    </w:p>
    <w:p w14:paraId="237DF078" w14:textId="7B4ECBA7"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31</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Zheng K, Wang H, Hou B, You H, Yuan J, Luo K, et al. Malnutrition-inflammation is a risk factor for cerebral small vessel diseases and cognitive decline in peritoneal dialysis patients: A cross-sectional observational study. BMC Nephrol. 2017; </w:t>
      </w:r>
      <w:r w:rsidR="006130C2" w:rsidRPr="005A226D">
        <w:rPr>
          <w:rFonts w:ascii="Calibri" w:hAnsi="Calibri" w:cs="Calibri"/>
          <w:noProof/>
          <w:szCs w:val="24"/>
        </w:rPr>
        <w:t>20;18(1):366.</w:t>
      </w:r>
    </w:p>
    <w:p w14:paraId="317EDE52" w14:textId="1B69527E"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32</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Kang JM, Joo SW, Son Y-D, Kim H, Ko K-P, Lee JS, et al. Low white-matter integrity between the left thalamus and inferior frontal gyrus in patients with insomnia disorder. J Psychiatry Neurosci. Canada; 2018 Nov;43(6):366–74. </w:t>
      </w:r>
    </w:p>
    <w:p w14:paraId="6B23C880" w14:textId="1A1B3ACA"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33</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Lu F-M, Dai J, Couto TA, Liu C-H, Chen H, Lu S-L, et al. Diffusion Tensor Imaging Tractography Reveals Disrupted White Matter Structural Connectivity Network in Healthy Adults with Insomnia Symptoms. Front Hum Neurosci. 2017; </w:t>
      </w:r>
      <w:r w:rsidR="0010628D" w:rsidRPr="005A226D">
        <w:rPr>
          <w:rFonts w:ascii="Calibri" w:hAnsi="Calibri" w:cs="Calibri"/>
          <w:noProof/>
          <w:szCs w:val="24"/>
        </w:rPr>
        <w:t>30;11:583.</w:t>
      </w:r>
    </w:p>
    <w:p w14:paraId="56CFD919" w14:textId="627FE01A"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34</w:t>
      </w:r>
      <w:r w:rsidR="0085121B" w:rsidRPr="005A226D">
        <w:rPr>
          <w:rFonts w:ascii="Calibri" w:hAnsi="Calibri" w:cs="Calibri"/>
          <w:noProof/>
          <w:szCs w:val="24"/>
        </w:rPr>
        <w:t xml:space="preserve">. </w:t>
      </w:r>
      <w:r w:rsidR="0085121B" w:rsidRPr="005A226D">
        <w:rPr>
          <w:rFonts w:ascii="Calibri" w:hAnsi="Calibri" w:cs="Calibri"/>
          <w:noProof/>
          <w:szCs w:val="24"/>
        </w:rPr>
        <w:tab/>
        <w:t>Cintra L, Galvan A, Diaz-Cintra S, Escobar C. Protein malnutrition on suprachiasmatic nucleus cells in rats of three ages. Boletin de estud</w:t>
      </w:r>
      <w:r w:rsidR="0058462E" w:rsidRPr="005A226D">
        <w:rPr>
          <w:rFonts w:ascii="Calibri" w:hAnsi="Calibri" w:cs="Calibri"/>
          <w:noProof/>
          <w:szCs w:val="24"/>
        </w:rPr>
        <w:t>ios medicos y biologicos. 1994; 42(1-4):11-9.</w:t>
      </w:r>
    </w:p>
    <w:p w14:paraId="7EC884FF" w14:textId="55E65B7A"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35</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Everson CA. Functional consequences of sustained sleep deprivation in the rat. Behav Brain Res. 1995; </w:t>
      </w:r>
      <w:r w:rsidR="00FA06AA" w:rsidRPr="005A226D">
        <w:rPr>
          <w:rFonts w:ascii="Calibri" w:hAnsi="Calibri" w:cs="Calibri"/>
          <w:noProof/>
          <w:szCs w:val="24"/>
        </w:rPr>
        <w:t>69(1-2):43-54.</w:t>
      </w:r>
    </w:p>
    <w:p w14:paraId="6DA32092" w14:textId="30FBA0D5"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36</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Peuhkuri K, Sihvola N, Korpela R. Dietary factors and fluctuating levels of melatonin. Food Nutr Res. 2012; </w:t>
      </w:r>
      <w:r w:rsidR="00E451BA" w:rsidRPr="005A226D">
        <w:rPr>
          <w:rFonts w:ascii="Calibri" w:hAnsi="Calibri" w:cs="Calibri"/>
          <w:noProof/>
          <w:szCs w:val="24"/>
        </w:rPr>
        <w:t>56.</w:t>
      </w:r>
    </w:p>
    <w:p w14:paraId="26257DA6" w14:textId="63122C65"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37</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Michalsen A, Schlegel F, Rodenbeck A, Lüdtke R, Huether G, Teschler H, et al. Effects of short-term modified fasting on sleep patterns and daytime vigilance in non-obese subjects: Results of a pilot study. Ann Nutr Metab. 2003; </w:t>
      </w:r>
      <w:r w:rsidR="00D6366A" w:rsidRPr="005A226D">
        <w:rPr>
          <w:rFonts w:ascii="Calibri" w:hAnsi="Calibri" w:cs="Calibri"/>
          <w:noProof/>
          <w:szCs w:val="24"/>
        </w:rPr>
        <w:t>47(5):194-200.</w:t>
      </w:r>
    </w:p>
    <w:p w14:paraId="0751FF7B" w14:textId="3BDFE06B"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38</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Röjdmark S, Rössner S, Wetterberg L. Effect of short-term fasting on nocturnal melatonin secretion in obesity. Metabolism. 1992; </w:t>
      </w:r>
      <w:r w:rsidR="001C6EA8" w:rsidRPr="005A226D">
        <w:rPr>
          <w:rFonts w:ascii="Calibri" w:hAnsi="Calibri" w:cs="Calibri"/>
          <w:noProof/>
          <w:szCs w:val="24"/>
        </w:rPr>
        <w:t>41(10):1106-9.</w:t>
      </w:r>
    </w:p>
    <w:p w14:paraId="6FC2D1AB" w14:textId="40777206"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39</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Rojdmark S, Wetterberg L. Short-term fasting inhibits the nocturnal melatonin secretion in healthy man. Clin Endocrinol (Oxf). England; 1989 Apr;30(4):451–7. </w:t>
      </w:r>
    </w:p>
    <w:p w14:paraId="1FF291F9" w14:textId="5141FAB4"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40</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Mossavar-Rahmani Y, Jung M, Patel SR, Sotres-Alvarez D, Arens R, Ramos A, et al. Eating behavior by sleep duration in the Hispanic Community Health Study/Study of Latinos. Appetite. England; 2015 Dec;95:275–84. </w:t>
      </w:r>
    </w:p>
    <w:p w14:paraId="37D6B2E2" w14:textId="7DE2EDC3" w:rsidR="0085121B" w:rsidRPr="005A226D" w:rsidRDefault="0085121B"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4</w:t>
      </w:r>
      <w:r w:rsidR="001E651C" w:rsidRPr="005A226D">
        <w:rPr>
          <w:rFonts w:ascii="Calibri" w:hAnsi="Calibri" w:cs="Calibri"/>
          <w:noProof/>
          <w:szCs w:val="24"/>
        </w:rPr>
        <w:t>1</w:t>
      </w:r>
      <w:r w:rsidRPr="005A226D">
        <w:rPr>
          <w:rFonts w:ascii="Calibri" w:hAnsi="Calibri" w:cs="Calibri"/>
          <w:noProof/>
          <w:szCs w:val="24"/>
        </w:rPr>
        <w:t xml:space="preserve">. </w:t>
      </w:r>
      <w:r w:rsidRPr="005A226D">
        <w:rPr>
          <w:rFonts w:ascii="Calibri" w:hAnsi="Calibri" w:cs="Calibri"/>
          <w:noProof/>
          <w:szCs w:val="24"/>
        </w:rPr>
        <w:tab/>
        <w:t>Allison KC, Spaeth A, Hopkins CM. Sleep and Eating Disorders. Cu</w:t>
      </w:r>
      <w:r w:rsidR="004778EE" w:rsidRPr="005A226D">
        <w:rPr>
          <w:rFonts w:ascii="Calibri" w:hAnsi="Calibri" w:cs="Calibri"/>
          <w:noProof/>
          <w:szCs w:val="24"/>
        </w:rPr>
        <w:t>rrent Psychiatry Reports. 2016; 18(10):92.</w:t>
      </w:r>
    </w:p>
    <w:p w14:paraId="42994F22" w14:textId="6E886BE9"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42</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Asaad Abdou T, Esawy HI, Abdel Razek Mohamed G, Hussein Ahmed H, Elhabiby MM, Khalil SA, et al. Sleep profile in anorexia and bulimia nervosa female patients. Sleep Med. 2018; </w:t>
      </w:r>
      <w:r w:rsidR="008755C9" w:rsidRPr="005A226D">
        <w:rPr>
          <w:rFonts w:ascii="Calibri" w:hAnsi="Calibri" w:cs="Calibri"/>
          <w:noProof/>
          <w:szCs w:val="24"/>
        </w:rPr>
        <w:t>48:113-116.</w:t>
      </w:r>
    </w:p>
    <w:p w14:paraId="0E7DACB0" w14:textId="01AE5B02"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43</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Tang S, Huang W, Lu S, Lu L, Li G, Chen X, et al. Increased plasma orexin-A levels in patients with insomnia disorder are not associated with prepro-orexin or orexin receptor gene polymorphisms. Peptides. 2017; </w:t>
      </w:r>
      <w:r w:rsidR="008755C9" w:rsidRPr="005A226D">
        <w:rPr>
          <w:rFonts w:ascii="Calibri" w:hAnsi="Calibri" w:cs="Calibri"/>
          <w:noProof/>
          <w:szCs w:val="24"/>
        </w:rPr>
        <w:t>;88:55-61.</w:t>
      </w:r>
    </w:p>
    <w:p w14:paraId="06568D8B" w14:textId="15B95565"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44</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Sun H, Kennedy WP, Wilbraham D, Lewis N, Calder N, Li X, et al. Effects of suvorexant, an orexin receptor antagonist, on sleep parameters as measured by polysomnography in healthy men. Sleep. 2013; </w:t>
      </w:r>
      <w:r w:rsidR="00C85503" w:rsidRPr="005A226D">
        <w:rPr>
          <w:rFonts w:ascii="Calibri" w:hAnsi="Calibri" w:cs="Calibri"/>
          <w:noProof/>
          <w:szCs w:val="24"/>
        </w:rPr>
        <w:t>36(2):259-67.</w:t>
      </w:r>
    </w:p>
    <w:p w14:paraId="4180CA6A" w14:textId="5EB2B0A5"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45</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Cole S, Mayer HS, Petrovich GD. Orexin/Hypocretin-1 Receptor Antagonism Selectively Reduces Cue-Induced Feeding in Sated Rats and Recruits Medial Prefrontal Cortex and Thalamus. Sci Rep. England; 2015 Nov;5:16143. </w:t>
      </w:r>
    </w:p>
    <w:p w14:paraId="04E211D6" w14:textId="136C875C"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46</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Kim S, Deroo LA, Sandler DP. Eating patterns and nutritional characteristics associated with sleep duration. Public Health Nutr. 2011; </w:t>
      </w:r>
      <w:r w:rsidR="008D7CD4" w:rsidRPr="005A226D">
        <w:rPr>
          <w:rFonts w:ascii="Calibri" w:hAnsi="Calibri" w:cs="Calibri"/>
          <w:noProof/>
          <w:szCs w:val="24"/>
        </w:rPr>
        <w:t>14(5):889-95.</w:t>
      </w:r>
    </w:p>
    <w:p w14:paraId="6FD30399" w14:textId="6C4EABB4"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47</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Andreae C, Strömberg A, Årestedt K. Prevalence and associated factors for decreased appetite among patients with stable heart failure. J Clin Nurs. 2016; </w:t>
      </w:r>
      <w:r w:rsidR="00E96D57" w:rsidRPr="005A226D">
        <w:rPr>
          <w:rFonts w:ascii="Calibri" w:hAnsi="Calibri" w:cs="Calibri"/>
          <w:noProof/>
          <w:szCs w:val="24"/>
        </w:rPr>
        <w:t>25(11-12):1703-12.</w:t>
      </w:r>
    </w:p>
    <w:p w14:paraId="0D3E0204" w14:textId="173690B2"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48</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Jung CM, Melanson EL, Frydendall EJ, Perreault L, Eckel RH, Wright KP. Energy expenditure during sleep, sleep deprivation and sleep following sleep deprivation in adult humans. J Physiol. 2011; </w:t>
      </w:r>
      <w:r w:rsidR="00DD0FAD" w:rsidRPr="005A226D">
        <w:rPr>
          <w:rFonts w:ascii="Calibri" w:hAnsi="Calibri" w:cs="Calibri"/>
          <w:noProof/>
          <w:szCs w:val="24"/>
        </w:rPr>
        <w:t>589(Pt 1):235-44. </w:t>
      </w:r>
    </w:p>
    <w:p w14:paraId="1EE009A1" w14:textId="21D42FF8" w:rsidR="0085121B" w:rsidRPr="005A226D" w:rsidRDefault="001E651C" w:rsidP="005A226D">
      <w:pPr>
        <w:widowControl w:val="0"/>
        <w:autoSpaceDE w:val="0"/>
        <w:autoSpaceDN w:val="0"/>
        <w:adjustRightInd w:val="0"/>
        <w:spacing w:line="360" w:lineRule="auto"/>
        <w:ind w:left="640" w:hanging="640"/>
        <w:rPr>
          <w:rFonts w:ascii="Calibri" w:hAnsi="Calibri" w:cs="Calibri"/>
          <w:noProof/>
          <w:szCs w:val="24"/>
        </w:rPr>
      </w:pPr>
      <w:r w:rsidRPr="005A226D">
        <w:rPr>
          <w:rFonts w:ascii="Calibri" w:hAnsi="Calibri" w:cs="Calibri"/>
          <w:noProof/>
          <w:szCs w:val="24"/>
        </w:rPr>
        <w:t>49</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El-Desouky R, Abed H. Screening of malnutrition and its correlates among a sample of rural elderly in Qalyobeya Governorate, Egypt. J Egypt Public Health Assoc. England; 2017 Sep;92(3):156–66. </w:t>
      </w:r>
    </w:p>
    <w:p w14:paraId="13DE257B" w14:textId="0357FD1F" w:rsidR="0085121B" w:rsidRPr="005A226D" w:rsidRDefault="001E651C" w:rsidP="005A226D">
      <w:pPr>
        <w:widowControl w:val="0"/>
        <w:autoSpaceDE w:val="0"/>
        <w:autoSpaceDN w:val="0"/>
        <w:adjustRightInd w:val="0"/>
        <w:spacing w:line="360" w:lineRule="auto"/>
        <w:ind w:left="640" w:hanging="640"/>
        <w:rPr>
          <w:rFonts w:ascii="Calibri" w:hAnsi="Calibri" w:cs="Calibri"/>
          <w:noProof/>
        </w:rPr>
      </w:pPr>
      <w:r w:rsidRPr="005A226D">
        <w:rPr>
          <w:rFonts w:ascii="Calibri" w:hAnsi="Calibri" w:cs="Calibri"/>
          <w:noProof/>
          <w:szCs w:val="24"/>
        </w:rPr>
        <w:t>50</w:t>
      </w:r>
      <w:r w:rsidR="0085121B" w:rsidRPr="005A226D">
        <w:rPr>
          <w:rFonts w:ascii="Calibri" w:hAnsi="Calibri" w:cs="Calibri"/>
          <w:noProof/>
          <w:szCs w:val="24"/>
        </w:rPr>
        <w:t xml:space="preserve">. </w:t>
      </w:r>
      <w:r w:rsidR="0085121B" w:rsidRPr="005A226D">
        <w:rPr>
          <w:rFonts w:ascii="Calibri" w:hAnsi="Calibri" w:cs="Calibri"/>
          <w:noProof/>
          <w:szCs w:val="24"/>
        </w:rPr>
        <w:tab/>
        <w:t xml:space="preserve">Saka B, Kaya O, Ozturk GB, Erten N, Karan MA. Malnutrition in the elderly and its relationship with other geriatric syndromes. Clin Nutr. 2010; </w:t>
      </w:r>
      <w:r w:rsidR="00933E32" w:rsidRPr="005A226D">
        <w:rPr>
          <w:rFonts w:ascii="Calibri" w:hAnsi="Calibri" w:cs="Calibri"/>
          <w:noProof/>
          <w:szCs w:val="24"/>
        </w:rPr>
        <w:t>29(6):745-8.</w:t>
      </w:r>
    </w:p>
    <w:p w14:paraId="5C7808E8" w14:textId="33995360" w:rsidR="000D530C" w:rsidRDefault="008509F9" w:rsidP="005A226D">
      <w:pPr>
        <w:spacing w:line="360" w:lineRule="auto"/>
        <w:jc w:val="both"/>
        <w:rPr>
          <w:lang w:val="en-US"/>
        </w:rPr>
      </w:pPr>
      <w:r w:rsidRPr="005A226D">
        <w:rPr>
          <w:lang w:val="en-US"/>
        </w:rPr>
        <w:fldChar w:fldCharType="end"/>
      </w:r>
    </w:p>
    <w:p w14:paraId="1C206A29" w14:textId="534CB1D5" w:rsidR="00493003" w:rsidRDefault="00493003" w:rsidP="005A226D">
      <w:pPr>
        <w:spacing w:line="360" w:lineRule="auto"/>
        <w:jc w:val="both"/>
        <w:rPr>
          <w:lang w:val="en-US"/>
        </w:rPr>
      </w:pPr>
    </w:p>
    <w:p w14:paraId="404F2360" w14:textId="557ACC6C" w:rsidR="00493003" w:rsidRDefault="00493003" w:rsidP="005A226D">
      <w:pPr>
        <w:spacing w:line="360" w:lineRule="auto"/>
        <w:jc w:val="both"/>
        <w:rPr>
          <w:lang w:val="en-US"/>
        </w:rPr>
      </w:pPr>
    </w:p>
    <w:tbl>
      <w:tblPr>
        <w:tblStyle w:val="TableGrid"/>
        <w:tblpPr w:leftFromText="180" w:rightFromText="180" w:vertAnchor="page" w:horzAnchor="margin" w:tblpY="1126"/>
        <w:tblW w:w="9923" w:type="dxa"/>
        <w:tblLook w:val="04A0" w:firstRow="1" w:lastRow="0" w:firstColumn="1" w:lastColumn="0" w:noHBand="0" w:noVBand="1"/>
      </w:tblPr>
      <w:tblGrid>
        <w:gridCol w:w="3217"/>
        <w:gridCol w:w="1460"/>
        <w:gridCol w:w="1410"/>
        <w:gridCol w:w="1329"/>
        <w:gridCol w:w="1329"/>
        <w:gridCol w:w="1178"/>
      </w:tblGrid>
      <w:tr w:rsidR="00493003" w:rsidRPr="007D27F2" w14:paraId="73804758" w14:textId="77777777" w:rsidTr="007D1973">
        <w:tc>
          <w:tcPr>
            <w:tcW w:w="9923" w:type="dxa"/>
            <w:gridSpan w:val="6"/>
            <w:tcBorders>
              <w:top w:val="nil"/>
              <w:left w:val="nil"/>
              <w:right w:val="nil"/>
            </w:tcBorders>
          </w:tcPr>
          <w:p w14:paraId="3F2E6FB5" w14:textId="77777777" w:rsidR="00493003" w:rsidRPr="007D27F2" w:rsidRDefault="00493003" w:rsidP="007D1973">
            <w:pPr>
              <w:rPr>
                <w:b/>
              </w:rPr>
            </w:pPr>
            <w:r w:rsidRPr="007D27F2">
              <w:rPr>
                <w:b/>
              </w:rPr>
              <w:t>Table 1. Demographic and Clinical Characteristics Insomnia Status</w:t>
            </w:r>
          </w:p>
        </w:tc>
      </w:tr>
      <w:tr w:rsidR="00493003" w:rsidRPr="007D27F2" w14:paraId="2DEF8C60" w14:textId="77777777" w:rsidTr="007D1973">
        <w:tc>
          <w:tcPr>
            <w:tcW w:w="3217" w:type="dxa"/>
          </w:tcPr>
          <w:p w14:paraId="1B3DFDF2" w14:textId="77777777" w:rsidR="00493003" w:rsidRPr="007D27F2" w:rsidRDefault="00493003" w:rsidP="007D1973"/>
        </w:tc>
        <w:tc>
          <w:tcPr>
            <w:tcW w:w="6706" w:type="dxa"/>
            <w:gridSpan w:val="5"/>
          </w:tcPr>
          <w:p w14:paraId="3443F3DF" w14:textId="77777777" w:rsidR="00493003" w:rsidRPr="007D27F2" w:rsidRDefault="00493003" w:rsidP="007D1973">
            <w:pPr>
              <w:jc w:val="center"/>
              <w:rPr>
                <w:b/>
              </w:rPr>
            </w:pPr>
            <w:r w:rsidRPr="007D27F2">
              <w:rPr>
                <w:b/>
              </w:rPr>
              <w:t>Insomnia Severity Index (No=575)</w:t>
            </w:r>
          </w:p>
        </w:tc>
      </w:tr>
      <w:tr w:rsidR="00493003" w:rsidRPr="007D27F2" w14:paraId="3F75E1FF" w14:textId="77777777" w:rsidTr="007D1973">
        <w:tc>
          <w:tcPr>
            <w:tcW w:w="3217" w:type="dxa"/>
          </w:tcPr>
          <w:p w14:paraId="59E91AF6" w14:textId="77777777" w:rsidR="00493003" w:rsidRPr="007D27F2" w:rsidRDefault="00493003" w:rsidP="007D1973">
            <w:pPr>
              <w:rPr>
                <w:b/>
              </w:rPr>
            </w:pPr>
            <w:r w:rsidRPr="007D27F2">
              <w:rPr>
                <w:b/>
              </w:rPr>
              <w:t>Characteristic</w:t>
            </w:r>
          </w:p>
        </w:tc>
        <w:tc>
          <w:tcPr>
            <w:tcW w:w="1460" w:type="dxa"/>
          </w:tcPr>
          <w:p w14:paraId="5EBC3245" w14:textId="77777777" w:rsidR="00493003" w:rsidRPr="007D27F2" w:rsidRDefault="00493003" w:rsidP="007D1973">
            <w:pPr>
              <w:jc w:val="center"/>
              <w:rPr>
                <w:b/>
              </w:rPr>
            </w:pPr>
            <w:r w:rsidRPr="007D27F2">
              <w:rPr>
                <w:b/>
              </w:rPr>
              <w:t>No insomnia</w:t>
            </w:r>
          </w:p>
          <w:p w14:paraId="74E17846" w14:textId="77777777" w:rsidR="00493003" w:rsidRPr="007D27F2" w:rsidRDefault="00493003" w:rsidP="007D1973">
            <w:pPr>
              <w:jc w:val="center"/>
              <w:rPr>
                <w:b/>
              </w:rPr>
            </w:pPr>
            <w:r w:rsidRPr="007D27F2">
              <w:rPr>
                <w:b/>
              </w:rPr>
              <w:t>(198)</w:t>
            </w:r>
          </w:p>
        </w:tc>
        <w:tc>
          <w:tcPr>
            <w:tcW w:w="1410" w:type="dxa"/>
          </w:tcPr>
          <w:p w14:paraId="08D01543" w14:textId="77777777" w:rsidR="00493003" w:rsidRPr="007D27F2" w:rsidRDefault="00493003" w:rsidP="007D1973">
            <w:pPr>
              <w:jc w:val="center"/>
              <w:rPr>
                <w:b/>
              </w:rPr>
            </w:pPr>
            <w:r w:rsidRPr="007D27F2">
              <w:rPr>
                <w:b/>
              </w:rPr>
              <w:t>Mild insomnia</w:t>
            </w:r>
          </w:p>
          <w:p w14:paraId="31CC5A52" w14:textId="77777777" w:rsidR="00493003" w:rsidRPr="007D27F2" w:rsidRDefault="00493003" w:rsidP="007D1973">
            <w:pPr>
              <w:jc w:val="center"/>
              <w:rPr>
                <w:b/>
              </w:rPr>
            </w:pPr>
            <w:r w:rsidRPr="007D27F2">
              <w:rPr>
                <w:b/>
              </w:rPr>
              <w:t>(120)</w:t>
            </w:r>
          </w:p>
        </w:tc>
        <w:tc>
          <w:tcPr>
            <w:tcW w:w="1329" w:type="dxa"/>
          </w:tcPr>
          <w:p w14:paraId="07B1D15C" w14:textId="77777777" w:rsidR="00493003" w:rsidRPr="007D27F2" w:rsidRDefault="00493003" w:rsidP="007D1973">
            <w:pPr>
              <w:jc w:val="center"/>
              <w:rPr>
                <w:b/>
              </w:rPr>
            </w:pPr>
            <w:r w:rsidRPr="007D27F2">
              <w:rPr>
                <w:b/>
              </w:rPr>
              <w:t>Moderate</w:t>
            </w:r>
          </w:p>
          <w:p w14:paraId="4BB97A88" w14:textId="77777777" w:rsidR="00493003" w:rsidRPr="007D27F2" w:rsidRDefault="00493003" w:rsidP="007D1973">
            <w:pPr>
              <w:jc w:val="center"/>
              <w:rPr>
                <w:b/>
              </w:rPr>
            </w:pPr>
            <w:r w:rsidRPr="007D27F2">
              <w:rPr>
                <w:b/>
              </w:rPr>
              <w:t>Insomnia</w:t>
            </w:r>
          </w:p>
          <w:p w14:paraId="259E9185" w14:textId="77777777" w:rsidR="00493003" w:rsidRPr="007D27F2" w:rsidRDefault="00493003" w:rsidP="007D1973">
            <w:pPr>
              <w:jc w:val="center"/>
              <w:rPr>
                <w:b/>
              </w:rPr>
            </w:pPr>
            <w:r w:rsidRPr="007D27F2">
              <w:rPr>
                <w:b/>
              </w:rPr>
              <w:t>(173)</w:t>
            </w:r>
          </w:p>
        </w:tc>
        <w:tc>
          <w:tcPr>
            <w:tcW w:w="1329" w:type="dxa"/>
          </w:tcPr>
          <w:p w14:paraId="4F415430" w14:textId="77777777" w:rsidR="00493003" w:rsidRPr="007D27F2" w:rsidRDefault="00493003" w:rsidP="007D1973">
            <w:pPr>
              <w:jc w:val="center"/>
              <w:rPr>
                <w:b/>
              </w:rPr>
            </w:pPr>
            <w:r w:rsidRPr="007D27F2">
              <w:rPr>
                <w:b/>
              </w:rPr>
              <w:t>Severe insomnia</w:t>
            </w:r>
          </w:p>
          <w:p w14:paraId="18478A1C" w14:textId="77777777" w:rsidR="00493003" w:rsidRPr="007D27F2" w:rsidRDefault="00493003" w:rsidP="007D1973">
            <w:pPr>
              <w:jc w:val="center"/>
              <w:rPr>
                <w:b/>
              </w:rPr>
            </w:pPr>
            <w:r w:rsidRPr="007D27F2">
              <w:rPr>
                <w:b/>
              </w:rPr>
              <w:t>(84)</w:t>
            </w:r>
          </w:p>
        </w:tc>
        <w:tc>
          <w:tcPr>
            <w:tcW w:w="1178" w:type="dxa"/>
          </w:tcPr>
          <w:p w14:paraId="0B8A1164" w14:textId="77777777" w:rsidR="00493003" w:rsidRPr="007D27F2" w:rsidRDefault="00493003" w:rsidP="007D1973">
            <w:pPr>
              <w:jc w:val="center"/>
              <w:rPr>
                <w:b/>
              </w:rPr>
            </w:pPr>
          </w:p>
          <w:p w14:paraId="4AC9EC2A" w14:textId="77777777" w:rsidR="00493003" w:rsidRPr="007D27F2" w:rsidRDefault="00493003" w:rsidP="007D1973">
            <w:pPr>
              <w:jc w:val="center"/>
              <w:rPr>
                <w:b/>
              </w:rPr>
            </w:pPr>
            <w:r w:rsidRPr="007D27F2">
              <w:rPr>
                <w:b/>
              </w:rPr>
              <w:t>p value</w:t>
            </w:r>
          </w:p>
        </w:tc>
      </w:tr>
      <w:tr w:rsidR="00493003" w:rsidRPr="007D27F2" w14:paraId="014E769D" w14:textId="77777777" w:rsidTr="007D1973">
        <w:tc>
          <w:tcPr>
            <w:tcW w:w="3217" w:type="dxa"/>
            <w:vAlign w:val="center"/>
          </w:tcPr>
          <w:p w14:paraId="286BCC34" w14:textId="77777777" w:rsidR="00493003" w:rsidRPr="007D27F2" w:rsidRDefault="00493003" w:rsidP="007D1973">
            <w:pPr>
              <w:rPr>
                <w:sz w:val="21"/>
                <w:szCs w:val="21"/>
              </w:rPr>
            </w:pPr>
            <w:r w:rsidRPr="007D27F2">
              <w:rPr>
                <w:sz w:val="21"/>
                <w:szCs w:val="21"/>
              </w:rPr>
              <w:t>Age (years)</w:t>
            </w:r>
          </w:p>
        </w:tc>
        <w:tc>
          <w:tcPr>
            <w:tcW w:w="1460" w:type="dxa"/>
          </w:tcPr>
          <w:p w14:paraId="4A85B531" w14:textId="77777777" w:rsidR="00493003" w:rsidRPr="007D27F2" w:rsidRDefault="00493003" w:rsidP="007D1973">
            <w:pPr>
              <w:jc w:val="center"/>
            </w:pPr>
            <w:r w:rsidRPr="007D27F2">
              <w:t>72.9</w:t>
            </w:r>
            <w:r w:rsidRPr="007D27F2">
              <w:rPr>
                <w:rFonts w:cstheme="minorHAnsi"/>
              </w:rPr>
              <w:t>±</w:t>
            </w:r>
            <w:r w:rsidRPr="007D27F2">
              <w:t>7.8</w:t>
            </w:r>
          </w:p>
        </w:tc>
        <w:tc>
          <w:tcPr>
            <w:tcW w:w="1410" w:type="dxa"/>
          </w:tcPr>
          <w:p w14:paraId="0684EB87" w14:textId="77777777" w:rsidR="00493003" w:rsidRPr="007D27F2" w:rsidRDefault="00493003" w:rsidP="007D1973">
            <w:pPr>
              <w:jc w:val="center"/>
            </w:pPr>
            <w:r w:rsidRPr="007D27F2">
              <w:t>72.1</w:t>
            </w:r>
            <w:r w:rsidRPr="007D27F2">
              <w:rPr>
                <w:rFonts w:cstheme="minorHAnsi"/>
              </w:rPr>
              <w:t>±</w:t>
            </w:r>
            <w:r w:rsidRPr="007D27F2">
              <w:t>7.2</w:t>
            </w:r>
          </w:p>
        </w:tc>
        <w:tc>
          <w:tcPr>
            <w:tcW w:w="1329" w:type="dxa"/>
          </w:tcPr>
          <w:p w14:paraId="344C3B89" w14:textId="77777777" w:rsidR="00493003" w:rsidRPr="007D27F2" w:rsidRDefault="00493003" w:rsidP="007D1973">
            <w:pPr>
              <w:jc w:val="center"/>
            </w:pPr>
            <w:r w:rsidRPr="007D27F2">
              <w:t>74.2</w:t>
            </w:r>
            <w:r w:rsidRPr="007D27F2">
              <w:rPr>
                <w:rFonts w:cstheme="minorHAnsi"/>
              </w:rPr>
              <w:t>±</w:t>
            </w:r>
            <w:r w:rsidRPr="007D27F2">
              <w:t>8.0</w:t>
            </w:r>
          </w:p>
        </w:tc>
        <w:tc>
          <w:tcPr>
            <w:tcW w:w="1329" w:type="dxa"/>
          </w:tcPr>
          <w:p w14:paraId="6B94D806" w14:textId="77777777" w:rsidR="00493003" w:rsidRPr="007D27F2" w:rsidRDefault="00493003" w:rsidP="007D1973">
            <w:pPr>
              <w:jc w:val="center"/>
            </w:pPr>
            <w:r w:rsidRPr="007D27F2">
              <w:t>72.8</w:t>
            </w:r>
            <w:r w:rsidRPr="007D27F2">
              <w:rPr>
                <w:rFonts w:cstheme="minorHAnsi"/>
              </w:rPr>
              <w:t>±</w:t>
            </w:r>
            <w:r w:rsidRPr="007D27F2">
              <w:t>7.8</w:t>
            </w:r>
          </w:p>
        </w:tc>
        <w:tc>
          <w:tcPr>
            <w:tcW w:w="1178" w:type="dxa"/>
          </w:tcPr>
          <w:p w14:paraId="4830558A" w14:textId="77777777" w:rsidR="00493003" w:rsidRPr="007D27F2" w:rsidRDefault="00493003" w:rsidP="007D1973">
            <w:pPr>
              <w:jc w:val="center"/>
            </w:pPr>
            <w:r w:rsidRPr="007D27F2">
              <w:t>0.151</w:t>
            </w:r>
          </w:p>
        </w:tc>
      </w:tr>
      <w:tr w:rsidR="00493003" w:rsidRPr="007D27F2" w14:paraId="5889484B" w14:textId="77777777" w:rsidTr="007D1973">
        <w:tc>
          <w:tcPr>
            <w:tcW w:w="3217" w:type="dxa"/>
            <w:vAlign w:val="center"/>
          </w:tcPr>
          <w:p w14:paraId="3A291298" w14:textId="77777777" w:rsidR="00493003" w:rsidRPr="007D27F2" w:rsidRDefault="00493003" w:rsidP="007D1973">
            <w:pPr>
              <w:rPr>
                <w:sz w:val="21"/>
                <w:szCs w:val="21"/>
              </w:rPr>
            </w:pPr>
            <w:r w:rsidRPr="007D27F2">
              <w:rPr>
                <w:sz w:val="21"/>
                <w:szCs w:val="21"/>
              </w:rPr>
              <w:t>*Gender (Female, %)</w:t>
            </w:r>
          </w:p>
        </w:tc>
        <w:tc>
          <w:tcPr>
            <w:tcW w:w="1460" w:type="dxa"/>
          </w:tcPr>
          <w:p w14:paraId="54BB157B" w14:textId="77777777" w:rsidR="00493003" w:rsidRPr="007D27F2" w:rsidRDefault="00493003" w:rsidP="007D1973">
            <w:pPr>
              <w:jc w:val="center"/>
            </w:pPr>
            <w:r w:rsidRPr="007D27F2">
              <w:t>60.6</w:t>
            </w:r>
          </w:p>
        </w:tc>
        <w:tc>
          <w:tcPr>
            <w:tcW w:w="1410" w:type="dxa"/>
          </w:tcPr>
          <w:p w14:paraId="2833E0D5" w14:textId="77777777" w:rsidR="00493003" w:rsidRPr="007D27F2" w:rsidRDefault="00493003" w:rsidP="007D1973">
            <w:pPr>
              <w:jc w:val="center"/>
            </w:pPr>
            <w:r w:rsidRPr="007D27F2">
              <w:t>78.3</w:t>
            </w:r>
          </w:p>
        </w:tc>
        <w:tc>
          <w:tcPr>
            <w:tcW w:w="1329" w:type="dxa"/>
          </w:tcPr>
          <w:p w14:paraId="69451A5A" w14:textId="77777777" w:rsidR="00493003" w:rsidRPr="007D27F2" w:rsidRDefault="00493003" w:rsidP="007D1973">
            <w:pPr>
              <w:jc w:val="center"/>
            </w:pPr>
            <w:r w:rsidRPr="007D27F2">
              <w:t>80.9</w:t>
            </w:r>
          </w:p>
        </w:tc>
        <w:tc>
          <w:tcPr>
            <w:tcW w:w="1329" w:type="dxa"/>
          </w:tcPr>
          <w:p w14:paraId="1B10D9C5" w14:textId="77777777" w:rsidR="00493003" w:rsidRPr="007D27F2" w:rsidRDefault="00493003" w:rsidP="007D1973">
            <w:pPr>
              <w:jc w:val="center"/>
            </w:pPr>
            <w:r w:rsidRPr="007D27F2">
              <w:t>79.8</w:t>
            </w:r>
          </w:p>
        </w:tc>
        <w:tc>
          <w:tcPr>
            <w:tcW w:w="1178" w:type="dxa"/>
          </w:tcPr>
          <w:p w14:paraId="707F23B2" w14:textId="77777777" w:rsidR="00493003" w:rsidRPr="007D27F2" w:rsidRDefault="00493003" w:rsidP="007D1973">
            <w:pPr>
              <w:jc w:val="center"/>
              <w:rPr>
                <w:b/>
              </w:rPr>
            </w:pPr>
            <w:r w:rsidRPr="007D27F2">
              <w:rPr>
                <w:b/>
              </w:rPr>
              <w:t>&lt;0.001</w:t>
            </w:r>
          </w:p>
        </w:tc>
      </w:tr>
      <w:tr w:rsidR="00493003" w:rsidRPr="007D27F2" w14:paraId="14930D39" w14:textId="77777777" w:rsidTr="007D1973">
        <w:tc>
          <w:tcPr>
            <w:tcW w:w="3217" w:type="dxa"/>
            <w:vAlign w:val="center"/>
          </w:tcPr>
          <w:p w14:paraId="25A73CFD" w14:textId="77777777" w:rsidR="00493003" w:rsidRPr="007D27F2" w:rsidRDefault="00493003" w:rsidP="007D1973">
            <w:pPr>
              <w:rPr>
                <w:sz w:val="21"/>
                <w:szCs w:val="21"/>
              </w:rPr>
            </w:pPr>
            <w:r w:rsidRPr="007D27F2">
              <w:rPr>
                <w:sz w:val="21"/>
                <w:szCs w:val="21"/>
              </w:rPr>
              <w:t>*Education (years)</w:t>
            </w:r>
          </w:p>
        </w:tc>
        <w:tc>
          <w:tcPr>
            <w:tcW w:w="1460" w:type="dxa"/>
          </w:tcPr>
          <w:p w14:paraId="1BDB844A" w14:textId="77777777" w:rsidR="00493003" w:rsidRPr="007D27F2" w:rsidRDefault="00493003" w:rsidP="007D1973">
            <w:pPr>
              <w:jc w:val="center"/>
            </w:pPr>
            <w:r w:rsidRPr="007D27F2">
              <w:t>4.5</w:t>
            </w:r>
            <w:r w:rsidRPr="007D27F2">
              <w:rPr>
                <w:rFonts w:cstheme="minorHAnsi"/>
              </w:rPr>
              <w:t>±</w:t>
            </w:r>
            <w:r w:rsidRPr="007D27F2">
              <w:t>3.9</w:t>
            </w:r>
          </w:p>
        </w:tc>
        <w:tc>
          <w:tcPr>
            <w:tcW w:w="1410" w:type="dxa"/>
          </w:tcPr>
          <w:p w14:paraId="4F6EBE35" w14:textId="77777777" w:rsidR="00493003" w:rsidRPr="007D27F2" w:rsidRDefault="00493003" w:rsidP="007D1973">
            <w:pPr>
              <w:jc w:val="center"/>
            </w:pPr>
            <w:r w:rsidRPr="007D27F2">
              <w:t>3.3</w:t>
            </w:r>
            <w:r w:rsidRPr="007D27F2">
              <w:rPr>
                <w:rFonts w:cstheme="minorHAnsi"/>
              </w:rPr>
              <w:t>±2</w:t>
            </w:r>
            <w:r w:rsidRPr="007D27F2">
              <w:t>.9</w:t>
            </w:r>
          </w:p>
        </w:tc>
        <w:tc>
          <w:tcPr>
            <w:tcW w:w="1329" w:type="dxa"/>
          </w:tcPr>
          <w:p w14:paraId="6683E15A" w14:textId="77777777" w:rsidR="00493003" w:rsidRPr="007D27F2" w:rsidRDefault="00493003" w:rsidP="007D1973">
            <w:pPr>
              <w:jc w:val="center"/>
            </w:pPr>
            <w:r w:rsidRPr="007D27F2">
              <w:t>2.5</w:t>
            </w:r>
            <w:r w:rsidRPr="007D27F2">
              <w:rPr>
                <w:rFonts w:cstheme="minorHAnsi"/>
              </w:rPr>
              <w:t>±</w:t>
            </w:r>
            <w:r w:rsidRPr="007D27F2">
              <w:t>3.4</w:t>
            </w:r>
          </w:p>
        </w:tc>
        <w:tc>
          <w:tcPr>
            <w:tcW w:w="1329" w:type="dxa"/>
          </w:tcPr>
          <w:p w14:paraId="6C691B53" w14:textId="77777777" w:rsidR="00493003" w:rsidRPr="007D27F2" w:rsidRDefault="00493003" w:rsidP="007D1973">
            <w:pPr>
              <w:jc w:val="center"/>
            </w:pPr>
            <w:r w:rsidRPr="007D27F2">
              <w:t>2.6</w:t>
            </w:r>
            <w:r w:rsidRPr="007D27F2">
              <w:rPr>
                <w:rFonts w:cstheme="minorHAnsi"/>
              </w:rPr>
              <w:t>±</w:t>
            </w:r>
            <w:r w:rsidRPr="007D27F2">
              <w:t>3.2</w:t>
            </w:r>
          </w:p>
        </w:tc>
        <w:tc>
          <w:tcPr>
            <w:tcW w:w="1178" w:type="dxa"/>
          </w:tcPr>
          <w:p w14:paraId="174A32FF" w14:textId="77777777" w:rsidR="00493003" w:rsidRPr="007D27F2" w:rsidRDefault="00493003" w:rsidP="007D1973">
            <w:pPr>
              <w:jc w:val="center"/>
              <w:rPr>
                <w:b/>
              </w:rPr>
            </w:pPr>
            <w:r w:rsidRPr="007D27F2">
              <w:rPr>
                <w:b/>
              </w:rPr>
              <w:t>&lt;0.001</w:t>
            </w:r>
          </w:p>
        </w:tc>
      </w:tr>
      <w:tr w:rsidR="00493003" w:rsidRPr="007D27F2" w14:paraId="2713B8DD" w14:textId="77777777" w:rsidTr="007D1973">
        <w:tc>
          <w:tcPr>
            <w:tcW w:w="3217" w:type="dxa"/>
          </w:tcPr>
          <w:p w14:paraId="686EFA1A" w14:textId="77777777" w:rsidR="00493003" w:rsidRPr="007D27F2" w:rsidRDefault="00493003" w:rsidP="007D1973">
            <w:pPr>
              <w:rPr>
                <w:sz w:val="21"/>
                <w:szCs w:val="21"/>
              </w:rPr>
            </w:pPr>
            <w:r w:rsidRPr="007D27F2">
              <w:rPr>
                <w:sz w:val="21"/>
                <w:szCs w:val="21"/>
              </w:rPr>
              <w:t>*CCI</w:t>
            </w:r>
          </w:p>
        </w:tc>
        <w:tc>
          <w:tcPr>
            <w:tcW w:w="1460" w:type="dxa"/>
          </w:tcPr>
          <w:p w14:paraId="047DB2B5" w14:textId="77777777" w:rsidR="00493003" w:rsidRPr="007D27F2" w:rsidRDefault="00493003" w:rsidP="007D1973">
            <w:pPr>
              <w:jc w:val="center"/>
            </w:pPr>
            <w:r w:rsidRPr="007D27F2">
              <w:t xml:space="preserve">0.8 </w:t>
            </w:r>
            <w:r w:rsidRPr="007D27F2">
              <w:rPr>
                <w:rFonts w:cstheme="minorHAnsi"/>
              </w:rPr>
              <w:t>±</w:t>
            </w:r>
            <w:r w:rsidRPr="007D27F2">
              <w:t>1.1</w:t>
            </w:r>
          </w:p>
        </w:tc>
        <w:tc>
          <w:tcPr>
            <w:tcW w:w="1410" w:type="dxa"/>
          </w:tcPr>
          <w:p w14:paraId="653D7583" w14:textId="77777777" w:rsidR="00493003" w:rsidRPr="007D27F2" w:rsidRDefault="00493003" w:rsidP="007D1973">
            <w:pPr>
              <w:jc w:val="center"/>
            </w:pPr>
            <w:r w:rsidRPr="007D27F2">
              <w:t>0.8</w:t>
            </w:r>
            <w:r w:rsidRPr="007D27F2">
              <w:rPr>
                <w:rFonts w:cstheme="minorHAnsi"/>
              </w:rPr>
              <w:t>±</w:t>
            </w:r>
            <w:r w:rsidRPr="007D27F2">
              <w:t>0.7</w:t>
            </w:r>
          </w:p>
        </w:tc>
        <w:tc>
          <w:tcPr>
            <w:tcW w:w="1329" w:type="dxa"/>
          </w:tcPr>
          <w:p w14:paraId="01D1FF6E" w14:textId="77777777" w:rsidR="00493003" w:rsidRPr="007D27F2" w:rsidRDefault="00493003" w:rsidP="007D1973">
            <w:pPr>
              <w:jc w:val="center"/>
            </w:pPr>
            <w:r w:rsidRPr="007D27F2">
              <w:t>2.2</w:t>
            </w:r>
            <w:r w:rsidRPr="007D27F2">
              <w:rPr>
                <w:rFonts w:cstheme="minorHAnsi"/>
              </w:rPr>
              <w:t>±</w:t>
            </w:r>
            <w:r w:rsidRPr="007D27F2">
              <w:t>9.3</w:t>
            </w:r>
          </w:p>
        </w:tc>
        <w:tc>
          <w:tcPr>
            <w:tcW w:w="1329" w:type="dxa"/>
          </w:tcPr>
          <w:p w14:paraId="7040D475" w14:textId="77777777" w:rsidR="00493003" w:rsidRPr="007D27F2" w:rsidRDefault="00493003" w:rsidP="007D1973">
            <w:pPr>
              <w:jc w:val="center"/>
            </w:pPr>
            <w:r w:rsidRPr="007D27F2">
              <w:t>1.1</w:t>
            </w:r>
            <w:r w:rsidRPr="007D27F2">
              <w:rPr>
                <w:rFonts w:cstheme="minorHAnsi"/>
              </w:rPr>
              <w:t>±</w:t>
            </w:r>
            <w:r w:rsidRPr="007D27F2">
              <w:t>1.6</w:t>
            </w:r>
          </w:p>
        </w:tc>
        <w:tc>
          <w:tcPr>
            <w:tcW w:w="1178" w:type="dxa"/>
          </w:tcPr>
          <w:p w14:paraId="022380E0" w14:textId="77777777" w:rsidR="00493003" w:rsidRPr="007D27F2" w:rsidRDefault="00493003" w:rsidP="007D1973">
            <w:pPr>
              <w:jc w:val="center"/>
              <w:rPr>
                <w:b/>
              </w:rPr>
            </w:pPr>
            <w:r w:rsidRPr="007D27F2">
              <w:rPr>
                <w:b/>
              </w:rPr>
              <w:t>&lt;0.05</w:t>
            </w:r>
          </w:p>
        </w:tc>
      </w:tr>
      <w:tr w:rsidR="00493003" w:rsidRPr="007D27F2" w14:paraId="44B195A7" w14:textId="77777777" w:rsidTr="007D1973">
        <w:tc>
          <w:tcPr>
            <w:tcW w:w="3217" w:type="dxa"/>
          </w:tcPr>
          <w:p w14:paraId="3AA7C590" w14:textId="77777777" w:rsidR="00493003" w:rsidRPr="007D27F2" w:rsidRDefault="00493003" w:rsidP="007D1973">
            <w:pPr>
              <w:rPr>
                <w:sz w:val="21"/>
                <w:szCs w:val="21"/>
              </w:rPr>
            </w:pPr>
            <w:r w:rsidRPr="007D27F2">
              <w:rPr>
                <w:sz w:val="21"/>
                <w:szCs w:val="21"/>
              </w:rPr>
              <w:t>*Number of Drugs</w:t>
            </w:r>
          </w:p>
        </w:tc>
        <w:tc>
          <w:tcPr>
            <w:tcW w:w="1460" w:type="dxa"/>
          </w:tcPr>
          <w:p w14:paraId="5152F689" w14:textId="77777777" w:rsidR="00493003" w:rsidRPr="007D27F2" w:rsidRDefault="00493003" w:rsidP="007D1973">
            <w:pPr>
              <w:jc w:val="center"/>
            </w:pPr>
            <w:r w:rsidRPr="007D27F2">
              <w:t>3.7</w:t>
            </w:r>
            <w:r w:rsidRPr="007D27F2">
              <w:rPr>
                <w:rFonts w:cstheme="minorHAnsi"/>
              </w:rPr>
              <w:t>±</w:t>
            </w:r>
            <w:r w:rsidRPr="007D27F2">
              <w:t>2.6</w:t>
            </w:r>
          </w:p>
        </w:tc>
        <w:tc>
          <w:tcPr>
            <w:tcW w:w="1410" w:type="dxa"/>
          </w:tcPr>
          <w:p w14:paraId="76C8BBB6" w14:textId="77777777" w:rsidR="00493003" w:rsidRPr="007D27F2" w:rsidRDefault="00493003" w:rsidP="007D1973">
            <w:pPr>
              <w:jc w:val="center"/>
            </w:pPr>
            <w:r w:rsidRPr="007D27F2">
              <w:t>4.4</w:t>
            </w:r>
            <w:r w:rsidRPr="007D27F2">
              <w:rPr>
                <w:rFonts w:cstheme="minorHAnsi"/>
              </w:rPr>
              <w:t>±</w:t>
            </w:r>
            <w:r w:rsidRPr="007D27F2">
              <w:t>2.6</w:t>
            </w:r>
          </w:p>
        </w:tc>
        <w:tc>
          <w:tcPr>
            <w:tcW w:w="1329" w:type="dxa"/>
          </w:tcPr>
          <w:p w14:paraId="0DD61C12" w14:textId="77777777" w:rsidR="00493003" w:rsidRPr="007D27F2" w:rsidRDefault="00493003" w:rsidP="007D1973">
            <w:pPr>
              <w:jc w:val="center"/>
            </w:pPr>
            <w:r w:rsidRPr="007D27F2">
              <w:t>4.3</w:t>
            </w:r>
            <w:r w:rsidRPr="007D27F2">
              <w:rPr>
                <w:rFonts w:cstheme="minorHAnsi"/>
              </w:rPr>
              <w:t>±</w:t>
            </w:r>
            <w:r w:rsidRPr="007D27F2">
              <w:t>2.6</w:t>
            </w:r>
          </w:p>
        </w:tc>
        <w:tc>
          <w:tcPr>
            <w:tcW w:w="1329" w:type="dxa"/>
          </w:tcPr>
          <w:p w14:paraId="69FFA831" w14:textId="77777777" w:rsidR="00493003" w:rsidRPr="007D27F2" w:rsidRDefault="00493003" w:rsidP="007D1973">
            <w:pPr>
              <w:jc w:val="center"/>
            </w:pPr>
            <w:r w:rsidRPr="007D27F2">
              <w:t>5.1</w:t>
            </w:r>
            <w:r w:rsidRPr="007D27F2">
              <w:rPr>
                <w:rFonts w:cstheme="minorHAnsi"/>
              </w:rPr>
              <w:t>±</w:t>
            </w:r>
            <w:r w:rsidRPr="007D27F2">
              <w:t>3.3</w:t>
            </w:r>
          </w:p>
        </w:tc>
        <w:tc>
          <w:tcPr>
            <w:tcW w:w="1178" w:type="dxa"/>
          </w:tcPr>
          <w:p w14:paraId="0FE44ED9" w14:textId="77777777" w:rsidR="00493003" w:rsidRPr="007D27F2" w:rsidRDefault="00493003" w:rsidP="007D1973">
            <w:pPr>
              <w:jc w:val="center"/>
              <w:rPr>
                <w:b/>
              </w:rPr>
            </w:pPr>
            <w:r w:rsidRPr="007D27F2">
              <w:rPr>
                <w:b/>
              </w:rPr>
              <w:t>0.005</w:t>
            </w:r>
          </w:p>
        </w:tc>
      </w:tr>
      <w:tr w:rsidR="00493003" w:rsidRPr="007D27F2" w14:paraId="588C44B8" w14:textId="77777777" w:rsidTr="007D1973">
        <w:tc>
          <w:tcPr>
            <w:tcW w:w="3217" w:type="dxa"/>
          </w:tcPr>
          <w:p w14:paraId="6BC6F1B2" w14:textId="77777777" w:rsidR="00493003" w:rsidRPr="007D27F2" w:rsidRDefault="00493003" w:rsidP="007D1973">
            <w:pPr>
              <w:rPr>
                <w:sz w:val="21"/>
                <w:szCs w:val="21"/>
              </w:rPr>
            </w:pPr>
            <w:r w:rsidRPr="007D27F2">
              <w:rPr>
                <w:sz w:val="21"/>
                <w:szCs w:val="21"/>
              </w:rPr>
              <w:t>Obesity (%)</w:t>
            </w:r>
          </w:p>
        </w:tc>
        <w:tc>
          <w:tcPr>
            <w:tcW w:w="1460" w:type="dxa"/>
          </w:tcPr>
          <w:p w14:paraId="4A332530" w14:textId="77777777" w:rsidR="00493003" w:rsidRPr="007D27F2" w:rsidRDefault="00493003" w:rsidP="007D1973">
            <w:pPr>
              <w:jc w:val="center"/>
            </w:pPr>
            <w:r w:rsidRPr="007D27F2">
              <w:t>59.1</w:t>
            </w:r>
          </w:p>
        </w:tc>
        <w:tc>
          <w:tcPr>
            <w:tcW w:w="1410" w:type="dxa"/>
          </w:tcPr>
          <w:p w14:paraId="27266F17" w14:textId="77777777" w:rsidR="00493003" w:rsidRPr="007D27F2" w:rsidRDefault="00493003" w:rsidP="007D1973">
            <w:pPr>
              <w:jc w:val="center"/>
            </w:pPr>
            <w:r w:rsidRPr="007D27F2">
              <w:t>65.0</w:t>
            </w:r>
          </w:p>
        </w:tc>
        <w:tc>
          <w:tcPr>
            <w:tcW w:w="1329" w:type="dxa"/>
          </w:tcPr>
          <w:p w14:paraId="0880983B" w14:textId="77777777" w:rsidR="00493003" w:rsidRPr="007D27F2" w:rsidRDefault="00493003" w:rsidP="007D1973">
            <w:pPr>
              <w:jc w:val="center"/>
            </w:pPr>
            <w:r w:rsidRPr="007D27F2">
              <w:t>57.8</w:t>
            </w:r>
          </w:p>
        </w:tc>
        <w:tc>
          <w:tcPr>
            <w:tcW w:w="1329" w:type="dxa"/>
          </w:tcPr>
          <w:p w14:paraId="485CBEDD" w14:textId="77777777" w:rsidR="00493003" w:rsidRPr="007D27F2" w:rsidRDefault="00493003" w:rsidP="007D1973">
            <w:pPr>
              <w:jc w:val="center"/>
            </w:pPr>
            <w:r w:rsidRPr="007D27F2">
              <w:t>57.1</w:t>
            </w:r>
          </w:p>
        </w:tc>
        <w:tc>
          <w:tcPr>
            <w:tcW w:w="1178" w:type="dxa"/>
          </w:tcPr>
          <w:p w14:paraId="2912FD4D" w14:textId="77777777" w:rsidR="00493003" w:rsidRPr="007D27F2" w:rsidRDefault="00493003" w:rsidP="007D1973">
            <w:pPr>
              <w:jc w:val="center"/>
            </w:pPr>
            <w:r w:rsidRPr="007D27F2">
              <w:t>0.338</w:t>
            </w:r>
          </w:p>
        </w:tc>
      </w:tr>
      <w:tr w:rsidR="00493003" w:rsidRPr="007D27F2" w14:paraId="7689B6C5" w14:textId="77777777" w:rsidTr="007D1973">
        <w:tc>
          <w:tcPr>
            <w:tcW w:w="3217" w:type="dxa"/>
          </w:tcPr>
          <w:p w14:paraId="18352734" w14:textId="77777777" w:rsidR="00493003" w:rsidRPr="007D27F2" w:rsidRDefault="00493003" w:rsidP="007D1973">
            <w:pPr>
              <w:rPr>
                <w:sz w:val="21"/>
                <w:szCs w:val="21"/>
              </w:rPr>
            </w:pPr>
            <w:r w:rsidRPr="007D27F2">
              <w:rPr>
                <w:b/>
                <w:sz w:val="21"/>
                <w:szCs w:val="21"/>
              </w:rPr>
              <w:t>COMORBIDITIES (%)</w:t>
            </w:r>
          </w:p>
        </w:tc>
        <w:tc>
          <w:tcPr>
            <w:tcW w:w="1460" w:type="dxa"/>
          </w:tcPr>
          <w:p w14:paraId="4A2DBFFF" w14:textId="77777777" w:rsidR="00493003" w:rsidRPr="007D27F2" w:rsidRDefault="00493003" w:rsidP="007D1973"/>
        </w:tc>
        <w:tc>
          <w:tcPr>
            <w:tcW w:w="1410" w:type="dxa"/>
          </w:tcPr>
          <w:p w14:paraId="582B65C3" w14:textId="77777777" w:rsidR="00493003" w:rsidRPr="007D27F2" w:rsidRDefault="00493003" w:rsidP="007D1973"/>
        </w:tc>
        <w:tc>
          <w:tcPr>
            <w:tcW w:w="1329" w:type="dxa"/>
          </w:tcPr>
          <w:p w14:paraId="13EBD8A9" w14:textId="77777777" w:rsidR="00493003" w:rsidRPr="007D27F2" w:rsidRDefault="00493003" w:rsidP="007D1973"/>
        </w:tc>
        <w:tc>
          <w:tcPr>
            <w:tcW w:w="1329" w:type="dxa"/>
          </w:tcPr>
          <w:p w14:paraId="59E397AC" w14:textId="77777777" w:rsidR="00493003" w:rsidRPr="007D27F2" w:rsidRDefault="00493003" w:rsidP="007D1973"/>
        </w:tc>
        <w:tc>
          <w:tcPr>
            <w:tcW w:w="1178" w:type="dxa"/>
          </w:tcPr>
          <w:p w14:paraId="0B3E77E1" w14:textId="77777777" w:rsidR="00493003" w:rsidRPr="007D27F2" w:rsidRDefault="00493003" w:rsidP="007D1973">
            <w:pPr>
              <w:jc w:val="center"/>
            </w:pPr>
          </w:p>
        </w:tc>
      </w:tr>
      <w:tr w:rsidR="00493003" w:rsidRPr="007D27F2" w14:paraId="0CF453D5" w14:textId="77777777" w:rsidTr="007D1973">
        <w:tc>
          <w:tcPr>
            <w:tcW w:w="3217" w:type="dxa"/>
          </w:tcPr>
          <w:p w14:paraId="1C35A113" w14:textId="77777777" w:rsidR="00493003" w:rsidRPr="007D27F2" w:rsidRDefault="00493003" w:rsidP="007D1973">
            <w:pPr>
              <w:rPr>
                <w:sz w:val="21"/>
                <w:szCs w:val="21"/>
              </w:rPr>
            </w:pPr>
            <w:r w:rsidRPr="007D27F2">
              <w:rPr>
                <w:sz w:val="21"/>
                <w:szCs w:val="21"/>
              </w:rPr>
              <w:t>Cerebrovascular Events</w:t>
            </w:r>
          </w:p>
        </w:tc>
        <w:tc>
          <w:tcPr>
            <w:tcW w:w="1460" w:type="dxa"/>
          </w:tcPr>
          <w:p w14:paraId="507112F8" w14:textId="77777777" w:rsidR="00493003" w:rsidRPr="007D27F2" w:rsidRDefault="00493003" w:rsidP="007D1973">
            <w:pPr>
              <w:jc w:val="center"/>
            </w:pPr>
            <w:r w:rsidRPr="007D27F2">
              <w:t>6.1</w:t>
            </w:r>
          </w:p>
        </w:tc>
        <w:tc>
          <w:tcPr>
            <w:tcW w:w="1410" w:type="dxa"/>
          </w:tcPr>
          <w:p w14:paraId="1CF18F5C" w14:textId="77777777" w:rsidR="00493003" w:rsidRPr="007D27F2" w:rsidRDefault="00493003" w:rsidP="007D1973">
            <w:pPr>
              <w:jc w:val="center"/>
            </w:pPr>
            <w:r w:rsidRPr="007D27F2">
              <w:t>1.7</w:t>
            </w:r>
          </w:p>
        </w:tc>
        <w:tc>
          <w:tcPr>
            <w:tcW w:w="1329" w:type="dxa"/>
          </w:tcPr>
          <w:p w14:paraId="7A157909" w14:textId="77777777" w:rsidR="00493003" w:rsidRPr="007D27F2" w:rsidRDefault="00493003" w:rsidP="007D1973">
            <w:pPr>
              <w:jc w:val="center"/>
            </w:pPr>
            <w:r w:rsidRPr="007D27F2">
              <w:t>6,9</w:t>
            </w:r>
          </w:p>
        </w:tc>
        <w:tc>
          <w:tcPr>
            <w:tcW w:w="1329" w:type="dxa"/>
          </w:tcPr>
          <w:p w14:paraId="24D14C73" w14:textId="77777777" w:rsidR="00493003" w:rsidRPr="007D27F2" w:rsidRDefault="00493003" w:rsidP="007D1973">
            <w:pPr>
              <w:jc w:val="center"/>
            </w:pPr>
            <w:r w:rsidRPr="007D27F2">
              <w:t>7.1</w:t>
            </w:r>
          </w:p>
        </w:tc>
        <w:tc>
          <w:tcPr>
            <w:tcW w:w="1178" w:type="dxa"/>
          </w:tcPr>
          <w:p w14:paraId="0C6EAD20" w14:textId="77777777" w:rsidR="00493003" w:rsidRPr="007D27F2" w:rsidRDefault="00493003" w:rsidP="007D1973">
            <w:pPr>
              <w:jc w:val="center"/>
            </w:pPr>
            <w:r w:rsidRPr="007D27F2">
              <w:t>0.170</w:t>
            </w:r>
          </w:p>
        </w:tc>
      </w:tr>
      <w:tr w:rsidR="00493003" w:rsidRPr="007D27F2" w14:paraId="51ADECEC" w14:textId="77777777" w:rsidTr="007D1973">
        <w:tc>
          <w:tcPr>
            <w:tcW w:w="3217" w:type="dxa"/>
          </w:tcPr>
          <w:p w14:paraId="1440D67E" w14:textId="77777777" w:rsidR="00493003" w:rsidRPr="007D27F2" w:rsidRDefault="00493003" w:rsidP="007D1973">
            <w:pPr>
              <w:rPr>
                <w:sz w:val="21"/>
                <w:szCs w:val="21"/>
              </w:rPr>
            </w:pPr>
            <w:r w:rsidRPr="007D27F2">
              <w:rPr>
                <w:sz w:val="21"/>
                <w:szCs w:val="21"/>
              </w:rPr>
              <w:t>Diabetes Mellitus</w:t>
            </w:r>
          </w:p>
        </w:tc>
        <w:tc>
          <w:tcPr>
            <w:tcW w:w="1460" w:type="dxa"/>
          </w:tcPr>
          <w:p w14:paraId="16715786" w14:textId="77777777" w:rsidR="00493003" w:rsidRPr="007D27F2" w:rsidRDefault="00493003" w:rsidP="007D1973">
            <w:pPr>
              <w:jc w:val="center"/>
            </w:pPr>
            <w:r w:rsidRPr="007D27F2">
              <w:t>31.8</w:t>
            </w:r>
          </w:p>
        </w:tc>
        <w:tc>
          <w:tcPr>
            <w:tcW w:w="1410" w:type="dxa"/>
          </w:tcPr>
          <w:p w14:paraId="1537688E" w14:textId="77777777" w:rsidR="00493003" w:rsidRPr="007D27F2" w:rsidRDefault="00493003" w:rsidP="007D1973">
            <w:pPr>
              <w:jc w:val="center"/>
            </w:pPr>
            <w:r w:rsidRPr="007D27F2">
              <w:t>39.2</w:t>
            </w:r>
          </w:p>
        </w:tc>
        <w:tc>
          <w:tcPr>
            <w:tcW w:w="1329" w:type="dxa"/>
          </w:tcPr>
          <w:p w14:paraId="09B2BDE5" w14:textId="77777777" w:rsidR="00493003" w:rsidRPr="007D27F2" w:rsidRDefault="00493003" w:rsidP="007D1973">
            <w:pPr>
              <w:jc w:val="center"/>
            </w:pPr>
            <w:r w:rsidRPr="007D27F2">
              <w:t>37.0</w:t>
            </w:r>
          </w:p>
        </w:tc>
        <w:tc>
          <w:tcPr>
            <w:tcW w:w="1329" w:type="dxa"/>
          </w:tcPr>
          <w:p w14:paraId="292BB769" w14:textId="77777777" w:rsidR="00493003" w:rsidRPr="007D27F2" w:rsidRDefault="00493003" w:rsidP="007D1973">
            <w:pPr>
              <w:jc w:val="center"/>
            </w:pPr>
            <w:r w:rsidRPr="007D27F2">
              <w:t>32.1</w:t>
            </w:r>
          </w:p>
        </w:tc>
        <w:tc>
          <w:tcPr>
            <w:tcW w:w="1178" w:type="dxa"/>
          </w:tcPr>
          <w:p w14:paraId="0D27F9FC" w14:textId="77777777" w:rsidR="00493003" w:rsidRPr="007D27F2" w:rsidRDefault="00493003" w:rsidP="007D1973">
            <w:pPr>
              <w:jc w:val="center"/>
            </w:pPr>
            <w:r w:rsidRPr="007D27F2">
              <w:t>0.493</w:t>
            </w:r>
          </w:p>
        </w:tc>
      </w:tr>
      <w:tr w:rsidR="00493003" w:rsidRPr="007D27F2" w14:paraId="36C67EFA" w14:textId="77777777" w:rsidTr="007D1973">
        <w:tc>
          <w:tcPr>
            <w:tcW w:w="3217" w:type="dxa"/>
          </w:tcPr>
          <w:p w14:paraId="1866F24D" w14:textId="77777777" w:rsidR="00493003" w:rsidRPr="007D27F2" w:rsidRDefault="00493003" w:rsidP="007D1973">
            <w:pPr>
              <w:rPr>
                <w:sz w:val="21"/>
                <w:szCs w:val="21"/>
              </w:rPr>
            </w:pPr>
            <w:r w:rsidRPr="007D27F2">
              <w:rPr>
                <w:sz w:val="21"/>
                <w:szCs w:val="21"/>
              </w:rPr>
              <w:t>Ischemic Heart Disease</w:t>
            </w:r>
          </w:p>
        </w:tc>
        <w:tc>
          <w:tcPr>
            <w:tcW w:w="1460" w:type="dxa"/>
          </w:tcPr>
          <w:p w14:paraId="406A4246" w14:textId="77777777" w:rsidR="00493003" w:rsidRPr="007D27F2" w:rsidRDefault="00493003" w:rsidP="007D1973">
            <w:pPr>
              <w:jc w:val="center"/>
            </w:pPr>
            <w:r w:rsidRPr="007D27F2">
              <w:t>12.2</w:t>
            </w:r>
          </w:p>
        </w:tc>
        <w:tc>
          <w:tcPr>
            <w:tcW w:w="1410" w:type="dxa"/>
          </w:tcPr>
          <w:p w14:paraId="477D4A27" w14:textId="77777777" w:rsidR="00493003" w:rsidRPr="007D27F2" w:rsidRDefault="00493003" w:rsidP="007D1973">
            <w:pPr>
              <w:jc w:val="center"/>
            </w:pPr>
            <w:r w:rsidRPr="007D27F2">
              <w:t>15.8</w:t>
            </w:r>
          </w:p>
        </w:tc>
        <w:tc>
          <w:tcPr>
            <w:tcW w:w="1329" w:type="dxa"/>
          </w:tcPr>
          <w:p w14:paraId="2C928207" w14:textId="77777777" w:rsidR="00493003" w:rsidRPr="007D27F2" w:rsidRDefault="00493003" w:rsidP="007D1973">
            <w:pPr>
              <w:jc w:val="center"/>
            </w:pPr>
            <w:r w:rsidRPr="007D27F2">
              <w:t>15.0</w:t>
            </w:r>
          </w:p>
        </w:tc>
        <w:tc>
          <w:tcPr>
            <w:tcW w:w="1329" w:type="dxa"/>
          </w:tcPr>
          <w:p w14:paraId="0B930171" w14:textId="77777777" w:rsidR="00493003" w:rsidRPr="007D27F2" w:rsidRDefault="00493003" w:rsidP="007D1973">
            <w:pPr>
              <w:jc w:val="center"/>
            </w:pPr>
            <w:r w:rsidRPr="007D27F2">
              <w:t>16.7</w:t>
            </w:r>
          </w:p>
        </w:tc>
        <w:tc>
          <w:tcPr>
            <w:tcW w:w="1178" w:type="dxa"/>
          </w:tcPr>
          <w:p w14:paraId="21AAF6B0" w14:textId="77777777" w:rsidR="00493003" w:rsidRPr="007D27F2" w:rsidRDefault="00493003" w:rsidP="007D1973">
            <w:pPr>
              <w:jc w:val="center"/>
            </w:pPr>
            <w:r w:rsidRPr="007D27F2">
              <w:t>0.709</w:t>
            </w:r>
          </w:p>
        </w:tc>
      </w:tr>
      <w:tr w:rsidR="00493003" w:rsidRPr="007D27F2" w14:paraId="4BA36C31" w14:textId="77777777" w:rsidTr="007D1973">
        <w:tc>
          <w:tcPr>
            <w:tcW w:w="3217" w:type="dxa"/>
          </w:tcPr>
          <w:p w14:paraId="780209C5" w14:textId="77777777" w:rsidR="00493003" w:rsidRPr="007D27F2" w:rsidRDefault="00493003" w:rsidP="007D1973">
            <w:pPr>
              <w:rPr>
                <w:sz w:val="21"/>
                <w:szCs w:val="21"/>
              </w:rPr>
            </w:pPr>
            <w:r w:rsidRPr="007D27F2">
              <w:rPr>
                <w:sz w:val="21"/>
                <w:szCs w:val="21"/>
              </w:rPr>
              <w:t>Congestive heart failure</w:t>
            </w:r>
          </w:p>
        </w:tc>
        <w:tc>
          <w:tcPr>
            <w:tcW w:w="1460" w:type="dxa"/>
          </w:tcPr>
          <w:p w14:paraId="013DB951" w14:textId="77777777" w:rsidR="00493003" w:rsidRPr="007D27F2" w:rsidRDefault="00493003" w:rsidP="007D1973">
            <w:pPr>
              <w:jc w:val="center"/>
            </w:pPr>
            <w:r w:rsidRPr="007D27F2">
              <w:t>4.5</w:t>
            </w:r>
          </w:p>
        </w:tc>
        <w:tc>
          <w:tcPr>
            <w:tcW w:w="1410" w:type="dxa"/>
          </w:tcPr>
          <w:p w14:paraId="37FAF786" w14:textId="77777777" w:rsidR="00493003" w:rsidRPr="007D27F2" w:rsidRDefault="00493003" w:rsidP="007D1973">
            <w:pPr>
              <w:jc w:val="center"/>
            </w:pPr>
            <w:r w:rsidRPr="007D27F2">
              <w:t>4.2</w:t>
            </w:r>
          </w:p>
        </w:tc>
        <w:tc>
          <w:tcPr>
            <w:tcW w:w="1329" w:type="dxa"/>
          </w:tcPr>
          <w:p w14:paraId="31F691C5" w14:textId="77777777" w:rsidR="00493003" w:rsidRPr="007D27F2" w:rsidRDefault="00493003" w:rsidP="007D1973">
            <w:pPr>
              <w:jc w:val="center"/>
            </w:pPr>
            <w:r w:rsidRPr="007D27F2">
              <w:t>7.0</w:t>
            </w:r>
          </w:p>
        </w:tc>
        <w:tc>
          <w:tcPr>
            <w:tcW w:w="1329" w:type="dxa"/>
          </w:tcPr>
          <w:p w14:paraId="5B42F972" w14:textId="77777777" w:rsidR="00493003" w:rsidRPr="007D27F2" w:rsidRDefault="00493003" w:rsidP="007D1973">
            <w:pPr>
              <w:jc w:val="center"/>
            </w:pPr>
            <w:r w:rsidRPr="007D27F2">
              <w:t>9.5</w:t>
            </w:r>
          </w:p>
        </w:tc>
        <w:tc>
          <w:tcPr>
            <w:tcW w:w="1178" w:type="dxa"/>
          </w:tcPr>
          <w:p w14:paraId="3368842C" w14:textId="77777777" w:rsidR="00493003" w:rsidRPr="007D27F2" w:rsidRDefault="00493003" w:rsidP="007D1973">
            <w:pPr>
              <w:jc w:val="center"/>
            </w:pPr>
            <w:r w:rsidRPr="007D27F2">
              <w:t>0.304</w:t>
            </w:r>
          </w:p>
        </w:tc>
      </w:tr>
      <w:tr w:rsidR="00493003" w:rsidRPr="007D27F2" w14:paraId="1B780F2E" w14:textId="77777777" w:rsidTr="007D1973">
        <w:tc>
          <w:tcPr>
            <w:tcW w:w="3217" w:type="dxa"/>
          </w:tcPr>
          <w:p w14:paraId="577A7655" w14:textId="77777777" w:rsidR="00493003" w:rsidRPr="007D27F2" w:rsidRDefault="00493003" w:rsidP="007D1973">
            <w:pPr>
              <w:rPr>
                <w:sz w:val="21"/>
                <w:szCs w:val="21"/>
              </w:rPr>
            </w:pPr>
            <w:r w:rsidRPr="007D27F2">
              <w:rPr>
                <w:sz w:val="21"/>
                <w:szCs w:val="21"/>
              </w:rPr>
              <w:t>Hypertension</w:t>
            </w:r>
          </w:p>
        </w:tc>
        <w:tc>
          <w:tcPr>
            <w:tcW w:w="1460" w:type="dxa"/>
          </w:tcPr>
          <w:p w14:paraId="101A6F40" w14:textId="77777777" w:rsidR="00493003" w:rsidRPr="007D27F2" w:rsidRDefault="00493003" w:rsidP="007D1973">
            <w:pPr>
              <w:jc w:val="center"/>
            </w:pPr>
            <w:r w:rsidRPr="007D27F2">
              <w:t>67.2</w:t>
            </w:r>
          </w:p>
        </w:tc>
        <w:tc>
          <w:tcPr>
            <w:tcW w:w="1410" w:type="dxa"/>
          </w:tcPr>
          <w:p w14:paraId="612AB1F4" w14:textId="77777777" w:rsidR="00493003" w:rsidRPr="007D27F2" w:rsidRDefault="00493003" w:rsidP="007D1973">
            <w:pPr>
              <w:jc w:val="center"/>
            </w:pPr>
            <w:r w:rsidRPr="007D27F2">
              <w:t>69.2</w:t>
            </w:r>
          </w:p>
        </w:tc>
        <w:tc>
          <w:tcPr>
            <w:tcW w:w="1329" w:type="dxa"/>
          </w:tcPr>
          <w:p w14:paraId="3DF9D753" w14:textId="77777777" w:rsidR="00493003" w:rsidRPr="007D27F2" w:rsidRDefault="00493003" w:rsidP="007D1973">
            <w:pPr>
              <w:jc w:val="center"/>
            </w:pPr>
            <w:r w:rsidRPr="007D27F2">
              <w:t>69.4</w:t>
            </w:r>
          </w:p>
        </w:tc>
        <w:tc>
          <w:tcPr>
            <w:tcW w:w="1329" w:type="dxa"/>
          </w:tcPr>
          <w:p w14:paraId="34C66465" w14:textId="77777777" w:rsidR="00493003" w:rsidRPr="007D27F2" w:rsidRDefault="00493003" w:rsidP="007D1973">
            <w:pPr>
              <w:jc w:val="center"/>
            </w:pPr>
            <w:r w:rsidRPr="007D27F2">
              <w:t>64.3</w:t>
            </w:r>
          </w:p>
        </w:tc>
        <w:tc>
          <w:tcPr>
            <w:tcW w:w="1178" w:type="dxa"/>
          </w:tcPr>
          <w:p w14:paraId="3A0636FB" w14:textId="77777777" w:rsidR="00493003" w:rsidRPr="007D27F2" w:rsidRDefault="00493003" w:rsidP="007D1973">
            <w:pPr>
              <w:jc w:val="center"/>
            </w:pPr>
            <w:r w:rsidRPr="007D27F2">
              <w:t>0.848</w:t>
            </w:r>
          </w:p>
        </w:tc>
      </w:tr>
      <w:tr w:rsidR="00493003" w:rsidRPr="007D27F2" w14:paraId="438010E5" w14:textId="77777777" w:rsidTr="007D1973">
        <w:tc>
          <w:tcPr>
            <w:tcW w:w="3217" w:type="dxa"/>
          </w:tcPr>
          <w:p w14:paraId="67EB22F0" w14:textId="77777777" w:rsidR="00493003" w:rsidRPr="007D27F2" w:rsidRDefault="00493003" w:rsidP="007D1973">
            <w:pPr>
              <w:rPr>
                <w:sz w:val="21"/>
                <w:szCs w:val="21"/>
              </w:rPr>
            </w:pPr>
            <w:r w:rsidRPr="007D27F2">
              <w:rPr>
                <w:sz w:val="21"/>
                <w:szCs w:val="21"/>
              </w:rPr>
              <w:t>COPD</w:t>
            </w:r>
          </w:p>
        </w:tc>
        <w:tc>
          <w:tcPr>
            <w:tcW w:w="1460" w:type="dxa"/>
          </w:tcPr>
          <w:p w14:paraId="42A8391D" w14:textId="77777777" w:rsidR="00493003" w:rsidRPr="007D27F2" w:rsidRDefault="00493003" w:rsidP="007D1973">
            <w:pPr>
              <w:jc w:val="center"/>
            </w:pPr>
            <w:r w:rsidRPr="007D27F2">
              <w:t>9.6</w:t>
            </w:r>
          </w:p>
        </w:tc>
        <w:tc>
          <w:tcPr>
            <w:tcW w:w="1410" w:type="dxa"/>
          </w:tcPr>
          <w:p w14:paraId="4AA3E4E7" w14:textId="77777777" w:rsidR="00493003" w:rsidRPr="007D27F2" w:rsidRDefault="00493003" w:rsidP="007D1973">
            <w:pPr>
              <w:jc w:val="center"/>
            </w:pPr>
            <w:r w:rsidRPr="007D27F2">
              <w:t>10.0</w:t>
            </w:r>
          </w:p>
        </w:tc>
        <w:tc>
          <w:tcPr>
            <w:tcW w:w="1329" w:type="dxa"/>
          </w:tcPr>
          <w:p w14:paraId="0C9143D1" w14:textId="77777777" w:rsidR="00493003" w:rsidRPr="007D27F2" w:rsidRDefault="00493003" w:rsidP="007D1973">
            <w:pPr>
              <w:jc w:val="center"/>
            </w:pPr>
            <w:r w:rsidRPr="007D27F2">
              <w:t>12.7</w:t>
            </w:r>
          </w:p>
        </w:tc>
        <w:tc>
          <w:tcPr>
            <w:tcW w:w="1329" w:type="dxa"/>
          </w:tcPr>
          <w:p w14:paraId="3BE370DC" w14:textId="77777777" w:rsidR="00493003" w:rsidRPr="007D27F2" w:rsidRDefault="00493003" w:rsidP="007D1973">
            <w:pPr>
              <w:jc w:val="center"/>
            </w:pPr>
            <w:r w:rsidRPr="007D27F2">
              <w:t>19.0</w:t>
            </w:r>
          </w:p>
        </w:tc>
        <w:tc>
          <w:tcPr>
            <w:tcW w:w="1178" w:type="dxa"/>
          </w:tcPr>
          <w:p w14:paraId="1F6D69C9" w14:textId="77777777" w:rsidR="00493003" w:rsidRPr="007D27F2" w:rsidRDefault="00493003" w:rsidP="007D1973">
            <w:pPr>
              <w:jc w:val="center"/>
            </w:pPr>
            <w:r w:rsidRPr="007D27F2">
              <w:t>0.134</w:t>
            </w:r>
          </w:p>
        </w:tc>
      </w:tr>
      <w:tr w:rsidR="00493003" w:rsidRPr="007D27F2" w14:paraId="4EA462D9" w14:textId="77777777" w:rsidTr="007D1973">
        <w:tc>
          <w:tcPr>
            <w:tcW w:w="3217" w:type="dxa"/>
          </w:tcPr>
          <w:p w14:paraId="231508F8" w14:textId="77777777" w:rsidR="00493003" w:rsidRPr="007D27F2" w:rsidRDefault="00493003" w:rsidP="007D1973">
            <w:pPr>
              <w:rPr>
                <w:sz w:val="21"/>
                <w:szCs w:val="21"/>
              </w:rPr>
            </w:pPr>
            <w:r w:rsidRPr="007D27F2">
              <w:rPr>
                <w:sz w:val="21"/>
                <w:szCs w:val="21"/>
              </w:rPr>
              <w:t xml:space="preserve">Osteoarthritis </w:t>
            </w:r>
          </w:p>
        </w:tc>
        <w:tc>
          <w:tcPr>
            <w:tcW w:w="1460" w:type="dxa"/>
          </w:tcPr>
          <w:p w14:paraId="7905DB85" w14:textId="77777777" w:rsidR="00493003" w:rsidRPr="007D27F2" w:rsidRDefault="00493003" w:rsidP="007D1973">
            <w:pPr>
              <w:jc w:val="center"/>
            </w:pPr>
            <w:r w:rsidRPr="007D27F2">
              <w:t>22.2</w:t>
            </w:r>
          </w:p>
        </w:tc>
        <w:tc>
          <w:tcPr>
            <w:tcW w:w="1410" w:type="dxa"/>
          </w:tcPr>
          <w:p w14:paraId="70C37DD1" w14:textId="77777777" w:rsidR="00493003" w:rsidRPr="007D27F2" w:rsidRDefault="00493003" w:rsidP="007D1973">
            <w:pPr>
              <w:jc w:val="center"/>
            </w:pPr>
            <w:r w:rsidRPr="007D27F2">
              <w:t>26.7</w:t>
            </w:r>
          </w:p>
        </w:tc>
        <w:tc>
          <w:tcPr>
            <w:tcW w:w="1329" w:type="dxa"/>
          </w:tcPr>
          <w:p w14:paraId="16BEA88C" w14:textId="77777777" w:rsidR="00493003" w:rsidRPr="007D27F2" w:rsidRDefault="00493003" w:rsidP="007D1973">
            <w:pPr>
              <w:jc w:val="center"/>
            </w:pPr>
            <w:r w:rsidRPr="007D27F2">
              <w:t>30.6</w:t>
            </w:r>
          </w:p>
        </w:tc>
        <w:tc>
          <w:tcPr>
            <w:tcW w:w="1329" w:type="dxa"/>
          </w:tcPr>
          <w:p w14:paraId="2B54D2CF" w14:textId="77777777" w:rsidR="00493003" w:rsidRPr="007D27F2" w:rsidRDefault="00493003" w:rsidP="007D1973">
            <w:pPr>
              <w:jc w:val="center"/>
            </w:pPr>
            <w:r w:rsidRPr="007D27F2">
              <w:t>25.0</w:t>
            </w:r>
          </w:p>
        </w:tc>
        <w:tc>
          <w:tcPr>
            <w:tcW w:w="1178" w:type="dxa"/>
          </w:tcPr>
          <w:p w14:paraId="702821C5" w14:textId="77777777" w:rsidR="00493003" w:rsidRPr="007D27F2" w:rsidRDefault="00493003" w:rsidP="007D1973">
            <w:pPr>
              <w:jc w:val="center"/>
            </w:pPr>
            <w:r w:rsidRPr="007D27F2">
              <w:t>0.326</w:t>
            </w:r>
          </w:p>
        </w:tc>
      </w:tr>
      <w:tr w:rsidR="00493003" w:rsidRPr="007D27F2" w14:paraId="179501C2" w14:textId="77777777" w:rsidTr="007D1973">
        <w:tc>
          <w:tcPr>
            <w:tcW w:w="3217" w:type="dxa"/>
          </w:tcPr>
          <w:p w14:paraId="13710869" w14:textId="77777777" w:rsidR="00493003" w:rsidRPr="007D27F2" w:rsidRDefault="00493003" w:rsidP="007D1973">
            <w:r w:rsidRPr="007D27F2">
              <w:t>Parkinson's disease</w:t>
            </w:r>
          </w:p>
        </w:tc>
        <w:tc>
          <w:tcPr>
            <w:tcW w:w="1460" w:type="dxa"/>
          </w:tcPr>
          <w:p w14:paraId="725C54FF" w14:textId="77777777" w:rsidR="00493003" w:rsidRPr="007D27F2" w:rsidRDefault="00493003" w:rsidP="007D1973">
            <w:pPr>
              <w:jc w:val="center"/>
            </w:pPr>
            <w:r w:rsidRPr="007D27F2">
              <w:t>3.5</w:t>
            </w:r>
          </w:p>
        </w:tc>
        <w:tc>
          <w:tcPr>
            <w:tcW w:w="1410" w:type="dxa"/>
          </w:tcPr>
          <w:p w14:paraId="5B35A4F5" w14:textId="77777777" w:rsidR="00493003" w:rsidRPr="007D27F2" w:rsidRDefault="00493003" w:rsidP="007D1973">
            <w:pPr>
              <w:jc w:val="center"/>
            </w:pPr>
            <w:r w:rsidRPr="007D27F2">
              <w:t>5.0</w:t>
            </w:r>
          </w:p>
        </w:tc>
        <w:tc>
          <w:tcPr>
            <w:tcW w:w="1329" w:type="dxa"/>
          </w:tcPr>
          <w:p w14:paraId="3406419E" w14:textId="77777777" w:rsidR="00493003" w:rsidRPr="007D27F2" w:rsidRDefault="00493003" w:rsidP="007D1973">
            <w:pPr>
              <w:jc w:val="center"/>
            </w:pPr>
            <w:r w:rsidRPr="007D27F2">
              <w:t>6.4</w:t>
            </w:r>
          </w:p>
        </w:tc>
        <w:tc>
          <w:tcPr>
            <w:tcW w:w="1329" w:type="dxa"/>
          </w:tcPr>
          <w:p w14:paraId="6F10127A" w14:textId="77777777" w:rsidR="00493003" w:rsidRPr="007D27F2" w:rsidRDefault="00493003" w:rsidP="007D1973">
            <w:pPr>
              <w:jc w:val="center"/>
            </w:pPr>
            <w:r w:rsidRPr="007D27F2">
              <w:t>7.14</w:t>
            </w:r>
          </w:p>
        </w:tc>
        <w:tc>
          <w:tcPr>
            <w:tcW w:w="1178" w:type="dxa"/>
          </w:tcPr>
          <w:p w14:paraId="56A1C87B" w14:textId="77777777" w:rsidR="00493003" w:rsidRPr="007D27F2" w:rsidRDefault="00493003" w:rsidP="007D1973">
            <w:pPr>
              <w:jc w:val="center"/>
            </w:pPr>
            <w:r w:rsidRPr="007D27F2">
              <w:t>0.078</w:t>
            </w:r>
          </w:p>
        </w:tc>
      </w:tr>
      <w:tr w:rsidR="00493003" w:rsidRPr="007D27F2" w14:paraId="6F0F3F1D" w14:textId="77777777" w:rsidTr="007D1973">
        <w:tc>
          <w:tcPr>
            <w:tcW w:w="3217" w:type="dxa"/>
          </w:tcPr>
          <w:p w14:paraId="4A71389B" w14:textId="77777777" w:rsidR="00493003" w:rsidRPr="007D27F2" w:rsidRDefault="00493003" w:rsidP="007D1973">
            <w:r w:rsidRPr="007D27F2">
              <w:t>Dementia</w:t>
            </w:r>
          </w:p>
        </w:tc>
        <w:tc>
          <w:tcPr>
            <w:tcW w:w="1460" w:type="dxa"/>
          </w:tcPr>
          <w:p w14:paraId="749576EF" w14:textId="77777777" w:rsidR="00493003" w:rsidRPr="007D27F2" w:rsidRDefault="00493003" w:rsidP="007D1973">
            <w:pPr>
              <w:jc w:val="center"/>
            </w:pPr>
            <w:r w:rsidRPr="007D27F2">
              <w:t>5.1</w:t>
            </w:r>
          </w:p>
        </w:tc>
        <w:tc>
          <w:tcPr>
            <w:tcW w:w="1410" w:type="dxa"/>
          </w:tcPr>
          <w:p w14:paraId="2500ACDB" w14:textId="77777777" w:rsidR="00493003" w:rsidRPr="007D27F2" w:rsidRDefault="00493003" w:rsidP="007D1973">
            <w:pPr>
              <w:jc w:val="center"/>
            </w:pPr>
            <w:r w:rsidRPr="007D27F2">
              <w:t>3.3</w:t>
            </w:r>
          </w:p>
        </w:tc>
        <w:tc>
          <w:tcPr>
            <w:tcW w:w="1329" w:type="dxa"/>
          </w:tcPr>
          <w:p w14:paraId="25F4151E" w14:textId="77777777" w:rsidR="00493003" w:rsidRPr="007D27F2" w:rsidRDefault="00493003" w:rsidP="007D1973">
            <w:pPr>
              <w:jc w:val="center"/>
            </w:pPr>
            <w:r w:rsidRPr="007D27F2">
              <w:t>5.2</w:t>
            </w:r>
          </w:p>
        </w:tc>
        <w:tc>
          <w:tcPr>
            <w:tcW w:w="1329" w:type="dxa"/>
          </w:tcPr>
          <w:p w14:paraId="1FDAE549" w14:textId="77777777" w:rsidR="00493003" w:rsidRPr="007D27F2" w:rsidRDefault="00493003" w:rsidP="007D1973">
            <w:pPr>
              <w:jc w:val="center"/>
            </w:pPr>
            <w:r w:rsidRPr="007D27F2">
              <w:t>7.1</w:t>
            </w:r>
          </w:p>
        </w:tc>
        <w:tc>
          <w:tcPr>
            <w:tcW w:w="1178" w:type="dxa"/>
          </w:tcPr>
          <w:p w14:paraId="2B9ADCA4" w14:textId="77777777" w:rsidR="00493003" w:rsidRPr="007D27F2" w:rsidRDefault="00493003" w:rsidP="007D1973">
            <w:pPr>
              <w:jc w:val="center"/>
            </w:pPr>
            <w:r w:rsidRPr="007D27F2">
              <w:t>0.903</w:t>
            </w:r>
          </w:p>
        </w:tc>
      </w:tr>
      <w:tr w:rsidR="00493003" w:rsidRPr="007D27F2" w14:paraId="6FCB537C" w14:textId="77777777" w:rsidTr="007D1973">
        <w:tc>
          <w:tcPr>
            <w:tcW w:w="3217" w:type="dxa"/>
          </w:tcPr>
          <w:p w14:paraId="36F53CF0" w14:textId="77777777" w:rsidR="00493003" w:rsidRPr="007D27F2" w:rsidRDefault="00493003" w:rsidP="007D1973">
            <w:r w:rsidRPr="007D27F2">
              <w:t>*Depression</w:t>
            </w:r>
          </w:p>
        </w:tc>
        <w:tc>
          <w:tcPr>
            <w:tcW w:w="1460" w:type="dxa"/>
          </w:tcPr>
          <w:p w14:paraId="792F9156" w14:textId="77777777" w:rsidR="00493003" w:rsidRPr="007D27F2" w:rsidRDefault="00493003" w:rsidP="007D1973">
            <w:pPr>
              <w:jc w:val="center"/>
            </w:pPr>
            <w:r w:rsidRPr="007D27F2">
              <w:t>38.6</w:t>
            </w:r>
          </w:p>
        </w:tc>
        <w:tc>
          <w:tcPr>
            <w:tcW w:w="1410" w:type="dxa"/>
          </w:tcPr>
          <w:p w14:paraId="30E77B64" w14:textId="77777777" w:rsidR="00493003" w:rsidRPr="007D27F2" w:rsidRDefault="00493003" w:rsidP="007D1973">
            <w:pPr>
              <w:jc w:val="center"/>
            </w:pPr>
            <w:r w:rsidRPr="007D27F2">
              <w:t>35.6</w:t>
            </w:r>
          </w:p>
        </w:tc>
        <w:tc>
          <w:tcPr>
            <w:tcW w:w="1329" w:type="dxa"/>
          </w:tcPr>
          <w:p w14:paraId="3B757B94" w14:textId="77777777" w:rsidR="00493003" w:rsidRPr="007D27F2" w:rsidRDefault="00493003" w:rsidP="007D1973">
            <w:pPr>
              <w:jc w:val="center"/>
            </w:pPr>
            <w:r w:rsidRPr="007D27F2">
              <w:t>59.2</w:t>
            </w:r>
          </w:p>
        </w:tc>
        <w:tc>
          <w:tcPr>
            <w:tcW w:w="1329" w:type="dxa"/>
          </w:tcPr>
          <w:p w14:paraId="2512A4D9" w14:textId="77777777" w:rsidR="00493003" w:rsidRPr="007D27F2" w:rsidRDefault="00493003" w:rsidP="007D1973">
            <w:pPr>
              <w:jc w:val="center"/>
            </w:pPr>
            <w:r w:rsidRPr="007D27F2">
              <w:t>62.3</w:t>
            </w:r>
          </w:p>
        </w:tc>
        <w:tc>
          <w:tcPr>
            <w:tcW w:w="1178" w:type="dxa"/>
          </w:tcPr>
          <w:p w14:paraId="574AE8A1" w14:textId="77777777" w:rsidR="00493003" w:rsidRPr="007D27F2" w:rsidRDefault="00493003" w:rsidP="007D1973">
            <w:pPr>
              <w:jc w:val="center"/>
              <w:rPr>
                <w:b/>
              </w:rPr>
            </w:pPr>
            <w:r w:rsidRPr="007D27F2">
              <w:rPr>
                <w:b/>
              </w:rPr>
              <w:t>&lt;0.001</w:t>
            </w:r>
          </w:p>
        </w:tc>
      </w:tr>
      <w:tr w:rsidR="00493003" w:rsidRPr="007D27F2" w14:paraId="51191D00" w14:textId="77777777" w:rsidTr="007D1973">
        <w:tc>
          <w:tcPr>
            <w:tcW w:w="3217" w:type="dxa"/>
          </w:tcPr>
          <w:p w14:paraId="664EA492" w14:textId="77777777" w:rsidR="00493003" w:rsidRPr="007D27F2" w:rsidRDefault="00493003" w:rsidP="007D1973">
            <w:r w:rsidRPr="007D27F2">
              <w:t>*</w:t>
            </w:r>
            <w:r w:rsidRPr="007D27F2">
              <w:rPr>
                <w:b/>
              </w:rPr>
              <w:t>MMSE</w:t>
            </w:r>
          </w:p>
        </w:tc>
        <w:tc>
          <w:tcPr>
            <w:tcW w:w="1460" w:type="dxa"/>
          </w:tcPr>
          <w:p w14:paraId="720C5DDC" w14:textId="77777777" w:rsidR="00493003" w:rsidRPr="007D27F2" w:rsidRDefault="00493003" w:rsidP="007D1973">
            <w:pPr>
              <w:jc w:val="center"/>
            </w:pPr>
            <w:r w:rsidRPr="007D27F2">
              <w:t>25.6</w:t>
            </w:r>
            <w:r w:rsidRPr="007D27F2">
              <w:rPr>
                <w:rFonts w:cstheme="minorHAnsi"/>
              </w:rPr>
              <w:t>±</w:t>
            </w:r>
            <w:r w:rsidRPr="007D27F2">
              <w:t>3.2</w:t>
            </w:r>
          </w:p>
        </w:tc>
        <w:tc>
          <w:tcPr>
            <w:tcW w:w="1410" w:type="dxa"/>
          </w:tcPr>
          <w:p w14:paraId="5F79C58B" w14:textId="77777777" w:rsidR="00493003" w:rsidRPr="007D27F2" w:rsidRDefault="00493003" w:rsidP="007D1973">
            <w:pPr>
              <w:jc w:val="center"/>
            </w:pPr>
            <w:r w:rsidRPr="007D27F2">
              <w:t>24.6</w:t>
            </w:r>
            <w:r w:rsidRPr="007D27F2">
              <w:rPr>
                <w:rFonts w:cstheme="minorHAnsi"/>
              </w:rPr>
              <w:t>±</w:t>
            </w:r>
            <w:r w:rsidRPr="007D27F2">
              <w:t>4.4</w:t>
            </w:r>
          </w:p>
        </w:tc>
        <w:tc>
          <w:tcPr>
            <w:tcW w:w="1329" w:type="dxa"/>
          </w:tcPr>
          <w:p w14:paraId="5D9C52D1" w14:textId="77777777" w:rsidR="00493003" w:rsidRPr="007D27F2" w:rsidRDefault="00493003" w:rsidP="007D1973">
            <w:pPr>
              <w:jc w:val="center"/>
            </w:pPr>
            <w:r w:rsidRPr="007D27F2">
              <w:t>22.9</w:t>
            </w:r>
            <w:r w:rsidRPr="007D27F2">
              <w:rPr>
                <w:rFonts w:cstheme="minorHAnsi"/>
              </w:rPr>
              <w:t>±</w:t>
            </w:r>
            <w:r w:rsidRPr="007D27F2">
              <w:t>5.4</w:t>
            </w:r>
          </w:p>
        </w:tc>
        <w:tc>
          <w:tcPr>
            <w:tcW w:w="1329" w:type="dxa"/>
          </w:tcPr>
          <w:p w14:paraId="5121F64A" w14:textId="77777777" w:rsidR="00493003" w:rsidRPr="007D27F2" w:rsidRDefault="00493003" w:rsidP="007D1973">
            <w:pPr>
              <w:jc w:val="center"/>
            </w:pPr>
            <w:r w:rsidRPr="007D27F2">
              <w:t>23.8</w:t>
            </w:r>
            <w:r w:rsidRPr="007D27F2">
              <w:rPr>
                <w:rFonts w:cstheme="minorHAnsi"/>
              </w:rPr>
              <w:t>±</w:t>
            </w:r>
            <w:r w:rsidRPr="007D27F2">
              <w:t>3.8</w:t>
            </w:r>
          </w:p>
        </w:tc>
        <w:tc>
          <w:tcPr>
            <w:tcW w:w="1178" w:type="dxa"/>
          </w:tcPr>
          <w:p w14:paraId="1EF250F9" w14:textId="77777777" w:rsidR="00493003" w:rsidRPr="007D27F2" w:rsidRDefault="00493003" w:rsidP="007D1973">
            <w:pPr>
              <w:jc w:val="center"/>
              <w:rPr>
                <w:b/>
              </w:rPr>
            </w:pPr>
            <w:r w:rsidRPr="007D27F2">
              <w:rPr>
                <w:b/>
              </w:rPr>
              <w:t>&lt;0.001</w:t>
            </w:r>
          </w:p>
        </w:tc>
      </w:tr>
      <w:tr w:rsidR="00493003" w:rsidRPr="007D27F2" w14:paraId="77112C93" w14:textId="77777777" w:rsidTr="007D1973">
        <w:tc>
          <w:tcPr>
            <w:tcW w:w="3217" w:type="dxa"/>
          </w:tcPr>
          <w:p w14:paraId="4B7A59D9" w14:textId="77777777" w:rsidR="00493003" w:rsidRPr="007D27F2" w:rsidRDefault="00493003" w:rsidP="007D1973">
            <w:pPr>
              <w:rPr>
                <w:b/>
              </w:rPr>
            </w:pPr>
            <w:r w:rsidRPr="007D27F2">
              <w:rPr>
                <w:b/>
              </w:rPr>
              <w:t>Nutritional Determinants</w:t>
            </w:r>
          </w:p>
        </w:tc>
        <w:tc>
          <w:tcPr>
            <w:tcW w:w="1460" w:type="dxa"/>
          </w:tcPr>
          <w:p w14:paraId="2FD5B34C" w14:textId="77777777" w:rsidR="00493003" w:rsidRPr="007D27F2" w:rsidRDefault="00493003" w:rsidP="007D1973">
            <w:pPr>
              <w:jc w:val="center"/>
            </w:pPr>
          </w:p>
        </w:tc>
        <w:tc>
          <w:tcPr>
            <w:tcW w:w="1410" w:type="dxa"/>
          </w:tcPr>
          <w:p w14:paraId="344C3FCE" w14:textId="77777777" w:rsidR="00493003" w:rsidRPr="007D27F2" w:rsidRDefault="00493003" w:rsidP="007D1973">
            <w:pPr>
              <w:jc w:val="center"/>
            </w:pPr>
          </w:p>
        </w:tc>
        <w:tc>
          <w:tcPr>
            <w:tcW w:w="1329" w:type="dxa"/>
          </w:tcPr>
          <w:p w14:paraId="6C388977" w14:textId="77777777" w:rsidR="00493003" w:rsidRPr="007D27F2" w:rsidRDefault="00493003" w:rsidP="007D1973">
            <w:pPr>
              <w:jc w:val="center"/>
            </w:pPr>
          </w:p>
        </w:tc>
        <w:tc>
          <w:tcPr>
            <w:tcW w:w="1329" w:type="dxa"/>
          </w:tcPr>
          <w:p w14:paraId="4FFE8CF2" w14:textId="77777777" w:rsidR="00493003" w:rsidRPr="007D27F2" w:rsidRDefault="00493003" w:rsidP="007D1973">
            <w:pPr>
              <w:jc w:val="center"/>
            </w:pPr>
          </w:p>
        </w:tc>
        <w:tc>
          <w:tcPr>
            <w:tcW w:w="1178" w:type="dxa"/>
          </w:tcPr>
          <w:p w14:paraId="7371FD59" w14:textId="77777777" w:rsidR="00493003" w:rsidRPr="007D27F2" w:rsidRDefault="00493003" w:rsidP="007D1973">
            <w:pPr>
              <w:jc w:val="center"/>
            </w:pPr>
          </w:p>
        </w:tc>
      </w:tr>
      <w:tr w:rsidR="00493003" w:rsidRPr="007D27F2" w14:paraId="26EDADEC" w14:textId="77777777" w:rsidTr="007D1973">
        <w:tc>
          <w:tcPr>
            <w:tcW w:w="9923" w:type="dxa"/>
            <w:gridSpan w:val="6"/>
          </w:tcPr>
          <w:p w14:paraId="68E7FD4F" w14:textId="77777777" w:rsidR="00493003" w:rsidRPr="007D27F2" w:rsidRDefault="00493003" w:rsidP="007D1973">
            <w:r w:rsidRPr="007D27F2">
              <w:rPr>
                <w:b/>
              </w:rPr>
              <w:t>*Nutritional Status</w:t>
            </w:r>
          </w:p>
        </w:tc>
      </w:tr>
      <w:tr w:rsidR="00493003" w:rsidRPr="007D27F2" w14:paraId="7D7CD68C" w14:textId="77777777" w:rsidTr="007D1973">
        <w:tc>
          <w:tcPr>
            <w:tcW w:w="3217" w:type="dxa"/>
          </w:tcPr>
          <w:p w14:paraId="0735F1A2" w14:textId="77777777" w:rsidR="00493003" w:rsidRPr="007D27F2" w:rsidRDefault="00493003" w:rsidP="00493003">
            <w:pPr>
              <w:pStyle w:val="ListParagraph"/>
              <w:numPr>
                <w:ilvl w:val="0"/>
                <w:numId w:val="5"/>
              </w:numPr>
            </w:pPr>
            <w:r w:rsidRPr="007D27F2">
              <w:t>Malnutrition</w:t>
            </w:r>
          </w:p>
        </w:tc>
        <w:tc>
          <w:tcPr>
            <w:tcW w:w="1460" w:type="dxa"/>
          </w:tcPr>
          <w:p w14:paraId="3B837E7D" w14:textId="77777777" w:rsidR="00493003" w:rsidRPr="007D27F2" w:rsidRDefault="00493003" w:rsidP="007D1973">
            <w:pPr>
              <w:jc w:val="center"/>
            </w:pPr>
            <w:r w:rsidRPr="007D27F2">
              <w:t>1.5</w:t>
            </w:r>
          </w:p>
        </w:tc>
        <w:tc>
          <w:tcPr>
            <w:tcW w:w="1410" w:type="dxa"/>
          </w:tcPr>
          <w:p w14:paraId="3E984273" w14:textId="77777777" w:rsidR="00493003" w:rsidRPr="007D27F2" w:rsidRDefault="00493003" w:rsidP="007D1973">
            <w:pPr>
              <w:jc w:val="center"/>
            </w:pPr>
            <w:r w:rsidRPr="007D27F2">
              <w:t>5.8</w:t>
            </w:r>
          </w:p>
        </w:tc>
        <w:tc>
          <w:tcPr>
            <w:tcW w:w="1329" w:type="dxa"/>
          </w:tcPr>
          <w:p w14:paraId="723A02BA" w14:textId="77777777" w:rsidR="00493003" w:rsidRPr="007D27F2" w:rsidRDefault="00493003" w:rsidP="007D1973">
            <w:pPr>
              <w:jc w:val="center"/>
            </w:pPr>
            <w:r w:rsidRPr="007D27F2">
              <w:t>10.4</w:t>
            </w:r>
          </w:p>
        </w:tc>
        <w:tc>
          <w:tcPr>
            <w:tcW w:w="1329" w:type="dxa"/>
          </w:tcPr>
          <w:p w14:paraId="36878851" w14:textId="77777777" w:rsidR="00493003" w:rsidRPr="007D27F2" w:rsidRDefault="00493003" w:rsidP="007D1973">
            <w:pPr>
              <w:jc w:val="center"/>
            </w:pPr>
            <w:r w:rsidRPr="007D27F2">
              <w:t>7.1</w:t>
            </w:r>
          </w:p>
        </w:tc>
        <w:tc>
          <w:tcPr>
            <w:tcW w:w="1178" w:type="dxa"/>
            <w:vMerge w:val="restart"/>
          </w:tcPr>
          <w:p w14:paraId="088550E3" w14:textId="77777777" w:rsidR="00493003" w:rsidRPr="007D27F2" w:rsidRDefault="00493003" w:rsidP="007D1973">
            <w:pPr>
              <w:rPr>
                <w:b/>
              </w:rPr>
            </w:pPr>
            <w:r w:rsidRPr="007D27F2">
              <w:rPr>
                <w:b/>
              </w:rPr>
              <w:t>&lt;0.001**</w:t>
            </w:r>
          </w:p>
        </w:tc>
      </w:tr>
      <w:tr w:rsidR="00493003" w:rsidRPr="007D27F2" w14:paraId="2DB6EE2A" w14:textId="77777777" w:rsidTr="007D1973">
        <w:tc>
          <w:tcPr>
            <w:tcW w:w="3217" w:type="dxa"/>
          </w:tcPr>
          <w:p w14:paraId="393FC101" w14:textId="77777777" w:rsidR="00493003" w:rsidRPr="007D27F2" w:rsidRDefault="00493003" w:rsidP="00493003">
            <w:pPr>
              <w:pStyle w:val="ListParagraph"/>
              <w:numPr>
                <w:ilvl w:val="0"/>
                <w:numId w:val="5"/>
              </w:numPr>
            </w:pPr>
            <w:r w:rsidRPr="007D27F2">
              <w:t xml:space="preserve">Risk of Malnutrition </w:t>
            </w:r>
          </w:p>
        </w:tc>
        <w:tc>
          <w:tcPr>
            <w:tcW w:w="1460" w:type="dxa"/>
          </w:tcPr>
          <w:p w14:paraId="5DDC1ED9" w14:textId="77777777" w:rsidR="00493003" w:rsidRPr="007D27F2" w:rsidRDefault="00493003" w:rsidP="007D1973">
            <w:pPr>
              <w:jc w:val="center"/>
            </w:pPr>
            <w:r w:rsidRPr="007D27F2">
              <w:t>22.7</w:t>
            </w:r>
          </w:p>
        </w:tc>
        <w:tc>
          <w:tcPr>
            <w:tcW w:w="1410" w:type="dxa"/>
          </w:tcPr>
          <w:p w14:paraId="609862B7" w14:textId="77777777" w:rsidR="00493003" w:rsidRPr="007D27F2" w:rsidRDefault="00493003" w:rsidP="007D1973">
            <w:pPr>
              <w:jc w:val="center"/>
            </w:pPr>
            <w:r w:rsidRPr="007D27F2">
              <w:t>30.0</w:t>
            </w:r>
          </w:p>
        </w:tc>
        <w:tc>
          <w:tcPr>
            <w:tcW w:w="1329" w:type="dxa"/>
          </w:tcPr>
          <w:p w14:paraId="510FF84C" w14:textId="77777777" w:rsidR="00493003" w:rsidRPr="007D27F2" w:rsidRDefault="00493003" w:rsidP="007D1973">
            <w:pPr>
              <w:jc w:val="center"/>
            </w:pPr>
            <w:r w:rsidRPr="007D27F2">
              <w:t>43.4</w:t>
            </w:r>
          </w:p>
        </w:tc>
        <w:tc>
          <w:tcPr>
            <w:tcW w:w="1329" w:type="dxa"/>
          </w:tcPr>
          <w:p w14:paraId="6CB55213" w14:textId="77777777" w:rsidR="00493003" w:rsidRPr="007D27F2" w:rsidRDefault="00493003" w:rsidP="007D1973">
            <w:pPr>
              <w:jc w:val="center"/>
            </w:pPr>
            <w:r w:rsidRPr="007D27F2">
              <w:t>52.3</w:t>
            </w:r>
          </w:p>
        </w:tc>
        <w:tc>
          <w:tcPr>
            <w:tcW w:w="1178" w:type="dxa"/>
            <w:vMerge/>
          </w:tcPr>
          <w:p w14:paraId="031A9446" w14:textId="77777777" w:rsidR="00493003" w:rsidRPr="007D27F2" w:rsidRDefault="00493003" w:rsidP="007D1973">
            <w:pPr>
              <w:jc w:val="center"/>
              <w:rPr>
                <w:b/>
              </w:rPr>
            </w:pPr>
          </w:p>
        </w:tc>
      </w:tr>
      <w:tr w:rsidR="00493003" w:rsidRPr="007D27F2" w14:paraId="1AA54DA3" w14:textId="77777777" w:rsidTr="007D1973">
        <w:tc>
          <w:tcPr>
            <w:tcW w:w="3217" w:type="dxa"/>
          </w:tcPr>
          <w:p w14:paraId="5DDB8598" w14:textId="77777777" w:rsidR="00493003" w:rsidRPr="007D27F2" w:rsidRDefault="00493003" w:rsidP="00493003">
            <w:pPr>
              <w:pStyle w:val="ListParagraph"/>
              <w:numPr>
                <w:ilvl w:val="0"/>
                <w:numId w:val="5"/>
              </w:numPr>
            </w:pPr>
            <w:r w:rsidRPr="007D27F2">
              <w:t>Well-nourished</w:t>
            </w:r>
          </w:p>
        </w:tc>
        <w:tc>
          <w:tcPr>
            <w:tcW w:w="1460" w:type="dxa"/>
          </w:tcPr>
          <w:p w14:paraId="49A0FBE0" w14:textId="77777777" w:rsidR="00493003" w:rsidRPr="007D27F2" w:rsidRDefault="00493003" w:rsidP="007D1973">
            <w:pPr>
              <w:jc w:val="center"/>
            </w:pPr>
            <w:r w:rsidRPr="007D27F2">
              <w:t>78.8</w:t>
            </w:r>
          </w:p>
        </w:tc>
        <w:tc>
          <w:tcPr>
            <w:tcW w:w="1410" w:type="dxa"/>
          </w:tcPr>
          <w:p w14:paraId="3FEB8A2E" w14:textId="77777777" w:rsidR="00493003" w:rsidRPr="007D27F2" w:rsidRDefault="00493003" w:rsidP="007D1973">
            <w:pPr>
              <w:jc w:val="center"/>
            </w:pPr>
            <w:r w:rsidRPr="007D27F2">
              <w:t>64.2</w:t>
            </w:r>
          </w:p>
        </w:tc>
        <w:tc>
          <w:tcPr>
            <w:tcW w:w="1329" w:type="dxa"/>
          </w:tcPr>
          <w:p w14:paraId="4A20DD54" w14:textId="77777777" w:rsidR="00493003" w:rsidRPr="007D27F2" w:rsidRDefault="00493003" w:rsidP="007D1973">
            <w:pPr>
              <w:jc w:val="center"/>
            </w:pPr>
            <w:r w:rsidRPr="007D27F2">
              <w:t>46.2</w:t>
            </w:r>
          </w:p>
        </w:tc>
        <w:tc>
          <w:tcPr>
            <w:tcW w:w="1329" w:type="dxa"/>
          </w:tcPr>
          <w:p w14:paraId="69D7B874" w14:textId="77777777" w:rsidR="00493003" w:rsidRPr="007D27F2" w:rsidRDefault="00493003" w:rsidP="007D1973">
            <w:pPr>
              <w:jc w:val="center"/>
            </w:pPr>
            <w:r w:rsidRPr="007D27F2">
              <w:t>40.6</w:t>
            </w:r>
          </w:p>
        </w:tc>
        <w:tc>
          <w:tcPr>
            <w:tcW w:w="1178" w:type="dxa"/>
            <w:vMerge/>
          </w:tcPr>
          <w:p w14:paraId="13CC2B49" w14:textId="77777777" w:rsidR="00493003" w:rsidRPr="007D27F2" w:rsidRDefault="00493003" w:rsidP="007D1973">
            <w:pPr>
              <w:jc w:val="center"/>
              <w:rPr>
                <w:b/>
              </w:rPr>
            </w:pPr>
          </w:p>
        </w:tc>
      </w:tr>
      <w:tr w:rsidR="00493003" w:rsidRPr="007D27F2" w14:paraId="70A3B24B" w14:textId="77777777" w:rsidTr="007D1973">
        <w:tc>
          <w:tcPr>
            <w:tcW w:w="3217" w:type="dxa"/>
          </w:tcPr>
          <w:p w14:paraId="52A02FF2" w14:textId="77777777" w:rsidR="00493003" w:rsidRPr="007D27F2" w:rsidRDefault="00493003" w:rsidP="007D1973">
            <w:r w:rsidRPr="007D27F2">
              <w:t>MNA scores</w:t>
            </w:r>
          </w:p>
        </w:tc>
        <w:tc>
          <w:tcPr>
            <w:tcW w:w="1460" w:type="dxa"/>
          </w:tcPr>
          <w:p w14:paraId="665C2690" w14:textId="77777777" w:rsidR="00493003" w:rsidRPr="007D27F2" w:rsidRDefault="00493003" w:rsidP="007D1973">
            <w:pPr>
              <w:jc w:val="center"/>
            </w:pPr>
            <w:r w:rsidRPr="007D27F2">
              <w:t>25.4</w:t>
            </w:r>
            <w:r w:rsidRPr="007D27F2">
              <w:rPr>
                <w:rFonts w:cstheme="minorHAnsi"/>
              </w:rPr>
              <w:t>±</w:t>
            </w:r>
            <w:r w:rsidRPr="007D27F2">
              <w:t>3.0</w:t>
            </w:r>
          </w:p>
        </w:tc>
        <w:tc>
          <w:tcPr>
            <w:tcW w:w="1410" w:type="dxa"/>
          </w:tcPr>
          <w:p w14:paraId="78403F5F" w14:textId="77777777" w:rsidR="00493003" w:rsidRPr="007D27F2" w:rsidRDefault="00493003" w:rsidP="007D1973">
            <w:pPr>
              <w:jc w:val="center"/>
            </w:pPr>
            <w:r w:rsidRPr="007D27F2">
              <w:t>24.4</w:t>
            </w:r>
            <w:r w:rsidRPr="007D27F2">
              <w:rPr>
                <w:rFonts w:cstheme="minorHAnsi"/>
              </w:rPr>
              <w:t>±</w:t>
            </w:r>
            <w:r w:rsidRPr="007D27F2">
              <w:t>3.4</w:t>
            </w:r>
          </w:p>
        </w:tc>
        <w:tc>
          <w:tcPr>
            <w:tcW w:w="1329" w:type="dxa"/>
          </w:tcPr>
          <w:p w14:paraId="53CC1047" w14:textId="77777777" w:rsidR="00493003" w:rsidRPr="007D27F2" w:rsidRDefault="00493003" w:rsidP="007D1973">
            <w:pPr>
              <w:jc w:val="center"/>
            </w:pPr>
            <w:r w:rsidRPr="007D27F2">
              <w:t>22.7</w:t>
            </w:r>
            <w:r w:rsidRPr="007D27F2">
              <w:rPr>
                <w:rFonts w:cstheme="minorHAnsi"/>
              </w:rPr>
              <w:t>±</w:t>
            </w:r>
            <w:r w:rsidRPr="007D27F2">
              <w:t>4.0</w:t>
            </w:r>
          </w:p>
        </w:tc>
        <w:tc>
          <w:tcPr>
            <w:tcW w:w="1329" w:type="dxa"/>
          </w:tcPr>
          <w:p w14:paraId="56995BDE" w14:textId="77777777" w:rsidR="00493003" w:rsidRPr="007D27F2" w:rsidRDefault="00493003" w:rsidP="007D1973">
            <w:pPr>
              <w:jc w:val="center"/>
            </w:pPr>
            <w:r w:rsidRPr="007D27F2">
              <w:t>22.6</w:t>
            </w:r>
            <w:r w:rsidRPr="007D27F2">
              <w:rPr>
                <w:rFonts w:cstheme="minorHAnsi"/>
              </w:rPr>
              <w:t>±</w:t>
            </w:r>
            <w:r w:rsidRPr="007D27F2">
              <w:t>3.3</w:t>
            </w:r>
          </w:p>
        </w:tc>
        <w:tc>
          <w:tcPr>
            <w:tcW w:w="1178" w:type="dxa"/>
          </w:tcPr>
          <w:p w14:paraId="546638F3" w14:textId="77777777" w:rsidR="00493003" w:rsidRPr="007D27F2" w:rsidRDefault="00493003" w:rsidP="007D1973">
            <w:pPr>
              <w:rPr>
                <w:b/>
              </w:rPr>
            </w:pPr>
            <w:r w:rsidRPr="007D27F2">
              <w:rPr>
                <w:b/>
              </w:rPr>
              <w:t>&lt;0.001**</w:t>
            </w:r>
          </w:p>
        </w:tc>
      </w:tr>
      <w:tr w:rsidR="00493003" w:rsidRPr="007D27F2" w14:paraId="2258B638" w14:textId="77777777" w:rsidTr="007D1973">
        <w:tc>
          <w:tcPr>
            <w:tcW w:w="9923" w:type="dxa"/>
            <w:gridSpan w:val="6"/>
          </w:tcPr>
          <w:p w14:paraId="52FBD64A" w14:textId="77777777" w:rsidR="00493003" w:rsidRPr="007D27F2" w:rsidRDefault="00493003" w:rsidP="007D1973">
            <w:r w:rsidRPr="007D27F2">
              <w:rPr>
                <w:b/>
              </w:rPr>
              <w:t>Classification of Vitamin D (%)</w:t>
            </w:r>
          </w:p>
        </w:tc>
      </w:tr>
      <w:tr w:rsidR="00493003" w:rsidRPr="007D27F2" w14:paraId="61645656" w14:textId="77777777" w:rsidTr="007D1973">
        <w:tc>
          <w:tcPr>
            <w:tcW w:w="3217" w:type="dxa"/>
          </w:tcPr>
          <w:p w14:paraId="405333F2" w14:textId="77777777" w:rsidR="00493003" w:rsidRPr="007D27F2" w:rsidRDefault="00493003" w:rsidP="00493003">
            <w:pPr>
              <w:pStyle w:val="ListParagraph"/>
              <w:numPr>
                <w:ilvl w:val="0"/>
                <w:numId w:val="5"/>
              </w:numPr>
            </w:pPr>
            <w:r w:rsidRPr="007D27F2">
              <w:rPr>
                <w:rFonts w:cstheme="minorHAnsi"/>
              </w:rPr>
              <w:t>≤</w:t>
            </w:r>
            <w:r w:rsidRPr="007D27F2">
              <w:t xml:space="preserve"> 10 ng/ml</w:t>
            </w:r>
          </w:p>
        </w:tc>
        <w:tc>
          <w:tcPr>
            <w:tcW w:w="1460" w:type="dxa"/>
          </w:tcPr>
          <w:p w14:paraId="52FCAE31" w14:textId="77777777" w:rsidR="00493003" w:rsidRPr="007D27F2" w:rsidRDefault="00493003" w:rsidP="007D1973">
            <w:pPr>
              <w:jc w:val="center"/>
            </w:pPr>
            <w:r w:rsidRPr="007D27F2">
              <w:t>34.3</w:t>
            </w:r>
          </w:p>
        </w:tc>
        <w:tc>
          <w:tcPr>
            <w:tcW w:w="1410" w:type="dxa"/>
          </w:tcPr>
          <w:p w14:paraId="42B3817D" w14:textId="77777777" w:rsidR="00493003" w:rsidRPr="007D27F2" w:rsidRDefault="00493003" w:rsidP="007D1973">
            <w:pPr>
              <w:jc w:val="center"/>
            </w:pPr>
            <w:r w:rsidRPr="007D27F2">
              <w:t>49.2</w:t>
            </w:r>
          </w:p>
        </w:tc>
        <w:tc>
          <w:tcPr>
            <w:tcW w:w="1329" w:type="dxa"/>
          </w:tcPr>
          <w:p w14:paraId="7B7B83A1" w14:textId="77777777" w:rsidR="00493003" w:rsidRPr="007D27F2" w:rsidRDefault="00493003" w:rsidP="007D1973">
            <w:pPr>
              <w:jc w:val="center"/>
            </w:pPr>
            <w:r w:rsidRPr="007D27F2">
              <w:t>42.8</w:t>
            </w:r>
          </w:p>
        </w:tc>
        <w:tc>
          <w:tcPr>
            <w:tcW w:w="1329" w:type="dxa"/>
          </w:tcPr>
          <w:p w14:paraId="4C75B4EB" w14:textId="77777777" w:rsidR="00493003" w:rsidRPr="007D27F2" w:rsidRDefault="00493003" w:rsidP="007D1973">
            <w:pPr>
              <w:jc w:val="center"/>
            </w:pPr>
            <w:r w:rsidRPr="007D27F2">
              <w:t>38.1</w:t>
            </w:r>
          </w:p>
        </w:tc>
        <w:tc>
          <w:tcPr>
            <w:tcW w:w="1178" w:type="dxa"/>
            <w:vMerge w:val="restart"/>
          </w:tcPr>
          <w:p w14:paraId="5AAA77E8" w14:textId="77777777" w:rsidR="00493003" w:rsidRPr="007D27F2" w:rsidRDefault="00493003" w:rsidP="007D1973">
            <w:pPr>
              <w:jc w:val="center"/>
            </w:pPr>
          </w:p>
          <w:p w14:paraId="58C6E5A2" w14:textId="77777777" w:rsidR="00493003" w:rsidRPr="007D27F2" w:rsidRDefault="00493003" w:rsidP="007D1973">
            <w:pPr>
              <w:jc w:val="center"/>
            </w:pPr>
            <w:r w:rsidRPr="007D27F2">
              <w:t>0.266</w:t>
            </w:r>
          </w:p>
        </w:tc>
      </w:tr>
      <w:tr w:rsidR="00493003" w:rsidRPr="007D27F2" w14:paraId="32450191" w14:textId="77777777" w:rsidTr="007D1973">
        <w:tc>
          <w:tcPr>
            <w:tcW w:w="3217" w:type="dxa"/>
          </w:tcPr>
          <w:p w14:paraId="6150FCF4" w14:textId="77777777" w:rsidR="00493003" w:rsidRPr="007D27F2" w:rsidRDefault="00493003" w:rsidP="00493003">
            <w:pPr>
              <w:pStyle w:val="ListParagraph"/>
              <w:numPr>
                <w:ilvl w:val="0"/>
                <w:numId w:val="5"/>
              </w:numPr>
            </w:pPr>
            <w:r w:rsidRPr="007D27F2">
              <w:t>10-20 ng/ml</w:t>
            </w:r>
          </w:p>
        </w:tc>
        <w:tc>
          <w:tcPr>
            <w:tcW w:w="1460" w:type="dxa"/>
          </w:tcPr>
          <w:p w14:paraId="7B050310" w14:textId="77777777" w:rsidR="00493003" w:rsidRPr="007D27F2" w:rsidRDefault="00493003" w:rsidP="007D1973">
            <w:pPr>
              <w:jc w:val="center"/>
            </w:pPr>
            <w:r w:rsidRPr="007D27F2">
              <w:t>24.2</w:t>
            </w:r>
          </w:p>
        </w:tc>
        <w:tc>
          <w:tcPr>
            <w:tcW w:w="1410" w:type="dxa"/>
          </w:tcPr>
          <w:p w14:paraId="0A5388A2" w14:textId="77777777" w:rsidR="00493003" w:rsidRPr="007D27F2" w:rsidRDefault="00493003" w:rsidP="007D1973">
            <w:pPr>
              <w:jc w:val="center"/>
            </w:pPr>
            <w:r w:rsidRPr="007D27F2">
              <w:t>18.3</w:t>
            </w:r>
          </w:p>
        </w:tc>
        <w:tc>
          <w:tcPr>
            <w:tcW w:w="1329" w:type="dxa"/>
          </w:tcPr>
          <w:p w14:paraId="41AD603B" w14:textId="77777777" w:rsidR="00493003" w:rsidRPr="007D27F2" w:rsidRDefault="00493003" w:rsidP="007D1973">
            <w:pPr>
              <w:jc w:val="center"/>
            </w:pPr>
            <w:r w:rsidRPr="007D27F2">
              <w:t>22.0</w:t>
            </w:r>
          </w:p>
        </w:tc>
        <w:tc>
          <w:tcPr>
            <w:tcW w:w="1329" w:type="dxa"/>
          </w:tcPr>
          <w:p w14:paraId="335185CF" w14:textId="77777777" w:rsidR="00493003" w:rsidRPr="007D27F2" w:rsidRDefault="00493003" w:rsidP="007D1973">
            <w:pPr>
              <w:jc w:val="center"/>
            </w:pPr>
            <w:r w:rsidRPr="007D27F2">
              <w:t>32.1</w:t>
            </w:r>
          </w:p>
        </w:tc>
        <w:tc>
          <w:tcPr>
            <w:tcW w:w="1178" w:type="dxa"/>
            <w:vMerge/>
          </w:tcPr>
          <w:p w14:paraId="59872FE3" w14:textId="77777777" w:rsidR="00493003" w:rsidRPr="007D27F2" w:rsidRDefault="00493003" w:rsidP="007D1973">
            <w:pPr>
              <w:jc w:val="center"/>
            </w:pPr>
          </w:p>
        </w:tc>
      </w:tr>
      <w:tr w:rsidR="00493003" w:rsidRPr="007D27F2" w14:paraId="05589F1F" w14:textId="77777777" w:rsidTr="007D1973">
        <w:tc>
          <w:tcPr>
            <w:tcW w:w="3217" w:type="dxa"/>
          </w:tcPr>
          <w:p w14:paraId="1C59D2F2" w14:textId="77777777" w:rsidR="00493003" w:rsidRPr="007D27F2" w:rsidRDefault="00493003" w:rsidP="00493003">
            <w:pPr>
              <w:pStyle w:val="ListParagraph"/>
              <w:numPr>
                <w:ilvl w:val="0"/>
                <w:numId w:val="5"/>
              </w:numPr>
            </w:pPr>
            <w:r w:rsidRPr="007D27F2">
              <w:t>&gt;20 ng/ml</w:t>
            </w:r>
          </w:p>
        </w:tc>
        <w:tc>
          <w:tcPr>
            <w:tcW w:w="1460" w:type="dxa"/>
          </w:tcPr>
          <w:p w14:paraId="3CFE5B64" w14:textId="77777777" w:rsidR="00493003" w:rsidRPr="007D27F2" w:rsidRDefault="00493003" w:rsidP="007D1973">
            <w:pPr>
              <w:jc w:val="center"/>
            </w:pPr>
            <w:r w:rsidRPr="007D27F2">
              <w:t>41.5</w:t>
            </w:r>
          </w:p>
        </w:tc>
        <w:tc>
          <w:tcPr>
            <w:tcW w:w="1410" w:type="dxa"/>
          </w:tcPr>
          <w:p w14:paraId="0504DE21" w14:textId="77777777" w:rsidR="00493003" w:rsidRPr="007D27F2" w:rsidRDefault="00493003" w:rsidP="007D1973">
            <w:pPr>
              <w:jc w:val="center"/>
            </w:pPr>
            <w:r w:rsidRPr="007D27F2">
              <w:t>32.5</w:t>
            </w:r>
          </w:p>
        </w:tc>
        <w:tc>
          <w:tcPr>
            <w:tcW w:w="1329" w:type="dxa"/>
          </w:tcPr>
          <w:p w14:paraId="26CA4074" w14:textId="77777777" w:rsidR="00493003" w:rsidRPr="007D27F2" w:rsidRDefault="00493003" w:rsidP="007D1973">
            <w:pPr>
              <w:jc w:val="center"/>
            </w:pPr>
            <w:r w:rsidRPr="007D27F2">
              <w:t>35.2</w:t>
            </w:r>
          </w:p>
        </w:tc>
        <w:tc>
          <w:tcPr>
            <w:tcW w:w="1329" w:type="dxa"/>
          </w:tcPr>
          <w:p w14:paraId="381758EA" w14:textId="77777777" w:rsidR="00493003" w:rsidRPr="007D27F2" w:rsidRDefault="00493003" w:rsidP="007D1973">
            <w:pPr>
              <w:jc w:val="center"/>
            </w:pPr>
            <w:r w:rsidRPr="007D27F2">
              <w:t>29.8</w:t>
            </w:r>
          </w:p>
        </w:tc>
        <w:tc>
          <w:tcPr>
            <w:tcW w:w="1178" w:type="dxa"/>
            <w:vMerge/>
          </w:tcPr>
          <w:p w14:paraId="72BADA61" w14:textId="77777777" w:rsidR="00493003" w:rsidRPr="007D27F2" w:rsidRDefault="00493003" w:rsidP="007D1973">
            <w:pPr>
              <w:jc w:val="center"/>
            </w:pPr>
          </w:p>
        </w:tc>
      </w:tr>
      <w:tr w:rsidR="00493003" w:rsidRPr="007D27F2" w14:paraId="237ED7E6" w14:textId="77777777" w:rsidTr="007D1973">
        <w:tc>
          <w:tcPr>
            <w:tcW w:w="3217" w:type="dxa"/>
          </w:tcPr>
          <w:p w14:paraId="33DD20AF" w14:textId="77777777" w:rsidR="00493003" w:rsidRPr="007D27F2" w:rsidRDefault="00493003" w:rsidP="007D1973">
            <w:r w:rsidRPr="007D27F2">
              <w:t>Serum Vitamin D levels</w:t>
            </w:r>
          </w:p>
        </w:tc>
        <w:tc>
          <w:tcPr>
            <w:tcW w:w="1460" w:type="dxa"/>
          </w:tcPr>
          <w:p w14:paraId="453BAACC" w14:textId="77777777" w:rsidR="00493003" w:rsidRPr="007D27F2" w:rsidRDefault="00493003" w:rsidP="007D1973">
            <w:pPr>
              <w:jc w:val="center"/>
            </w:pPr>
            <w:r w:rsidRPr="007D27F2">
              <w:t>20.7</w:t>
            </w:r>
            <w:r w:rsidRPr="007D27F2">
              <w:rPr>
                <w:rFonts w:cstheme="minorHAnsi"/>
              </w:rPr>
              <w:t>±</w:t>
            </w:r>
            <w:r w:rsidRPr="007D27F2">
              <w:t>16.7</w:t>
            </w:r>
          </w:p>
        </w:tc>
        <w:tc>
          <w:tcPr>
            <w:tcW w:w="1410" w:type="dxa"/>
          </w:tcPr>
          <w:p w14:paraId="1D142A0E" w14:textId="77777777" w:rsidR="00493003" w:rsidRPr="007D27F2" w:rsidRDefault="00493003" w:rsidP="007D1973">
            <w:pPr>
              <w:jc w:val="center"/>
            </w:pPr>
            <w:r w:rsidRPr="007D27F2">
              <w:t>18.0</w:t>
            </w:r>
            <w:r w:rsidRPr="007D27F2">
              <w:rPr>
                <w:rFonts w:cstheme="minorHAnsi"/>
              </w:rPr>
              <w:t>±</w:t>
            </w:r>
            <w:r w:rsidRPr="007D27F2">
              <w:t>11.7</w:t>
            </w:r>
          </w:p>
        </w:tc>
        <w:tc>
          <w:tcPr>
            <w:tcW w:w="1329" w:type="dxa"/>
          </w:tcPr>
          <w:p w14:paraId="299E1BAD" w14:textId="77777777" w:rsidR="00493003" w:rsidRPr="007D27F2" w:rsidRDefault="00493003" w:rsidP="007D1973">
            <w:pPr>
              <w:jc w:val="center"/>
            </w:pPr>
            <w:r w:rsidRPr="007D27F2">
              <w:t>17.0</w:t>
            </w:r>
            <w:r w:rsidRPr="007D27F2">
              <w:rPr>
                <w:rFonts w:cstheme="minorHAnsi"/>
              </w:rPr>
              <w:t>±</w:t>
            </w:r>
            <w:r w:rsidRPr="007D27F2">
              <w:t>11.7</w:t>
            </w:r>
          </w:p>
        </w:tc>
        <w:tc>
          <w:tcPr>
            <w:tcW w:w="1329" w:type="dxa"/>
          </w:tcPr>
          <w:p w14:paraId="3198855B" w14:textId="77777777" w:rsidR="00493003" w:rsidRPr="007D27F2" w:rsidRDefault="00493003" w:rsidP="007D1973">
            <w:pPr>
              <w:jc w:val="center"/>
            </w:pPr>
            <w:r w:rsidRPr="007D27F2">
              <w:t>18.1</w:t>
            </w:r>
            <w:r w:rsidRPr="007D27F2">
              <w:rPr>
                <w:rFonts w:cstheme="minorHAnsi"/>
              </w:rPr>
              <w:t>±</w:t>
            </w:r>
            <w:r w:rsidRPr="007D27F2">
              <w:t>12.9</w:t>
            </w:r>
          </w:p>
        </w:tc>
        <w:tc>
          <w:tcPr>
            <w:tcW w:w="1178" w:type="dxa"/>
          </w:tcPr>
          <w:p w14:paraId="4340AECD" w14:textId="77777777" w:rsidR="00493003" w:rsidRPr="007D27F2" w:rsidRDefault="00493003" w:rsidP="007D1973">
            <w:pPr>
              <w:jc w:val="center"/>
            </w:pPr>
            <w:r w:rsidRPr="007D27F2">
              <w:t>0.709</w:t>
            </w:r>
          </w:p>
        </w:tc>
      </w:tr>
      <w:tr w:rsidR="00493003" w:rsidRPr="007D27F2" w14:paraId="6B28ECF1" w14:textId="77777777" w:rsidTr="007D1973">
        <w:tc>
          <w:tcPr>
            <w:tcW w:w="9923" w:type="dxa"/>
            <w:gridSpan w:val="6"/>
          </w:tcPr>
          <w:p w14:paraId="542D5BD5" w14:textId="77777777" w:rsidR="00493003" w:rsidRPr="007D27F2" w:rsidRDefault="00493003" w:rsidP="007D1973">
            <w:r w:rsidRPr="007D27F2">
              <w:rPr>
                <w:b/>
              </w:rPr>
              <w:t>Classification of Vitamin B12 (%)</w:t>
            </w:r>
          </w:p>
        </w:tc>
      </w:tr>
      <w:tr w:rsidR="00493003" w:rsidRPr="007D27F2" w14:paraId="3CFFB4ED" w14:textId="77777777" w:rsidTr="007D1973">
        <w:tc>
          <w:tcPr>
            <w:tcW w:w="3217" w:type="dxa"/>
          </w:tcPr>
          <w:p w14:paraId="1C16CF57" w14:textId="77777777" w:rsidR="00493003" w:rsidRPr="007D27F2" w:rsidRDefault="00493003" w:rsidP="00493003">
            <w:pPr>
              <w:pStyle w:val="ListParagraph"/>
              <w:numPr>
                <w:ilvl w:val="0"/>
                <w:numId w:val="3"/>
              </w:numPr>
            </w:pPr>
            <w:r w:rsidRPr="007D27F2">
              <w:t xml:space="preserve">&lt;200 </w:t>
            </w:r>
            <w:proofErr w:type="spellStart"/>
            <w:r w:rsidRPr="007D27F2">
              <w:t>pg</w:t>
            </w:r>
            <w:proofErr w:type="spellEnd"/>
            <w:r w:rsidRPr="007D27F2">
              <w:t>/ml</w:t>
            </w:r>
          </w:p>
        </w:tc>
        <w:tc>
          <w:tcPr>
            <w:tcW w:w="1460" w:type="dxa"/>
          </w:tcPr>
          <w:p w14:paraId="321D04C3" w14:textId="77777777" w:rsidR="00493003" w:rsidRPr="007D27F2" w:rsidRDefault="00493003" w:rsidP="007D1973">
            <w:pPr>
              <w:jc w:val="center"/>
            </w:pPr>
            <w:r w:rsidRPr="007D27F2">
              <w:t>14.1</w:t>
            </w:r>
          </w:p>
        </w:tc>
        <w:tc>
          <w:tcPr>
            <w:tcW w:w="1410" w:type="dxa"/>
          </w:tcPr>
          <w:p w14:paraId="1E4C839C" w14:textId="77777777" w:rsidR="00493003" w:rsidRPr="007D27F2" w:rsidRDefault="00493003" w:rsidP="007D1973">
            <w:pPr>
              <w:jc w:val="center"/>
            </w:pPr>
            <w:r w:rsidRPr="007D27F2">
              <w:t>13.3</w:t>
            </w:r>
          </w:p>
        </w:tc>
        <w:tc>
          <w:tcPr>
            <w:tcW w:w="1329" w:type="dxa"/>
          </w:tcPr>
          <w:p w14:paraId="7861B82F" w14:textId="77777777" w:rsidR="00493003" w:rsidRPr="007D27F2" w:rsidRDefault="00493003" w:rsidP="007D1973">
            <w:pPr>
              <w:jc w:val="center"/>
            </w:pPr>
            <w:r w:rsidRPr="007D27F2">
              <w:t>15.0</w:t>
            </w:r>
          </w:p>
        </w:tc>
        <w:tc>
          <w:tcPr>
            <w:tcW w:w="1329" w:type="dxa"/>
          </w:tcPr>
          <w:p w14:paraId="57E3CBF9" w14:textId="77777777" w:rsidR="00493003" w:rsidRPr="007D27F2" w:rsidRDefault="00493003" w:rsidP="007D1973">
            <w:pPr>
              <w:jc w:val="center"/>
            </w:pPr>
            <w:r w:rsidRPr="007D27F2">
              <w:t>12.2</w:t>
            </w:r>
          </w:p>
        </w:tc>
        <w:tc>
          <w:tcPr>
            <w:tcW w:w="1178" w:type="dxa"/>
            <w:vMerge w:val="restart"/>
          </w:tcPr>
          <w:p w14:paraId="5914F4AF" w14:textId="77777777" w:rsidR="00493003" w:rsidRPr="007D27F2" w:rsidRDefault="00493003" w:rsidP="007D1973">
            <w:pPr>
              <w:jc w:val="center"/>
            </w:pPr>
          </w:p>
          <w:p w14:paraId="13FBC6A0" w14:textId="77777777" w:rsidR="00493003" w:rsidRPr="007D27F2" w:rsidRDefault="00493003" w:rsidP="007D1973">
            <w:pPr>
              <w:jc w:val="center"/>
            </w:pPr>
            <w:r w:rsidRPr="007D27F2">
              <w:t>0.934</w:t>
            </w:r>
          </w:p>
        </w:tc>
      </w:tr>
      <w:tr w:rsidR="00493003" w:rsidRPr="007D27F2" w14:paraId="4D9EC71F" w14:textId="77777777" w:rsidTr="007D1973">
        <w:tc>
          <w:tcPr>
            <w:tcW w:w="3217" w:type="dxa"/>
          </w:tcPr>
          <w:p w14:paraId="38CCC8E8" w14:textId="77777777" w:rsidR="00493003" w:rsidRPr="007D27F2" w:rsidRDefault="00493003" w:rsidP="00493003">
            <w:pPr>
              <w:pStyle w:val="ListParagraph"/>
              <w:numPr>
                <w:ilvl w:val="0"/>
                <w:numId w:val="3"/>
              </w:numPr>
            </w:pPr>
            <w:r w:rsidRPr="007D27F2">
              <w:t xml:space="preserve">200-400  </w:t>
            </w:r>
            <w:proofErr w:type="spellStart"/>
            <w:r w:rsidRPr="007D27F2">
              <w:t>pg</w:t>
            </w:r>
            <w:proofErr w:type="spellEnd"/>
            <w:r w:rsidRPr="007D27F2">
              <w:t>/ml</w:t>
            </w:r>
          </w:p>
        </w:tc>
        <w:tc>
          <w:tcPr>
            <w:tcW w:w="1460" w:type="dxa"/>
          </w:tcPr>
          <w:p w14:paraId="234439D6" w14:textId="77777777" w:rsidR="00493003" w:rsidRPr="007D27F2" w:rsidRDefault="00493003" w:rsidP="007D1973">
            <w:pPr>
              <w:jc w:val="center"/>
            </w:pPr>
            <w:r w:rsidRPr="007D27F2">
              <w:t>48.0</w:t>
            </w:r>
          </w:p>
        </w:tc>
        <w:tc>
          <w:tcPr>
            <w:tcW w:w="1410" w:type="dxa"/>
          </w:tcPr>
          <w:p w14:paraId="0B6B7A26" w14:textId="77777777" w:rsidR="00493003" w:rsidRPr="007D27F2" w:rsidRDefault="00493003" w:rsidP="007D1973">
            <w:pPr>
              <w:jc w:val="center"/>
            </w:pPr>
            <w:r w:rsidRPr="007D27F2">
              <w:t>42.5</w:t>
            </w:r>
          </w:p>
        </w:tc>
        <w:tc>
          <w:tcPr>
            <w:tcW w:w="1329" w:type="dxa"/>
          </w:tcPr>
          <w:p w14:paraId="3539A825" w14:textId="77777777" w:rsidR="00493003" w:rsidRPr="007D27F2" w:rsidRDefault="00493003" w:rsidP="007D1973">
            <w:pPr>
              <w:jc w:val="center"/>
            </w:pPr>
            <w:r w:rsidRPr="007D27F2">
              <w:t>46.8</w:t>
            </w:r>
          </w:p>
        </w:tc>
        <w:tc>
          <w:tcPr>
            <w:tcW w:w="1329" w:type="dxa"/>
          </w:tcPr>
          <w:p w14:paraId="7FF470F3" w14:textId="77777777" w:rsidR="00493003" w:rsidRPr="007D27F2" w:rsidRDefault="00493003" w:rsidP="007D1973">
            <w:pPr>
              <w:jc w:val="center"/>
            </w:pPr>
            <w:r w:rsidRPr="007D27F2">
              <w:t>50.0</w:t>
            </w:r>
          </w:p>
        </w:tc>
        <w:tc>
          <w:tcPr>
            <w:tcW w:w="1178" w:type="dxa"/>
            <w:vMerge/>
          </w:tcPr>
          <w:p w14:paraId="5F9E0E7D" w14:textId="77777777" w:rsidR="00493003" w:rsidRPr="007D27F2" w:rsidRDefault="00493003" w:rsidP="007D1973">
            <w:pPr>
              <w:jc w:val="center"/>
            </w:pPr>
          </w:p>
        </w:tc>
      </w:tr>
      <w:tr w:rsidR="00493003" w:rsidRPr="007D27F2" w14:paraId="219A00CB" w14:textId="77777777" w:rsidTr="007D1973">
        <w:tc>
          <w:tcPr>
            <w:tcW w:w="3217" w:type="dxa"/>
          </w:tcPr>
          <w:p w14:paraId="5F49D7D0" w14:textId="77777777" w:rsidR="00493003" w:rsidRPr="007D27F2" w:rsidRDefault="00493003" w:rsidP="00493003">
            <w:pPr>
              <w:pStyle w:val="ListParagraph"/>
              <w:numPr>
                <w:ilvl w:val="0"/>
                <w:numId w:val="3"/>
              </w:numPr>
            </w:pPr>
            <w:r w:rsidRPr="007D27F2">
              <w:t xml:space="preserve">&gt;400 </w:t>
            </w:r>
            <w:proofErr w:type="spellStart"/>
            <w:r w:rsidRPr="007D27F2">
              <w:t>pg</w:t>
            </w:r>
            <w:proofErr w:type="spellEnd"/>
            <w:r w:rsidRPr="007D27F2">
              <w:t>/ml</w:t>
            </w:r>
          </w:p>
        </w:tc>
        <w:tc>
          <w:tcPr>
            <w:tcW w:w="1460" w:type="dxa"/>
          </w:tcPr>
          <w:p w14:paraId="2EE92174" w14:textId="77777777" w:rsidR="00493003" w:rsidRPr="007D27F2" w:rsidRDefault="00493003" w:rsidP="007D1973">
            <w:pPr>
              <w:jc w:val="center"/>
            </w:pPr>
            <w:r w:rsidRPr="007D27F2">
              <w:t>37.9</w:t>
            </w:r>
          </w:p>
        </w:tc>
        <w:tc>
          <w:tcPr>
            <w:tcW w:w="1410" w:type="dxa"/>
          </w:tcPr>
          <w:p w14:paraId="40B51F48" w14:textId="77777777" w:rsidR="00493003" w:rsidRPr="007D27F2" w:rsidRDefault="00493003" w:rsidP="007D1973">
            <w:pPr>
              <w:jc w:val="center"/>
            </w:pPr>
            <w:r w:rsidRPr="007D27F2">
              <w:t>44.2</w:t>
            </w:r>
          </w:p>
        </w:tc>
        <w:tc>
          <w:tcPr>
            <w:tcW w:w="1329" w:type="dxa"/>
          </w:tcPr>
          <w:p w14:paraId="7F7DD336" w14:textId="77777777" w:rsidR="00493003" w:rsidRPr="007D27F2" w:rsidRDefault="00493003" w:rsidP="007D1973">
            <w:pPr>
              <w:jc w:val="center"/>
            </w:pPr>
            <w:r w:rsidRPr="007D27F2">
              <w:t>38.2</w:t>
            </w:r>
          </w:p>
        </w:tc>
        <w:tc>
          <w:tcPr>
            <w:tcW w:w="1329" w:type="dxa"/>
          </w:tcPr>
          <w:p w14:paraId="191CB874" w14:textId="77777777" w:rsidR="00493003" w:rsidRPr="007D27F2" w:rsidRDefault="00493003" w:rsidP="007D1973">
            <w:pPr>
              <w:jc w:val="center"/>
            </w:pPr>
            <w:r w:rsidRPr="007D27F2">
              <w:t>37.8</w:t>
            </w:r>
          </w:p>
        </w:tc>
        <w:tc>
          <w:tcPr>
            <w:tcW w:w="1178" w:type="dxa"/>
            <w:vMerge/>
          </w:tcPr>
          <w:p w14:paraId="7DDCFB1A" w14:textId="77777777" w:rsidR="00493003" w:rsidRPr="007D27F2" w:rsidRDefault="00493003" w:rsidP="007D1973">
            <w:pPr>
              <w:jc w:val="center"/>
            </w:pPr>
          </w:p>
        </w:tc>
      </w:tr>
      <w:tr w:rsidR="00493003" w:rsidRPr="007D27F2" w14:paraId="3DAA219D" w14:textId="77777777" w:rsidTr="007D1973">
        <w:tc>
          <w:tcPr>
            <w:tcW w:w="3217" w:type="dxa"/>
          </w:tcPr>
          <w:p w14:paraId="2C1D3866" w14:textId="77777777" w:rsidR="00493003" w:rsidRPr="007D27F2" w:rsidRDefault="00493003" w:rsidP="00493003">
            <w:pPr>
              <w:pStyle w:val="ListParagraph"/>
              <w:numPr>
                <w:ilvl w:val="0"/>
                <w:numId w:val="4"/>
              </w:numPr>
            </w:pPr>
            <w:r w:rsidRPr="007D27F2">
              <w:t xml:space="preserve">&lt; 150 </w:t>
            </w:r>
            <w:proofErr w:type="spellStart"/>
            <w:r w:rsidRPr="007D27F2">
              <w:t>pg</w:t>
            </w:r>
            <w:proofErr w:type="spellEnd"/>
            <w:r w:rsidRPr="007D27F2">
              <w:t>/mL</w:t>
            </w:r>
          </w:p>
        </w:tc>
        <w:tc>
          <w:tcPr>
            <w:tcW w:w="1460" w:type="dxa"/>
          </w:tcPr>
          <w:p w14:paraId="780973EC" w14:textId="77777777" w:rsidR="00493003" w:rsidRPr="007D27F2" w:rsidRDefault="00493003" w:rsidP="007D1973">
            <w:pPr>
              <w:jc w:val="center"/>
            </w:pPr>
            <w:r w:rsidRPr="007D27F2">
              <w:t>21.2</w:t>
            </w:r>
          </w:p>
        </w:tc>
        <w:tc>
          <w:tcPr>
            <w:tcW w:w="1410" w:type="dxa"/>
          </w:tcPr>
          <w:p w14:paraId="1DB120E5" w14:textId="77777777" w:rsidR="00493003" w:rsidRPr="007D27F2" w:rsidRDefault="00493003" w:rsidP="007D1973">
            <w:pPr>
              <w:jc w:val="center"/>
            </w:pPr>
            <w:r w:rsidRPr="007D27F2">
              <w:t>18.3</w:t>
            </w:r>
          </w:p>
        </w:tc>
        <w:tc>
          <w:tcPr>
            <w:tcW w:w="1329" w:type="dxa"/>
          </w:tcPr>
          <w:p w14:paraId="2F47A3EB" w14:textId="77777777" w:rsidR="00493003" w:rsidRPr="007D27F2" w:rsidRDefault="00493003" w:rsidP="007D1973">
            <w:pPr>
              <w:jc w:val="center"/>
            </w:pPr>
            <w:r w:rsidRPr="007D27F2">
              <w:t>17.3</w:t>
            </w:r>
          </w:p>
        </w:tc>
        <w:tc>
          <w:tcPr>
            <w:tcW w:w="1329" w:type="dxa"/>
          </w:tcPr>
          <w:p w14:paraId="6A684715" w14:textId="77777777" w:rsidR="00493003" w:rsidRPr="007D27F2" w:rsidRDefault="00493003" w:rsidP="007D1973">
            <w:pPr>
              <w:jc w:val="center"/>
            </w:pPr>
            <w:r w:rsidRPr="007D27F2">
              <w:t>16.7</w:t>
            </w:r>
          </w:p>
        </w:tc>
        <w:tc>
          <w:tcPr>
            <w:tcW w:w="1178" w:type="dxa"/>
            <w:vMerge w:val="restart"/>
          </w:tcPr>
          <w:p w14:paraId="3D7BF33B" w14:textId="77777777" w:rsidR="00493003" w:rsidRPr="007D27F2" w:rsidRDefault="00493003" w:rsidP="007D1973">
            <w:pPr>
              <w:jc w:val="center"/>
            </w:pPr>
          </w:p>
          <w:p w14:paraId="572EE8E9" w14:textId="77777777" w:rsidR="00493003" w:rsidRPr="007D27F2" w:rsidRDefault="00493003" w:rsidP="007D1973">
            <w:pPr>
              <w:jc w:val="center"/>
            </w:pPr>
            <w:r w:rsidRPr="007D27F2">
              <w:t>0.793</w:t>
            </w:r>
          </w:p>
        </w:tc>
      </w:tr>
      <w:tr w:rsidR="00493003" w:rsidRPr="007D27F2" w14:paraId="4B3A721C" w14:textId="77777777" w:rsidTr="007D1973">
        <w:tc>
          <w:tcPr>
            <w:tcW w:w="3217" w:type="dxa"/>
          </w:tcPr>
          <w:p w14:paraId="42D85E40" w14:textId="77777777" w:rsidR="00493003" w:rsidRPr="007D27F2" w:rsidRDefault="00493003" w:rsidP="00493003">
            <w:pPr>
              <w:pStyle w:val="ListParagraph"/>
              <w:numPr>
                <w:ilvl w:val="0"/>
                <w:numId w:val="4"/>
              </w:numPr>
            </w:pPr>
            <w:r w:rsidRPr="007D27F2">
              <w:rPr>
                <w:rFonts w:cstheme="minorHAnsi"/>
              </w:rPr>
              <w:t>≥</w:t>
            </w:r>
            <w:r w:rsidRPr="007D27F2">
              <w:t xml:space="preserve"> 150  </w:t>
            </w:r>
            <w:proofErr w:type="spellStart"/>
            <w:r w:rsidRPr="007D27F2">
              <w:t>pg</w:t>
            </w:r>
            <w:proofErr w:type="spellEnd"/>
            <w:r w:rsidRPr="007D27F2">
              <w:t>/mL</w:t>
            </w:r>
          </w:p>
        </w:tc>
        <w:tc>
          <w:tcPr>
            <w:tcW w:w="1460" w:type="dxa"/>
          </w:tcPr>
          <w:p w14:paraId="01A48B68" w14:textId="77777777" w:rsidR="00493003" w:rsidRPr="007D27F2" w:rsidRDefault="00493003" w:rsidP="007D1973">
            <w:pPr>
              <w:jc w:val="center"/>
            </w:pPr>
            <w:r w:rsidRPr="007D27F2">
              <w:t>78.8</w:t>
            </w:r>
          </w:p>
        </w:tc>
        <w:tc>
          <w:tcPr>
            <w:tcW w:w="1410" w:type="dxa"/>
          </w:tcPr>
          <w:p w14:paraId="2084B334" w14:textId="77777777" w:rsidR="00493003" w:rsidRPr="007D27F2" w:rsidRDefault="00493003" w:rsidP="007D1973">
            <w:pPr>
              <w:jc w:val="center"/>
            </w:pPr>
            <w:r w:rsidRPr="007D27F2">
              <w:t>81.7</w:t>
            </w:r>
          </w:p>
        </w:tc>
        <w:tc>
          <w:tcPr>
            <w:tcW w:w="1329" w:type="dxa"/>
          </w:tcPr>
          <w:p w14:paraId="1DDBA1FE" w14:textId="77777777" w:rsidR="00493003" w:rsidRPr="007D27F2" w:rsidRDefault="00493003" w:rsidP="007D1973">
            <w:pPr>
              <w:jc w:val="center"/>
            </w:pPr>
            <w:r w:rsidRPr="007D27F2">
              <w:t>82.7</w:t>
            </w:r>
          </w:p>
        </w:tc>
        <w:tc>
          <w:tcPr>
            <w:tcW w:w="1329" w:type="dxa"/>
          </w:tcPr>
          <w:p w14:paraId="0DE252EC" w14:textId="77777777" w:rsidR="00493003" w:rsidRPr="007D27F2" w:rsidRDefault="00493003" w:rsidP="007D1973">
            <w:pPr>
              <w:jc w:val="center"/>
            </w:pPr>
            <w:r w:rsidRPr="007D27F2">
              <w:t>83.3</w:t>
            </w:r>
          </w:p>
        </w:tc>
        <w:tc>
          <w:tcPr>
            <w:tcW w:w="1178" w:type="dxa"/>
            <w:vMerge/>
          </w:tcPr>
          <w:p w14:paraId="3E93E810" w14:textId="77777777" w:rsidR="00493003" w:rsidRPr="007D27F2" w:rsidRDefault="00493003" w:rsidP="007D1973">
            <w:pPr>
              <w:jc w:val="center"/>
            </w:pPr>
          </w:p>
        </w:tc>
      </w:tr>
      <w:tr w:rsidR="00493003" w:rsidRPr="007D27F2" w14:paraId="4CBB2D87" w14:textId="77777777" w:rsidTr="007D1973">
        <w:tc>
          <w:tcPr>
            <w:tcW w:w="3217" w:type="dxa"/>
          </w:tcPr>
          <w:p w14:paraId="1C38787C" w14:textId="77777777" w:rsidR="00493003" w:rsidRPr="007D27F2" w:rsidRDefault="00493003" w:rsidP="007D1973">
            <w:r w:rsidRPr="007D27F2">
              <w:t>Serum Vitamin B12 levels</w:t>
            </w:r>
          </w:p>
        </w:tc>
        <w:tc>
          <w:tcPr>
            <w:tcW w:w="1460" w:type="dxa"/>
          </w:tcPr>
          <w:p w14:paraId="3D72FE7F" w14:textId="77777777" w:rsidR="00493003" w:rsidRPr="007D27F2" w:rsidRDefault="00493003" w:rsidP="007D1973">
            <w:pPr>
              <w:jc w:val="center"/>
            </w:pPr>
            <w:r w:rsidRPr="007D27F2">
              <w:t>267.3</w:t>
            </w:r>
            <w:r w:rsidRPr="007D27F2">
              <w:rPr>
                <w:rFonts w:cstheme="minorHAnsi"/>
              </w:rPr>
              <w:t>±</w:t>
            </w:r>
            <w:r w:rsidRPr="007D27F2">
              <w:t>157.2</w:t>
            </w:r>
          </w:p>
        </w:tc>
        <w:tc>
          <w:tcPr>
            <w:tcW w:w="1410" w:type="dxa"/>
          </w:tcPr>
          <w:p w14:paraId="7F9A129E" w14:textId="77777777" w:rsidR="00493003" w:rsidRPr="007D27F2" w:rsidRDefault="00493003" w:rsidP="007D1973">
            <w:pPr>
              <w:jc w:val="center"/>
            </w:pPr>
            <w:r w:rsidRPr="007D27F2">
              <w:t>229.4</w:t>
            </w:r>
            <w:r w:rsidRPr="007D27F2">
              <w:rPr>
                <w:rFonts w:cstheme="minorHAnsi"/>
              </w:rPr>
              <w:t>±</w:t>
            </w:r>
            <w:r w:rsidRPr="007D27F2">
              <w:t>119.3</w:t>
            </w:r>
          </w:p>
        </w:tc>
        <w:tc>
          <w:tcPr>
            <w:tcW w:w="1329" w:type="dxa"/>
          </w:tcPr>
          <w:p w14:paraId="54C93859" w14:textId="77777777" w:rsidR="00493003" w:rsidRPr="007D27F2" w:rsidRDefault="00493003" w:rsidP="007D1973">
            <w:pPr>
              <w:jc w:val="center"/>
            </w:pPr>
            <w:r w:rsidRPr="007D27F2">
              <w:t>277.1</w:t>
            </w:r>
            <w:r w:rsidRPr="007D27F2">
              <w:rPr>
                <w:rFonts w:cstheme="minorHAnsi"/>
              </w:rPr>
              <w:t>±</w:t>
            </w:r>
            <w:r w:rsidRPr="007D27F2">
              <w:t>158.0</w:t>
            </w:r>
          </w:p>
        </w:tc>
        <w:tc>
          <w:tcPr>
            <w:tcW w:w="1329" w:type="dxa"/>
          </w:tcPr>
          <w:p w14:paraId="46839F66" w14:textId="77777777" w:rsidR="00493003" w:rsidRPr="007D27F2" w:rsidRDefault="00493003" w:rsidP="007D1973">
            <w:pPr>
              <w:jc w:val="center"/>
            </w:pPr>
            <w:r w:rsidRPr="007D27F2">
              <w:t>267.4</w:t>
            </w:r>
            <w:r w:rsidRPr="007D27F2">
              <w:rPr>
                <w:rFonts w:cstheme="minorHAnsi"/>
              </w:rPr>
              <w:t>±</w:t>
            </w:r>
            <w:r w:rsidRPr="007D27F2">
              <w:t>166.5</w:t>
            </w:r>
          </w:p>
        </w:tc>
        <w:tc>
          <w:tcPr>
            <w:tcW w:w="1178" w:type="dxa"/>
          </w:tcPr>
          <w:p w14:paraId="4286E991" w14:textId="77777777" w:rsidR="00493003" w:rsidRPr="007D27F2" w:rsidRDefault="00493003" w:rsidP="007D1973">
            <w:pPr>
              <w:jc w:val="center"/>
            </w:pPr>
            <w:r w:rsidRPr="007D27F2">
              <w:t>0.098</w:t>
            </w:r>
          </w:p>
        </w:tc>
      </w:tr>
      <w:tr w:rsidR="00493003" w:rsidRPr="007D27F2" w14:paraId="683F8D89" w14:textId="77777777" w:rsidTr="007D1973">
        <w:tc>
          <w:tcPr>
            <w:tcW w:w="3217" w:type="dxa"/>
          </w:tcPr>
          <w:p w14:paraId="43CE6351" w14:textId="77777777" w:rsidR="00493003" w:rsidRPr="007D27F2" w:rsidRDefault="00493003" w:rsidP="007D1973">
            <w:r w:rsidRPr="007D27F2">
              <w:rPr>
                <w:b/>
              </w:rPr>
              <w:t>Serum Folate Levels</w:t>
            </w:r>
          </w:p>
        </w:tc>
        <w:tc>
          <w:tcPr>
            <w:tcW w:w="1460" w:type="dxa"/>
          </w:tcPr>
          <w:p w14:paraId="5FC4FB02" w14:textId="77777777" w:rsidR="00493003" w:rsidRPr="007D27F2" w:rsidRDefault="00493003" w:rsidP="007D1973">
            <w:pPr>
              <w:jc w:val="center"/>
            </w:pPr>
            <w:r w:rsidRPr="007D27F2">
              <w:t>8.7</w:t>
            </w:r>
            <w:r w:rsidRPr="007D27F2">
              <w:rPr>
                <w:rFonts w:cstheme="minorHAnsi"/>
              </w:rPr>
              <w:t>±</w:t>
            </w:r>
            <w:r w:rsidRPr="007D27F2">
              <w:t>3.6</w:t>
            </w:r>
          </w:p>
        </w:tc>
        <w:tc>
          <w:tcPr>
            <w:tcW w:w="1410" w:type="dxa"/>
          </w:tcPr>
          <w:p w14:paraId="22DE5ABD" w14:textId="77777777" w:rsidR="00493003" w:rsidRPr="007D27F2" w:rsidRDefault="00493003" w:rsidP="007D1973">
            <w:pPr>
              <w:jc w:val="center"/>
            </w:pPr>
            <w:r w:rsidRPr="007D27F2">
              <w:t>9.0</w:t>
            </w:r>
            <w:r w:rsidRPr="007D27F2">
              <w:rPr>
                <w:rFonts w:cstheme="minorHAnsi"/>
              </w:rPr>
              <w:t>±</w:t>
            </w:r>
            <w:r w:rsidRPr="007D27F2">
              <w:t>3.2</w:t>
            </w:r>
          </w:p>
        </w:tc>
        <w:tc>
          <w:tcPr>
            <w:tcW w:w="1329" w:type="dxa"/>
          </w:tcPr>
          <w:p w14:paraId="474BC46D" w14:textId="77777777" w:rsidR="00493003" w:rsidRPr="007D27F2" w:rsidRDefault="00493003" w:rsidP="007D1973">
            <w:pPr>
              <w:jc w:val="center"/>
            </w:pPr>
            <w:r w:rsidRPr="007D27F2">
              <w:t>8.9</w:t>
            </w:r>
            <w:r w:rsidRPr="007D27F2">
              <w:rPr>
                <w:rFonts w:cstheme="minorHAnsi"/>
              </w:rPr>
              <w:t>±</w:t>
            </w:r>
            <w:r w:rsidRPr="007D27F2">
              <w:t>3.2</w:t>
            </w:r>
          </w:p>
        </w:tc>
        <w:tc>
          <w:tcPr>
            <w:tcW w:w="1329" w:type="dxa"/>
          </w:tcPr>
          <w:p w14:paraId="40BB532D" w14:textId="77777777" w:rsidR="00493003" w:rsidRPr="007D27F2" w:rsidRDefault="00493003" w:rsidP="007D1973">
            <w:pPr>
              <w:jc w:val="center"/>
            </w:pPr>
            <w:r w:rsidRPr="007D27F2">
              <w:t>9.6</w:t>
            </w:r>
            <w:r w:rsidRPr="007D27F2">
              <w:rPr>
                <w:rFonts w:cstheme="minorHAnsi"/>
              </w:rPr>
              <w:t>±</w:t>
            </w:r>
            <w:r w:rsidRPr="007D27F2">
              <w:t>4.1</w:t>
            </w:r>
          </w:p>
        </w:tc>
        <w:tc>
          <w:tcPr>
            <w:tcW w:w="1178" w:type="dxa"/>
          </w:tcPr>
          <w:p w14:paraId="6D72CD6C" w14:textId="77777777" w:rsidR="00493003" w:rsidRPr="007D27F2" w:rsidRDefault="00493003" w:rsidP="007D1973">
            <w:pPr>
              <w:jc w:val="center"/>
            </w:pPr>
            <w:r w:rsidRPr="007D27F2">
              <w:t>0.518</w:t>
            </w:r>
          </w:p>
        </w:tc>
      </w:tr>
      <w:tr w:rsidR="00493003" w:rsidRPr="007D27F2" w14:paraId="65FBFE10" w14:textId="77777777" w:rsidTr="007D1973">
        <w:tc>
          <w:tcPr>
            <w:tcW w:w="9923" w:type="dxa"/>
            <w:gridSpan w:val="6"/>
          </w:tcPr>
          <w:p w14:paraId="6925B0C9" w14:textId="77777777" w:rsidR="00493003" w:rsidRPr="007D27F2" w:rsidRDefault="00493003" w:rsidP="007D1973">
            <w:r w:rsidRPr="007D27F2">
              <w:rPr>
                <w:b/>
              </w:rPr>
              <w:t>Classification of Folate (%)</w:t>
            </w:r>
          </w:p>
        </w:tc>
      </w:tr>
      <w:tr w:rsidR="00493003" w:rsidRPr="007D27F2" w14:paraId="18CA54B2" w14:textId="77777777" w:rsidTr="007D1973">
        <w:tc>
          <w:tcPr>
            <w:tcW w:w="3217" w:type="dxa"/>
          </w:tcPr>
          <w:p w14:paraId="0F4E8CFF" w14:textId="77777777" w:rsidR="00493003" w:rsidRPr="007D27F2" w:rsidRDefault="00493003" w:rsidP="00493003">
            <w:pPr>
              <w:pStyle w:val="ListParagraph"/>
              <w:numPr>
                <w:ilvl w:val="0"/>
                <w:numId w:val="6"/>
              </w:numPr>
              <w:rPr>
                <w:b/>
              </w:rPr>
            </w:pPr>
            <w:r w:rsidRPr="007D27F2">
              <w:rPr>
                <w:b/>
              </w:rPr>
              <w:t>Folate &lt; 3  ng/ml</w:t>
            </w:r>
          </w:p>
        </w:tc>
        <w:tc>
          <w:tcPr>
            <w:tcW w:w="1460" w:type="dxa"/>
          </w:tcPr>
          <w:p w14:paraId="5383DCAA" w14:textId="77777777" w:rsidR="00493003" w:rsidRPr="007D27F2" w:rsidRDefault="00493003" w:rsidP="007D1973">
            <w:pPr>
              <w:jc w:val="center"/>
            </w:pPr>
            <w:r w:rsidRPr="007D27F2">
              <w:t>3.2</w:t>
            </w:r>
          </w:p>
        </w:tc>
        <w:tc>
          <w:tcPr>
            <w:tcW w:w="1410" w:type="dxa"/>
          </w:tcPr>
          <w:p w14:paraId="04B55149" w14:textId="77777777" w:rsidR="00493003" w:rsidRPr="007D27F2" w:rsidRDefault="00493003" w:rsidP="007D1973">
            <w:pPr>
              <w:jc w:val="center"/>
            </w:pPr>
            <w:r w:rsidRPr="007D27F2">
              <w:t>1.7</w:t>
            </w:r>
          </w:p>
        </w:tc>
        <w:tc>
          <w:tcPr>
            <w:tcW w:w="1329" w:type="dxa"/>
          </w:tcPr>
          <w:p w14:paraId="3AFC03BC" w14:textId="77777777" w:rsidR="00493003" w:rsidRPr="007D27F2" w:rsidRDefault="00493003" w:rsidP="007D1973">
            <w:pPr>
              <w:jc w:val="center"/>
            </w:pPr>
            <w:r w:rsidRPr="007D27F2">
              <w:t>1.9</w:t>
            </w:r>
          </w:p>
        </w:tc>
        <w:tc>
          <w:tcPr>
            <w:tcW w:w="1329" w:type="dxa"/>
          </w:tcPr>
          <w:p w14:paraId="71280F32" w14:textId="77777777" w:rsidR="00493003" w:rsidRPr="007D27F2" w:rsidRDefault="00493003" w:rsidP="007D1973">
            <w:pPr>
              <w:jc w:val="center"/>
            </w:pPr>
            <w:r w:rsidRPr="007D27F2">
              <w:t>2.5</w:t>
            </w:r>
          </w:p>
        </w:tc>
        <w:tc>
          <w:tcPr>
            <w:tcW w:w="1178" w:type="dxa"/>
          </w:tcPr>
          <w:p w14:paraId="28DBF171" w14:textId="77777777" w:rsidR="00493003" w:rsidRPr="007D27F2" w:rsidRDefault="00493003" w:rsidP="007D1973">
            <w:pPr>
              <w:jc w:val="center"/>
            </w:pPr>
            <w:r w:rsidRPr="007D27F2">
              <w:t>NA</w:t>
            </w:r>
          </w:p>
        </w:tc>
      </w:tr>
    </w:tbl>
    <w:p w14:paraId="251FDF92" w14:textId="77777777" w:rsidR="00493003" w:rsidRPr="007D27F2" w:rsidRDefault="00493003" w:rsidP="00493003">
      <w:r w:rsidRPr="007D27F2">
        <w:rPr>
          <w:b/>
        </w:rPr>
        <w:t>CCI:</w:t>
      </w:r>
      <w:r w:rsidRPr="007D27F2">
        <w:t xml:space="preserve"> </w:t>
      </w:r>
      <w:proofErr w:type="spellStart"/>
      <w:r w:rsidRPr="007D27F2">
        <w:t>Charlson</w:t>
      </w:r>
      <w:proofErr w:type="spellEnd"/>
      <w:r w:rsidRPr="007D27F2">
        <w:t xml:space="preserve"> Comorbidity Index; MMSE: Mini Mental State Examination; NA: Not Applicable</w:t>
      </w:r>
    </w:p>
    <w:p w14:paraId="52D0B2A3" w14:textId="77777777" w:rsidR="00493003" w:rsidRPr="007D27F2" w:rsidRDefault="00493003" w:rsidP="00493003">
      <w:r w:rsidRPr="007D27F2">
        <w:rPr>
          <w:b/>
        </w:rPr>
        <w:t>*</w:t>
      </w:r>
      <w:r w:rsidRPr="007D27F2">
        <w:t>The parameters were significantly different between patients with insomnia (</w:t>
      </w:r>
      <w:r w:rsidRPr="007D27F2">
        <w:rPr>
          <w:rFonts w:cstheme="minorHAnsi"/>
        </w:rPr>
        <w:t>≥</w:t>
      </w:r>
      <w:r w:rsidRPr="007D27F2">
        <w:t xml:space="preserve"> 8 ISI score) and control group (&lt; 8 ISI score)</w:t>
      </w:r>
    </w:p>
    <w:p w14:paraId="2B6205D0" w14:textId="77777777" w:rsidR="00493003" w:rsidRPr="007D27F2" w:rsidRDefault="00493003" w:rsidP="00493003">
      <w:r w:rsidRPr="007D27F2">
        <w:t xml:space="preserve">** After adjustment for gender, education, number of drugs, CCI, presence of depression, and MMSE scores, p value </w:t>
      </w:r>
      <w:proofErr w:type="gramStart"/>
      <w:r w:rsidRPr="007D27F2">
        <w:t>was still found</w:t>
      </w:r>
      <w:proofErr w:type="gramEnd"/>
      <w:r w:rsidRPr="007D27F2">
        <w:t xml:space="preserve"> significant (p&lt; 0.05)</w:t>
      </w:r>
    </w:p>
    <w:p w14:paraId="6A85B3EF" w14:textId="77777777" w:rsidR="00493003" w:rsidRDefault="00493003" w:rsidP="00493003">
      <w:pPr>
        <w:rPr>
          <w:bCs/>
        </w:rPr>
      </w:pPr>
      <w:r w:rsidRPr="007D27F2">
        <w:t xml:space="preserve">NA: Because </w:t>
      </w:r>
      <w:r w:rsidRPr="007D27F2">
        <w:rPr>
          <w:bCs/>
        </w:rPr>
        <w:t xml:space="preserve">the number of patients with folate deficiency was so </w:t>
      </w:r>
      <w:proofErr w:type="gramStart"/>
      <w:r w:rsidRPr="007D27F2">
        <w:rPr>
          <w:bCs/>
        </w:rPr>
        <w:t>low</w:t>
      </w:r>
      <w:proofErr w:type="gramEnd"/>
      <w:r w:rsidRPr="007D27F2">
        <w:rPr>
          <w:bCs/>
        </w:rPr>
        <w:t xml:space="preserve"> that it was not able to be </w:t>
      </w:r>
      <w:proofErr w:type="spellStart"/>
      <w:r w:rsidRPr="007D27F2">
        <w:rPr>
          <w:bCs/>
        </w:rPr>
        <w:t>analyzed</w:t>
      </w:r>
      <w:proofErr w:type="spellEnd"/>
    </w:p>
    <w:p w14:paraId="2654BA95" w14:textId="77777777" w:rsidR="00493003" w:rsidRDefault="00493003" w:rsidP="00493003">
      <w:pPr>
        <w:rPr>
          <w:bCs/>
        </w:rPr>
      </w:pPr>
    </w:p>
    <w:p w14:paraId="1B86A90B" w14:textId="77777777" w:rsidR="00493003" w:rsidRDefault="00493003" w:rsidP="00493003">
      <w:pPr>
        <w:rPr>
          <w:bCs/>
        </w:rPr>
      </w:pPr>
    </w:p>
    <w:p w14:paraId="180FC658" w14:textId="77777777" w:rsidR="00493003" w:rsidRDefault="00493003" w:rsidP="00493003">
      <w:pPr>
        <w:rPr>
          <w:bCs/>
        </w:rPr>
      </w:pPr>
    </w:p>
    <w:p w14:paraId="3038CC0D" w14:textId="77777777" w:rsidR="00493003" w:rsidRDefault="00493003" w:rsidP="00493003">
      <w:pPr>
        <w:rPr>
          <w:bCs/>
        </w:rPr>
      </w:pPr>
    </w:p>
    <w:p w14:paraId="0DF8DD67" w14:textId="77777777" w:rsidR="00493003" w:rsidRDefault="00493003" w:rsidP="00493003">
      <w:pPr>
        <w:rPr>
          <w:bCs/>
        </w:rPr>
      </w:pPr>
    </w:p>
    <w:p w14:paraId="1F526142" w14:textId="77777777" w:rsidR="00493003" w:rsidRDefault="00493003" w:rsidP="00493003">
      <w:pPr>
        <w:rPr>
          <w:bCs/>
        </w:rPr>
      </w:pPr>
    </w:p>
    <w:p w14:paraId="3669D43A" w14:textId="77777777" w:rsidR="00493003" w:rsidRDefault="00493003" w:rsidP="00493003">
      <w:pPr>
        <w:rPr>
          <w:bCs/>
        </w:rPr>
      </w:pPr>
    </w:p>
    <w:p w14:paraId="14FF9834" w14:textId="77777777" w:rsidR="00493003" w:rsidRDefault="00493003" w:rsidP="00493003">
      <w:pPr>
        <w:rPr>
          <w:bCs/>
        </w:rPr>
      </w:pPr>
    </w:p>
    <w:p w14:paraId="2C7EC248" w14:textId="77777777" w:rsidR="00493003" w:rsidRDefault="00493003" w:rsidP="00493003">
      <w:pPr>
        <w:rPr>
          <w:bCs/>
        </w:rPr>
      </w:pPr>
    </w:p>
    <w:p w14:paraId="15F01143" w14:textId="77777777" w:rsidR="00493003" w:rsidRDefault="00493003" w:rsidP="00493003">
      <w:pPr>
        <w:rPr>
          <w:bCs/>
        </w:rPr>
      </w:pPr>
    </w:p>
    <w:p w14:paraId="35D2E74B" w14:textId="77777777" w:rsidR="00493003" w:rsidRDefault="00493003" w:rsidP="00493003">
      <w:pPr>
        <w:rPr>
          <w:bCs/>
        </w:rPr>
      </w:pPr>
    </w:p>
    <w:p w14:paraId="77000BAC" w14:textId="77777777" w:rsidR="00493003" w:rsidRDefault="00493003" w:rsidP="00493003">
      <w:pPr>
        <w:rPr>
          <w:bCs/>
        </w:rPr>
      </w:pPr>
    </w:p>
    <w:p w14:paraId="57CCC71C" w14:textId="77777777" w:rsidR="00493003" w:rsidRDefault="00493003" w:rsidP="00493003">
      <w:pPr>
        <w:rPr>
          <w:bCs/>
        </w:rPr>
      </w:pPr>
    </w:p>
    <w:p w14:paraId="65FF604D" w14:textId="77777777" w:rsidR="00493003" w:rsidRDefault="00493003" w:rsidP="00493003">
      <w:pPr>
        <w:rPr>
          <w:bCs/>
        </w:rPr>
      </w:pPr>
    </w:p>
    <w:p w14:paraId="111E4FBA" w14:textId="77777777" w:rsidR="00493003" w:rsidRDefault="00493003" w:rsidP="00493003">
      <w:pPr>
        <w:rPr>
          <w:bCs/>
        </w:rPr>
      </w:pPr>
    </w:p>
    <w:p w14:paraId="52E55FAC" w14:textId="77777777" w:rsidR="00493003" w:rsidRDefault="00493003" w:rsidP="00493003">
      <w:pPr>
        <w:rPr>
          <w:bCs/>
        </w:rPr>
      </w:pPr>
    </w:p>
    <w:p w14:paraId="44941FCD" w14:textId="77777777" w:rsidR="00493003" w:rsidRDefault="00493003" w:rsidP="00493003">
      <w:pPr>
        <w:rPr>
          <w:bCs/>
        </w:rPr>
      </w:pPr>
    </w:p>
    <w:p w14:paraId="0194DEE8" w14:textId="77777777" w:rsidR="00493003" w:rsidRDefault="00493003" w:rsidP="00493003">
      <w:pPr>
        <w:rPr>
          <w:bCs/>
        </w:rPr>
      </w:pPr>
    </w:p>
    <w:p w14:paraId="47381F2E" w14:textId="77777777" w:rsidR="00493003" w:rsidRDefault="00493003" w:rsidP="00493003">
      <w:pPr>
        <w:rPr>
          <w:bCs/>
        </w:rPr>
      </w:pPr>
    </w:p>
    <w:p w14:paraId="4F110AB1" w14:textId="77777777" w:rsidR="00493003" w:rsidRDefault="00493003" w:rsidP="00493003">
      <w:pPr>
        <w:rPr>
          <w:bCs/>
        </w:rPr>
      </w:pPr>
    </w:p>
    <w:p w14:paraId="5BD40B94" w14:textId="77777777" w:rsidR="00493003" w:rsidRDefault="00493003" w:rsidP="00493003">
      <w:pPr>
        <w:rPr>
          <w:bCs/>
        </w:rPr>
      </w:pPr>
    </w:p>
    <w:p w14:paraId="70CD2074" w14:textId="77777777" w:rsidR="00493003" w:rsidRDefault="00493003" w:rsidP="00493003">
      <w:pPr>
        <w:rPr>
          <w:bCs/>
        </w:rPr>
      </w:pPr>
    </w:p>
    <w:p w14:paraId="0862ED5E" w14:textId="77777777" w:rsidR="00493003" w:rsidRDefault="00493003" w:rsidP="00493003">
      <w:pPr>
        <w:rPr>
          <w:bCs/>
        </w:rPr>
      </w:pPr>
    </w:p>
    <w:p w14:paraId="5638DFED" w14:textId="77777777" w:rsidR="00493003" w:rsidRDefault="00493003" w:rsidP="00493003">
      <w:pPr>
        <w:rPr>
          <w:bCs/>
        </w:rPr>
      </w:pPr>
    </w:p>
    <w:p w14:paraId="5EF36A73" w14:textId="6BF8CAA2" w:rsidR="00493003" w:rsidRDefault="00493003" w:rsidP="00493003"/>
    <w:p w14:paraId="42828C22" w14:textId="75FC7F15" w:rsidR="00493003" w:rsidRDefault="00493003" w:rsidP="00493003"/>
    <w:p w14:paraId="72A42E01" w14:textId="0E6C0D5F" w:rsidR="00493003" w:rsidRDefault="00493003" w:rsidP="00493003"/>
    <w:p w14:paraId="6249A9BC" w14:textId="3A934CF4" w:rsidR="00493003" w:rsidRDefault="00493003" w:rsidP="00493003"/>
    <w:p w14:paraId="3FFBF4A6" w14:textId="3F09CD64" w:rsidR="00493003" w:rsidRDefault="00493003" w:rsidP="00493003"/>
    <w:p w14:paraId="6ACBD238" w14:textId="50342390" w:rsidR="00493003" w:rsidRDefault="00493003" w:rsidP="00493003"/>
    <w:p w14:paraId="7B453D5A" w14:textId="77777777" w:rsidR="00493003" w:rsidRPr="007D27F2" w:rsidRDefault="00493003" w:rsidP="00493003"/>
    <w:p w14:paraId="3B47B870" w14:textId="77777777" w:rsidR="00493003" w:rsidRPr="007D27F2" w:rsidRDefault="00493003" w:rsidP="00493003">
      <w:pPr>
        <w:rPr>
          <w:b/>
        </w:rPr>
      </w:pPr>
      <w:r w:rsidRPr="007D27F2">
        <w:rPr>
          <w:b/>
        </w:rPr>
        <w:t xml:space="preserve">Table 2. </w:t>
      </w:r>
      <w:r w:rsidRPr="007D27F2">
        <w:rPr>
          <w:b/>
          <w:sz w:val="16"/>
          <w:szCs w:val="16"/>
          <w:lang w:val="tr-TR"/>
        </w:rPr>
        <w:t xml:space="preserve"> </w:t>
      </w:r>
      <w:r w:rsidRPr="007D27F2">
        <w:rPr>
          <w:b/>
        </w:rPr>
        <w:t xml:space="preserve">Associations </w:t>
      </w:r>
      <w:proofErr w:type="gramStart"/>
      <w:r w:rsidRPr="007D27F2">
        <w:rPr>
          <w:b/>
        </w:rPr>
        <w:t>Between</w:t>
      </w:r>
      <w:proofErr w:type="gramEnd"/>
      <w:r w:rsidRPr="007D27F2">
        <w:rPr>
          <w:b/>
        </w:rPr>
        <w:t xml:space="preserve"> Nutritional Status and Insomnia Severity Status</w:t>
      </w:r>
    </w:p>
    <w:tbl>
      <w:tblPr>
        <w:tblStyle w:val="TableGrid"/>
        <w:tblW w:w="5355" w:type="pct"/>
        <w:tblInd w:w="-714" w:type="dxa"/>
        <w:tblLayout w:type="fixed"/>
        <w:tblLook w:val="04A0" w:firstRow="1" w:lastRow="0" w:firstColumn="1" w:lastColumn="0" w:noHBand="0" w:noVBand="1"/>
      </w:tblPr>
      <w:tblGrid>
        <w:gridCol w:w="1770"/>
        <w:gridCol w:w="1290"/>
        <w:gridCol w:w="751"/>
        <w:gridCol w:w="1078"/>
        <w:gridCol w:w="697"/>
        <w:gridCol w:w="1222"/>
        <w:gridCol w:w="819"/>
        <w:gridCol w:w="1224"/>
        <w:gridCol w:w="805"/>
      </w:tblGrid>
      <w:tr w:rsidR="00493003" w:rsidRPr="007D27F2" w14:paraId="639ADA32" w14:textId="77777777" w:rsidTr="007D1973">
        <w:trPr>
          <w:trHeight w:val="531"/>
        </w:trPr>
        <w:tc>
          <w:tcPr>
            <w:tcW w:w="916" w:type="pct"/>
          </w:tcPr>
          <w:p w14:paraId="497B616D" w14:textId="77777777" w:rsidR="00493003" w:rsidRPr="007D27F2" w:rsidRDefault="00493003" w:rsidP="007D1973">
            <w:pPr>
              <w:spacing w:after="160" w:line="276" w:lineRule="auto"/>
              <w:rPr>
                <w:sz w:val="18"/>
                <w:szCs w:val="18"/>
                <w:lang w:val="tr-TR"/>
              </w:rPr>
            </w:pPr>
          </w:p>
        </w:tc>
        <w:tc>
          <w:tcPr>
            <w:tcW w:w="1057" w:type="pct"/>
            <w:gridSpan w:val="2"/>
          </w:tcPr>
          <w:p w14:paraId="1D556A0B" w14:textId="77777777" w:rsidR="00493003" w:rsidRPr="007D27F2" w:rsidRDefault="00493003" w:rsidP="007D1973">
            <w:pPr>
              <w:spacing w:after="160"/>
              <w:jc w:val="center"/>
              <w:rPr>
                <w:b/>
                <w:sz w:val="20"/>
                <w:szCs w:val="20"/>
              </w:rPr>
            </w:pPr>
            <w:r w:rsidRPr="007D27F2">
              <w:rPr>
                <w:b/>
                <w:sz w:val="20"/>
                <w:szCs w:val="20"/>
              </w:rPr>
              <w:t>Insomnia</w:t>
            </w:r>
          </w:p>
        </w:tc>
        <w:tc>
          <w:tcPr>
            <w:tcW w:w="919" w:type="pct"/>
            <w:gridSpan w:val="2"/>
          </w:tcPr>
          <w:p w14:paraId="70D1DA7F" w14:textId="77777777" w:rsidR="00493003" w:rsidRPr="007D27F2" w:rsidRDefault="00493003" w:rsidP="007D1973">
            <w:pPr>
              <w:spacing w:after="160"/>
              <w:jc w:val="center"/>
              <w:rPr>
                <w:b/>
                <w:sz w:val="20"/>
                <w:szCs w:val="20"/>
              </w:rPr>
            </w:pPr>
            <w:r w:rsidRPr="007D27F2">
              <w:rPr>
                <w:b/>
                <w:sz w:val="20"/>
                <w:szCs w:val="20"/>
              </w:rPr>
              <w:t>Mild Insomnia</w:t>
            </w:r>
          </w:p>
        </w:tc>
        <w:tc>
          <w:tcPr>
            <w:tcW w:w="1057" w:type="pct"/>
            <w:gridSpan w:val="2"/>
          </w:tcPr>
          <w:p w14:paraId="3DB82450" w14:textId="77777777" w:rsidR="00493003" w:rsidRPr="007D27F2" w:rsidRDefault="00493003" w:rsidP="007D1973">
            <w:pPr>
              <w:spacing w:after="160"/>
              <w:jc w:val="center"/>
              <w:rPr>
                <w:b/>
                <w:sz w:val="20"/>
                <w:szCs w:val="20"/>
              </w:rPr>
            </w:pPr>
            <w:r w:rsidRPr="007D27F2">
              <w:rPr>
                <w:b/>
                <w:sz w:val="20"/>
                <w:szCs w:val="20"/>
              </w:rPr>
              <w:t>Moderate Insomnia</w:t>
            </w:r>
          </w:p>
        </w:tc>
        <w:tc>
          <w:tcPr>
            <w:tcW w:w="1051" w:type="pct"/>
            <w:gridSpan w:val="2"/>
          </w:tcPr>
          <w:p w14:paraId="5C55D35F" w14:textId="77777777" w:rsidR="00493003" w:rsidRPr="007D27F2" w:rsidRDefault="00493003" w:rsidP="007D1973">
            <w:pPr>
              <w:spacing w:after="160"/>
              <w:jc w:val="center"/>
              <w:rPr>
                <w:b/>
                <w:sz w:val="20"/>
                <w:szCs w:val="20"/>
              </w:rPr>
            </w:pPr>
            <w:r w:rsidRPr="007D27F2">
              <w:rPr>
                <w:b/>
                <w:sz w:val="20"/>
                <w:szCs w:val="20"/>
              </w:rPr>
              <w:t>Severe Insomnia</w:t>
            </w:r>
          </w:p>
        </w:tc>
      </w:tr>
      <w:tr w:rsidR="00493003" w:rsidRPr="007D27F2" w14:paraId="6B13DC6C" w14:textId="77777777" w:rsidTr="007D1973">
        <w:tc>
          <w:tcPr>
            <w:tcW w:w="916" w:type="pct"/>
          </w:tcPr>
          <w:p w14:paraId="46B1A594" w14:textId="77777777" w:rsidR="00493003" w:rsidRPr="007D27F2" w:rsidRDefault="00493003" w:rsidP="007D1973">
            <w:pPr>
              <w:rPr>
                <w:sz w:val="18"/>
                <w:szCs w:val="18"/>
              </w:rPr>
            </w:pPr>
          </w:p>
        </w:tc>
        <w:tc>
          <w:tcPr>
            <w:tcW w:w="4084" w:type="pct"/>
            <w:gridSpan w:val="8"/>
          </w:tcPr>
          <w:p w14:paraId="2829EA72" w14:textId="77777777" w:rsidR="00493003" w:rsidRPr="007D27F2" w:rsidRDefault="00493003" w:rsidP="007D1973">
            <w:pPr>
              <w:jc w:val="center"/>
              <w:rPr>
                <w:b/>
                <w:sz w:val="18"/>
                <w:szCs w:val="18"/>
              </w:rPr>
            </w:pPr>
            <w:r w:rsidRPr="007D27F2">
              <w:rPr>
                <w:b/>
                <w:sz w:val="18"/>
                <w:szCs w:val="18"/>
              </w:rPr>
              <w:t>Logistic Regression</w:t>
            </w:r>
          </w:p>
        </w:tc>
      </w:tr>
      <w:tr w:rsidR="00493003" w:rsidRPr="007D27F2" w14:paraId="24B6F6B7" w14:textId="77777777" w:rsidTr="007D1973">
        <w:tc>
          <w:tcPr>
            <w:tcW w:w="916" w:type="pct"/>
          </w:tcPr>
          <w:p w14:paraId="73FC003C" w14:textId="77777777" w:rsidR="00493003" w:rsidRPr="007D27F2" w:rsidRDefault="00493003" w:rsidP="007D1973">
            <w:pPr>
              <w:rPr>
                <w:sz w:val="18"/>
                <w:szCs w:val="18"/>
              </w:rPr>
            </w:pPr>
            <w:bookmarkStart w:id="5" w:name="_Hlk528318687"/>
          </w:p>
        </w:tc>
        <w:tc>
          <w:tcPr>
            <w:tcW w:w="668" w:type="pct"/>
          </w:tcPr>
          <w:p w14:paraId="25A1F84E" w14:textId="77777777" w:rsidR="00493003" w:rsidRPr="007D27F2" w:rsidRDefault="00493003" w:rsidP="007D1973">
            <w:pPr>
              <w:jc w:val="center"/>
              <w:rPr>
                <w:b/>
                <w:sz w:val="18"/>
                <w:szCs w:val="18"/>
              </w:rPr>
            </w:pPr>
            <w:r w:rsidRPr="007D27F2">
              <w:rPr>
                <w:b/>
                <w:sz w:val="18"/>
                <w:szCs w:val="18"/>
              </w:rPr>
              <w:t>OR (%95 CI)</w:t>
            </w:r>
          </w:p>
        </w:tc>
        <w:tc>
          <w:tcPr>
            <w:tcW w:w="389" w:type="pct"/>
          </w:tcPr>
          <w:p w14:paraId="51BFA193" w14:textId="77777777" w:rsidR="00493003" w:rsidRPr="007D27F2" w:rsidRDefault="00493003" w:rsidP="007D1973">
            <w:pPr>
              <w:jc w:val="center"/>
              <w:rPr>
                <w:b/>
                <w:sz w:val="18"/>
                <w:szCs w:val="18"/>
              </w:rPr>
            </w:pPr>
            <w:r w:rsidRPr="007D27F2">
              <w:rPr>
                <w:b/>
                <w:sz w:val="18"/>
                <w:szCs w:val="18"/>
              </w:rPr>
              <w:t>p</w:t>
            </w:r>
          </w:p>
        </w:tc>
        <w:tc>
          <w:tcPr>
            <w:tcW w:w="558" w:type="pct"/>
          </w:tcPr>
          <w:p w14:paraId="3FA66B0E" w14:textId="77777777" w:rsidR="00493003" w:rsidRPr="007D27F2" w:rsidRDefault="00493003" w:rsidP="007D1973">
            <w:pPr>
              <w:jc w:val="center"/>
              <w:rPr>
                <w:b/>
                <w:sz w:val="18"/>
                <w:szCs w:val="18"/>
              </w:rPr>
            </w:pPr>
            <w:r w:rsidRPr="007D27F2">
              <w:rPr>
                <w:b/>
                <w:sz w:val="18"/>
                <w:szCs w:val="18"/>
              </w:rPr>
              <w:t>OR (%95 CI)</w:t>
            </w:r>
          </w:p>
        </w:tc>
        <w:tc>
          <w:tcPr>
            <w:tcW w:w="361" w:type="pct"/>
          </w:tcPr>
          <w:p w14:paraId="6E65CC14" w14:textId="77777777" w:rsidR="00493003" w:rsidRPr="007D27F2" w:rsidRDefault="00493003" w:rsidP="007D1973">
            <w:pPr>
              <w:jc w:val="center"/>
              <w:rPr>
                <w:b/>
                <w:sz w:val="18"/>
                <w:szCs w:val="18"/>
              </w:rPr>
            </w:pPr>
            <w:r w:rsidRPr="007D27F2">
              <w:rPr>
                <w:b/>
                <w:sz w:val="18"/>
                <w:szCs w:val="18"/>
              </w:rPr>
              <w:t>p</w:t>
            </w:r>
          </w:p>
        </w:tc>
        <w:tc>
          <w:tcPr>
            <w:tcW w:w="633" w:type="pct"/>
          </w:tcPr>
          <w:p w14:paraId="52530CDB" w14:textId="77777777" w:rsidR="00493003" w:rsidRPr="007D27F2" w:rsidRDefault="00493003" w:rsidP="007D1973">
            <w:pPr>
              <w:jc w:val="center"/>
              <w:rPr>
                <w:b/>
                <w:sz w:val="18"/>
                <w:szCs w:val="18"/>
              </w:rPr>
            </w:pPr>
            <w:r w:rsidRPr="007D27F2">
              <w:rPr>
                <w:b/>
                <w:sz w:val="18"/>
                <w:szCs w:val="18"/>
              </w:rPr>
              <w:t>OR (%95 CI)</w:t>
            </w:r>
          </w:p>
        </w:tc>
        <w:tc>
          <w:tcPr>
            <w:tcW w:w="424" w:type="pct"/>
          </w:tcPr>
          <w:p w14:paraId="5721157C" w14:textId="77777777" w:rsidR="00493003" w:rsidRPr="007D27F2" w:rsidRDefault="00493003" w:rsidP="007D1973">
            <w:pPr>
              <w:jc w:val="center"/>
              <w:rPr>
                <w:b/>
                <w:sz w:val="18"/>
                <w:szCs w:val="18"/>
              </w:rPr>
            </w:pPr>
            <w:r w:rsidRPr="007D27F2">
              <w:rPr>
                <w:b/>
                <w:sz w:val="18"/>
                <w:szCs w:val="18"/>
              </w:rPr>
              <w:t>p</w:t>
            </w:r>
          </w:p>
        </w:tc>
        <w:tc>
          <w:tcPr>
            <w:tcW w:w="634" w:type="pct"/>
          </w:tcPr>
          <w:p w14:paraId="2B420D6A" w14:textId="77777777" w:rsidR="00493003" w:rsidRPr="007D27F2" w:rsidRDefault="00493003" w:rsidP="007D1973">
            <w:pPr>
              <w:jc w:val="center"/>
              <w:rPr>
                <w:b/>
                <w:sz w:val="18"/>
                <w:szCs w:val="18"/>
              </w:rPr>
            </w:pPr>
            <w:r w:rsidRPr="007D27F2">
              <w:rPr>
                <w:b/>
                <w:sz w:val="18"/>
                <w:szCs w:val="18"/>
              </w:rPr>
              <w:t>OR (%95 CI)</w:t>
            </w:r>
          </w:p>
        </w:tc>
        <w:tc>
          <w:tcPr>
            <w:tcW w:w="417" w:type="pct"/>
          </w:tcPr>
          <w:p w14:paraId="20096D68" w14:textId="77777777" w:rsidR="00493003" w:rsidRPr="007D27F2" w:rsidRDefault="00493003" w:rsidP="007D1973">
            <w:pPr>
              <w:jc w:val="center"/>
              <w:rPr>
                <w:b/>
                <w:sz w:val="18"/>
                <w:szCs w:val="18"/>
              </w:rPr>
            </w:pPr>
            <w:r w:rsidRPr="007D27F2">
              <w:rPr>
                <w:b/>
                <w:sz w:val="18"/>
                <w:szCs w:val="18"/>
              </w:rPr>
              <w:t>p</w:t>
            </w:r>
          </w:p>
        </w:tc>
      </w:tr>
      <w:tr w:rsidR="00493003" w:rsidRPr="007D27F2" w14:paraId="77E34D90" w14:textId="77777777" w:rsidTr="007D1973">
        <w:tc>
          <w:tcPr>
            <w:tcW w:w="916" w:type="pct"/>
          </w:tcPr>
          <w:p w14:paraId="1A238C58" w14:textId="77777777" w:rsidR="00493003" w:rsidRPr="007D27F2" w:rsidRDefault="00493003" w:rsidP="007D1973">
            <w:pPr>
              <w:rPr>
                <w:b/>
                <w:sz w:val="18"/>
                <w:szCs w:val="18"/>
              </w:rPr>
            </w:pPr>
            <w:r w:rsidRPr="007D27F2">
              <w:rPr>
                <w:b/>
                <w:sz w:val="18"/>
                <w:szCs w:val="18"/>
              </w:rPr>
              <w:t>Malnutrition and</w:t>
            </w:r>
          </w:p>
          <w:p w14:paraId="60CBD8D8" w14:textId="77777777" w:rsidR="00493003" w:rsidRPr="007D27F2" w:rsidRDefault="00493003" w:rsidP="007D1973">
            <w:pPr>
              <w:rPr>
                <w:b/>
                <w:sz w:val="18"/>
                <w:szCs w:val="18"/>
              </w:rPr>
            </w:pPr>
            <w:r w:rsidRPr="007D27F2">
              <w:rPr>
                <w:b/>
                <w:sz w:val="18"/>
                <w:szCs w:val="18"/>
              </w:rPr>
              <w:t>Risk of Malnutrition</w:t>
            </w:r>
          </w:p>
          <w:p w14:paraId="074ABE40" w14:textId="77777777" w:rsidR="00493003" w:rsidRPr="007D27F2" w:rsidRDefault="00493003" w:rsidP="007D1973">
            <w:pPr>
              <w:rPr>
                <w:b/>
                <w:sz w:val="18"/>
                <w:szCs w:val="18"/>
              </w:rPr>
            </w:pPr>
          </w:p>
        </w:tc>
        <w:tc>
          <w:tcPr>
            <w:tcW w:w="668" w:type="pct"/>
          </w:tcPr>
          <w:p w14:paraId="59714051" w14:textId="77777777" w:rsidR="00493003" w:rsidRPr="007D27F2" w:rsidRDefault="00493003" w:rsidP="007D1973">
            <w:pPr>
              <w:jc w:val="center"/>
              <w:rPr>
                <w:sz w:val="18"/>
                <w:szCs w:val="18"/>
              </w:rPr>
            </w:pPr>
            <w:r w:rsidRPr="007D27F2">
              <w:rPr>
                <w:sz w:val="18"/>
                <w:szCs w:val="18"/>
              </w:rPr>
              <w:t>1.6  (0.9-2.7)</w:t>
            </w:r>
          </w:p>
        </w:tc>
        <w:tc>
          <w:tcPr>
            <w:tcW w:w="389" w:type="pct"/>
          </w:tcPr>
          <w:p w14:paraId="68BD3D90" w14:textId="77777777" w:rsidR="00493003" w:rsidRPr="007D27F2" w:rsidRDefault="00493003" w:rsidP="007D1973">
            <w:pPr>
              <w:jc w:val="center"/>
              <w:rPr>
                <w:sz w:val="18"/>
                <w:szCs w:val="18"/>
              </w:rPr>
            </w:pPr>
            <w:r w:rsidRPr="007D27F2">
              <w:rPr>
                <w:sz w:val="18"/>
                <w:szCs w:val="18"/>
              </w:rPr>
              <w:t>0.070</w:t>
            </w:r>
          </w:p>
        </w:tc>
        <w:tc>
          <w:tcPr>
            <w:tcW w:w="558" w:type="pct"/>
          </w:tcPr>
          <w:p w14:paraId="3EEFAADC" w14:textId="77777777" w:rsidR="00493003" w:rsidRPr="007D27F2" w:rsidRDefault="00493003" w:rsidP="007D1973">
            <w:pPr>
              <w:jc w:val="center"/>
              <w:rPr>
                <w:sz w:val="18"/>
                <w:szCs w:val="18"/>
              </w:rPr>
            </w:pPr>
            <w:r w:rsidRPr="007D27F2">
              <w:rPr>
                <w:sz w:val="18"/>
                <w:szCs w:val="18"/>
              </w:rPr>
              <w:t>1.8 (0.8-4.1)</w:t>
            </w:r>
          </w:p>
        </w:tc>
        <w:tc>
          <w:tcPr>
            <w:tcW w:w="361" w:type="pct"/>
          </w:tcPr>
          <w:p w14:paraId="0B7A82D5" w14:textId="77777777" w:rsidR="00493003" w:rsidRPr="007D27F2" w:rsidRDefault="00493003" w:rsidP="007D1973">
            <w:pPr>
              <w:jc w:val="center"/>
              <w:rPr>
                <w:sz w:val="18"/>
                <w:szCs w:val="18"/>
              </w:rPr>
            </w:pPr>
            <w:r w:rsidRPr="007D27F2">
              <w:rPr>
                <w:sz w:val="18"/>
                <w:szCs w:val="18"/>
              </w:rPr>
              <w:t>0.124</w:t>
            </w:r>
          </w:p>
        </w:tc>
        <w:tc>
          <w:tcPr>
            <w:tcW w:w="633" w:type="pct"/>
          </w:tcPr>
          <w:p w14:paraId="75F9CEBD" w14:textId="77777777" w:rsidR="00493003" w:rsidRPr="007D27F2" w:rsidRDefault="00493003" w:rsidP="007D1973">
            <w:pPr>
              <w:jc w:val="center"/>
              <w:rPr>
                <w:sz w:val="18"/>
                <w:szCs w:val="18"/>
              </w:rPr>
            </w:pPr>
            <w:r w:rsidRPr="007D27F2">
              <w:rPr>
                <w:sz w:val="18"/>
                <w:szCs w:val="18"/>
              </w:rPr>
              <w:t>1.6 (1.0-2.5)</w:t>
            </w:r>
          </w:p>
        </w:tc>
        <w:tc>
          <w:tcPr>
            <w:tcW w:w="424" w:type="pct"/>
          </w:tcPr>
          <w:p w14:paraId="0B7D0CB1" w14:textId="77777777" w:rsidR="00493003" w:rsidRPr="007D27F2" w:rsidRDefault="00493003" w:rsidP="007D1973">
            <w:pPr>
              <w:jc w:val="center"/>
              <w:rPr>
                <w:sz w:val="18"/>
                <w:szCs w:val="18"/>
              </w:rPr>
            </w:pPr>
            <w:r w:rsidRPr="007D27F2">
              <w:rPr>
                <w:sz w:val="18"/>
                <w:szCs w:val="18"/>
              </w:rPr>
              <w:t>0.046</w:t>
            </w:r>
          </w:p>
        </w:tc>
        <w:tc>
          <w:tcPr>
            <w:tcW w:w="634" w:type="pct"/>
          </w:tcPr>
          <w:p w14:paraId="575CA8A8" w14:textId="77777777" w:rsidR="00493003" w:rsidRPr="007D27F2" w:rsidRDefault="00493003" w:rsidP="007D1973">
            <w:pPr>
              <w:jc w:val="center"/>
              <w:rPr>
                <w:sz w:val="18"/>
                <w:szCs w:val="18"/>
              </w:rPr>
            </w:pPr>
            <w:r w:rsidRPr="007D27F2">
              <w:rPr>
                <w:sz w:val="18"/>
                <w:szCs w:val="18"/>
              </w:rPr>
              <w:t>1.6 (1.0-2.7)</w:t>
            </w:r>
          </w:p>
        </w:tc>
        <w:tc>
          <w:tcPr>
            <w:tcW w:w="417" w:type="pct"/>
          </w:tcPr>
          <w:p w14:paraId="18BF2461" w14:textId="77777777" w:rsidR="00493003" w:rsidRPr="007D27F2" w:rsidRDefault="00493003" w:rsidP="007D1973">
            <w:pPr>
              <w:jc w:val="center"/>
              <w:rPr>
                <w:sz w:val="18"/>
                <w:szCs w:val="18"/>
              </w:rPr>
            </w:pPr>
            <w:r w:rsidRPr="007D27F2">
              <w:rPr>
                <w:sz w:val="18"/>
                <w:szCs w:val="18"/>
              </w:rPr>
              <w:t>0.042</w:t>
            </w:r>
          </w:p>
        </w:tc>
      </w:tr>
      <w:tr w:rsidR="00493003" w:rsidRPr="007D27F2" w14:paraId="22DB7BE6" w14:textId="77777777" w:rsidTr="007D1973">
        <w:tc>
          <w:tcPr>
            <w:tcW w:w="916" w:type="pct"/>
          </w:tcPr>
          <w:p w14:paraId="66239395" w14:textId="77777777" w:rsidR="00493003" w:rsidRPr="007D27F2" w:rsidRDefault="00493003" w:rsidP="007D1973">
            <w:pPr>
              <w:rPr>
                <w:b/>
                <w:sz w:val="18"/>
                <w:szCs w:val="18"/>
              </w:rPr>
            </w:pPr>
            <w:r w:rsidRPr="007D27F2">
              <w:rPr>
                <w:b/>
                <w:sz w:val="18"/>
                <w:szCs w:val="18"/>
              </w:rPr>
              <w:t>MNA scores</w:t>
            </w:r>
          </w:p>
        </w:tc>
        <w:tc>
          <w:tcPr>
            <w:tcW w:w="668" w:type="pct"/>
          </w:tcPr>
          <w:p w14:paraId="7DE1A825" w14:textId="77777777" w:rsidR="00493003" w:rsidRPr="007D27F2" w:rsidRDefault="00493003" w:rsidP="007D1973">
            <w:pPr>
              <w:rPr>
                <w:sz w:val="18"/>
                <w:szCs w:val="18"/>
              </w:rPr>
            </w:pPr>
            <w:r w:rsidRPr="007D27F2">
              <w:rPr>
                <w:sz w:val="18"/>
                <w:szCs w:val="18"/>
              </w:rPr>
              <w:t>0.84 (0.7-0.9)</w:t>
            </w:r>
          </w:p>
        </w:tc>
        <w:tc>
          <w:tcPr>
            <w:tcW w:w="389" w:type="pct"/>
          </w:tcPr>
          <w:p w14:paraId="54FC9EA8" w14:textId="77777777" w:rsidR="00493003" w:rsidRPr="007D27F2" w:rsidRDefault="00493003" w:rsidP="007D1973">
            <w:pPr>
              <w:jc w:val="center"/>
              <w:rPr>
                <w:sz w:val="18"/>
                <w:szCs w:val="18"/>
              </w:rPr>
            </w:pPr>
            <w:r w:rsidRPr="007D27F2">
              <w:rPr>
                <w:sz w:val="18"/>
                <w:szCs w:val="18"/>
              </w:rPr>
              <w:t>&lt;0.001</w:t>
            </w:r>
          </w:p>
        </w:tc>
        <w:tc>
          <w:tcPr>
            <w:tcW w:w="558" w:type="pct"/>
          </w:tcPr>
          <w:p w14:paraId="7A5F7FC0" w14:textId="77777777" w:rsidR="00493003" w:rsidRPr="007D27F2" w:rsidRDefault="00493003" w:rsidP="007D1973">
            <w:pPr>
              <w:jc w:val="center"/>
              <w:rPr>
                <w:sz w:val="18"/>
                <w:szCs w:val="18"/>
              </w:rPr>
            </w:pPr>
            <w:r w:rsidRPr="007D27F2">
              <w:rPr>
                <w:sz w:val="18"/>
                <w:szCs w:val="18"/>
              </w:rPr>
              <w:t>0.9 (0.8-1.0)</w:t>
            </w:r>
          </w:p>
        </w:tc>
        <w:tc>
          <w:tcPr>
            <w:tcW w:w="361" w:type="pct"/>
          </w:tcPr>
          <w:p w14:paraId="3CB4D818" w14:textId="77777777" w:rsidR="00493003" w:rsidRPr="007D27F2" w:rsidRDefault="00493003" w:rsidP="007D1973">
            <w:pPr>
              <w:jc w:val="center"/>
              <w:rPr>
                <w:sz w:val="18"/>
                <w:szCs w:val="18"/>
              </w:rPr>
            </w:pPr>
            <w:r w:rsidRPr="007D27F2">
              <w:rPr>
                <w:sz w:val="18"/>
                <w:szCs w:val="18"/>
              </w:rPr>
              <w:t>0.051</w:t>
            </w:r>
          </w:p>
        </w:tc>
        <w:tc>
          <w:tcPr>
            <w:tcW w:w="633" w:type="pct"/>
          </w:tcPr>
          <w:p w14:paraId="00D2E791" w14:textId="77777777" w:rsidR="00493003" w:rsidRPr="007D27F2" w:rsidRDefault="00493003" w:rsidP="007D1973">
            <w:pPr>
              <w:rPr>
                <w:sz w:val="18"/>
                <w:szCs w:val="18"/>
              </w:rPr>
            </w:pPr>
            <w:r w:rsidRPr="007D27F2">
              <w:rPr>
                <w:sz w:val="18"/>
                <w:szCs w:val="18"/>
              </w:rPr>
              <w:t>0.83 (0.7-0.9)</w:t>
            </w:r>
          </w:p>
        </w:tc>
        <w:tc>
          <w:tcPr>
            <w:tcW w:w="424" w:type="pct"/>
          </w:tcPr>
          <w:p w14:paraId="360A46CC" w14:textId="77777777" w:rsidR="00493003" w:rsidRPr="007D27F2" w:rsidRDefault="00493003" w:rsidP="007D1973">
            <w:pPr>
              <w:jc w:val="center"/>
              <w:rPr>
                <w:sz w:val="18"/>
                <w:szCs w:val="18"/>
              </w:rPr>
            </w:pPr>
            <w:r w:rsidRPr="007D27F2">
              <w:rPr>
                <w:sz w:val="18"/>
                <w:szCs w:val="18"/>
              </w:rPr>
              <w:t>0.000</w:t>
            </w:r>
          </w:p>
        </w:tc>
        <w:tc>
          <w:tcPr>
            <w:tcW w:w="634" w:type="pct"/>
          </w:tcPr>
          <w:p w14:paraId="434ABE87" w14:textId="77777777" w:rsidR="00493003" w:rsidRPr="007D27F2" w:rsidRDefault="00493003" w:rsidP="007D1973">
            <w:pPr>
              <w:jc w:val="center"/>
              <w:rPr>
                <w:sz w:val="18"/>
                <w:szCs w:val="18"/>
              </w:rPr>
            </w:pPr>
            <w:r w:rsidRPr="007D27F2">
              <w:rPr>
                <w:sz w:val="18"/>
                <w:szCs w:val="18"/>
              </w:rPr>
              <w:t>0.82 (0.7-0.9)</w:t>
            </w:r>
          </w:p>
        </w:tc>
        <w:tc>
          <w:tcPr>
            <w:tcW w:w="417" w:type="pct"/>
          </w:tcPr>
          <w:p w14:paraId="257C0BC0" w14:textId="77777777" w:rsidR="00493003" w:rsidRPr="007D27F2" w:rsidRDefault="00493003" w:rsidP="007D1973">
            <w:pPr>
              <w:jc w:val="center"/>
              <w:rPr>
                <w:sz w:val="18"/>
                <w:szCs w:val="18"/>
              </w:rPr>
            </w:pPr>
            <w:r w:rsidRPr="007D27F2">
              <w:rPr>
                <w:sz w:val="18"/>
                <w:szCs w:val="18"/>
              </w:rPr>
              <w:t>0.001</w:t>
            </w:r>
          </w:p>
        </w:tc>
      </w:tr>
      <w:tr w:rsidR="00493003" w:rsidRPr="007D27F2" w14:paraId="6BCD3EAB" w14:textId="77777777" w:rsidTr="007D1973">
        <w:tc>
          <w:tcPr>
            <w:tcW w:w="916" w:type="pct"/>
          </w:tcPr>
          <w:p w14:paraId="592CF467" w14:textId="77777777" w:rsidR="00493003" w:rsidRPr="007D27F2" w:rsidRDefault="00493003" w:rsidP="007D1973">
            <w:pPr>
              <w:rPr>
                <w:b/>
                <w:sz w:val="18"/>
                <w:szCs w:val="18"/>
              </w:rPr>
            </w:pPr>
          </w:p>
        </w:tc>
        <w:tc>
          <w:tcPr>
            <w:tcW w:w="4084" w:type="pct"/>
            <w:gridSpan w:val="8"/>
          </w:tcPr>
          <w:p w14:paraId="2CA9090F" w14:textId="77777777" w:rsidR="00493003" w:rsidRPr="007D27F2" w:rsidRDefault="00493003" w:rsidP="007D1973">
            <w:pPr>
              <w:jc w:val="center"/>
              <w:rPr>
                <w:b/>
                <w:sz w:val="18"/>
                <w:szCs w:val="18"/>
              </w:rPr>
            </w:pPr>
            <w:r w:rsidRPr="007D27F2">
              <w:rPr>
                <w:b/>
                <w:sz w:val="18"/>
                <w:szCs w:val="18"/>
              </w:rPr>
              <w:t>Linear Regression</w:t>
            </w:r>
          </w:p>
        </w:tc>
      </w:tr>
      <w:tr w:rsidR="00493003" w:rsidRPr="007D27F2" w14:paraId="47AA7C99" w14:textId="77777777" w:rsidTr="007D1973">
        <w:tc>
          <w:tcPr>
            <w:tcW w:w="916" w:type="pct"/>
          </w:tcPr>
          <w:p w14:paraId="3BEA0521" w14:textId="77777777" w:rsidR="00493003" w:rsidRPr="007D27F2" w:rsidRDefault="00493003" w:rsidP="007D1973">
            <w:pPr>
              <w:rPr>
                <w:b/>
                <w:sz w:val="18"/>
                <w:szCs w:val="18"/>
              </w:rPr>
            </w:pPr>
          </w:p>
        </w:tc>
        <w:tc>
          <w:tcPr>
            <w:tcW w:w="668" w:type="pct"/>
          </w:tcPr>
          <w:p w14:paraId="1BD3A91E" w14:textId="77777777" w:rsidR="00493003" w:rsidRPr="007D27F2" w:rsidRDefault="00493003" w:rsidP="007D1973">
            <w:pPr>
              <w:jc w:val="center"/>
              <w:rPr>
                <w:b/>
                <w:sz w:val="18"/>
                <w:szCs w:val="18"/>
              </w:rPr>
            </w:pPr>
            <w:r w:rsidRPr="007D27F2">
              <w:rPr>
                <w:b/>
                <w:sz w:val="18"/>
                <w:szCs w:val="18"/>
              </w:rPr>
              <w:t>Beta</w:t>
            </w:r>
          </w:p>
        </w:tc>
        <w:tc>
          <w:tcPr>
            <w:tcW w:w="389" w:type="pct"/>
          </w:tcPr>
          <w:p w14:paraId="220BAD7B" w14:textId="77777777" w:rsidR="00493003" w:rsidRPr="007D27F2" w:rsidRDefault="00493003" w:rsidP="007D1973">
            <w:pPr>
              <w:jc w:val="center"/>
              <w:rPr>
                <w:b/>
                <w:sz w:val="18"/>
                <w:szCs w:val="18"/>
              </w:rPr>
            </w:pPr>
            <w:r w:rsidRPr="007D27F2">
              <w:rPr>
                <w:b/>
                <w:sz w:val="18"/>
                <w:szCs w:val="18"/>
              </w:rPr>
              <w:t>p</w:t>
            </w:r>
          </w:p>
        </w:tc>
        <w:tc>
          <w:tcPr>
            <w:tcW w:w="558" w:type="pct"/>
          </w:tcPr>
          <w:p w14:paraId="350B0966" w14:textId="77777777" w:rsidR="00493003" w:rsidRPr="007D27F2" w:rsidRDefault="00493003" w:rsidP="007D1973">
            <w:pPr>
              <w:jc w:val="center"/>
              <w:rPr>
                <w:b/>
                <w:sz w:val="18"/>
                <w:szCs w:val="18"/>
              </w:rPr>
            </w:pPr>
            <w:r w:rsidRPr="007D27F2">
              <w:rPr>
                <w:b/>
                <w:sz w:val="18"/>
                <w:szCs w:val="18"/>
              </w:rPr>
              <w:t>Beta</w:t>
            </w:r>
          </w:p>
        </w:tc>
        <w:tc>
          <w:tcPr>
            <w:tcW w:w="361" w:type="pct"/>
          </w:tcPr>
          <w:p w14:paraId="03744D00" w14:textId="77777777" w:rsidR="00493003" w:rsidRPr="007D27F2" w:rsidRDefault="00493003" w:rsidP="007D1973">
            <w:pPr>
              <w:jc w:val="center"/>
              <w:rPr>
                <w:b/>
                <w:sz w:val="18"/>
                <w:szCs w:val="18"/>
              </w:rPr>
            </w:pPr>
            <w:r w:rsidRPr="007D27F2">
              <w:rPr>
                <w:b/>
                <w:sz w:val="18"/>
                <w:szCs w:val="18"/>
              </w:rPr>
              <w:t>p</w:t>
            </w:r>
          </w:p>
        </w:tc>
        <w:tc>
          <w:tcPr>
            <w:tcW w:w="633" w:type="pct"/>
          </w:tcPr>
          <w:p w14:paraId="1FBA9C4B" w14:textId="77777777" w:rsidR="00493003" w:rsidRPr="007D27F2" w:rsidRDefault="00493003" w:rsidP="007D1973">
            <w:pPr>
              <w:jc w:val="center"/>
              <w:rPr>
                <w:b/>
                <w:sz w:val="18"/>
                <w:szCs w:val="18"/>
              </w:rPr>
            </w:pPr>
            <w:r w:rsidRPr="007D27F2">
              <w:rPr>
                <w:b/>
                <w:sz w:val="18"/>
                <w:szCs w:val="18"/>
              </w:rPr>
              <w:t>Beta</w:t>
            </w:r>
          </w:p>
        </w:tc>
        <w:tc>
          <w:tcPr>
            <w:tcW w:w="424" w:type="pct"/>
          </w:tcPr>
          <w:p w14:paraId="550AB1ED" w14:textId="77777777" w:rsidR="00493003" w:rsidRPr="007D27F2" w:rsidRDefault="00493003" w:rsidP="007D1973">
            <w:pPr>
              <w:jc w:val="center"/>
              <w:rPr>
                <w:b/>
                <w:sz w:val="18"/>
                <w:szCs w:val="18"/>
              </w:rPr>
            </w:pPr>
            <w:r w:rsidRPr="007D27F2">
              <w:rPr>
                <w:b/>
                <w:sz w:val="18"/>
                <w:szCs w:val="18"/>
              </w:rPr>
              <w:t>p</w:t>
            </w:r>
          </w:p>
        </w:tc>
        <w:tc>
          <w:tcPr>
            <w:tcW w:w="634" w:type="pct"/>
          </w:tcPr>
          <w:p w14:paraId="1658B248" w14:textId="77777777" w:rsidR="00493003" w:rsidRPr="007D27F2" w:rsidRDefault="00493003" w:rsidP="007D1973">
            <w:pPr>
              <w:jc w:val="center"/>
              <w:rPr>
                <w:b/>
                <w:sz w:val="18"/>
                <w:szCs w:val="18"/>
              </w:rPr>
            </w:pPr>
            <w:r w:rsidRPr="007D27F2">
              <w:rPr>
                <w:b/>
                <w:sz w:val="18"/>
                <w:szCs w:val="18"/>
              </w:rPr>
              <w:t>Beta</w:t>
            </w:r>
          </w:p>
        </w:tc>
        <w:tc>
          <w:tcPr>
            <w:tcW w:w="417" w:type="pct"/>
          </w:tcPr>
          <w:p w14:paraId="63BC3E2F" w14:textId="77777777" w:rsidR="00493003" w:rsidRPr="007D27F2" w:rsidRDefault="00493003" w:rsidP="007D1973">
            <w:pPr>
              <w:jc w:val="center"/>
              <w:rPr>
                <w:b/>
                <w:sz w:val="18"/>
                <w:szCs w:val="18"/>
              </w:rPr>
            </w:pPr>
            <w:r w:rsidRPr="007D27F2">
              <w:rPr>
                <w:b/>
                <w:sz w:val="18"/>
                <w:szCs w:val="18"/>
              </w:rPr>
              <w:t>p</w:t>
            </w:r>
          </w:p>
        </w:tc>
      </w:tr>
      <w:tr w:rsidR="00493003" w:rsidRPr="007D27F2" w14:paraId="28E5304A" w14:textId="77777777" w:rsidTr="007D1973">
        <w:tc>
          <w:tcPr>
            <w:tcW w:w="916" w:type="pct"/>
          </w:tcPr>
          <w:p w14:paraId="727AC628" w14:textId="77777777" w:rsidR="00493003" w:rsidRPr="007D27F2" w:rsidRDefault="00493003" w:rsidP="007D1973">
            <w:pPr>
              <w:rPr>
                <w:b/>
                <w:sz w:val="18"/>
                <w:szCs w:val="18"/>
              </w:rPr>
            </w:pPr>
            <w:r w:rsidRPr="007D27F2">
              <w:rPr>
                <w:b/>
                <w:sz w:val="18"/>
                <w:szCs w:val="18"/>
              </w:rPr>
              <w:t>Malnutrition</w:t>
            </w:r>
          </w:p>
        </w:tc>
        <w:tc>
          <w:tcPr>
            <w:tcW w:w="668" w:type="pct"/>
          </w:tcPr>
          <w:p w14:paraId="6B10DECB" w14:textId="77777777" w:rsidR="00493003" w:rsidRPr="007D27F2" w:rsidRDefault="00493003" w:rsidP="007D1973">
            <w:pPr>
              <w:jc w:val="center"/>
              <w:rPr>
                <w:sz w:val="18"/>
                <w:szCs w:val="18"/>
              </w:rPr>
            </w:pPr>
            <w:r w:rsidRPr="007D27F2">
              <w:rPr>
                <w:sz w:val="18"/>
                <w:szCs w:val="18"/>
              </w:rPr>
              <w:t>0.348</w:t>
            </w:r>
          </w:p>
        </w:tc>
        <w:tc>
          <w:tcPr>
            <w:tcW w:w="389" w:type="pct"/>
          </w:tcPr>
          <w:p w14:paraId="0140121A" w14:textId="77777777" w:rsidR="00493003" w:rsidRPr="007D27F2" w:rsidRDefault="00493003" w:rsidP="007D1973">
            <w:pPr>
              <w:rPr>
                <w:sz w:val="18"/>
                <w:szCs w:val="18"/>
              </w:rPr>
            </w:pPr>
            <w:r w:rsidRPr="007D27F2">
              <w:rPr>
                <w:sz w:val="18"/>
                <w:szCs w:val="18"/>
              </w:rPr>
              <w:t>&lt;0.001</w:t>
            </w:r>
          </w:p>
        </w:tc>
        <w:tc>
          <w:tcPr>
            <w:tcW w:w="558" w:type="pct"/>
          </w:tcPr>
          <w:p w14:paraId="120328C5" w14:textId="77777777" w:rsidR="00493003" w:rsidRPr="007D27F2" w:rsidRDefault="00493003" w:rsidP="007D1973">
            <w:pPr>
              <w:jc w:val="center"/>
              <w:rPr>
                <w:sz w:val="18"/>
                <w:szCs w:val="18"/>
              </w:rPr>
            </w:pPr>
            <w:r w:rsidRPr="007D27F2">
              <w:rPr>
                <w:sz w:val="18"/>
                <w:szCs w:val="18"/>
              </w:rPr>
              <w:t>0.135</w:t>
            </w:r>
          </w:p>
        </w:tc>
        <w:tc>
          <w:tcPr>
            <w:tcW w:w="361" w:type="pct"/>
          </w:tcPr>
          <w:p w14:paraId="1E3FBF53" w14:textId="77777777" w:rsidR="00493003" w:rsidRPr="007D27F2" w:rsidRDefault="00493003" w:rsidP="007D1973">
            <w:pPr>
              <w:jc w:val="center"/>
              <w:rPr>
                <w:sz w:val="18"/>
                <w:szCs w:val="18"/>
              </w:rPr>
            </w:pPr>
            <w:r w:rsidRPr="007D27F2">
              <w:rPr>
                <w:sz w:val="18"/>
                <w:szCs w:val="18"/>
              </w:rPr>
              <w:t>0.39</w:t>
            </w:r>
          </w:p>
        </w:tc>
        <w:tc>
          <w:tcPr>
            <w:tcW w:w="633" w:type="pct"/>
          </w:tcPr>
          <w:p w14:paraId="0E9B8326" w14:textId="77777777" w:rsidR="00493003" w:rsidRPr="007D27F2" w:rsidRDefault="00493003" w:rsidP="007D1973">
            <w:pPr>
              <w:jc w:val="center"/>
              <w:rPr>
                <w:sz w:val="18"/>
                <w:szCs w:val="18"/>
              </w:rPr>
            </w:pPr>
            <w:r w:rsidRPr="007D27F2">
              <w:rPr>
                <w:sz w:val="18"/>
                <w:szCs w:val="18"/>
              </w:rPr>
              <w:t>0.508</w:t>
            </w:r>
          </w:p>
        </w:tc>
        <w:tc>
          <w:tcPr>
            <w:tcW w:w="424" w:type="pct"/>
          </w:tcPr>
          <w:p w14:paraId="7F02F62C" w14:textId="77777777" w:rsidR="00493003" w:rsidRPr="007D27F2" w:rsidRDefault="00493003" w:rsidP="007D1973">
            <w:pPr>
              <w:rPr>
                <w:sz w:val="18"/>
                <w:szCs w:val="18"/>
              </w:rPr>
            </w:pPr>
            <w:r w:rsidRPr="007D27F2">
              <w:rPr>
                <w:sz w:val="18"/>
                <w:szCs w:val="18"/>
              </w:rPr>
              <w:t>&lt;0.001</w:t>
            </w:r>
          </w:p>
        </w:tc>
        <w:tc>
          <w:tcPr>
            <w:tcW w:w="634" w:type="pct"/>
          </w:tcPr>
          <w:p w14:paraId="2FAAE25F" w14:textId="77777777" w:rsidR="00493003" w:rsidRPr="007D27F2" w:rsidRDefault="00493003" w:rsidP="007D1973">
            <w:pPr>
              <w:jc w:val="center"/>
              <w:rPr>
                <w:sz w:val="18"/>
                <w:szCs w:val="18"/>
              </w:rPr>
            </w:pPr>
            <w:r w:rsidRPr="007D27F2">
              <w:rPr>
                <w:sz w:val="18"/>
                <w:szCs w:val="18"/>
              </w:rPr>
              <w:t>0.440</w:t>
            </w:r>
          </w:p>
        </w:tc>
        <w:tc>
          <w:tcPr>
            <w:tcW w:w="417" w:type="pct"/>
          </w:tcPr>
          <w:p w14:paraId="49BB136E" w14:textId="77777777" w:rsidR="00493003" w:rsidRPr="007D27F2" w:rsidRDefault="00493003" w:rsidP="007D1973">
            <w:pPr>
              <w:jc w:val="center"/>
              <w:rPr>
                <w:sz w:val="18"/>
                <w:szCs w:val="18"/>
              </w:rPr>
            </w:pPr>
            <w:r w:rsidRPr="007D27F2">
              <w:rPr>
                <w:sz w:val="18"/>
                <w:szCs w:val="18"/>
              </w:rPr>
              <w:t>0.02</w:t>
            </w:r>
          </w:p>
        </w:tc>
      </w:tr>
      <w:tr w:rsidR="00493003" w:rsidRPr="007D27F2" w14:paraId="63B81BBD" w14:textId="77777777" w:rsidTr="007D1973">
        <w:tc>
          <w:tcPr>
            <w:tcW w:w="916" w:type="pct"/>
          </w:tcPr>
          <w:p w14:paraId="7B7A4BBD" w14:textId="77777777" w:rsidR="00493003" w:rsidRPr="007D27F2" w:rsidRDefault="00493003" w:rsidP="007D1973">
            <w:pPr>
              <w:rPr>
                <w:b/>
                <w:sz w:val="18"/>
                <w:szCs w:val="18"/>
              </w:rPr>
            </w:pPr>
            <w:r w:rsidRPr="007D27F2">
              <w:rPr>
                <w:b/>
                <w:sz w:val="18"/>
                <w:szCs w:val="18"/>
              </w:rPr>
              <w:t>Risk of Malnutrition</w:t>
            </w:r>
          </w:p>
        </w:tc>
        <w:tc>
          <w:tcPr>
            <w:tcW w:w="668" w:type="pct"/>
          </w:tcPr>
          <w:p w14:paraId="1DB88F18" w14:textId="77777777" w:rsidR="00493003" w:rsidRPr="007D27F2" w:rsidRDefault="00493003" w:rsidP="007D1973">
            <w:pPr>
              <w:jc w:val="center"/>
              <w:rPr>
                <w:sz w:val="18"/>
                <w:szCs w:val="18"/>
              </w:rPr>
            </w:pPr>
            <w:r w:rsidRPr="007D27F2">
              <w:rPr>
                <w:sz w:val="18"/>
                <w:szCs w:val="18"/>
              </w:rPr>
              <w:t>0.213</w:t>
            </w:r>
          </w:p>
        </w:tc>
        <w:tc>
          <w:tcPr>
            <w:tcW w:w="389" w:type="pct"/>
          </w:tcPr>
          <w:p w14:paraId="4C5641E4" w14:textId="77777777" w:rsidR="00493003" w:rsidRPr="007D27F2" w:rsidRDefault="00493003" w:rsidP="007D1973">
            <w:pPr>
              <w:rPr>
                <w:sz w:val="18"/>
                <w:szCs w:val="18"/>
              </w:rPr>
            </w:pPr>
            <w:r w:rsidRPr="007D27F2">
              <w:rPr>
                <w:sz w:val="18"/>
                <w:szCs w:val="18"/>
              </w:rPr>
              <w:t>&lt;0.001</w:t>
            </w:r>
          </w:p>
        </w:tc>
        <w:tc>
          <w:tcPr>
            <w:tcW w:w="558" w:type="pct"/>
          </w:tcPr>
          <w:p w14:paraId="242AAE2F" w14:textId="77777777" w:rsidR="00493003" w:rsidRPr="007D27F2" w:rsidRDefault="00493003" w:rsidP="007D1973">
            <w:pPr>
              <w:jc w:val="center"/>
              <w:rPr>
                <w:sz w:val="18"/>
                <w:szCs w:val="18"/>
              </w:rPr>
            </w:pPr>
            <w:r w:rsidRPr="007D27F2">
              <w:rPr>
                <w:sz w:val="18"/>
                <w:szCs w:val="18"/>
              </w:rPr>
              <w:t>0.097</w:t>
            </w:r>
          </w:p>
        </w:tc>
        <w:tc>
          <w:tcPr>
            <w:tcW w:w="361" w:type="pct"/>
          </w:tcPr>
          <w:p w14:paraId="1468F933" w14:textId="77777777" w:rsidR="00493003" w:rsidRPr="007D27F2" w:rsidRDefault="00493003" w:rsidP="007D1973">
            <w:pPr>
              <w:jc w:val="center"/>
              <w:rPr>
                <w:sz w:val="18"/>
                <w:szCs w:val="18"/>
              </w:rPr>
            </w:pPr>
            <w:r w:rsidRPr="007D27F2">
              <w:rPr>
                <w:sz w:val="18"/>
                <w:szCs w:val="18"/>
              </w:rPr>
              <w:t>0.12</w:t>
            </w:r>
          </w:p>
        </w:tc>
        <w:tc>
          <w:tcPr>
            <w:tcW w:w="633" w:type="pct"/>
          </w:tcPr>
          <w:p w14:paraId="1A2CCEE1" w14:textId="77777777" w:rsidR="00493003" w:rsidRPr="007D27F2" w:rsidRDefault="00493003" w:rsidP="007D1973">
            <w:pPr>
              <w:jc w:val="center"/>
              <w:rPr>
                <w:sz w:val="18"/>
                <w:szCs w:val="18"/>
              </w:rPr>
            </w:pPr>
            <w:r w:rsidRPr="007D27F2">
              <w:rPr>
                <w:sz w:val="18"/>
                <w:szCs w:val="18"/>
              </w:rPr>
              <w:t>0.261</w:t>
            </w:r>
          </w:p>
        </w:tc>
        <w:tc>
          <w:tcPr>
            <w:tcW w:w="424" w:type="pct"/>
          </w:tcPr>
          <w:p w14:paraId="44094DCD" w14:textId="77777777" w:rsidR="00493003" w:rsidRPr="007D27F2" w:rsidRDefault="00493003" w:rsidP="007D1973">
            <w:pPr>
              <w:rPr>
                <w:sz w:val="18"/>
                <w:szCs w:val="18"/>
              </w:rPr>
            </w:pPr>
            <w:r w:rsidRPr="007D27F2">
              <w:rPr>
                <w:sz w:val="18"/>
                <w:szCs w:val="18"/>
              </w:rPr>
              <w:t>&lt;0.001</w:t>
            </w:r>
          </w:p>
        </w:tc>
        <w:tc>
          <w:tcPr>
            <w:tcW w:w="634" w:type="pct"/>
          </w:tcPr>
          <w:p w14:paraId="33FA96ED" w14:textId="77777777" w:rsidR="00493003" w:rsidRPr="007D27F2" w:rsidRDefault="00493003" w:rsidP="007D1973">
            <w:pPr>
              <w:jc w:val="center"/>
              <w:rPr>
                <w:sz w:val="18"/>
                <w:szCs w:val="18"/>
              </w:rPr>
            </w:pPr>
            <w:r w:rsidRPr="007D27F2">
              <w:rPr>
                <w:sz w:val="18"/>
                <w:szCs w:val="18"/>
              </w:rPr>
              <w:t>0.304</w:t>
            </w:r>
          </w:p>
        </w:tc>
        <w:tc>
          <w:tcPr>
            <w:tcW w:w="417" w:type="pct"/>
          </w:tcPr>
          <w:p w14:paraId="2F7CD9B1" w14:textId="77777777" w:rsidR="00493003" w:rsidRPr="007D27F2" w:rsidRDefault="00493003" w:rsidP="007D1973">
            <w:pPr>
              <w:jc w:val="center"/>
              <w:rPr>
                <w:sz w:val="18"/>
                <w:szCs w:val="18"/>
              </w:rPr>
            </w:pPr>
            <w:r w:rsidRPr="007D27F2">
              <w:rPr>
                <w:sz w:val="18"/>
                <w:szCs w:val="18"/>
              </w:rPr>
              <w:t>0.04</w:t>
            </w:r>
          </w:p>
        </w:tc>
      </w:tr>
      <w:tr w:rsidR="00493003" w:rsidRPr="00E26091" w14:paraId="791825AC" w14:textId="77777777" w:rsidTr="007D1973">
        <w:tc>
          <w:tcPr>
            <w:tcW w:w="916" w:type="pct"/>
          </w:tcPr>
          <w:p w14:paraId="290D0398" w14:textId="77777777" w:rsidR="00493003" w:rsidRPr="007D27F2" w:rsidRDefault="00493003" w:rsidP="007D1973">
            <w:pPr>
              <w:rPr>
                <w:b/>
                <w:sz w:val="18"/>
                <w:szCs w:val="18"/>
              </w:rPr>
            </w:pPr>
            <w:r w:rsidRPr="007D27F2">
              <w:rPr>
                <w:b/>
                <w:sz w:val="18"/>
                <w:szCs w:val="18"/>
              </w:rPr>
              <w:t>MNA scores</w:t>
            </w:r>
          </w:p>
        </w:tc>
        <w:tc>
          <w:tcPr>
            <w:tcW w:w="668" w:type="pct"/>
          </w:tcPr>
          <w:p w14:paraId="734FA134" w14:textId="77777777" w:rsidR="00493003" w:rsidRPr="007D27F2" w:rsidRDefault="00493003" w:rsidP="007D1973">
            <w:pPr>
              <w:jc w:val="center"/>
              <w:rPr>
                <w:sz w:val="18"/>
                <w:szCs w:val="18"/>
              </w:rPr>
            </w:pPr>
            <w:r w:rsidRPr="007D27F2">
              <w:rPr>
                <w:sz w:val="18"/>
                <w:szCs w:val="18"/>
              </w:rPr>
              <w:t>-0.285</w:t>
            </w:r>
          </w:p>
        </w:tc>
        <w:tc>
          <w:tcPr>
            <w:tcW w:w="389" w:type="pct"/>
          </w:tcPr>
          <w:p w14:paraId="50E83091" w14:textId="77777777" w:rsidR="00493003" w:rsidRPr="007D27F2" w:rsidRDefault="00493003" w:rsidP="007D1973">
            <w:pPr>
              <w:rPr>
                <w:sz w:val="18"/>
                <w:szCs w:val="18"/>
              </w:rPr>
            </w:pPr>
            <w:r w:rsidRPr="007D27F2">
              <w:rPr>
                <w:sz w:val="18"/>
                <w:szCs w:val="18"/>
              </w:rPr>
              <w:t>&lt;0.001</w:t>
            </w:r>
          </w:p>
        </w:tc>
        <w:tc>
          <w:tcPr>
            <w:tcW w:w="558" w:type="pct"/>
          </w:tcPr>
          <w:p w14:paraId="769BFB12" w14:textId="77777777" w:rsidR="00493003" w:rsidRPr="007D27F2" w:rsidRDefault="00493003" w:rsidP="007D1973">
            <w:pPr>
              <w:jc w:val="center"/>
              <w:rPr>
                <w:sz w:val="18"/>
                <w:szCs w:val="18"/>
              </w:rPr>
            </w:pPr>
            <w:r w:rsidRPr="007D27F2">
              <w:rPr>
                <w:sz w:val="18"/>
                <w:szCs w:val="18"/>
              </w:rPr>
              <w:t>-0.022</w:t>
            </w:r>
          </w:p>
        </w:tc>
        <w:tc>
          <w:tcPr>
            <w:tcW w:w="361" w:type="pct"/>
          </w:tcPr>
          <w:p w14:paraId="58FBDDEB" w14:textId="77777777" w:rsidR="00493003" w:rsidRPr="007D27F2" w:rsidRDefault="00493003" w:rsidP="007D1973">
            <w:pPr>
              <w:jc w:val="center"/>
              <w:rPr>
                <w:sz w:val="18"/>
                <w:szCs w:val="18"/>
              </w:rPr>
            </w:pPr>
            <w:r w:rsidRPr="007D27F2">
              <w:rPr>
                <w:sz w:val="18"/>
                <w:szCs w:val="18"/>
              </w:rPr>
              <w:t>0.09</w:t>
            </w:r>
          </w:p>
        </w:tc>
        <w:tc>
          <w:tcPr>
            <w:tcW w:w="633" w:type="pct"/>
          </w:tcPr>
          <w:p w14:paraId="517D6E4A" w14:textId="77777777" w:rsidR="00493003" w:rsidRPr="007D27F2" w:rsidRDefault="00493003" w:rsidP="007D1973">
            <w:pPr>
              <w:jc w:val="center"/>
              <w:rPr>
                <w:sz w:val="18"/>
                <w:szCs w:val="18"/>
              </w:rPr>
            </w:pPr>
            <w:r w:rsidRPr="007D27F2">
              <w:rPr>
                <w:sz w:val="18"/>
                <w:szCs w:val="18"/>
              </w:rPr>
              <w:t>-0.358</w:t>
            </w:r>
          </w:p>
        </w:tc>
        <w:tc>
          <w:tcPr>
            <w:tcW w:w="424" w:type="pct"/>
          </w:tcPr>
          <w:p w14:paraId="53FCF8A1" w14:textId="77777777" w:rsidR="00493003" w:rsidRPr="007D27F2" w:rsidRDefault="00493003" w:rsidP="007D1973">
            <w:pPr>
              <w:rPr>
                <w:sz w:val="18"/>
                <w:szCs w:val="18"/>
              </w:rPr>
            </w:pPr>
            <w:r w:rsidRPr="007D27F2">
              <w:rPr>
                <w:sz w:val="18"/>
                <w:szCs w:val="18"/>
              </w:rPr>
              <w:t>&lt;0.001</w:t>
            </w:r>
          </w:p>
        </w:tc>
        <w:tc>
          <w:tcPr>
            <w:tcW w:w="634" w:type="pct"/>
          </w:tcPr>
          <w:p w14:paraId="2ADB19F9" w14:textId="77777777" w:rsidR="00493003" w:rsidRPr="007D27F2" w:rsidRDefault="00493003" w:rsidP="007D1973">
            <w:pPr>
              <w:jc w:val="center"/>
              <w:rPr>
                <w:sz w:val="18"/>
                <w:szCs w:val="18"/>
              </w:rPr>
            </w:pPr>
            <w:r w:rsidRPr="007D27F2">
              <w:rPr>
                <w:sz w:val="18"/>
                <w:szCs w:val="18"/>
              </w:rPr>
              <w:t>-0.383</w:t>
            </w:r>
          </w:p>
        </w:tc>
        <w:tc>
          <w:tcPr>
            <w:tcW w:w="417" w:type="pct"/>
          </w:tcPr>
          <w:p w14:paraId="328024FF" w14:textId="77777777" w:rsidR="00493003" w:rsidRPr="007D27F2" w:rsidRDefault="00493003" w:rsidP="007D1973">
            <w:pPr>
              <w:jc w:val="center"/>
              <w:rPr>
                <w:sz w:val="18"/>
                <w:szCs w:val="18"/>
              </w:rPr>
            </w:pPr>
            <w:r w:rsidRPr="007D27F2">
              <w:rPr>
                <w:sz w:val="18"/>
                <w:szCs w:val="18"/>
              </w:rPr>
              <w:t>&lt;0.001</w:t>
            </w:r>
          </w:p>
        </w:tc>
      </w:tr>
      <w:bookmarkEnd w:id="5"/>
    </w:tbl>
    <w:p w14:paraId="2E6A2BED" w14:textId="77777777" w:rsidR="00493003" w:rsidRDefault="00493003" w:rsidP="00493003">
      <w:pPr>
        <w:rPr>
          <w:sz w:val="16"/>
          <w:szCs w:val="16"/>
        </w:rPr>
      </w:pPr>
    </w:p>
    <w:p w14:paraId="3A23E110" w14:textId="77777777" w:rsidR="00493003" w:rsidRPr="008711D6" w:rsidRDefault="00493003" w:rsidP="00493003">
      <w:pPr>
        <w:rPr>
          <w:b/>
        </w:rPr>
      </w:pPr>
    </w:p>
    <w:p w14:paraId="0D7E04F9" w14:textId="77777777" w:rsidR="00493003" w:rsidRDefault="00493003" w:rsidP="00493003">
      <w:pPr>
        <w:rPr>
          <w:b/>
        </w:rPr>
      </w:pPr>
      <w:r w:rsidRPr="000B37ED">
        <w:rPr>
          <w:b/>
        </w:rPr>
        <w:t xml:space="preserve"> </w:t>
      </w:r>
    </w:p>
    <w:p w14:paraId="369175FC" w14:textId="77777777" w:rsidR="00493003" w:rsidRDefault="00493003" w:rsidP="00493003">
      <w:pPr>
        <w:rPr>
          <w:b/>
        </w:rPr>
      </w:pPr>
    </w:p>
    <w:p w14:paraId="6A2B288E" w14:textId="07165375" w:rsidR="00493003" w:rsidRDefault="00493003" w:rsidP="005A226D">
      <w:pPr>
        <w:spacing w:line="360" w:lineRule="auto"/>
        <w:jc w:val="both"/>
        <w:rPr>
          <w:lang w:val="en-US"/>
        </w:rPr>
      </w:pPr>
    </w:p>
    <w:p w14:paraId="7E8C721D" w14:textId="2E952085" w:rsidR="00493003" w:rsidRDefault="00493003" w:rsidP="005A226D">
      <w:pPr>
        <w:spacing w:line="360" w:lineRule="auto"/>
        <w:jc w:val="both"/>
        <w:rPr>
          <w:lang w:val="en-US"/>
        </w:rPr>
      </w:pPr>
    </w:p>
    <w:p w14:paraId="2A0D51E7" w14:textId="18CF22D3" w:rsidR="00493003" w:rsidRDefault="00493003" w:rsidP="005A226D">
      <w:pPr>
        <w:spacing w:line="360" w:lineRule="auto"/>
        <w:jc w:val="both"/>
        <w:rPr>
          <w:lang w:val="en-US"/>
        </w:rPr>
      </w:pPr>
    </w:p>
    <w:p w14:paraId="5D77C647" w14:textId="4D48082F" w:rsidR="00493003" w:rsidRDefault="00493003" w:rsidP="005A226D">
      <w:pPr>
        <w:spacing w:line="360" w:lineRule="auto"/>
        <w:jc w:val="both"/>
        <w:rPr>
          <w:lang w:val="en-US"/>
        </w:rPr>
      </w:pPr>
    </w:p>
    <w:p w14:paraId="5F6ED9A6" w14:textId="5A5FEFBB" w:rsidR="00493003" w:rsidRDefault="00493003" w:rsidP="005A226D">
      <w:pPr>
        <w:spacing w:line="360" w:lineRule="auto"/>
        <w:jc w:val="both"/>
        <w:rPr>
          <w:lang w:val="en-US"/>
        </w:rPr>
      </w:pPr>
    </w:p>
    <w:p w14:paraId="2D7CC55B" w14:textId="78BBAF2E" w:rsidR="00493003" w:rsidRDefault="00493003" w:rsidP="005A226D">
      <w:pPr>
        <w:spacing w:line="360" w:lineRule="auto"/>
        <w:jc w:val="both"/>
        <w:rPr>
          <w:lang w:val="en-US"/>
        </w:rPr>
      </w:pPr>
    </w:p>
    <w:p w14:paraId="533C63C2" w14:textId="3943116A" w:rsidR="00493003" w:rsidRDefault="00493003" w:rsidP="005A226D">
      <w:pPr>
        <w:spacing w:line="360" w:lineRule="auto"/>
        <w:jc w:val="both"/>
        <w:rPr>
          <w:lang w:val="en-US"/>
        </w:rPr>
      </w:pPr>
    </w:p>
    <w:p w14:paraId="5CFFE440" w14:textId="5DF892C2" w:rsidR="00493003" w:rsidRDefault="00493003" w:rsidP="005A226D">
      <w:pPr>
        <w:spacing w:line="360" w:lineRule="auto"/>
        <w:jc w:val="both"/>
        <w:rPr>
          <w:lang w:val="en-US"/>
        </w:rPr>
      </w:pPr>
    </w:p>
    <w:p w14:paraId="24231796" w14:textId="0678B476" w:rsidR="00493003" w:rsidRDefault="00493003" w:rsidP="005A226D">
      <w:pPr>
        <w:spacing w:line="360" w:lineRule="auto"/>
        <w:jc w:val="both"/>
        <w:rPr>
          <w:lang w:val="en-US"/>
        </w:rPr>
      </w:pPr>
    </w:p>
    <w:p w14:paraId="5FAFC298" w14:textId="7ADC8D30" w:rsidR="00493003" w:rsidRDefault="00493003" w:rsidP="005A226D">
      <w:pPr>
        <w:spacing w:line="360" w:lineRule="auto"/>
        <w:jc w:val="both"/>
        <w:rPr>
          <w:lang w:val="en-US"/>
        </w:rPr>
      </w:pPr>
    </w:p>
    <w:p w14:paraId="7A216F0F" w14:textId="4679F325" w:rsidR="00493003" w:rsidRDefault="00493003" w:rsidP="005A226D">
      <w:pPr>
        <w:spacing w:line="360" w:lineRule="auto"/>
        <w:jc w:val="both"/>
        <w:rPr>
          <w:lang w:val="en-US"/>
        </w:rPr>
      </w:pPr>
    </w:p>
    <w:p w14:paraId="4F71A8C2" w14:textId="7A470B0E" w:rsidR="00493003" w:rsidRDefault="00493003" w:rsidP="005A226D">
      <w:pPr>
        <w:spacing w:line="360" w:lineRule="auto"/>
        <w:jc w:val="both"/>
        <w:rPr>
          <w:lang w:val="en-US"/>
        </w:rPr>
      </w:pPr>
    </w:p>
    <w:p w14:paraId="12801418" w14:textId="0C56FE20" w:rsidR="00493003" w:rsidRDefault="00493003" w:rsidP="005A226D">
      <w:pPr>
        <w:spacing w:line="360" w:lineRule="auto"/>
        <w:jc w:val="both"/>
        <w:rPr>
          <w:lang w:val="en-US"/>
        </w:rPr>
      </w:pPr>
    </w:p>
    <w:p w14:paraId="005FC1CF" w14:textId="4BAE81F4" w:rsidR="00493003" w:rsidRPr="001E0C60" w:rsidRDefault="00493003" w:rsidP="005A226D">
      <w:pPr>
        <w:spacing w:line="360" w:lineRule="auto"/>
        <w:jc w:val="both"/>
        <w:rPr>
          <w:lang w:val="en-US"/>
        </w:rPr>
      </w:pPr>
      <w:r w:rsidRPr="00493003">
        <w:rPr>
          <w:noProof/>
          <w:lang w:eastAsia="en-GB"/>
        </w:rPr>
        <w:drawing>
          <wp:inline distT="0" distB="0" distL="0" distR="0" wp14:anchorId="05B30240" wp14:editId="7802792B">
            <wp:extent cx="5629634" cy="3409950"/>
            <wp:effectExtent l="0" t="0" r="9525" b="0"/>
            <wp:docPr id="1" name="Picture 1" descr="C:\Users\Ls60\AppData\Local\Microsoft\Windows\INetCache\Content.Outlook\CSS39X0R\figure insom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60\AppData\Local\Microsoft\Windows\INetCache\Content.Outlook\CSS39X0R\figure insom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9299" cy="3427918"/>
                    </a:xfrm>
                    <a:prstGeom prst="rect">
                      <a:avLst/>
                    </a:prstGeom>
                    <a:noFill/>
                    <a:ln>
                      <a:noFill/>
                    </a:ln>
                  </pic:spPr>
                </pic:pic>
              </a:graphicData>
            </a:graphic>
          </wp:inline>
        </w:drawing>
      </w:r>
    </w:p>
    <w:sectPr w:rsidR="00493003" w:rsidRPr="001E0C60" w:rsidSect="00EE2595">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08D61" w16cid:durableId="1FE6BC6A"/>
  <w16cid:commentId w16cid:paraId="7FF32B5F" w16cid:durableId="1FE6BECB"/>
  <w16cid:commentId w16cid:paraId="4A6B4BBE" w16cid:durableId="1FE6C2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vPSSAB-R">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9EE"/>
    <w:multiLevelType w:val="multilevel"/>
    <w:tmpl w:val="57AE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7686"/>
    <w:multiLevelType w:val="hybridMultilevel"/>
    <w:tmpl w:val="C10C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3F63"/>
    <w:multiLevelType w:val="multilevel"/>
    <w:tmpl w:val="F1A8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81E80"/>
    <w:multiLevelType w:val="hybridMultilevel"/>
    <w:tmpl w:val="A0008D5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D2F66"/>
    <w:multiLevelType w:val="hybridMultilevel"/>
    <w:tmpl w:val="36DE73F4"/>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423F4"/>
    <w:multiLevelType w:val="hybridMultilevel"/>
    <w:tmpl w:val="D60403D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pv2tzzyx2weoetdfkpatdudexaezpxf55e&quot;&gt;My EndNote Library&lt;record-ids&gt;&lt;item&gt;443&lt;/item&gt;&lt;item&gt;446&lt;/item&gt;&lt;item&gt;447&lt;/item&gt;&lt;item&gt;448&lt;/item&gt;&lt;item&gt;459&lt;/item&gt;&lt;item&gt;461&lt;/item&gt;&lt;item&gt;462&lt;/item&gt;&lt;item&gt;463&lt;/item&gt;&lt;item&gt;464&lt;/item&gt;&lt;item&gt;465&lt;/item&gt;&lt;item&gt;466&lt;/item&gt;&lt;item&gt;467&lt;/item&gt;&lt;item&gt;469&lt;/item&gt;&lt;item&gt;476&lt;/item&gt;&lt;item&gt;481&lt;/item&gt;&lt;item&gt;484&lt;/item&gt;&lt;item&gt;487&lt;/item&gt;&lt;item&gt;489&lt;/item&gt;&lt;item&gt;490&lt;/item&gt;&lt;item&gt;491&lt;/item&gt;&lt;item&gt;492&lt;/item&gt;&lt;item&gt;493&lt;/item&gt;&lt;item&gt;497&lt;/item&gt;&lt;item&gt;505&lt;/item&gt;&lt;item&gt;509&lt;/item&gt;&lt;item&gt;510&lt;/item&gt;&lt;item&gt;511&lt;/item&gt;&lt;item&gt;517&lt;/item&gt;&lt;item&gt;520&lt;/item&gt;&lt;item&gt;521&lt;/item&gt;&lt;item&gt;522&lt;/item&gt;&lt;item&gt;523&lt;/item&gt;&lt;item&gt;524&lt;/item&gt;&lt;item&gt;525&lt;/item&gt;&lt;item&gt;526&lt;/item&gt;&lt;/record-ids&gt;&lt;/item&gt;&lt;/Libraries&gt;"/>
  </w:docVars>
  <w:rsids>
    <w:rsidRoot w:val="00A3099D"/>
    <w:rsid w:val="000005B9"/>
    <w:rsid w:val="00000660"/>
    <w:rsid w:val="00000BBD"/>
    <w:rsid w:val="0000336D"/>
    <w:rsid w:val="0000554A"/>
    <w:rsid w:val="00006268"/>
    <w:rsid w:val="000063FE"/>
    <w:rsid w:val="000075A4"/>
    <w:rsid w:val="00011600"/>
    <w:rsid w:val="000130B2"/>
    <w:rsid w:val="000135DE"/>
    <w:rsid w:val="000140C2"/>
    <w:rsid w:val="00014277"/>
    <w:rsid w:val="000149F3"/>
    <w:rsid w:val="000164DD"/>
    <w:rsid w:val="000223EA"/>
    <w:rsid w:val="00022460"/>
    <w:rsid w:val="00025A6B"/>
    <w:rsid w:val="00026DB2"/>
    <w:rsid w:val="00027257"/>
    <w:rsid w:val="00031747"/>
    <w:rsid w:val="000317A4"/>
    <w:rsid w:val="0003195D"/>
    <w:rsid w:val="00031E43"/>
    <w:rsid w:val="00032D09"/>
    <w:rsid w:val="000337A3"/>
    <w:rsid w:val="00036B3F"/>
    <w:rsid w:val="00042D11"/>
    <w:rsid w:val="00046CAE"/>
    <w:rsid w:val="00046E14"/>
    <w:rsid w:val="000514B0"/>
    <w:rsid w:val="00053089"/>
    <w:rsid w:val="000533F2"/>
    <w:rsid w:val="000534F8"/>
    <w:rsid w:val="00053591"/>
    <w:rsid w:val="000555F8"/>
    <w:rsid w:val="000610AC"/>
    <w:rsid w:val="00061B29"/>
    <w:rsid w:val="00062A11"/>
    <w:rsid w:val="00064056"/>
    <w:rsid w:val="0006464A"/>
    <w:rsid w:val="00065585"/>
    <w:rsid w:val="00065821"/>
    <w:rsid w:val="00066156"/>
    <w:rsid w:val="000676D0"/>
    <w:rsid w:val="000702B9"/>
    <w:rsid w:val="0007297C"/>
    <w:rsid w:val="0007324D"/>
    <w:rsid w:val="00073F4A"/>
    <w:rsid w:val="00074038"/>
    <w:rsid w:val="0007440C"/>
    <w:rsid w:val="00074A8B"/>
    <w:rsid w:val="00076326"/>
    <w:rsid w:val="00076B4C"/>
    <w:rsid w:val="000776D4"/>
    <w:rsid w:val="00077B51"/>
    <w:rsid w:val="000810FB"/>
    <w:rsid w:val="0008121D"/>
    <w:rsid w:val="00081E4F"/>
    <w:rsid w:val="00082D04"/>
    <w:rsid w:val="00082DA1"/>
    <w:rsid w:val="000840F5"/>
    <w:rsid w:val="00084E0A"/>
    <w:rsid w:val="00085A28"/>
    <w:rsid w:val="0008703F"/>
    <w:rsid w:val="00087B00"/>
    <w:rsid w:val="000905B1"/>
    <w:rsid w:val="000928A4"/>
    <w:rsid w:val="000931B3"/>
    <w:rsid w:val="0009566C"/>
    <w:rsid w:val="00097F55"/>
    <w:rsid w:val="000A0AE7"/>
    <w:rsid w:val="000A2530"/>
    <w:rsid w:val="000A6AFA"/>
    <w:rsid w:val="000A73EF"/>
    <w:rsid w:val="000B0BE4"/>
    <w:rsid w:val="000B101A"/>
    <w:rsid w:val="000B1C1B"/>
    <w:rsid w:val="000B3C91"/>
    <w:rsid w:val="000B41F6"/>
    <w:rsid w:val="000B4CD4"/>
    <w:rsid w:val="000B6754"/>
    <w:rsid w:val="000B739E"/>
    <w:rsid w:val="000B7600"/>
    <w:rsid w:val="000C3EE5"/>
    <w:rsid w:val="000D3641"/>
    <w:rsid w:val="000D45D4"/>
    <w:rsid w:val="000D530C"/>
    <w:rsid w:val="000E00D1"/>
    <w:rsid w:val="000E0BA6"/>
    <w:rsid w:val="000E198C"/>
    <w:rsid w:val="000E22DC"/>
    <w:rsid w:val="000E38F0"/>
    <w:rsid w:val="000E47AE"/>
    <w:rsid w:val="000E4A7F"/>
    <w:rsid w:val="000E633A"/>
    <w:rsid w:val="000E6E14"/>
    <w:rsid w:val="000F0290"/>
    <w:rsid w:val="000F0CC6"/>
    <w:rsid w:val="000F1352"/>
    <w:rsid w:val="000F2DA7"/>
    <w:rsid w:val="000F30BC"/>
    <w:rsid w:val="000F334C"/>
    <w:rsid w:val="000F7077"/>
    <w:rsid w:val="000F722B"/>
    <w:rsid w:val="0010017F"/>
    <w:rsid w:val="001004BB"/>
    <w:rsid w:val="00101222"/>
    <w:rsid w:val="001013D4"/>
    <w:rsid w:val="00102B8F"/>
    <w:rsid w:val="00103F2F"/>
    <w:rsid w:val="00105027"/>
    <w:rsid w:val="00105581"/>
    <w:rsid w:val="0010628D"/>
    <w:rsid w:val="00107F73"/>
    <w:rsid w:val="0011264B"/>
    <w:rsid w:val="00113DAE"/>
    <w:rsid w:val="00115CBF"/>
    <w:rsid w:val="00116AF1"/>
    <w:rsid w:val="00120A52"/>
    <w:rsid w:val="00120B9B"/>
    <w:rsid w:val="00123926"/>
    <w:rsid w:val="00124AA0"/>
    <w:rsid w:val="00125E0C"/>
    <w:rsid w:val="0012617F"/>
    <w:rsid w:val="0012799A"/>
    <w:rsid w:val="00130D08"/>
    <w:rsid w:val="00132637"/>
    <w:rsid w:val="00136D3E"/>
    <w:rsid w:val="00141A4E"/>
    <w:rsid w:val="00142F23"/>
    <w:rsid w:val="00145353"/>
    <w:rsid w:val="001469AD"/>
    <w:rsid w:val="00147199"/>
    <w:rsid w:val="00147786"/>
    <w:rsid w:val="00147EA4"/>
    <w:rsid w:val="00151805"/>
    <w:rsid w:val="00153938"/>
    <w:rsid w:val="00155D8B"/>
    <w:rsid w:val="001563A1"/>
    <w:rsid w:val="001565D5"/>
    <w:rsid w:val="001573AD"/>
    <w:rsid w:val="00161651"/>
    <w:rsid w:val="0016324C"/>
    <w:rsid w:val="00165590"/>
    <w:rsid w:val="00167956"/>
    <w:rsid w:val="00167D5E"/>
    <w:rsid w:val="00167E32"/>
    <w:rsid w:val="0017062A"/>
    <w:rsid w:val="001707E9"/>
    <w:rsid w:val="0017136C"/>
    <w:rsid w:val="00174888"/>
    <w:rsid w:val="001762A4"/>
    <w:rsid w:val="00176C45"/>
    <w:rsid w:val="00176EFF"/>
    <w:rsid w:val="00177BF4"/>
    <w:rsid w:val="00177C48"/>
    <w:rsid w:val="00177C7F"/>
    <w:rsid w:val="00181737"/>
    <w:rsid w:val="00181834"/>
    <w:rsid w:val="00181D2D"/>
    <w:rsid w:val="001862C8"/>
    <w:rsid w:val="0018738F"/>
    <w:rsid w:val="00190B71"/>
    <w:rsid w:val="00194F4E"/>
    <w:rsid w:val="001A08CA"/>
    <w:rsid w:val="001A2BA5"/>
    <w:rsid w:val="001A3B50"/>
    <w:rsid w:val="001A40D2"/>
    <w:rsid w:val="001A62F8"/>
    <w:rsid w:val="001A6C99"/>
    <w:rsid w:val="001B1D9C"/>
    <w:rsid w:val="001B4A1D"/>
    <w:rsid w:val="001B5A10"/>
    <w:rsid w:val="001B6B3D"/>
    <w:rsid w:val="001C16DA"/>
    <w:rsid w:val="001C2185"/>
    <w:rsid w:val="001C2EE7"/>
    <w:rsid w:val="001C54B4"/>
    <w:rsid w:val="001C6EA8"/>
    <w:rsid w:val="001C6F91"/>
    <w:rsid w:val="001C7B76"/>
    <w:rsid w:val="001D14F8"/>
    <w:rsid w:val="001D236E"/>
    <w:rsid w:val="001D39AA"/>
    <w:rsid w:val="001D4E7E"/>
    <w:rsid w:val="001D75A9"/>
    <w:rsid w:val="001E0C60"/>
    <w:rsid w:val="001E14FF"/>
    <w:rsid w:val="001E1A29"/>
    <w:rsid w:val="001E45B4"/>
    <w:rsid w:val="001E46BF"/>
    <w:rsid w:val="001E651C"/>
    <w:rsid w:val="001E77D4"/>
    <w:rsid w:val="001F2C5D"/>
    <w:rsid w:val="001F4899"/>
    <w:rsid w:val="001F5577"/>
    <w:rsid w:val="00200752"/>
    <w:rsid w:val="00202DB6"/>
    <w:rsid w:val="00203D96"/>
    <w:rsid w:val="00207CBB"/>
    <w:rsid w:val="00210679"/>
    <w:rsid w:val="00210C4E"/>
    <w:rsid w:val="00210FCF"/>
    <w:rsid w:val="002113C0"/>
    <w:rsid w:val="00212D05"/>
    <w:rsid w:val="002138F3"/>
    <w:rsid w:val="00214D10"/>
    <w:rsid w:val="00215772"/>
    <w:rsid w:val="0021665C"/>
    <w:rsid w:val="002179A8"/>
    <w:rsid w:val="00221335"/>
    <w:rsid w:val="00221347"/>
    <w:rsid w:val="00221B41"/>
    <w:rsid w:val="00223026"/>
    <w:rsid w:val="00224532"/>
    <w:rsid w:val="002277D6"/>
    <w:rsid w:val="0022792B"/>
    <w:rsid w:val="00230794"/>
    <w:rsid w:val="00232881"/>
    <w:rsid w:val="0023373E"/>
    <w:rsid w:val="00234600"/>
    <w:rsid w:val="002363B8"/>
    <w:rsid w:val="002379D5"/>
    <w:rsid w:val="002404CC"/>
    <w:rsid w:val="00241B5A"/>
    <w:rsid w:val="00244588"/>
    <w:rsid w:val="00246577"/>
    <w:rsid w:val="00247317"/>
    <w:rsid w:val="002520A5"/>
    <w:rsid w:val="0025297C"/>
    <w:rsid w:val="002540C4"/>
    <w:rsid w:val="002542BA"/>
    <w:rsid w:val="00256B2B"/>
    <w:rsid w:val="00262F4D"/>
    <w:rsid w:val="00264930"/>
    <w:rsid w:val="002654DC"/>
    <w:rsid w:val="00266BBD"/>
    <w:rsid w:val="002673FA"/>
    <w:rsid w:val="00271731"/>
    <w:rsid w:val="00273DE9"/>
    <w:rsid w:val="00277204"/>
    <w:rsid w:val="002775AE"/>
    <w:rsid w:val="00280278"/>
    <w:rsid w:val="002802D8"/>
    <w:rsid w:val="002805A5"/>
    <w:rsid w:val="00281EA4"/>
    <w:rsid w:val="00282244"/>
    <w:rsid w:val="00282C13"/>
    <w:rsid w:val="00284E6C"/>
    <w:rsid w:val="00285003"/>
    <w:rsid w:val="002855B4"/>
    <w:rsid w:val="00285C32"/>
    <w:rsid w:val="00287E74"/>
    <w:rsid w:val="00291616"/>
    <w:rsid w:val="00292A71"/>
    <w:rsid w:val="00292E67"/>
    <w:rsid w:val="00296A1D"/>
    <w:rsid w:val="002A00CF"/>
    <w:rsid w:val="002A06CC"/>
    <w:rsid w:val="002A0D39"/>
    <w:rsid w:val="002A1407"/>
    <w:rsid w:val="002A5286"/>
    <w:rsid w:val="002A5D80"/>
    <w:rsid w:val="002B6C44"/>
    <w:rsid w:val="002B6FB7"/>
    <w:rsid w:val="002B7942"/>
    <w:rsid w:val="002C2594"/>
    <w:rsid w:val="002C2E0A"/>
    <w:rsid w:val="002C2F21"/>
    <w:rsid w:val="002C3C85"/>
    <w:rsid w:val="002C43DA"/>
    <w:rsid w:val="002C4BE0"/>
    <w:rsid w:val="002C4F4C"/>
    <w:rsid w:val="002C55D9"/>
    <w:rsid w:val="002C6ABD"/>
    <w:rsid w:val="002C7F21"/>
    <w:rsid w:val="002D274B"/>
    <w:rsid w:val="002D2785"/>
    <w:rsid w:val="002D5128"/>
    <w:rsid w:val="002D51E6"/>
    <w:rsid w:val="002D611D"/>
    <w:rsid w:val="002D74F7"/>
    <w:rsid w:val="002E0176"/>
    <w:rsid w:val="002E02F1"/>
    <w:rsid w:val="002E0CFE"/>
    <w:rsid w:val="002E2C09"/>
    <w:rsid w:val="002E4CF3"/>
    <w:rsid w:val="002E55E4"/>
    <w:rsid w:val="002E5DC2"/>
    <w:rsid w:val="002E5FE2"/>
    <w:rsid w:val="002E6C6A"/>
    <w:rsid w:val="002E724A"/>
    <w:rsid w:val="002E7C7C"/>
    <w:rsid w:val="002F0DB6"/>
    <w:rsid w:val="002F2AB5"/>
    <w:rsid w:val="002F2B47"/>
    <w:rsid w:val="002F401A"/>
    <w:rsid w:val="002F409F"/>
    <w:rsid w:val="002F43DC"/>
    <w:rsid w:val="002F55BB"/>
    <w:rsid w:val="002F5B7E"/>
    <w:rsid w:val="002F60BB"/>
    <w:rsid w:val="002F696A"/>
    <w:rsid w:val="002F7E7C"/>
    <w:rsid w:val="002F7FF9"/>
    <w:rsid w:val="003023A8"/>
    <w:rsid w:val="00304CD3"/>
    <w:rsid w:val="00306276"/>
    <w:rsid w:val="00306279"/>
    <w:rsid w:val="00306F01"/>
    <w:rsid w:val="00312690"/>
    <w:rsid w:val="00313B3D"/>
    <w:rsid w:val="00314D2D"/>
    <w:rsid w:val="00314E02"/>
    <w:rsid w:val="00315246"/>
    <w:rsid w:val="003159CF"/>
    <w:rsid w:val="00316C6B"/>
    <w:rsid w:val="0031752B"/>
    <w:rsid w:val="00321A28"/>
    <w:rsid w:val="00322B73"/>
    <w:rsid w:val="003232EF"/>
    <w:rsid w:val="003257A4"/>
    <w:rsid w:val="00326084"/>
    <w:rsid w:val="003270D6"/>
    <w:rsid w:val="0033004C"/>
    <w:rsid w:val="00330899"/>
    <w:rsid w:val="00336000"/>
    <w:rsid w:val="00337645"/>
    <w:rsid w:val="00340175"/>
    <w:rsid w:val="00341225"/>
    <w:rsid w:val="00342BBF"/>
    <w:rsid w:val="0034463C"/>
    <w:rsid w:val="00344B87"/>
    <w:rsid w:val="00345399"/>
    <w:rsid w:val="00346E8D"/>
    <w:rsid w:val="003509A1"/>
    <w:rsid w:val="00350BC8"/>
    <w:rsid w:val="00354327"/>
    <w:rsid w:val="0035464D"/>
    <w:rsid w:val="0035535D"/>
    <w:rsid w:val="0035759C"/>
    <w:rsid w:val="00357B52"/>
    <w:rsid w:val="00361149"/>
    <w:rsid w:val="003708D9"/>
    <w:rsid w:val="00372230"/>
    <w:rsid w:val="0037329A"/>
    <w:rsid w:val="00376751"/>
    <w:rsid w:val="003774AC"/>
    <w:rsid w:val="00381FF9"/>
    <w:rsid w:val="00383212"/>
    <w:rsid w:val="00383BA2"/>
    <w:rsid w:val="00385EC6"/>
    <w:rsid w:val="003866F5"/>
    <w:rsid w:val="003877BC"/>
    <w:rsid w:val="00387935"/>
    <w:rsid w:val="003905EC"/>
    <w:rsid w:val="003922BD"/>
    <w:rsid w:val="00392823"/>
    <w:rsid w:val="00395E30"/>
    <w:rsid w:val="00397225"/>
    <w:rsid w:val="00397B0F"/>
    <w:rsid w:val="003A0DBC"/>
    <w:rsid w:val="003A0E54"/>
    <w:rsid w:val="003A10C1"/>
    <w:rsid w:val="003A14D4"/>
    <w:rsid w:val="003A1652"/>
    <w:rsid w:val="003A2416"/>
    <w:rsid w:val="003A26D6"/>
    <w:rsid w:val="003A63E2"/>
    <w:rsid w:val="003B0089"/>
    <w:rsid w:val="003B29AC"/>
    <w:rsid w:val="003B3092"/>
    <w:rsid w:val="003B321B"/>
    <w:rsid w:val="003B4889"/>
    <w:rsid w:val="003B4898"/>
    <w:rsid w:val="003B4D66"/>
    <w:rsid w:val="003B6A24"/>
    <w:rsid w:val="003C0DB3"/>
    <w:rsid w:val="003C283C"/>
    <w:rsid w:val="003C3395"/>
    <w:rsid w:val="003C63B8"/>
    <w:rsid w:val="003D056E"/>
    <w:rsid w:val="003D0D6E"/>
    <w:rsid w:val="003D3DA9"/>
    <w:rsid w:val="003D42A7"/>
    <w:rsid w:val="003D70C5"/>
    <w:rsid w:val="003D7D84"/>
    <w:rsid w:val="003E3657"/>
    <w:rsid w:val="003E3B87"/>
    <w:rsid w:val="003E3BF0"/>
    <w:rsid w:val="003E5FEE"/>
    <w:rsid w:val="003E67C8"/>
    <w:rsid w:val="003E7FF1"/>
    <w:rsid w:val="003F2964"/>
    <w:rsid w:val="003F78CB"/>
    <w:rsid w:val="00400847"/>
    <w:rsid w:val="00402C40"/>
    <w:rsid w:val="00403D7F"/>
    <w:rsid w:val="00403F69"/>
    <w:rsid w:val="00404867"/>
    <w:rsid w:val="00404EDE"/>
    <w:rsid w:val="004059BF"/>
    <w:rsid w:val="00410674"/>
    <w:rsid w:val="004107A5"/>
    <w:rsid w:val="00412F84"/>
    <w:rsid w:val="00413279"/>
    <w:rsid w:val="0041369C"/>
    <w:rsid w:val="00413EE5"/>
    <w:rsid w:val="00416536"/>
    <w:rsid w:val="00417532"/>
    <w:rsid w:val="0042054A"/>
    <w:rsid w:val="00421F7D"/>
    <w:rsid w:val="00423168"/>
    <w:rsid w:val="0042499A"/>
    <w:rsid w:val="00426D25"/>
    <w:rsid w:val="0042727F"/>
    <w:rsid w:val="004312B3"/>
    <w:rsid w:val="00431796"/>
    <w:rsid w:val="004325D1"/>
    <w:rsid w:val="00433E23"/>
    <w:rsid w:val="00434E3F"/>
    <w:rsid w:val="00435384"/>
    <w:rsid w:val="004378C7"/>
    <w:rsid w:val="00437D8D"/>
    <w:rsid w:val="00441D52"/>
    <w:rsid w:val="00446F71"/>
    <w:rsid w:val="0045159F"/>
    <w:rsid w:val="004524B7"/>
    <w:rsid w:val="00452641"/>
    <w:rsid w:val="00454DB2"/>
    <w:rsid w:val="00455198"/>
    <w:rsid w:val="004560C7"/>
    <w:rsid w:val="0045676A"/>
    <w:rsid w:val="004568D2"/>
    <w:rsid w:val="00457A47"/>
    <w:rsid w:val="00461145"/>
    <w:rsid w:val="00462C63"/>
    <w:rsid w:val="00465858"/>
    <w:rsid w:val="00465C7B"/>
    <w:rsid w:val="00470051"/>
    <w:rsid w:val="00471560"/>
    <w:rsid w:val="00474591"/>
    <w:rsid w:val="00474BD7"/>
    <w:rsid w:val="004778EE"/>
    <w:rsid w:val="00483857"/>
    <w:rsid w:val="0048414F"/>
    <w:rsid w:val="00484524"/>
    <w:rsid w:val="00484BE2"/>
    <w:rsid w:val="00485094"/>
    <w:rsid w:val="00485726"/>
    <w:rsid w:val="004913AD"/>
    <w:rsid w:val="00491C02"/>
    <w:rsid w:val="00493003"/>
    <w:rsid w:val="00493121"/>
    <w:rsid w:val="00494FF3"/>
    <w:rsid w:val="0049699D"/>
    <w:rsid w:val="00497971"/>
    <w:rsid w:val="004A042F"/>
    <w:rsid w:val="004A229E"/>
    <w:rsid w:val="004A393D"/>
    <w:rsid w:val="004A3A4C"/>
    <w:rsid w:val="004A3B33"/>
    <w:rsid w:val="004A555D"/>
    <w:rsid w:val="004B19FB"/>
    <w:rsid w:val="004B20B4"/>
    <w:rsid w:val="004B31D8"/>
    <w:rsid w:val="004B678B"/>
    <w:rsid w:val="004B69AB"/>
    <w:rsid w:val="004C00D0"/>
    <w:rsid w:val="004C178C"/>
    <w:rsid w:val="004C3551"/>
    <w:rsid w:val="004C4022"/>
    <w:rsid w:val="004C5FD7"/>
    <w:rsid w:val="004C67D6"/>
    <w:rsid w:val="004D1E13"/>
    <w:rsid w:val="004D303E"/>
    <w:rsid w:val="004D3512"/>
    <w:rsid w:val="004D50A2"/>
    <w:rsid w:val="004E5222"/>
    <w:rsid w:val="004E5ABE"/>
    <w:rsid w:val="004E6B79"/>
    <w:rsid w:val="004E7AE1"/>
    <w:rsid w:val="004E7DD6"/>
    <w:rsid w:val="004F0693"/>
    <w:rsid w:val="004F2315"/>
    <w:rsid w:val="004F7B09"/>
    <w:rsid w:val="00500B29"/>
    <w:rsid w:val="00500FEE"/>
    <w:rsid w:val="00502255"/>
    <w:rsid w:val="00503CBB"/>
    <w:rsid w:val="00503FBB"/>
    <w:rsid w:val="00504313"/>
    <w:rsid w:val="005044BA"/>
    <w:rsid w:val="00511971"/>
    <w:rsid w:val="005130B0"/>
    <w:rsid w:val="00513C9E"/>
    <w:rsid w:val="00513CA5"/>
    <w:rsid w:val="00515539"/>
    <w:rsid w:val="00515B6A"/>
    <w:rsid w:val="00516D3A"/>
    <w:rsid w:val="00517DAF"/>
    <w:rsid w:val="005207EC"/>
    <w:rsid w:val="00520BCC"/>
    <w:rsid w:val="005220EA"/>
    <w:rsid w:val="00522988"/>
    <w:rsid w:val="00523EA9"/>
    <w:rsid w:val="005255CE"/>
    <w:rsid w:val="00526AF5"/>
    <w:rsid w:val="00526BEF"/>
    <w:rsid w:val="0052721A"/>
    <w:rsid w:val="005300C3"/>
    <w:rsid w:val="00530A6F"/>
    <w:rsid w:val="00530C58"/>
    <w:rsid w:val="00531B76"/>
    <w:rsid w:val="00533230"/>
    <w:rsid w:val="00533F38"/>
    <w:rsid w:val="00534F84"/>
    <w:rsid w:val="00537F76"/>
    <w:rsid w:val="00537FC7"/>
    <w:rsid w:val="005416C6"/>
    <w:rsid w:val="005423CF"/>
    <w:rsid w:val="005427DD"/>
    <w:rsid w:val="00543430"/>
    <w:rsid w:val="00543D23"/>
    <w:rsid w:val="00544959"/>
    <w:rsid w:val="00544CD9"/>
    <w:rsid w:val="0054595D"/>
    <w:rsid w:val="0054699B"/>
    <w:rsid w:val="005600A9"/>
    <w:rsid w:val="00560143"/>
    <w:rsid w:val="0056324A"/>
    <w:rsid w:val="00564048"/>
    <w:rsid w:val="00565499"/>
    <w:rsid w:val="005702E3"/>
    <w:rsid w:val="0057171C"/>
    <w:rsid w:val="00571D37"/>
    <w:rsid w:val="0057358E"/>
    <w:rsid w:val="00574A8D"/>
    <w:rsid w:val="00574EE2"/>
    <w:rsid w:val="005767F4"/>
    <w:rsid w:val="00577B63"/>
    <w:rsid w:val="005803A6"/>
    <w:rsid w:val="00581782"/>
    <w:rsid w:val="0058462E"/>
    <w:rsid w:val="00585397"/>
    <w:rsid w:val="0058578D"/>
    <w:rsid w:val="00585B9E"/>
    <w:rsid w:val="0058722E"/>
    <w:rsid w:val="00587783"/>
    <w:rsid w:val="00591D7C"/>
    <w:rsid w:val="00591EC2"/>
    <w:rsid w:val="00593D55"/>
    <w:rsid w:val="00594DCF"/>
    <w:rsid w:val="00596BEC"/>
    <w:rsid w:val="005A0458"/>
    <w:rsid w:val="005A1E9B"/>
    <w:rsid w:val="005A226D"/>
    <w:rsid w:val="005A394F"/>
    <w:rsid w:val="005A4518"/>
    <w:rsid w:val="005A5E63"/>
    <w:rsid w:val="005A6365"/>
    <w:rsid w:val="005A6611"/>
    <w:rsid w:val="005A6677"/>
    <w:rsid w:val="005A6D65"/>
    <w:rsid w:val="005A77F8"/>
    <w:rsid w:val="005B0A41"/>
    <w:rsid w:val="005B6C79"/>
    <w:rsid w:val="005B7645"/>
    <w:rsid w:val="005C0237"/>
    <w:rsid w:val="005C2543"/>
    <w:rsid w:val="005C476B"/>
    <w:rsid w:val="005C591A"/>
    <w:rsid w:val="005C650B"/>
    <w:rsid w:val="005D099D"/>
    <w:rsid w:val="005D0BD3"/>
    <w:rsid w:val="005D215F"/>
    <w:rsid w:val="005D3E84"/>
    <w:rsid w:val="005D42A7"/>
    <w:rsid w:val="005D60FE"/>
    <w:rsid w:val="005E360D"/>
    <w:rsid w:val="005E3E70"/>
    <w:rsid w:val="005E4C55"/>
    <w:rsid w:val="005E7467"/>
    <w:rsid w:val="005E7833"/>
    <w:rsid w:val="005E7F4B"/>
    <w:rsid w:val="005F115E"/>
    <w:rsid w:val="005F1EAE"/>
    <w:rsid w:val="005F2D01"/>
    <w:rsid w:val="005F58C0"/>
    <w:rsid w:val="00602D70"/>
    <w:rsid w:val="00602E26"/>
    <w:rsid w:val="00602FE7"/>
    <w:rsid w:val="00604C27"/>
    <w:rsid w:val="006113FC"/>
    <w:rsid w:val="006116C7"/>
    <w:rsid w:val="006130C2"/>
    <w:rsid w:val="006134EE"/>
    <w:rsid w:val="006136D3"/>
    <w:rsid w:val="00616CBD"/>
    <w:rsid w:val="00617BFD"/>
    <w:rsid w:val="0062100C"/>
    <w:rsid w:val="0062205C"/>
    <w:rsid w:val="006240CC"/>
    <w:rsid w:val="00624175"/>
    <w:rsid w:val="006253E7"/>
    <w:rsid w:val="006260E8"/>
    <w:rsid w:val="00626659"/>
    <w:rsid w:val="00626BBB"/>
    <w:rsid w:val="0062791C"/>
    <w:rsid w:val="00627FB2"/>
    <w:rsid w:val="00627FB8"/>
    <w:rsid w:val="006327E5"/>
    <w:rsid w:val="006334FE"/>
    <w:rsid w:val="00633C4A"/>
    <w:rsid w:val="00633E6F"/>
    <w:rsid w:val="00634DC7"/>
    <w:rsid w:val="00635724"/>
    <w:rsid w:val="0063581B"/>
    <w:rsid w:val="00643470"/>
    <w:rsid w:val="006434A2"/>
    <w:rsid w:val="00644296"/>
    <w:rsid w:val="00644D81"/>
    <w:rsid w:val="00645F54"/>
    <w:rsid w:val="00647BA3"/>
    <w:rsid w:val="006502A5"/>
    <w:rsid w:val="00650E40"/>
    <w:rsid w:val="006539C4"/>
    <w:rsid w:val="0065442A"/>
    <w:rsid w:val="0065585D"/>
    <w:rsid w:val="006560B5"/>
    <w:rsid w:val="00656408"/>
    <w:rsid w:val="006622C3"/>
    <w:rsid w:val="0066289C"/>
    <w:rsid w:val="006632EE"/>
    <w:rsid w:val="00665736"/>
    <w:rsid w:val="0066614A"/>
    <w:rsid w:val="00666760"/>
    <w:rsid w:val="00672E5F"/>
    <w:rsid w:val="00673773"/>
    <w:rsid w:val="00673A40"/>
    <w:rsid w:val="00673DF5"/>
    <w:rsid w:val="006740D1"/>
    <w:rsid w:val="0067437A"/>
    <w:rsid w:val="00674E79"/>
    <w:rsid w:val="00675E38"/>
    <w:rsid w:val="00676730"/>
    <w:rsid w:val="0067739E"/>
    <w:rsid w:val="00677AFA"/>
    <w:rsid w:val="00677DC4"/>
    <w:rsid w:val="006811E4"/>
    <w:rsid w:val="00682B1D"/>
    <w:rsid w:val="006838C7"/>
    <w:rsid w:val="00683ED8"/>
    <w:rsid w:val="00685289"/>
    <w:rsid w:val="00687014"/>
    <w:rsid w:val="00690909"/>
    <w:rsid w:val="00691523"/>
    <w:rsid w:val="0069249A"/>
    <w:rsid w:val="0069391E"/>
    <w:rsid w:val="006A22A6"/>
    <w:rsid w:val="006A28CD"/>
    <w:rsid w:val="006A3828"/>
    <w:rsid w:val="006A383E"/>
    <w:rsid w:val="006B09BA"/>
    <w:rsid w:val="006B28B6"/>
    <w:rsid w:val="006B29A0"/>
    <w:rsid w:val="006B29BB"/>
    <w:rsid w:val="006B4A96"/>
    <w:rsid w:val="006B722B"/>
    <w:rsid w:val="006B7EB1"/>
    <w:rsid w:val="006C01AC"/>
    <w:rsid w:val="006C0964"/>
    <w:rsid w:val="006C1179"/>
    <w:rsid w:val="006C154B"/>
    <w:rsid w:val="006C30DB"/>
    <w:rsid w:val="006C3CFC"/>
    <w:rsid w:val="006C3E8B"/>
    <w:rsid w:val="006C464B"/>
    <w:rsid w:val="006C50EC"/>
    <w:rsid w:val="006D0201"/>
    <w:rsid w:val="006D041A"/>
    <w:rsid w:val="006D0B35"/>
    <w:rsid w:val="006D194F"/>
    <w:rsid w:val="006D200C"/>
    <w:rsid w:val="006D23C5"/>
    <w:rsid w:val="006D506E"/>
    <w:rsid w:val="006D5A0E"/>
    <w:rsid w:val="006D5BFC"/>
    <w:rsid w:val="006D7EE6"/>
    <w:rsid w:val="006E293F"/>
    <w:rsid w:val="006E2BBC"/>
    <w:rsid w:val="006E389A"/>
    <w:rsid w:val="006E736E"/>
    <w:rsid w:val="006E750B"/>
    <w:rsid w:val="006F23B5"/>
    <w:rsid w:val="006F29FA"/>
    <w:rsid w:val="006F2E1D"/>
    <w:rsid w:val="006F47F7"/>
    <w:rsid w:val="006F5A7A"/>
    <w:rsid w:val="006F6336"/>
    <w:rsid w:val="00701C1A"/>
    <w:rsid w:val="0070372D"/>
    <w:rsid w:val="00704A18"/>
    <w:rsid w:val="00704A86"/>
    <w:rsid w:val="00705794"/>
    <w:rsid w:val="0070705D"/>
    <w:rsid w:val="00710F00"/>
    <w:rsid w:val="007124E0"/>
    <w:rsid w:val="007125D9"/>
    <w:rsid w:val="007139C4"/>
    <w:rsid w:val="0071610A"/>
    <w:rsid w:val="0071647D"/>
    <w:rsid w:val="00716B08"/>
    <w:rsid w:val="00724523"/>
    <w:rsid w:val="0072474E"/>
    <w:rsid w:val="00725A62"/>
    <w:rsid w:val="00730701"/>
    <w:rsid w:val="00731470"/>
    <w:rsid w:val="00731EEE"/>
    <w:rsid w:val="0073270C"/>
    <w:rsid w:val="00734BED"/>
    <w:rsid w:val="007417A7"/>
    <w:rsid w:val="00742B14"/>
    <w:rsid w:val="00745925"/>
    <w:rsid w:val="007510A6"/>
    <w:rsid w:val="007524D9"/>
    <w:rsid w:val="00754E4E"/>
    <w:rsid w:val="00755580"/>
    <w:rsid w:val="00755B37"/>
    <w:rsid w:val="00756436"/>
    <w:rsid w:val="007579D9"/>
    <w:rsid w:val="007604C3"/>
    <w:rsid w:val="007609D7"/>
    <w:rsid w:val="00760AFD"/>
    <w:rsid w:val="00760C31"/>
    <w:rsid w:val="007612F8"/>
    <w:rsid w:val="00761A45"/>
    <w:rsid w:val="00766209"/>
    <w:rsid w:val="007664AD"/>
    <w:rsid w:val="00766D74"/>
    <w:rsid w:val="007702B4"/>
    <w:rsid w:val="00772580"/>
    <w:rsid w:val="00772794"/>
    <w:rsid w:val="00773974"/>
    <w:rsid w:val="00774AA2"/>
    <w:rsid w:val="00776D54"/>
    <w:rsid w:val="00783B72"/>
    <w:rsid w:val="00783C1E"/>
    <w:rsid w:val="00784367"/>
    <w:rsid w:val="00785125"/>
    <w:rsid w:val="0078521F"/>
    <w:rsid w:val="007866DF"/>
    <w:rsid w:val="0079109A"/>
    <w:rsid w:val="00791BAD"/>
    <w:rsid w:val="0079265D"/>
    <w:rsid w:val="00794173"/>
    <w:rsid w:val="007945C3"/>
    <w:rsid w:val="00794681"/>
    <w:rsid w:val="00795264"/>
    <w:rsid w:val="007963E7"/>
    <w:rsid w:val="007A1385"/>
    <w:rsid w:val="007A1CDC"/>
    <w:rsid w:val="007A474F"/>
    <w:rsid w:val="007B0E47"/>
    <w:rsid w:val="007B182C"/>
    <w:rsid w:val="007B21DF"/>
    <w:rsid w:val="007B2ABE"/>
    <w:rsid w:val="007B2B6E"/>
    <w:rsid w:val="007B335B"/>
    <w:rsid w:val="007B37C6"/>
    <w:rsid w:val="007B5BBF"/>
    <w:rsid w:val="007B62AB"/>
    <w:rsid w:val="007B6E1C"/>
    <w:rsid w:val="007C0F6C"/>
    <w:rsid w:val="007C1C70"/>
    <w:rsid w:val="007C21EA"/>
    <w:rsid w:val="007C2B71"/>
    <w:rsid w:val="007C3833"/>
    <w:rsid w:val="007D078A"/>
    <w:rsid w:val="007D2E24"/>
    <w:rsid w:val="007D5679"/>
    <w:rsid w:val="007D6867"/>
    <w:rsid w:val="007D7F2D"/>
    <w:rsid w:val="007E006A"/>
    <w:rsid w:val="007E01B5"/>
    <w:rsid w:val="007E0EEB"/>
    <w:rsid w:val="007E30F3"/>
    <w:rsid w:val="007E491E"/>
    <w:rsid w:val="007E4BEC"/>
    <w:rsid w:val="007E4F6C"/>
    <w:rsid w:val="007E53E1"/>
    <w:rsid w:val="007E5550"/>
    <w:rsid w:val="007E5ABC"/>
    <w:rsid w:val="007E787C"/>
    <w:rsid w:val="007F2344"/>
    <w:rsid w:val="007F2AAA"/>
    <w:rsid w:val="007F535D"/>
    <w:rsid w:val="008027B2"/>
    <w:rsid w:val="008074C6"/>
    <w:rsid w:val="0081052D"/>
    <w:rsid w:val="00812A6D"/>
    <w:rsid w:val="00812DA1"/>
    <w:rsid w:val="0081438D"/>
    <w:rsid w:val="008163A3"/>
    <w:rsid w:val="00820B07"/>
    <w:rsid w:val="00820DDA"/>
    <w:rsid w:val="008222EE"/>
    <w:rsid w:val="00823023"/>
    <w:rsid w:val="00823FF8"/>
    <w:rsid w:val="0082484D"/>
    <w:rsid w:val="00824FE3"/>
    <w:rsid w:val="00826C4E"/>
    <w:rsid w:val="008306CB"/>
    <w:rsid w:val="0083119D"/>
    <w:rsid w:val="00831A12"/>
    <w:rsid w:val="00835E6A"/>
    <w:rsid w:val="0083654B"/>
    <w:rsid w:val="00842F22"/>
    <w:rsid w:val="00843E57"/>
    <w:rsid w:val="00844624"/>
    <w:rsid w:val="00845920"/>
    <w:rsid w:val="00847D8C"/>
    <w:rsid w:val="00850343"/>
    <w:rsid w:val="008509F9"/>
    <w:rsid w:val="0085121B"/>
    <w:rsid w:val="008534C1"/>
    <w:rsid w:val="00855B9C"/>
    <w:rsid w:val="00856216"/>
    <w:rsid w:val="0085705F"/>
    <w:rsid w:val="0085798A"/>
    <w:rsid w:val="008614DF"/>
    <w:rsid w:val="00862D9C"/>
    <w:rsid w:val="008635AF"/>
    <w:rsid w:val="008709FA"/>
    <w:rsid w:val="00871DB3"/>
    <w:rsid w:val="00871DF0"/>
    <w:rsid w:val="008730B0"/>
    <w:rsid w:val="008742E9"/>
    <w:rsid w:val="00874484"/>
    <w:rsid w:val="0087526F"/>
    <w:rsid w:val="008753F6"/>
    <w:rsid w:val="00875425"/>
    <w:rsid w:val="008755C9"/>
    <w:rsid w:val="008757DB"/>
    <w:rsid w:val="00875AB8"/>
    <w:rsid w:val="00876380"/>
    <w:rsid w:val="00877022"/>
    <w:rsid w:val="00877F9B"/>
    <w:rsid w:val="0088092B"/>
    <w:rsid w:val="00880A94"/>
    <w:rsid w:val="008815D2"/>
    <w:rsid w:val="00882974"/>
    <w:rsid w:val="00883C63"/>
    <w:rsid w:val="008869BC"/>
    <w:rsid w:val="00886F57"/>
    <w:rsid w:val="00890F81"/>
    <w:rsid w:val="008915EB"/>
    <w:rsid w:val="00892825"/>
    <w:rsid w:val="00892CA1"/>
    <w:rsid w:val="0089377E"/>
    <w:rsid w:val="00894304"/>
    <w:rsid w:val="008951FB"/>
    <w:rsid w:val="00896475"/>
    <w:rsid w:val="008A13F5"/>
    <w:rsid w:val="008A1B6D"/>
    <w:rsid w:val="008A2116"/>
    <w:rsid w:val="008A3031"/>
    <w:rsid w:val="008A4A66"/>
    <w:rsid w:val="008A7C1E"/>
    <w:rsid w:val="008B0098"/>
    <w:rsid w:val="008B2283"/>
    <w:rsid w:val="008B2363"/>
    <w:rsid w:val="008B2682"/>
    <w:rsid w:val="008B4EB9"/>
    <w:rsid w:val="008B527F"/>
    <w:rsid w:val="008B588A"/>
    <w:rsid w:val="008B6CE1"/>
    <w:rsid w:val="008C1CBE"/>
    <w:rsid w:val="008C2CF0"/>
    <w:rsid w:val="008C2F5A"/>
    <w:rsid w:val="008C5BA6"/>
    <w:rsid w:val="008C64D3"/>
    <w:rsid w:val="008C7D6F"/>
    <w:rsid w:val="008D1BDD"/>
    <w:rsid w:val="008D1D66"/>
    <w:rsid w:val="008D2424"/>
    <w:rsid w:val="008D7CD4"/>
    <w:rsid w:val="008E1F50"/>
    <w:rsid w:val="008E2848"/>
    <w:rsid w:val="008E2B90"/>
    <w:rsid w:val="008E388D"/>
    <w:rsid w:val="008E4DC6"/>
    <w:rsid w:val="008E539B"/>
    <w:rsid w:val="008E7F56"/>
    <w:rsid w:val="008F159A"/>
    <w:rsid w:val="008F1D90"/>
    <w:rsid w:val="008F24C4"/>
    <w:rsid w:val="008F2E74"/>
    <w:rsid w:val="008F47C3"/>
    <w:rsid w:val="008F540B"/>
    <w:rsid w:val="008F5857"/>
    <w:rsid w:val="008F597A"/>
    <w:rsid w:val="008F6FAC"/>
    <w:rsid w:val="00901C32"/>
    <w:rsid w:val="00902AEF"/>
    <w:rsid w:val="00903170"/>
    <w:rsid w:val="00903806"/>
    <w:rsid w:val="009058B6"/>
    <w:rsid w:val="00906512"/>
    <w:rsid w:val="009067E2"/>
    <w:rsid w:val="0091012B"/>
    <w:rsid w:val="00911709"/>
    <w:rsid w:val="009139F3"/>
    <w:rsid w:val="0091482B"/>
    <w:rsid w:val="00915319"/>
    <w:rsid w:val="00915988"/>
    <w:rsid w:val="009161B4"/>
    <w:rsid w:val="00916714"/>
    <w:rsid w:val="00917B75"/>
    <w:rsid w:val="00917BE0"/>
    <w:rsid w:val="00923555"/>
    <w:rsid w:val="00927014"/>
    <w:rsid w:val="00932161"/>
    <w:rsid w:val="009333BC"/>
    <w:rsid w:val="00933E32"/>
    <w:rsid w:val="00933E7D"/>
    <w:rsid w:val="00937088"/>
    <w:rsid w:val="009372B7"/>
    <w:rsid w:val="009414FD"/>
    <w:rsid w:val="0094157C"/>
    <w:rsid w:val="009420ED"/>
    <w:rsid w:val="009473AE"/>
    <w:rsid w:val="00947D0E"/>
    <w:rsid w:val="0095221A"/>
    <w:rsid w:val="00954813"/>
    <w:rsid w:val="00954A0E"/>
    <w:rsid w:val="00955657"/>
    <w:rsid w:val="00955A54"/>
    <w:rsid w:val="009569C0"/>
    <w:rsid w:val="00956A2A"/>
    <w:rsid w:val="009602DF"/>
    <w:rsid w:val="00960726"/>
    <w:rsid w:val="00960E9D"/>
    <w:rsid w:val="00963AFD"/>
    <w:rsid w:val="0096579B"/>
    <w:rsid w:val="0096648F"/>
    <w:rsid w:val="009664D0"/>
    <w:rsid w:val="00966D1D"/>
    <w:rsid w:val="00967859"/>
    <w:rsid w:val="009701D4"/>
    <w:rsid w:val="009719B8"/>
    <w:rsid w:val="00971AA2"/>
    <w:rsid w:val="00972777"/>
    <w:rsid w:val="009728BA"/>
    <w:rsid w:val="00973D7C"/>
    <w:rsid w:val="00974592"/>
    <w:rsid w:val="00975453"/>
    <w:rsid w:val="00976A59"/>
    <w:rsid w:val="009811F3"/>
    <w:rsid w:val="0098135F"/>
    <w:rsid w:val="009813DF"/>
    <w:rsid w:val="0098152B"/>
    <w:rsid w:val="00982F2E"/>
    <w:rsid w:val="009858A8"/>
    <w:rsid w:val="00986998"/>
    <w:rsid w:val="00990E1F"/>
    <w:rsid w:val="00991D6D"/>
    <w:rsid w:val="0099242F"/>
    <w:rsid w:val="00993304"/>
    <w:rsid w:val="00995FF6"/>
    <w:rsid w:val="00996029"/>
    <w:rsid w:val="00996A4C"/>
    <w:rsid w:val="00997EFC"/>
    <w:rsid w:val="009A0C07"/>
    <w:rsid w:val="009A0CF5"/>
    <w:rsid w:val="009A0F32"/>
    <w:rsid w:val="009A1DA9"/>
    <w:rsid w:val="009A575E"/>
    <w:rsid w:val="009A61D6"/>
    <w:rsid w:val="009A63E1"/>
    <w:rsid w:val="009B2B52"/>
    <w:rsid w:val="009C232E"/>
    <w:rsid w:val="009C2999"/>
    <w:rsid w:val="009C3599"/>
    <w:rsid w:val="009C3E3A"/>
    <w:rsid w:val="009C7106"/>
    <w:rsid w:val="009D198A"/>
    <w:rsid w:val="009D1A49"/>
    <w:rsid w:val="009D415A"/>
    <w:rsid w:val="009D5691"/>
    <w:rsid w:val="009D5EBD"/>
    <w:rsid w:val="009D72D7"/>
    <w:rsid w:val="009E0B04"/>
    <w:rsid w:val="009E21F3"/>
    <w:rsid w:val="009E27B2"/>
    <w:rsid w:val="009E28BB"/>
    <w:rsid w:val="009E3F4A"/>
    <w:rsid w:val="009E4287"/>
    <w:rsid w:val="009E44C7"/>
    <w:rsid w:val="009E48D4"/>
    <w:rsid w:val="009E5482"/>
    <w:rsid w:val="009E6409"/>
    <w:rsid w:val="009E6874"/>
    <w:rsid w:val="009E7145"/>
    <w:rsid w:val="009F0398"/>
    <w:rsid w:val="009F2930"/>
    <w:rsid w:val="009F4BA2"/>
    <w:rsid w:val="009F55E4"/>
    <w:rsid w:val="009F6948"/>
    <w:rsid w:val="00A0068B"/>
    <w:rsid w:val="00A015ED"/>
    <w:rsid w:val="00A061BF"/>
    <w:rsid w:val="00A06505"/>
    <w:rsid w:val="00A11860"/>
    <w:rsid w:val="00A122F3"/>
    <w:rsid w:val="00A13CC5"/>
    <w:rsid w:val="00A14053"/>
    <w:rsid w:val="00A16C5C"/>
    <w:rsid w:val="00A170B3"/>
    <w:rsid w:val="00A1792A"/>
    <w:rsid w:val="00A230F2"/>
    <w:rsid w:val="00A24514"/>
    <w:rsid w:val="00A25D3C"/>
    <w:rsid w:val="00A26F9F"/>
    <w:rsid w:val="00A3099D"/>
    <w:rsid w:val="00A330CD"/>
    <w:rsid w:val="00A339AC"/>
    <w:rsid w:val="00A339AE"/>
    <w:rsid w:val="00A354B0"/>
    <w:rsid w:val="00A35708"/>
    <w:rsid w:val="00A35901"/>
    <w:rsid w:val="00A35B3A"/>
    <w:rsid w:val="00A35D05"/>
    <w:rsid w:val="00A37FF5"/>
    <w:rsid w:val="00A421E1"/>
    <w:rsid w:val="00A434C3"/>
    <w:rsid w:val="00A44B6A"/>
    <w:rsid w:val="00A46902"/>
    <w:rsid w:val="00A51186"/>
    <w:rsid w:val="00A526FC"/>
    <w:rsid w:val="00A5383C"/>
    <w:rsid w:val="00A544C5"/>
    <w:rsid w:val="00A54E4F"/>
    <w:rsid w:val="00A55508"/>
    <w:rsid w:val="00A56D2E"/>
    <w:rsid w:val="00A57F04"/>
    <w:rsid w:val="00A60618"/>
    <w:rsid w:val="00A60FF4"/>
    <w:rsid w:val="00A624C4"/>
    <w:rsid w:val="00A62C5F"/>
    <w:rsid w:val="00A63D69"/>
    <w:rsid w:val="00A63D8F"/>
    <w:rsid w:val="00A64134"/>
    <w:rsid w:val="00A67225"/>
    <w:rsid w:val="00A6768C"/>
    <w:rsid w:val="00A70067"/>
    <w:rsid w:val="00A72BB2"/>
    <w:rsid w:val="00A74604"/>
    <w:rsid w:val="00A74690"/>
    <w:rsid w:val="00A77C0E"/>
    <w:rsid w:val="00A805EC"/>
    <w:rsid w:val="00A852EC"/>
    <w:rsid w:val="00A85BFC"/>
    <w:rsid w:val="00A87724"/>
    <w:rsid w:val="00A91CE2"/>
    <w:rsid w:val="00A921D7"/>
    <w:rsid w:val="00A94A78"/>
    <w:rsid w:val="00A959F5"/>
    <w:rsid w:val="00AA4D5E"/>
    <w:rsid w:val="00AA61F6"/>
    <w:rsid w:val="00AA62C8"/>
    <w:rsid w:val="00AA670A"/>
    <w:rsid w:val="00AA7416"/>
    <w:rsid w:val="00AA78D5"/>
    <w:rsid w:val="00AA7D38"/>
    <w:rsid w:val="00AB03E6"/>
    <w:rsid w:val="00AB18C1"/>
    <w:rsid w:val="00AB207D"/>
    <w:rsid w:val="00AB237D"/>
    <w:rsid w:val="00AB2D11"/>
    <w:rsid w:val="00AB45B0"/>
    <w:rsid w:val="00AB4C64"/>
    <w:rsid w:val="00AB5668"/>
    <w:rsid w:val="00AB6BC9"/>
    <w:rsid w:val="00AB6D3E"/>
    <w:rsid w:val="00AB7744"/>
    <w:rsid w:val="00AB7A7E"/>
    <w:rsid w:val="00AB7E4C"/>
    <w:rsid w:val="00AC0CC7"/>
    <w:rsid w:val="00AC1566"/>
    <w:rsid w:val="00AC3F11"/>
    <w:rsid w:val="00AC5704"/>
    <w:rsid w:val="00AD13FB"/>
    <w:rsid w:val="00AD25B3"/>
    <w:rsid w:val="00AD314B"/>
    <w:rsid w:val="00AD32A1"/>
    <w:rsid w:val="00AD48DE"/>
    <w:rsid w:val="00AE4AA6"/>
    <w:rsid w:val="00AE581C"/>
    <w:rsid w:val="00AE7D2D"/>
    <w:rsid w:val="00AE7E1A"/>
    <w:rsid w:val="00AF28CB"/>
    <w:rsid w:val="00AF3C6B"/>
    <w:rsid w:val="00AF57D6"/>
    <w:rsid w:val="00AF5A40"/>
    <w:rsid w:val="00AF63D9"/>
    <w:rsid w:val="00AF6DEE"/>
    <w:rsid w:val="00AF7184"/>
    <w:rsid w:val="00AF78B2"/>
    <w:rsid w:val="00AF7EF6"/>
    <w:rsid w:val="00B010EE"/>
    <w:rsid w:val="00B02148"/>
    <w:rsid w:val="00B02DDA"/>
    <w:rsid w:val="00B0371C"/>
    <w:rsid w:val="00B04B7F"/>
    <w:rsid w:val="00B05BE4"/>
    <w:rsid w:val="00B066E9"/>
    <w:rsid w:val="00B0736F"/>
    <w:rsid w:val="00B078C7"/>
    <w:rsid w:val="00B07A2A"/>
    <w:rsid w:val="00B10E22"/>
    <w:rsid w:val="00B12A6D"/>
    <w:rsid w:val="00B12BB2"/>
    <w:rsid w:val="00B13F6A"/>
    <w:rsid w:val="00B1747A"/>
    <w:rsid w:val="00B17949"/>
    <w:rsid w:val="00B20AF8"/>
    <w:rsid w:val="00B21F00"/>
    <w:rsid w:val="00B2525A"/>
    <w:rsid w:val="00B3083E"/>
    <w:rsid w:val="00B30BA8"/>
    <w:rsid w:val="00B32987"/>
    <w:rsid w:val="00B33C22"/>
    <w:rsid w:val="00B344A3"/>
    <w:rsid w:val="00B34B39"/>
    <w:rsid w:val="00B35AB6"/>
    <w:rsid w:val="00B36099"/>
    <w:rsid w:val="00B36A81"/>
    <w:rsid w:val="00B43CA0"/>
    <w:rsid w:val="00B473AD"/>
    <w:rsid w:val="00B47DF9"/>
    <w:rsid w:val="00B50DF7"/>
    <w:rsid w:val="00B54EBA"/>
    <w:rsid w:val="00B60A95"/>
    <w:rsid w:val="00B610CA"/>
    <w:rsid w:val="00B6126F"/>
    <w:rsid w:val="00B62737"/>
    <w:rsid w:val="00B63123"/>
    <w:rsid w:val="00B63E26"/>
    <w:rsid w:val="00B66284"/>
    <w:rsid w:val="00B669EF"/>
    <w:rsid w:val="00B6725C"/>
    <w:rsid w:val="00B715BA"/>
    <w:rsid w:val="00B727AB"/>
    <w:rsid w:val="00B7416D"/>
    <w:rsid w:val="00B746F5"/>
    <w:rsid w:val="00B76CE3"/>
    <w:rsid w:val="00B8028B"/>
    <w:rsid w:val="00B81712"/>
    <w:rsid w:val="00B82B3C"/>
    <w:rsid w:val="00B84A0C"/>
    <w:rsid w:val="00B855A4"/>
    <w:rsid w:val="00B8640F"/>
    <w:rsid w:val="00B87888"/>
    <w:rsid w:val="00B90A5B"/>
    <w:rsid w:val="00B90B73"/>
    <w:rsid w:val="00B91DF0"/>
    <w:rsid w:val="00B91FA3"/>
    <w:rsid w:val="00B924C1"/>
    <w:rsid w:val="00B92A32"/>
    <w:rsid w:val="00B94DD6"/>
    <w:rsid w:val="00B9573F"/>
    <w:rsid w:val="00B9684E"/>
    <w:rsid w:val="00B972FB"/>
    <w:rsid w:val="00BA2528"/>
    <w:rsid w:val="00BA2660"/>
    <w:rsid w:val="00BA3839"/>
    <w:rsid w:val="00BA48A5"/>
    <w:rsid w:val="00BA49D0"/>
    <w:rsid w:val="00BA5689"/>
    <w:rsid w:val="00BA7F91"/>
    <w:rsid w:val="00BB07C1"/>
    <w:rsid w:val="00BB0962"/>
    <w:rsid w:val="00BB1C82"/>
    <w:rsid w:val="00BB23AC"/>
    <w:rsid w:val="00BB2926"/>
    <w:rsid w:val="00BB362C"/>
    <w:rsid w:val="00BB5031"/>
    <w:rsid w:val="00BB6817"/>
    <w:rsid w:val="00BB7D59"/>
    <w:rsid w:val="00BC159F"/>
    <w:rsid w:val="00BC35FE"/>
    <w:rsid w:val="00BC4A50"/>
    <w:rsid w:val="00BC50A8"/>
    <w:rsid w:val="00BC6513"/>
    <w:rsid w:val="00BC6D14"/>
    <w:rsid w:val="00BC6D61"/>
    <w:rsid w:val="00BC6FDC"/>
    <w:rsid w:val="00BD2FC0"/>
    <w:rsid w:val="00BD4996"/>
    <w:rsid w:val="00BE1688"/>
    <w:rsid w:val="00BE4A1C"/>
    <w:rsid w:val="00BE4EE8"/>
    <w:rsid w:val="00BE73FE"/>
    <w:rsid w:val="00BE7D54"/>
    <w:rsid w:val="00BF04CE"/>
    <w:rsid w:val="00BF0A7C"/>
    <w:rsid w:val="00BF12CB"/>
    <w:rsid w:val="00BF1E68"/>
    <w:rsid w:val="00BF3A58"/>
    <w:rsid w:val="00BF3E28"/>
    <w:rsid w:val="00BF74D0"/>
    <w:rsid w:val="00C00569"/>
    <w:rsid w:val="00C0077C"/>
    <w:rsid w:val="00C00AE8"/>
    <w:rsid w:val="00C124CA"/>
    <w:rsid w:val="00C12EB4"/>
    <w:rsid w:val="00C13287"/>
    <w:rsid w:val="00C133CA"/>
    <w:rsid w:val="00C13619"/>
    <w:rsid w:val="00C13C10"/>
    <w:rsid w:val="00C16184"/>
    <w:rsid w:val="00C1704E"/>
    <w:rsid w:val="00C17A38"/>
    <w:rsid w:val="00C210E0"/>
    <w:rsid w:val="00C2220F"/>
    <w:rsid w:val="00C22CAE"/>
    <w:rsid w:val="00C22D8C"/>
    <w:rsid w:val="00C241B2"/>
    <w:rsid w:val="00C27832"/>
    <w:rsid w:val="00C3010E"/>
    <w:rsid w:val="00C32D1C"/>
    <w:rsid w:val="00C34AF6"/>
    <w:rsid w:val="00C35015"/>
    <w:rsid w:val="00C3536C"/>
    <w:rsid w:val="00C35750"/>
    <w:rsid w:val="00C377FF"/>
    <w:rsid w:val="00C3794A"/>
    <w:rsid w:val="00C40010"/>
    <w:rsid w:val="00C4439C"/>
    <w:rsid w:val="00C452E9"/>
    <w:rsid w:val="00C45D70"/>
    <w:rsid w:val="00C46582"/>
    <w:rsid w:val="00C4797B"/>
    <w:rsid w:val="00C52CE8"/>
    <w:rsid w:val="00C535EB"/>
    <w:rsid w:val="00C5707E"/>
    <w:rsid w:val="00C6041D"/>
    <w:rsid w:val="00C60FB4"/>
    <w:rsid w:val="00C64F6A"/>
    <w:rsid w:val="00C729C2"/>
    <w:rsid w:val="00C73BAD"/>
    <w:rsid w:val="00C76961"/>
    <w:rsid w:val="00C80BDE"/>
    <w:rsid w:val="00C8128E"/>
    <w:rsid w:val="00C842B6"/>
    <w:rsid w:val="00C843E0"/>
    <w:rsid w:val="00C85503"/>
    <w:rsid w:val="00C86173"/>
    <w:rsid w:val="00C9106A"/>
    <w:rsid w:val="00C91837"/>
    <w:rsid w:val="00C91D2B"/>
    <w:rsid w:val="00C92372"/>
    <w:rsid w:val="00C93023"/>
    <w:rsid w:val="00C96146"/>
    <w:rsid w:val="00C966CD"/>
    <w:rsid w:val="00C96FA4"/>
    <w:rsid w:val="00CA03DC"/>
    <w:rsid w:val="00CA2069"/>
    <w:rsid w:val="00CA3B3F"/>
    <w:rsid w:val="00CA40AF"/>
    <w:rsid w:val="00CA459D"/>
    <w:rsid w:val="00CA4E44"/>
    <w:rsid w:val="00CA539C"/>
    <w:rsid w:val="00CB0038"/>
    <w:rsid w:val="00CB0200"/>
    <w:rsid w:val="00CB0EFB"/>
    <w:rsid w:val="00CB1325"/>
    <w:rsid w:val="00CB1EE3"/>
    <w:rsid w:val="00CB3A47"/>
    <w:rsid w:val="00CB3CC9"/>
    <w:rsid w:val="00CB5747"/>
    <w:rsid w:val="00CB747D"/>
    <w:rsid w:val="00CB7DDB"/>
    <w:rsid w:val="00CC073B"/>
    <w:rsid w:val="00CC3B4E"/>
    <w:rsid w:val="00CC3E08"/>
    <w:rsid w:val="00CC4180"/>
    <w:rsid w:val="00CC70E7"/>
    <w:rsid w:val="00CD0A08"/>
    <w:rsid w:val="00CD3427"/>
    <w:rsid w:val="00CD35C9"/>
    <w:rsid w:val="00CD45F4"/>
    <w:rsid w:val="00CD48D8"/>
    <w:rsid w:val="00CD49EA"/>
    <w:rsid w:val="00CD5C8F"/>
    <w:rsid w:val="00CD7A21"/>
    <w:rsid w:val="00CE0676"/>
    <w:rsid w:val="00CE0B2B"/>
    <w:rsid w:val="00CE2327"/>
    <w:rsid w:val="00CE2CB6"/>
    <w:rsid w:val="00CE37D3"/>
    <w:rsid w:val="00CE4F83"/>
    <w:rsid w:val="00CE51F4"/>
    <w:rsid w:val="00CE5C56"/>
    <w:rsid w:val="00CE691D"/>
    <w:rsid w:val="00CF033F"/>
    <w:rsid w:val="00CF0625"/>
    <w:rsid w:val="00CF5151"/>
    <w:rsid w:val="00CF6CCB"/>
    <w:rsid w:val="00CF7BBC"/>
    <w:rsid w:val="00D0158E"/>
    <w:rsid w:val="00D01738"/>
    <w:rsid w:val="00D01F0D"/>
    <w:rsid w:val="00D02ADF"/>
    <w:rsid w:val="00D02DA3"/>
    <w:rsid w:val="00D04463"/>
    <w:rsid w:val="00D0450D"/>
    <w:rsid w:val="00D06D42"/>
    <w:rsid w:val="00D07806"/>
    <w:rsid w:val="00D079C0"/>
    <w:rsid w:val="00D103E6"/>
    <w:rsid w:val="00D109B7"/>
    <w:rsid w:val="00D12375"/>
    <w:rsid w:val="00D13BDF"/>
    <w:rsid w:val="00D14DCF"/>
    <w:rsid w:val="00D14DD3"/>
    <w:rsid w:val="00D15812"/>
    <w:rsid w:val="00D16137"/>
    <w:rsid w:val="00D16870"/>
    <w:rsid w:val="00D17741"/>
    <w:rsid w:val="00D22AB7"/>
    <w:rsid w:val="00D22B36"/>
    <w:rsid w:val="00D23585"/>
    <w:rsid w:val="00D24207"/>
    <w:rsid w:val="00D243FF"/>
    <w:rsid w:val="00D261E8"/>
    <w:rsid w:val="00D27505"/>
    <w:rsid w:val="00D2764A"/>
    <w:rsid w:val="00D2766A"/>
    <w:rsid w:val="00D30043"/>
    <w:rsid w:val="00D308F4"/>
    <w:rsid w:val="00D325FD"/>
    <w:rsid w:val="00D3659F"/>
    <w:rsid w:val="00D36AA6"/>
    <w:rsid w:val="00D37134"/>
    <w:rsid w:val="00D40B7B"/>
    <w:rsid w:val="00D413C4"/>
    <w:rsid w:val="00D41D31"/>
    <w:rsid w:val="00D44CE6"/>
    <w:rsid w:val="00D45C03"/>
    <w:rsid w:val="00D50894"/>
    <w:rsid w:val="00D52897"/>
    <w:rsid w:val="00D538DB"/>
    <w:rsid w:val="00D54CEF"/>
    <w:rsid w:val="00D601C9"/>
    <w:rsid w:val="00D6032A"/>
    <w:rsid w:val="00D622BA"/>
    <w:rsid w:val="00D6366A"/>
    <w:rsid w:val="00D667F9"/>
    <w:rsid w:val="00D66E2E"/>
    <w:rsid w:val="00D67F24"/>
    <w:rsid w:val="00D72102"/>
    <w:rsid w:val="00D73BA3"/>
    <w:rsid w:val="00D74DAE"/>
    <w:rsid w:val="00D76978"/>
    <w:rsid w:val="00D77547"/>
    <w:rsid w:val="00D81DA6"/>
    <w:rsid w:val="00D831A7"/>
    <w:rsid w:val="00D84069"/>
    <w:rsid w:val="00D84D2B"/>
    <w:rsid w:val="00D87BE8"/>
    <w:rsid w:val="00D87D87"/>
    <w:rsid w:val="00D90D2F"/>
    <w:rsid w:val="00D910F3"/>
    <w:rsid w:val="00D91107"/>
    <w:rsid w:val="00D92076"/>
    <w:rsid w:val="00D93ACE"/>
    <w:rsid w:val="00D93B59"/>
    <w:rsid w:val="00D93F61"/>
    <w:rsid w:val="00D9487F"/>
    <w:rsid w:val="00D9735B"/>
    <w:rsid w:val="00DA0A05"/>
    <w:rsid w:val="00DA228F"/>
    <w:rsid w:val="00DA262D"/>
    <w:rsid w:val="00DA3220"/>
    <w:rsid w:val="00DA3E2F"/>
    <w:rsid w:val="00DA4F8F"/>
    <w:rsid w:val="00DA6996"/>
    <w:rsid w:val="00DB096A"/>
    <w:rsid w:val="00DB377A"/>
    <w:rsid w:val="00DB3BC1"/>
    <w:rsid w:val="00DB4A99"/>
    <w:rsid w:val="00DB5083"/>
    <w:rsid w:val="00DB556C"/>
    <w:rsid w:val="00DC155B"/>
    <w:rsid w:val="00DC27A7"/>
    <w:rsid w:val="00DC2AA5"/>
    <w:rsid w:val="00DC3020"/>
    <w:rsid w:val="00DC5A87"/>
    <w:rsid w:val="00DC7D7F"/>
    <w:rsid w:val="00DD05C9"/>
    <w:rsid w:val="00DD0FAD"/>
    <w:rsid w:val="00DD12AF"/>
    <w:rsid w:val="00DD1553"/>
    <w:rsid w:val="00DD1BB9"/>
    <w:rsid w:val="00DD288E"/>
    <w:rsid w:val="00DD4F93"/>
    <w:rsid w:val="00DD5954"/>
    <w:rsid w:val="00DE0C45"/>
    <w:rsid w:val="00DE16C6"/>
    <w:rsid w:val="00DE1AAA"/>
    <w:rsid w:val="00DE2B7D"/>
    <w:rsid w:val="00DE373D"/>
    <w:rsid w:val="00DE3902"/>
    <w:rsid w:val="00DE42D5"/>
    <w:rsid w:val="00DE6E6A"/>
    <w:rsid w:val="00DF1D64"/>
    <w:rsid w:val="00DF1EEF"/>
    <w:rsid w:val="00DF482D"/>
    <w:rsid w:val="00DF4B31"/>
    <w:rsid w:val="00DF55BF"/>
    <w:rsid w:val="00DF5E5A"/>
    <w:rsid w:val="00DF6FED"/>
    <w:rsid w:val="00DF761F"/>
    <w:rsid w:val="00E00308"/>
    <w:rsid w:val="00E027C7"/>
    <w:rsid w:val="00E034AE"/>
    <w:rsid w:val="00E040F0"/>
    <w:rsid w:val="00E047BB"/>
    <w:rsid w:val="00E06163"/>
    <w:rsid w:val="00E065FA"/>
    <w:rsid w:val="00E0695E"/>
    <w:rsid w:val="00E104F8"/>
    <w:rsid w:val="00E10F69"/>
    <w:rsid w:val="00E14D01"/>
    <w:rsid w:val="00E16C78"/>
    <w:rsid w:val="00E16D7B"/>
    <w:rsid w:val="00E1702C"/>
    <w:rsid w:val="00E17ECA"/>
    <w:rsid w:val="00E20462"/>
    <w:rsid w:val="00E20A46"/>
    <w:rsid w:val="00E21244"/>
    <w:rsid w:val="00E21430"/>
    <w:rsid w:val="00E21AE6"/>
    <w:rsid w:val="00E231EB"/>
    <w:rsid w:val="00E24416"/>
    <w:rsid w:val="00E251C8"/>
    <w:rsid w:val="00E25DC9"/>
    <w:rsid w:val="00E26CFB"/>
    <w:rsid w:val="00E276A5"/>
    <w:rsid w:val="00E302DC"/>
    <w:rsid w:val="00E30494"/>
    <w:rsid w:val="00E33947"/>
    <w:rsid w:val="00E34C74"/>
    <w:rsid w:val="00E36491"/>
    <w:rsid w:val="00E369FB"/>
    <w:rsid w:val="00E37749"/>
    <w:rsid w:val="00E37C65"/>
    <w:rsid w:val="00E4057B"/>
    <w:rsid w:val="00E41C7C"/>
    <w:rsid w:val="00E41F2D"/>
    <w:rsid w:val="00E43739"/>
    <w:rsid w:val="00E451BA"/>
    <w:rsid w:val="00E4595E"/>
    <w:rsid w:val="00E47CC9"/>
    <w:rsid w:val="00E51177"/>
    <w:rsid w:val="00E51939"/>
    <w:rsid w:val="00E52556"/>
    <w:rsid w:val="00E53C20"/>
    <w:rsid w:val="00E53ED8"/>
    <w:rsid w:val="00E55601"/>
    <w:rsid w:val="00E57C7A"/>
    <w:rsid w:val="00E632AD"/>
    <w:rsid w:val="00E63ED6"/>
    <w:rsid w:val="00E65E99"/>
    <w:rsid w:val="00E666F0"/>
    <w:rsid w:val="00E67C3D"/>
    <w:rsid w:val="00E70222"/>
    <w:rsid w:val="00E7329C"/>
    <w:rsid w:val="00E73DBF"/>
    <w:rsid w:val="00E742A4"/>
    <w:rsid w:val="00E754AD"/>
    <w:rsid w:val="00E77E37"/>
    <w:rsid w:val="00E806C8"/>
    <w:rsid w:val="00E810F4"/>
    <w:rsid w:val="00E82E3E"/>
    <w:rsid w:val="00E846B2"/>
    <w:rsid w:val="00E846FF"/>
    <w:rsid w:val="00E8509C"/>
    <w:rsid w:val="00E869C6"/>
    <w:rsid w:val="00E873AB"/>
    <w:rsid w:val="00E87803"/>
    <w:rsid w:val="00E90081"/>
    <w:rsid w:val="00E91154"/>
    <w:rsid w:val="00E92AF8"/>
    <w:rsid w:val="00E93027"/>
    <w:rsid w:val="00E950A7"/>
    <w:rsid w:val="00E96D57"/>
    <w:rsid w:val="00E96FBF"/>
    <w:rsid w:val="00E9754A"/>
    <w:rsid w:val="00EA06C7"/>
    <w:rsid w:val="00EA07EF"/>
    <w:rsid w:val="00EA0D0D"/>
    <w:rsid w:val="00EA1D1C"/>
    <w:rsid w:val="00EA3EAB"/>
    <w:rsid w:val="00EA419D"/>
    <w:rsid w:val="00EA78B5"/>
    <w:rsid w:val="00EB174A"/>
    <w:rsid w:val="00EB2814"/>
    <w:rsid w:val="00EB2AA2"/>
    <w:rsid w:val="00EB6484"/>
    <w:rsid w:val="00EB655B"/>
    <w:rsid w:val="00EB7348"/>
    <w:rsid w:val="00EB7892"/>
    <w:rsid w:val="00EC0347"/>
    <w:rsid w:val="00EC1F18"/>
    <w:rsid w:val="00EC2CA8"/>
    <w:rsid w:val="00EC2F9F"/>
    <w:rsid w:val="00EC357A"/>
    <w:rsid w:val="00EC4025"/>
    <w:rsid w:val="00EC5A13"/>
    <w:rsid w:val="00ED004A"/>
    <w:rsid w:val="00ED103A"/>
    <w:rsid w:val="00ED27B1"/>
    <w:rsid w:val="00ED3A62"/>
    <w:rsid w:val="00ED3E3C"/>
    <w:rsid w:val="00ED5354"/>
    <w:rsid w:val="00ED64ED"/>
    <w:rsid w:val="00ED70B6"/>
    <w:rsid w:val="00EE2595"/>
    <w:rsid w:val="00EE2E97"/>
    <w:rsid w:val="00EE38E8"/>
    <w:rsid w:val="00EE4048"/>
    <w:rsid w:val="00EE505D"/>
    <w:rsid w:val="00EF14B9"/>
    <w:rsid w:val="00EF2F2A"/>
    <w:rsid w:val="00EF4C0A"/>
    <w:rsid w:val="00EF7EEC"/>
    <w:rsid w:val="00F01BF6"/>
    <w:rsid w:val="00F0268D"/>
    <w:rsid w:val="00F02E66"/>
    <w:rsid w:val="00F048EB"/>
    <w:rsid w:val="00F05DA0"/>
    <w:rsid w:val="00F1217D"/>
    <w:rsid w:val="00F12465"/>
    <w:rsid w:val="00F12C29"/>
    <w:rsid w:val="00F1335E"/>
    <w:rsid w:val="00F1377D"/>
    <w:rsid w:val="00F142D0"/>
    <w:rsid w:val="00F147B2"/>
    <w:rsid w:val="00F14F22"/>
    <w:rsid w:val="00F1604F"/>
    <w:rsid w:val="00F17A75"/>
    <w:rsid w:val="00F17F86"/>
    <w:rsid w:val="00F206CB"/>
    <w:rsid w:val="00F21EBE"/>
    <w:rsid w:val="00F22E6C"/>
    <w:rsid w:val="00F24D8A"/>
    <w:rsid w:val="00F30480"/>
    <w:rsid w:val="00F31637"/>
    <w:rsid w:val="00F34420"/>
    <w:rsid w:val="00F40691"/>
    <w:rsid w:val="00F41482"/>
    <w:rsid w:val="00F435D4"/>
    <w:rsid w:val="00F43FF6"/>
    <w:rsid w:val="00F454A4"/>
    <w:rsid w:val="00F45547"/>
    <w:rsid w:val="00F46BA6"/>
    <w:rsid w:val="00F50280"/>
    <w:rsid w:val="00F505F7"/>
    <w:rsid w:val="00F50F3A"/>
    <w:rsid w:val="00F51DC5"/>
    <w:rsid w:val="00F51FFF"/>
    <w:rsid w:val="00F53318"/>
    <w:rsid w:val="00F56DE5"/>
    <w:rsid w:val="00F604F0"/>
    <w:rsid w:val="00F60AB9"/>
    <w:rsid w:val="00F61099"/>
    <w:rsid w:val="00F617B3"/>
    <w:rsid w:val="00F621CE"/>
    <w:rsid w:val="00F622E0"/>
    <w:rsid w:val="00F62D6F"/>
    <w:rsid w:val="00F644C6"/>
    <w:rsid w:val="00F64B61"/>
    <w:rsid w:val="00F64B89"/>
    <w:rsid w:val="00F7254E"/>
    <w:rsid w:val="00F7423B"/>
    <w:rsid w:val="00F748D1"/>
    <w:rsid w:val="00F76EB3"/>
    <w:rsid w:val="00F82321"/>
    <w:rsid w:val="00F82C5A"/>
    <w:rsid w:val="00F833A9"/>
    <w:rsid w:val="00F84ADC"/>
    <w:rsid w:val="00F86F30"/>
    <w:rsid w:val="00F87E8C"/>
    <w:rsid w:val="00F90648"/>
    <w:rsid w:val="00F90B22"/>
    <w:rsid w:val="00F925D7"/>
    <w:rsid w:val="00F93BA6"/>
    <w:rsid w:val="00F942A1"/>
    <w:rsid w:val="00F9464F"/>
    <w:rsid w:val="00F94855"/>
    <w:rsid w:val="00FA01AE"/>
    <w:rsid w:val="00FA06AA"/>
    <w:rsid w:val="00FA0885"/>
    <w:rsid w:val="00FA11CD"/>
    <w:rsid w:val="00FA2A3D"/>
    <w:rsid w:val="00FA3535"/>
    <w:rsid w:val="00FA3C3A"/>
    <w:rsid w:val="00FA4EA2"/>
    <w:rsid w:val="00FB13ED"/>
    <w:rsid w:val="00FB3001"/>
    <w:rsid w:val="00FB48E3"/>
    <w:rsid w:val="00FC0B48"/>
    <w:rsid w:val="00FC0D04"/>
    <w:rsid w:val="00FC1415"/>
    <w:rsid w:val="00FC500F"/>
    <w:rsid w:val="00FC5C28"/>
    <w:rsid w:val="00FC66F6"/>
    <w:rsid w:val="00FD00AA"/>
    <w:rsid w:val="00FD08FE"/>
    <w:rsid w:val="00FD1AE2"/>
    <w:rsid w:val="00FD1CB8"/>
    <w:rsid w:val="00FD3894"/>
    <w:rsid w:val="00FD4295"/>
    <w:rsid w:val="00FD7EBD"/>
    <w:rsid w:val="00FE0CC7"/>
    <w:rsid w:val="00FE639E"/>
    <w:rsid w:val="00FE707D"/>
    <w:rsid w:val="00FE7926"/>
    <w:rsid w:val="00FE7F47"/>
    <w:rsid w:val="00FF26A3"/>
    <w:rsid w:val="00FF3E6F"/>
    <w:rsid w:val="00FF50DF"/>
    <w:rsid w:val="00FF734F"/>
    <w:rsid w:val="00FF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E6C4"/>
  <w15:docId w15:val="{D5B035ED-C22D-4441-AD92-91C06944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0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D15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48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96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AD48D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87BE8"/>
    <w:rPr>
      <w:color w:val="0563C1" w:themeColor="hyperlink"/>
      <w:u w:val="single"/>
    </w:rPr>
  </w:style>
  <w:style w:type="character" w:customStyle="1" w:styleId="UnresolvedMention1">
    <w:name w:val="Unresolved Mention1"/>
    <w:basedOn w:val="DefaultParagraphFont"/>
    <w:uiPriority w:val="99"/>
    <w:semiHidden/>
    <w:unhideWhenUsed/>
    <w:rsid w:val="00D87BE8"/>
    <w:rPr>
      <w:color w:val="605E5C"/>
      <w:shd w:val="clear" w:color="auto" w:fill="E1DFDD"/>
    </w:rPr>
  </w:style>
  <w:style w:type="table" w:styleId="TableGrid">
    <w:name w:val="Table Grid"/>
    <w:basedOn w:val="TableNormal"/>
    <w:uiPriority w:val="39"/>
    <w:rsid w:val="0099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C3B4E"/>
    <w:rPr>
      <w:color w:val="605E5C"/>
      <w:shd w:val="clear" w:color="auto" w:fill="E1DFDD"/>
    </w:rPr>
  </w:style>
  <w:style w:type="character" w:customStyle="1" w:styleId="UnresolvedMention3">
    <w:name w:val="Unresolved Mention3"/>
    <w:basedOn w:val="DefaultParagraphFont"/>
    <w:uiPriority w:val="99"/>
    <w:semiHidden/>
    <w:unhideWhenUsed/>
    <w:rsid w:val="00E70222"/>
    <w:rPr>
      <w:color w:val="605E5C"/>
      <w:shd w:val="clear" w:color="auto" w:fill="E1DFDD"/>
    </w:rPr>
  </w:style>
  <w:style w:type="character" w:customStyle="1" w:styleId="Heading3Char">
    <w:name w:val="Heading 3 Char"/>
    <w:basedOn w:val="DefaultParagraphFont"/>
    <w:link w:val="Heading3"/>
    <w:uiPriority w:val="9"/>
    <w:semiHidden/>
    <w:rsid w:val="00DD1553"/>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B0371C"/>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0371C"/>
    <w:rPr>
      <w:rFonts w:ascii="Calibri" w:hAnsi="Calibri" w:cs="Calibri"/>
      <w:lang w:val="en-US"/>
    </w:rPr>
  </w:style>
  <w:style w:type="paragraph" w:customStyle="1" w:styleId="EndNoteBibliography">
    <w:name w:val="EndNote Bibliography"/>
    <w:basedOn w:val="Normal"/>
    <w:link w:val="EndNoteBibliographyChar"/>
    <w:rsid w:val="00B0371C"/>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B0371C"/>
    <w:rPr>
      <w:rFonts w:ascii="Calibri" w:hAnsi="Calibri" w:cs="Calibri"/>
      <w:lang w:val="en-US"/>
    </w:rPr>
  </w:style>
  <w:style w:type="character" w:styleId="LineNumber">
    <w:name w:val="line number"/>
    <w:basedOn w:val="DefaultParagraphFont"/>
    <w:uiPriority w:val="99"/>
    <w:semiHidden/>
    <w:unhideWhenUsed/>
    <w:rsid w:val="00500FEE"/>
  </w:style>
  <w:style w:type="paragraph" w:styleId="HTMLPreformatted">
    <w:name w:val="HTML Preformatted"/>
    <w:basedOn w:val="Normal"/>
    <w:link w:val="HTMLPreformattedChar"/>
    <w:uiPriority w:val="99"/>
    <w:semiHidden/>
    <w:unhideWhenUsed/>
    <w:rsid w:val="0070705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705D"/>
    <w:rPr>
      <w:rFonts w:ascii="Consolas" w:hAnsi="Consolas"/>
      <w:sz w:val="20"/>
      <w:szCs w:val="20"/>
    </w:rPr>
  </w:style>
  <w:style w:type="paragraph" w:styleId="BalloonText">
    <w:name w:val="Balloon Text"/>
    <w:basedOn w:val="Normal"/>
    <w:link w:val="BalloonTextChar"/>
    <w:uiPriority w:val="99"/>
    <w:semiHidden/>
    <w:unhideWhenUsed/>
    <w:rsid w:val="008B4E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E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94855"/>
    <w:rPr>
      <w:sz w:val="16"/>
      <w:szCs w:val="16"/>
    </w:rPr>
  </w:style>
  <w:style w:type="paragraph" w:styleId="CommentText">
    <w:name w:val="annotation text"/>
    <w:basedOn w:val="Normal"/>
    <w:link w:val="CommentTextChar"/>
    <w:uiPriority w:val="99"/>
    <w:semiHidden/>
    <w:unhideWhenUsed/>
    <w:rsid w:val="00F94855"/>
    <w:pPr>
      <w:spacing w:line="240" w:lineRule="auto"/>
    </w:pPr>
    <w:rPr>
      <w:sz w:val="20"/>
      <w:szCs w:val="20"/>
    </w:rPr>
  </w:style>
  <w:style w:type="character" w:customStyle="1" w:styleId="CommentTextChar">
    <w:name w:val="Comment Text Char"/>
    <w:basedOn w:val="DefaultParagraphFont"/>
    <w:link w:val="CommentText"/>
    <w:uiPriority w:val="99"/>
    <w:semiHidden/>
    <w:rsid w:val="00F94855"/>
    <w:rPr>
      <w:sz w:val="20"/>
      <w:szCs w:val="20"/>
    </w:rPr>
  </w:style>
  <w:style w:type="paragraph" w:styleId="CommentSubject">
    <w:name w:val="annotation subject"/>
    <w:basedOn w:val="CommentText"/>
    <w:next w:val="CommentText"/>
    <w:link w:val="CommentSubjectChar"/>
    <w:uiPriority w:val="99"/>
    <w:semiHidden/>
    <w:unhideWhenUsed/>
    <w:rsid w:val="00F94855"/>
    <w:rPr>
      <w:b/>
      <w:bCs/>
    </w:rPr>
  </w:style>
  <w:style w:type="character" w:customStyle="1" w:styleId="CommentSubjectChar">
    <w:name w:val="Comment Subject Char"/>
    <w:basedOn w:val="CommentTextChar"/>
    <w:link w:val="CommentSubject"/>
    <w:uiPriority w:val="99"/>
    <w:semiHidden/>
    <w:rsid w:val="00F94855"/>
    <w:rPr>
      <w:b/>
      <w:bCs/>
      <w:sz w:val="20"/>
      <w:szCs w:val="20"/>
    </w:rPr>
  </w:style>
  <w:style w:type="paragraph" w:styleId="Revision">
    <w:name w:val="Revision"/>
    <w:hidden/>
    <w:uiPriority w:val="99"/>
    <w:semiHidden/>
    <w:rsid w:val="004312B3"/>
    <w:pPr>
      <w:spacing w:after="0" w:line="240" w:lineRule="auto"/>
    </w:pPr>
  </w:style>
  <w:style w:type="paragraph" w:styleId="ListParagraph">
    <w:name w:val="List Paragraph"/>
    <w:basedOn w:val="Normal"/>
    <w:uiPriority w:val="34"/>
    <w:qFormat/>
    <w:rsid w:val="0049300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144">
      <w:bodyDiv w:val="1"/>
      <w:marLeft w:val="0"/>
      <w:marRight w:val="0"/>
      <w:marTop w:val="0"/>
      <w:marBottom w:val="0"/>
      <w:divBdr>
        <w:top w:val="none" w:sz="0" w:space="0" w:color="auto"/>
        <w:left w:val="none" w:sz="0" w:space="0" w:color="auto"/>
        <w:bottom w:val="none" w:sz="0" w:space="0" w:color="auto"/>
        <w:right w:val="none" w:sz="0" w:space="0" w:color="auto"/>
      </w:divBdr>
    </w:div>
    <w:div w:id="57873416">
      <w:bodyDiv w:val="1"/>
      <w:marLeft w:val="0"/>
      <w:marRight w:val="0"/>
      <w:marTop w:val="0"/>
      <w:marBottom w:val="0"/>
      <w:divBdr>
        <w:top w:val="none" w:sz="0" w:space="0" w:color="auto"/>
        <w:left w:val="none" w:sz="0" w:space="0" w:color="auto"/>
        <w:bottom w:val="none" w:sz="0" w:space="0" w:color="auto"/>
        <w:right w:val="none" w:sz="0" w:space="0" w:color="auto"/>
      </w:divBdr>
    </w:div>
    <w:div w:id="60565760">
      <w:bodyDiv w:val="1"/>
      <w:marLeft w:val="0"/>
      <w:marRight w:val="0"/>
      <w:marTop w:val="0"/>
      <w:marBottom w:val="0"/>
      <w:divBdr>
        <w:top w:val="none" w:sz="0" w:space="0" w:color="auto"/>
        <w:left w:val="none" w:sz="0" w:space="0" w:color="auto"/>
        <w:bottom w:val="none" w:sz="0" w:space="0" w:color="auto"/>
        <w:right w:val="none" w:sz="0" w:space="0" w:color="auto"/>
      </w:divBdr>
    </w:div>
    <w:div w:id="107088293">
      <w:bodyDiv w:val="1"/>
      <w:marLeft w:val="0"/>
      <w:marRight w:val="0"/>
      <w:marTop w:val="0"/>
      <w:marBottom w:val="0"/>
      <w:divBdr>
        <w:top w:val="none" w:sz="0" w:space="0" w:color="auto"/>
        <w:left w:val="none" w:sz="0" w:space="0" w:color="auto"/>
        <w:bottom w:val="none" w:sz="0" w:space="0" w:color="auto"/>
        <w:right w:val="none" w:sz="0" w:space="0" w:color="auto"/>
      </w:divBdr>
    </w:div>
    <w:div w:id="153420232">
      <w:bodyDiv w:val="1"/>
      <w:marLeft w:val="0"/>
      <w:marRight w:val="0"/>
      <w:marTop w:val="0"/>
      <w:marBottom w:val="0"/>
      <w:divBdr>
        <w:top w:val="none" w:sz="0" w:space="0" w:color="auto"/>
        <w:left w:val="none" w:sz="0" w:space="0" w:color="auto"/>
        <w:bottom w:val="none" w:sz="0" w:space="0" w:color="auto"/>
        <w:right w:val="none" w:sz="0" w:space="0" w:color="auto"/>
      </w:divBdr>
    </w:div>
    <w:div w:id="297533796">
      <w:bodyDiv w:val="1"/>
      <w:marLeft w:val="0"/>
      <w:marRight w:val="0"/>
      <w:marTop w:val="0"/>
      <w:marBottom w:val="0"/>
      <w:divBdr>
        <w:top w:val="none" w:sz="0" w:space="0" w:color="auto"/>
        <w:left w:val="none" w:sz="0" w:space="0" w:color="auto"/>
        <w:bottom w:val="none" w:sz="0" w:space="0" w:color="auto"/>
        <w:right w:val="none" w:sz="0" w:space="0" w:color="auto"/>
      </w:divBdr>
      <w:divsChild>
        <w:div w:id="1537884418">
          <w:marLeft w:val="0"/>
          <w:marRight w:val="0"/>
          <w:marTop w:val="0"/>
          <w:marBottom w:val="0"/>
          <w:divBdr>
            <w:top w:val="none" w:sz="0" w:space="0" w:color="auto"/>
            <w:left w:val="none" w:sz="0" w:space="0" w:color="auto"/>
            <w:bottom w:val="none" w:sz="0" w:space="0" w:color="auto"/>
            <w:right w:val="none" w:sz="0" w:space="0" w:color="auto"/>
          </w:divBdr>
          <w:divsChild>
            <w:div w:id="2138911480">
              <w:marLeft w:val="0"/>
              <w:marRight w:val="0"/>
              <w:marTop w:val="0"/>
              <w:marBottom w:val="0"/>
              <w:divBdr>
                <w:top w:val="none" w:sz="0" w:space="0" w:color="auto"/>
                <w:left w:val="none" w:sz="0" w:space="0" w:color="auto"/>
                <w:bottom w:val="none" w:sz="0" w:space="0" w:color="auto"/>
                <w:right w:val="none" w:sz="0" w:space="0" w:color="auto"/>
              </w:divBdr>
              <w:divsChild>
                <w:div w:id="1080910778">
                  <w:marLeft w:val="0"/>
                  <w:marRight w:val="0"/>
                  <w:marTop w:val="0"/>
                  <w:marBottom w:val="0"/>
                  <w:divBdr>
                    <w:top w:val="none" w:sz="0" w:space="0" w:color="auto"/>
                    <w:left w:val="none" w:sz="0" w:space="0" w:color="auto"/>
                    <w:bottom w:val="none" w:sz="0" w:space="0" w:color="auto"/>
                    <w:right w:val="none" w:sz="0" w:space="0" w:color="auto"/>
                  </w:divBdr>
                  <w:divsChild>
                    <w:div w:id="1246569639">
                      <w:marLeft w:val="0"/>
                      <w:marRight w:val="0"/>
                      <w:marTop w:val="45"/>
                      <w:marBottom w:val="0"/>
                      <w:divBdr>
                        <w:top w:val="none" w:sz="0" w:space="0" w:color="auto"/>
                        <w:left w:val="none" w:sz="0" w:space="0" w:color="auto"/>
                        <w:bottom w:val="none" w:sz="0" w:space="0" w:color="auto"/>
                        <w:right w:val="none" w:sz="0" w:space="0" w:color="auto"/>
                      </w:divBdr>
                      <w:divsChild>
                        <w:div w:id="385109439">
                          <w:marLeft w:val="0"/>
                          <w:marRight w:val="0"/>
                          <w:marTop w:val="0"/>
                          <w:marBottom w:val="0"/>
                          <w:divBdr>
                            <w:top w:val="none" w:sz="0" w:space="0" w:color="auto"/>
                            <w:left w:val="none" w:sz="0" w:space="0" w:color="auto"/>
                            <w:bottom w:val="none" w:sz="0" w:space="0" w:color="auto"/>
                            <w:right w:val="none" w:sz="0" w:space="0" w:color="auto"/>
                          </w:divBdr>
                          <w:divsChild>
                            <w:div w:id="2121483656">
                              <w:marLeft w:val="2070"/>
                              <w:marRight w:val="3960"/>
                              <w:marTop w:val="0"/>
                              <w:marBottom w:val="0"/>
                              <w:divBdr>
                                <w:top w:val="none" w:sz="0" w:space="0" w:color="auto"/>
                                <w:left w:val="none" w:sz="0" w:space="0" w:color="auto"/>
                                <w:bottom w:val="none" w:sz="0" w:space="0" w:color="auto"/>
                                <w:right w:val="none" w:sz="0" w:space="0" w:color="auto"/>
                              </w:divBdr>
                              <w:divsChild>
                                <w:div w:id="1819034925">
                                  <w:marLeft w:val="0"/>
                                  <w:marRight w:val="0"/>
                                  <w:marTop w:val="0"/>
                                  <w:marBottom w:val="0"/>
                                  <w:divBdr>
                                    <w:top w:val="none" w:sz="0" w:space="0" w:color="auto"/>
                                    <w:left w:val="none" w:sz="0" w:space="0" w:color="auto"/>
                                    <w:bottom w:val="none" w:sz="0" w:space="0" w:color="auto"/>
                                    <w:right w:val="none" w:sz="0" w:space="0" w:color="auto"/>
                                  </w:divBdr>
                                  <w:divsChild>
                                    <w:div w:id="1510950016">
                                      <w:marLeft w:val="0"/>
                                      <w:marRight w:val="0"/>
                                      <w:marTop w:val="0"/>
                                      <w:marBottom w:val="0"/>
                                      <w:divBdr>
                                        <w:top w:val="none" w:sz="0" w:space="0" w:color="auto"/>
                                        <w:left w:val="none" w:sz="0" w:space="0" w:color="auto"/>
                                        <w:bottom w:val="none" w:sz="0" w:space="0" w:color="auto"/>
                                        <w:right w:val="none" w:sz="0" w:space="0" w:color="auto"/>
                                      </w:divBdr>
                                      <w:divsChild>
                                        <w:div w:id="312486941">
                                          <w:marLeft w:val="0"/>
                                          <w:marRight w:val="0"/>
                                          <w:marTop w:val="0"/>
                                          <w:marBottom w:val="0"/>
                                          <w:divBdr>
                                            <w:top w:val="none" w:sz="0" w:space="0" w:color="auto"/>
                                            <w:left w:val="none" w:sz="0" w:space="0" w:color="auto"/>
                                            <w:bottom w:val="none" w:sz="0" w:space="0" w:color="auto"/>
                                            <w:right w:val="none" w:sz="0" w:space="0" w:color="auto"/>
                                          </w:divBdr>
                                          <w:divsChild>
                                            <w:div w:id="914166746">
                                              <w:marLeft w:val="0"/>
                                              <w:marRight w:val="0"/>
                                              <w:marTop w:val="90"/>
                                              <w:marBottom w:val="0"/>
                                              <w:divBdr>
                                                <w:top w:val="none" w:sz="0" w:space="0" w:color="auto"/>
                                                <w:left w:val="none" w:sz="0" w:space="0" w:color="auto"/>
                                                <w:bottom w:val="none" w:sz="0" w:space="0" w:color="auto"/>
                                                <w:right w:val="none" w:sz="0" w:space="0" w:color="auto"/>
                                              </w:divBdr>
                                              <w:divsChild>
                                                <w:div w:id="211113081">
                                                  <w:marLeft w:val="0"/>
                                                  <w:marRight w:val="0"/>
                                                  <w:marTop w:val="0"/>
                                                  <w:marBottom w:val="0"/>
                                                  <w:divBdr>
                                                    <w:top w:val="none" w:sz="0" w:space="0" w:color="auto"/>
                                                    <w:left w:val="none" w:sz="0" w:space="0" w:color="auto"/>
                                                    <w:bottom w:val="none" w:sz="0" w:space="0" w:color="auto"/>
                                                    <w:right w:val="none" w:sz="0" w:space="0" w:color="auto"/>
                                                  </w:divBdr>
                                                  <w:divsChild>
                                                    <w:div w:id="1841506727">
                                                      <w:marLeft w:val="0"/>
                                                      <w:marRight w:val="0"/>
                                                      <w:marTop w:val="0"/>
                                                      <w:marBottom w:val="0"/>
                                                      <w:divBdr>
                                                        <w:top w:val="none" w:sz="0" w:space="0" w:color="auto"/>
                                                        <w:left w:val="none" w:sz="0" w:space="0" w:color="auto"/>
                                                        <w:bottom w:val="none" w:sz="0" w:space="0" w:color="auto"/>
                                                        <w:right w:val="none" w:sz="0" w:space="0" w:color="auto"/>
                                                      </w:divBdr>
                                                      <w:divsChild>
                                                        <w:div w:id="1356538795">
                                                          <w:marLeft w:val="0"/>
                                                          <w:marRight w:val="0"/>
                                                          <w:marTop w:val="0"/>
                                                          <w:marBottom w:val="390"/>
                                                          <w:divBdr>
                                                            <w:top w:val="none" w:sz="0" w:space="0" w:color="auto"/>
                                                            <w:left w:val="none" w:sz="0" w:space="0" w:color="auto"/>
                                                            <w:bottom w:val="none" w:sz="0" w:space="0" w:color="auto"/>
                                                            <w:right w:val="none" w:sz="0" w:space="0" w:color="auto"/>
                                                          </w:divBdr>
                                                          <w:divsChild>
                                                            <w:div w:id="2057270452">
                                                              <w:marLeft w:val="0"/>
                                                              <w:marRight w:val="0"/>
                                                              <w:marTop w:val="0"/>
                                                              <w:marBottom w:val="0"/>
                                                              <w:divBdr>
                                                                <w:top w:val="none" w:sz="0" w:space="0" w:color="auto"/>
                                                                <w:left w:val="none" w:sz="0" w:space="0" w:color="auto"/>
                                                                <w:bottom w:val="none" w:sz="0" w:space="0" w:color="auto"/>
                                                                <w:right w:val="none" w:sz="0" w:space="0" w:color="auto"/>
                                                              </w:divBdr>
                                                              <w:divsChild>
                                                                <w:div w:id="1924947577">
                                                                  <w:marLeft w:val="0"/>
                                                                  <w:marRight w:val="0"/>
                                                                  <w:marTop w:val="0"/>
                                                                  <w:marBottom w:val="0"/>
                                                                  <w:divBdr>
                                                                    <w:top w:val="none" w:sz="0" w:space="0" w:color="auto"/>
                                                                    <w:left w:val="none" w:sz="0" w:space="0" w:color="auto"/>
                                                                    <w:bottom w:val="none" w:sz="0" w:space="0" w:color="auto"/>
                                                                    <w:right w:val="none" w:sz="0" w:space="0" w:color="auto"/>
                                                                  </w:divBdr>
                                                                  <w:divsChild>
                                                                    <w:div w:id="296186961">
                                                                      <w:marLeft w:val="0"/>
                                                                      <w:marRight w:val="0"/>
                                                                      <w:marTop w:val="0"/>
                                                                      <w:marBottom w:val="0"/>
                                                                      <w:divBdr>
                                                                        <w:top w:val="none" w:sz="0" w:space="0" w:color="auto"/>
                                                                        <w:left w:val="none" w:sz="0" w:space="0" w:color="auto"/>
                                                                        <w:bottom w:val="none" w:sz="0" w:space="0" w:color="auto"/>
                                                                        <w:right w:val="none" w:sz="0" w:space="0" w:color="auto"/>
                                                                      </w:divBdr>
                                                                      <w:divsChild>
                                                                        <w:div w:id="1119379953">
                                                                          <w:marLeft w:val="0"/>
                                                                          <w:marRight w:val="0"/>
                                                                          <w:marTop w:val="0"/>
                                                                          <w:marBottom w:val="0"/>
                                                                          <w:divBdr>
                                                                            <w:top w:val="none" w:sz="0" w:space="0" w:color="auto"/>
                                                                            <w:left w:val="none" w:sz="0" w:space="0" w:color="auto"/>
                                                                            <w:bottom w:val="none" w:sz="0" w:space="0" w:color="auto"/>
                                                                            <w:right w:val="none" w:sz="0" w:space="0" w:color="auto"/>
                                                                          </w:divBdr>
                                                                          <w:divsChild>
                                                                            <w:div w:id="831717708">
                                                                              <w:marLeft w:val="0"/>
                                                                              <w:marRight w:val="0"/>
                                                                              <w:marTop w:val="0"/>
                                                                              <w:marBottom w:val="0"/>
                                                                              <w:divBdr>
                                                                                <w:top w:val="none" w:sz="0" w:space="0" w:color="auto"/>
                                                                                <w:left w:val="none" w:sz="0" w:space="0" w:color="auto"/>
                                                                                <w:bottom w:val="none" w:sz="0" w:space="0" w:color="auto"/>
                                                                                <w:right w:val="none" w:sz="0" w:space="0" w:color="auto"/>
                                                                              </w:divBdr>
                                                                              <w:divsChild>
                                                                                <w:div w:id="1886671939">
                                                                                  <w:marLeft w:val="0"/>
                                                                                  <w:marRight w:val="0"/>
                                                                                  <w:marTop w:val="0"/>
                                                                                  <w:marBottom w:val="0"/>
                                                                                  <w:divBdr>
                                                                                    <w:top w:val="none" w:sz="0" w:space="0" w:color="auto"/>
                                                                                    <w:left w:val="none" w:sz="0" w:space="0" w:color="auto"/>
                                                                                    <w:bottom w:val="none" w:sz="0" w:space="0" w:color="auto"/>
                                                                                    <w:right w:val="none" w:sz="0" w:space="0" w:color="auto"/>
                                                                                  </w:divBdr>
                                                                                  <w:divsChild>
                                                                                    <w:div w:id="2137674300">
                                                                                      <w:marLeft w:val="0"/>
                                                                                      <w:marRight w:val="0"/>
                                                                                      <w:marTop w:val="0"/>
                                                                                      <w:marBottom w:val="0"/>
                                                                                      <w:divBdr>
                                                                                        <w:top w:val="none" w:sz="0" w:space="0" w:color="auto"/>
                                                                                        <w:left w:val="none" w:sz="0" w:space="0" w:color="auto"/>
                                                                                        <w:bottom w:val="none" w:sz="0" w:space="0" w:color="auto"/>
                                                                                        <w:right w:val="none" w:sz="0" w:space="0" w:color="auto"/>
                                                                                      </w:divBdr>
                                                                                      <w:divsChild>
                                                                                        <w:div w:id="17048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581203">
      <w:bodyDiv w:val="1"/>
      <w:marLeft w:val="0"/>
      <w:marRight w:val="0"/>
      <w:marTop w:val="0"/>
      <w:marBottom w:val="0"/>
      <w:divBdr>
        <w:top w:val="none" w:sz="0" w:space="0" w:color="auto"/>
        <w:left w:val="none" w:sz="0" w:space="0" w:color="auto"/>
        <w:bottom w:val="none" w:sz="0" w:space="0" w:color="auto"/>
        <w:right w:val="none" w:sz="0" w:space="0" w:color="auto"/>
      </w:divBdr>
      <w:divsChild>
        <w:div w:id="854809380">
          <w:marLeft w:val="0"/>
          <w:marRight w:val="0"/>
          <w:marTop w:val="0"/>
          <w:marBottom w:val="0"/>
          <w:divBdr>
            <w:top w:val="none" w:sz="0" w:space="0" w:color="auto"/>
            <w:left w:val="none" w:sz="0" w:space="0" w:color="auto"/>
            <w:bottom w:val="none" w:sz="0" w:space="0" w:color="auto"/>
            <w:right w:val="none" w:sz="0" w:space="0" w:color="auto"/>
          </w:divBdr>
          <w:divsChild>
            <w:div w:id="1451975508">
              <w:marLeft w:val="0"/>
              <w:marRight w:val="0"/>
              <w:marTop w:val="0"/>
              <w:marBottom w:val="0"/>
              <w:divBdr>
                <w:top w:val="none" w:sz="0" w:space="0" w:color="auto"/>
                <w:left w:val="none" w:sz="0" w:space="0" w:color="auto"/>
                <w:bottom w:val="none" w:sz="0" w:space="0" w:color="auto"/>
                <w:right w:val="none" w:sz="0" w:space="0" w:color="auto"/>
              </w:divBdr>
              <w:divsChild>
                <w:div w:id="655257013">
                  <w:marLeft w:val="0"/>
                  <w:marRight w:val="0"/>
                  <w:marTop w:val="0"/>
                  <w:marBottom w:val="0"/>
                  <w:divBdr>
                    <w:top w:val="none" w:sz="0" w:space="0" w:color="auto"/>
                    <w:left w:val="none" w:sz="0" w:space="0" w:color="auto"/>
                    <w:bottom w:val="none" w:sz="0" w:space="0" w:color="auto"/>
                    <w:right w:val="none" w:sz="0" w:space="0" w:color="auto"/>
                  </w:divBdr>
                  <w:divsChild>
                    <w:div w:id="1988052197">
                      <w:marLeft w:val="0"/>
                      <w:marRight w:val="0"/>
                      <w:marTop w:val="45"/>
                      <w:marBottom w:val="0"/>
                      <w:divBdr>
                        <w:top w:val="none" w:sz="0" w:space="0" w:color="auto"/>
                        <w:left w:val="none" w:sz="0" w:space="0" w:color="auto"/>
                        <w:bottom w:val="none" w:sz="0" w:space="0" w:color="auto"/>
                        <w:right w:val="none" w:sz="0" w:space="0" w:color="auto"/>
                      </w:divBdr>
                      <w:divsChild>
                        <w:div w:id="829754852">
                          <w:marLeft w:val="0"/>
                          <w:marRight w:val="0"/>
                          <w:marTop w:val="0"/>
                          <w:marBottom w:val="0"/>
                          <w:divBdr>
                            <w:top w:val="none" w:sz="0" w:space="0" w:color="auto"/>
                            <w:left w:val="none" w:sz="0" w:space="0" w:color="auto"/>
                            <w:bottom w:val="none" w:sz="0" w:space="0" w:color="auto"/>
                            <w:right w:val="none" w:sz="0" w:space="0" w:color="auto"/>
                          </w:divBdr>
                          <w:divsChild>
                            <w:div w:id="199823419">
                              <w:marLeft w:val="2070"/>
                              <w:marRight w:val="3960"/>
                              <w:marTop w:val="0"/>
                              <w:marBottom w:val="0"/>
                              <w:divBdr>
                                <w:top w:val="none" w:sz="0" w:space="0" w:color="auto"/>
                                <w:left w:val="none" w:sz="0" w:space="0" w:color="auto"/>
                                <w:bottom w:val="none" w:sz="0" w:space="0" w:color="auto"/>
                                <w:right w:val="none" w:sz="0" w:space="0" w:color="auto"/>
                              </w:divBdr>
                              <w:divsChild>
                                <w:div w:id="1419446756">
                                  <w:marLeft w:val="0"/>
                                  <w:marRight w:val="0"/>
                                  <w:marTop w:val="0"/>
                                  <w:marBottom w:val="0"/>
                                  <w:divBdr>
                                    <w:top w:val="none" w:sz="0" w:space="0" w:color="auto"/>
                                    <w:left w:val="none" w:sz="0" w:space="0" w:color="auto"/>
                                    <w:bottom w:val="none" w:sz="0" w:space="0" w:color="auto"/>
                                    <w:right w:val="none" w:sz="0" w:space="0" w:color="auto"/>
                                  </w:divBdr>
                                  <w:divsChild>
                                    <w:div w:id="516583888">
                                      <w:marLeft w:val="0"/>
                                      <w:marRight w:val="0"/>
                                      <w:marTop w:val="0"/>
                                      <w:marBottom w:val="0"/>
                                      <w:divBdr>
                                        <w:top w:val="none" w:sz="0" w:space="0" w:color="auto"/>
                                        <w:left w:val="none" w:sz="0" w:space="0" w:color="auto"/>
                                        <w:bottom w:val="none" w:sz="0" w:space="0" w:color="auto"/>
                                        <w:right w:val="none" w:sz="0" w:space="0" w:color="auto"/>
                                      </w:divBdr>
                                      <w:divsChild>
                                        <w:div w:id="944387710">
                                          <w:marLeft w:val="0"/>
                                          <w:marRight w:val="0"/>
                                          <w:marTop w:val="0"/>
                                          <w:marBottom w:val="0"/>
                                          <w:divBdr>
                                            <w:top w:val="none" w:sz="0" w:space="0" w:color="auto"/>
                                            <w:left w:val="none" w:sz="0" w:space="0" w:color="auto"/>
                                            <w:bottom w:val="none" w:sz="0" w:space="0" w:color="auto"/>
                                            <w:right w:val="none" w:sz="0" w:space="0" w:color="auto"/>
                                          </w:divBdr>
                                          <w:divsChild>
                                            <w:div w:id="1568344069">
                                              <w:marLeft w:val="0"/>
                                              <w:marRight w:val="0"/>
                                              <w:marTop w:val="90"/>
                                              <w:marBottom w:val="0"/>
                                              <w:divBdr>
                                                <w:top w:val="none" w:sz="0" w:space="0" w:color="auto"/>
                                                <w:left w:val="none" w:sz="0" w:space="0" w:color="auto"/>
                                                <w:bottom w:val="none" w:sz="0" w:space="0" w:color="auto"/>
                                                <w:right w:val="none" w:sz="0" w:space="0" w:color="auto"/>
                                              </w:divBdr>
                                              <w:divsChild>
                                                <w:div w:id="1742824808">
                                                  <w:marLeft w:val="0"/>
                                                  <w:marRight w:val="0"/>
                                                  <w:marTop w:val="0"/>
                                                  <w:marBottom w:val="0"/>
                                                  <w:divBdr>
                                                    <w:top w:val="none" w:sz="0" w:space="0" w:color="auto"/>
                                                    <w:left w:val="none" w:sz="0" w:space="0" w:color="auto"/>
                                                    <w:bottom w:val="none" w:sz="0" w:space="0" w:color="auto"/>
                                                    <w:right w:val="none" w:sz="0" w:space="0" w:color="auto"/>
                                                  </w:divBdr>
                                                  <w:divsChild>
                                                    <w:div w:id="947086536">
                                                      <w:marLeft w:val="0"/>
                                                      <w:marRight w:val="0"/>
                                                      <w:marTop w:val="0"/>
                                                      <w:marBottom w:val="0"/>
                                                      <w:divBdr>
                                                        <w:top w:val="none" w:sz="0" w:space="0" w:color="auto"/>
                                                        <w:left w:val="none" w:sz="0" w:space="0" w:color="auto"/>
                                                        <w:bottom w:val="none" w:sz="0" w:space="0" w:color="auto"/>
                                                        <w:right w:val="none" w:sz="0" w:space="0" w:color="auto"/>
                                                      </w:divBdr>
                                                      <w:divsChild>
                                                        <w:div w:id="1969050351">
                                                          <w:marLeft w:val="0"/>
                                                          <w:marRight w:val="0"/>
                                                          <w:marTop w:val="0"/>
                                                          <w:marBottom w:val="390"/>
                                                          <w:divBdr>
                                                            <w:top w:val="none" w:sz="0" w:space="0" w:color="auto"/>
                                                            <w:left w:val="none" w:sz="0" w:space="0" w:color="auto"/>
                                                            <w:bottom w:val="none" w:sz="0" w:space="0" w:color="auto"/>
                                                            <w:right w:val="none" w:sz="0" w:space="0" w:color="auto"/>
                                                          </w:divBdr>
                                                          <w:divsChild>
                                                            <w:div w:id="1815442653">
                                                              <w:marLeft w:val="0"/>
                                                              <w:marRight w:val="0"/>
                                                              <w:marTop w:val="0"/>
                                                              <w:marBottom w:val="0"/>
                                                              <w:divBdr>
                                                                <w:top w:val="none" w:sz="0" w:space="0" w:color="auto"/>
                                                                <w:left w:val="none" w:sz="0" w:space="0" w:color="auto"/>
                                                                <w:bottom w:val="none" w:sz="0" w:space="0" w:color="auto"/>
                                                                <w:right w:val="none" w:sz="0" w:space="0" w:color="auto"/>
                                                              </w:divBdr>
                                                              <w:divsChild>
                                                                <w:div w:id="1249578161">
                                                                  <w:marLeft w:val="0"/>
                                                                  <w:marRight w:val="0"/>
                                                                  <w:marTop w:val="0"/>
                                                                  <w:marBottom w:val="0"/>
                                                                  <w:divBdr>
                                                                    <w:top w:val="none" w:sz="0" w:space="0" w:color="auto"/>
                                                                    <w:left w:val="none" w:sz="0" w:space="0" w:color="auto"/>
                                                                    <w:bottom w:val="none" w:sz="0" w:space="0" w:color="auto"/>
                                                                    <w:right w:val="none" w:sz="0" w:space="0" w:color="auto"/>
                                                                  </w:divBdr>
                                                                  <w:divsChild>
                                                                    <w:div w:id="400912854">
                                                                      <w:marLeft w:val="0"/>
                                                                      <w:marRight w:val="0"/>
                                                                      <w:marTop w:val="0"/>
                                                                      <w:marBottom w:val="0"/>
                                                                      <w:divBdr>
                                                                        <w:top w:val="none" w:sz="0" w:space="0" w:color="auto"/>
                                                                        <w:left w:val="none" w:sz="0" w:space="0" w:color="auto"/>
                                                                        <w:bottom w:val="none" w:sz="0" w:space="0" w:color="auto"/>
                                                                        <w:right w:val="none" w:sz="0" w:space="0" w:color="auto"/>
                                                                      </w:divBdr>
                                                                      <w:divsChild>
                                                                        <w:div w:id="1095246454">
                                                                          <w:marLeft w:val="0"/>
                                                                          <w:marRight w:val="0"/>
                                                                          <w:marTop w:val="0"/>
                                                                          <w:marBottom w:val="0"/>
                                                                          <w:divBdr>
                                                                            <w:top w:val="none" w:sz="0" w:space="0" w:color="auto"/>
                                                                            <w:left w:val="none" w:sz="0" w:space="0" w:color="auto"/>
                                                                            <w:bottom w:val="none" w:sz="0" w:space="0" w:color="auto"/>
                                                                            <w:right w:val="none" w:sz="0" w:space="0" w:color="auto"/>
                                                                          </w:divBdr>
                                                                          <w:divsChild>
                                                                            <w:div w:id="1497450663">
                                                                              <w:marLeft w:val="0"/>
                                                                              <w:marRight w:val="0"/>
                                                                              <w:marTop w:val="0"/>
                                                                              <w:marBottom w:val="0"/>
                                                                              <w:divBdr>
                                                                                <w:top w:val="none" w:sz="0" w:space="0" w:color="auto"/>
                                                                                <w:left w:val="none" w:sz="0" w:space="0" w:color="auto"/>
                                                                                <w:bottom w:val="none" w:sz="0" w:space="0" w:color="auto"/>
                                                                                <w:right w:val="none" w:sz="0" w:space="0" w:color="auto"/>
                                                                              </w:divBdr>
                                                                              <w:divsChild>
                                                                                <w:div w:id="699815307">
                                                                                  <w:marLeft w:val="0"/>
                                                                                  <w:marRight w:val="0"/>
                                                                                  <w:marTop w:val="0"/>
                                                                                  <w:marBottom w:val="0"/>
                                                                                  <w:divBdr>
                                                                                    <w:top w:val="none" w:sz="0" w:space="0" w:color="auto"/>
                                                                                    <w:left w:val="none" w:sz="0" w:space="0" w:color="auto"/>
                                                                                    <w:bottom w:val="none" w:sz="0" w:space="0" w:color="auto"/>
                                                                                    <w:right w:val="none" w:sz="0" w:space="0" w:color="auto"/>
                                                                                  </w:divBdr>
                                                                                  <w:divsChild>
                                                                                    <w:div w:id="2093577515">
                                                                                      <w:marLeft w:val="0"/>
                                                                                      <w:marRight w:val="0"/>
                                                                                      <w:marTop w:val="0"/>
                                                                                      <w:marBottom w:val="0"/>
                                                                                      <w:divBdr>
                                                                                        <w:top w:val="none" w:sz="0" w:space="0" w:color="auto"/>
                                                                                        <w:left w:val="none" w:sz="0" w:space="0" w:color="auto"/>
                                                                                        <w:bottom w:val="none" w:sz="0" w:space="0" w:color="auto"/>
                                                                                        <w:right w:val="none" w:sz="0" w:space="0" w:color="auto"/>
                                                                                      </w:divBdr>
                                                                                      <w:divsChild>
                                                                                        <w:div w:id="21288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929036">
      <w:bodyDiv w:val="1"/>
      <w:marLeft w:val="0"/>
      <w:marRight w:val="0"/>
      <w:marTop w:val="0"/>
      <w:marBottom w:val="0"/>
      <w:divBdr>
        <w:top w:val="none" w:sz="0" w:space="0" w:color="auto"/>
        <w:left w:val="none" w:sz="0" w:space="0" w:color="auto"/>
        <w:bottom w:val="none" w:sz="0" w:space="0" w:color="auto"/>
        <w:right w:val="none" w:sz="0" w:space="0" w:color="auto"/>
      </w:divBdr>
    </w:div>
    <w:div w:id="428744517">
      <w:bodyDiv w:val="1"/>
      <w:marLeft w:val="0"/>
      <w:marRight w:val="0"/>
      <w:marTop w:val="0"/>
      <w:marBottom w:val="0"/>
      <w:divBdr>
        <w:top w:val="none" w:sz="0" w:space="0" w:color="auto"/>
        <w:left w:val="none" w:sz="0" w:space="0" w:color="auto"/>
        <w:bottom w:val="none" w:sz="0" w:space="0" w:color="auto"/>
        <w:right w:val="none" w:sz="0" w:space="0" w:color="auto"/>
      </w:divBdr>
    </w:div>
    <w:div w:id="665715009">
      <w:bodyDiv w:val="1"/>
      <w:marLeft w:val="0"/>
      <w:marRight w:val="0"/>
      <w:marTop w:val="0"/>
      <w:marBottom w:val="0"/>
      <w:divBdr>
        <w:top w:val="none" w:sz="0" w:space="0" w:color="auto"/>
        <w:left w:val="none" w:sz="0" w:space="0" w:color="auto"/>
        <w:bottom w:val="none" w:sz="0" w:space="0" w:color="auto"/>
        <w:right w:val="none" w:sz="0" w:space="0" w:color="auto"/>
      </w:divBdr>
    </w:div>
    <w:div w:id="702286924">
      <w:bodyDiv w:val="1"/>
      <w:marLeft w:val="0"/>
      <w:marRight w:val="0"/>
      <w:marTop w:val="0"/>
      <w:marBottom w:val="0"/>
      <w:divBdr>
        <w:top w:val="none" w:sz="0" w:space="0" w:color="auto"/>
        <w:left w:val="none" w:sz="0" w:space="0" w:color="auto"/>
        <w:bottom w:val="none" w:sz="0" w:space="0" w:color="auto"/>
        <w:right w:val="none" w:sz="0" w:space="0" w:color="auto"/>
      </w:divBdr>
      <w:divsChild>
        <w:div w:id="157354292">
          <w:marLeft w:val="0"/>
          <w:marRight w:val="0"/>
          <w:marTop w:val="0"/>
          <w:marBottom w:val="0"/>
          <w:divBdr>
            <w:top w:val="none" w:sz="0" w:space="0" w:color="auto"/>
            <w:left w:val="none" w:sz="0" w:space="0" w:color="auto"/>
            <w:bottom w:val="none" w:sz="0" w:space="0" w:color="auto"/>
            <w:right w:val="none" w:sz="0" w:space="0" w:color="auto"/>
          </w:divBdr>
          <w:divsChild>
            <w:div w:id="476453093">
              <w:marLeft w:val="0"/>
              <w:marRight w:val="0"/>
              <w:marTop w:val="0"/>
              <w:marBottom w:val="0"/>
              <w:divBdr>
                <w:top w:val="none" w:sz="0" w:space="0" w:color="auto"/>
                <w:left w:val="none" w:sz="0" w:space="0" w:color="auto"/>
                <w:bottom w:val="none" w:sz="0" w:space="0" w:color="auto"/>
                <w:right w:val="none" w:sz="0" w:space="0" w:color="auto"/>
              </w:divBdr>
              <w:divsChild>
                <w:div w:id="1844738361">
                  <w:marLeft w:val="0"/>
                  <w:marRight w:val="0"/>
                  <w:marTop w:val="0"/>
                  <w:marBottom w:val="0"/>
                  <w:divBdr>
                    <w:top w:val="none" w:sz="0" w:space="0" w:color="auto"/>
                    <w:left w:val="none" w:sz="0" w:space="0" w:color="auto"/>
                    <w:bottom w:val="none" w:sz="0" w:space="0" w:color="auto"/>
                    <w:right w:val="none" w:sz="0" w:space="0" w:color="auto"/>
                  </w:divBdr>
                  <w:divsChild>
                    <w:div w:id="1975790741">
                      <w:marLeft w:val="0"/>
                      <w:marRight w:val="0"/>
                      <w:marTop w:val="45"/>
                      <w:marBottom w:val="0"/>
                      <w:divBdr>
                        <w:top w:val="none" w:sz="0" w:space="0" w:color="auto"/>
                        <w:left w:val="none" w:sz="0" w:space="0" w:color="auto"/>
                        <w:bottom w:val="none" w:sz="0" w:space="0" w:color="auto"/>
                        <w:right w:val="none" w:sz="0" w:space="0" w:color="auto"/>
                      </w:divBdr>
                      <w:divsChild>
                        <w:div w:id="1044332238">
                          <w:marLeft w:val="0"/>
                          <w:marRight w:val="0"/>
                          <w:marTop w:val="0"/>
                          <w:marBottom w:val="0"/>
                          <w:divBdr>
                            <w:top w:val="none" w:sz="0" w:space="0" w:color="auto"/>
                            <w:left w:val="none" w:sz="0" w:space="0" w:color="auto"/>
                            <w:bottom w:val="none" w:sz="0" w:space="0" w:color="auto"/>
                            <w:right w:val="none" w:sz="0" w:space="0" w:color="auto"/>
                          </w:divBdr>
                          <w:divsChild>
                            <w:div w:id="1021517381">
                              <w:marLeft w:val="2070"/>
                              <w:marRight w:val="3960"/>
                              <w:marTop w:val="0"/>
                              <w:marBottom w:val="0"/>
                              <w:divBdr>
                                <w:top w:val="none" w:sz="0" w:space="0" w:color="auto"/>
                                <w:left w:val="none" w:sz="0" w:space="0" w:color="auto"/>
                                <w:bottom w:val="none" w:sz="0" w:space="0" w:color="auto"/>
                                <w:right w:val="none" w:sz="0" w:space="0" w:color="auto"/>
                              </w:divBdr>
                              <w:divsChild>
                                <w:div w:id="147593589">
                                  <w:marLeft w:val="0"/>
                                  <w:marRight w:val="0"/>
                                  <w:marTop w:val="0"/>
                                  <w:marBottom w:val="0"/>
                                  <w:divBdr>
                                    <w:top w:val="none" w:sz="0" w:space="0" w:color="auto"/>
                                    <w:left w:val="none" w:sz="0" w:space="0" w:color="auto"/>
                                    <w:bottom w:val="none" w:sz="0" w:space="0" w:color="auto"/>
                                    <w:right w:val="none" w:sz="0" w:space="0" w:color="auto"/>
                                  </w:divBdr>
                                  <w:divsChild>
                                    <w:div w:id="12151729">
                                      <w:marLeft w:val="0"/>
                                      <w:marRight w:val="0"/>
                                      <w:marTop w:val="0"/>
                                      <w:marBottom w:val="0"/>
                                      <w:divBdr>
                                        <w:top w:val="none" w:sz="0" w:space="0" w:color="auto"/>
                                        <w:left w:val="none" w:sz="0" w:space="0" w:color="auto"/>
                                        <w:bottom w:val="none" w:sz="0" w:space="0" w:color="auto"/>
                                        <w:right w:val="none" w:sz="0" w:space="0" w:color="auto"/>
                                      </w:divBdr>
                                      <w:divsChild>
                                        <w:div w:id="221598642">
                                          <w:marLeft w:val="0"/>
                                          <w:marRight w:val="0"/>
                                          <w:marTop w:val="0"/>
                                          <w:marBottom w:val="0"/>
                                          <w:divBdr>
                                            <w:top w:val="none" w:sz="0" w:space="0" w:color="auto"/>
                                            <w:left w:val="none" w:sz="0" w:space="0" w:color="auto"/>
                                            <w:bottom w:val="none" w:sz="0" w:space="0" w:color="auto"/>
                                            <w:right w:val="none" w:sz="0" w:space="0" w:color="auto"/>
                                          </w:divBdr>
                                          <w:divsChild>
                                            <w:div w:id="158738802">
                                              <w:marLeft w:val="0"/>
                                              <w:marRight w:val="0"/>
                                              <w:marTop w:val="90"/>
                                              <w:marBottom w:val="0"/>
                                              <w:divBdr>
                                                <w:top w:val="none" w:sz="0" w:space="0" w:color="auto"/>
                                                <w:left w:val="none" w:sz="0" w:space="0" w:color="auto"/>
                                                <w:bottom w:val="none" w:sz="0" w:space="0" w:color="auto"/>
                                                <w:right w:val="none" w:sz="0" w:space="0" w:color="auto"/>
                                              </w:divBdr>
                                              <w:divsChild>
                                                <w:div w:id="2068186189">
                                                  <w:marLeft w:val="0"/>
                                                  <w:marRight w:val="0"/>
                                                  <w:marTop w:val="0"/>
                                                  <w:marBottom w:val="0"/>
                                                  <w:divBdr>
                                                    <w:top w:val="none" w:sz="0" w:space="0" w:color="auto"/>
                                                    <w:left w:val="none" w:sz="0" w:space="0" w:color="auto"/>
                                                    <w:bottom w:val="none" w:sz="0" w:space="0" w:color="auto"/>
                                                    <w:right w:val="none" w:sz="0" w:space="0" w:color="auto"/>
                                                  </w:divBdr>
                                                  <w:divsChild>
                                                    <w:div w:id="593367988">
                                                      <w:marLeft w:val="0"/>
                                                      <w:marRight w:val="0"/>
                                                      <w:marTop w:val="0"/>
                                                      <w:marBottom w:val="0"/>
                                                      <w:divBdr>
                                                        <w:top w:val="none" w:sz="0" w:space="0" w:color="auto"/>
                                                        <w:left w:val="none" w:sz="0" w:space="0" w:color="auto"/>
                                                        <w:bottom w:val="none" w:sz="0" w:space="0" w:color="auto"/>
                                                        <w:right w:val="none" w:sz="0" w:space="0" w:color="auto"/>
                                                      </w:divBdr>
                                                      <w:divsChild>
                                                        <w:div w:id="353654994">
                                                          <w:marLeft w:val="0"/>
                                                          <w:marRight w:val="0"/>
                                                          <w:marTop w:val="0"/>
                                                          <w:marBottom w:val="390"/>
                                                          <w:divBdr>
                                                            <w:top w:val="none" w:sz="0" w:space="0" w:color="auto"/>
                                                            <w:left w:val="none" w:sz="0" w:space="0" w:color="auto"/>
                                                            <w:bottom w:val="none" w:sz="0" w:space="0" w:color="auto"/>
                                                            <w:right w:val="none" w:sz="0" w:space="0" w:color="auto"/>
                                                          </w:divBdr>
                                                          <w:divsChild>
                                                            <w:div w:id="65077382">
                                                              <w:marLeft w:val="0"/>
                                                              <w:marRight w:val="0"/>
                                                              <w:marTop w:val="0"/>
                                                              <w:marBottom w:val="0"/>
                                                              <w:divBdr>
                                                                <w:top w:val="none" w:sz="0" w:space="0" w:color="auto"/>
                                                                <w:left w:val="none" w:sz="0" w:space="0" w:color="auto"/>
                                                                <w:bottom w:val="none" w:sz="0" w:space="0" w:color="auto"/>
                                                                <w:right w:val="none" w:sz="0" w:space="0" w:color="auto"/>
                                                              </w:divBdr>
                                                              <w:divsChild>
                                                                <w:div w:id="1365861009">
                                                                  <w:marLeft w:val="0"/>
                                                                  <w:marRight w:val="0"/>
                                                                  <w:marTop w:val="0"/>
                                                                  <w:marBottom w:val="0"/>
                                                                  <w:divBdr>
                                                                    <w:top w:val="none" w:sz="0" w:space="0" w:color="auto"/>
                                                                    <w:left w:val="none" w:sz="0" w:space="0" w:color="auto"/>
                                                                    <w:bottom w:val="none" w:sz="0" w:space="0" w:color="auto"/>
                                                                    <w:right w:val="none" w:sz="0" w:space="0" w:color="auto"/>
                                                                  </w:divBdr>
                                                                  <w:divsChild>
                                                                    <w:div w:id="729498347">
                                                                      <w:marLeft w:val="0"/>
                                                                      <w:marRight w:val="0"/>
                                                                      <w:marTop w:val="0"/>
                                                                      <w:marBottom w:val="0"/>
                                                                      <w:divBdr>
                                                                        <w:top w:val="none" w:sz="0" w:space="0" w:color="auto"/>
                                                                        <w:left w:val="none" w:sz="0" w:space="0" w:color="auto"/>
                                                                        <w:bottom w:val="none" w:sz="0" w:space="0" w:color="auto"/>
                                                                        <w:right w:val="none" w:sz="0" w:space="0" w:color="auto"/>
                                                                      </w:divBdr>
                                                                      <w:divsChild>
                                                                        <w:div w:id="748425301">
                                                                          <w:marLeft w:val="0"/>
                                                                          <w:marRight w:val="0"/>
                                                                          <w:marTop w:val="0"/>
                                                                          <w:marBottom w:val="0"/>
                                                                          <w:divBdr>
                                                                            <w:top w:val="none" w:sz="0" w:space="0" w:color="auto"/>
                                                                            <w:left w:val="none" w:sz="0" w:space="0" w:color="auto"/>
                                                                            <w:bottom w:val="none" w:sz="0" w:space="0" w:color="auto"/>
                                                                            <w:right w:val="none" w:sz="0" w:space="0" w:color="auto"/>
                                                                          </w:divBdr>
                                                                          <w:divsChild>
                                                                            <w:div w:id="1030253860">
                                                                              <w:marLeft w:val="0"/>
                                                                              <w:marRight w:val="0"/>
                                                                              <w:marTop w:val="0"/>
                                                                              <w:marBottom w:val="0"/>
                                                                              <w:divBdr>
                                                                                <w:top w:val="none" w:sz="0" w:space="0" w:color="auto"/>
                                                                                <w:left w:val="none" w:sz="0" w:space="0" w:color="auto"/>
                                                                                <w:bottom w:val="none" w:sz="0" w:space="0" w:color="auto"/>
                                                                                <w:right w:val="none" w:sz="0" w:space="0" w:color="auto"/>
                                                                              </w:divBdr>
                                                                              <w:divsChild>
                                                                                <w:div w:id="606624169">
                                                                                  <w:marLeft w:val="0"/>
                                                                                  <w:marRight w:val="0"/>
                                                                                  <w:marTop w:val="0"/>
                                                                                  <w:marBottom w:val="0"/>
                                                                                  <w:divBdr>
                                                                                    <w:top w:val="none" w:sz="0" w:space="0" w:color="auto"/>
                                                                                    <w:left w:val="none" w:sz="0" w:space="0" w:color="auto"/>
                                                                                    <w:bottom w:val="none" w:sz="0" w:space="0" w:color="auto"/>
                                                                                    <w:right w:val="none" w:sz="0" w:space="0" w:color="auto"/>
                                                                                  </w:divBdr>
                                                                                  <w:divsChild>
                                                                                    <w:div w:id="274407210">
                                                                                      <w:marLeft w:val="0"/>
                                                                                      <w:marRight w:val="0"/>
                                                                                      <w:marTop w:val="0"/>
                                                                                      <w:marBottom w:val="0"/>
                                                                                      <w:divBdr>
                                                                                        <w:top w:val="none" w:sz="0" w:space="0" w:color="auto"/>
                                                                                        <w:left w:val="none" w:sz="0" w:space="0" w:color="auto"/>
                                                                                        <w:bottom w:val="none" w:sz="0" w:space="0" w:color="auto"/>
                                                                                        <w:right w:val="none" w:sz="0" w:space="0" w:color="auto"/>
                                                                                      </w:divBdr>
                                                                                      <w:divsChild>
                                                                                        <w:div w:id="1290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375472">
      <w:bodyDiv w:val="1"/>
      <w:marLeft w:val="0"/>
      <w:marRight w:val="0"/>
      <w:marTop w:val="0"/>
      <w:marBottom w:val="0"/>
      <w:divBdr>
        <w:top w:val="none" w:sz="0" w:space="0" w:color="auto"/>
        <w:left w:val="none" w:sz="0" w:space="0" w:color="auto"/>
        <w:bottom w:val="none" w:sz="0" w:space="0" w:color="auto"/>
        <w:right w:val="none" w:sz="0" w:space="0" w:color="auto"/>
      </w:divBdr>
    </w:div>
    <w:div w:id="747308078">
      <w:bodyDiv w:val="1"/>
      <w:marLeft w:val="0"/>
      <w:marRight w:val="0"/>
      <w:marTop w:val="0"/>
      <w:marBottom w:val="0"/>
      <w:divBdr>
        <w:top w:val="none" w:sz="0" w:space="0" w:color="auto"/>
        <w:left w:val="none" w:sz="0" w:space="0" w:color="auto"/>
        <w:bottom w:val="none" w:sz="0" w:space="0" w:color="auto"/>
        <w:right w:val="none" w:sz="0" w:space="0" w:color="auto"/>
      </w:divBdr>
      <w:divsChild>
        <w:div w:id="378091315">
          <w:marLeft w:val="0"/>
          <w:marRight w:val="0"/>
          <w:marTop w:val="0"/>
          <w:marBottom w:val="0"/>
          <w:divBdr>
            <w:top w:val="none" w:sz="0" w:space="0" w:color="auto"/>
            <w:left w:val="none" w:sz="0" w:space="0" w:color="auto"/>
            <w:bottom w:val="none" w:sz="0" w:space="0" w:color="auto"/>
            <w:right w:val="none" w:sz="0" w:space="0" w:color="auto"/>
          </w:divBdr>
          <w:divsChild>
            <w:div w:id="1706054435">
              <w:marLeft w:val="0"/>
              <w:marRight w:val="0"/>
              <w:marTop w:val="0"/>
              <w:marBottom w:val="0"/>
              <w:divBdr>
                <w:top w:val="none" w:sz="0" w:space="0" w:color="auto"/>
                <w:left w:val="none" w:sz="0" w:space="0" w:color="auto"/>
                <w:bottom w:val="none" w:sz="0" w:space="0" w:color="auto"/>
                <w:right w:val="none" w:sz="0" w:space="0" w:color="auto"/>
              </w:divBdr>
              <w:divsChild>
                <w:div w:id="255788008">
                  <w:marLeft w:val="0"/>
                  <w:marRight w:val="0"/>
                  <w:marTop w:val="0"/>
                  <w:marBottom w:val="0"/>
                  <w:divBdr>
                    <w:top w:val="none" w:sz="0" w:space="0" w:color="auto"/>
                    <w:left w:val="none" w:sz="0" w:space="0" w:color="auto"/>
                    <w:bottom w:val="none" w:sz="0" w:space="0" w:color="auto"/>
                    <w:right w:val="none" w:sz="0" w:space="0" w:color="auto"/>
                  </w:divBdr>
                  <w:divsChild>
                    <w:div w:id="882711848">
                      <w:marLeft w:val="0"/>
                      <w:marRight w:val="0"/>
                      <w:marTop w:val="45"/>
                      <w:marBottom w:val="0"/>
                      <w:divBdr>
                        <w:top w:val="none" w:sz="0" w:space="0" w:color="auto"/>
                        <w:left w:val="none" w:sz="0" w:space="0" w:color="auto"/>
                        <w:bottom w:val="none" w:sz="0" w:space="0" w:color="auto"/>
                        <w:right w:val="none" w:sz="0" w:space="0" w:color="auto"/>
                      </w:divBdr>
                      <w:divsChild>
                        <w:div w:id="1719014593">
                          <w:marLeft w:val="0"/>
                          <w:marRight w:val="0"/>
                          <w:marTop w:val="0"/>
                          <w:marBottom w:val="0"/>
                          <w:divBdr>
                            <w:top w:val="none" w:sz="0" w:space="0" w:color="auto"/>
                            <w:left w:val="none" w:sz="0" w:space="0" w:color="auto"/>
                            <w:bottom w:val="none" w:sz="0" w:space="0" w:color="auto"/>
                            <w:right w:val="none" w:sz="0" w:space="0" w:color="auto"/>
                          </w:divBdr>
                          <w:divsChild>
                            <w:div w:id="1032998316">
                              <w:marLeft w:val="2070"/>
                              <w:marRight w:val="3960"/>
                              <w:marTop w:val="0"/>
                              <w:marBottom w:val="0"/>
                              <w:divBdr>
                                <w:top w:val="none" w:sz="0" w:space="0" w:color="auto"/>
                                <w:left w:val="none" w:sz="0" w:space="0" w:color="auto"/>
                                <w:bottom w:val="none" w:sz="0" w:space="0" w:color="auto"/>
                                <w:right w:val="none" w:sz="0" w:space="0" w:color="auto"/>
                              </w:divBdr>
                              <w:divsChild>
                                <w:div w:id="377972241">
                                  <w:marLeft w:val="0"/>
                                  <w:marRight w:val="0"/>
                                  <w:marTop w:val="0"/>
                                  <w:marBottom w:val="0"/>
                                  <w:divBdr>
                                    <w:top w:val="none" w:sz="0" w:space="0" w:color="auto"/>
                                    <w:left w:val="none" w:sz="0" w:space="0" w:color="auto"/>
                                    <w:bottom w:val="none" w:sz="0" w:space="0" w:color="auto"/>
                                    <w:right w:val="none" w:sz="0" w:space="0" w:color="auto"/>
                                  </w:divBdr>
                                  <w:divsChild>
                                    <w:div w:id="601957165">
                                      <w:marLeft w:val="0"/>
                                      <w:marRight w:val="0"/>
                                      <w:marTop w:val="0"/>
                                      <w:marBottom w:val="0"/>
                                      <w:divBdr>
                                        <w:top w:val="none" w:sz="0" w:space="0" w:color="auto"/>
                                        <w:left w:val="none" w:sz="0" w:space="0" w:color="auto"/>
                                        <w:bottom w:val="none" w:sz="0" w:space="0" w:color="auto"/>
                                        <w:right w:val="none" w:sz="0" w:space="0" w:color="auto"/>
                                      </w:divBdr>
                                      <w:divsChild>
                                        <w:div w:id="169024631">
                                          <w:marLeft w:val="0"/>
                                          <w:marRight w:val="0"/>
                                          <w:marTop w:val="0"/>
                                          <w:marBottom w:val="0"/>
                                          <w:divBdr>
                                            <w:top w:val="none" w:sz="0" w:space="0" w:color="auto"/>
                                            <w:left w:val="none" w:sz="0" w:space="0" w:color="auto"/>
                                            <w:bottom w:val="none" w:sz="0" w:space="0" w:color="auto"/>
                                            <w:right w:val="none" w:sz="0" w:space="0" w:color="auto"/>
                                          </w:divBdr>
                                          <w:divsChild>
                                            <w:div w:id="1719085362">
                                              <w:marLeft w:val="0"/>
                                              <w:marRight w:val="0"/>
                                              <w:marTop w:val="90"/>
                                              <w:marBottom w:val="0"/>
                                              <w:divBdr>
                                                <w:top w:val="none" w:sz="0" w:space="0" w:color="auto"/>
                                                <w:left w:val="none" w:sz="0" w:space="0" w:color="auto"/>
                                                <w:bottom w:val="none" w:sz="0" w:space="0" w:color="auto"/>
                                                <w:right w:val="none" w:sz="0" w:space="0" w:color="auto"/>
                                              </w:divBdr>
                                              <w:divsChild>
                                                <w:div w:id="827481150">
                                                  <w:marLeft w:val="0"/>
                                                  <w:marRight w:val="0"/>
                                                  <w:marTop w:val="0"/>
                                                  <w:marBottom w:val="0"/>
                                                  <w:divBdr>
                                                    <w:top w:val="none" w:sz="0" w:space="0" w:color="auto"/>
                                                    <w:left w:val="none" w:sz="0" w:space="0" w:color="auto"/>
                                                    <w:bottom w:val="none" w:sz="0" w:space="0" w:color="auto"/>
                                                    <w:right w:val="none" w:sz="0" w:space="0" w:color="auto"/>
                                                  </w:divBdr>
                                                  <w:divsChild>
                                                    <w:div w:id="2029407575">
                                                      <w:marLeft w:val="0"/>
                                                      <w:marRight w:val="0"/>
                                                      <w:marTop w:val="0"/>
                                                      <w:marBottom w:val="0"/>
                                                      <w:divBdr>
                                                        <w:top w:val="none" w:sz="0" w:space="0" w:color="auto"/>
                                                        <w:left w:val="none" w:sz="0" w:space="0" w:color="auto"/>
                                                        <w:bottom w:val="none" w:sz="0" w:space="0" w:color="auto"/>
                                                        <w:right w:val="none" w:sz="0" w:space="0" w:color="auto"/>
                                                      </w:divBdr>
                                                      <w:divsChild>
                                                        <w:div w:id="406195114">
                                                          <w:marLeft w:val="0"/>
                                                          <w:marRight w:val="0"/>
                                                          <w:marTop w:val="0"/>
                                                          <w:marBottom w:val="390"/>
                                                          <w:divBdr>
                                                            <w:top w:val="none" w:sz="0" w:space="0" w:color="auto"/>
                                                            <w:left w:val="none" w:sz="0" w:space="0" w:color="auto"/>
                                                            <w:bottom w:val="none" w:sz="0" w:space="0" w:color="auto"/>
                                                            <w:right w:val="none" w:sz="0" w:space="0" w:color="auto"/>
                                                          </w:divBdr>
                                                          <w:divsChild>
                                                            <w:div w:id="1195996055">
                                                              <w:marLeft w:val="0"/>
                                                              <w:marRight w:val="0"/>
                                                              <w:marTop w:val="0"/>
                                                              <w:marBottom w:val="0"/>
                                                              <w:divBdr>
                                                                <w:top w:val="none" w:sz="0" w:space="0" w:color="auto"/>
                                                                <w:left w:val="none" w:sz="0" w:space="0" w:color="auto"/>
                                                                <w:bottom w:val="none" w:sz="0" w:space="0" w:color="auto"/>
                                                                <w:right w:val="none" w:sz="0" w:space="0" w:color="auto"/>
                                                              </w:divBdr>
                                                              <w:divsChild>
                                                                <w:div w:id="1970622064">
                                                                  <w:marLeft w:val="0"/>
                                                                  <w:marRight w:val="0"/>
                                                                  <w:marTop w:val="0"/>
                                                                  <w:marBottom w:val="0"/>
                                                                  <w:divBdr>
                                                                    <w:top w:val="none" w:sz="0" w:space="0" w:color="auto"/>
                                                                    <w:left w:val="none" w:sz="0" w:space="0" w:color="auto"/>
                                                                    <w:bottom w:val="none" w:sz="0" w:space="0" w:color="auto"/>
                                                                    <w:right w:val="none" w:sz="0" w:space="0" w:color="auto"/>
                                                                  </w:divBdr>
                                                                  <w:divsChild>
                                                                    <w:div w:id="33772172">
                                                                      <w:marLeft w:val="0"/>
                                                                      <w:marRight w:val="0"/>
                                                                      <w:marTop w:val="0"/>
                                                                      <w:marBottom w:val="0"/>
                                                                      <w:divBdr>
                                                                        <w:top w:val="none" w:sz="0" w:space="0" w:color="auto"/>
                                                                        <w:left w:val="none" w:sz="0" w:space="0" w:color="auto"/>
                                                                        <w:bottom w:val="none" w:sz="0" w:space="0" w:color="auto"/>
                                                                        <w:right w:val="none" w:sz="0" w:space="0" w:color="auto"/>
                                                                      </w:divBdr>
                                                                      <w:divsChild>
                                                                        <w:div w:id="1302690147">
                                                                          <w:marLeft w:val="0"/>
                                                                          <w:marRight w:val="0"/>
                                                                          <w:marTop w:val="0"/>
                                                                          <w:marBottom w:val="0"/>
                                                                          <w:divBdr>
                                                                            <w:top w:val="none" w:sz="0" w:space="0" w:color="auto"/>
                                                                            <w:left w:val="none" w:sz="0" w:space="0" w:color="auto"/>
                                                                            <w:bottom w:val="none" w:sz="0" w:space="0" w:color="auto"/>
                                                                            <w:right w:val="none" w:sz="0" w:space="0" w:color="auto"/>
                                                                          </w:divBdr>
                                                                          <w:divsChild>
                                                                            <w:div w:id="1958442975">
                                                                              <w:marLeft w:val="0"/>
                                                                              <w:marRight w:val="0"/>
                                                                              <w:marTop w:val="0"/>
                                                                              <w:marBottom w:val="0"/>
                                                                              <w:divBdr>
                                                                                <w:top w:val="none" w:sz="0" w:space="0" w:color="auto"/>
                                                                                <w:left w:val="none" w:sz="0" w:space="0" w:color="auto"/>
                                                                                <w:bottom w:val="none" w:sz="0" w:space="0" w:color="auto"/>
                                                                                <w:right w:val="none" w:sz="0" w:space="0" w:color="auto"/>
                                                                              </w:divBdr>
                                                                              <w:divsChild>
                                                                                <w:div w:id="794106561">
                                                                                  <w:marLeft w:val="0"/>
                                                                                  <w:marRight w:val="0"/>
                                                                                  <w:marTop w:val="0"/>
                                                                                  <w:marBottom w:val="0"/>
                                                                                  <w:divBdr>
                                                                                    <w:top w:val="none" w:sz="0" w:space="0" w:color="auto"/>
                                                                                    <w:left w:val="none" w:sz="0" w:space="0" w:color="auto"/>
                                                                                    <w:bottom w:val="none" w:sz="0" w:space="0" w:color="auto"/>
                                                                                    <w:right w:val="none" w:sz="0" w:space="0" w:color="auto"/>
                                                                                  </w:divBdr>
                                                                                  <w:divsChild>
                                                                                    <w:div w:id="473912801">
                                                                                      <w:marLeft w:val="0"/>
                                                                                      <w:marRight w:val="0"/>
                                                                                      <w:marTop w:val="0"/>
                                                                                      <w:marBottom w:val="0"/>
                                                                                      <w:divBdr>
                                                                                        <w:top w:val="none" w:sz="0" w:space="0" w:color="auto"/>
                                                                                        <w:left w:val="none" w:sz="0" w:space="0" w:color="auto"/>
                                                                                        <w:bottom w:val="none" w:sz="0" w:space="0" w:color="auto"/>
                                                                                        <w:right w:val="none" w:sz="0" w:space="0" w:color="auto"/>
                                                                                      </w:divBdr>
                                                                                      <w:divsChild>
                                                                                        <w:div w:id="817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120385">
      <w:bodyDiv w:val="1"/>
      <w:marLeft w:val="0"/>
      <w:marRight w:val="0"/>
      <w:marTop w:val="0"/>
      <w:marBottom w:val="0"/>
      <w:divBdr>
        <w:top w:val="none" w:sz="0" w:space="0" w:color="auto"/>
        <w:left w:val="none" w:sz="0" w:space="0" w:color="auto"/>
        <w:bottom w:val="none" w:sz="0" w:space="0" w:color="auto"/>
        <w:right w:val="none" w:sz="0" w:space="0" w:color="auto"/>
      </w:divBdr>
      <w:divsChild>
        <w:div w:id="1112936177">
          <w:marLeft w:val="0"/>
          <w:marRight w:val="0"/>
          <w:marTop w:val="120"/>
          <w:marBottom w:val="0"/>
          <w:divBdr>
            <w:top w:val="none" w:sz="0" w:space="0" w:color="auto"/>
            <w:left w:val="none" w:sz="0" w:space="0" w:color="auto"/>
            <w:bottom w:val="none" w:sz="0" w:space="0" w:color="auto"/>
            <w:right w:val="none" w:sz="0" w:space="0" w:color="auto"/>
          </w:divBdr>
        </w:div>
        <w:div w:id="884219177">
          <w:marLeft w:val="0"/>
          <w:marRight w:val="0"/>
          <w:marTop w:val="120"/>
          <w:marBottom w:val="0"/>
          <w:divBdr>
            <w:top w:val="none" w:sz="0" w:space="0" w:color="auto"/>
            <w:left w:val="none" w:sz="0" w:space="0" w:color="auto"/>
            <w:bottom w:val="none" w:sz="0" w:space="0" w:color="auto"/>
            <w:right w:val="none" w:sz="0" w:space="0" w:color="auto"/>
          </w:divBdr>
        </w:div>
      </w:divsChild>
    </w:div>
    <w:div w:id="881747228">
      <w:bodyDiv w:val="1"/>
      <w:marLeft w:val="0"/>
      <w:marRight w:val="0"/>
      <w:marTop w:val="0"/>
      <w:marBottom w:val="0"/>
      <w:divBdr>
        <w:top w:val="none" w:sz="0" w:space="0" w:color="auto"/>
        <w:left w:val="none" w:sz="0" w:space="0" w:color="auto"/>
        <w:bottom w:val="none" w:sz="0" w:space="0" w:color="auto"/>
        <w:right w:val="none" w:sz="0" w:space="0" w:color="auto"/>
      </w:divBdr>
      <w:divsChild>
        <w:div w:id="849300003">
          <w:marLeft w:val="0"/>
          <w:marRight w:val="0"/>
          <w:marTop w:val="0"/>
          <w:marBottom w:val="0"/>
          <w:divBdr>
            <w:top w:val="none" w:sz="0" w:space="0" w:color="auto"/>
            <w:left w:val="none" w:sz="0" w:space="0" w:color="auto"/>
            <w:bottom w:val="none" w:sz="0" w:space="0" w:color="auto"/>
            <w:right w:val="none" w:sz="0" w:space="0" w:color="auto"/>
          </w:divBdr>
          <w:divsChild>
            <w:div w:id="725685231">
              <w:marLeft w:val="0"/>
              <w:marRight w:val="0"/>
              <w:marTop w:val="0"/>
              <w:marBottom w:val="0"/>
              <w:divBdr>
                <w:top w:val="none" w:sz="0" w:space="0" w:color="auto"/>
                <w:left w:val="none" w:sz="0" w:space="0" w:color="auto"/>
                <w:bottom w:val="none" w:sz="0" w:space="0" w:color="auto"/>
                <w:right w:val="none" w:sz="0" w:space="0" w:color="auto"/>
              </w:divBdr>
              <w:divsChild>
                <w:div w:id="608851518">
                  <w:marLeft w:val="0"/>
                  <w:marRight w:val="0"/>
                  <w:marTop w:val="0"/>
                  <w:marBottom w:val="0"/>
                  <w:divBdr>
                    <w:top w:val="none" w:sz="0" w:space="0" w:color="auto"/>
                    <w:left w:val="none" w:sz="0" w:space="0" w:color="auto"/>
                    <w:bottom w:val="none" w:sz="0" w:space="0" w:color="auto"/>
                    <w:right w:val="none" w:sz="0" w:space="0" w:color="auto"/>
                  </w:divBdr>
                  <w:divsChild>
                    <w:div w:id="693337865">
                      <w:marLeft w:val="0"/>
                      <w:marRight w:val="0"/>
                      <w:marTop w:val="45"/>
                      <w:marBottom w:val="0"/>
                      <w:divBdr>
                        <w:top w:val="none" w:sz="0" w:space="0" w:color="auto"/>
                        <w:left w:val="none" w:sz="0" w:space="0" w:color="auto"/>
                        <w:bottom w:val="none" w:sz="0" w:space="0" w:color="auto"/>
                        <w:right w:val="none" w:sz="0" w:space="0" w:color="auto"/>
                      </w:divBdr>
                      <w:divsChild>
                        <w:div w:id="1295528814">
                          <w:marLeft w:val="0"/>
                          <w:marRight w:val="0"/>
                          <w:marTop w:val="0"/>
                          <w:marBottom w:val="0"/>
                          <w:divBdr>
                            <w:top w:val="none" w:sz="0" w:space="0" w:color="auto"/>
                            <w:left w:val="none" w:sz="0" w:space="0" w:color="auto"/>
                            <w:bottom w:val="none" w:sz="0" w:space="0" w:color="auto"/>
                            <w:right w:val="none" w:sz="0" w:space="0" w:color="auto"/>
                          </w:divBdr>
                          <w:divsChild>
                            <w:div w:id="1916436034">
                              <w:marLeft w:val="2070"/>
                              <w:marRight w:val="3960"/>
                              <w:marTop w:val="0"/>
                              <w:marBottom w:val="0"/>
                              <w:divBdr>
                                <w:top w:val="none" w:sz="0" w:space="0" w:color="auto"/>
                                <w:left w:val="none" w:sz="0" w:space="0" w:color="auto"/>
                                <w:bottom w:val="none" w:sz="0" w:space="0" w:color="auto"/>
                                <w:right w:val="none" w:sz="0" w:space="0" w:color="auto"/>
                              </w:divBdr>
                              <w:divsChild>
                                <w:div w:id="344939556">
                                  <w:marLeft w:val="0"/>
                                  <w:marRight w:val="0"/>
                                  <w:marTop w:val="0"/>
                                  <w:marBottom w:val="0"/>
                                  <w:divBdr>
                                    <w:top w:val="none" w:sz="0" w:space="0" w:color="auto"/>
                                    <w:left w:val="none" w:sz="0" w:space="0" w:color="auto"/>
                                    <w:bottom w:val="none" w:sz="0" w:space="0" w:color="auto"/>
                                    <w:right w:val="none" w:sz="0" w:space="0" w:color="auto"/>
                                  </w:divBdr>
                                  <w:divsChild>
                                    <w:div w:id="1094472697">
                                      <w:marLeft w:val="0"/>
                                      <w:marRight w:val="0"/>
                                      <w:marTop w:val="0"/>
                                      <w:marBottom w:val="0"/>
                                      <w:divBdr>
                                        <w:top w:val="none" w:sz="0" w:space="0" w:color="auto"/>
                                        <w:left w:val="none" w:sz="0" w:space="0" w:color="auto"/>
                                        <w:bottom w:val="none" w:sz="0" w:space="0" w:color="auto"/>
                                        <w:right w:val="none" w:sz="0" w:space="0" w:color="auto"/>
                                      </w:divBdr>
                                      <w:divsChild>
                                        <w:div w:id="1937864007">
                                          <w:marLeft w:val="0"/>
                                          <w:marRight w:val="0"/>
                                          <w:marTop w:val="0"/>
                                          <w:marBottom w:val="0"/>
                                          <w:divBdr>
                                            <w:top w:val="none" w:sz="0" w:space="0" w:color="auto"/>
                                            <w:left w:val="none" w:sz="0" w:space="0" w:color="auto"/>
                                            <w:bottom w:val="none" w:sz="0" w:space="0" w:color="auto"/>
                                            <w:right w:val="none" w:sz="0" w:space="0" w:color="auto"/>
                                          </w:divBdr>
                                          <w:divsChild>
                                            <w:div w:id="981887230">
                                              <w:marLeft w:val="0"/>
                                              <w:marRight w:val="0"/>
                                              <w:marTop w:val="90"/>
                                              <w:marBottom w:val="0"/>
                                              <w:divBdr>
                                                <w:top w:val="none" w:sz="0" w:space="0" w:color="auto"/>
                                                <w:left w:val="none" w:sz="0" w:space="0" w:color="auto"/>
                                                <w:bottom w:val="none" w:sz="0" w:space="0" w:color="auto"/>
                                                <w:right w:val="none" w:sz="0" w:space="0" w:color="auto"/>
                                              </w:divBdr>
                                              <w:divsChild>
                                                <w:div w:id="384791131">
                                                  <w:marLeft w:val="0"/>
                                                  <w:marRight w:val="0"/>
                                                  <w:marTop w:val="0"/>
                                                  <w:marBottom w:val="0"/>
                                                  <w:divBdr>
                                                    <w:top w:val="none" w:sz="0" w:space="0" w:color="auto"/>
                                                    <w:left w:val="none" w:sz="0" w:space="0" w:color="auto"/>
                                                    <w:bottom w:val="none" w:sz="0" w:space="0" w:color="auto"/>
                                                    <w:right w:val="none" w:sz="0" w:space="0" w:color="auto"/>
                                                  </w:divBdr>
                                                  <w:divsChild>
                                                    <w:div w:id="852187610">
                                                      <w:marLeft w:val="0"/>
                                                      <w:marRight w:val="0"/>
                                                      <w:marTop w:val="0"/>
                                                      <w:marBottom w:val="0"/>
                                                      <w:divBdr>
                                                        <w:top w:val="none" w:sz="0" w:space="0" w:color="auto"/>
                                                        <w:left w:val="none" w:sz="0" w:space="0" w:color="auto"/>
                                                        <w:bottom w:val="none" w:sz="0" w:space="0" w:color="auto"/>
                                                        <w:right w:val="none" w:sz="0" w:space="0" w:color="auto"/>
                                                      </w:divBdr>
                                                      <w:divsChild>
                                                        <w:div w:id="1159880045">
                                                          <w:marLeft w:val="0"/>
                                                          <w:marRight w:val="0"/>
                                                          <w:marTop w:val="0"/>
                                                          <w:marBottom w:val="390"/>
                                                          <w:divBdr>
                                                            <w:top w:val="none" w:sz="0" w:space="0" w:color="auto"/>
                                                            <w:left w:val="none" w:sz="0" w:space="0" w:color="auto"/>
                                                            <w:bottom w:val="none" w:sz="0" w:space="0" w:color="auto"/>
                                                            <w:right w:val="none" w:sz="0" w:space="0" w:color="auto"/>
                                                          </w:divBdr>
                                                          <w:divsChild>
                                                            <w:div w:id="1624463988">
                                                              <w:marLeft w:val="0"/>
                                                              <w:marRight w:val="0"/>
                                                              <w:marTop w:val="0"/>
                                                              <w:marBottom w:val="0"/>
                                                              <w:divBdr>
                                                                <w:top w:val="none" w:sz="0" w:space="0" w:color="auto"/>
                                                                <w:left w:val="none" w:sz="0" w:space="0" w:color="auto"/>
                                                                <w:bottom w:val="none" w:sz="0" w:space="0" w:color="auto"/>
                                                                <w:right w:val="none" w:sz="0" w:space="0" w:color="auto"/>
                                                              </w:divBdr>
                                                              <w:divsChild>
                                                                <w:div w:id="8218834">
                                                                  <w:marLeft w:val="0"/>
                                                                  <w:marRight w:val="0"/>
                                                                  <w:marTop w:val="0"/>
                                                                  <w:marBottom w:val="0"/>
                                                                  <w:divBdr>
                                                                    <w:top w:val="none" w:sz="0" w:space="0" w:color="auto"/>
                                                                    <w:left w:val="none" w:sz="0" w:space="0" w:color="auto"/>
                                                                    <w:bottom w:val="none" w:sz="0" w:space="0" w:color="auto"/>
                                                                    <w:right w:val="none" w:sz="0" w:space="0" w:color="auto"/>
                                                                  </w:divBdr>
                                                                  <w:divsChild>
                                                                    <w:div w:id="1701127738">
                                                                      <w:marLeft w:val="0"/>
                                                                      <w:marRight w:val="0"/>
                                                                      <w:marTop w:val="0"/>
                                                                      <w:marBottom w:val="0"/>
                                                                      <w:divBdr>
                                                                        <w:top w:val="none" w:sz="0" w:space="0" w:color="auto"/>
                                                                        <w:left w:val="none" w:sz="0" w:space="0" w:color="auto"/>
                                                                        <w:bottom w:val="none" w:sz="0" w:space="0" w:color="auto"/>
                                                                        <w:right w:val="none" w:sz="0" w:space="0" w:color="auto"/>
                                                                      </w:divBdr>
                                                                      <w:divsChild>
                                                                        <w:div w:id="56170804">
                                                                          <w:marLeft w:val="0"/>
                                                                          <w:marRight w:val="0"/>
                                                                          <w:marTop w:val="0"/>
                                                                          <w:marBottom w:val="0"/>
                                                                          <w:divBdr>
                                                                            <w:top w:val="none" w:sz="0" w:space="0" w:color="auto"/>
                                                                            <w:left w:val="none" w:sz="0" w:space="0" w:color="auto"/>
                                                                            <w:bottom w:val="none" w:sz="0" w:space="0" w:color="auto"/>
                                                                            <w:right w:val="none" w:sz="0" w:space="0" w:color="auto"/>
                                                                          </w:divBdr>
                                                                          <w:divsChild>
                                                                            <w:div w:id="733117092">
                                                                              <w:marLeft w:val="0"/>
                                                                              <w:marRight w:val="0"/>
                                                                              <w:marTop w:val="0"/>
                                                                              <w:marBottom w:val="0"/>
                                                                              <w:divBdr>
                                                                                <w:top w:val="none" w:sz="0" w:space="0" w:color="auto"/>
                                                                                <w:left w:val="none" w:sz="0" w:space="0" w:color="auto"/>
                                                                                <w:bottom w:val="none" w:sz="0" w:space="0" w:color="auto"/>
                                                                                <w:right w:val="none" w:sz="0" w:space="0" w:color="auto"/>
                                                                              </w:divBdr>
                                                                              <w:divsChild>
                                                                                <w:div w:id="26178369">
                                                                                  <w:marLeft w:val="0"/>
                                                                                  <w:marRight w:val="0"/>
                                                                                  <w:marTop w:val="0"/>
                                                                                  <w:marBottom w:val="0"/>
                                                                                  <w:divBdr>
                                                                                    <w:top w:val="none" w:sz="0" w:space="0" w:color="auto"/>
                                                                                    <w:left w:val="none" w:sz="0" w:space="0" w:color="auto"/>
                                                                                    <w:bottom w:val="none" w:sz="0" w:space="0" w:color="auto"/>
                                                                                    <w:right w:val="none" w:sz="0" w:space="0" w:color="auto"/>
                                                                                  </w:divBdr>
                                                                                  <w:divsChild>
                                                                                    <w:div w:id="1598248439">
                                                                                      <w:marLeft w:val="0"/>
                                                                                      <w:marRight w:val="0"/>
                                                                                      <w:marTop w:val="0"/>
                                                                                      <w:marBottom w:val="0"/>
                                                                                      <w:divBdr>
                                                                                        <w:top w:val="none" w:sz="0" w:space="0" w:color="auto"/>
                                                                                        <w:left w:val="none" w:sz="0" w:space="0" w:color="auto"/>
                                                                                        <w:bottom w:val="none" w:sz="0" w:space="0" w:color="auto"/>
                                                                                        <w:right w:val="none" w:sz="0" w:space="0" w:color="auto"/>
                                                                                      </w:divBdr>
                                                                                      <w:divsChild>
                                                                                        <w:div w:id="11955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081333">
      <w:bodyDiv w:val="1"/>
      <w:marLeft w:val="0"/>
      <w:marRight w:val="0"/>
      <w:marTop w:val="0"/>
      <w:marBottom w:val="0"/>
      <w:divBdr>
        <w:top w:val="none" w:sz="0" w:space="0" w:color="auto"/>
        <w:left w:val="none" w:sz="0" w:space="0" w:color="auto"/>
        <w:bottom w:val="none" w:sz="0" w:space="0" w:color="auto"/>
        <w:right w:val="none" w:sz="0" w:space="0" w:color="auto"/>
      </w:divBdr>
    </w:div>
    <w:div w:id="900092398">
      <w:bodyDiv w:val="1"/>
      <w:marLeft w:val="0"/>
      <w:marRight w:val="0"/>
      <w:marTop w:val="0"/>
      <w:marBottom w:val="0"/>
      <w:divBdr>
        <w:top w:val="none" w:sz="0" w:space="0" w:color="auto"/>
        <w:left w:val="none" w:sz="0" w:space="0" w:color="auto"/>
        <w:bottom w:val="none" w:sz="0" w:space="0" w:color="auto"/>
        <w:right w:val="none" w:sz="0" w:space="0" w:color="auto"/>
      </w:divBdr>
    </w:div>
    <w:div w:id="902184326">
      <w:bodyDiv w:val="1"/>
      <w:marLeft w:val="0"/>
      <w:marRight w:val="0"/>
      <w:marTop w:val="0"/>
      <w:marBottom w:val="0"/>
      <w:divBdr>
        <w:top w:val="none" w:sz="0" w:space="0" w:color="auto"/>
        <w:left w:val="none" w:sz="0" w:space="0" w:color="auto"/>
        <w:bottom w:val="none" w:sz="0" w:space="0" w:color="auto"/>
        <w:right w:val="none" w:sz="0" w:space="0" w:color="auto"/>
      </w:divBdr>
    </w:div>
    <w:div w:id="981613965">
      <w:bodyDiv w:val="1"/>
      <w:marLeft w:val="0"/>
      <w:marRight w:val="0"/>
      <w:marTop w:val="0"/>
      <w:marBottom w:val="0"/>
      <w:divBdr>
        <w:top w:val="none" w:sz="0" w:space="0" w:color="auto"/>
        <w:left w:val="none" w:sz="0" w:space="0" w:color="auto"/>
        <w:bottom w:val="none" w:sz="0" w:space="0" w:color="auto"/>
        <w:right w:val="none" w:sz="0" w:space="0" w:color="auto"/>
      </w:divBdr>
      <w:divsChild>
        <w:div w:id="963118362">
          <w:marLeft w:val="0"/>
          <w:marRight w:val="0"/>
          <w:marTop w:val="0"/>
          <w:marBottom w:val="0"/>
          <w:divBdr>
            <w:top w:val="none" w:sz="0" w:space="0" w:color="auto"/>
            <w:left w:val="none" w:sz="0" w:space="0" w:color="auto"/>
            <w:bottom w:val="none" w:sz="0" w:space="0" w:color="auto"/>
            <w:right w:val="none" w:sz="0" w:space="0" w:color="auto"/>
          </w:divBdr>
          <w:divsChild>
            <w:div w:id="62334496">
              <w:marLeft w:val="0"/>
              <w:marRight w:val="0"/>
              <w:marTop w:val="0"/>
              <w:marBottom w:val="0"/>
              <w:divBdr>
                <w:top w:val="none" w:sz="0" w:space="0" w:color="auto"/>
                <w:left w:val="none" w:sz="0" w:space="0" w:color="auto"/>
                <w:bottom w:val="none" w:sz="0" w:space="0" w:color="auto"/>
                <w:right w:val="none" w:sz="0" w:space="0" w:color="auto"/>
              </w:divBdr>
              <w:divsChild>
                <w:div w:id="981542201">
                  <w:marLeft w:val="0"/>
                  <w:marRight w:val="0"/>
                  <w:marTop w:val="0"/>
                  <w:marBottom w:val="0"/>
                  <w:divBdr>
                    <w:top w:val="none" w:sz="0" w:space="0" w:color="auto"/>
                    <w:left w:val="none" w:sz="0" w:space="0" w:color="auto"/>
                    <w:bottom w:val="none" w:sz="0" w:space="0" w:color="auto"/>
                    <w:right w:val="none" w:sz="0" w:space="0" w:color="auto"/>
                  </w:divBdr>
                  <w:divsChild>
                    <w:div w:id="1972007035">
                      <w:marLeft w:val="0"/>
                      <w:marRight w:val="0"/>
                      <w:marTop w:val="45"/>
                      <w:marBottom w:val="0"/>
                      <w:divBdr>
                        <w:top w:val="none" w:sz="0" w:space="0" w:color="auto"/>
                        <w:left w:val="none" w:sz="0" w:space="0" w:color="auto"/>
                        <w:bottom w:val="none" w:sz="0" w:space="0" w:color="auto"/>
                        <w:right w:val="none" w:sz="0" w:space="0" w:color="auto"/>
                      </w:divBdr>
                      <w:divsChild>
                        <w:div w:id="1867939678">
                          <w:marLeft w:val="0"/>
                          <w:marRight w:val="0"/>
                          <w:marTop w:val="0"/>
                          <w:marBottom w:val="0"/>
                          <w:divBdr>
                            <w:top w:val="none" w:sz="0" w:space="0" w:color="auto"/>
                            <w:left w:val="none" w:sz="0" w:space="0" w:color="auto"/>
                            <w:bottom w:val="none" w:sz="0" w:space="0" w:color="auto"/>
                            <w:right w:val="none" w:sz="0" w:space="0" w:color="auto"/>
                          </w:divBdr>
                          <w:divsChild>
                            <w:div w:id="173767418">
                              <w:marLeft w:val="2070"/>
                              <w:marRight w:val="3960"/>
                              <w:marTop w:val="0"/>
                              <w:marBottom w:val="0"/>
                              <w:divBdr>
                                <w:top w:val="none" w:sz="0" w:space="0" w:color="auto"/>
                                <w:left w:val="none" w:sz="0" w:space="0" w:color="auto"/>
                                <w:bottom w:val="none" w:sz="0" w:space="0" w:color="auto"/>
                                <w:right w:val="none" w:sz="0" w:space="0" w:color="auto"/>
                              </w:divBdr>
                              <w:divsChild>
                                <w:div w:id="1418360210">
                                  <w:marLeft w:val="0"/>
                                  <w:marRight w:val="0"/>
                                  <w:marTop w:val="0"/>
                                  <w:marBottom w:val="0"/>
                                  <w:divBdr>
                                    <w:top w:val="none" w:sz="0" w:space="0" w:color="auto"/>
                                    <w:left w:val="none" w:sz="0" w:space="0" w:color="auto"/>
                                    <w:bottom w:val="none" w:sz="0" w:space="0" w:color="auto"/>
                                    <w:right w:val="none" w:sz="0" w:space="0" w:color="auto"/>
                                  </w:divBdr>
                                  <w:divsChild>
                                    <w:div w:id="404575330">
                                      <w:marLeft w:val="0"/>
                                      <w:marRight w:val="0"/>
                                      <w:marTop w:val="0"/>
                                      <w:marBottom w:val="0"/>
                                      <w:divBdr>
                                        <w:top w:val="none" w:sz="0" w:space="0" w:color="auto"/>
                                        <w:left w:val="none" w:sz="0" w:space="0" w:color="auto"/>
                                        <w:bottom w:val="none" w:sz="0" w:space="0" w:color="auto"/>
                                        <w:right w:val="none" w:sz="0" w:space="0" w:color="auto"/>
                                      </w:divBdr>
                                      <w:divsChild>
                                        <w:div w:id="270279483">
                                          <w:marLeft w:val="0"/>
                                          <w:marRight w:val="0"/>
                                          <w:marTop w:val="0"/>
                                          <w:marBottom w:val="0"/>
                                          <w:divBdr>
                                            <w:top w:val="none" w:sz="0" w:space="0" w:color="auto"/>
                                            <w:left w:val="none" w:sz="0" w:space="0" w:color="auto"/>
                                            <w:bottom w:val="none" w:sz="0" w:space="0" w:color="auto"/>
                                            <w:right w:val="none" w:sz="0" w:space="0" w:color="auto"/>
                                          </w:divBdr>
                                          <w:divsChild>
                                            <w:div w:id="424572553">
                                              <w:marLeft w:val="0"/>
                                              <w:marRight w:val="0"/>
                                              <w:marTop w:val="90"/>
                                              <w:marBottom w:val="0"/>
                                              <w:divBdr>
                                                <w:top w:val="none" w:sz="0" w:space="0" w:color="auto"/>
                                                <w:left w:val="none" w:sz="0" w:space="0" w:color="auto"/>
                                                <w:bottom w:val="none" w:sz="0" w:space="0" w:color="auto"/>
                                                <w:right w:val="none" w:sz="0" w:space="0" w:color="auto"/>
                                              </w:divBdr>
                                              <w:divsChild>
                                                <w:div w:id="660475195">
                                                  <w:marLeft w:val="0"/>
                                                  <w:marRight w:val="0"/>
                                                  <w:marTop w:val="0"/>
                                                  <w:marBottom w:val="0"/>
                                                  <w:divBdr>
                                                    <w:top w:val="none" w:sz="0" w:space="0" w:color="auto"/>
                                                    <w:left w:val="none" w:sz="0" w:space="0" w:color="auto"/>
                                                    <w:bottom w:val="none" w:sz="0" w:space="0" w:color="auto"/>
                                                    <w:right w:val="none" w:sz="0" w:space="0" w:color="auto"/>
                                                  </w:divBdr>
                                                  <w:divsChild>
                                                    <w:div w:id="566035040">
                                                      <w:marLeft w:val="0"/>
                                                      <w:marRight w:val="0"/>
                                                      <w:marTop w:val="0"/>
                                                      <w:marBottom w:val="0"/>
                                                      <w:divBdr>
                                                        <w:top w:val="none" w:sz="0" w:space="0" w:color="auto"/>
                                                        <w:left w:val="none" w:sz="0" w:space="0" w:color="auto"/>
                                                        <w:bottom w:val="none" w:sz="0" w:space="0" w:color="auto"/>
                                                        <w:right w:val="none" w:sz="0" w:space="0" w:color="auto"/>
                                                      </w:divBdr>
                                                      <w:divsChild>
                                                        <w:div w:id="66273292">
                                                          <w:marLeft w:val="0"/>
                                                          <w:marRight w:val="0"/>
                                                          <w:marTop w:val="0"/>
                                                          <w:marBottom w:val="390"/>
                                                          <w:divBdr>
                                                            <w:top w:val="none" w:sz="0" w:space="0" w:color="auto"/>
                                                            <w:left w:val="none" w:sz="0" w:space="0" w:color="auto"/>
                                                            <w:bottom w:val="none" w:sz="0" w:space="0" w:color="auto"/>
                                                            <w:right w:val="none" w:sz="0" w:space="0" w:color="auto"/>
                                                          </w:divBdr>
                                                          <w:divsChild>
                                                            <w:div w:id="304241323">
                                                              <w:marLeft w:val="0"/>
                                                              <w:marRight w:val="0"/>
                                                              <w:marTop w:val="0"/>
                                                              <w:marBottom w:val="0"/>
                                                              <w:divBdr>
                                                                <w:top w:val="none" w:sz="0" w:space="0" w:color="auto"/>
                                                                <w:left w:val="none" w:sz="0" w:space="0" w:color="auto"/>
                                                                <w:bottom w:val="none" w:sz="0" w:space="0" w:color="auto"/>
                                                                <w:right w:val="none" w:sz="0" w:space="0" w:color="auto"/>
                                                              </w:divBdr>
                                                              <w:divsChild>
                                                                <w:div w:id="624897508">
                                                                  <w:marLeft w:val="0"/>
                                                                  <w:marRight w:val="0"/>
                                                                  <w:marTop w:val="0"/>
                                                                  <w:marBottom w:val="0"/>
                                                                  <w:divBdr>
                                                                    <w:top w:val="none" w:sz="0" w:space="0" w:color="auto"/>
                                                                    <w:left w:val="none" w:sz="0" w:space="0" w:color="auto"/>
                                                                    <w:bottom w:val="none" w:sz="0" w:space="0" w:color="auto"/>
                                                                    <w:right w:val="none" w:sz="0" w:space="0" w:color="auto"/>
                                                                  </w:divBdr>
                                                                  <w:divsChild>
                                                                    <w:div w:id="1015690238">
                                                                      <w:marLeft w:val="0"/>
                                                                      <w:marRight w:val="0"/>
                                                                      <w:marTop w:val="0"/>
                                                                      <w:marBottom w:val="0"/>
                                                                      <w:divBdr>
                                                                        <w:top w:val="none" w:sz="0" w:space="0" w:color="auto"/>
                                                                        <w:left w:val="none" w:sz="0" w:space="0" w:color="auto"/>
                                                                        <w:bottom w:val="none" w:sz="0" w:space="0" w:color="auto"/>
                                                                        <w:right w:val="none" w:sz="0" w:space="0" w:color="auto"/>
                                                                      </w:divBdr>
                                                                      <w:divsChild>
                                                                        <w:div w:id="1657299389">
                                                                          <w:marLeft w:val="0"/>
                                                                          <w:marRight w:val="0"/>
                                                                          <w:marTop w:val="0"/>
                                                                          <w:marBottom w:val="0"/>
                                                                          <w:divBdr>
                                                                            <w:top w:val="none" w:sz="0" w:space="0" w:color="auto"/>
                                                                            <w:left w:val="none" w:sz="0" w:space="0" w:color="auto"/>
                                                                            <w:bottom w:val="none" w:sz="0" w:space="0" w:color="auto"/>
                                                                            <w:right w:val="none" w:sz="0" w:space="0" w:color="auto"/>
                                                                          </w:divBdr>
                                                                          <w:divsChild>
                                                                            <w:div w:id="404957856">
                                                                              <w:marLeft w:val="0"/>
                                                                              <w:marRight w:val="0"/>
                                                                              <w:marTop w:val="0"/>
                                                                              <w:marBottom w:val="0"/>
                                                                              <w:divBdr>
                                                                                <w:top w:val="none" w:sz="0" w:space="0" w:color="auto"/>
                                                                                <w:left w:val="none" w:sz="0" w:space="0" w:color="auto"/>
                                                                                <w:bottom w:val="none" w:sz="0" w:space="0" w:color="auto"/>
                                                                                <w:right w:val="none" w:sz="0" w:space="0" w:color="auto"/>
                                                                              </w:divBdr>
                                                                              <w:divsChild>
                                                                                <w:div w:id="1424255044">
                                                                                  <w:marLeft w:val="0"/>
                                                                                  <w:marRight w:val="0"/>
                                                                                  <w:marTop w:val="0"/>
                                                                                  <w:marBottom w:val="0"/>
                                                                                  <w:divBdr>
                                                                                    <w:top w:val="none" w:sz="0" w:space="0" w:color="auto"/>
                                                                                    <w:left w:val="none" w:sz="0" w:space="0" w:color="auto"/>
                                                                                    <w:bottom w:val="none" w:sz="0" w:space="0" w:color="auto"/>
                                                                                    <w:right w:val="none" w:sz="0" w:space="0" w:color="auto"/>
                                                                                  </w:divBdr>
                                                                                  <w:divsChild>
                                                                                    <w:div w:id="1285844578">
                                                                                      <w:marLeft w:val="0"/>
                                                                                      <w:marRight w:val="0"/>
                                                                                      <w:marTop w:val="0"/>
                                                                                      <w:marBottom w:val="0"/>
                                                                                      <w:divBdr>
                                                                                        <w:top w:val="none" w:sz="0" w:space="0" w:color="auto"/>
                                                                                        <w:left w:val="none" w:sz="0" w:space="0" w:color="auto"/>
                                                                                        <w:bottom w:val="none" w:sz="0" w:space="0" w:color="auto"/>
                                                                                        <w:right w:val="none" w:sz="0" w:space="0" w:color="auto"/>
                                                                                      </w:divBdr>
                                                                                      <w:divsChild>
                                                                                        <w:div w:id="17600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40500">
      <w:bodyDiv w:val="1"/>
      <w:marLeft w:val="0"/>
      <w:marRight w:val="0"/>
      <w:marTop w:val="0"/>
      <w:marBottom w:val="0"/>
      <w:divBdr>
        <w:top w:val="none" w:sz="0" w:space="0" w:color="auto"/>
        <w:left w:val="none" w:sz="0" w:space="0" w:color="auto"/>
        <w:bottom w:val="none" w:sz="0" w:space="0" w:color="auto"/>
        <w:right w:val="none" w:sz="0" w:space="0" w:color="auto"/>
      </w:divBdr>
      <w:divsChild>
        <w:div w:id="1775518893">
          <w:marLeft w:val="0"/>
          <w:marRight w:val="0"/>
          <w:marTop w:val="0"/>
          <w:marBottom w:val="0"/>
          <w:divBdr>
            <w:top w:val="none" w:sz="0" w:space="0" w:color="auto"/>
            <w:left w:val="none" w:sz="0" w:space="0" w:color="auto"/>
            <w:bottom w:val="none" w:sz="0" w:space="0" w:color="auto"/>
            <w:right w:val="none" w:sz="0" w:space="0" w:color="auto"/>
          </w:divBdr>
          <w:divsChild>
            <w:div w:id="420375732">
              <w:marLeft w:val="0"/>
              <w:marRight w:val="0"/>
              <w:marTop w:val="0"/>
              <w:marBottom w:val="0"/>
              <w:divBdr>
                <w:top w:val="none" w:sz="0" w:space="0" w:color="auto"/>
                <w:left w:val="none" w:sz="0" w:space="0" w:color="auto"/>
                <w:bottom w:val="none" w:sz="0" w:space="0" w:color="auto"/>
                <w:right w:val="none" w:sz="0" w:space="0" w:color="auto"/>
              </w:divBdr>
              <w:divsChild>
                <w:div w:id="583805048">
                  <w:marLeft w:val="0"/>
                  <w:marRight w:val="0"/>
                  <w:marTop w:val="0"/>
                  <w:marBottom w:val="0"/>
                  <w:divBdr>
                    <w:top w:val="none" w:sz="0" w:space="0" w:color="auto"/>
                    <w:left w:val="none" w:sz="0" w:space="0" w:color="auto"/>
                    <w:bottom w:val="none" w:sz="0" w:space="0" w:color="auto"/>
                    <w:right w:val="none" w:sz="0" w:space="0" w:color="auto"/>
                  </w:divBdr>
                  <w:divsChild>
                    <w:div w:id="868562812">
                      <w:marLeft w:val="0"/>
                      <w:marRight w:val="0"/>
                      <w:marTop w:val="45"/>
                      <w:marBottom w:val="0"/>
                      <w:divBdr>
                        <w:top w:val="none" w:sz="0" w:space="0" w:color="auto"/>
                        <w:left w:val="none" w:sz="0" w:space="0" w:color="auto"/>
                        <w:bottom w:val="none" w:sz="0" w:space="0" w:color="auto"/>
                        <w:right w:val="none" w:sz="0" w:space="0" w:color="auto"/>
                      </w:divBdr>
                      <w:divsChild>
                        <w:div w:id="1705862940">
                          <w:marLeft w:val="0"/>
                          <w:marRight w:val="0"/>
                          <w:marTop w:val="0"/>
                          <w:marBottom w:val="0"/>
                          <w:divBdr>
                            <w:top w:val="none" w:sz="0" w:space="0" w:color="auto"/>
                            <w:left w:val="none" w:sz="0" w:space="0" w:color="auto"/>
                            <w:bottom w:val="none" w:sz="0" w:space="0" w:color="auto"/>
                            <w:right w:val="none" w:sz="0" w:space="0" w:color="auto"/>
                          </w:divBdr>
                          <w:divsChild>
                            <w:div w:id="1819689568">
                              <w:marLeft w:val="2070"/>
                              <w:marRight w:val="3960"/>
                              <w:marTop w:val="0"/>
                              <w:marBottom w:val="0"/>
                              <w:divBdr>
                                <w:top w:val="none" w:sz="0" w:space="0" w:color="auto"/>
                                <w:left w:val="none" w:sz="0" w:space="0" w:color="auto"/>
                                <w:bottom w:val="none" w:sz="0" w:space="0" w:color="auto"/>
                                <w:right w:val="none" w:sz="0" w:space="0" w:color="auto"/>
                              </w:divBdr>
                              <w:divsChild>
                                <w:div w:id="1515026046">
                                  <w:marLeft w:val="0"/>
                                  <w:marRight w:val="0"/>
                                  <w:marTop w:val="0"/>
                                  <w:marBottom w:val="0"/>
                                  <w:divBdr>
                                    <w:top w:val="none" w:sz="0" w:space="0" w:color="auto"/>
                                    <w:left w:val="none" w:sz="0" w:space="0" w:color="auto"/>
                                    <w:bottom w:val="none" w:sz="0" w:space="0" w:color="auto"/>
                                    <w:right w:val="none" w:sz="0" w:space="0" w:color="auto"/>
                                  </w:divBdr>
                                  <w:divsChild>
                                    <w:div w:id="865870175">
                                      <w:marLeft w:val="0"/>
                                      <w:marRight w:val="0"/>
                                      <w:marTop w:val="0"/>
                                      <w:marBottom w:val="0"/>
                                      <w:divBdr>
                                        <w:top w:val="none" w:sz="0" w:space="0" w:color="auto"/>
                                        <w:left w:val="none" w:sz="0" w:space="0" w:color="auto"/>
                                        <w:bottom w:val="none" w:sz="0" w:space="0" w:color="auto"/>
                                        <w:right w:val="none" w:sz="0" w:space="0" w:color="auto"/>
                                      </w:divBdr>
                                      <w:divsChild>
                                        <w:div w:id="196820407">
                                          <w:marLeft w:val="0"/>
                                          <w:marRight w:val="0"/>
                                          <w:marTop w:val="0"/>
                                          <w:marBottom w:val="0"/>
                                          <w:divBdr>
                                            <w:top w:val="none" w:sz="0" w:space="0" w:color="auto"/>
                                            <w:left w:val="none" w:sz="0" w:space="0" w:color="auto"/>
                                            <w:bottom w:val="none" w:sz="0" w:space="0" w:color="auto"/>
                                            <w:right w:val="none" w:sz="0" w:space="0" w:color="auto"/>
                                          </w:divBdr>
                                          <w:divsChild>
                                            <w:div w:id="339891249">
                                              <w:marLeft w:val="0"/>
                                              <w:marRight w:val="0"/>
                                              <w:marTop w:val="90"/>
                                              <w:marBottom w:val="0"/>
                                              <w:divBdr>
                                                <w:top w:val="none" w:sz="0" w:space="0" w:color="auto"/>
                                                <w:left w:val="none" w:sz="0" w:space="0" w:color="auto"/>
                                                <w:bottom w:val="none" w:sz="0" w:space="0" w:color="auto"/>
                                                <w:right w:val="none" w:sz="0" w:space="0" w:color="auto"/>
                                              </w:divBdr>
                                              <w:divsChild>
                                                <w:div w:id="1880238250">
                                                  <w:marLeft w:val="0"/>
                                                  <w:marRight w:val="0"/>
                                                  <w:marTop w:val="0"/>
                                                  <w:marBottom w:val="0"/>
                                                  <w:divBdr>
                                                    <w:top w:val="none" w:sz="0" w:space="0" w:color="auto"/>
                                                    <w:left w:val="none" w:sz="0" w:space="0" w:color="auto"/>
                                                    <w:bottom w:val="none" w:sz="0" w:space="0" w:color="auto"/>
                                                    <w:right w:val="none" w:sz="0" w:space="0" w:color="auto"/>
                                                  </w:divBdr>
                                                  <w:divsChild>
                                                    <w:div w:id="1324121490">
                                                      <w:marLeft w:val="0"/>
                                                      <w:marRight w:val="0"/>
                                                      <w:marTop w:val="0"/>
                                                      <w:marBottom w:val="0"/>
                                                      <w:divBdr>
                                                        <w:top w:val="none" w:sz="0" w:space="0" w:color="auto"/>
                                                        <w:left w:val="none" w:sz="0" w:space="0" w:color="auto"/>
                                                        <w:bottom w:val="none" w:sz="0" w:space="0" w:color="auto"/>
                                                        <w:right w:val="none" w:sz="0" w:space="0" w:color="auto"/>
                                                      </w:divBdr>
                                                      <w:divsChild>
                                                        <w:div w:id="1322731577">
                                                          <w:marLeft w:val="0"/>
                                                          <w:marRight w:val="0"/>
                                                          <w:marTop w:val="0"/>
                                                          <w:marBottom w:val="390"/>
                                                          <w:divBdr>
                                                            <w:top w:val="none" w:sz="0" w:space="0" w:color="auto"/>
                                                            <w:left w:val="none" w:sz="0" w:space="0" w:color="auto"/>
                                                            <w:bottom w:val="none" w:sz="0" w:space="0" w:color="auto"/>
                                                            <w:right w:val="none" w:sz="0" w:space="0" w:color="auto"/>
                                                          </w:divBdr>
                                                          <w:divsChild>
                                                            <w:div w:id="478962116">
                                                              <w:marLeft w:val="0"/>
                                                              <w:marRight w:val="0"/>
                                                              <w:marTop w:val="0"/>
                                                              <w:marBottom w:val="0"/>
                                                              <w:divBdr>
                                                                <w:top w:val="none" w:sz="0" w:space="0" w:color="auto"/>
                                                                <w:left w:val="none" w:sz="0" w:space="0" w:color="auto"/>
                                                                <w:bottom w:val="none" w:sz="0" w:space="0" w:color="auto"/>
                                                                <w:right w:val="none" w:sz="0" w:space="0" w:color="auto"/>
                                                              </w:divBdr>
                                                              <w:divsChild>
                                                                <w:div w:id="746805178">
                                                                  <w:marLeft w:val="0"/>
                                                                  <w:marRight w:val="0"/>
                                                                  <w:marTop w:val="0"/>
                                                                  <w:marBottom w:val="0"/>
                                                                  <w:divBdr>
                                                                    <w:top w:val="none" w:sz="0" w:space="0" w:color="auto"/>
                                                                    <w:left w:val="none" w:sz="0" w:space="0" w:color="auto"/>
                                                                    <w:bottom w:val="none" w:sz="0" w:space="0" w:color="auto"/>
                                                                    <w:right w:val="none" w:sz="0" w:space="0" w:color="auto"/>
                                                                  </w:divBdr>
                                                                  <w:divsChild>
                                                                    <w:div w:id="1300724269">
                                                                      <w:marLeft w:val="0"/>
                                                                      <w:marRight w:val="0"/>
                                                                      <w:marTop w:val="0"/>
                                                                      <w:marBottom w:val="0"/>
                                                                      <w:divBdr>
                                                                        <w:top w:val="none" w:sz="0" w:space="0" w:color="auto"/>
                                                                        <w:left w:val="none" w:sz="0" w:space="0" w:color="auto"/>
                                                                        <w:bottom w:val="none" w:sz="0" w:space="0" w:color="auto"/>
                                                                        <w:right w:val="none" w:sz="0" w:space="0" w:color="auto"/>
                                                                      </w:divBdr>
                                                                      <w:divsChild>
                                                                        <w:div w:id="1463764498">
                                                                          <w:marLeft w:val="0"/>
                                                                          <w:marRight w:val="0"/>
                                                                          <w:marTop w:val="0"/>
                                                                          <w:marBottom w:val="0"/>
                                                                          <w:divBdr>
                                                                            <w:top w:val="none" w:sz="0" w:space="0" w:color="auto"/>
                                                                            <w:left w:val="none" w:sz="0" w:space="0" w:color="auto"/>
                                                                            <w:bottom w:val="none" w:sz="0" w:space="0" w:color="auto"/>
                                                                            <w:right w:val="none" w:sz="0" w:space="0" w:color="auto"/>
                                                                          </w:divBdr>
                                                                          <w:divsChild>
                                                                            <w:div w:id="896892362">
                                                                              <w:marLeft w:val="0"/>
                                                                              <w:marRight w:val="0"/>
                                                                              <w:marTop w:val="0"/>
                                                                              <w:marBottom w:val="0"/>
                                                                              <w:divBdr>
                                                                                <w:top w:val="none" w:sz="0" w:space="0" w:color="auto"/>
                                                                                <w:left w:val="none" w:sz="0" w:space="0" w:color="auto"/>
                                                                                <w:bottom w:val="none" w:sz="0" w:space="0" w:color="auto"/>
                                                                                <w:right w:val="none" w:sz="0" w:space="0" w:color="auto"/>
                                                                              </w:divBdr>
                                                                              <w:divsChild>
                                                                                <w:div w:id="575210487">
                                                                                  <w:marLeft w:val="0"/>
                                                                                  <w:marRight w:val="0"/>
                                                                                  <w:marTop w:val="0"/>
                                                                                  <w:marBottom w:val="0"/>
                                                                                  <w:divBdr>
                                                                                    <w:top w:val="none" w:sz="0" w:space="0" w:color="auto"/>
                                                                                    <w:left w:val="none" w:sz="0" w:space="0" w:color="auto"/>
                                                                                    <w:bottom w:val="none" w:sz="0" w:space="0" w:color="auto"/>
                                                                                    <w:right w:val="none" w:sz="0" w:space="0" w:color="auto"/>
                                                                                  </w:divBdr>
                                                                                  <w:divsChild>
                                                                                    <w:div w:id="604461320">
                                                                                      <w:marLeft w:val="0"/>
                                                                                      <w:marRight w:val="0"/>
                                                                                      <w:marTop w:val="0"/>
                                                                                      <w:marBottom w:val="0"/>
                                                                                      <w:divBdr>
                                                                                        <w:top w:val="none" w:sz="0" w:space="0" w:color="auto"/>
                                                                                        <w:left w:val="none" w:sz="0" w:space="0" w:color="auto"/>
                                                                                        <w:bottom w:val="none" w:sz="0" w:space="0" w:color="auto"/>
                                                                                        <w:right w:val="none" w:sz="0" w:space="0" w:color="auto"/>
                                                                                      </w:divBdr>
                                                                                      <w:divsChild>
                                                                                        <w:div w:id="3763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680">
      <w:bodyDiv w:val="1"/>
      <w:marLeft w:val="0"/>
      <w:marRight w:val="0"/>
      <w:marTop w:val="0"/>
      <w:marBottom w:val="0"/>
      <w:divBdr>
        <w:top w:val="none" w:sz="0" w:space="0" w:color="auto"/>
        <w:left w:val="none" w:sz="0" w:space="0" w:color="auto"/>
        <w:bottom w:val="none" w:sz="0" w:space="0" w:color="auto"/>
        <w:right w:val="none" w:sz="0" w:space="0" w:color="auto"/>
      </w:divBdr>
    </w:div>
    <w:div w:id="1075711436">
      <w:bodyDiv w:val="1"/>
      <w:marLeft w:val="0"/>
      <w:marRight w:val="0"/>
      <w:marTop w:val="0"/>
      <w:marBottom w:val="0"/>
      <w:divBdr>
        <w:top w:val="none" w:sz="0" w:space="0" w:color="auto"/>
        <w:left w:val="none" w:sz="0" w:space="0" w:color="auto"/>
        <w:bottom w:val="none" w:sz="0" w:space="0" w:color="auto"/>
        <w:right w:val="none" w:sz="0" w:space="0" w:color="auto"/>
      </w:divBdr>
    </w:div>
    <w:div w:id="1289431148">
      <w:bodyDiv w:val="1"/>
      <w:marLeft w:val="0"/>
      <w:marRight w:val="0"/>
      <w:marTop w:val="0"/>
      <w:marBottom w:val="0"/>
      <w:divBdr>
        <w:top w:val="none" w:sz="0" w:space="0" w:color="auto"/>
        <w:left w:val="none" w:sz="0" w:space="0" w:color="auto"/>
        <w:bottom w:val="none" w:sz="0" w:space="0" w:color="auto"/>
        <w:right w:val="none" w:sz="0" w:space="0" w:color="auto"/>
      </w:divBdr>
    </w:div>
    <w:div w:id="1297567724">
      <w:bodyDiv w:val="1"/>
      <w:marLeft w:val="0"/>
      <w:marRight w:val="0"/>
      <w:marTop w:val="0"/>
      <w:marBottom w:val="0"/>
      <w:divBdr>
        <w:top w:val="none" w:sz="0" w:space="0" w:color="auto"/>
        <w:left w:val="none" w:sz="0" w:space="0" w:color="auto"/>
        <w:bottom w:val="none" w:sz="0" w:space="0" w:color="auto"/>
        <w:right w:val="none" w:sz="0" w:space="0" w:color="auto"/>
      </w:divBdr>
      <w:divsChild>
        <w:div w:id="1894005426">
          <w:marLeft w:val="0"/>
          <w:marRight w:val="0"/>
          <w:marTop w:val="0"/>
          <w:marBottom w:val="0"/>
          <w:divBdr>
            <w:top w:val="none" w:sz="0" w:space="0" w:color="auto"/>
            <w:left w:val="none" w:sz="0" w:space="0" w:color="auto"/>
            <w:bottom w:val="none" w:sz="0" w:space="0" w:color="auto"/>
            <w:right w:val="none" w:sz="0" w:space="0" w:color="auto"/>
          </w:divBdr>
          <w:divsChild>
            <w:div w:id="1410424011">
              <w:marLeft w:val="0"/>
              <w:marRight w:val="0"/>
              <w:marTop w:val="0"/>
              <w:marBottom w:val="0"/>
              <w:divBdr>
                <w:top w:val="none" w:sz="0" w:space="0" w:color="auto"/>
                <w:left w:val="none" w:sz="0" w:space="0" w:color="auto"/>
                <w:bottom w:val="none" w:sz="0" w:space="0" w:color="auto"/>
                <w:right w:val="none" w:sz="0" w:space="0" w:color="auto"/>
              </w:divBdr>
              <w:divsChild>
                <w:div w:id="1636763654">
                  <w:marLeft w:val="0"/>
                  <w:marRight w:val="0"/>
                  <w:marTop w:val="0"/>
                  <w:marBottom w:val="0"/>
                  <w:divBdr>
                    <w:top w:val="none" w:sz="0" w:space="0" w:color="auto"/>
                    <w:left w:val="none" w:sz="0" w:space="0" w:color="auto"/>
                    <w:bottom w:val="none" w:sz="0" w:space="0" w:color="auto"/>
                    <w:right w:val="none" w:sz="0" w:space="0" w:color="auto"/>
                  </w:divBdr>
                  <w:divsChild>
                    <w:div w:id="1344431507">
                      <w:marLeft w:val="0"/>
                      <w:marRight w:val="0"/>
                      <w:marTop w:val="45"/>
                      <w:marBottom w:val="0"/>
                      <w:divBdr>
                        <w:top w:val="none" w:sz="0" w:space="0" w:color="auto"/>
                        <w:left w:val="none" w:sz="0" w:space="0" w:color="auto"/>
                        <w:bottom w:val="none" w:sz="0" w:space="0" w:color="auto"/>
                        <w:right w:val="none" w:sz="0" w:space="0" w:color="auto"/>
                      </w:divBdr>
                      <w:divsChild>
                        <w:div w:id="2099475176">
                          <w:marLeft w:val="0"/>
                          <w:marRight w:val="0"/>
                          <w:marTop w:val="0"/>
                          <w:marBottom w:val="0"/>
                          <w:divBdr>
                            <w:top w:val="none" w:sz="0" w:space="0" w:color="auto"/>
                            <w:left w:val="none" w:sz="0" w:space="0" w:color="auto"/>
                            <w:bottom w:val="none" w:sz="0" w:space="0" w:color="auto"/>
                            <w:right w:val="none" w:sz="0" w:space="0" w:color="auto"/>
                          </w:divBdr>
                          <w:divsChild>
                            <w:div w:id="394815051">
                              <w:marLeft w:val="2070"/>
                              <w:marRight w:val="3960"/>
                              <w:marTop w:val="0"/>
                              <w:marBottom w:val="0"/>
                              <w:divBdr>
                                <w:top w:val="none" w:sz="0" w:space="0" w:color="auto"/>
                                <w:left w:val="none" w:sz="0" w:space="0" w:color="auto"/>
                                <w:bottom w:val="none" w:sz="0" w:space="0" w:color="auto"/>
                                <w:right w:val="none" w:sz="0" w:space="0" w:color="auto"/>
                              </w:divBdr>
                              <w:divsChild>
                                <w:div w:id="115606779">
                                  <w:marLeft w:val="0"/>
                                  <w:marRight w:val="0"/>
                                  <w:marTop w:val="0"/>
                                  <w:marBottom w:val="0"/>
                                  <w:divBdr>
                                    <w:top w:val="none" w:sz="0" w:space="0" w:color="auto"/>
                                    <w:left w:val="none" w:sz="0" w:space="0" w:color="auto"/>
                                    <w:bottom w:val="none" w:sz="0" w:space="0" w:color="auto"/>
                                    <w:right w:val="none" w:sz="0" w:space="0" w:color="auto"/>
                                  </w:divBdr>
                                  <w:divsChild>
                                    <w:div w:id="1466776053">
                                      <w:marLeft w:val="0"/>
                                      <w:marRight w:val="0"/>
                                      <w:marTop w:val="0"/>
                                      <w:marBottom w:val="0"/>
                                      <w:divBdr>
                                        <w:top w:val="none" w:sz="0" w:space="0" w:color="auto"/>
                                        <w:left w:val="none" w:sz="0" w:space="0" w:color="auto"/>
                                        <w:bottom w:val="none" w:sz="0" w:space="0" w:color="auto"/>
                                        <w:right w:val="none" w:sz="0" w:space="0" w:color="auto"/>
                                      </w:divBdr>
                                      <w:divsChild>
                                        <w:div w:id="534926968">
                                          <w:marLeft w:val="0"/>
                                          <w:marRight w:val="0"/>
                                          <w:marTop w:val="0"/>
                                          <w:marBottom w:val="0"/>
                                          <w:divBdr>
                                            <w:top w:val="none" w:sz="0" w:space="0" w:color="auto"/>
                                            <w:left w:val="none" w:sz="0" w:space="0" w:color="auto"/>
                                            <w:bottom w:val="none" w:sz="0" w:space="0" w:color="auto"/>
                                            <w:right w:val="none" w:sz="0" w:space="0" w:color="auto"/>
                                          </w:divBdr>
                                          <w:divsChild>
                                            <w:div w:id="909735445">
                                              <w:marLeft w:val="0"/>
                                              <w:marRight w:val="0"/>
                                              <w:marTop w:val="90"/>
                                              <w:marBottom w:val="0"/>
                                              <w:divBdr>
                                                <w:top w:val="none" w:sz="0" w:space="0" w:color="auto"/>
                                                <w:left w:val="none" w:sz="0" w:space="0" w:color="auto"/>
                                                <w:bottom w:val="none" w:sz="0" w:space="0" w:color="auto"/>
                                                <w:right w:val="none" w:sz="0" w:space="0" w:color="auto"/>
                                              </w:divBdr>
                                              <w:divsChild>
                                                <w:div w:id="2002659382">
                                                  <w:marLeft w:val="0"/>
                                                  <w:marRight w:val="0"/>
                                                  <w:marTop w:val="0"/>
                                                  <w:marBottom w:val="0"/>
                                                  <w:divBdr>
                                                    <w:top w:val="none" w:sz="0" w:space="0" w:color="auto"/>
                                                    <w:left w:val="none" w:sz="0" w:space="0" w:color="auto"/>
                                                    <w:bottom w:val="none" w:sz="0" w:space="0" w:color="auto"/>
                                                    <w:right w:val="none" w:sz="0" w:space="0" w:color="auto"/>
                                                  </w:divBdr>
                                                  <w:divsChild>
                                                    <w:div w:id="128909966">
                                                      <w:marLeft w:val="0"/>
                                                      <w:marRight w:val="0"/>
                                                      <w:marTop w:val="0"/>
                                                      <w:marBottom w:val="0"/>
                                                      <w:divBdr>
                                                        <w:top w:val="none" w:sz="0" w:space="0" w:color="auto"/>
                                                        <w:left w:val="none" w:sz="0" w:space="0" w:color="auto"/>
                                                        <w:bottom w:val="none" w:sz="0" w:space="0" w:color="auto"/>
                                                        <w:right w:val="none" w:sz="0" w:space="0" w:color="auto"/>
                                                      </w:divBdr>
                                                      <w:divsChild>
                                                        <w:div w:id="225065878">
                                                          <w:marLeft w:val="0"/>
                                                          <w:marRight w:val="0"/>
                                                          <w:marTop w:val="0"/>
                                                          <w:marBottom w:val="390"/>
                                                          <w:divBdr>
                                                            <w:top w:val="none" w:sz="0" w:space="0" w:color="auto"/>
                                                            <w:left w:val="none" w:sz="0" w:space="0" w:color="auto"/>
                                                            <w:bottom w:val="none" w:sz="0" w:space="0" w:color="auto"/>
                                                            <w:right w:val="none" w:sz="0" w:space="0" w:color="auto"/>
                                                          </w:divBdr>
                                                          <w:divsChild>
                                                            <w:div w:id="1236664637">
                                                              <w:marLeft w:val="0"/>
                                                              <w:marRight w:val="0"/>
                                                              <w:marTop w:val="0"/>
                                                              <w:marBottom w:val="0"/>
                                                              <w:divBdr>
                                                                <w:top w:val="none" w:sz="0" w:space="0" w:color="auto"/>
                                                                <w:left w:val="none" w:sz="0" w:space="0" w:color="auto"/>
                                                                <w:bottom w:val="none" w:sz="0" w:space="0" w:color="auto"/>
                                                                <w:right w:val="none" w:sz="0" w:space="0" w:color="auto"/>
                                                              </w:divBdr>
                                                              <w:divsChild>
                                                                <w:div w:id="504589939">
                                                                  <w:marLeft w:val="0"/>
                                                                  <w:marRight w:val="0"/>
                                                                  <w:marTop w:val="0"/>
                                                                  <w:marBottom w:val="0"/>
                                                                  <w:divBdr>
                                                                    <w:top w:val="none" w:sz="0" w:space="0" w:color="auto"/>
                                                                    <w:left w:val="none" w:sz="0" w:space="0" w:color="auto"/>
                                                                    <w:bottom w:val="none" w:sz="0" w:space="0" w:color="auto"/>
                                                                    <w:right w:val="none" w:sz="0" w:space="0" w:color="auto"/>
                                                                  </w:divBdr>
                                                                  <w:divsChild>
                                                                    <w:div w:id="476460226">
                                                                      <w:marLeft w:val="0"/>
                                                                      <w:marRight w:val="0"/>
                                                                      <w:marTop w:val="0"/>
                                                                      <w:marBottom w:val="0"/>
                                                                      <w:divBdr>
                                                                        <w:top w:val="none" w:sz="0" w:space="0" w:color="auto"/>
                                                                        <w:left w:val="none" w:sz="0" w:space="0" w:color="auto"/>
                                                                        <w:bottom w:val="none" w:sz="0" w:space="0" w:color="auto"/>
                                                                        <w:right w:val="none" w:sz="0" w:space="0" w:color="auto"/>
                                                                      </w:divBdr>
                                                                      <w:divsChild>
                                                                        <w:div w:id="1409159150">
                                                                          <w:marLeft w:val="0"/>
                                                                          <w:marRight w:val="0"/>
                                                                          <w:marTop w:val="0"/>
                                                                          <w:marBottom w:val="0"/>
                                                                          <w:divBdr>
                                                                            <w:top w:val="none" w:sz="0" w:space="0" w:color="auto"/>
                                                                            <w:left w:val="none" w:sz="0" w:space="0" w:color="auto"/>
                                                                            <w:bottom w:val="none" w:sz="0" w:space="0" w:color="auto"/>
                                                                            <w:right w:val="none" w:sz="0" w:space="0" w:color="auto"/>
                                                                          </w:divBdr>
                                                                          <w:divsChild>
                                                                            <w:div w:id="1603956833">
                                                                              <w:marLeft w:val="0"/>
                                                                              <w:marRight w:val="0"/>
                                                                              <w:marTop w:val="0"/>
                                                                              <w:marBottom w:val="0"/>
                                                                              <w:divBdr>
                                                                                <w:top w:val="none" w:sz="0" w:space="0" w:color="auto"/>
                                                                                <w:left w:val="none" w:sz="0" w:space="0" w:color="auto"/>
                                                                                <w:bottom w:val="none" w:sz="0" w:space="0" w:color="auto"/>
                                                                                <w:right w:val="none" w:sz="0" w:space="0" w:color="auto"/>
                                                                              </w:divBdr>
                                                                              <w:divsChild>
                                                                                <w:div w:id="1812551448">
                                                                                  <w:marLeft w:val="0"/>
                                                                                  <w:marRight w:val="0"/>
                                                                                  <w:marTop w:val="0"/>
                                                                                  <w:marBottom w:val="0"/>
                                                                                  <w:divBdr>
                                                                                    <w:top w:val="none" w:sz="0" w:space="0" w:color="auto"/>
                                                                                    <w:left w:val="none" w:sz="0" w:space="0" w:color="auto"/>
                                                                                    <w:bottom w:val="none" w:sz="0" w:space="0" w:color="auto"/>
                                                                                    <w:right w:val="none" w:sz="0" w:space="0" w:color="auto"/>
                                                                                  </w:divBdr>
                                                                                  <w:divsChild>
                                                                                    <w:div w:id="455952652">
                                                                                      <w:marLeft w:val="0"/>
                                                                                      <w:marRight w:val="0"/>
                                                                                      <w:marTop w:val="0"/>
                                                                                      <w:marBottom w:val="0"/>
                                                                                      <w:divBdr>
                                                                                        <w:top w:val="none" w:sz="0" w:space="0" w:color="auto"/>
                                                                                        <w:left w:val="none" w:sz="0" w:space="0" w:color="auto"/>
                                                                                        <w:bottom w:val="none" w:sz="0" w:space="0" w:color="auto"/>
                                                                                        <w:right w:val="none" w:sz="0" w:space="0" w:color="auto"/>
                                                                                      </w:divBdr>
                                                                                      <w:divsChild>
                                                                                        <w:div w:id="17173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254264">
      <w:bodyDiv w:val="1"/>
      <w:marLeft w:val="0"/>
      <w:marRight w:val="0"/>
      <w:marTop w:val="0"/>
      <w:marBottom w:val="0"/>
      <w:divBdr>
        <w:top w:val="none" w:sz="0" w:space="0" w:color="auto"/>
        <w:left w:val="none" w:sz="0" w:space="0" w:color="auto"/>
        <w:bottom w:val="none" w:sz="0" w:space="0" w:color="auto"/>
        <w:right w:val="none" w:sz="0" w:space="0" w:color="auto"/>
      </w:divBdr>
      <w:divsChild>
        <w:div w:id="1339429331">
          <w:marLeft w:val="0"/>
          <w:marRight w:val="0"/>
          <w:marTop w:val="0"/>
          <w:marBottom w:val="0"/>
          <w:divBdr>
            <w:top w:val="none" w:sz="0" w:space="0" w:color="auto"/>
            <w:left w:val="none" w:sz="0" w:space="0" w:color="auto"/>
            <w:bottom w:val="none" w:sz="0" w:space="0" w:color="auto"/>
            <w:right w:val="none" w:sz="0" w:space="0" w:color="auto"/>
          </w:divBdr>
          <w:divsChild>
            <w:div w:id="179589344">
              <w:marLeft w:val="0"/>
              <w:marRight w:val="0"/>
              <w:marTop w:val="0"/>
              <w:marBottom w:val="0"/>
              <w:divBdr>
                <w:top w:val="none" w:sz="0" w:space="0" w:color="auto"/>
                <w:left w:val="none" w:sz="0" w:space="0" w:color="auto"/>
                <w:bottom w:val="none" w:sz="0" w:space="0" w:color="auto"/>
                <w:right w:val="none" w:sz="0" w:space="0" w:color="auto"/>
              </w:divBdr>
              <w:divsChild>
                <w:div w:id="1592855136">
                  <w:marLeft w:val="0"/>
                  <w:marRight w:val="0"/>
                  <w:marTop w:val="0"/>
                  <w:marBottom w:val="0"/>
                  <w:divBdr>
                    <w:top w:val="none" w:sz="0" w:space="0" w:color="auto"/>
                    <w:left w:val="none" w:sz="0" w:space="0" w:color="auto"/>
                    <w:bottom w:val="none" w:sz="0" w:space="0" w:color="auto"/>
                    <w:right w:val="none" w:sz="0" w:space="0" w:color="auto"/>
                  </w:divBdr>
                  <w:divsChild>
                    <w:div w:id="2056537973">
                      <w:marLeft w:val="0"/>
                      <w:marRight w:val="0"/>
                      <w:marTop w:val="45"/>
                      <w:marBottom w:val="0"/>
                      <w:divBdr>
                        <w:top w:val="none" w:sz="0" w:space="0" w:color="auto"/>
                        <w:left w:val="none" w:sz="0" w:space="0" w:color="auto"/>
                        <w:bottom w:val="none" w:sz="0" w:space="0" w:color="auto"/>
                        <w:right w:val="none" w:sz="0" w:space="0" w:color="auto"/>
                      </w:divBdr>
                      <w:divsChild>
                        <w:div w:id="969942769">
                          <w:marLeft w:val="0"/>
                          <w:marRight w:val="0"/>
                          <w:marTop w:val="0"/>
                          <w:marBottom w:val="0"/>
                          <w:divBdr>
                            <w:top w:val="none" w:sz="0" w:space="0" w:color="auto"/>
                            <w:left w:val="none" w:sz="0" w:space="0" w:color="auto"/>
                            <w:bottom w:val="none" w:sz="0" w:space="0" w:color="auto"/>
                            <w:right w:val="none" w:sz="0" w:space="0" w:color="auto"/>
                          </w:divBdr>
                          <w:divsChild>
                            <w:div w:id="178814566">
                              <w:marLeft w:val="2070"/>
                              <w:marRight w:val="3960"/>
                              <w:marTop w:val="0"/>
                              <w:marBottom w:val="0"/>
                              <w:divBdr>
                                <w:top w:val="none" w:sz="0" w:space="0" w:color="auto"/>
                                <w:left w:val="none" w:sz="0" w:space="0" w:color="auto"/>
                                <w:bottom w:val="none" w:sz="0" w:space="0" w:color="auto"/>
                                <w:right w:val="none" w:sz="0" w:space="0" w:color="auto"/>
                              </w:divBdr>
                              <w:divsChild>
                                <w:div w:id="1797407108">
                                  <w:marLeft w:val="0"/>
                                  <w:marRight w:val="0"/>
                                  <w:marTop w:val="0"/>
                                  <w:marBottom w:val="0"/>
                                  <w:divBdr>
                                    <w:top w:val="none" w:sz="0" w:space="0" w:color="auto"/>
                                    <w:left w:val="none" w:sz="0" w:space="0" w:color="auto"/>
                                    <w:bottom w:val="none" w:sz="0" w:space="0" w:color="auto"/>
                                    <w:right w:val="none" w:sz="0" w:space="0" w:color="auto"/>
                                  </w:divBdr>
                                  <w:divsChild>
                                    <w:div w:id="1317538593">
                                      <w:marLeft w:val="0"/>
                                      <w:marRight w:val="0"/>
                                      <w:marTop w:val="0"/>
                                      <w:marBottom w:val="0"/>
                                      <w:divBdr>
                                        <w:top w:val="none" w:sz="0" w:space="0" w:color="auto"/>
                                        <w:left w:val="none" w:sz="0" w:space="0" w:color="auto"/>
                                        <w:bottom w:val="none" w:sz="0" w:space="0" w:color="auto"/>
                                        <w:right w:val="none" w:sz="0" w:space="0" w:color="auto"/>
                                      </w:divBdr>
                                      <w:divsChild>
                                        <w:div w:id="656418247">
                                          <w:marLeft w:val="0"/>
                                          <w:marRight w:val="0"/>
                                          <w:marTop w:val="0"/>
                                          <w:marBottom w:val="0"/>
                                          <w:divBdr>
                                            <w:top w:val="none" w:sz="0" w:space="0" w:color="auto"/>
                                            <w:left w:val="none" w:sz="0" w:space="0" w:color="auto"/>
                                            <w:bottom w:val="none" w:sz="0" w:space="0" w:color="auto"/>
                                            <w:right w:val="none" w:sz="0" w:space="0" w:color="auto"/>
                                          </w:divBdr>
                                          <w:divsChild>
                                            <w:div w:id="260114997">
                                              <w:marLeft w:val="0"/>
                                              <w:marRight w:val="0"/>
                                              <w:marTop w:val="90"/>
                                              <w:marBottom w:val="0"/>
                                              <w:divBdr>
                                                <w:top w:val="none" w:sz="0" w:space="0" w:color="auto"/>
                                                <w:left w:val="none" w:sz="0" w:space="0" w:color="auto"/>
                                                <w:bottom w:val="none" w:sz="0" w:space="0" w:color="auto"/>
                                                <w:right w:val="none" w:sz="0" w:space="0" w:color="auto"/>
                                              </w:divBdr>
                                              <w:divsChild>
                                                <w:div w:id="644049484">
                                                  <w:marLeft w:val="0"/>
                                                  <w:marRight w:val="0"/>
                                                  <w:marTop w:val="0"/>
                                                  <w:marBottom w:val="0"/>
                                                  <w:divBdr>
                                                    <w:top w:val="none" w:sz="0" w:space="0" w:color="auto"/>
                                                    <w:left w:val="none" w:sz="0" w:space="0" w:color="auto"/>
                                                    <w:bottom w:val="none" w:sz="0" w:space="0" w:color="auto"/>
                                                    <w:right w:val="none" w:sz="0" w:space="0" w:color="auto"/>
                                                  </w:divBdr>
                                                  <w:divsChild>
                                                    <w:div w:id="565117119">
                                                      <w:marLeft w:val="0"/>
                                                      <w:marRight w:val="0"/>
                                                      <w:marTop w:val="0"/>
                                                      <w:marBottom w:val="0"/>
                                                      <w:divBdr>
                                                        <w:top w:val="none" w:sz="0" w:space="0" w:color="auto"/>
                                                        <w:left w:val="none" w:sz="0" w:space="0" w:color="auto"/>
                                                        <w:bottom w:val="none" w:sz="0" w:space="0" w:color="auto"/>
                                                        <w:right w:val="none" w:sz="0" w:space="0" w:color="auto"/>
                                                      </w:divBdr>
                                                      <w:divsChild>
                                                        <w:div w:id="355467678">
                                                          <w:marLeft w:val="0"/>
                                                          <w:marRight w:val="0"/>
                                                          <w:marTop w:val="0"/>
                                                          <w:marBottom w:val="390"/>
                                                          <w:divBdr>
                                                            <w:top w:val="none" w:sz="0" w:space="0" w:color="auto"/>
                                                            <w:left w:val="none" w:sz="0" w:space="0" w:color="auto"/>
                                                            <w:bottom w:val="none" w:sz="0" w:space="0" w:color="auto"/>
                                                            <w:right w:val="none" w:sz="0" w:space="0" w:color="auto"/>
                                                          </w:divBdr>
                                                          <w:divsChild>
                                                            <w:div w:id="1466705032">
                                                              <w:marLeft w:val="0"/>
                                                              <w:marRight w:val="0"/>
                                                              <w:marTop w:val="0"/>
                                                              <w:marBottom w:val="0"/>
                                                              <w:divBdr>
                                                                <w:top w:val="none" w:sz="0" w:space="0" w:color="auto"/>
                                                                <w:left w:val="none" w:sz="0" w:space="0" w:color="auto"/>
                                                                <w:bottom w:val="none" w:sz="0" w:space="0" w:color="auto"/>
                                                                <w:right w:val="none" w:sz="0" w:space="0" w:color="auto"/>
                                                              </w:divBdr>
                                                              <w:divsChild>
                                                                <w:div w:id="1900938042">
                                                                  <w:marLeft w:val="0"/>
                                                                  <w:marRight w:val="0"/>
                                                                  <w:marTop w:val="0"/>
                                                                  <w:marBottom w:val="0"/>
                                                                  <w:divBdr>
                                                                    <w:top w:val="none" w:sz="0" w:space="0" w:color="auto"/>
                                                                    <w:left w:val="none" w:sz="0" w:space="0" w:color="auto"/>
                                                                    <w:bottom w:val="none" w:sz="0" w:space="0" w:color="auto"/>
                                                                    <w:right w:val="none" w:sz="0" w:space="0" w:color="auto"/>
                                                                  </w:divBdr>
                                                                  <w:divsChild>
                                                                    <w:div w:id="1092355352">
                                                                      <w:marLeft w:val="0"/>
                                                                      <w:marRight w:val="0"/>
                                                                      <w:marTop w:val="0"/>
                                                                      <w:marBottom w:val="0"/>
                                                                      <w:divBdr>
                                                                        <w:top w:val="none" w:sz="0" w:space="0" w:color="auto"/>
                                                                        <w:left w:val="none" w:sz="0" w:space="0" w:color="auto"/>
                                                                        <w:bottom w:val="none" w:sz="0" w:space="0" w:color="auto"/>
                                                                        <w:right w:val="none" w:sz="0" w:space="0" w:color="auto"/>
                                                                      </w:divBdr>
                                                                      <w:divsChild>
                                                                        <w:div w:id="859006908">
                                                                          <w:marLeft w:val="0"/>
                                                                          <w:marRight w:val="0"/>
                                                                          <w:marTop w:val="0"/>
                                                                          <w:marBottom w:val="0"/>
                                                                          <w:divBdr>
                                                                            <w:top w:val="none" w:sz="0" w:space="0" w:color="auto"/>
                                                                            <w:left w:val="none" w:sz="0" w:space="0" w:color="auto"/>
                                                                            <w:bottom w:val="none" w:sz="0" w:space="0" w:color="auto"/>
                                                                            <w:right w:val="none" w:sz="0" w:space="0" w:color="auto"/>
                                                                          </w:divBdr>
                                                                          <w:divsChild>
                                                                            <w:div w:id="536507278">
                                                                              <w:marLeft w:val="0"/>
                                                                              <w:marRight w:val="0"/>
                                                                              <w:marTop w:val="0"/>
                                                                              <w:marBottom w:val="0"/>
                                                                              <w:divBdr>
                                                                                <w:top w:val="none" w:sz="0" w:space="0" w:color="auto"/>
                                                                                <w:left w:val="none" w:sz="0" w:space="0" w:color="auto"/>
                                                                                <w:bottom w:val="none" w:sz="0" w:space="0" w:color="auto"/>
                                                                                <w:right w:val="none" w:sz="0" w:space="0" w:color="auto"/>
                                                                              </w:divBdr>
                                                                              <w:divsChild>
                                                                                <w:div w:id="1448744252">
                                                                                  <w:marLeft w:val="0"/>
                                                                                  <w:marRight w:val="0"/>
                                                                                  <w:marTop w:val="0"/>
                                                                                  <w:marBottom w:val="0"/>
                                                                                  <w:divBdr>
                                                                                    <w:top w:val="none" w:sz="0" w:space="0" w:color="auto"/>
                                                                                    <w:left w:val="none" w:sz="0" w:space="0" w:color="auto"/>
                                                                                    <w:bottom w:val="none" w:sz="0" w:space="0" w:color="auto"/>
                                                                                    <w:right w:val="none" w:sz="0" w:space="0" w:color="auto"/>
                                                                                  </w:divBdr>
                                                                                  <w:divsChild>
                                                                                    <w:div w:id="516044045">
                                                                                      <w:marLeft w:val="0"/>
                                                                                      <w:marRight w:val="0"/>
                                                                                      <w:marTop w:val="0"/>
                                                                                      <w:marBottom w:val="0"/>
                                                                                      <w:divBdr>
                                                                                        <w:top w:val="none" w:sz="0" w:space="0" w:color="auto"/>
                                                                                        <w:left w:val="none" w:sz="0" w:space="0" w:color="auto"/>
                                                                                        <w:bottom w:val="none" w:sz="0" w:space="0" w:color="auto"/>
                                                                                        <w:right w:val="none" w:sz="0" w:space="0" w:color="auto"/>
                                                                                      </w:divBdr>
                                                                                      <w:divsChild>
                                                                                        <w:div w:id="508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560877">
      <w:bodyDiv w:val="1"/>
      <w:marLeft w:val="0"/>
      <w:marRight w:val="0"/>
      <w:marTop w:val="0"/>
      <w:marBottom w:val="0"/>
      <w:divBdr>
        <w:top w:val="none" w:sz="0" w:space="0" w:color="auto"/>
        <w:left w:val="none" w:sz="0" w:space="0" w:color="auto"/>
        <w:bottom w:val="none" w:sz="0" w:space="0" w:color="auto"/>
        <w:right w:val="none" w:sz="0" w:space="0" w:color="auto"/>
      </w:divBdr>
      <w:divsChild>
        <w:div w:id="1082871108">
          <w:marLeft w:val="0"/>
          <w:marRight w:val="0"/>
          <w:marTop w:val="0"/>
          <w:marBottom w:val="0"/>
          <w:divBdr>
            <w:top w:val="none" w:sz="0" w:space="0" w:color="auto"/>
            <w:left w:val="none" w:sz="0" w:space="0" w:color="auto"/>
            <w:bottom w:val="none" w:sz="0" w:space="0" w:color="auto"/>
            <w:right w:val="none" w:sz="0" w:space="0" w:color="auto"/>
          </w:divBdr>
          <w:divsChild>
            <w:div w:id="1063605559">
              <w:marLeft w:val="0"/>
              <w:marRight w:val="0"/>
              <w:marTop w:val="0"/>
              <w:marBottom w:val="0"/>
              <w:divBdr>
                <w:top w:val="none" w:sz="0" w:space="0" w:color="auto"/>
                <w:left w:val="none" w:sz="0" w:space="0" w:color="auto"/>
                <w:bottom w:val="none" w:sz="0" w:space="0" w:color="auto"/>
                <w:right w:val="none" w:sz="0" w:space="0" w:color="auto"/>
              </w:divBdr>
              <w:divsChild>
                <w:div w:id="713771155">
                  <w:marLeft w:val="0"/>
                  <w:marRight w:val="0"/>
                  <w:marTop w:val="0"/>
                  <w:marBottom w:val="0"/>
                  <w:divBdr>
                    <w:top w:val="none" w:sz="0" w:space="0" w:color="auto"/>
                    <w:left w:val="none" w:sz="0" w:space="0" w:color="auto"/>
                    <w:bottom w:val="none" w:sz="0" w:space="0" w:color="auto"/>
                    <w:right w:val="none" w:sz="0" w:space="0" w:color="auto"/>
                  </w:divBdr>
                  <w:divsChild>
                    <w:div w:id="1539664925">
                      <w:marLeft w:val="0"/>
                      <w:marRight w:val="0"/>
                      <w:marTop w:val="45"/>
                      <w:marBottom w:val="0"/>
                      <w:divBdr>
                        <w:top w:val="none" w:sz="0" w:space="0" w:color="auto"/>
                        <w:left w:val="none" w:sz="0" w:space="0" w:color="auto"/>
                        <w:bottom w:val="none" w:sz="0" w:space="0" w:color="auto"/>
                        <w:right w:val="none" w:sz="0" w:space="0" w:color="auto"/>
                      </w:divBdr>
                      <w:divsChild>
                        <w:div w:id="1656445807">
                          <w:marLeft w:val="0"/>
                          <w:marRight w:val="0"/>
                          <w:marTop w:val="0"/>
                          <w:marBottom w:val="0"/>
                          <w:divBdr>
                            <w:top w:val="none" w:sz="0" w:space="0" w:color="auto"/>
                            <w:left w:val="none" w:sz="0" w:space="0" w:color="auto"/>
                            <w:bottom w:val="none" w:sz="0" w:space="0" w:color="auto"/>
                            <w:right w:val="none" w:sz="0" w:space="0" w:color="auto"/>
                          </w:divBdr>
                          <w:divsChild>
                            <w:div w:id="573079120">
                              <w:marLeft w:val="2070"/>
                              <w:marRight w:val="3960"/>
                              <w:marTop w:val="0"/>
                              <w:marBottom w:val="0"/>
                              <w:divBdr>
                                <w:top w:val="none" w:sz="0" w:space="0" w:color="auto"/>
                                <w:left w:val="none" w:sz="0" w:space="0" w:color="auto"/>
                                <w:bottom w:val="none" w:sz="0" w:space="0" w:color="auto"/>
                                <w:right w:val="none" w:sz="0" w:space="0" w:color="auto"/>
                              </w:divBdr>
                              <w:divsChild>
                                <w:div w:id="1451702884">
                                  <w:marLeft w:val="0"/>
                                  <w:marRight w:val="0"/>
                                  <w:marTop w:val="0"/>
                                  <w:marBottom w:val="0"/>
                                  <w:divBdr>
                                    <w:top w:val="none" w:sz="0" w:space="0" w:color="auto"/>
                                    <w:left w:val="none" w:sz="0" w:space="0" w:color="auto"/>
                                    <w:bottom w:val="none" w:sz="0" w:space="0" w:color="auto"/>
                                    <w:right w:val="none" w:sz="0" w:space="0" w:color="auto"/>
                                  </w:divBdr>
                                  <w:divsChild>
                                    <w:div w:id="1362390489">
                                      <w:marLeft w:val="0"/>
                                      <w:marRight w:val="0"/>
                                      <w:marTop w:val="0"/>
                                      <w:marBottom w:val="0"/>
                                      <w:divBdr>
                                        <w:top w:val="none" w:sz="0" w:space="0" w:color="auto"/>
                                        <w:left w:val="none" w:sz="0" w:space="0" w:color="auto"/>
                                        <w:bottom w:val="none" w:sz="0" w:space="0" w:color="auto"/>
                                        <w:right w:val="none" w:sz="0" w:space="0" w:color="auto"/>
                                      </w:divBdr>
                                      <w:divsChild>
                                        <w:div w:id="792553578">
                                          <w:marLeft w:val="0"/>
                                          <w:marRight w:val="0"/>
                                          <w:marTop w:val="0"/>
                                          <w:marBottom w:val="0"/>
                                          <w:divBdr>
                                            <w:top w:val="none" w:sz="0" w:space="0" w:color="auto"/>
                                            <w:left w:val="none" w:sz="0" w:space="0" w:color="auto"/>
                                            <w:bottom w:val="none" w:sz="0" w:space="0" w:color="auto"/>
                                            <w:right w:val="none" w:sz="0" w:space="0" w:color="auto"/>
                                          </w:divBdr>
                                          <w:divsChild>
                                            <w:div w:id="258605394">
                                              <w:marLeft w:val="0"/>
                                              <w:marRight w:val="0"/>
                                              <w:marTop w:val="90"/>
                                              <w:marBottom w:val="0"/>
                                              <w:divBdr>
                                                <w:top w:val="none" w:sz="0" w:space="0" w:color="auto"/>
                                                <w:left w:val="none" w:sz="0" w:space="0" w:color="auto"/>
                                                <w:bottom w:val="none" w:sz="0" w:space="0" w:color="auto"/>
                                                <w:right w:val="none" w:sz="0" w:space="0" w:color="auto"/>
                                              </w:divBdr>
                                              <w:divsChild>
                                                <w:div w:id="269169044">
                                                  <w:marLeft w:val="0"/>
                                                  <w:marRight w:val="0"/>
                                                  <w:marTop w:val="0"/>
                                                  <w:marBottom w:val="0"/>
                                                  <w:divBdr>
                                                    <w:top w:val="none" w:sz="0" w:space="0" w:color="auto"/>
                                                    <w:left w:val="none" w:sz="0" w:space="0" w:color="auto"/>
                                                    <w:bottom w:val="none" w:sz="0" w:space="0" w:color="auto"/>
                                                    <w:right w:val="none" w:sz="0" w:space="0" w:color="auto"/>
                                                  </w:divBdr>
                                                  <w:divsChild>
                                                    <w:div w:id="1062405514">
                                                      <w:marLeft w:val="0"/>
                                                      <w:marRight w:val="0"/>
                                                      <w:marTop w:val="0"/>
                                                      <w:marBottom w:val="0"/>
                                                      <w:divBdr>
                                                        <w:top w:val="none" w:sz="0" w:space="0" w:color="auto"/>
                                                        <w:left w:val="none" w:sz="0" w:space="0" w:color="auto"/>
                                                        <w:bottom w:val="none" w:sz="0" w:space="0" w:color="auto"/>
                                                        <w:right w:val="none" w:sz="0" w:space="0" w:color="auto"/>
                                                      </w:divBdr>
                                                      <w:divsChild>
                                                        <w:div w:id="141777965">
                                                          <w:marLeft w:val="0"/>
                                                          <w:marRight w:val="0"/>
                                                          <w:marTop w:val="0"/>
                                                          <w:marBottom w:val="390"/>
                                                          <w:divBdr>
                                                            <w:top w:val="none" w:sz="0" w:space="0" w:color="auto"/>
                                                            <w:left w:val="none" w:sz="0" w:space="0" w:color="auto"/>
                                                            <w:bottom w:val="none" w:sz="0" w:space="0" w:color="auto"/>
                                                            <w:right w:val="none" w:sz="0" w:space="0" w:color="auto"/>
                                                          </w:divBdr>
                                                          <w:divsChild>
                                                            <w:div w:id="1538010415">
                                                              <w:marLeft w:val="0"/>
                                                              <w:marRight w:val="0"/>
                                                              <w:marTop w:val="0"/>
                                                              <w:marBottom w:val="0"/>
                                                              <w:divBdr>
                                                                <w:top w:val="none" w:sz="0" w:space="0" w:color="auto"/>
                                                                <w:left w:val="none" w:sz="0" w:space="0" w:color="auto"/>
                                                                <w:bottom w:val="none" w:sz="0" w:space="0" w:color="auto"/>
                                                                <w:right w:val="none" w:sz="0" w:space="0" w:color="auto"/>
                                                              </w:divBdr>
                                                              <w:divsChild>
                                                                <w:div w:id="224994155">
                                                                  <w:marLeft w:val="0"/>
                                                                  <w:marRight w:val="0"/>
                                                                  <w:marTop w:val="0"/>
                                                                  <w:marBottom w:val="0"/>
                                                                  <w:divBdr>
                                                                    <w:top w:val="none" w:sz="0" w:space="0" w:color="auto"/>
                                                                    <w:left w:val="none" w:sz="0" w:space="0" w:color="auto"/>
                                                                    <w:bottom w:val="none" w:sz="0" w:space="0" w:color="auto"/>
                                                                    <w:right w:val="none" w:sz="0" w:space="0" w:color="auto"/>
                                                                  </w:divBdr>
                                                                  <w:divsChild>
                                                                    <w:div w:id="1859852510">
                                                                      <w:marLeft w:val="0"/>
                                                                      <w:marRight w:val="0"/>
                                                                      <w:marTop w:val="0"/>
                                                                      <w:marBottom w:val="0"/>
                                                                      <w:divBdr>
                                                                        <w:top w:val="none" w:sz="0" w:space="0" w:color="auto"/>
                                                                        <w:left w:val="none" w:sz="0" w:space="0" w:color="auto"/>
                                                                        <w:bottom w:val="none" w:sz="0" w:space="0" w:color="auto"/>
                                                                        <w:right w:val="none" w:sz="0" w:space="0" w:color="auto"/>
                                                                      </w:divBdr>
                                                                      <w:divsChild>
                                                                        <w:div w:id="521867608">
                                                                          <w:marLeft w:val="0"/>
                                                                          <w:marRight w:val="0"/>
                                                                          <w:marTop w:val="0"/>
                                                                          <w:marBottom w:val="0"/>
                                                                          <w:divBdr>
                                                                            <w:top w:val="none" w:sz="0" w:space="0" w:color="auto"/>
                                                                            <w:left w:val="none" w:sz="0" w:space="0" w:color="auto"/>
                                                                            <w:bottom w:val="none" w:sz="0" w:space="0" w:color="auto"/>
                                                                            <w:right w:val="none" w:sz="0" w:space="0" w:color="auto"/>
                                                                          </w:divBdr>
                                                                          <w:divsChild>
                                                                            <w:div w:id="377438350">
                                                                              <w:marLeft w:val="0"/>
                                                                              <w:marRight w:val="0"/>
                                                                              <w:marTop w:val="0"/>
                                                                              <w:marBottom w:val="0"/>
                                                                              <w:divBdr>
                                                                                <w:top w:val="none" w:sz="0" w:space="0" w:color="auto"/>
                                                                                <w:left w:val="none" w:sz="0" w:space="0" w:color="auto"/>
                                                                                <w:bottom w:val="none" w:sz="0" w:space="0" w:color="auto"/>
                                                                                <w:right w:val="none" w:sz="0" w:space="0" w:color="auto"/>
                                                                              </w:divBdr>
                                                                              <w:divsChild>
                                                                                <w:div w:id="964043218">
                                                                                  <w:marLeft w:val="0"/>
                                                                                  <w:marRight w:val="0"/>
                                                                                  <w:marTop w:val="0"/>
                                                                                  <w:marBottom w:val="0"/>
                                                                                  <w:divBdr>
                                                                                    <w:top w:val="none" w:sz="0" w:space="0" w:color="auto"/>
                                                                                    <w:left w:val="none" w:sz="0" w:space="0" w:color="auto"/>
                                                                                    <w:bottom w:val="none" w:sz="0" w:space="0" w:color="auto"/>
                                                                                    <w:right w:val="none" w:sz="0" w:space="0" w:color="auto"/>
                                                                                  </w:divBdr>
                                                                                  <w:divsChild>
                                                                                    <w:div w:id="1163014342">
                                                                                      <w:marLeft w:val="0"/>
                                                                                      <w:marRight w:val="0"/>
                                                                                      <w:marTop w:val="0"/>
                                                                                      <w:marBottom w:val="0"/>
                                                                                      <w:divBdr>
                                                                                        <w:top w:val="none" w:sz="0" w:space="0" w:color="auto"/>
                                                                                        <w:left w:val="none" w:sz="0" w:space="0" w:color="auto"/>
                                                                                        <w:bottom w:val="none" w:sz="0" w:space="0" w:color="auto"/>
                                                                                        <w:right w:val="none" w:sz="0" w:space="0" w:color="auto"/>
                                                                                      </w:divBdr>
                                                                                      <w:divsChild>
                                                                                        <w:div w:id="3970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607666">
      <w:bodyDiv w:val="1"/>
      <w:marLeft w:val="0"/>
      <w:marRight w:val="0"/>
      <w:marTop w:val="0"/>
      <w:marBottom w:val="0"/>
      <w:divBdr>
        <w:top w:val="none" w:sz="0" w:space="0" w:color="auto"/>
        <w:left w:val="none" w:sz="0" w:space="0" w:color="auto"/>
        <w:bottom w:val="none" w:sz="0" w:space="0" w:color="auto"/>
        <w:right w:val="none" w:sz="0" w:space="0" w:color="auto"/>
      </w:divBdr>
    </w:div>
    <w:div w:id="1548026412">
      <w:bodyDiv w:val="1"/>
      <w:marLeft w:val="0"/>
      <w:marRight w:val="0"/>
      <w:marTop w:val="0"/>
      <w:marBottom w:val="0"/>
      <w:divBdr>
        <w:top w:val="none" w:sz="0" w:space="0" w:color="auto"/>
        <w:left w:val="none" w:sz="0" w:space="0" w:color="auto"/>
        <w:bottom w:val="none" w:sz="0" w:space="0" w:color="auto"/>
        <w:right w:val="none" w:sz="0" w:space="0" w:color="auto"/>
      </w:divBdr>
    </w:div>
    <w:div w:id="1599606222">
      <w:bodyDiv w:val="1"/>
      <w:marLeft w:val="0"/>
      <w:marRight w:val="0"/>
      <w:marTop w:val="0"/>
      <w:marBottom w:val="0"/>
      <w:divBdr>
        <w:top w:val="none" w:sz="0" w:space="0" w:color="auto"/>
        <w:left w:val="none" w:sz="0" w:space="0" w:color="auto"/>
        <w:bottom w:val="none" w:sz="0" w:space="0" w:color="auto"/>
        <w:right w:val="none" w:sz="0" w:space="0" w:color="auto"/>
      </w:divBdr>
    </w:div>
    <w:div w:id="1744645065">
      <w:bodyDiv w:val="1"/>
      <w:marLeft w:val="0"/>
      <w:marRight w:val="0"/>
      <w:marTop w:val="0"/>
      <w:marBottom w:val="0"/>
      <w:divBdr>
        <w:top w:val="none" w:sz="0" w:space="0" w:color="auto"/>
        <w:left w:val="none" w:sz="0" w:space="0" w:color="auto"/>
        <w:bottom w:val="none" w:sz="0" w:space="0" w:color="auto"/>
        <w:right w:val="none" w:sz="0" w:space="0" w:color="auto"/>
      </w:divBdr>
    </w:div>
    <w:div w:id="1853492358">
      <w:bodyDiv w:val="1"/>
      <w:marLeft w:val="0"/>
      <w:marRight w:val="0"/>
      <w:marTop w:val="0"/>
      <w:marBottom w:val="0"/>
      <w:divBdr>
        <w:top w:val="none" w:sz="0" w:space="0" w:color="auto"/>
        <w:left w:val="none" w:sz="0" w:space="0" w:color="auto"/>
        <w:bottom w:val="none" w:sz="0" w:space="0" w:color="auto"/>
        <w:right w:val="none" w:sz="0" w:space="0" w:color="auto"/>
      </w:divBdr>
    </w:div>
    <w:div w:id="1890991365">
      <w:bodyDiv w:val="1"/>
      <w:marLeft w:val="0"/>
      <w:marRight w:val="0"/>
      <w:marTop w:val="0"/>
      <w:marBottom w:val="0"/>
      <w:divBdr>
        <w:top w:val="none" w:sz="0" w:space="0" w:color="auto"/>
        <w:left w:val="none" w:sz="0" w:space="0" w:color="auto"/>
        <w:bottom w:val="none" w:sz="0" w:space="0" w:color="auto"/>
        <w:right w:val="none" w:sz="0" w:space="0" w:color="auto"/>
      </w:divBdr>
    </w:div>
    <w:div w:id="195232439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2117750312">
      <w:bodyDiv w:val="1"/>
      <w:marLeft w:val="0"/>
      <w:marRight w:val="0"/>
      <w:marTop w:val="0"/>
      <w:marBottom w:val="0"/>
      <w:divBdr>
        <w:top w:val="none" w:sz="0" w:space="0" w:color="auto"/>
        <w:left w:val="none" w:sz="0" w:space="0" w:color="auto"/>
        <w:bottom w:val="none" w:sz="0" w:space="0" w:color="auto"/>
        <w:right w:val="none" w:sz="0" w:space="0" w:color="auto"/>
      </w:divBdr>
    </w:div>
    <w:div w:id="21439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ncbi.nlm.nih.gov/pubmed/22037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ubmed/?term=Cereda%20E%5BAuthor%5D&amp;cauthor=true&amp;cauthor_uid=22037014"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7C08A2-7577-4B06-8277-511827AE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71BF11AC</Template>
  <TotalTime>1</TotalTime>
  <Pages>17</Pages>
  <Words>28625</Words>
  <Characters>163169</Characters>
  <Application>Microsoft Office Word</Application>
  <DocSecurity>4</DocSecurity>
  <Lines>1359</Lines>
  <Paragraphs>382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Soysal, Pinar</dc:creator>
  <cp:keywords/>
  <dc:description/>
  <cp:lastModifiedBy>Smith, Lee</cp:lastModifiedBy>
  <cp:revision>2</cp:revision>
  <dcterms:created xsi:type="dcterms:W3CDTF">2019-03-29T13:44:00Z</dcterms:created>
  <dcterms:modified xsi:type="dcterms:W3CDTF">2019-03-29T13:44:00Z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http://www.zotero.org/styles/international-journal-of-geriatric-psychiatry</vt:lpwstr>
  </property>
  <property fmtid="{D5CDD505-2E9C-101B-9397-08002B2CF9AE}" pid="13" name="Mendeley Recent Style Name 5_1">
    <vt:lpwstr>International Journal of Geriatric Psychiatry</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http://www.zotero.org/styles/neurology</vt:lpwstr>
  </property>
  <property fmtid="{D5CDD505-2E9C-101B-9397-08002B2CF9AE}" pid="19" name="Mendeley Recent Style Name 8_1">
    <vt:lpwstr>Neurology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30470550-0e5e-384b-a60f-4db0c487c229</vt:lpwstr>
  </property>
  <property fmtid="{D5CDD505-2E9C-101B-9397-08002B2CF9AE}" pid="24" name="Mendeley Citation Style_1">
    <vt:lpwstr>http://www.zotero.org/styles/vancouver</vt:lpwstr>
  </property>
</Properties>
</file>