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D1" w:rsidRPr="000406E3" w:rsidRDefault="00777990" w:rsidP="00314D86">
      <w:pPr>
        <w:pStyle w:val="Heading1"/>
        <w:jc w:val="both"/>
        <w:rPr>
          <w:color w:val="auto"/>
        </w:rPr>
      </w:pPr>
      <w:r w:rsidRPr="000406E3">
        <w:rPr>
          <w:color w:val="auto"/>
        </w:rPr>
        <w:t>Commentary</w:t>
      </w:r>
    </w:p>
    <w:p w:rsidR="0050515D" w:rsidRPr="000406E3" w:rsidRDefault="0050515D" w:rsidP="00314D86">
      <w:pPr>
        <w:jc w:val="both"/>
      </w:pPr>
    </w:p>
    <w:p w:rsidR="0069728B" w:rsidRPr="000406E3" w:rsidRDefault="0050515D" w:rsidP="00314D86">
      <w:pPr>
        <w:pStyle w:val="Heading2"/>
        <w:jc w:val="both"/>
        <w:rPr>
          <w:color w:val="auto"/>
        </w:rPr>
      </w:pPr>
      <w:r w:rsidRPr="000406E3">
        <w:rPr>
          <w:color w:val="auto"/>
        </w:rPr>
        <w:t>Learning from pati</w:t>
      </w:r>
      <w:r w:rsidR="00975B92" w:rsidRPr="000406E3">
        <w:rPr>
          <w:color w:val="auto"/>
        </w:rPr>
        <w:t>ents’ experiences: The case of T</w:t>
      </w:r>
      <w:r w:rsidRPr="000406E3">
        <w:rPr>
          <w:color w:val="auto"/>
        </w:rPr>
        <w:t>ravellers</w:t>
      </w:r>
      <w:r w:rsidR="00975B92" w:rsidRPr="000406E3">
        <w:rPr>
          <w:color w:val="auto"/>
        </w:rPr>
        <w:t>’</w:t>
      </w:r>
      <w:r w:rsidRPr="000406E3">
        <w:rPr>
          <w:color w:val="auto"/>
        </w:rPr>
        <w:t xml:space="preserve"> and their experiences of </w:t>
      </w:r>
      <w:r w:rsidR="00D36431" w:rsidRPr="000406E3">
        <w:rPr>
          <w:color w:val="auto"/>
        </w:rPr>
        <w:t xml:space="preserve">using </w:t>
      </w:r>
      <w:r w:rsidRPr="000406E3">
        <w:rPr>
          <w:color w:val="auto"/>
        </w:rPr>
        <w:t>health services</w:t>
      </w:r>
      <w:r w:rsidR="00D36431" w:rsidRPr="000406E3">
        <w:rPr>
          <w:color w:val="auto"/>
        </w:rPr>
        <w:t xml:space="preserve"> for skin complaints</w:t>
      </w:r>
    </w:p>
    <w:p w:rsidR="0050515D" w:rsidRPr="000406E3" w:rsidRDefault="0050515D" w:rsidP="00314D86">
      <w:pPr>
        <w:jc w:val="both"/>
      </w:pPr>
    </w:p>
    <w:p w:rsidR="00EB2127" w:rsidRDefault="00EB2127" w:rsidP="00314D86">
      <w:pPr>
        <w:jc w:val="both"/>
      </w:pPr>
      <w:r>
        <w:t xml:space="preserve">This issue of BJD includes an important paper by </w:t>
      </w:r>
      <w:proofErr w:type="spellStart"/>
      <w:r w:rsidRPr="000406E3">
        <w:t>Gilhooley</w:t>
      </w:r>
      <w:proofErr w:type="spellEnd"/>
      <w:r w:rsidRPr="000406E3">
        <w:t xml:space="preserve"> </w:t>
      </w:r>
      <w:proofErr w:type="gramStart"/>
      <w:r w:rsidRPr="000406E3">
        <w:t>et</w:t>
      </w:r>
      <w:proofErr w:type="gramEnd"/>
      <w:r w:rsidRPr="000406E3">
        <w:t xml:space="preserve"> al</w:t>
      </w:r>
      <w:r w:rsidRPr="00C02B27">
        <w:rPr>
          <w:vertAlign w:val="superscript"/>
        </w:rPr>
        <w:t>1</w:t>
      </w:r>
      <w:r>
        <w:t xml:space="preserve"> who</w:t>
      </w:r>
      <w:r w:rsidRPr="000406E3">
        <w:t xml:space="preserve"> have looked at Irish Traveller women’s experiences of skin disease and </w:t>
      </w:r>
      <w:r w:rsidR="00C02B27">
        <w:t xml:space="preserve">their </w:t>
      </w:r>
      <w:r w:rsidRPr="000406E3">
        <w:t>relationships with healthcare providers. The authors – in seeking to understand why travellers do not access healthcare professionals for dermatological health issues - used focus groups with women in the Irish Traveller community. The findings suggest that these women prefer the accessibility of pharmacy provision</w:t>
      </w:r>
      <w:r w:rsidR="003A5729">
        <w:t>,</w:t>
      </w:r>
      <w:r w:rsidRPr="000406E3">
        <w:t xml:space="preserve"> and that they also value access to specialist services such as dermatology. In contrast, the authors also found that these women felt they were discriminated against in securing referrals to dermatology services from primary care. However, the auth</w:t>
      </w:r>
      <w:r w:rsidR="00C02B27">
        <w:t>ors</w:t>
      </w:r>
      <w:r w:rsidRPr="000406E3">
        <w:t xml:space="preserve"> </w:t>
      </w:r>
      <w:r w:rsidR="003A5729">
        <w:t xml:space="preserve">also </w:t>
      </w:r>
      <w:r w:rsidR="008C4F8D">
        <w:t>found</w:t>
      </w:r>
      <w:r w:rsidRPr="000406E3">
        <w:t xml:space="preserve"> that women’s accounts contained pointers to strategies that can ameliorate many of the problematic issues </w:t>
      </w:r>
      <w:r w:rsidR="003A5729">
        <w:t>identified</w:t>
      </w:r>
      <w:r w:rsidR="002B6016">
        <w:t xml:space="preserve"> in the research</w:t>
      </w:r>
      <w:r w:rsidR="003A5729">
        <w:t xml:space="preserve">. </w:t>
      </w:r>
      <w:proofErr w:type="spellStart"/>
      <w:r w:rsidR="002B6016" w:rsidRPr="000406E3">
        <w:t>Gilhooley</w:t>
      </w:r>
      <w:proofErr w:type="spellEnd"/>
      <w:r w:rsidR="002B6016" w:rsidRPr="000406E3">
        <w:t xml:space="preserve"> et al</w:t>
      </w:r>
      <w:r w:rsidR="002B6016" w:rsidRPr="00C02B27">
        <w:rPr>
          <w:vertAlign w:val="superscript"/>
        </w:rPr>
        <w:t>1</w:t>
      </w:r>
      <w:r w:rsidR="002B6016">
        <w:t xml:space="preserve"> </w:t>
      </w:r>
      <w:r w:rsidRPr="000406E3">
        <w:t>recommend tailoring health information for Irish Travellers according to health literacy levels, and that healthcare professionals should demonstrate cultural competence</w:t>
      </w:r>
      <w:r w:rsidR="00C02B27">
        <w:t xml:space="preserve"> with this group</w:t>
      </w:r>
      <w:r w:rsidR="00DE1B92">
        <w:t xml:space="preserve"> – by</w:t>
      </w:r>
      <w:r w:rsidRPr="000406E3">
        <w:t xml:space="preserve"> customising best evid</w:t>
      </w:r>
      <w:r w:rsidR="00DE1B92">
        <w:t>ence to suit the needs of this community</w:t>
      </w:r>
      <w:r w:rsidRPr="000406E3">
        <w:t xml:space="preserve">. </w:t>
      </w:r>
    </w:p>
    <w:p w:rsidR="00AF34C7" w:rsidRPr="000406E3" w:rsidRDefault="00DE1B92" w:rsidP="00314D86">
      <w:pPr>
        <w:jc w:val="both"/>
      </w:pPr>
      <w:proofErr w:type="spellStart"/>
      <w:r w:rsidRPr="000406E3">
        <w:t>Gilhooley</w:t>
      </w:r>
      <w:proofErr w:type="spellEnd"/>
      <w:r w:rsidRPr="000406E3">
        <w:t xml:space="preserve"> et al</w:t>
      </w:r>
      <w:r>
        <w:t>’s</w:t>
      </w:r>
      <w:r w:rsidR="00C02B27" w:rsidRPr="00745478">
        <w:rPr>
          <w:vertAlign w:val="superscript"/>
        </w:rPr>
        <w:t>1</w:t>
      </w:r>
      <w:r w:rsidR="00C02B27">
        <w:t xml:space="preserve"> </w:t>
      </w:r>
      <w:r w:rsidR="00EB2127">
        <w:t xml:space="preserve">paper </w:t>
      </w:r>
      <w:r w:rsidR="002B6016">
        <w:t>further</w:t>
      </w:r>
      <w:r w:rsidR="00C02B27">
        <w:t xml:space="preserve"> </w:t>
      </w:r>
      <w:r w:rsidR="002B6016">
        <w:t>captures a theme</w:t>
      </w:r>
      <w:r w:rsidR="00EB2127">
        <w:t xml:space="preserve"> permeating</w:t>
      </w:r>
      <w:r w:rsidR="00814B6B" w:rsidRPr="000406E3">
        <w:t xml:space="preserve"> the re</w:t>
      </w:r>
      <w:r w:rsidR="00EB2127">
        <w:t>alm of health studies where there is a</w:t>
      </w:r>
      <w:r w:rsidR="003A5729">
        <w:t xml:space="preserve"> growing realisation that sometimes the circumstances of </w:t>
      </w:r>
      <w:r w:rsidR="00376533">
        <w:t>people’s day-to-day lives</w:t>
      </w:r>
      <w:r w:rsidR="00975B92" w:rsidRPr="000406E3">
        <w:t xml:space="preserve"> </w:t>
      </w:r>
      <w:r w:rsidR="000530B4" w:rsidRPr="000406E3">
        <w:t xml:space="preserve">pose immense challenges to </w:t>
      </w:r>
      <w:r w:rsidR="00B60157" w:rsidRPr="000406E3">
        <w:t>implementing the treatments recommend by</w:t>
      </w:r>
      <w:r w:rsidR="00745478">
        <w:t xml:space="preserve"> well-meaning clinicians</w:t>
      </w:r>
      <w:r w:rsidR="00745478" w:rsidRPr="00745478">
        <w:rPr>
          <w:vertAlign w:val="superscript"/>
        </w:rPr>
        <w:t>2</w:t>
      </w:r>
      <w:r w:rsidR="000530B4" w:rsidRPr="000406E3">
        <w:t xml:space="preserve">. </w:t>
      </w:r>
      <w:r w:rsidR="002B6016">
        <w:t>A</w:t>
      </w:r>
      <w:r w:rsidR="00814B6B" w:rsidRPr="000406E3">
        <w:t xml:space="preserve">s </w:t>
      </w:r>
      <w:r w:rsidR="00560584" w:rsidRPr="000406E3">
        <w:t xml:space="preserve">treatment and </w:t>
      </w:r>
      <w:r w:rsidR="00814B6B" w:rsidRPr="000406E3">
        <w:t>care moves away fr</w:t>
      </w:r>
      <w:r w:rsidR="00A92BD6" w:rsidRPr="000406E3">
        <w:t>o</w:t>
      </w:r>
      <w:r w:rsidR="00934C1D" w:rsidRPr="000406E3">
        <w:t>m clinical settings</w:t>
      </w:r>
      <w:r w:rsidR="0038477D" w:rsidRPr="000406E3">
        <w:t>,</w:t>
      </w:r>
      <w:r w:rsidR="00A92BD6" w:rsidRPr="000406E3">
        <w:t xml:space="preserve"> </w:t>
      </w:r>
      <w:r w:rsidR="00560584" w:rsidRPr="000406E3">
        <w:t xml:space="preserve">the apparent certainty of a clinical recommendation is </w:t>
      </w:r>
      <w:r w:rsidR="003A5729">
        <w:t xml:space="preserve">not only </w:t>
      </w:r>
      <w:r w:rsidR="00560584" w:rsidRPr="000406E3">
        <w:t>constrained and enabled by</w:t>
      </w:r>
      <w:r w:rsidR="00206AB6" w:rsidRPr="000406E3">
        <w:t xml:space="preserve"> people’s</w:t>
      </w:r>
      <w:r w:rsidR="00777990" w:rsidRPr="000406E3">
        <w:t xml:space="preserve"> everyday life</w:t>
      </w:r>
      <w:r w:rsidR="002B6016">
        <w:t>,</w:t>
      </w:r>
      <w:r w:rsidR="00777990" w:rsidRPr="000406E3">
        <w:t xml:space="preserve"> </w:t>
      </w:r>
      <w:r w:rsidR="003A5729">
        <w:t>but also</w:t>
      </w:r>
      <w:r w:rsidR="00560584" w:rsidRPr="000406E3">
        <w:t xml:space="preserve"> by the resources available</w:t>
      </w:r>
      <w:r w:rsidR="000530B4" w:rsidRPr="000406E3">
        <w:t xml:space="preserve"> to people</w:t>
      </w:r>
      <w:r w:rsidR="00560584" w:rsidRPr="000406E3">
        <w:t xml:space="preserve"> within their socio-contextual realm</w:t>
      </w:r>
      <w:r w:rsidR="00745478" w:rsidRPr="00745478">
        <w:rPr>
          <w:vertAlign w:val="superscript"/>
        </w:rPr>
        <w:t>3</w:t>
      </w:r>
      <w:r w:rsidR="00560584" w:rsidRPr="000406E3">
        <w:t>.</w:t>
      </w:r>
      <w:r w:rsidR="003E00EE" w:rsidRPr="000406E3">
        <w:t xml:space="preserve"> </w:t>
      </w:r>
      <w:r w:rsidR="002B6016">
        <w:t>This trend</w:t>
      </w:r>
      <w:r w:rsidR="00777990" w:rsidRPr="000406E3">
        <w:t xml:space="preserve"> is</w:t>
      </w:r>
      <w:r w:rsidR="00E869A0">
        <w:t xml:space="preserve"> explored</w:t>
      </w:r>
      <w:r w:rsidR="00630ACF" w:rsidRPr="000406E3">
        <w:t xml:space="preserve"> by a body of research looking into </w:t>
      </w:r>
      <w:r w:rsidR="00934C1D" w:rsidRPr="000406E3">
        <w:t xml:space="preserve">individual and collective </w:t>
      </w:r>
      <w:r w:rsidR="00630ACF" w:rsidRPr="000406E3">
        <w:rPr>
          <w:i/>
        </w:rPr>
        <w:t>experiences</w:t>
      </w:r>
      <w:r w:rsidR="00630ACF" w:rsidRPr="000406E3">
        <w:t xml:space="preserve"> of health and illness</w:t>
      </w:r>
      <w:r>
        <w:t xml:space="preserve"> </w:t>
      </w:r>
      <w:r w:rsidR="008C4F8D">
        <w:t>(</w:t>
      </w:r>
      <w:bookmarkStart w:id="0" w:name="_GoBack"/>
      <w:bookmarkEnd w:id="0"/>
      <w:r>
        <w:t xml:space="preserve">such as </w:t>
      </w:r>
      <w:proofErr w:type="spellStart"/>
      <w:r w:rsidRPr="000406E3">
        <w:t>Gilhooley</w:t>
      </w:r>
      <w:proofErr w:type="spellEnd"/>
      <w:r w:rsidRPr="000406E3">
        <w:t xml:space="preserve"> et al</w:t>
      </w:r>
      <w:r>
        <w:t>’s</w:t>
      </w:r>
      <w:r w:rsidR="00745478" w:rsidRPr="00745478">
        <w:rPr>
          <w:vertAlign w:val="superscript"/>
        </w:rPr>
        <w:t>1</w:t>
      </w:r>
      <w:r w:rsidR="002B6016">
        <w:rPr>
          <w:vertAlign w:val="superscript"/>
        </w:rPr>
        <w:t xml:space="preserve"> </w:t>
      </w:r>
      <w:r w:rsidR="002B6016">
        <w:t>research</w:t>
      </w:r>
      <w:r w:rsidR="008C4F8D">
        <w:t>)</w:t>
      </w:r>
      <w:r w:rsidR="002B6016">
        <w:t>.</w:t>
      </w:r>
      <w:r w:rsidR="00630ACF" w:rsidRPr="000406E3">
        <w:t xml:space="preserve"> Often ad</w:t>
      </w:r>
      <w:r w:rsidR="005C75CA" w:rsidRPr="000406E3">
        <w:t xml:space="preserve">opting a qualitative approach, </w:t>
      </w:r>
      <w:r w:rsidR="00777990" w:rsidRPr="000406E3">
        <w:t xml:space="preserve">these </w:t>
      </w:r>
      <w:r w:rsidR="005C75CA" w:rsidRPr="000406E3">
        <w:t>studies explore the</w:t>
      </w:r>
      <w:r w:rsidR="00630ACF" w:rsidRPr="000406E3">
        <w:t xml:space="preserve"> day-to-day barriers and enablers that people experience in self-managing conditions</w:t>
      </w:r>
      <w:r w:rsidR="00CE7963" w:rsidRPr="000406E3">
        <w:t>, using health services</w:t>
      </w:r>
      <w:r w:rsidR="00B60157" w:rsidRPr="000406E3">
        <w:t xml:space="preserve"> and/or</w:t>
      </w:r>
      <w:r w:rsidR="00630ACF" w:rsidRPr="000406E3">
        <w:t xml:space="preserve"> </w:t>
      </w:r>
      <w:r w:rsidR="00B60157" w:rsidRPr="000406E3">
        <w:t xml:space="preserve">pursuing </w:t>
      </w:r>
      <w:r w:rsidR="00630ACF" w:rsidRPr="000406E3">
        <w:t>healthy behaviour</w:t>
      </w:r>
      <w:r w:rsidR="00B60157" w:rsidRPr="000406E3">
        <w:t>s</w:t>
      </w:r>
      <w:r w:rsidR="00974F74" w:rsidRPr="00974F74">
        <w:rPr>
          <w:vertAlign w:val="superscript"/>
        </w:rPr>
        <w:t>3,4</w:t>
      </w:r>
      <w:r w:rsidR="009B41A5" w:rsidRPr="00974F74">
        <w:rPr>
          <w:vertAlign w:val="superscript"/>
        </w:rPr>
        <w:t xml:space="preserve"> </w:t>
      </w:r>
      <w:r w:rsidR="009B41A5" w:rsidRPr="000406E3">
        <w:t xml:space="preserve">as well as </w:t>
      </w:r>
      <w:r w:rsidR="00CE7963" w:rsidRPr="000406E3">
        <w:t xml:space="preserve">how the </w:t>
      </w:r>
      <w:r w:rsidR="00934C1D" w:rsidRPr="000406E3">
        <w:t xml:space="preserve">array of </w:t>
      </w:r>
      <w:r w:rsidR="000530B4" w:rsidRPr="000406E3">
        <w:t>options availab</w:t>
      </w:r>
      <w:r w:rsidR="00934C1D" w:rsidRPr="000406E3">
        <w:t>le in a person’s social context</w:t>
      </w:r>
      <w:r w:rsidR="000530B4" w:rsidRPr="000406E3">
        <w:t xml:space="preserve"> shapes</w:t>
      </w:r>
      <w:r w:rsidR="00CE7963" w:rsidRPr="000406E3">
        <w:t xml:space="preserve"> the</w:t>
      </w:r>
      <w:r w:rsidR="000530B4" w:rsidRPr="000406E3">
        <w:t>ir</w:t>
      </w:r>
      <w:r w:rsidR="00B60157" w:rsidRPr="000406E3">
        <w:t xml:space="preserve"> health decision-making</w:t>
      </w:r>
      <w:r w:rsidR="00CE7963" w:rsidRPr="000406E3">
        <w:t xml:space="preserve"> and outcomes</w:t>
      </w:r>
      <w:r w:rsidR="00974F74">
        <w:rPr>
          <w:vertAlign w:val="superscript"/>
        </w:rPr>
        <w:t>4</w:t>
      </w:r>
      <w:r w:rsidR="00745478" w:rsidRPr="00745478">
        <w:rPr>
          <w:vertAlign w:val="superscript"/>
        </w:rPr>
        <w:t>,</w:t>
      </w:r>
      <w:r w:rsidR="00974F74">
        <w:rPr>
          <w:vertAlign w:val="superscript"/>
        </w:rPr>
        <w:t>5</w:t>
      </w:r>
      <w:r w:rsidR="00630ACF" w:rsidRPr="000406E3">
        <w:t xml:space="preserve">. </w:t>
      </w:r>
      <w:r w:rsidR="00E869A0">
        <w:t xml:space="preserve">Aligned with this, </w:t>
      </w:r>
      <w:proofErr w:type="spellStart"/>
      <w:r w:rsidR="00EB2127" w:rsidRPr="000406E3">
        <w:t>Gilhooley</w:t>
      </w:r>
      <w:proofErr w:type="spellEnd"/>
      <w:r w:rsidR="00EB2127" w:rsidRPr="000406E3">
        <w:t xml:space="preserve"> et al</w:t>
      </w:r>
      <w:r w:rsidR="00EB2127">
        <w:t>’s</w:t>
      </w:r>
      <w:r w:rsidR="00EB2127" w:rsidRPr="00745478">
        <w:rPr>
          <w:vertAlign w:val="superscript"/>
        </w:rPr>
        <w:t>1</w:t>
      </w:r>
      <w:r w:rsidR="00EB2127">
        <w:t xml:space="preserve"> emphasis on improving the health literacy of patients and cultural co</w:t>
      </w:r>
      <w:r w:rsidR="00C02B27">
        <w:t xml:space="preserve">mpetence of practitioners shows how it is possible to address </w:t>
      </w:r>
      <w:r w:rsidR="00E869A0">
        <w:t xml:space="preserve">both </w:t>
      </w:r>
      <w:r w:rsidR="00C02B27">
        <w:t>the</w:t>
      </w:r>
      <w:r w:rsidR="00EB2127">
        <w:t xml:space="preserve"> </w:t>
      </w:r>
      <w:r w:rsidR="00C02B27">
        <w:t xml:space="preserve">longstanding </w:t>
      </w:r>
      <w:r w:rsidR="00EB2127">
        <w:t>e</w:t>
      </w:r>
      <w:r w:rsidR="00C02B27">
        <w:t>ffects of barriers to health whilst enhancing</w:t>
      </w:r>
      <w:r w:rsidR="00EB2127">
        <w:t xml:space="preserve"> people’</w:t>
      </w:r>
      <w:r w:rsidR="00C02B27">
        <w:t xml:space="preserve">s skills and ability to pursue </w:t>
      </w:r>
      <w:r w:rsidR="00653407">
        <w:t>healthy</w:t>
      </w:r>
      <w:r w:rsidR="00C02B27">
        <w:t xml:space="preserve"> lifestyle</w:t>
      </w:r>
      <w:r w:rsidR="00653407">
        <w:t>s</w:t>
      </w:r>
      <w:r w:rsidR="00C02B27">
        <w:t xml:space="preserve">. </w:t>
      </w:r>
    </w:p>
    <w:p w:rsidR="00C02B27" w:rsidRPr="000406E3" w:rsidRDefault="00974F74" w:rsidP="00C02B27">
      <w:pPr>
        <w:jc w:val="both"/>
      </w:pPr>
      <w:r w:rsidRPr="000406E3">
        <w:t>E</w:t>
      </w:r>
      <w:r w:rsidR="00E869A0">
        <w:t>qually, e</w:t>
      </w:r>
      <w:r w:rsidRPr="000406E3">
        <w:t>vidence for the maldistribution of social determinants of health</w:t>
      </w:r>
      <w:r>
        <w:t>,</w:t>
      </w:r>
      <w:r w:rsidRPr="000406E3">
        <w:t xml:space="preserve"> as well as for patterning of health inequalities</w:t>
      </w:r>
      <w:r>
        <w:t>,</w:t>
      </w:r>
      <w:r w:rsidRPr="000406E3">
        <w:t xml:space="preserve"> is</w:t>
      </w:r>
      <w:r>
        <w:t xml:space="preserve"> now well established</w:t>
      </w:r>
      <w:r>
        <w:rPr>
          <w:vertAlign w:val="superscript"/>
        </w:rPr>
        <w:t>6</w:t>
      </w:r>
      <w:r w:rsidRPr="000406E3">
        <w:t xml:space="preserve">. </w:t>
      </w:r>
      <w:r w:rsidR="00C02B27" w:rsidRPr="000406E3">
        <w:t>Previous research has consistently shown that Gypsy Roma and Traveller (GRT) communities experience a disproportionately high l</w:t>
      </w:r>
      <w:r w:rsidR="00745478">
        <w:t>evel of morbidity and mortality</w:t>
      </w:r>
      <w:r w:rsidR="00C02B27" w:rsidRPr="00745478">
        <w:rPr>
          <w:vertAlign w:val="superscript"/>
        </w:rPr>
        <w:t>7</w:t>
      </w:r>
      <w:r w:rsidR="00C02B27" w:rsidRPr="000406E3">
        <w:t>.</w:t>
      </w:r>
      <w:r w:rsidR="00C02B27" w:rsidRPr="000406E3">
        <w:rPr>
          <w:b/>
        </w:rPr>
        <w:t xml:space="preserve"> </w:t>
      </w:r>
      <w:r w:rsidR="00745478">
        <w:t xml:space="preserve">Parry </w:t>
      </w:r>
      <w:proofErr w:type="gramStart"/>
      <w:r w:rsidR="00745478">
        <w:t>et</w:t>
      </w:r>
      <w:proofErr w:type="gramEnd"/>
      <w:r w:rsidR="00745478">
        <w:t xml:space="preserve"> al</w:t>
      </w:r>
      <w:r w:rsidR="00C02B27" w:rsidRPr="00745478">
        <w:rPr>
          <w:vertAlign w:val="superscript"/>
        </w:rPr>
        <w:t>8</w:t>
      </w:r>
      <w:r w:rsidR="00C02B27" w:rsidRPr="000406E3">
        <w:t xml:space="preserve"> conducted the largest study to date on the health of GRT communities and found they have the worst health status of any minority ethnic group in England. Studies of the health and illness experiences of GRT communities have highlighted how discrimination, coupled with a lack of provision for traveller lifestyles within health services, has contributed to</w:t>
      </w:r>
      <w:r w:rsidR="00745478">
        <w:t xml:space="preserve"> this situation</w:t>
      </w:r>
      <w:r w:rsidR="00C02B27" w:rsidRPr="00745478">
        <w:rPr>
          <w:vertAlign w:val="superscript"/>
        </w:rPr>
        <w:t>9</w:t>
      </w:r>
      <w:r w:rsidR="00C02B27" w:rsidRPr="000406E3">
        <w:t>.</w:t>
      </w:r>
      <w:r w:rsidR="00745478">
        <w:t xml:space="preserve"> Our own work</w:t>
      </w:r>
      <w:r>
        <w:rPr>
          <w:vertAlign w:val="superscript"/>
        </w:rPr>
        <w:t>4</w:t>
      </w:r>
      <w:r w:rsidR="00C02B27" w:rsidRPr="000406E3">
        <w:t xml:space="preserve"> has shown that the effects of longstanding health inequalities experienced by GRT communities, shapes their decision making around health. For example, as GRT children are frequently ill (relative to the wider population) and their mothers often find it difficult to access services, this means there are very few windows of opportunity where children can receive vaccinations</w:t>
      </w:r>
      <w:r w:rsidR="00C02B27" w:rsidRPr="00745478">
        <w:rPr>
          <w:vertAlign w:val="superscript"/>
        </w:rPr>
        <w:t>10</w:t>
      </w:r>
      <w:r w:rsidR="00C02B27" w:rsidRPr="000406E3">
        <w:t xml:space="preserve">. This contributes to low levels of childhood immunisation in GRT communities - which further perpetuates the health inequalities they </w:t>
      </w:r>
      <w:r w:rsidR="00745478">
        <w:t>experience</w:t>
      </w:r>
      <w:r>
        <w:rPr>
          <w:vertAlign w:val="superscript"/>
        </w:rPr>
        <w:t>4</w:t>
      </w:r>
      <w:proofErr w:type="gramStart"/>
      <w:r w:rsidR="00745478" w:rsidRPr="00745478">
        <w:rPr>
          <w:vertAlign w:val="superscript"/>
        </w:rPr>
        <w:t>,</w:t>
      </w:r>
      <w:r w:rsidR="00C02B27" w:rsidRPr="00745478">
        <w:rPr>
          <w:vertAlign w:val="superscript"/>
        </w:rPr>
        <w:t>10</w:t>
      </w:r>
      <w:proofErr w:type="gramEnd"/>
      <w:r w:rsidR="00745478">
        <w:t>.</w:t>
      </w:r>
      <w:r w:rsidR="00C02B27" w:rsidRPr="000406E3">
        <w:t xml:space="preserve"> </w:t>
      </w:r>
      <w:proofErr w:type="spellStart"/>
      <w:r w:rsidR="00C02B27" w:rsidRPr="000406E3">
        <w:t>Gilhooley</w:t>
      </w:r>
      <w:proofErr w:type="spellEnd"/>
      <w:r w:rsidR="00C02B27" w:rsidRPr="000406E3">
        <w:t xml:space="preserve"> et al</w:t>
      </w:r>
      <w:r w:rsidR="00C02B27">
        <w:t>’s</w:t>
      </w:r>
      <w:r w:rsidR="00C02B27" w:rsidRPr="00745478">
        <w:rPr>
          <w:vertAlign w:val="superscript"/>
        </w:rPr>
        <w:t>1</w:t>
      </w:r>
      <w:r w:rsidR="00C02B27">
        <w:t xml:space="preserve"> </w:t>
      </w:r>
      <w:r w:rsidR="00C02B27" w:rsidRPr="000406E3">
        <w:t xml:space="preserve">research is an </w:t>
      </w:r>
      <w:r w:rsidR="00C02B27" w:rsidRPr="000406E3">
        <w:lastRenderedPageBreak/>
        <w:t>exemplar of how</w:t>
      </w:r>
      <w:r w:rsidR="00E869A0">
        <w:t>,</w:t>
      </w:r>
      <w:r w:rsidR="00C02B27" w:rsidRPr="000406E3">
        <w:t xml:space="preserve"> by listening to service users’ experiences of accessing treatment and considering clinical recommendations in light of this,</w:t>
      </w:r>
      <w:r w:rsidR="00CB19C2">
        <w:t xml:space="preserve"> practitioners</w:t>
      </w:r>
      <w:r w:rsidR="00C02B27" w:rsidRPr="000406E3">
        <w:t xml:space="preserve"> can improve the likelihood of an intervention being taken up, adopted and successful</w:t>
      </w:r>
      <w:r w:rsidR="00C02B27">
        <w:t xml:space="preserve"> – </w:t>
      </w:r>
      <w:r w:rsidR="00A25900">
        <w:t xml:space="preserve">and </w:t>
      </w:r>
      <w:r w:rsidR="00C02B27">
        <w:t xml:space="preserve">thus </w:t>
      </w:r>
      <w:r w:rsidR="00A25900">
        <w:t>makes</w:t>
      </w:r>
      <w:r w:rsidR="00E869A0">
        <w:t xml:space="preserve"> steps towards reducing</w:t>
      </w:r>
      <w:r w:rsidR="00C02B27">
        <w:t xml:space="preserve"> </w:t>
      </w:r>
      <w:r w:rsidR="00DE1B92">
        <w:t>the</w:t>
      </w:r>
      <w:r w:rsidR="00CB75E4">
        <w:t xml:space="preserve"> factors that perpetuate the</w:t>
      </w:r>
      <w:r w:rsidR="00C02B27">
        <w:t xml:space="preserve"> health inequalities</w:t>
      </w:r>
      <w:r w:rsidR="00DE1B92">
        <w:t xml:space="preserve"> GRT communities experience</w:t>
      </w:r>
      <w:r w:rsidR="00C02B27" w:rsidRPr="000406E3">
        <w:t>.</w:t>
      </w:r>
      <w:r w:rsidR="00DE1B92">
        <w:t xml:space="preserve"> </w:t>
      </w:r>
      <w:r w:rsidR="00C02B27" w:rsidRPr="000406E3">
        <w:t xml:space="preserve"> </w:t>
      </w:r>
    </w:p>
    <w:p w:rsidR="00777990" w:rsidRPr="000406E3" w:rsidRDefault="00777990" w:rsidP="00314D86">
      <w:pPr>
        <w:jc w:val="both"/>
      </w:pPr>
    </w:p>
    <w:p w:rsidR="00777990" w:rsidRPr="000406E3" w:rsidRDefault="00777990" w:rsidP="00314D86">
      <w:pPr>
        <w:jc w:val="both"/>
        <w:rPr>
          <w:b/>
        </w:rPr>
      </w:pPr>
      <w:r w:rsidRPr="000406E3">
        <w:rPr>
          <w:b/>
        </w:rPr>
        <w:t>Authors</w:t>
      </w:r>
    </w:p>
    <w:p w:rsidR="00777990" w:rsidRPr="000406E3" w:rsidRDefault="00777990" w:rsidP="00777990">
      <w:pPr>
        <w:jc w:val="both"/>
      </w:pPr>
      <w:r w:rsidRPr="000406E3">
        <w:t xml:space="preserve">Dr Paul Newton - Research Lead for Adult Nursing &amp; Paramedic Science, University of Greenwich, London, SE9 2UG. Email: P.D.Newton@greenwich.ac.uk </w:t>
      </w:r>
      <w:r w:rsidR="00D161A3">
        <w:t xml:space="preserve">- </w:t>
      </w:r>
      <w:r w:rsidRPr="000406E3">
        <w:t>ORCID ID: https://orcid.org/0000-0002-8525-6763</w:t>
      </w:r>
    </w:p>
    <w:p w:rsidR="00273C92" w:rsidRPr="000406E3" w:rsidRDefault="00777990" w:rsidP="00777990">
      <w:pPr>
        <w:jc w:val="both"/>
      </w:pPr>
      <w:r w:rsidRPr="000406E3">
        <w:t>Dr David Smith Reader in Social Policy, Anglia Ruskin University, Chelmsford, Essex CM1 1SQ, UK. Email: david.smith1@anglia.ac.uk</w:t>
      </w:r>
    </w:p>
    <w:p w:rsidR="00777990" w:rsidRPr="000406E3" w:rsidRDefault="00777990" w:rsidP="00777990">
      <w:pPr>
        <w:jc w:val="both"/>
        <w:rPr>
          <w:b/>
        </w:rPr>
      </w:pPr>
      <w:r w:rsidRPr="000406E3">
        <w:rPr>
          <w:b/>
        </w:rPr>
        <w:t>Acknowledgements</w:t>
      </w:r>
    </w:p>
    <w:p w:rsidR="00777990" w:rsidRPr="000406E3" w:rsidRDefault="00777990" w:rsidP="00777990">
      <w:pPr>
        <w:jc w:val="both"/>
      </w:pPr>
      <w:r w:rsidRPr="000406E3">
        <w:t>We would like to acknowledge Dr Lesley Dibley (University of Greenwich) for critically reviewing this commentary.</w:t>
      </w:r>
    </w:p>
    <w:p w:rsidR="00777990" w:rsidRPr="000406E3" w:rsidRDefault="00777990" w:rsidP="00314D86">
      <w:pPr>
        <w:jc w:val="both"/>
        <w:rPr>
          <w:b/>
        </w:rPr>
      </w:pPr>
      <w:r w:rsidRPr="000406E3">
        <w:rPr>
          <w:b/>
        </w:rPr>
        <w:t xml:space="preserve">Conflicts of Interest </w:t>
      </w:r>
    </w:p>
    <w:p w:rsidR="00777990" w:rsidRPr="000406E3" w:rsidRDefault="000F2F83" w:rsidP="00314D86">
      <w:pPr>
        <w:jc w:val="both"/>
      </w:pPr>
      <w:r w:rsidRPr="000406E3">
        <w:t>The authors have not been funded in relation to this commentary and de</w:t>
      </w:r>
      <w:r w:rsidR="006A5A7E" w:rsidRPr="000406E3">
        <w:t>c</w:t>
      </w:r>
      <w:r w:rsidRPr="000406E3">
        <w:t>lare</w:t>
      </w:r>
      <w:r w:rsidR="006A5A7E" w:rsidRPr="000406E3">
        <w:t xml:space="preserve"> they have no conflicts of interest</w:t>
      </w:r>
      <w:r w:rsidR="009436C4" w:rsidRPr="000406E3">
        <w:t xml:space="preserve">. </w:t>
      </w:r>
    </w:p>
    <w:p w:rsidR="003C4CD5" w:rsidRPr="000406E3" w:rsidRDefault="003C4CD5" w:rsidP="00314D86">
      <w:pPr>
        <w:jc w:val="both"/>
        <w:rPr>
          <w:b/>
        </w:rPr>
      </w:pPr>
      <w:r w:rsidRPr="000406E3">
        <w:rPr>
          <w:b/>
        </w:rPr>
        <w:t>References</w:t>
      </w:r>
    </w:p>
    <w:p w:rsidR="00C02B27" w:rsidRPr="000406E3" w:rsidRDefault="00C02B27" w:rsidP="00C02B27">
      <w:pPr>
        <w:pStyle w:val="ListParagraph"/>
        <w:numPr>
          <w:ilvl w:val="0"/>
          <w:numId w:val="1"/>
        </w:numPr>
        <w:jc w:val="both"/>
      </w:pPr>
      <w:proofErr w:type="spellStart"/>
      <w:r w:rsidRPr="000406E3">
        <w:t>Gillhooley</w:t>
      </w:r>
      <w:proofErr w:type="spellEnd"/>
      <w:r w:rsidRPr="000406E3">
        <w:t xml:space="preserve">, E., Daly, S., Gallagher, O., </w:t>
      </w:r>
      <w:proofErr w:type="spellStart"/>
      <w:r w:rsidRPr="000406E3">
        <w:t>Glacken</w:t>
      </w:r>
      <w:proofErr w:type="spellEnd"/>
      <w:r w:rsidRPr="000406E3">
        <w:t xml:space="preserve">, M. &amp; </w:t>
      </w:r>
      <w:proofErr w:type="spellStart"/>
      <w:r w:rsidRPr="000406E3">
        <w:t>Mckenna</w:t>
      </w:r>
      <w:proofErr w:type="spellEnd"/>
      <w:r w:rsidRPr="000406E3">
        <w:t xml:space="preserve">, D. (In press) ‘Experience of skin disease and relationships with healthcare providers: a qualitative study of Traveller women in Ireland’ </w:t>
      </w:r>
      <w:r w:rsidRPr="000406E3">
        <w:rPr>
          <w:i/>
        </w:rPr>
        <w:t>British Journal of Dermatology</w:t>
      </w:r>
      <w:r w:rsidRPr="000406E3">
        <w:t>.</w:t>
      </w:r>
    </w:p>
    <w:p w:rsidR="003C4CD5" w:rsidRPr="000406E3" w:rsidRDefault="003C4CD5" w:rsidP="00314D86">
      <w:pPr>
        <w:pStyle w:val="ListParagraph"/>
        <w:numPr>
          <w:ilvl w:val="0"/>
          <w:numId w:val="1"/>
        </w:numPr>
        <w:jc w:val="both"/>
      </w:pPr>
      <w:r w:rsidRPr="000406E3">
        <w:t xml:space="preserve">Dibley, L., Czuber-Dochan, W., Wade, T., Duncan, J., Burch, J., Warusavitarne, J., Norton, C., Artom, M., O’Sullivan, L., Verjee, A., Cann, D. and members of the stoma PPI team (2018) ‘Patient decision-making about emergency and planned stoma surgery for IBD: a qualitative exploration of patient and clinician perspectives’ </w:t>
      </w:r>
      <w:r w:rsidRPr="000406E3">
        <w:rPr>
          <w:i/>
        </w:rPr>
        <w:t>Inflammatory Bowel Diseases</w:t>
      </w:r>
      <w:r w:rsidRPr="000406E3">
        <w:t xml:space="preserve"> 24(2): 235-244.</w:t>
      </w:r>
    </w:p>
    <w:p w:rsidR="003C4CD5" w:rsidRPr="000406E3" w:rsidRDefault="003C4CD5" w:rsidP="00314D86">
      <w:pPr>
        <w:pStyle w:val="ListParagraph"/>
        <w:numPr>
          <w:ilvl w:val="0"/>
          <w:numId w:val="1"/>
        </w:numPr>
        <w:jc w:val="both"/>
      </w:pPr>
      <w:r w:rsidRPr="000406E3">
        <w:t>Newton, P., Scambler, S. a</w:t>
      </w:r>
      <w:r w:rsidR="006068D1" w:rsidRPr="000406E3">
        <w:t xml:space="preserve">nd </w:t>
      </w:r>
      <w:proofErr w:type="spellStart"/>
      <w:r w:rsidR="006068D1" w:rsidRPr="000406E3">
        <w:t>Asimakopoulou</w:t>
      </w:r>
      <w:proofErr w:type="spellEnd"/>
      <w:r w:rsidR="006068D1" w:rsidRPr="000406E3">
        <w:t xml:space="preserve"> K. (2015). ‘A qualitative exploration of motivation to self-manage and styles of self-management amongst people l</w:t>
      </w:r>
      <w:r w:rsidRPr="000406E3">
        <w:t xml:space="preserve">iving with Type 2 Diabetes.’ </w:t>
      </w:r>
      <w:r w:rsidRPr="000406E3">
        <w:rPr>
          <w:i/>
        </w:rPr>
        <w:t>Journal of Diabetes Research</w:t>
      </w:r>
      <w:r w:rsidRPr="000406E3">
        <w:t xml:space="preserve"> Article ID 638205, 9 pages, doi:10.1155/2015/638205.</w:t>
      </w:r>
    </w:p>
    <w:p w:rsidR="00B60157" w:rsidRPr="000406E3" w:rsidRDefault="00B60157" w:rsidP="00B60157">
      <w:pPr>
        <w:pStyle w:val="ListParagraph"/>
        <w:numPr>
          <w:ilvl w:val="0"/>
          <w:numId w:val="1"/>
        </w:numPr>
        <w:jc w:val="both"/>
      </w:pPr>
      <w:r w:rsidRPr="000406E3">
        <w:t xml:space="preserve">Smith, D. and Newton, P. (2016) ‘Structural barriers to measles, mumps and rubella (MMR) immunisation uptake in Gypsy, Roma and Traveller communities in the United Kingdom’ </w:t>
      </w:r>
      <w:r w:rsidRPr="000406E3">
        <w:rPr>
          <w:i/>
        </w:rPr>
        <w:t>Critical Public Health</w:t>
      </w:r>
      <w:r w:rsidRPr="000406E3">
        <w:t>, 27 (2) pp. 238-47.</w:t>
      </w:r>
    </w:p>
    <w:p w:rsidR="006068D1" w:rsidRDefault="007D03BC" w:rsidP="00314D86">
      <w:pPr>
        <w:pStyle w:val="ListParagraph"/>
        <w:numPr>
          <w:ilvl w:val="0"/>
          <w:numId w:val="1"/>
        </w:numPr>
        <w:jc w:val="both"/>
      </w:pPr>
      <w:proofErr w:type="spellStart"/>
      <w:r w:rsidRPr="000406E3">
        <w:t>Magin</w:t>
      </w:r>
      <w:proofErr w:type="spellEnd"/>
      <w:r w:rsidRPr="000406E3">
        <w:t>, P.J., Adams, J., Heading, G.S., Pond, C.D. (2009) Patients with skin disease and their relationships with their doctors: a qualitative study of patients with acne, psoriasis and eczema. Medical Journal of Australia 190: 62–4.</w:t>
      </w:r>
    </w:p>
    <w:p w:rsidR="00974F74" w:rsidRPr="000406E3" w:rsidRDefault="00974F74" w:rsidP="00974F74">
      <w:pPr>
        <w:pStyle w:val="ListParagraph"/>
        <w:numPr>
          <w:ilvl w:val="0"/>
          <w:numId w:val="1"/>
        </w:numPr>
        <w:jc w:val="both"/>
      </w:pPr>
      <w:r w:rsidRPr="000406E3">
        <w:t xml:space="preserve">Marmot, M. (2017) ‘Closing the gap’ </w:t>
      </w:r>
      <w:r w:rsidRPr="000406E3">
        <w:rPr>
          <w:i/>
        </w:rPr>
        <w:t>Scandinavian Journal of Public Health</w:t>
      </w:r>
      <w:r w:rsidRPr="000406E3">
        <w:t xml:space="preserve"> 45 (7): 723-731.</w:t>
      </w:r>
    </w:p>
    <w:p w:rsidR="007B469F" w:rsidRPr="000406E3" w:rsidRDefault="00934C1D" w:rsidP="00314D86">
      <w:pPr>
        <w:pStyle w:val="ListParagraph"/>
        <w:numPr>
          <w:ilvl w:val="0"/>
          <w:numId w:val="1"/>
        </w:numPr>
        <w:jc w:val="both"/>
      </w:pPr>
      <w:r w:rsidRPr="000406E3">
        <w:t xml:space="preserve">Department for Communities and Local Government (2012) </w:t>
      </w:r>
      <w:r w:rsidRPr="000406E3">
        <w:rPr>
          <w:i/>
        </w:rPr>
        <w:t>Progress Report by the ministerial working group on tackling inequalities experienced by Gypsies and Travellers</w:t>
      </w:r>
      <w:r w:rsidR="005E4303" w:rsidRPr="000406E3">
        <w:rPr>
          <w:i/>
        </w:rPr>
        <w:t xml:space="preserve">, </w:t>
      </w:r>
      <w:hyperlink r:id="rId5" w:history="1">
        <w:r w:rsidR="005E4303" w:rsidRPr="000406E3">
          <w:rPr>
            <w:rStyle w:val="Hyperlink"/>
            <w:color w:val="auto"/>
          </w:rPr>
          <w:t>https://assets.publishing.service.gov.uk/government/uploads/system/uploads/attachment_data/file/6287/2124046.pdf</w:t>
        </w:r>
      </w:hyperlink>
      <w:r w:rsidR="005E4303" w:rsidRPr="000406E3">
        <w:t xml:space="preserve"> </w:t>
      </w:r>
    </w:p>
    <w:p w:rsidR="007B469F" w:rsidRPr="000406E3" w:rsidRDefault="005E4303" w:rsidP="00314D86">
      <w:pPr>
        <w:pStyle w:val="ListParagraph"/>
        <w:numPr>
          <w:ilvl w:val="0"/>
          <w:numId w:val="1"/>
        </w:numPr>
        <w:jc w:val="both"/>
      </w:pPr>
      <w:r w:rsidRPr="000406E3">
        <w:lastRenderedPageBreak/>
        <w:t xml:space="preserve">Parry, G., Van </w:t>
      </w:r>
      <w:proofErr w:type="spellStart"/>
      <w:r w:rsidRPr="000406E3">
        <w:t>Cleemput</w:t>
      </w:r>
      <w:proofErr w:type="spellEnd"/>
      <w:r w:rsidRPr="000406E3">
        <w:t xml:space="preserve">, P., Peters, J., Moore, J., Walters, S., Thomas, K., Cooper, C. (2004) </w:t>
      </w:r>
      <w:proofErr w:type="gramStart"/>
      <w:r w:rsidRPr="000406E3">
        <w:rPr>
          <w:i/>
        </w:rPr>
        <w:t>The</w:t>
      </w:r>
      <w:proofErr w:type="gramEnd"/>
      <w:r w:rsidRPr="000406E3">
        <w:rPr>
          <w:i/>
        </w:rPr>
        <w:t xml:space="preserve"> Health Status of Gypsies and Travellers in England</w:t>
      </w:r>
      <w:r w:rsidRPr="000406E3">
        <w:t>, University of Sheffield.</w:t>
      </w:r>
    </w:p>
    <w:p w:rsidR="007B469F" w:rsidRPr="000406E3" w:rsidRDefault="005E4303" w:rsidP="00314D86">
      <w:pPr>
        <w:pStyle w:val="ListParagraph"/>
        <w:numPr>
          <w:ilvl w:val="0"/>
          <w:numId w:val="1"/>
        </w:numPr>
        <w:jc w:val="both"/>
      </w:pPr>
      <w:r w:rsidRPr="000406E3">
        <w:t xml:space="preserve">Van </w:t>
      </w:r>
      <w:proofErr w:type="spellStart"/>
      <w:r w:rsidRPr="000406E3">
        <w:t>Cleemput</w:t>
      </w:r>
      <w:proofErr w:type="spellEnd"/>
      <w:r w:rsidRPr="000406E3">
        <w:t>, P. (2018) ‘Health needs of Gyps</w:t>
      </w:r>
      <w:r w:rsidR="009C1A6A" w:rsidRPr="000406E3">
        <w:t>y Travellers’</w:t>
      </w:r>
      <w:r w:rsidR="00314D86" w:rsidRPr="000406E3">
        <w:t xml:space="preserve"> </w:t>
      </w:r>
      <w:proofErr w:type="spellStart"/>
      <w:r w:rsidR="00314D86" w:rsidRPr="000406E3">
        <w:rPr>
          <w:i/>
        </w:rPr>
        <w:t>InnovAiT</w:t>
      </w:r>
      <w:proofErr w:type="spellEnd"/>
      <w:r w:rsidR="00314D86" w:rsidRPr="000406E3">
        <w:rPr>
          <w:i/>
        </w:rPr>
        <w:t xml:space="preserve">, </w:t>
      </w:r>
      <w:r w:rsidR="009C1A6A" w:rsidRPr="000406E3">
        <w:t xml:space="preserve">11 (1) </w:t>
      </w:r>
      <w:proofErr w:type="spellStart"/>
      <w:r w:rsidR="00314D86" w:rsidRPr="000406E3">
        <w:t>doi</w:t>
      </w:r>
      <w:proofErr w:type="spellEnd"/>
      <w:r w:rsidR="00314D86" w:rsidRPr="000406E3">
        <w:t xml:space="preserve">: 10.1177/1755738018774075. </w:t>
      </w:r>
    </w:p>
    <w:p w:rsidR="0050515D" w:rsidRPr="000406E3" w:rsidRDefault="0050515D" w:rsidP="00314D86">
      <w:pPr>
        <w:pStyle w:val="ListParagraph"/>
        <w:numPr>
          <w:ilvl w:val="0"/>
          <w:numId w:val="1"/>
        </w:numPr>
        <w:jc w:val="both"/>
      </w:pPr>
      <w:r w:rsidRPr="000406E3">
        <w:t>Newton</w:t>
      </w:r>
      <w:r w:rsidR="00FE0186" w:rsidRPr="000406E3">
        <w:t>,</w:t>
      </w:r>
      <w:r w:rsidRPr="000406E3">
        <w:t xml:space="preserve"> P. and Smith</w:t>
      </w:r>
      <w:r w:rsidR="00FE0186" w:rsidRPr="000406E3">
        <w:t>,</w:t>
      </w:r>
      <w:r w:rsidRPr="000406E3">
        <w:t xml:space="preserve"> D. (2017) ‘Factors influencing uptake of Measles, Mumps &amp; Rubella (MMR) immunisation in site-dwelling Gypsy, Roma and Traveller (GRT) communities: A qualitative study of GRT parents’ beliefs and experiences’ </w:t>
      </w:r>
      <w:r w:rsidRPr="000406E3">
        <w:rPr>
          <w:i/>
        </w:rPr>
        <w:t>Child: Health, Care and Development</w:t>
      </w:r>
      <w:r w:rsidRPr="000406E3">
        <w:t xml:space="preserve"> 43(4), pp. 504-10</w:t>
      </w:r>
      <w:r w:rsidR="0038477D" w:rsidRPr="000406E3">
        <w:t>.</w:t>
      </w:r>
    </w:p>
    <w:p w:rsidR="007D03BC" w:rsidRPr="000406E3" w:rsidRDefault="007D03BC" w:rsidP="007B469F"/>
    <w:sectPr w:rsidR="007D03BC" w:rsidRPr="000406E3" w:rsidSect="00DB2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12B9D"/>
    <w:multiLevelType w:val="hybridMultilevel"/>
    <w:tmpl w:val="099E4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B6B"/>
    <w:rsid w:val="000406E3"/>
    <w:rsid w:val="000530B4"/>
    <w:rsid w:val="000E5DD0"/>
    <w:rsid w:val="000F2F83"/>
    <w:rsid w:val="0013412A"/>
    <w:rsid w:val="001B5268"/>
    <w:rsid w:val="00206AB6"/>
    <w:rsid w:val="00273C92"/>
    <w:rsid w:val="002B6016"/>
    <w:rsid w:val="00314D86"/>
    <w:rsid w:val="00351E59"/>
    <w:rsid w:val="00376533"/>
    <w:rsid w:val="0038477D"/>
    <w:rsid w:val="003A5729"/>
    <w:rsid w:val="003C4CD5"/>
    <w:rsid w:val="003E00EE"/>
    <w:rsid w:val="004359FB"/>
    <w:rsid w:val="004C1605"/>
    <w:rsid w:val="004D25E0"/>
    <w:rsid w:val="004F3506"/>
    <w:rsid w:val="0050515D"/>
    <w:rsid w:val="00554AA3"/>
    <w:rsid w:val="00560584"/>
    <w:rsid w:val="00564367"/>
    <w:rsid w:val="005C19D1"/>
    <w:rsid w:val="005C75CA"/>
    <w:rsid w:val="005D1445"/>
    <w:rsid w:val="005E4303"/>
    <w:rsid w:val="006068D1"/>
    <w:rsid w:val="00607851"/>
    <w:rsid w:val="00630ACF"/>
    <w:rsid w:val="00653407"/>
    <w:rsid w:val="00663FF8"/>
    <w:rsid w:val="00672756"/>
    <w:rsid w:val="0069728B"/>
    <w:rsid w:val="006A039A"/>
    <w:rsid w:val="006A5A7E"/>
    <w:rsid w:val="006B0DC1"/>
    <w:rsid w:val="00745478"/>
    <w:rsid w:val="00777990"/>
    <w:rsid w:val="007B469F"/>
    <w:rsid w:val="007D03BC"/>
    <w:rsid w:val="007D4E2E"/>
    <w:rsid w:val="00814B6B"/>
    <w:rsid w:val="008C4F8D"/>
    <w:rsid w:val="00930C46"/>
    <w:rsid w:val="00934C1D"/>
    <w:rsid w:val="009436C4"/>
    <w:rsid w:val="00974F74"/>
    <w:rsid w:val="00975B92"/>
    <w:rsid w:val="009B41A5"/>
    <w:rsid w:val="009C1A6A"/>
    <w:rsid w:val="00A25900"/>
    <w:rsid w:val="00A92BD6"/>
    <w:rsid w:val="00AA360C"/>
    <w:rsid w:val="00AF34C7"/>
    <w:rsid w:val="00B60157"/>
    <w:rsid w:val="00C02B27"/>
    <w:rsid w:val="00CB19C2"/>
    <w:rsid w:val="00CB75E4"/>
    <w:rsid w:val="00CE7963"/>
    <w:rsid w:val="00D161A3"/>
    <w:rsid w:val="00D36431"/>
    <w:rsid w:val="00D51E46"/>
    <w:rsid w:val="00DB2668"/>
    <w:rsid w:val="00DC6405"/>
    <w:rsid w:val="00DE1B92"/>
    <w:rsid w:val="00E21323"/>
    <w:rsid w:val="00E869A0"/>
    <w:rsid w:val="00EB2127"/>
    <w:rsid w:val="00F16D03"/>
    <w:rsid w:val="00FA0F14"/>
    <w:rsid w:val="00FE0186"/>
    <w:rsid w:val="00FE7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68"/>
  </w:style>
  <w:style w:type="paragraph" w:styleId="Heading1">
    <w:name w:val="heading 1"/>
    <w:basedOn w:val="Normal"/>
    <w:next w:val="Normal"/>
    <w:link w:val="Heading1Char"/>
    <w:uiPriority w:val="9"/>
    <w:qFormat/>
    <w:rsid w:val="00505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72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D5"/>
    <w:rPr>
      <w:rFonts w:ascii="Segoe UI" w:hAnsi="Segoe UI" w:cs="Segoe UI"/>
      <w:sz w:val="18"/>
      <w:szCs w:val="18"/>
    </w:rPr>
  </w:style>
  <w:style w:type="paragraph" w:styleId="ListParagraph">
    <w:name w:val="List Paragraph"/>
    <w:basedOn w:val="Normal"/>
    <w:uiPriority w:val="34"/>
    <w:qFormat/>
    <w:rsid w:val="003C4CD5"/>
    <w:pPr>
      <w:ind w:left="720"/>
      <w:contextualSpacing/>
    </w:pPr>
  </w:style>
  <w:style w:type="character" w:customStyle="1" w:styleId="Heading2Char">
    <w:name w:val="Heading 2 Char"/>
    <w:basedOn w:val="DefaultParagraphFont"/>
    <w:link w:val="Heading2"/>
    <w:uiPriority w:val="9"/>
    <w:rsid w:val="0069728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515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E43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709593">
      <w:bodyDiv w:val="1"/>
      <w:marLeft w:val="0"/>
      <w:marRight w:val="0"/>
      <w:marTop w:val="0"/>
      <w:marBottom w:val="0"/>
      <w:divBdr>
        <w:top w:val="none" w:sz="0" w:space="0" w:color="auto"/>
        <w:left w:val="none" w:sz="0" w:space="0" w:color="auto"/>
        <w:bottom w:val="none" w:sz="0" w:space="0" w:color="auto"/>
        <w:right w:val="none" w:sz="0" w:space="0" w:color="auto"/>
      </w:divBdr>
    </w:div>
    <w:div w:id="20963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6287/212404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Newton</dc:creator>
  <cp:lastModifiedBy>Windows User</cp:lastModifiedBy>
  <cp:revision>2</cp:revision>
  <cp:lastPrinted>2019-02-26T16:08:00Z</cp:lastPrinted>
  <dcterms:created xsi:type="dcterms:W3CDTF">2019-03-01T10:26:00Z</dcterms:created>
  <dcterms:modified xsi:type="dcterms:W3CDTF">2019-03-01T10:26:00Z</dcterms:modified>
</cp:coreProperties>
</file>