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B5715" w14:textId="2C3A5B68" w:rsidR="00AC6DE4" w:rsidRPr="00781570" w:rsidRDefault="00AC6DE4" w:rsidP="00860A2A">
      <w:pPr>
        <w:spacing w:line="360" w:lineRule="auto"/>
        <w:jc w:val="both"/>
        <w:rPr>
          <w:rFonts w:ascii="Calibri" w:hAnsi="Calibri" w:cs="Calibri"/>
          <w:color w:val="000000"/>
          <w:sz w:val="24"/>
          <w:szCs w:val="24"/>
          <w:vertAlign w:val="superscript"/>
        </w:rPr>
      </w:pPr>
      <w:bookmarkStart w:id="0" w:name="_GoBack"/>
      <w:bookmarkEnd w:id="0"/>
      <w:r>
        <w:rPr>
          <w:rFonts w:ascii="Calibri" w:hAnsi="Calibri" w:cs="Calibri"/>
          <w:color w:val="000000"/>
          <w:sz w:val="24"/>
          <w:szCs w:val="24"/>
        </w:rPr>
        <w:t>Annelie J Harvey</w:t>
      </w:r>
      <w:r w:rsidR="00781570">
        <w:rPr>
          <w:rFonts w:ascii="Calibri" w:hAnsi="Calibri" w:cs="Calibri"/>
          <w:color w:val="000000"/>
          <w:sz w:val="24"/>
          <w:szCs w:val="24"/>
          <w:vertAlign w:val="superscript"/>
        </w:rPr>
        <w:t xml:space="preserve"> </w:t>
      </w:r>
      <w:r w:rsidR="00781570">
        <w:rPr>
          <w:rFonts w:ascii="Calibri" w:hAnsi="Calibri" w:cs="Calibri"/>
          <w:color w:val="000000"/>
          <w:sz w:val="24"/>
          <w:szCs w:val="24"/>
        </w:rPr>
        <w:t xml:space="preserve">and </w:t>
      </w:r>
      <w:r>
        <w:rPr>
          <w:rFonts w:ascii="Calibri" w:hAnsi="Calibri" w:cs="Calibri"/>
          <w:color w:val="000000"/>
          <w:sz w:val="24"/>
          <w:szCs w:val="24"/>
        </w:rPr>
        <w:t>Helen Keyes*</w:t>
      </w:r>
    </w:p>
    <w:p w14:paraId="0744BE0C" w14:textId="19DBDD69" w:rsidR="00AC6DE4" w:rsidRPr="00781570" w:rsidRDefault="003C5378" w:rsidP="00860A2A">
      <w:pPr>
        <w:spacing w:line="360" w:lineRule="auto"/>
        <w:jc w:val="both"/>
        <w:rPr>
          <w:rFonts w:ascii="Calibri" w:hAnsi="Calibri" w:cs="Calibri"/>
          <w:i/>
          <w:color w:val="000000"/>
          <w:sz w:val="24"/>
          <w:szCs w:val="24"/>
        </w:rPr>
      </w:pPr>
      <w:r w:rsidRPr="00781570">
        <w:rPr>
          <w:rFonts w:ascii="Calibri" w:hAnsi="Calibri" w:cs="Calibri"/>
          <w:i/>
          <w:color w:val="000000"/>
          <w:sz w:val="24"/>
          <w:szCs w:val="24"/>
        </w:rPr>
        <w:t xml:space="preserve">School of Psychology and Sport Science, </w:t>
      </w:r>
      <w:r w:rsidR="00C00B94" w:rsidRPr="00781570">
        <w:rPr>
          <w:rFonts w:ascii="Calibri" w:hAnsi="Calibri" w:cs="Calibri"/>
          <w:i/>
          <w:color w:val="000000"/>
          <w:sz w:val="24"/>
          <w:szCs w:val="24"/>
        </w:rPr>
        <w:t>Anglia Ruskin University, Cambridge</w:t>
      </w:r>
      <w:r w:rsidR="00802C01" w:rsidRPr="00781570">
        <w:rPr>
          <w:rFonts w:ascii="Calibri" w:hAnsi="Calibri" w:cs="Calibri"/>
          <w:i/>
          <w:color w:val="000000"/>
          <w:sz w:val="24"/>
          <w:szCs w:val="24"/>
        </w:rPr>
        <w:t>,</w:t>
      </w:r>
      <w:r w:rsidR="00C00B94" w:rsidRPr="00781570">
        <w:rPr>
          <w:rFonts w:ascii="Calibri" w:hAnsi="Calibri" w:cs="Calibri"/>
          <w:i/>
          <w:color w:val="000000"/>
          <w:sz w:val="24"/>
          <w:szCs w:val="24"/>
        </w:rPr>
        <w:t xml:space="preserve"> UK</w:t>
      </w:r>
    </w:p>
    <w:p w14:paraId="2B9A0C0A" w14:textId="2BBBD29E" w:rsidR="00781570" w:rsidRPr="00C00B94" w:rsidRDefault="00781570" w:rsidP="00860A2A">
      <w:pPr>
        <w:spacing w:line="360" w:lineRule="auto"/>
        <w:jc w:val="both"/>
        <w:rPr>
          <w:rFonts w:ascii="Calibri" w:hAnsi="Calibri" w:cs="Calibri"/>
          <w:color w:val="000000"/>
          <w:sz w:val="24"/>
          <w:szCs w:val="24"/>
        </w:rPr>
      </w:pPr>
      <w:r>
        <w:rPr>
          <w:rFonts w:ascii="Calibri" w:hAnsi="Calibri" w:cs="Calibri"/>
          <w:color w:val="000000"/>
          <w:sz w:val="24"/>
          <w:szCs w:val="24"/>
        </w:rPr>
        <w:t>* Corresponding author: helen.keyes@anglia.ac.uk</w:t>
      </w:r>
    </w:p>
    <w:p w14:paraId="7B189AA6" w14:textId="77777777" w:rsidR="00173E6A" w:rsidRDefault="00173E6A" w:rsidP="00860A2A">
      <w:pPr>
        <w:spacing w:line="360" w:lineRule="auto"/>
        <w:jc w:val="both"/>
        <w:rPr>
          <w:rFonts w:ascii="Calibri" w:hAnsi="Calibri" w:cs="Calibri"/>
          <w:b/>
          <w:color w:val="000000"/>
          <w:sz w:val="24"/>
          <w:szCs w:val="24"/>
        </w:rPr>
      </w:pPr>
    </w:p>
    <w:p w14:paraId="2C4381D7" w14:textId="666CE84C" w:rsidR="00173E6A" w:rsidRPr="00C00B94" w:rsidRDefault="00173E6A" w:rsidP="00860A2A">
      <w:pPr>
        <w:spacing w:line="360" w:lineRule="auto"/>
        <w:jc w:val="both"/>
        <w:rPr>
          <w:rFonts w:ascii="Calibri" w:hAnsi="Calibri" w:cs="Calibri"/>
          <w:b/>
          <w:color w:val="000000"/>
          <w:sz w:val="24"/>
          <w:szCs w:val="24"/>
        </w:rPr>
      </w:pPr>
      <w:r>
        <w:rPr>
          <w:rFonts w:ascii="Calibri" w:hAnsi="Calibri" w:cs="Calibri"/>
          <w:b/>
          <w:color w:val="000000"/>
          <w:sz w:val="24"/>
          <w:szCs w:val="24"/>
        </w:rPr>
        <w:t>Funding Details</w:t>
      </w:r>
    </w:p>
    <w:p w14:paraId="34D8EE6C" w14:textId="77777777" w:rsidR="00173E6A" w:rsidRPr="00C00B94" w:rsidRDefault="00173E6A" w:rsidP="00860A2A">
      <w:pPr>
        <w:spacing w:line="360" w:lineRule="auto"/>
        <w:jc w:val="both"/>
        <w:rPr>
          <w:rFonts w:ascii="Calibri" w:hAnsi="Calibri" w:cs="Calibri"/>
          <w:color w:val="000000"/>
          <w:sz w:val="24"/>
          <w:szCs w:val="24"/>
        </w:rPr>
      </w:pPr>
      <w:r w:rsidRPr="00C00B94">
        <w:rPr>
          <w:rFonts w:ascii="Calibri" w:hAnsi="Calibri" w:cs="Calibri"/>
          <w:color w:val="000000"/>
          <w:sz w:val="24"/>
          <w:szCs w:val="24"/>
        </w:rPr>
        <w:t xml:space="preserve">This work was funded by </w:t>
      </w:r>
      <w:r>
        <w:rPr>
          <w:rFonts w:ascii="Calibri" w:hAnsi="Calibri" w:cs="Calibri"/>
          <w:color w:val="000000"/>
          <w:sz w:val="24"/>
          <w:szCs w:val="24"/>
        </w:rPr>
        <w:t xml:space="preserve">an </w:t>
      </w:r>
      <w:r w:rsidRPr="00C00B94">
        <w:rPr>
          <w:rFonts w:ascii="Calibri" w:hAnsi="Calibri" w:cs="Calibri"/>
          <w:color w:val="000000"/>
          <w:sz w:val="24"/>
          <w:szCs w:val="24"/>
        </w:rPr>
        <w:t xml:space="preserve">Anglia Learning and Teaching </w:t>
      </w:r>
      <w:r>
        <w:rPr>
          <w:rFonts w:ascii="Calibri" w:hAnsi="Calibri" w:cs="Calibri"/>
          <w:color w:val="000000"/>
          <w:sz w:val="24"/>
          <w:szCs w:val="24"/>
        </w:rPr>
        <w:t xml:space="preserve">Project </w:t>
      </w:r>
      <w:r w:rsidRPr="00C00B94">
        <w:rPr>
          <w:rFonts w:ascii="Calibri" w:hAnsi="Calibri" w:cs="Calibri"/>
          <w:color w:val="000000"/>
          <w:sz w:val="24"/>
          <w:szCs w:val="24"/>
        </w:rPr>
        <w:t xml:space="preserve">Award </w:t>
      </w:r>
      <w:r>
        <w:rPr>
          <w:rFonts w:ascii="Calibri" w:hAnsi="Calibri" w:cs="Calibri"/>
          <w:color w:val="000000"/>
          <w:sz w:val="24"/>
          <w:szCs w:val="24"/>
        </w:rPr>
        <w:t>from</w:t>
      </w:r>
      <w:r w:rsidRPr="00C00B94">
        <w:rPr>
          <w:rFonts w:ascii="Calibri" w:hAnsi="Calibri" w:cs="Calibri"/>
          <w:color w:val="000000"/>
          <w:sz w:val="24"/>
          <w:szCs w:val="24"/>
        </w:rPr>
        <w:t xml:space="preserve"> Anglia Ruskin University</w:t>
      </w:r>
      <w:r>
        <w:rPr>
          <w:rFonts w:ascii="Calibri" w:hAnsi="Calibri" w:cs="Calibri"/>
          <w:color w:val="000000"/>
          <w:sz w:val="24"/>
          <w:szCs w:val="24"/>
        </w:rPr>
        <w:t>, UK.</w:t>
      </w:r>
    </w:p>
    <w:p w14:paraId="013F6C7F" w14:textId="77777777" w:rsidR="00173E6A" w:rsidRPr="00C00B94" w:rsidRDefault="00173E6A" w:rsidP="00860A2A">
      <w:pPr>
        <w:spacing w:line="360" w:lineRule="auto"/>
        <w:jc w:val="both"/>
        <w:rPr>
          <w:rFonts w:ascii="Calibri" w:hAnsi="Calibri" w:cs="Calibri"/>
          <w:color w:val="000000"/>
          <w:sz w:val="24"/>
          <w:szCs w:val="24"/>
        </w:rPr>
      </w:pPr>
    </w:p>
    <w:p w14:paraId="7931EDA5" w14:textId="77777777" w:rsidR="00173E6A" w:rsidRPr="00C00B94" w:rsidRDefault="00173E6A" w:rsidP="00860A2A">
      <w:pPr>
        <w:spacing w:line="360" w:lineRule="auto"/>
        <w:jc w:val="both"/>
        <w:rPr>
          <w:rFonts w:ascii="Calibri" w:hAnsi="Calibri" w:cs="Calibri"/>
          <w:b/>
          <w:color w:val="000000"/>
          <w:sz w:val="24"/>
          <w:szCs w:val="24"/>
        </w:rPr>
      </w:pPr>
      <w:r w:rsidRPr="00C00B94">
        <w:rPr>
          <w:rFonts w:ascii="Calibri" w:hAnsi="Calibri" w:cs="Calibri"/>
          <w:b/>
          <w:color w:val="000000"/>
          <w:sz w:val="24"/>
          <w:szCs w:val="24"/>
        </w:rPr>
        <w:t>Acknowledgements</w:t>
      </w:r>
    </w:p>
    <w:p w14:paraId="2CFC02BA" w14:textId="5F8BD1FC" w:rsidR="00173E6A" w:rsidRDefault="00173E6A" w:rsidP="00860A2A">
      <w:pPr>
        <w:spacing w:line="360" w:lineRule="auto"/>
        <w:jc w:val="both"/>
        <w:rPr>
          <w:rFonts w:ascii="Calibri" w:hAnsi="Calibri" w:cs="Calibri"/>
          <w:color w:val="000000"/>
          <w:sz w:val="24"/>
          <w:szCs w:val="24"/>
        </w:rPr>
      </w:pPr>
      <w:r w:rsidRPr="00C00B94">
        <w:rPr>
          <w:rFonts w:ascii="Calibri" w:hAnsi="Calibri" w:cs="Calibri"/>
          <w:color w:val="000000"/>
          <w:sz w:val="24"/>
          <w:szCs w:val="24"/>
        </w:rPr>
        <w:t xml:space="preserve">We would like to thank Matthew East for his assistance in formatting the </w:t>
      </w:r>
      <w:r>
        <w:rPr>
          <w:rFonts w:ascii="Calibri" w:hAnsi="Calibri" w:cs="Calibri"/>
          <w:color w:val="000000"/>
          <w:sz w:val="24"/>
          <w:szCs w:val="24"/>
        </w:rPr>
        <w:t xml:space="preserve">Dashboard </w:t>
      </w:r>
      <w:r w:rsidRPr="00C00B94">
        <w:rPr>
          <w:rFonts w:ascii="Calibri" w:hAnsi="Calibri" w:cs="Calibri"/>
          <w:color w:val="000000"/>
          <w:sz w:val="24"/>
          <w:szCs w:val="24"/>
        </w:rPr>
        <w:t>stimuli.</w:t>
      </w:r>
      <w:r w:rsidRPr="00781570">
        <w:rPr>
          <w:rFonts w:ascii="Calibri" w:hAnsi="Calibri" w:cs="Calibri"/>
          <w:color w:val="000000"/>
          <w:sz w:val="24"/>
          <w:szCs w:val="24"/>
        </w:rPr>
        <w:t xml:space="preserve"> </w:t>
      </w:r>
    </w:p>
    <w:p w14:paraId="1203A18B" w14:textId="305901AD" w:rsidR="00173E6A" w:rsidRDefault="00173E6A" w:rsidP="00860A2A">
      <w:pPr>
        <w:spacing w:line="360" w:lineRule="auto"/>
        <w:jc w:val="both"/>
        <w:rPr>
          <w:rFonts w:ascii="Calibri" w:hAnsi="Calibri" w:cs="Calibri"/>
          <w:color w:val="000000"/>
          <w:sz w:val="24"/>
          <w:szCs w:val="24"/>
        </w:rPr>
      </w:pPr>
    </w:p>
    <w:p w14:paraId="546E1A23" w14:textId="2D8CD10A" w:rsidR="007804E2" w:rsidRPr="00973C22" w:rsidRDefault="00973C22" w:rsidP="00860A2A">
      <w:pPr>
        <w:spacing w:line="360" w:lineRule="auto"/>
        <w:jc w:val="both"/>
        <w:rPr>
          <w:rFonts w:ascii="Calibri" w:hAnsi="Calibri" w:cs="Calibri"/>
          <w:b/>
          <w:color w:val="000000"/>
          <w:sz w:val="24"/>
          <w:szCs w:val="24"/>
        </w:rPr>
      </w:pPr>
      <w:r>
        <w:rPr>
          <w:rFonts w:ascii="Calibri" w:hAnsi="Calibri" w:cs="Calibri"/>
          <w:b/>
          <w:color w:val="000000"/>
          <w:sz w:val="24"/>
          <w:szCs w:val="24"/>
        </w:rPr>
        <w:t>Biographical Notes</w:t>
      </w:r>
    </w:p>
    <w:p w14:paraId="2A7668FF" w14:textId="70219C17" w:rsidR="00173E6A" w:rsidRPr="007804E2" w:rsidRDefault="00173E6A" w:rsidP="00860A2A">
      <w:pPr>
        <w:spacing w:line="360" w:lineRule="auto"/>
        <w:jc w:val="both"/>
        <w:rPr>
          <w:rFonts w:ascii="Calibri" w:hAnsi="Calibri" w:cs="Calibri"/>
          <w:b/>
          <w:i/>
          <w:color w:val="000000"/>
          <w:sz w:val="24"/>
          <w:szCs w:val="24"/>
        </w:rPr>
      </w:pPr>
      <w:r w:rsidRPr="007804E2">
        <w:rPr>
          <w:rFonts w:ascii="Calibri" w:hAnsi="Calibri" w:cs="Calibri"/>
          <w:b/>
          <w:i/>
          <w:color w:val="000000"/>
          <w:sz w:val="24"/>
          <w:szCs w:val="24"/>
        </w:rPr>
        <w:t>Annelie J Harvey</w:t>
      </w:r>
    </w:p>
    <w:p w14:paraId="2B759B00" w14:textId="0C93B7E5" w:rsidR="00462FB0" w:rsidRDefault="00F42EDA" w:rsidP="00F42EDA">
      <w:pPr>
        <w:spacing w:line="360" w:lineRule="auto"/>
        <w:jc w:val="both"/>
        <w:rPr>
          <w:sz w:val="24"/>
          <w:szCs w:val="24"/>
        </w:rPr>
      </w:pPr>
      <w:r w:rsidRPr="00F42EDA">
        <w:rPr>
          <w:sz w:val="24"/>
          <w:szCs w:val="24"/>
        </w:rPr>
        <w:t xml:space="preserve">Annelie Harvey is a Senior Lecturer in Social Psychology at Anglia Ruskin University. Annelie is particularly interested in the psychology of Social Justice </w:t>
      </w:r>
      <w:r w:rsidR="008C23A8">
        <w:rPr>
          <w:sz w:val="24"/>
          <w:szCs w:val="24"/>
        </w:rPr>
        <w:t xml:space="preserve">and her </w:t>
      </w:r>
      <w:r w:rsidRPr="00F42EDA">
        <w:rPr>
          <w:sz w:val="24"/>
          <w:szCs w:val="24"/>
          <w:lang w:val="en"/>
        </w:rPr>
        <w:t>research considers how people react to victims and instances of misfortune. Annelie is</w:t>
      </w:r>
      <w:r w:rsidRPr="00F42EDA">
        <w:rPr>
          <w:sz w:val="24"/>
          <w:szCs w:val="24"/>
        </w:rPr>
        <w:t xml:space="preserve"> a Senior Fellow of the Higher Education Academy, UK.</w:t>
      </w:r>
    </w:p>
    <w:p w14:paraId="0AB1AADB" w14:textId="77777777" w:rsidR="00F42EDA" w:rsidRPr="00F42EDA" w:rsidRDefault="00F42EDA" w:rsidP="00F42EDA">
      <w:pPr>
        <w:spacing w:line="360" w:lineRule="auto"/>
        <w:jc w:val="both"/>
        <w:rPr>
          <w:sz w:val="24"/>
          <w:szCs w:val="24"/>
          <w:lang w:val="en"/>
        </w:rPr>
      </w:pPr>
    </w:p>
    <w:p w14:paraId="30208270" w14:textId="7419B1F5" w:rsidR="00173E6A" w:rsidRPr="007804E2" w:rsidRDefault="00173E6A" w:rsidP="00860A2A">
      <w:pPr>
        <w:spacing w:line="360" w:lineRule="auto"/>
        <w:jc w:val="both"/>
        <w:rPr>
          <w:rFonts w:ascii="Calibri" w:hAnsi="Calibri" w:cs="Calibri"/>
          <w:b/>
          <w:i/>
          <w:color w:val="000000"/>
          <w:sz w:val="24"/>
          <w:szCs w:val="24"/>
        </w:rPr>
      </w:pPr>
      <w:r w:rsidRPr="007804E2">
        <w:rPr>
          <w:rFonts w:ascii="Calibri" w:hAnsi="Calibri" w:cs="Calibri"/>
          <w:b/>
          <w:i/>
          <w:color w:val="000000"/>
          <w:sz w:val="24"/>
          <w:szCs w:val="24"/>
        </w:rPr>
        <w:t>Helen Keyes</w:t>
      </w:r>
    </w:p>
    <w:p w14:paraId="5E347D2A" w14:textId="2C28B0C7" w:rsidR="00173E6A" w:rsidRDefault="00173E6A" w:rsidP="00860A2A">
      <w:pPr>
        <w:spacing w:line="360" w:lineRule="auto"/>
        <w:jc w:val="both"/>
        <w:rPr>
          <w:rFonts w:ascii="Calibri" w:hAnsi="Calibri" w:cs="Calibri"/>
          <w:color w:val="000000"/>
          <w:sz w:val="24"/>
          <w:szCs w:val="24"/>
        </w:rPr>
      </w:pPr>
      <w:r>
        <w:rPr>
          <w:rFonts w:ascii="Calibri" w:hAnsi="Calibri" w:cs="Calibri"/>
          <w:color w:val="000000"/>
          <w:sz w:val="24"/>
          <w:szCs w:val="24"/>
        </w:rPr>
        <w:t>Helen Keyes is a Principal Lecturer in Cognitive Psychology and a Senior Fellow of the Higher Education Academy</w:t>
      </w:r>
      <w:r w:rsidR="007956D4">
        <w:rPr>
          <w:rFonts w:ascii="Calibri" w:hAnsi="Calibri" w:cs="Calibri"/>
          <w:color w:val="000000"/>
          <w:sz w:val="24"/>
          <w:szCs w:val="24"/>
        </w:rPr>
        <w:t>, UK</w:t>
      </w:r>
      <w:r>
        <w:rPr>
          <w:rFonts w:ascii="Calibri" w:hAnsi="Calibri" w:cs="Calibri"/>
          <w:color w:val="000000"/>
          <w:sz w:val="24"/>
          <w:szCs w:val="24"/>
        </w:rPr>
        <w:t xml:space="preserve">. Her teaching focus is on research methods and statistics provision, </w:t>
      </w:r>
      <w:r w:rsidR="007956D4">
        <w:rPr>
          <w:rFonts w:ascii="Calibri" w:hAnsi="Calibri" w:cs="Calibri"/>
          <w:color w:val="000000"/>
          <w:sz w:val="24"/>
          <w:szCs w:val="24"/>
        </w:rPr>
        <w:t xml:space="preserve">and she has a strong interest in evidence-lead approaches to </w:t>
      </w:r>
      <w:r w:rsidR="00E34461">
        <w:rPr>
          <w:rFonts w:ascii="Calibri" w:hAnsi="Calibri" w:cs="Calibri"/>
          <w:color w:val="000000"/>
          <w:sz w:val="24"/>
          <w:szCs w:val="24"/>
        </w:rPr>
        <w:t>developing</w:t>
      </w:r>
      <w:r w:rsidR="007956D4">
        <w:rPr>
          <w:rFonts w:ascii="Calibri" w:hAnsi="Calibri" w:cs="Calibri"/>
          <w:color w:val="000000"/>
          <w:sz w:val="24"/>
          <w:szCs w:val="24"/>
        </w:rPr>
        <w:t xml:space="preserve"> student engagement and performance in this area.</w:t>
      </w:r>
      <w:r w:rsidR="0094025E">
        <w:rPr>
          <w:rFonts w:ascii="Calibri" w:hAnsi="Calibri" w:cs="Calibri"/>
          <w:color w:val="000000"/>
          <w:sz w:val="24"/>
          <w:szCs w:val="24"/>
        </w:rPr>
        <w:t xml:space="preserve"> </w:t>
      </w:r>
    </w:p>
    <w:p w14:paraId="578F6139" w14:textId="717213A9" w:rsidR="0075104F" w:rsidRDefault="0075104F" w:rsidP="00860A2A">
      <w:pPr>
        <w:spacing w:line="360" w:lineRule="auto"/>
        <w:jc w:val="both"/>
        <w:rPr>
          <w:rFonts w:ascii="Calibri" w:hAnsi="Calibri" w:cs="Calibri"/>
          <w:color w:val="000000"/>
          <w:sz w:val="24"/>
          <w:szCs w:val="24"/>
        </w:rPr>
      </w:pPr>
    </w:p>
    <w:p w14:paraId="66A026E9" w14:textId="57003515" w:rsidR="00781570" w:rsidRPr="00C00B94" w:rsidRDefault="00781570" w:rsidP="00781570">
      <w:pPr>
        <w:spacing w:line="360" w:lineRule="auto"/>
        <w:jc w:val="both"/>
        <w:rPr>
          <w:rFonts w:ascii="Calibri" w:hAnsi="Calibri" w:cs="Calibri"/>
          <w:b/>
          <w:color w:val="000000"/>
          <w:sz w:val="24"/>
          <w:szCs w:val="24"/>
        </w:rPr>
      </w:pPr>
      <w:r w:rsidRPr="00C00B94">
        <w:rPr>
          <w:rFonts w:ascii="Calibri" w:hAnsi="Calibri" w:cs="Calibri"/>
          <w:b/>
          <w:color w:val="000000"/>
          <w:sz w:val="24"/>
          <w:szCs w:val="24"/>
        </w:rPr>
        <w:lastRenderedPageBreak/>
        <w:t>How do I compare thee? An evidence-based approach to the presentation of class comparison information to students using Dashboard</w:t>
      </w:r>
    </w:p>
    <w:p w14:paraId="41EF3093" w14:textId="77777777" w:rsidR="00781570" w:rsidRDefault="00781570" w:rsidP="00781570">
      <w:pPr>
        <w:ind w:left="709" w:right="1229"/>
        <w:jc w:val="both"/>
        <w:rPr>
          <w:rFonts w:ascii="Calibri" w:hAnsi="Calibri" w:cs="Calibri"/>
          <w:b/>
          <w:color w:val="000000"/>
          <w:sz w:val="24"/>
          <w:szCs w:val="24"/>
        </w:rPr>
      </w:pPr>
    </w:p>
    <w:p w14:paraId="2C5B53F7" w14:textId="2901B7A6" w:rsidR="00C00B94" w:rsidRPr="00B10431" w:rsidRDefault="00C00B94" w:rsidP="00781570">
      <w:pPr>
        <w:ind w:left="709" w:right="1229"/>
        <w:jc w:val="both"/>
        <w:rPr>
          <w:rFonts w:ascii="Calibri" w:hAnsi="Calibri" w:cs="Calibri"/>
          <w:b/>
          <w:color w:val="000000"/>
          <w:sz w:val="24"/>
          <w:szCs w:val="24"/>
        </w:rPr>
      </w:pPr>
      <w:r w:rsidRPr="00B10431">
        <w:rPr>
          <w:rFonts w:ascii="Calibri" w:hAnsi="Calibri" w:cs="Calibri"/>
          <w:b/>
          <w:color w:val="000000"/>
          <w:sz w:val="24"/>
          <w:szCs w:val="24"/>
        </w:rPr>
        <w:t>Abstract</w:t>
      </w:r>
    </w:p>
    <w:p w14:paraId="77645D91" w14:textId="3B4A0D11" w:rsidR="00C00B94" w:rsidRPr="00C00B94" w:rsidRDefault="00F43777" w:rsidP="00781570">
      <w:pPr>
        <w:spacing w:line="360" w:lineRule="auto"/>
        <w:ind w:left="709" w:right="1229"/>
        <w:jc w:val="both"/>
        <w:rPr>
          <w:rFonts w:ascii="Calibri" w:hAnsi="Calibri" w:cs="Calibri"/>
          <w:color w:val="000000"/>
          <w:sz w:val="24"/>
          <w:szCs w:val="24"/>
        </w:rPr>
      </w:pPr>
      <w:r>
        <w:rPr>
          <w:rFonts w:ascii="Calibri" w:hAnsi="Calibri" w:cs="Calibri"/>
          <w:color w:val="000000"/>
          <w:sz w:val="24"/>
          <w:szCs w:val="24"/>
        </w:rPr>
        <w:t xml:space="preserve">Learning Dashboards display analytics pertaining to student performance and attainment, often alongside scores for the </w:t>
      </w:r>
      <w:r w:rsidR="00842866">
        <w:rPr>
          <w:rFonts w:ascii="Calibri" w:hAnsi="Calibri" w:cs="Calibri"/>
          <w:color w:val="000000"/>
          <w:sz w:val="24"/>
          <w:szCs w:val="24"/>
        </w:rPr>
        <w:t xml:space="preserve">class cohort </w:t>
      </w:r>
      <w:r>
        <w:rPr>
          <w:rFonts w:ascii="Calibri" w:hAnsi="Calibri" w:cs="Calibri"/>
          <w:color w:val="000000"/>
          <w:sz w:val="24"/>
          <w:szCs w:val="24"/>
        </w:rPr>
        <w:t>average. Little research has considered the effects of this social comparison information on student</w:t>
      </w:r>
      <w:r w:rsidR="00594A35">
        <w:rPr>
          <w:rFonts w:ascii="Calibri" w:hAnsi="Calibri" w:cs="Calibri"/>
          <w:color w:val="000000"/>
          <w:sz w:val="24"/>
          <w:szCs w:val="24"/>
        </w:rPr>
        <w:t>s’</w:t>
      </w:r>
      <w:r>
        <w:rPr>
          <w:rFonts w:ascii="Calibri" w:hAnsi="Calibri" w:cs="Calibri"/>
          <w:color w:val="000000"/>
          <w:sz w:val="24"/>
          <w:szCs w:val="24"/>
        </w:rPr>
        <w:t xml:space="preserve"> well-being, motivation, and engagement. The current study presented participants with hypothetical data that simulated a student performing above, below, or at the class average before measuring self-esteem, </w:t>
      </w:r>
      <w:r w:rsidR="00662F33">
        <w:rPr>
          <w:rFonts w:ascii="Calibri" w:hAnsi="Calibri" w:cs="Calibri"/>
          <w:color w:val="000000"/>
          <w:sz w:val="24"/>
          <w:szCs w:val="24"/>
        </w:rPr>
        <w:t>persistence</w:t>
      </w:r>
      <w:r w:rsidR="00842866">
        <w:rPr>
          <w:rFonts w:ascii="Calibri" w:hAnsi="Calibri" w:cs="Calibri"/>
          <w:color w:val="000000"/>
          <w:sz w:val="24"/>
          <w:szCs w:val="24"/>
        </w:rPr>
        <w:t xml:space="preserve"> on an impossible anagram task</w:t>
      </w:r>
      <w:r>
        <w:rPr>
          <w:rFonts w:ascii="Calibri" w:hAnsi="Calibri" w:cs="Calibri"/>
          <w:color w:val="000000"/>
          <w:sz w:val="24"/>
          <w:szCs w:val="24"/>
        </w:rPr>
        <w:t xml:space="preserve">, and willingness to engage with </w:t>
      </w:r>
      <w:r w:rsidR="00842866">
        <w:rPr>
          <w:rFonts w:ascii="Calibri" w:hAnsi="Calibri" w:cs="Calibri"/>
          <w:color w:val="000000"/>
          <w:sz w:val="24"/>
          <w:szCs w:val="24"/>
        </w:rPr>
        <w:t xml:space="preserve">study </w:t>
      </w:r>
      <w:r>
        <w:rPr>
          <w:rFonts w:ascii="Calibri" w:hAnsi="Calibri" w:cs="Calibri"/>
          <w:color w:val="000000"/>
          <w:sz w:val="24"/>
          <w:szCs w:val="24"/>
        </w:rPr>
        <w:t xml:space="preserve">support services. Our results showed that </w:t>
      </w:r>
      <w:r w:rsidR="00134134">
        <w:rPr>
          <w:rFonts w:ascii="Calibri" w:hAnsi="Calibri" w:cs="Calibri"/>
          <w:color w:val="000000"/>
          <w:sz w:val="24"/>
          <w:szCs w:val="24"/>
        </w:rPr>
        <w:t>where upward social comparisons were induced (exposure</w:t>
      </w:r>
      <w:r w:rsidR="004B5C6D">
        <w:rPr>
          <w:rFonts w:ascii="Calibri" w:hAnsi="Calibri" w:cs="Calibri"/>
          <w:color w:val="000000"/>
          <w:sz w:val="24"/>
          <w:szCs w:val="24"/>
        </w:rPr>
        <w:t xml:space="preserve"> to Dashboard data displaying engagement and attainment below the </w:t>
      </w:r>
      <w:r w:rsidR="00134134">
        <w:rPr>
          <w:rFonts w:ascii="Calibri" w:hAnsi="Calibri" w:cs="Calibri"/>
          <w:color w:val="000000"/>
          <w:sz w:val="24"/>
          <w:szCs w:val="24"/>
        </w:rPr>
        <w:t xml:space="preserve">class </w:t>
      </w:r>
      <w:r w:rsidR="004B5C6D">
        <w:rPr>
          <w:rFonts w:ascii="Calibri" w:hAnsi="Calibri" w:cs="Calibri"/>
          <w:color w:val="000000"/>
          <w:sz w:val="24"/>
          <w:szCs w:val="24"/>
        </w:rPr>
        <w:t>average</w:t>
      </w:r>
      <w:r w:rsidR="00134134">
        <w:rPr>
          <w:rFonts w:ascii="Calibri" w:hAnsi="Calibri" w:cs="Calibri"/>
          <w:color w:val="000000"/>
          <w:sz w:val="24"/>
          <w:szCs w:val="24"/>
        </w:rPr>
        <w:t>)</w:t>
      </w:r>
      <w:r w:rsidR="004B5C6D">
        <w:rPr>
          <w:rFonts w:ascii="Calibri" w:hAnsi="Calibri" w:cs="Calibri"/>
          <w:color w:val="000000"/>
          <w:sz w:val="24"/>
          <w:szCs w:val="24"/>
        </w:rPr>
        <w:t xml:space="preserve">, </w:t>
      </w:r>
      <w:r w:rsidR="00134134">
        <w:rPr>
          <w:rFonts w:ascii="Calibri" w:hAnsi="Calibri" w:cs="Calibri"/>
          <w:color w:val="000000"/>
          <w:sz w:val="24"/>
          <w:szCs w:val="24"/>
        </w:rPr>
        <w:t xml:space="preserve">students </w:t>
      </w:r>
      <w:r w:rsidR="004B5C6D">
        <w:rPr>
          <w:rFonts w:ascii="Calibri" w:hAnsi="Calibri" w:cs="Calibri"/>
          <w:color w:val="000000"/>
          <w:sz w:val="24"/>
          <w:szCs w:val="24"/>
        </w:rPr>
        <w:t xml:space="preserve">reported lower self-esteem than participants presented with above average </w:t>
      </w:r>
      <w:r w:rsidR="00134134">
        <w:rPr>
          <w:rFonts w:ascii="Calibri" w:hAnsi="Calibri" w:cs="Calibri"/>
          <w:color w:val="000000"/>
          <w:sz w:val="24"/>
          <w:szCs w:val="24"/>
        </w:rPr>
        <w:t xml:space="preserve">vignette </w:t>
      </w:r>
      <w:r w:rsidR="004B5C6D">
        <w:rPr>
          <w:rFonts w:ascii="Calibri" w:hAnsi="Calibri" w:cs="Calibri"/>
          <w:color w:val="000000"/>
          <w:sz w:val="24"/>
          <w:szCs w:val="24"/>
        </w:rPr>
        <w:t xml:space="preserve">data. Interestingly, this effect was not moderated by the grade profile of students and no effects on persistence </w:t>
      </w:r>
      <w:r w:rsidR="00134134">
        <w:rPr>
          <w:rFonts w:ascii="Calibri" w:hAnsi="Calibri" w:cs="Calibri"/>
          <w:color w:val="000000"/>
          <w:sz w:val="24"/>
          <w:szCs w:val="24"/>
        </w:rPr>
        <w:t xml:space="preserve">or </w:t>
      </w:r>
      <w:r w:rsidR="004B5C6D">
        <w:rPr>
          <w:rFonts w:ascii="Calibri" w:hAnsi="Calibri" w:cs="Calibri"/>
          <w:color w:val="000000"/>
          <w:sz w:val="24"/>
          <w:szCs w:val="24"/>
        </w:rPr>
        <w:t xml:space="preserve">willingness to engage </w:t>
      </w:r>
      <w:r w:rsidR="00134134">
        <w:rPr>
          <w:rFonts w:ascii="Calibri" w:hAnsi="Calibri" w:cs="Calibri"/>
          <w:color w:val="000000"/>
          <w:sz w:val="24"/>
          <w:szCs w:val="24"/>
        </w:rPr>
        <w:t xml:space="preserve">with study support </w:t>
      </w:r>
      <w:r w:rsidR="004B5C6D">
        <w:rPr>
          <w:rFonts w:ascii="Calibri" w:hAnsi="Calibri" w:cs="Calibri"/>
          <w:color w:val="000000"/>
          <w:sz w:val="24"/>
          <w:szCs w:val="24"/>
        </w:rPr>
        <w:t xml:space="preserve">were observed. We conclude that upward social comparisons in Dashboard data can have negative consequences </w:t>
      </w:r>
      <w:r w:rsidR="00134134">
        <w:rPr>
          <w:rFonts w:ascii="Calibri" w:hAnsi="Calibri" w:cs="Calibri"/>
          <w:color w:val="000000"/>
          <w:sz w:val="24"/>
          <w:szCs w:val="24"/>
        </w:rPr>
        <w:t xml:space="preserve">for </w:t>
      </w:r>
      <w:r w:rsidR="004B5C6D">
        <w:rPr>
          <w:rFonts w:ascii="Calibri" w:hAnsi="Calibri" w:cs="Calibri"/>
          <w:color w:val="000000"/>
          <w:sz w:val="24"/>
          <w:szCs w:val="24"/>
        </w:rPr>
        <w:t>students’ self-esteem.</w:t>
      </w:r>
    </w:p>
    <w:p w14:paraId="1B26068F" w14:textId="77777777" w:rsidR="00781570" w:rsidRDefault="00781570" w:rsidP="00781570">
      <w:pPr>
        <w:widowControl w:val="0"/>
        <w:spacing w:before="10" w:line="360" w:lineRule="auto"/>
        <w:ind w:right="-46"/>
        <w:rPr>
          <w:rFonts w:ascii="Calibri" w:eastAsia="Times New Roman" w:hAnsi="Calibri" w:cs="Arial"/>
          <w:b/>
          <w:spacing w:val="-1"/>
          <w:sz w:val="24"/>
          <w:szCs w:val="24"/>
        </w:rPr>
      </w:pPr>
    </w:p>
    <w:p w14:paraId="446547B9" w14:textId="0A9B358F" w:rsidR="00C00B94" w:rsidRDefault="00C00B94" w:rsidP="00781570">
      <w:pPr>
        <w:widowControl w:val="0"/>
        <w:spacing w:before="10" w:line="360" w:lineRule="auto"/>
        <w:ind w:left="709" w:right="1229"/>
        <w:rPr>
          <w:rFonts w:ascii="Calibri" w:eastAsia="Times New Roman" w:hAnsi="Calibri" w:cs="Arial"/>
          <w:sz w:val="24"/>
          <w:szCs w:val="24"/>
        </w:rPr>
      </w:pPr>
      <w:r w:rsidRPr="00781570">
        <w:rPr>
          <w:rFonts w:ascii="Calibri" w:eastAsia="Times New Roman" w:hAnsi="Calibri" w:cs="Arial"/>
          <w:spacing w:val="-1"/>
          <w:sz w:val="24"/>
          <w:szCs w:val="24"/>
        </w:rPr>
        <w:t>Keywords:</w:t>
      </w:r>
      <w:r w:rsidRPr="00C00B94">
        <w:rPr>
          <w:rFonts w:ascii="Calibri" w:eastAsia="Times New Roman" w:hAnsi="Calibri" w:cs="Arial"/>
          <w:i/>
          <w:sz w:val="24"/>
          <w:szCs w:val="24"/>
        </w:rPr>
        <w:t xml:space="preserve"> </w:t>
      </w:r>
      <w:r w:rsidRPr="00C00B94">
        <w:rPr>
          <w:rFonts w:ascii="Calibri" w:eastAsia="Times New Roman" w:hAnsi="Calibri" w:cs="Arial"/>
          <w:sz w:val="24"/>
          <w:szCs w:val="24"/>
        </w:rPr>
        <w:t>Social comparison, self-esteem, dash</w:t>
      </w:r>
      <w:r w:rsidR="00781570">
        <w:rPr>
          <w:rFonts w:ascii="Calibri" w:eastAsia="Times New Roman" w:hAnsi="Calibri" w:cs="Arial"/>
          <w:sz w:val="24"/>
          <w:szCs w:val="24"/>
        </w:rPr>
        <w:t xml:space="preserve">board, higher education, </w:t>
      </w:r>
      <w:r w:rsidRPr="00C00B94">
        <w:rPr>
          <w:rFonts w:ascii="Calibri" w:eastAsia="Times New Roman" w:hAnsi="Calibri" w:cs="Arial"/>
          <w:sz w:val="24"/>
          <w:szCs w:val="24"/>
        </w:rPr>
        <w:t xml:space="preserve">students, motivation </w:t>
      </w:r>
    </w:p>
    <w:p w14:paraId="7F625310" w14:textId="77777777" w:rsidR="00781570" w:rsidRPr="00781570" w:rsidRDefault="00781570" w:rsidP="00781570">
      <w:pPr>
        <w:widowControl w:val="0"/>
        <w:spacing w:before="10" w:line="360" w:lineRule="auto"/>
        <w:ind w:left="709" w:right="1229"/>
        <w:rPr>
          <w:rFonts w:ascii="Calibri" w:eastAsia="Times New Roman" w:hAnsi="Calibri" w:cs="Arial"/>
          <w:sz w:val="24"/>
          <w:szCs w:val="24"/>
        </w:rPr>
      </w:pPr>
    </w:p>
    <w:p w14:paraId="2886CB3C" w14:textId="47B32135" w:rsidR="00BD36EF" w:rsidRPr="00C00B94" w:rsidRDefault="00BD36EF" w:rsidP="00BD36EF">
      <w:pPr>
        <w:jc w:val="both"/>
        <w:rPr>
          <w:rFonts w:ascii="Calibri" w:hAnsi="Calibri" w:cs="Calibri"/>
          <w:color w:val="000000"/>
          <w:sz w:val="24"/>
          <w:szCs w:val="24"/>
        </w:rPr>
      </w:pPr>
      <w:r w:rsidRPr="00C00B94">
        <w:rPr>
          <w:rFonts w:ascii="Calibri" w:hAnsi="Calibri" w:cs="Calibri"/>
          <w:color w:val="000000"/>
          <w:sz w:val="24"/>
          <w:szCs w:val="24"/>
        </w:rPr>
        <w:t>Word count:</w:t>
      </w:r>
      <w:r>
        <w:rPr>
          <w:rFonts w:ascii="Calibri" w:hAnsi="Calibri" w:cs="Calibri"/>
          <w:color w:val="000000"/>
          <w:sz w:val="24"/>
          <w:szCs w:val="24"/>
        </w:rPr>
        <w:t xml:space="preserve"> </w:t>
      </w:r>
      <w:r w:rsidR="004E52BF">
        <w:rPr>
          <w:rFonts w:ascii="Calibri" w:hAnsi="Calibri" w:cs="Calibri"/>
          <w:color w:val="000000"/>
          <w:sz w:val="24"/>
          <w:szCs w:val="24"/>
        </w:rPr>
        <w:t>49</w:t>
      </w:r>
      <w:r w:rsidR="003F5CF5">
        <w:rPr>
          <w:rFonts w:ascii="Calibri" w:hAnsi="Calibri" w:cs="Calibri"/>
          <w:color w:val="000000"/>
          <w:sz w:val="24"/>
          <w:szCs w:val="24"/>
        </w:rPr>
        <w:t>99</w:t>
      </w:r>
      <w:r w:rsidRPr="00C00B94">
        <w:rPr>
          <w:rFonts w:ascii="Calibri" w:hAnsi="Calibri" w:cs="Calibri"/>
          <w:color w:val="000000"/>
          <w:sz w:val="24"/>
          <w:szCs w:val="24"/>
        </w:rPr>
        <w:br w:type="page"/>
      </w:r>
    </w:p>
    <w:p w14:paraId="698FCCE4" w14:textId="47123156" w:rsidR="00C00B94" w:rsidRPr="00BD36EF" w:rsidRDefault="00D6192A" w:rsidP="00BD36EF">
      <w:pPr>
        <w:jc w:val="both"/>
        <w:rPr>
          <w:rFonts w:ascii="Calibri" w:hAnsi="Calibri" w:cs="Calibri"/>
          <w:color w:val="000000"/>
          <w:sz w:val="24"/>
          <w:szCs w:val="24"/>
        </w:rPr>
      </w:pPr>
      <w:r>
        <w:rPr>
          <w:rFonts w:ascii="Calibri" w:hAnsi="Calibri" w:cs="Calibri"/>
          <w:b/>
          <w:color w:val="000000"/>
          <w:sz w:val="24"/>
          <w:szCs w:val="24"/>
        </w:rPr>
        <w:lastRenderedPageBreak/>
        <w:t>Introduction</w:t>
      </w:r>
    </w:p>
    <w:p w14:paraId="44CDEA2B" w14:textId="12D77FF7" w:rsidR="003978D4" w:rsidRPr="00513165" w:rsidRDefault="00D62566" w:rsidP="00B10431">
      <w:pPr>
        <w:spacing w:line="360" w:lineRule="auto"/>
        <w:jc w:val="both"/>
        <w:rPr>
          <w:rFonts w:ascii="Calibri" w:hAnsi="Calibri" w:cs="Calibri"/>
          <w:sz w:val="24"/>
          <w:szCs w:val="24"/>
        </w:rPr>
      </w:pPr>
      <w:r w:rsidRPr="00513165">
        <w:rPr>
          <w:rFonts w:ascii="Calibri" w:hAnsi="Calibri" w:cs="Calibri"/>
          <w:color w:val="000000"/>
          <w:sz w:val="24"/>
          <w:szCs w:val="24"/>
        </w:rPr>
        <w:t>In his seminal paper, Festinger (1954) posited that individuals have a drive to evaluate their own abilities and opinions</w:t>
      </w:r>
      <w:r w:rsidR="006C20A0">
        <w:rPr>
          <w:rFonts w:ascii="Calibri" w:hAnsi="Calibri" w:cs="Calibri"/>
          <w:color w:val="000000"/>
          <w:sz w:val="24"/>
          <w:szCs w:val="24"/>
        </w:rPr>
        <w:t>,</w:t>
      </w:r>
      <w:r w:rsidR="003978D4" w:rsidRPr="00513165">
        <w:rPr>
          <w:rFonts w:ascii="Calibri" w:hAnsi="Calibri" w:cs="Calibri"/>
          <w:color w:val="000000"/>
          <w:sz w:val="24"/>
          <w:szCs w:val="24"/>
        </w:rPr>
        <w:t xml:space="preserve"> and do so by comparing themselves against others</w:t>
      </w:r>
      <w:r w:rsidRPr="00513165">
        <w:rPr>
          <w:rFonts w:ascii="Calibri" w:hAnsi="Calibri" w:cs="Calibri"/>
          <w:color w:val="000000"/>
          <w:sz w:val="24"/>
          <w:szCs w:val="24"/>
        </w:rPr>
        <w:t xml:space="preserve">. For example, </w:t>
      </w:r>
      <w:r w:rsidR="000830F3" w:rsidRPr="00513165">
        <w:rPr>
          <w:rFonts w:ascii="Calibri" w:hAnsi="Calibri" w:cs="Calibri"/>
          <w:color w:val="000000"/>
          <w:sz w:val="24"/>
          <w:szCs w:val="24"/>
        </w:rPr>
        <w:t>someone may</w:t>
      </w:r>
      <w:r w:rsidRPr="00513165">
        <w:rPr>
          <w:rFonts w:ascii="Calibri" w:hAnsi="Calibri" w:cs="Calibri"/>
          <w:color w:val="000000"/>
          <w:sz w:val="24"/>
          <w:szCs w:val="24"/>
        </w:rPr>
        <w:t xml:space="preserve"> compare their </w:t>
      </w:r>
      <w:r w:rsidR="003978D4" w:rsidRPr="00513165">
        <w:rPr>
          <w:rFonts w:ascii="Calibri" w:hAnsi="Calibri" w:cs="Calibri"/>
          <w:color w:val="000000"/>
          <w:sz w:val="24"/>
          <w:szCs w:val="24"/>
        </w:rPr>
        <w:t>running</w:t>
      </w:r>
      <w:r w:rsidR="000830F3" w:rsidRPr="00513165">
        <w:rPr>
          <w:rFonts w:ascii="Calibri" w:hAnsi="Calibri" w:cs="Calibri"/>
          <w:color w:val="000000"/>
          <w:sz w:val="24"/>
          <w:szCs w:val="24"/>
        </w:rPr>
        <w:t xml:space="preserve"> times with a peer to see if they are </w:t>
      </w:r>
      <w:r w:rsidR="0075104F">
        <w:rPr>
          <w:rFonts w:ascii="Calibri" w:hAnsi="Calibri" w:cs="Calibri"/>
          <w:color w:val="000000"/>
          <w:sz w:val="24"/>
          <w:szCs w:val="24"/>
        </w:rPr>
        <w:t>faster</w:t>
      </w:r>
      <w:r w:rsidR="0075104F" w:rsidRPr="00513165">
        <w:rPr>
          <w:rFonts w:ascii="Calibri" w:hAnsi="Calibri" w:cs="Calibri"/>
          <w:color w:val="000000"/>
          <w:sz w:val="24"/>
          <w:szCs w:val="24"/>
        </w:rPr>
        <w:t xml:space="preserve"> </w:t>
      </w:r>
      <w:r w:rsidR="000830F3" w:rsidRPr="00513165">
        <w:rPr>
          <w:rFonts w:ascii="Calibri" w:hAnsi="Calibri" w:cs="Calibri"/>
          <w:color w:val="000000"/>
          <w:sz w:val="24"/>
          <w:szCs w:val="24"/>
        </w:rPr>
        <w:t>or slower in comparison</w:t>
      </w:r>
      <w:r w:rsidR="003978D4" w:rsidRPr="00513165">
        <w:rPr>
          <w:rFonts w:ascii="Calibri" w:hAnsi="Calibri" w:cs="Calibri"/>
          <w:color w:val="000000"/>
          <w:sz w:val="24"/>
          <w:szCs w:val="24"/>
        </w:rPr>
        <w:t>,</w:t>
      </w:r>
      <w:r w:rsidR="000830F3" w:rsidRPr="00513165">
        <w:rPr>
          <w:rFonts w:ascii="Calibri" w:hAnsi="Calibri" w:cs="Calibri"/>
          <w:color w:val="000000"/>
          <w:sz w:val="24"/>
          <w:szCs w:val="24"/>
        </w:rPr>
        <w:t xml:space="preserve"> and thus </w:t>
      </w:r>
      <w:r w:rsidR="003978D4" w:rsidRPr="00513165">
        <w:rPr>
          <w:rFonts w:ascii="Calibri" w:hAnsi="Calibri" w:cs="Calibri"/>
          <w:color w:val="000000"/>
          <w:sz w:val="24"/>
          <w:szCs w:val="24"/>
        </w:rPr>
        <w:t xml:space="preserve">gain </w:t>
      </w:r>
      <w:r w:rsidR="008C25DE" w:rsidRPr="00513165">
        <w:rPr>
          <w:rFonts w:ascii="Calibri" w:hAnsi="Calibri" w:cs="Calibri"/>
          <w:color w:val="000000"/>
          <w:sz w:val="24"/>
          <w:szCs w:val="24"/>
        </w:rPr>
        <w:t xml:space="preserve">information </w:t>
      </w:r>
      <w:r w:rsidR="003978D4" w:rsidRPr="00513165">
        <w:rPr>
          <w:rFonts w:ascii="Calibri" w:hAnsi="Calibri" w:cs="Calibri"/>
          <w:color w:val="000000"/>
          <w:sz w:val="24"/>
          <w:szCs w:val="24"/>
        </w:rPr>
        <w:t>on th</w:t>
      </w:r>
      <w:r w:rsidR="008C25DE" w:rsidRPr="00513165">
        <w:rPr>
          <w:rFonts w:ascii="Calibri" w:hAnsi="Calibri" w:cs="Calibri"/>
          <w:color w:val="000000"/>
          <w:sz w:val="24"/>
          <w:szCs w:val="24"/>
        </w:rPr>
        <w:t>eir</w:t>
      </w:r>
      <w:r w:rsidR="000830F3" w:rsidRPr="00513165">
        <w:rPr>
          <w:rFonts w:ascii="Calibri" w:hAnsi="Calibri" w:cs="Calibri"/>
          <w:color w:val="000000"/>
          <w:sz w:val="24"/>
          <w:szCs w:val="24"/>
        </w:rPr>
        <w:t xml:space="preserve"> own running ability. </w:t>
      </w:r>
      <w:r w:rsidR="008C25DE" w:rsidRPr="00513165">
        <w:rPr>
          <w:rFonts w:ascii="Calibri" w:hAnsi="Calibri" w:cs="Calibri"/>
          <w:color w:val="000000"/>
          <w:sz w:val="24"/>
          <w:szCs w:val="24"/>
        </w:rPr>
        <w:t xml:space="preserve">Festinger (1954) proposed that </w:t>
      </w:r>
      <w:r w:rsidR="003978D4" w:rsidRPr="00513165">
        <w:rPr>
          <w:rFonts w:ascii="Calibri" w:hAnsi="Calibri" w:cs="Calibri"/>
          <w:color w:val="000000"/>
          <w:sz w:val="24"/>
          <w:szCs w:val="24"/>
        </w:rPr>
        <w:t xml:space="preserve">people seek </w:t>
      </w:r>
      <w:r w:rsidR="008C25DE" w:rsidRPr="00513165">
        <w:rPr>
          <w:rFonts w:ascii="Calibri" w:hAnsi="Calibri" w:cs="Calibri"/>
          <w:color w:val="000000"/>
          <w:sz w:val="24"/>
          <w:szCs w:val="24"/>
        </w:rPr>
        <w:t xml:space="preserve">comparative information in the absence of </w:t>
      </w:r>
      <w:r w:rsidR="003978D4" w:rsidRPr="00513165">
        <w:rPr>
          <w:rFonts w:ascii="Calibri" w:hAnsi="Calibri" w:cs="Calibri"/>
          <w:color w:val="000000"/>
          <w:sz w:val="24"/>
          <w:szCs w:val="24"/>
        </w:rPr>
        <w:t xml:space="preserve">any objective standards. </w:t>
      </w:r>
      <w:r w:rsidR="0075104F">
        <w:rPr>
          <w:rFonts w:ascii="Calibri" w:hAnsi="Calibri" w:cs="Calibri"/>
          <w:color w:val="000000"/>
          <w:sz w:val="24"/>
          <w:szCs w:val="24"/>
        </w:rPr>
        <w:t>E</w:t>
      </w:r>
      <w:r w:rsidR="003978D4" w:rsidRPr="00513165">
        <w:rPr>
          <w:rFonts w:ascii="Calibri" w:hAnsi="Calibri" w:cs="Calibri"/>
          <w:color w:val="000000"/>
          <w:sz w:val="24"/>
          <w:szCs w:val="24"/>
        </w:rPr>
        <w:t>ven when objective information is available,</w:t>
      </w:r>
      <w:r w:rsidR="008C25DE" w:rsidRPr="00513165">
        <w:rPr>
          <w:rFonts w:ascii="Calibri" w:hAnsi="Calibri" w:cs="Calibri"/>
          <w:sz w:val="24"/>
          <w:szCs w:val="24"/>
        </w:rPr>
        <w:t xml:space="preserve"> participants do not</w:t>
      </w:r>
      <w:r w:rsidR="003978D4" w:rsidRPr="00513165">
        <w:rPr>
          <w:rFonts w:ascii="Calibri" w:hAnsi="Calibri" w:cs="Calibri"/>
          <w:sz w:val="24"/>
          <w:szCs w:val="24"/>
        </w:rPr>
        <w:t xml:space="preserve"> generally</w:t>
      </w:r>
      <w:r w:rsidR="008C25DE" w:rsidRPr="00513165">
        <w:rPr>
          <w:rFonts w:ascii="Calibri" w:hAnsi="Calibri" w:cs="Calibri"/>
          <w:sz w:val="24"/>
          <w:szCs w:val="24"/>
        </w:rPr>
        <w:t xml:space="preserve"> understand </w:t>
      </w:r>
      <w:r w:rsidR="006C20A0">
        <w:rPr>
          <w:rFonts w:ascii="Calibri" w:hAnsi="Calibri" w:cs="Calibri"/>
          <w:sz w:val="24"/>
          <w:szCs w:val="24"/>
        </w:rPr>
        <w:t>it</w:t>
      </w:r>
      <w:r w:rsidR="0075104F">
        <w:rPr>
          <w:rFonts w:ascii="Calibri" w:hAnsi="Calibri" w:cs="Calibri"/>
          <w:sz w:val="24"/>
          <w:szCs w:val="24"/>
        </w:rPr>
        <w:t>,</w:t>
      </w:r>
      <w:r w:rsidR="003978D4" w:rsidRPr="00513165">
        <w:rPr>
          <w:rFonts w:ascii="Calibri" w:hAnsi="Calibri" w:cs="Calibri"/>
          <w:sz w:val="24"/>
          <w:szCs w:val="24"/>
        </w:rPr>
        <w:t xml:space="preserve"> and instead show a preference for</w:t>
      </w:r>
      <w:r w:rsidR="008C25DE" w:rsidRPr="00513165">
        <w:rPr>
          <w:rFonts w:ascii="Calibri" w:hAnsi="Calibri" w:cs="Calibri"/>
          <w:sz w:val="24"/>
          <w:szCs w:val="24"/>
        </w:rPr>
        <w:t xml:space="preserve"> comparative feedback</w:t>
      </w:r>
      <w:r w:rsidR="003978D4" w:rsidRPr="00513165">
        <w:rPr>
          <w:rFonts w:ascii="Calibri" w:hAnsi="Calibri" w:cs="Calibri"/>
          <w:sz w:val="24"/>
          <w:szCs w:val="24"/>
        </w:rPr>
        <w:t xml:space="preserve"> (Harris, Sparks, &amp; Raats, 2002)</w:t>
      </w:r>
      <w:r w:rsidR="008C25DE" w:rsidRPr="00513165">
        <w:rPr>
          <w:rFonts w:ascii="Calibri" w:hAnsi="Calibri" w:cs="Calibri"/>
          <w:sz w:val="24"/>
          <w:szCs w:val="24"/>
        </w:rPr>
        <w:t>. In support</w:t>
      </w:r>
      <w:r w:rsidR="008C25DE" w:rsidRPr="00513165">
        <w:rPr>
          <w:rFonts w:ascii="Calibri" w:hAnsi="Calibri" w:cs="Calibri"/>
          <w:color w:val="000000"/>
          <w:sz w:val="24"/>
          <w:szCs w:val="24"/>
        </w:rPr>
        <w:t xml:space="preserve">, </w:t>
      </w:r>
      <w:r w:rsidR="008C25DE" w:rsidRPr="00513165">
        <w:rPr>
          <w:rFonts w:ascii="Calibri" w:hAnsi="Calibri" w:cs="Calibri"/>
          <w:sz w:val="24"/>
          <w:szCs w:val="24"/>
        </w:rPr>
        <w:t>Schmiege, Klein</w:t>
      </w:r>
      <w:r w:rsidR="0050694B">
        <w:rPr>
          <w:rFonts w:ascii="Calibri" w:hAnsi="Calibri" w:cs="Calibri"/>
          <w:sz w:val="24"/>
          <w:szCs w:val="24"/>
        </w:rPr>
        <w:t>,</w:t>
      </w:r>
      <w:r w:rsidR="008C25DE" w:rsidRPr="00513165">
        <w:rPr>
          <w:rFonts w:ascii="Calibri" w:hAnsi="Calibri" w:cs="Calibri"/>
          <w:sz w:val="24"/>
          <w:szCs w:val="24"/>
        </w:rPr>
        <w:t xml:space="preserve"> and Bryan (2010) found that dental flossing behaviour increased when participants were given inflated estimates of peer flossing behaviour, regardless of whether objective expert recommendations were provided or not.</w:t>
      </w:r>
      <w:r w:rsidR="006C20A0">
        <w:rPr>
          <w:rFonts w:ascii="Calibri" w:hAnsi="Calibri" w:cs="Calibri"/>
          <w:sz w:val="24"/>
          <w:szCs w:val="24"/>
        </w:rPr>
        <w:t xml:space="preserve"> </w:t>
      </w:r>
      <w:r w:rsidR="006C20A0" w:rsidRPr="00513165">
        <w:rPr>
          <w:rFonts w:ascii="Calibri" w:hAnsi="Calibri" w:cs="Calibri"/>
          <w:sz w:val="24"/>
          <w:szCs w:val="24"/>
        </w:rPr>
        <w:t xml:space="preserve">As such, </w:t>
      </w:r>
      <w:r w:rsidR="006C20A0" w:rsidRPr="00513165">
        <w:rPr>
          <w:rFonts w:ascii="Calibri" w:hAnsi="Calibri" w:cs="Calibri"/>
          <w:color w:val="000000"/>
          <w:sz w:val="24"/>
          <w:szCs w:val="24"/>
        </w:rPr>
        <w:t>social comparison information is a dominant predictor of a number of outcomes over and above objective information.</w:t>
      </w:r>
    </w:p>
    <w:p w14:paraId="0A10749B" w14:textId="1A2B1517" w:rsidR="003978D4" w:rsidRPr="00513165" w:rsidRDefault="008C25DE" w:rsidP="00B10431">
      <w:pPr>
        <w:spacing w:line="360" w:lineRule="auto"/>
        <w:ind w:firstLine="720"/>
        <w:jc w:val="both"/>
        <w:rPr>
          <w:rFonts w:ascii="Calibri" w:hAnsi="Calibri" w:cs="Calibri"/>
          <w:sz w:val="24"/>
          <w:szCs w:val="24"/>
        </w:rPr>
      </w:pPr>
      <w:r w:rsidRPr="00513165">
        <w:rPr>
          <w:rFonts w:ascii="Calibri" w:hAnsi="Calibri" w:cs="Calibri"/>
          <w:color w:val="000000"/>
          <w:sz w:val="24"/>
          <w:szCs w:val="24"/>
        </w:rPr>
        <w:t>Whom an individual utilises as a comparison</w:t>
      </w:r>
      <w:r w:rsidR="003978D4" w:rsidRPr="00513165">
        <w:rPr>
          <w:rFonts w:ascii="Calibri" w:hAnsi="Calibri" w:cs="Calibri"/>
          <w:color w:val="000000"/>
          <w:sz w:val="24"/>
          <w:szCs w:val="24"/>
        </w:rPr>
        <w:t xml:space="preserve"> target</w:t>
      </w:r>
      <w:r w:rsidRPr="00513165">
        <w:rPr>
          <w:rFonts w:ascii="Calibri" w:hAnsi="Calibri" w:cs="Calibri"/>
          <w:color w:val="000000"/>
          <w:sz w:val="24"/>
          <w:szCs w:val="24"/>
        </w:rPr>
        <w:t xml:space="preserve"> can lead to very different evaluations and outcomes. Musseiler, Rüter</w:t>
      </w:r>
      <w:r w:rsidR="003978D4" w:rsidRPr="00513165">
        <w:rPr>
          <w:rFonts w:ascii="Calibri" w:hAnsi="Calibri" w:cs="Calibri"/>
          <w:color w:val="000000"/>
          <w:sz w:val="24"/>
          <w:szCs w:val="24"/>
        </w:rPr>
        <w:t>,</w:t>
      </w:r>
      <w:r w:rsidRPr="00513165">
        <w:rPr>
          <w:rFonts w:ascii="Calibri" w:hAnsi="Calibri" w:cs="Calibri"/>
          <w:color w:val="000000"/>
          <w:sz w:val="24"/>
          <w:szCs w:val="24"/>
        </w:rPr>
        <w:t xml:space="preserve"> and Epstude (2004) demonstrated that participants lowered predictions of their </w:t>
      </w:r>
      <w:r w:rsidR="006C20A0">
        <w:rPr>
          <w:rFonts w:ascii="Calibri" w:hAnsi="Calibri" w:cs="Calibri"/>
          <w:color w:val="000000"/>
          <w:sz w:val="24"/>
          <w:szCs w:val="24"/>
        </w:rPr>
        <w:t xml:space="preserve">own </w:t>
      </w:r>
      <w:r w:rsidRPr="00513165">
        <w:rPr>
          <w:rFonts w:ascii="Calibri" w:hAnsi="Calibri" w:cs="Calibri"/>
          <w:color w:val="000000"/>
          <w:sz w:val="24"/>
          <w:szCs w:val="24"/>
        </w:rPr>
        <w:t>athletic ability when they had previously been exposed to former professional basketball player Michael Jordan</w:t>
      </w:r>
      <w:r w:rsidR="003978D4" w:rsidRPr="00513165">
        <w:rPr>
          <w:rFonts w:ascii="Calibri" w:hAnsi="Calibri" w:cs="Calibri"/>
          <w:color w:val="000000"/>
          <w:sz w:val="24"/>
          <w:szCs w:val="24"/>
        </w:rPr>
        <w:t>,</w:t>
      </w:r>
      <w:r w:rsidRPr="00513165">
        <w:rPr>
          <w:rFonts w:ascii="Calibri" w:hAnsi="Calibri" w:cs="Calibri"/>
          <w:color w:val="000000"/>
          <w:sz w:val="24"/>
          <w:szCs w:val="24"/>
        </w:rPr>
        <w:t xml:space="preserve"> but increased their predictions when exposed to 84-year-old Pope John Paul</w:t>
      </w:r>
      <w:r w:rsidR="00594A35">
        <w:rPr>
          <w:rFonts w:ascii="Calibri" w:hAnsi="Calibri" w:cs="Calibri"/>
          <w:color w:val="000000"/>
          <w:sz w:val="24"/>
          <w:szCs w:val="24"/>
        </w:rPr>
        <w:t xml:space="preserve"> II</w:t>
      </w:r>
      <w:r w:rsidRPr="00513165">
        <w:rPr>
          <w:rFonts w:ascii="Calibri" w:hAnsi="Calibri" w:cs="Calibri"/>
          <w:color w:val="000000"/>
          <w:sz w:val="24"/>
          <w:szCs w:val="24"/>
        </w:rPr>
        <w:t>. In addition, Medvec, Madey</w:t>
      </w:r>
      <w:r w:rsidR="003978D4" w:rsidRPr="00513165">
        <w:rPr>
          <w:rFonts w:ascii="Calibri" w:hAnsi="Calibri" w:cs="Calibri"/>
          <w:color w:val="000000"/>
          <w:sz w:val="24"/>
          <w:szCs w:val="24"/>
        </w:rPr>
        <w:t>,</w:t>
      </w:r>
      <w:r w:rsidRPr="00513165">
        <w:rPr>
          <w:rFonts w:ascii="Calibri" w:hAnsi="Calibri" w:cs="Calibri"/>
          <w:color w:val="000000"/>
          <w:sz w:val="24"/>
          <w:szCs w:val="24"/>
        </w:rPr>
        <w:t xml:space="preserve"> and Gilovich (1995) presented participants with video clips of silver and bronze medallists from the 1992 Olympic Games. Participants rated the bronze medallists as happier than </w:t>
      </w:r>
      <w:r w:rsidR="0075104F" w:rsidRPr="00513165">
        <w:rPr>
          <w:rFonts w:ascii="Calibri" w:hAnsi="Calibri" w:cs="Calibri"/>
          <w:color w:val="000000"/>
          <w:sz w:val="24"/>
          <w:szCs w:val="24"/>
        </w:rPr>
        <w:t xml:space="preserve">they rated the silver medallists, despite the silver medallists objectively receiving the more prestigious award. </w:t>
      </w:r>
      <w:r w:rsidRPr="00513165">
        <w:rPr>
          <w:rFonts w:ascii="Calibri" w:hAnsi="Calibri" w:cs="Calibri"/>
          <w:color w:val="000000"/>
          <w:sz w:val="24"/>
          <w:szCs w:val="24"/>
        </w:rPr>
        <w:t xml:space="preserve">The researchers concluded that the silver medallists were comparing themselves to the gold </w:t>
      </w:r>
      <w:r w:rsidR="0075104F">
        <w:rPr>
          <w:rFonts w:ascii="Calibri" w:hAnsi="Calibri" w:cs="Calibri"/>
          <w:color w:val="000000"/>
          <w:sz w:val="24"/>
          <w:szCs w:val="24"/>
        </w:rPr>
        <w:t xml:space="preserve">medal </w:t>
      </w:r>
      <w:r w:rsidRPr="00513165">
        <w:rPr>
          <w:rFonts w:ascii="Calibri" w:hAnsi="Calibri" w:cs="Calibri"/>
          <w:color w:val="000000"/>
          <w:sz w:val="24"/>
          <w:szCs w:val="24"/>
        </w:rPr>
        <w:t xml:space="preserve">winners and consequently feeling downtrodden, whereas the bronze medallists compared their performance with the competitors who did not win </w:t>
      </w:r>
      <w:r w:rsidR="006C20A0">
        <w:rPr>
          <w:rFonts w:ascii="Calibri" w:hAnsi="Calibri" w:cs="Calibri"/>
          <w:color w:val="000000"/>
          <w:sz w:val="24"/>
          <w:szCs w:val="24"/>
        </w:rPr>
        <w:t>a medal and were</w:t>
      </w:r>
      <w:r w:rsidR="0075104F">
        <w:rPr>
          <w:rFonts w:ascii="Calibri" w:hAnsi="Calibri" w:cs="Calibri"/>
          <w:color w:val="000000"/>
          <w:sz w:val="24"/>
          <w:szCs w:val="24"/>
        </w:rPr>
        <w:t xml:space="preserve"> </w:t>
      </w:r>
      <w:r w:rsidRPr="00513165">
        <w:rPr>
          <w:rFonts w:ascii="Calibri" w:hAnsi="Calibri" w:cs="Calibri"/>
          <w:color w:val="000000"/>
          <w:sz w:val="24"/>
          <w:szCs w:val="24"/>
        </w:rPr>
        <w:t>feeling elated.</w:t>
      </w:r>
      <w:r w:rsidR="003978D4" w:rsidRPr="00513165">
        <w:rPr>
          <w:rFonts w:ascii="Calibri" w:hAnsi="Calibri" w:cs="Calibri"/>
          <w:sz w:val="24"/>
          <w:szCs w:val="24"/>
        </w:rPr>
        <w:t xml:space="preserve"> </w:t>
      </w:r>
    </w:p>
    <w:p w14:paraId="6C9C1CA3" w14:textId="6DB37102" w:rsidR="00D62566" w:rsidRDefault="003978D4" w:rsidP="00B10431">
      <w:pPr>
        <w:spacing w:line="360" w:lineRule="auto"/>
        <w:ind w:firstLine="720"/>
        <w:jc w:val="both"/>
        <w:rPr>
          <w:rFonts w:ascii="Calibri" w:hAnsi="Calibri" w:cs="Calibri"/>
          <w:color w:val="000000"/>
          <w:sz w:val="24"/>
          <w:szCs w:val="24"/>
        </w:rPr>
      </w:pPr>
      <w:r w:rsidRPr="00513165">
        <w:rPr>
          <w:rFonts w:ascii="Calibri" w:hAnsi="Calibri" w:cs="Calibri"/>
          <w:color w:val="000000"/>
          <w:sz w:val="24"/>
          <w:szCs w:val="24"/>
        </w:rPr>
        <w:t>T</w:t>
      </w:r>
      <w:r w:rsidR="00D72BF8" w:rsidRPr="00513165">
        <w:rPr>
          <w:rFonts w:ascii="Calibri" w:hAnsi="Calibri" w:cs="Calibri"/>
          <w:color w:val="000000"/>
          <w:sz w:val="24"/>
          <w:szCs w:val="24"/>
        </w:rPr>
        <w:t>herefore,</w:t>
      </w:r>
      <w:r w:rsidRPr="00513165">
        <w:rPr>
          <w:rFonts w:ascii="Calibri" w:hAnsi="Calibri" w:cs="Calibri"/>
          <w:color w:val="000000"/>
          <w:sz w:val="24"/>
          <w:szCs w:val="24"/>
        </w:rPr>
        <w:t xml:space="preserve"> people’s self-wor</w:t>
      </w:r>
      <w:r w:rsidR="00137580" w:rsidRPr="00513165">
        <w:rPr>
          <w:rFonts w:ascii="Calibri" w:hAnsi="Calibri" w:cs="Calibri"/>
          <w:color w:val="000000"/>
          <w:sz w:val="24"/>
          <w:szCs w:val="24"/>
        </w:rPr>
        <w:t>th and evaluations of the</w:t>
      </w:r>
      <w:r w:rsidR="008C25DE" w:rsidRPr="00513165">
        <w:rPr>
          <w:rFonts w:ascii="Calibri" w:hAnsi="Calibri" w:cs="Calibri"/>
          <w:color w:val="000000"/>
          <w:sz w:val="24"/>
          <w:szCs w:val="24"/>
        </w:rPr>
        <w:t xml:space="preserve">ir </w:t>
      </w:r>
      <w:r w:rsidRPr="00513165">
        <w:rPr>
          <w:rFonts w:ascii="Calibri" w:hAnsi="Calibri" w:cs="Calibri"/>
          <w:color w:val="000000"/>
          <w:sz w:val="24"/>
          <w:szCs w:val="24"/>
        </w:rPr>
        <w:t xml:space="preserve">own </w:t>
      </w:r>
      <w:r w:rsidR="008C25DE" w:rsidRPr="00513165">
        <w:rPr>
          <w:rFonts w:ascii="Calibri" w:hAnsi="Calibri" w:cs="Calibri"/>
          <w:color w:val="000000"/>
          <w:sz w:val="24"/>
          <w:szCs w:val="24"/>
        </w:rPr>
        <w:t>abilities</w:t>
      </w:r>
      <w:r w:rsidR="00137580" w:rsidRPr="00513165">
        <w:rPr>
          <w:rFonts w:ascii="Calibri" w:hAnsi="Calibri" w:cs="Calibri"/>
          <w:color w:val="000000"/>
          <w:sz w:val="24"/>
          <w:szCs w:val="24"/>
        </w:rPr>
        <w:t xml:space="preserve"> can be greatly influenced by</w:t>
      </w:r>
      <w:r w:rsidR="008C25DE" w:rsidRPr="00513165">
        <w:rPr>
          <w:rFonts w:ascii="Calibri" w:hAnsi="Calibri" w:cs="Calibri"/>
          <w:color w:val="000000"/>
          <w:sz w:val="24"/>
          <w:szCs w:val="24"/>
        </w:rPr>
        <w:t xml:space="preserve"> social comparison and particularly by whom the</w:t>
      </w:r>
      <w:r w:rsidR="00137580" w:rsidRPr="00513165">
        <w:rPr>
          <w:rFonts w:ascii="Calibri" w:hAnsi="Calibri" w:cs="Calibri"/>
          <w:color w:val="000000"/>
          <w:sz w:val="24"/>
          <w:szCs w:val="24"/>
        </w:rPr>
        <w:t xml:space="preserve"> comparison</w:t>
      </w:r>
      <w:r w:rsidR="008C25DE" w:rsidRPr="00513165">
        <w:rPr>
          <w:rFonts w:ascii="Calibri" w:hAnsi="Calibri" w:cs="Calibri"/>
          <w:color w:val="000000"/>
          <w:sz w:val="24"/>
          <w:szCs w:val="24"/>
        </w:rPr>
        <w:t xml:space="preserve"> target is</w:t>
      </w:r>
      <w:r w:rsidRPr="00513165">
        <w:rPr>
          <w:rFonts w:ascii="Calibri" w:hAnsi="Calibri" w:cs="Calibri"/>
          <w:color w:val="000000"/>
          <w:sz w:val="24"/>
          <w:szCs w:val="24"/>
        </w:rPr>
        <w:t xml:space="preserve">. </w:t>
      </w:r>
      <w:r w:rsidR="00137580" w:rsidRPr="00513165">
        <w:rPr>
          <w:rFonts w:ascii="Calibri" w:hAnsi="Calibri" w:cs="Calibri"/>
          <w:color w:val="000000"/>
          <w:sz w:val="24"/>
          <w:szCs w:val="24"/>
        </w:rPr>
        <w:t>Comparing oneself to someone</w:t>
      </w:r>
      <w:r w:rsidR="00EE4333" w:rsidRPr="00513165">
        <w:rPr>
          <w:rFonts w:ascii="Calibri" w:hAnsi="Calibri" w:cs="Calibri"/>
          <w:color w:val="000000"/>
          <w:sz w:val="24"/>
          <w:szCs w:val="24"/>
        </w:rPr>
        <w:t xml:space="preserve"> relatively</w:t>
      </w:r>
      <w:r w:rsidR="00137580" w:rsidRPr="00513165">
        <w:rPr>
          <w:rFonts w:ascii="Calibri" w:hAnsi="Calibri" w:cs="Calibri"/>
          <w:color w:val="000000"/>
          <w:sz w:val="24"/>
          <w:szCs w:val="24"/>
        </w:rPr>
        <w:t xml:space="preserve"> </w:t>
      </w:r>
      <w:r w:rsidR="0075104F">
        <w:rPr>
          <w:rFonts w:ascii="Calibri" w:hAnsi="Calibri" w:cs="Calibri"/>
          <w:color w:val="000000"/>
          <w:sz w:val="24"/>
          <w:szCs w:val="24"/>
        </w:rPr>
        <w:t xml:space="preserve">better off </w:t>
      </w:r>
      <w:r w:rsidR="00137580" w:rsidRPr="00513165">
        <w:rPr>
          <w:rFonts w:ascii="Calibri" w:hAnsi="Calibri" w:cs="Calibri"/>
          <w:color w:val="000000"/>
          <w:sz w:val="24"/>
          <w:szCs w:val="24"/>
        </w:rPr>
        <w:t>(e.g. a silver medallist comparing themselves with a gold medallist) is considered an upward social comparison</w:t>
      </w:r>
      <w:r w:rsidR="00E2340C" w:rsidRPr="00513165">
        <w:rPr>
          <w:rFonts w:ascii="Calibri" w:hAnsi="Calibri" w:cs="Calibri"/>
          <w:color w:val="000000"/>
          <w:sz w:val="24"/>
          <w:szCs w:val="24"/>
        </w:rPr>
        <w:t xml:space="preserve"> (see Collins, 1996)</w:t>
      </w:r>
      <w:r w:rsidR="00137580" w:rsidRPr="00513165">
        <w:rPr>
          <w:rFonts w:ascii="Calibri" w:hAnsi="Calibri" w:cs="Calibri"/>
          <w:color w:val="000000"/>
          <w:sz w:val="24"/>
          <w:szCs w:val="24"/>
        </w:rPr>
        <w:t>.</w:t>
      </w:r>
      <w:r w:rsidR="008D3BAF" w:rsidRPr="00513165">
        <w:rPr>
          <w:rFonts w:ascii="Calibri" w:hAnsi="Calibri" w:cs="Calibri"/>
          <w:color w:val="000000"/>
          <w:sz w:val="24"/>
          <w:szCs w:val="24"/>
        </w:rPr>
        <w:t xml:space="preserve"> Comparing oneself to someone </w:t>
      </w:r>
      <w:r w:rsidR="00EE4333" w:rsidRPr="00513165">
        <w:rPr>
          <w:rFonts w:ascii="Calibri" w:hAnsi="Calibri" w:cs="Calibri"/>
          <w:color w:val="000000"/>
          <w:sz w:val="24"/>
          <w:szCs w:val="24"/>
        </w:rPr>
        <w:t>relatively</w:t>
      </w:r>
      <w:r w:rsidR="008D3BAF" w:rsidRPr="00513165">
        <w:rPr>
          <w:rFonts w:ascii="Calibri" w:hAnsi="Calibri" w:cs="Calibri"/>
          <w:color w:val="000000"/>
          <w:sz w:val="24"/>
          <w:szCs w:val="24"/>
        </w:rPr>
        <w:t xml:space="preserve"> </w:t>
      </w:r>
      <w:r w:rsidR="0075104F" w:rsidRPr="00513165">
        <w:rPr>
          <w:rFonts w:ascii="Calibri" w:hAnsi="Calibri" w:cs="Calibri"/>
          <w:color w:val="000000"/>
          <w:sz w:val="24"/>
          <w:szCs w:val="24"/>
        </w:rPr>
        <w:t>worse</w:t>
      </w:r>
      <w:r w:rsidR="0075104F">
        <w:rPr>
          <w:rFonts w:ascii="Calibri" w:hAnsi="Calibri" w:cs="Calibri"/>
          <w:color w:val="000000"/>
          <w:sz w:val="24"/>
          <w:szCs w:val="24"/>
        </w:rPr>
        <w:t xml:space="preserve">-off </w:t>
      </w:r>
      <w:r w:rsidR="00121E11" w:rsidRPr="00513165">
        <w:rPr>
          <w:rFonts w:ascii="Calibri" w:hAnsi="Calibri" w:cs="Calibri"/>
          <w:color w:val="000000"/>
          <w:sz w:val="24"/>
          <w:szCs w:val="24"/>
        </w:rPr>
        <w:t>is considered a</w:t>
      </w:r>
      <w:r w:rsidR="008D3BAF" w:rsidRPr="00513165">
        <w:rPr>
          <w:rFonts w:ascii="Calibri" w:hAnsi="Calibri" w:cs="Calibri"/>
          <w:color w:val="000000"/>
          <w:sz w:val="24"/>
          <w:szCs w:val="24"/>
        </w:rPr>
        <w:t xml:space="preserve"> downward social comparison</w:t>
      </w:r>
      <w:r w:rsidR="00E2340C" w:rsidRPr="00513165">
        <w:rPr>
          <w:rFonts w:ascii="Calibri" w:hAnsi="Calibri" w:cs="Calibri"/>
          <w:color w:val="000000"/>
          <w:sz w:val="24"/>
          <w:szCs w:val="24"/>
        </w:rPr>
        <w:t xml:space="preserve"> (see Wills, 1981)</w:t>
      </w:r>
      <w:r w:rsidR="008D3BAF" w:rsidRPr="00513165">
        <w:rPr>
          <w:rFonts w:ascii="Calibri" w:hAnsi="Calibri" w:cs="Calibri"/>
          <w:color w:val="000000"/>
          <w:sz w:val="24"/>
          <w:szCs w:val="24"/>
        </w:rPr>
        <w:t>.</w:t>
      </w:r>
      <w:r w:rsidR="00FD55A7" w:rsidRPr="00513165">
        <w:rPr>
          <w:rFonts w:ascii="Calibri" w:hAnsi="Calibri" w:cs="Calibri"/>
          <w:color w:val="000000"/>
          <w:sz w:val="24"/>
          <w:szCs w:val="24"/>
        </w:rPr>
        <w:t xml:space="preserve"> In a recent meta-analysis of the social comparison literature, </w:t>
      </w:r>
      <w:r w:rsidR="00FD55A7" w:rsidRPr="00513165">
        <w:rPr>
          <w:rFonts w:ascii="Calibri" w:hAnsi="Calibri" w:cs="Calibri"/>
          <w:color w:val="000000"/>
          <w:sz w:val="24"/>
          <w:szCs w:val="24"/>
        </w:rPr>
        <w:lastRenderedPageBreak/>
        <w:t>Gerber (2018) found that overall</w:t>
      </w:r>
      <w:r w:rsidR="006C20A0">
        <w:rPr>
          <w:rFonts w:ascii="Calibri" w:hAnsi="Calibri" w:cs="Calibri"/>
          <w:color w:val="000000"/>
          <w:sz w:val="24"/>
          <w:szCs w:val="24"/>
        </w:rPr>
        <w:t>,</w:t>
      </w:r>
      <w:r w:rsidR="00FD55A7" w:rsidRPr="00513165">
        <w:rPr>
          <w:rFonts w:ascii="Calibri" w:hAnsi="Calibri" w:cs="Calibri"/>
          <w:color w:val="000000"/>
          <w:sz w:val="24"/>
          <w:szCs w:val="24"/>
        </w:rPr>
        <w:t xml:space="preserve"> downward comparisons produce positive effects and upward comparisons produce negative effects. </w:t>
      </w:r>
      <w:r w:rsidR="0075104F">
        <w:rPr>
          <w:rFonts w:ascii="Calibri" w:hAnsi="Calibri" w:cs="Calibri"/>
          <w:color w:val="000000"/>
          <w:sz w:val="24"/>
          <w:szCs w:val="24"/>
        </w:rPr>
        <w:t>S</w:t>
      </w:r>
      <w:r w:rsidR="00EB62B0" w:rsidRPr="00513165">
        <w:rPr>
          <w:rFonts w:ascii="Calibri" w:hAnsi="Calibri" w:cs="Calibri"/>
          <w:color w:val="000000"/>
          <w:sz w:val="24"/>
          <w:szCs w:val="24"/>
        </w:rPr>
        <w:t>pecifically, Gerber (2018)</w:t>
      </w:r>
      <w:r w:rsidR="00FD55A7" w:rsidRPr="00513165">
        <w:rPr>
          <w:rFonts w:ascii="Calibri" w:hAnsi="Calibri" w:cs="Calibri"/>
          <w:color w:val="000000"/>
          <w:sz w:val="24"/>
          <w:szCs w:val="24"/>
        </w:rPr>
        <w:t xml:space="preserve"> evidenced that upward com</w:t>
      </w:r>
      <w:r w:rsidR="00EB62B0" w:rsidRPr="00513165">
        <w:rPr>
          <w:rFonts w:ascii="Calibri" w:hAnsi="Calibri" w:cs="Calibri"/>
          <w:color w:val="000000"/>
          <w:sz w:val="24"/>
          <w:szCs w:val="24"/>
        </w:rPr>
        <w:t>parisons led to negative estimates of ability (e.g. “How smart are you?”) and lowered performance satisfaction (e.g. “How satisfied are you with how you did on that test?”) compared to downward comparisons.</w:t>
      </w:r>
    </w:p>
    <w:p w14:paraId="0062148F" w14:textId="2CAA3B79" w:rsidR="00ED697D" w:rsidRPr="00ED697D" w:rsidRDefault="00ED697D" w:rsidP="00B10431">
      <w:pPr>
        <w:spacing w:line="360" w:lineRule="auto"/>
        <w:jc w:val="both"/>
        <w:rPr>
          <w:rFonts w:ascii="Calibri" w:hAnsi="Calibri" w:cs="Calibri"/>
          <w:sz w:val="24"/>
          <w:szCs w:val="24"/>
        </w:rPr>
      </w:pPr>
      <w:r>
        <w:rPr>
          <w:rFonts w:ascii="Calibri" w:hAnsi="Calibri" w:cs="Calibri"/>
          <w:sz w:val="24"/>
          <w:szCs w:val="24"/>
        </w:rPr>
        <w:tab/>
      </w:r>
      <w:r w:rsidR="0003483D">
        <w:rPr>
          <w:rFonts w:ascii="Calibri" w:hAnsi="Calibri" w:cs="Calibri"/>
          <w:sz w:val="24"/>
          <w:szCs w:val="24"/>
        </w:rPr>
        <w:t xml:space="preserve">Additionally, research within psychology has demonstrated the harmful effects upward comparisons can have on individuals’ well-being. </w:t>
      </w:r>
      <w:r w:rsidR="000678D1">
        <w:rPr>
          <w:rFonts w:ascii="Calibri" w:hAnsi="Calibri" w:cs="Calibri"/>
          <w:sz w:val="24"/>
          <w:szCs w:val="24"/>
        </w:rPr>
        <w:t>Personal Relative Deprivation (PRD) is a term used to describe the unpleasant belief that one is deprived of a deserved outcome compared to another (see Smith</w:t>
      </w:r>
      <w:r w:rsidR="007D29C5">
        <w:rPr>
          <w:rFonts w:ascii="Calibri" w:hAnsi="Calibri" w:cs="Calibri"/>
          <w:sz w:val="24"/>
          <w:szCs w:val="24"/>
        </w:rPr>
        <w:t>, Pettigrew, Pippin, &amp;</w:t>
      </w:r>
      <w:r w:rsidR="000678D1">
        <w:rPr>
          <w:rFonts w:ascii="Calibri" w:hAnsi="Calibri" w:cs="Calibri"/>
          <w:sz w:val="24"/>
          <w:szCs w:val="24"/>
        </w:rPr>
        <w:t xml:space="preserve"> </w:t>
      </w:r>
      <w:r w:rsidR="007D29C5">
        <w:rPr>
          <w:rFonts w:ascii="Calibri" w:hAnsi="Calibri" w:cs="Calibri"/>
          <w:sz w:val="24"/>
          <w:szCs w:val="24"/>
        </w:rPr>
        <w:t>Bialosiewicz</w:t>
      </w:r>
      <w:r w:rsidR="000678D1">
        <w:rPr>
          <w:rFonts w:ascii="Calibri" w:hAnsi="Calibri" w:cs="Calibri"/>
          <w:sz w:val="24"/>
          <w:szCs w:val="24"/>
        </w:rPr>
        <w:t>, 2012).</w:t>
      </w:r>
      <w:r w:rsidR="00EF2C60">
        <w:rPr>
          <w:rFonts w:ascii="Calibri" w:hAnsi="Calibri" w:cs="Calibri"/>
          <w:color w:val="3E3D40"/>
          <w:sz w:val="24"/>
          <w:szCs w:val="24"/>
          <w:lang w:val="en"/>
        </w:rPr>
        <w:t xml:space="preserve"> </w:t>
      </w:r>
      <w:r w:rsidR="000678D1">
        <w:rPr>
          <w:rFonts w:ascii="Calibri" w:hAnsi="Calibri" w:cs="Calibri"/>
          <w:color w:val="3E3D40"/>
          <w:sz w:val="24"/>
          <w:szCs w:val="24"/>
          <w:lang w:val="en"/>
        </w:rPr>
        <w:t>Callan, Kim</w:t>
      </w:r>
      <w:r w:rsidR="0050694B">
        <w:rPr>
          <w:rFonts w:ascii="Calibri" w:hAnsi="Calibri" w:cs="Calibri"/>
          <w:color w:val="3E3D40"/>
          <w:sz w:val="24"/>
          <w:szCs w:val="24"/>
          <w:lang w:val="en"/>
        </w:rPr>
        <w:t>,</w:t>
      </w:r>
      <w:r w:rsidR="000678D1">
        <w:rPr>
          <w:rFonts w:ascii="Calibri" w:hAnsi="Calibri" w:cs="Calibri"/>
          <w:color w:val="3E3D40"/>
          <w:sz w:val="24"/>
          <w:szCs w:val="24"/>
          <w:lang w:val="en"/>
        </w:rPr>
        <w:t xml:space="preserve"> and Matthews (2015) evidenced that high PRD is associated with poorer levels of physical and mental health (e.g. stress, self-rated health).  </w:t>
      </w:r>
      <w:r w:rsidR="00EF2C60">
        <w:rPr>
          <w:rFonts w:ascii="Calibri" w:hAnsi="Calibri" w:cs="Calibri"/>
          <w:color w:val="3E3D40"/>
          <w:sz w:val="24"/>
          <w:szCs w:val="24"/>
          <w:lang w:val="en"/>
        </w:rPr>
        <w:t xml:space="preserve">As such, </w:t>
      </w:r>
      <w:r w:rsidR="000678D1">
        <w:rPr>
          <w:rFonts w:ascii="Calibri" w:hAnsi="Calibri" w:cs="Calibri"/>
          <w:color w:val="3E3D40"/>
          <w:sz w:val="24"/>
          <w:szCs w:val="24"/>
          <w:lang w:val="en"/>
        </w:rPr>
        <w:t>comparing oneself to someone better than you</w:t>
      </w:r>
      <w:r w:rsidR="00FA7857">
        <w:rPr>
          <w:rFonts w:ascii="Calibri" w:hAnsi="Calibri" w:cs="Calibri"/>
          <w:color w:val="3E3D40"/>
          <w:sz w:val="24"/>
          <w:szCs w:val="24"/>
          <w:lang w:val="en"/>
        </w:rPr>
        <w:t>, and feeling negative and resentful</w:t>
      </w:r>
      <w:r w:rsidR="000678D1">
        <w:rPr>
          <w:rFonts w:ascii="Calibri" w:hAnsi="Calibri" w:cs="Calibri"/>
          <w:color w:val="3E3D40"/>
          <w:sz w:val="24"/>
          <w:szCs w:val="24"/>
          <w:lang w:val="en"/>
        </w:rPr>
        <w:t xml:space="preserve"> about said comparison, can have detrimental effects to one’s health and wellbeing.</w:t>
      </w:r>
      <w:r w:rsidR="0003483D">
        <w:rPr>
          <w:rFonts w:ascii="Calibri" w:hAnsi="Calibri" w:cs="Calibri"/>
          <w:color w:val="3E3D40"/>
          <w:sz w:val="24"/>
          <w:szCs w:val="24"/>
          <w:lang w:val="en"/>
        </w:rPr>
        <w:t xml:space="preserve"> </w:t>
      </w:r>
      <w:r w:rsidR="0003483D" w:rsidRPr="00513165">
        <w:rPr>
          <w:rFonts w:ascii="Calibri" w:hAnsi="Calibri" w:cs="Calibri"/>
          <w:color w:val="000000"/>
          <w:sz w:val="24"/>
          <w:szCs w:val="24"/>
        </w:rPr>
        <w:t>The present study is particularly interested in the impact and</w:t>
      </w:r>
      <w:r w:rsidR="0050694B">
        <w:rPr>
          <w:rFonts w:ascii="Calibri" w:hAnsi="Calibri" w:cs="Calibri"/>
          <w:color w:val="000000"/>
          <w:sz w:val="24"/>
          <w:szCs w:val="24"/>
        </w:rPr>
        <w:t xml:space="preserve"> effects of social comparison</w:t>
      </w:r>
      <w:r w:rsidR="000A1B5F">
        <w:rPr>
          <w:rFonts w:ascii="Calibri" w:hAnsi="Calibri" w:cs="Calibri"/>
          <w:color w:val="000000"/>
          <w:sz w:val="24"/>
          <w:szCs w:val="24"/>
        </w:rPr>
        <w:t xml:space="preserve"> – provided via Learning Analytics Dashboards –</w:t>
      </w:r>
      <w:r w:rsidR="0007187F">
        <w:rPr>
          <w:rFonts w:ascii="Calibri" w:hAnsi="Calibri" w:cs="Calibri"/>
          <w:color w:val="000000"/>
          <w:sz w:val="24"/>
          <w:szCs w:val="24"/>
        </w:rPr>
        <w:t xml:space="preserve"> </w:t>
      </w:r>
      <w:r w:rsidR="007213BC">
        <w:rPr>
          <w:rFonts w:ascii="Calibri" w:hAnsi="Calibri" w:cs="Calibri"/>
          <w:color w:val="000000"/>
          <w:sz w:val="24"/>
          <w:szCs w:val="24"/>
        </w:rPr>
        <w:t>on</w:t>
      </w:r>
      <w:r w:rsidR="007213BC" w:rsidRPr="00513165">
        <w:rPr>
          <w:rFonts w:ascii="Calibri" w:hAnsi="Calibri" w:cs="Calibri"/>
          <w:color w:val="000000"/>
          <w:sz w:val="24"/>
          <w:szCs w:val="24"/>
        </w:rPr>
        <w:t xml:space="preserve"> </w:t>
      </w:r>
      <w:r w:rsidR="0003483D" w:rsidRPr="00513165">
        <w:rPr>
          <w:rFonts w:ascii="Calibri" w:hAnsi="Calibri" w:cs="Calibri"/>
          <w:color w:val="000000"/>
          <w:sz w:val="24"/>
          <w:szCs w:val="24"/>
        </w:rPr>
        <w:t>students within Higher Education</w:t>
      </w:r>
      <w:r w:rsidR="00157D02">
        <w:rPr>
          <w:rFonts w:ascii="Calibri" w:hAnsi="Calibri" w:cs="Calibri"/>
          <w:color w:val="000000"/>
          <w:sz w:val="24"/>
          <w:szCs w:val="24"/>
        </w:rPr>
        <w:t>.</w:t>
      </w:r>
    </w:p>
    <w:p w14:paraId="4A04BF97" w14:textId="77777777" w:rsidR="00D6192A" w:rsidRDefault="00D6192A" w:rsidP="00B10431">
      <w:pPr>
        <w:spacing w:line="360" w:lineRule="auto"/>
        <w:jc w:val="both"/>
        <w:rPr>
          <w:rFonts w:ascii="Calibri" w:hAnsi="Calibri" w:cs="Calibri"/>
          <w:b/>
          <w:color w:val="000000"/>
          <w:sz w:val="24"/>
          <w:szCs w:val="24"/>
        </w:rPr>
      </w:pPr>
    </w:p>
    <w:p w14:paraId="1AA17E37" w14:textId="38A917D9" w:rsidR="004A0A3E" w:rsidRPr="00B10431" w:rsidRDefault="004A0A3E" w:rsidP="00B10431">
      <w:pPr>
        <w:spacing w:line="360" w:lineRule="auto"/>
        <w:jc w:val="both"/>
        <w:rPr>
          <w:rFonts w:ascii="Calibri" w:hAnsi="Calibri" w:cs="Calibri"/>
          <w:b/>
          <w:i/>
          <w:color w:val="000000"/>
          <w:sz w:val="24"/>
          <w:szCs w:val="24"/>
        </w:rPr>
      </w:pPr>
      <w:r w:rsidRPr="00B10431">
        <w:rPr>
          <w:rFonts w:ascii="Calibri" w:hAnsi="Calibri" w:cs="Calibri"/>
          <w:b/>
          <w:i/>
          <w:color w:val="000000"/>
          <w:sz w:val="24"/>
          <w:szCs w:val="24"/>
        </w:rPr>
        <w:t>Social Comparisons in Education</w:t>
      </w:r>
    </w:p>
    <w:p w14:paraId="1F35DA0B" w14:textId="50C7D715" w:rsidR="008D496D" w:rsidRPr="00513165" w:rsidRDefault="008D496D" w:rsidP="00B10431">
      <w:pPr>
        <w:autoSpaceDE w:val="0"/>
        <w:autoSpaceDN w:val="0"/>
        <w:adjustRightInd w:val="0"/>
        <w:spacing w:after="0" w:line="360" w:lineRule="auto"/>
        <w:jc w:val="both"/>
        <w:rPr>
          <w:rFonts w:ascii="Calibri" w:hAnsi="Calibri" w:cs="Calibri"/>
          <w:color w:val="000000"/>
          <w:sz w:val="24"/>
          <w:szCs w:val="24"/>
        </w:rPr>
      </w:pPr>
      <w:r w:rsidRPr="00513165">
        <w:rPr>
          <w:rFonts w:ascii="Calibri" w:hAnsi="Calibri" w:cs="Calibri"/>
          <w:color w:val="000000"/>
          <w:sz w:val="24"/>
          <w:szCs w:val="24"/>
        </w:rPr>
        <w:t xml:space="preserve">Research suggests that </w:t>
      </w:r>
      <w:r w:rsidR="003978D4" w:rsidRPr="00513165">
        <w:rPr>
          <w:rFonts w:ascii="Calibri" w:hAnsi="Calibri" w:cs="Calibri"/>
          <w:color w:val="000000"/>
          <w:sz w:val="24"/>
          <w:szCs w:val="24"/>
        </w:rPr>
        <w:t xml:space="preserve">children as young as </w:t>
      </w:r>
      <w:r w:rsidRPr="00513165">
        <w:rPr>
          <w:rFonts w:ascii="Calibri" w:hAnsi="Calibri" w:cs="Calibri"/>
          <w:color w:val="000000"/>
          <w:sz w:val="24"/>
          <w:szCs w:val="24"/>
        </w:rPr>
        <w:t xml:space="preserve">kindergarten </w:t>
      </w:r>
      <w:r w:rsidR="003978D4" w:rsidRPr="00513165">
        <w:rPr>
          <w:rFonts w:ascii="Calibri" w:hAnsi="Calibri" w:cs="Calibri"/>
          <w:color w:val="000000"/>
          <w:sz w:val="24"/>
          <w:szCs w:val="24"/>
        </w:rPr>
        <w:t>age</w:t>
      </w:r>
      <w:r w:rsidRPr="00513165">
        <w:rPr>
          <w:rFonts w:ascii="Calibri" w:hAnsi="Calibri" w:cs="Calibri"/>
          <w:color w:val="000000"/>
          <w:sz w:val="24"/>
          <w:szCs w:val="24"/>
        </w:rPr>
        <w:t xml:space="preserve"> (approx</w:t>
      </w:r>
      <w:r w:rsidR="00B24B77">
        <w:rPr>
          <w:rFonts w:ascii="Calibri" w:hAnsi="Calibri" w:cs="Calibri"/>
          <w:color w:val="000000"/>
          <w:sz w:val="24"/>
          <w:szCs w:val="24"/>
        </w:rPr>
        <w:t>imately</w:t>
      </w:r>
      <w:r w:rsidRPr="00513165">
        <w:rPr>
          <w:rFonts w:ascii="Calibri" w:hAnsi="Calibri" w:cs="Calibri"/>
          <w:color w:val="000000"/>
          <w:sz w:val="24"/>
          <w:szCs w:val="24"/>
        </w:rPr>
        <w:t xml:space="preserve"> 5.5 years old) </w:t>
      </w:r>
      <w:r w:rsidR="003978D4" w:rsidRPr="00513165">
        <w:rPr>
          <w:rFonts w:ascii="Calibri" w:hAnsi="Calibri" w:cs="Calibri"/>
          <w:color w:val="000000"/>
          <w:sz w:val="24"/>
          <w:szCs w:val="24"/>
        </w:rPr>
        <w:t xml:space="preserve">already </w:t>
      </w:r>
      <w:r w:rsidRPr="00513165">
        <w:rPr>
          <w:rFonts w:ascii="Calibri" w:hAnsi="Calibri" w:cs="Calibri"/>
          <w:color w:val="000000"/>
          <w:sz w:val="24"/>
          <w:szCs w:val="24"/>
        </w:rPr>
        <w:t>express direct social comparison</w:t>
      </w:r>
      <w:r w:rsidR="00513165" w:rsidRPr="00513165">
        <w:rPr>
          <w:rFonts w:ascii="Calibri" w:hAnsi="Calibri" w:cs="Calibri"/>
          <w:color w:val="000000"/>
          <w:sz w:val="24"/>
          <w:szCs w:val="24"/>
        </w:rPr>
        <w:t>,</w:t>
      </w:r>
      <w:r w:rsidRPr="00513165">
        <w:rPr>
          <w:rFonts w:ascii="Calibri" w:hAnsi="Calibri" w:cs="Calibri"/>
          <w:color w:val="000000"/>
          <w:sz w:val="24"/>
          <w:szCs w:val="24"/>
        </w:rPr>
        <w:t xml:space="preserve"> with statements such as “Mine is better than yours” and “He’s on page 10, and I’m only on page 8”</w:t>
      </w:r>
      <w:r w:rsidR="002E0210" w:rsidRPr="00513165">
        <w:rPr>
          <w:rFonts w:ascii="Calibri" w:hAnsi="Calibri" w:cs="Calibri"/>
          <w:color w:val="000000"/>
          <w:sz w:val="24"/>
          <w:szCs w:val="24"/>
        </w:rPr>
        <w:t xml:space="preserve"> (</w:t>
      </w:r>
      <w:r w:rsidR="002E0210" w:rsidRPr="00CA7B78">
        <w:rPr>
          <w:rFonts w:ascii="Calibri" w:hAnsi="Calibri" w:cs="Calibri"/>
          <w:sz w:val="24"/>
          <w:szCs w:val="24"/>
        </w:rPr>
        <w:t>Altermatt, Pomerantz, Ruble, Frey, &amp; Greulich, 2002</w:t>
      </w:r>
      <w:r w:rsidR="002E0210" w:rsidRPr="00513165">
        <w:rPr>
          <w:rFonts w:ascii="Calibri" w:hAnsi="Calibri" w:cs="Calibri"/>
          <w:sz w:val="24"/>
          <w:szCs w:val="24"/>
        </w:rPr>
        <w:t>)</w:t>
      </w:r>
      <w:r w:rsidRPr="00513165">
        <w:rPr>
          <w:rFonts w:ascii="Calibri" w:hAnsi="Calibri" w:cs="Calibri"/>
          <w:color w:val="000000"/>
          <w:sz w:val="24"/>
          <w:szCs w:val="24"/>
        </w:rPr>
        <w:t>.</w:t>
      </w:r>
      <w:r w:rsidR="002E0210" w:rsidRPr="00513165">
        <w:rPr>
          <w:rFonts w:ascii="Calibri" w:hAnsi="Calibri" w:cs="Calibri"/>
          <w:color w:val="000000"/>
          <w:sz w:val="24"/>
          <w:szCs w:val="24"/>
        </w:rPr>
        <w:t xml:space="preserve"> </w:t>
      </w:r>
      <w:r w:rsidR="00D1657A" w:rsidRPr="00513165">
        <w:rPr>
          <w:rFonts w:ascii="Calibri" w:hAnsi="Calibri" w:cs="Calibri"/>
          <w:color w:val="000000"/>
          <w:sz w:val="24"/>
          <w:szCs w:val="24"/>
        </w:rPr>
        <w:t>As students progress through the education system</w:t>
      </w:r>
      <w:r w:rsidR="002E0210" w:rsidRPr="00513165">
        <w:rPr>
          <w:rFonts w:ascii="Calibri" w:hAnsi="Calibri" w:cs="Calibri"/>
          <w:color w:val="000000"/>
          <w:sz w:val="24"/>
          <w:szCs w:val="24"/>
        </w:rPr>
        <w:t>, comparing</w:t>
      </w:r>
      <w:r w:rsidR="00D1657A" w:rsidRPr="00513165">
        <w:rPr>
          <w:rFonts w:ascii="Calibri" w:hAnsi="Calibri" w:cs="Calibri"/>
          <w:color w:val="000000"/>
          <w:sz w:val="24"/>
          <w:szCs w:val="24"/>
        </w:rPr>
        <w:t xml:space="preserve"> oneself</w:t>
      </w:r>
      <w:r w:rsidR="002E0210" w:rsidRPr="00513165">
        <w:rPr>
          <w:rFonts w:ascii="Calibri" w:hAnsi="Calibri" w:cs="Calibri"/>
          <w:color w:val="000000"/>
          <w:sz w:val="24"/>
          <w:szCs w:val="24"/>
        </w:rPr>
        <w:t xml:space="preserve"> with peers is arguably unavoidable as</w:t>
      </w:r>
      <w:r w:rsidR="00D1657A" w:rsidRPr="00513165">
        <w:rPr>
          <w:rFonts w:ascii="Calibri" w:hAnsi="Calibri" w:cs="Calibri"/>
          <w:color w:val="000000"/>
          <w:sz w:val="24"/>
          <w:szCs w:val="24"/>
        </w:rPr>
        <w:t xml:space="preserve"> one is not educated in isolation</w:t>
      </w:r>
      <w:r w:rsidR="00B24B77">
        <w:rPr>
          <w:rFonts w:ascii="Calibri" w:hAnsi="Calibri" w:cs="Calibri"/>
          <w:color w:val="000000"/>
          <w:sz w:val="24"/>
          <w:szCs w:val="24"/>
        </w:rPr>
        <w:t>,</w:t>
      </w:r>
      <w:r w:rsidR="00D1657A" w:rsidRPr="00513165">
        <w:rPr>
          <w:rFonts w:ascii="Calibri" w:hAnsi="Calibri" w:cs="Calibri"/>
          <w:color w:val="000000"/>
          <w:sz w:val="24"/>
          <w:szCs w:val="24"/>
        </w:rPr>
        <w:t xml:space="preserve"> but as part of a class and a cohort (Pulford, Woodward, &amp; Taylor, 2018). Therefore, we can confidently assume that studen</w:t>
      </w:r>
      <w:r w:rsidR="003978D4" w:rsidRPr="00513165">
        <w:rPr>
          <w:rFonts w:ascii="Calibri" w:hAnsi="Calibri" w:cs="Calibri"/>
          <w:color w:val="000000"/>
          <w:sz w:val="24"/>
          <w:szCs w:val="24"/>
        </w:rPr>
        <w:t>ts in higher education compare</w:t>
      </w:r>
      <w:r w:rsidR="00D1657A" w:rsidRPr="00513165">
        <w:rPr>
          <w:rFonts w:ascii="Calibri" w:hAnsi="Calibri" w:cs="Calibri"/>
          <w:color w:val="000000"/>
          <w:sz w:val="24"/>
          <w:szCs w:val="24"/>
        </w:rPr>
        <w:t xml:space="preserve"> their academic success against</w:t>
      </w:r>
      <w:r w:rsidR="003978D4" w:rsidRPr="00513165">
        <w:rPr>
          <w:rFonts w:ascii="Calibri" w:hAnsi="Calibri" w:cs="Calibri"/>
          <w:color w:val="000000"/>
          <w:sz w:val="24"/>
          <w:szCs w:val="24"/>
        </w:rPr>
        <w:t xml:space="preserve"> that of</w:t>
      </w:r>
      <w:r w:rsidR="00D1657A" w:rsidRPr="00513165">
        <w:rPr>
          <w:rFonts w:ascii="Calibri" w:hAnsi="Calibri" w:cs="Calibri"/>
          <w:color w:val="000000"/>
          <w:sz w:val="24"/>
          <w:szCs w:val="24"/>
        </w:rPr>
        <w:t xml:space="preserve"> their peers. Of interest t</w:t>
      </w:r>
      <w:r w:rsidR="0050694B">
        <w:rPr>
          <w:rFonts w:ascii="Calibri" w:hAnsi="Calibri" w:cs="Calibri"/>
          <w:color w:val="000000"/>
          <w:sz w:val="24"/>
          <w:szCs w:val="24"/>
        </w:rPr>
        <w:t>o the current paper i</w:t>
      </w:r>
      <w:r w:rsidR="00D1657A" w:rsidRPr="00513165">
        <w:rPr>
          <w:rFonts w:ascii="Calibri" w:hAnsi="Calibri" w:cs="Calibri"/>
          <w:color w:val="000000"/>
          <w:sz w:val="24"/>
          <w:szCs w:val="24"/>
        </w:rPr>
        <w:t xml:space="preserve">s the impact </w:t>
      </w:r>
      <w:r w:rsidR="0050694B">
        <w:rPr>
          <w:rFonts w:ascii="Calibri" w:hAnsi="Calibri" w:cs="Calibri"/>
          <w:color w:val="000000"/>
          <w:sz w:val="24"/>
          <w:szCs w:val="24"/>
        </w:rPr>
        <w:t>that such social comparisons have</w:t>
      </w:r>
      <w:r w:rsidR="00D1657A" w:rsidRPr="00513165">
        <w:rPr>
          <w:rFonts w:ascii="Calibri" w:hAnsi="Calibri" w:cs="Calibri"/>
          <w:color w:val="000000"/>
          <w:sz w:val="24"/>
          <w:szCs w:val="24"/>
        </w:rPr>
        <w:t xml:space="preserve"> on students</w:t>
      </w:r>
      <w:r w:rsidR="0003483D">
        <w:rPr>
          <w:rFonts w:ascii="Calibri" w:hAnsi="Calibri" w:cs="Calibri"/>
          <w:color w:val="000000"/>
          <w:sz w:val="24"/>
          <w:szCs w:val="24"/>
        </w:rPr>
        <w:t xml:space="preserve"> in relation to their self-esteem</w:t>
      </w:r>
      <w:r w:rsidR="00E14D33">
        <w:rPr>
          <w:rFonts w:ascii="Calibri" w:hAnsi="Calibri" w:cs="Calibri"/>
          <w:color w:val="000000"/>
          <w:sz w:val="24"/>
          <w:szCs w:val="24"/>
        </w:rPr>
        <w:t>, academic persistence</w:t>
      </w:r>
      <w:r w:rsidR="008F7C23">
        <w:rPr>
          <w:rFonts w:ascii="Calibri" w:hAnsi="Calibri" w:cs="Calibri"/>
          <w:color w:val="000000"/>
          <w:sz w:val="24"/>
          <w:szCs w:val="24"/>
        </w:rPr>
        <w:t>,</w:t>
      </w:r>
      <w:r w:rsidR="00E14D33">
        <w:rPr>
          <w:rFonts w:ascii="Calibri" w:hAnsi="Calibri" w:cs="Calibri"/>
          <w:color w:val="000000"/>
          <w:sz w:val="24"/>
          <w:szCs w:val="24"/>
        </w:rPr>
        <w:t xml:space="preserve"> and academic help-seeking behaviour.</w:t>
      </w:r>
    </w:p>
    <w:p w14:paraId="1DF536DC" w14:textId="7DB56E48" w:rsidR="00E14D33" w:rsidRPr="00B10431" w:rsidRDefault="00B24B77" w:rsidP="00E14D33">
      <w:pPr>
        <w:autoSpaceDE w:val="0"/>
        <w:autoSpaceDN w:val="0"/>
        <w:adjustRightInd w:val="0"/>
        <w:spacing w:after="0" w:line="360" w:lineRule="auto"/>
        <w:ind w:firstLine="720"/>
        <w:jc w:val="both"/>
        <w:rPr>
          <w:rFonts w:ascii="Calibri" w:hAnsi="Calibri" w:cs="Calibri"/>
          <w:sz w:val="24"/>
          <w:szCs w:val="24"/>
        </w:rPr>
      </w:pPr>
      <w:r>
        <w:rPr>
          <w:rFonts w:ascii="Calibri" w:hAnsi="Calibri" w:cs="Calibri"/>
          <w:color w:val="000000"/>
          <w:sz w:val="24"/>
          <w:szCs w:val="24"/>
        </w:rPr>
        <w:t>A wealth of research considering students across the educational lifespan demonstrate</w:t>
      </w:r>
      <w:r w:rsidR="00E14D33">
        <w:rPr>
          <w:rFonts w:ascii="Calibri" w:hAnsi="Calibri" w:cs="Calibri"/>
          <w:color w:val="000000"/>
          <w:sz w:val="24"/>
          <w:szCs w:val="24"/>
        </w:rPr>
        <w:t>s</w:t>
      </w:r>
      <w:r>
        <w:rPr>
          <w:rFonts w:ascii="Calibri" w:hAnsi="Calibri" w:cs="Calibri"/>
          <w:color w:val="000000"/>
          <w:sz w:val="24"/>
          <w:szCs w:val="24"/>
        </w:rPr>
        <w:t xml:space="preserve"> the positive effects of making downward comparisons (Altermatt &amp; Pomerantz, 2005; </w:t>
      </w:r>
      <w:r w:rsidRPr="00513165">
        <w:rPr>
          <w:rFonts w:ascii="Calibri" w:hAnsi="Calibri" w:cs="Calibri"/>
          <w:color w:val="000000"/>
          <w:sz w:val="24"/>
          <w:szCs w:val="24"/>
        </w:rPr>
        <w:t>Wehre</w:t>
      </w:r>
      <w:r>
        <w:rPr>
          <w:rFonts w:ascii="Calibri" w:hAnsi="Calibri" w:cs="Calibri"/>
          <w:color w:val="000000"/>
          <w:sz w:val="24"/>
          <w:szCs w:val="24"/>
        </w:rPr>
        <w:t>ns, Kuyper, Dijkstra, Buunk, &amp;</w:t>
      </w:r>
      <w:r w:rsidRPr="00513165">
        <w:rPr>
          <w:rFonts w:ascii="Calibri" w:hAnsi="Calibri" w:cs="Calibri"/>
          <w:color w:val="000000"/>
          <w:sz w:val="24"/>
          <w:szCs w:val="24"/>
        </w:rPr>
        <w:t xml:space="preserve"> Van Der Werf</w:t>
      </w:r>
      <w:r>
        <w:rPr>
          <w:rFonts w:ascii="Calibri" w:hAnsi="Calibri" w:cs="Calibri"/>
          <w:color w:val="000000"/>
          <w:sz w:val="24"/>
          <w:szCs w:val="24"/>
        </w:rPr>
        <w:t xml:space="preserve">, </w:t>
      </w:r>
      <w:r w:rsidRPr="00513165">
        <w:rPr>
          <w:rFonts w:ascii="Calibri" w:hAnsi="Calibri" w:cs="Calibri"/>
          <w:color w:val="000000"/>
          <w:sz w:val="24"/>
          <w:szCs w:val="24"/>
        </w:rPr>
        <w:t>2010)</w:t>
      </w:r>
      <w:r>
        <w:rPr>
          <w:rFonts w:ascii="Calibri" w:hAnsi="Calibri" w:cs="Calibri"/>
          <w:color w:val="000000"/>
          <w:sz w:val="24"/>
          <w:szCs w:val="24"/>
        </w:rPr>
        <w:t xml:space="preserve">. </w:t>
      </w:r>
      <w:r w:rsidR="00491283" w:rsidRPr="00513165">
        <w:rPr>
          <w:rFonts w:ascii="Calibri" w:hAnsi="Calibri" w:cs="Calibri"/>
          <w:color w:val="000000"/>
          <w:sz w:val="24"/>
          <w:szCs w:val="24"/>
        </w:rPr>
        <w:t>In their large-sca</w:t>
      </w:r>
      <w:r>
        <w:rPr>
          <w:rFonts w:ascii="Calibri" w:hAnsi="Calibri" w:cs="Calibri"/>
          <w:color w:val="000000"/>
          <w:sz w:val="24"/>
          <w:szCs w:val="24"/>
        </w:rPr>
        <w:t xml:space="preserve">le longitudinal study, Wehrens et al. </w:t>
      </w:r>
      <w:r w:rsidR="00491283" w:rsidRPr="00513165">
        <w:rPr>
          <w:rFonts w:ascii="Calibri" w:hAnsi="Calibri" w:cs="Calibri"/>
          <w:color w:val="000000"/>
          <w:sz w:val="24"/>
          <w:szCs w:val="24"/>
        </w:rPr>
        <w:t xml:space="preserve">(2010) found evidence of the positive effects of </w:t>
      </w:r>
      <w:r w:rsidR="00E14D33">
        <w:rPr>
          <w:rFonts w:ascii="Calibri" w:hAnsi="Calibri" w:cs="Calibri"/>
          <w:color w:val="000000"/>
          <w:sz w:val="24"/>
          <w:szCs w:val="24"/>
        </w:rPr>
        <w:t xml:space="preserve">downward </w:t>
      </w:r>
      <w:r w:rsidR="00491283" w:rsidRPr="00513165">
        <w:rPr>
          <w:rFonts w:ascii="Calibri" w:hAnsi="Calibri" w:cs="Calibri"/>
          <w:color w:val="000000"/>
          <w:sz w:val="24"/>
          <w:szCs w:val="24"/>
        </w:rPr>
        <w:t xml:space="preserve">social comparison on student </w:t>
      </w:r>
      <w:r w:rsidR="00491283" w:rsidRPr="00B10431">
        <w:rPr>
          <w:rFonts w:ascii="Calibri" w:hAnsi="Calibri" w:cs="Calibri"/>
          <w:sz w:val="24"/>
          <w:szCs w:val="24"/>
        </w:rPr>
        <w:t xml:space="preserve">academic performance. </w:t>
      </w:r>
      <w:r w:rsidR="00E14D33" w:rsidRPr="00B10431">
        <w:rPr>
          <w:rFonts w:ascii="Calibri" w:hAnsi="Calibri" w:cs="Calibri"/>
          <w:sz w:val="24"/>
          <w:szCs w:val="24"/>
        </w:rPr>
        <w:t xml:space="preserve">The larger the extent of a downward comparison, the higher a participant’s reading comprehension score and mathematical test score was two years later. </w:t>
      </w:r>
    </w:p>
    <w:p w14:paraId="53F8FC4C" w14:textId="593EA5BB" w:rsidR="00D1657A" w:rsidRPr="00513165" w:rsidRDefault="00D1657A" w:rsidP="00B10431">
      <w:pPr>
        <w:autoSpaceDE w:val="0"/>
        <w:autoSpaceDN w:val="0"/>
        <w:adjustRightInd w:val="0"/>
        <w:spacing w:after="0" w:line="360" w:lineRule="auto"/>
        <w:ind w:firstLine="720"/>
        <w:jc w:val="both"/>
        <w:rPr>
          <w:rFonts w:ascii="Calibri" w:hAnsi="Calibri" w:cs="Calibri"/>
          <w:color w:val="000000"/>
          <w:sz w:val="24"/>
          <w:szCs w:val="24"/>
        </w:rPr>
      </w:pPr>
      <w:r w:rsidRPr="00513165">
        <w:rPr>
          <w:rFonts w:ascii="Calibri" w:hAnsi="Calibri" w:cs="Calibri"/>
          <w:color w:val="000000"/>
          <w:sz w:val="24"/>
          <w:szCs w:val="24"/>
        </w:rPr>
        <w:t>Interestingly, Pulford</w:t>
      </w:r>
      <w:r w:rsidR="00EC1939">
        <w:rPr>
          <w:rFonts w:ascii="Calibri" w:hAnsi="Calibri" w:cs="Calibri"/>
          <w:color w:val="000000"/>
          <w:sz w:val="24"/>
          <w:szCs w:val="24"/>
        </w:rPr>
        <w:t xml:space="preserve"> and colleagues </w:t>
      </w:r>
      <w:r w:rsidRPr="00513165">
        <w:rPr>
          <w:rFonts w:ascii="Calibri" w:hAnsi="Calibri" w:cs="Calibri"/>
          <w:color w:val="000000"/>
          <w:sz w:val="24"/>
          <w:szCs w:val="24"/>
        </w:rPr>
        <w:t>(2018) found that for higher education students</w:t>
      </w:r>
      <w:r w:rsidR="00D93D1D" w:rsidRPr="00513165">
        <w:rPr>
          <w:rFonts w:ascii="Calibri" w:hAnsi="Calibri" w:cs="Calibri"/>
          <w:color w:val="000000"/>
          <w:sz w:val="24"/>
          <w:szCs w:val="24"/>
        </w:rPr>
        <w:t>,</w:t>
      </w:r>
      <w:r w:rsidRPr="00513165">
        <w:rPr>
          <w:rFonts w:ascii="Calibri" w:hAnsi="Calibri" w:cs="Calibri"/>
          <w:color w:val="000000"/>
          <w:sz w:val="24"/>
          <w:szCs w:val="24"/>
        </w:rPr>
        <w:t xml:space="preserve"> making downward academic social comparisons was not common and had no effect on academic confidence. Engaging in upward social comparisons, in contrast, led to university students demonstrating less confidence in numeracy, speaking</w:t>
      </w:r>
      <w:r w:rsidR="00D93D1D" w:rsidRPr="00513165">
        <w:rPr>
          <w:rFonts w:ascii="Calibri" w:hAnsi="Calibri" w:cs="Calibri"/>
          <w:color w:val="000000"/>
          <w:sz w:val="24"/>
          <w:szCs w:val="24"/>
        </w:rPr>
        <w:t>, and hard IT. In addition,</w:t>
      </w:r>
      <w:r w:rsidRPr="00513165">
        <w:rPr>
          <w:rFonts w:ascii="Calibri" w:hAnsi="Calibri" w:cs="Calibri"/>
          <w:color w:val="000000"/>
          <w:sz w:val="24"/>
          <w:szCs w:val="24"/>
        </w:rPr>
        <w:t xml:space="preserve"> students who were less likely to compare themselves socially were</w:t>
      </w:r>
      <w:r w:rsidR="00D93D1D" w:rsidRPr="00513165">
        <w:rPr>
          <w:rFonts w:ascii="Calibri" w:hAnsi="Calibri" w:cs="Calibri"/>
          <w:color w:val="000000"/>
          <w:sz w:val="24"/>
          <w:szCs w:val="24"/>
        </w:rPr>
        <w:t xml:space="preserve"> ultimately</w:t>
      </w:r>
      <w:r w:rsidRPr="00513165">
        <w:rPr>
          <w:rFonts w:ascii="Calibri" w:hAnsi="Calibri" w:cs="Calibri"/>
          <w:color w:val="000000"/>
          <w:sz w:val="24"/>
          <w:szCs w:val="24"/>
        </w:rPr>
        <w:t xml:space="preserve"> more confident in reading, writing</w:t>
      </w:r>
      <w:r w:rsidR="0050694B">
        <w:rPr>
          <w:rFonts w:ascii="Calibri" w:hAnsi="Calibri" w:cs="Calibri"/>
          <w:color w:val="000000"/>
          <w:sz w:val="24"/>
          <w:szCs w:val="24"/>
        </w:rPr>
        <w:t>,</w:t>
      </w:r>
      <w:r w:rsidRPr="00513165">
        <w:rPr>
          <w:rFonts w:ascii="Calibri" w:hAnsi="Calibri" w:cs="Calibri"/>
          <w:color w:val="000000"/>
          <w:sz w:val="24"/>
          <w:szCs w:val="24"/>
        </w:rPr>
        <w:t xml:space="preserve"> and time management. </w:t>
      </w:r>
      <w:r w:rsidR="0050694B">
        <w:rPr>
          <w:rFonts w:ascii="Calibri" w:hAnsi="Calibri" w:cs="Calibri"/>
          <w:color w:val="000000"/>
          <w:sz w:val="24"/>
          <w:szCs w:val="24"/>
        </w:rPr>
        <w:t>T</w:t>
      </w:r>
      <w:r w:rsidR="00D93D1D" w:rsidRPr="00513165">
        <w:rPr>
          <w:rFonts w:ascii="Calibri" w:hAnsi="Calibri" w:cs="Calibri"/>
          <w:color w:val="000000"/>
          <w:sz w:val="24"/>
          <w:szCs w:val="24"/>
        </w:rPr>
        <w:t>his research highlights the negative effects social comparisons can have on students</w:t>
      </w:r>
      <w:r w:rsidR="00491283" w:rsidRPr="00513165">
        <w:rPr>
          <w:rFonts w:ascii="Calibri" w:hAnsi="Calibri" w:cs="Calibri"/>
          <w:color w:val="000000"/>
          <w:sz w:val="24"/>
          <w:szCs w:val="24"/>
        </w:rPr>
        <w:t>’</w:t>
      </w:r>
      <w:r w:rsidR="00D93D1D" w:rsidRPr="00513165">
        <w:rPr>
          <w:rFonts w:ascii="Calibri" w:hAnsi="Calibri" w:cs="Calibri"/>
          <w:color w:val="000000"/>
          <w:sz w:val="24"/>
          <w:szCs w:val="24"/>
        </w:rPr>
        <w:t xml:space="preserve"> academic performance and academic confidence.</w:t>
      </w:r>
    </w:p>
    <w:p w14:paraId="66886BB8" w14:textId="49D5DDBC" w:rsidR="00FF0403" w:rsidRDefault="00CA7692" w:rsidP="00B10431">
      <w:pPr>
        <w:spacing w:line="360" w:lineRule="auto"/>
        <w:ind w:firstLine="720"/>
        <w:jc w:val="both"/>
        <w:rPr>
          <w:rFonts w:ascii="Calibri" w:hAnsi="Calibri" w:cs="Calibri"/>
          <w:sz w:val="24"/>
          <w:szCs w:val="24"/>
        </w:rPr>
      </w:pPr>
      <w:r w:rsidRPr="00513165">
        <w:rPr>
          <w:rFonts w:ascii="Calibri" w:hAnsi="Calibri" w:cs="Calibri"/>
          <w:sz w:val="24"/>
          <w:szCs w:val="24"/>
        </w:rPr>
        <w:t xml:space="preserve">It is important to note that the effects of upward and downward comparisons detailed above may not be generalizable for all students. In fact, research suggests that the impact of social comparison on a student depends on the academic ability of said student. </w:t>
      </w:r>
      <w:r w:rsidR="00FF0403" w:rsidRPr="00513165">
        <w:rPr>
          <w:rFonts w:ascii="Calibri" w:hAnsi="Calibri" w:cs="Calibri"/>
          <w:sz w:val="24"/>
          <w:szCs w:val="24"/>
        </w:rPr>
        <w:t>In a longitudinal study of students in grades 3, 4 and 5, Molloy, Guest</w:t>
      </w:r>
      <w:r w:rsidR="00D93D1D" w:rsidRPr="00513165">
        <w:rPr>
          <w:rFonts w:ascii="Calibri" w:hAnsi="Calibri" w:cs="Calibri"/>
          <w:sz w:val="24"/>
          <w:szCs w:val="24"/>
        </w:rPr>
        <w:t>,</w:t>
      </w:r>
      <w:r w:rsidR="00FF0403" w:rsidRPr="00513165">
        <w:rPr>
          <w:rFonts w:ascii="Calibri" w:hAnsi="Calibri" w:cs="Calibri"/>
          <w:sz w:val="24"/>
          <w:szCs w:val="24"/>
        </w:rPr>
        <w:t xml:space="preserve"> and Rulison (2010) found evidence for academic achievement</w:t>
      </w:r>
      <w:r w:rsidR="00D93D1D" w:rsidRPr="00513165">
        <w:rPr>
          <w:rFonts w:ascii="Calibri" w:hAnsi="Calibri" w:cs="Calibri"/>
          <w:sz w:val="24"/>
          <w:szCs w:val="24"/>
        </w:rPr>
        <w:t xml:space="preserve"> moderating the effects of social comparison</w:t>
      </w:r>
      <w:r w:rsidR="0075104F">
        <w:rPr>
          <w:rFonts w:ascii="Calibri" w:hAnsi="Calibri" w:cs="Calibri"/>
          <w:sz w:val="24"/>
          <w:szCs w:val="24"/>
        </w:rPr>
        <w:t>. S</w:t>
      </w:r>
      <w:r w:rsidR="00FF0403" w:rsidRPr="00513165">
        <w:rPr>
          <w:rFonts w:ascii="Calibri" w:hAnsi="Calibri" w:cs="Calibri"/>
          <w:sz w:val="24"/>
          <w:szCs w:val="24"/>
        </w:rPr>
        <w:t>tudents making upward comparisons showed a boost in their academic self-concept if they were high-achieving students. For low achieving students however, upward comparisons result</w:t>
      </w:r>
      <w:r w:rsidR="0003483D">
        <w:rPr>
          <w:rFonts w:ascii="Calibri" w:hAnsi="Calibri" w:cs="Calibri"/>
          <w:sz w:val="24"/>
          <w:szCs w:val="24"/>
        </w:rPr>
        <w:t>ed</w:t>
      </w:r>
      <w:r w:rsidR="00FF0403" w:rsidRPr="00513165">
        <w:rPr>
          <w:rFonts w:ascii="Calibri" w:hAnsi="Calibri" w:cs="Calibri"/>
          <w:sz w:val="24"/>
          <w:szCs w:val="24"/>
        </w:rPr>
        <w:t xml:space="preserve"> in a decreased academic self-concept.</w:t>
      </w:r>
      <w:r w:rsidR="00B24B77">
        <w:rPr>
          <w:rFonts w:ascii="Calibri" w:hAnsi="Calibri" w:cs="Calibri"/>
          <w:sz w:val="24"/>
          <w:szCs w:val="24"/>
        </w:rPr>
        <w:t xml:space="preserve"> In addition, Altermatt and Pomerantz (2005) found that low-achieving students demonstrated a trade off when they had hi</w:t>
      </w:r>
      <w:r w:rsidR="0003483D">
        <w:rPr>
          <w:rFonts w:ascii="Calibri" w:hAnsi="Calibri" w:cs="Calibri"/>
          <w:sz w:val="24"/>
          <w:szCs w:val="24"/>
        </w:rPr>
        <w:t>gh-achieving friends. L</w:t>
      </w:r>
      <w:r w:rsidR="00B24B77">
        <w:rPr>
          <w:rFonts w:ascii="Calibri" w:hAnsi="Calibri" w:cs="Calibri"/>
          <w:sz w:val="24"/>
          <w:szCs w:val="24"/>
        </w:rPr>
        <w:t>ow-achieving students with high-achieving friends evaluated themselves less positively, but performed better academically than low-achievers with low-achieving friends.</w:t>
      </w:r>
      <w:r w:rsidR="00D93D1D" w:rsidRPr="00513165">
        <w:rPr>
          <w:rFonts w:ascii="Calibri" w:hAnsi="Calibri" w:cs="Calibri"/>
          <w:sz w:val="24"/>
          <w:szCs w:val="24"/>
        </w:rPr>
        <w:t xml:space="preserve"> As such, in the present study we measured students’ academic performance and included this as an independent variable in our analyses.</w:t>
      </w:r>
    </w:p>
    <w:p w14:paraId="42655946" w14:textId="77777777" w:rsidR="00B10431" w:rsidRDefault="00B10431" w:rsidP="0075104F">
      <w:pPr>
        <w:spacing w:line="360" w:lineRule="auto"/>
        <w:jc w:val="both"/>
        <w:rPr>
          <w:rFonts w:ascii="Calibri" w:hAnsi="Calibri" w:cs="Calibri"/>
          <w:sz w:val="24"/>
          <w:szCs w:val="24"/>
        </w:rPr>
      </w:pPr>
    </w:p>
    <w:p w14:paraId="41DE0EB4" w14:textId="77777777" w:rsidR="0003483D" w:rsidRPr="00B10431" w:rsidRDefault="0003483D" w:rsidP="00B10431">
      <w:pPr>
        <w:jc w:val="both"/>
        <w:rPr>
          <w:rFonts w:ascii="Calibri" w:hAnsi="Calibri" w:cs="Calibri"/>
          <w:b/>
          <w:i/>
          <w:sz w:val="24"/>
          <w:szCs w:val="24"/>
        </w:rPr>
      </w:pPr>
      <w:r w:rsidRPr="00B10431">
        <w:rPr>
          <w:rFonts w:ascii="Calibri" w:hAnsi="Calibri" w:cs="Calibri"/>
          <w:b/>
          <w:i/>
          <w:sz w:val="24"/>
          <w:szCs w:val="24"/>
        </w:rPr>
        <w:t>The Present Study</w:t>
      </w:r>
    </w:p>
    <w:p w14:paraId="42659605" w14:textId="619A6AEA" w:rsidR="007A67F1" w:rsidRDefault="00FA7857" w:rsidP="00B10431">
      <w:pPr>
        <w:spacing w:line="360" w:lineRule="auto"/>
        <w:jc w:val="both"/>
        <w:rPr>
          <w:rFonts w:ascii="Calibri" w:hAnsi="Calibri" w:cs="Calibri"/>
          <w:sz w:val="24"/>
          <w:szCs w:val="24"/>
        </w:rPr>
      </w:pPr>
      <w:r w:rsidRPr="0075104F">
        <w:rPr>
          <w:rFonts w:ascii="Calibri" w:hAnsi="Calibri" w:cs="Calibri"/>
          <w:sz w:val="24"/>
          <w:szCs w:val="24"/>
        </w:rPr>
        <w:t>Learning</w:t>
      </w:r>
      <w:r w:rsidR="00157D02" w:rsidRPr="00CB7702">
        <w:rPr>
          <w:rFonts w:ascii="Calibri" w:hAnsi="Calibri" w:cs="Calibri"/>
          <w:sz w:val="24"/>
          <w:szCs w:val="24"/>
        </w:rPr>
        <w:t xml:space="preserve"> Analytic</w:t>
      </w:r>
      <w:r w:rsidRPr="0075104F">
        <w:rPr>
          <w:rFonts w:ascii="Calibri" w:hAnsi="Calibri" w:cs="Calibri"/>
          <w:sz w:val="24"/>
          <w:szCs w:val="24"/>
        </w:rPr>
        <w:t xml:space="preserve"> Dashboards</w:t>
      </w:r>
      <w:r w:rsidR="00635640">
        <w:rPr>
          <w:rFonts w:ascii="Calibri" w:hAnsi="Calibri" w:cs="Calibri"/>
          <w:sz w:val="24"/>
          <w:szCs w:val="24"/>
        </w:rPr>
        <w:t xml:space="preserve"> are graphical interfaces that</w:t>
      </w:r>
      <w:r w:rsidRPr="0075104F">
        <w:rPr>
          <w:rFonts w:ascii="Calibri" w:hAnsi="Calibri" w:cs="Calibri"/>
          <w:sz w:val="24"/>
          <w:szCs w:val="24"/>
        </w:rPr>
        <w:t xml:space="preserve"> </w:t>
      </w:r>
      <w:r w:rsidR="009431B6" w:rsidRPr="0075104F">
        <w:rPr>
          <w:rFonts w:ascii="Calibri" w:hAnsi="Calibri" w:cs="Calibri"/>
          <w:sz w:val="24"/>
          <w:szCs w:val="24"/>
        </w:rPr>
        <w:t>capture and visualise data regarding a learner</w:t>
      </w:r>
      <w:r w:rsidR="0075104F">
        <w:rPr>
          <w:rFonts w:ascii="Calibri" w:hAnsi="Calibri" w:cs="Calibri"/>
          <w:sz w:val="24"/>
          <w:szCs w:val="24"/>
        </w:rPr>
        <w:t>’</w:t>
      </w:r>
      <w:r w:rsidR="009431B6" w:rsidRPr="0075104F">
        <w:rPr>
          <w:rFonts w:ascii="Calibri" w:hAnsi="Calibri" w:cs="Calibri"/>
          <w:sz w:val="24"/>
          <w:szCs w:val="24"/>
        </w:rPr>
        <w:t xml:space="preserve">s activities </w:t>
      </w:r>
      <w:r w:rsidR="00C556FD">
        <w:rPr>
          <w:rFonts w:ascii="Calibri" w:hAnsi="Calibri" w:cs="Calibri"/>
          <w:sz w:val="24"/>
          <w:szCs w:val="24"/>
        </w:rPr>
        <w:t xml:space="preserve">in order </w:t>
      </w:r>
      <w:r w:rsidR="009431B6" w:rsidRPr="0075104F">
        <w:rPr>
          <w:rFonts w:ascii="Calibri" w:hAnsi="Calibri" w:cs="Calibri"/>
          <w:sz w:val="24"/>
          <w:szCs w:val="24"/>
        </w:rPr>
        <w:t>to support aw</w:t>
      </w:r>
      <w:r w:rsidR="00157D02" w:rsidRPr="00CB7702">
        <w:rPr>
          <w:rFonts w:ascii="Calibri" w:hAnsi="Calibri" w:cs="Calibri"/>
          <w:sz w:val="24"/>
          <w:szCs w:val="24"/>
        </w:rPr>
        <w:t>areness, self-reflection</w:t>
      </w:r>
      <w:r w:rsidR="00C556FD">
        <w:rPr>
          <w:rFonts w:ascii="Calibri" w:hAnsi="Calibri" w:cs="Calibri"/>
          <w:sz w:val="24"/>
          <w:szCs w:val="24"/>
        </w:rPr>
        <w:t xml:space="preserve"> and</w:t>
      </w:r>
      <w:r w:rsidR="00157D02" w:rsidRPr="00CB7702">
        <w:rPr>
          <w:rFonts w:ascii="Calibri" w:hAnsi="Calibri" w:cs="Calibri"/>
          <w:sz w:val="24"/>
          <w:szCs w:val="24"/>
        </w:rPr>
        <w:t>, sense-</w:t>
      </w:r>
      <w:r w:rsidR="009431B6" w:rsidRPr="0075104F">
        <w:rPr>
          <w:rFonts w:ascii="Calibri" w:hAnsi="Calibri" w:cs="Calibri"/>
          <w:sz w:val="24"/>
          <w:szCs w:val="24"/>
        </w:rPr>
        <w:t>making (Verbert et al., 2014)</w:t>
      </w:r>
      <w:r w:rsidR="00635640">
        <w:rPr>
          <w:rFonts w:ascii="Calibri" w:hAnsi="Calibri" w:cs="Calibri"/>
          <w:sz w:val="24"/>
          <w:szCs w:val="24"/>
        </w:rPr>
        <w:t>,</w:t>
      </w:r>
      <w:r w:rsidR="009431B6">
        <w:rPr>
          <w:rFonts w:ascii="Calibri" w:hAnsi="Calibri" w:cs="Calibri"/>
          <w:sz w:val="24"/>
          <w:szCs w:val="24"/>
        </w:rPr>
        <w:t xml:space="preserve"> </w:t>
      </w:r>
      <w:r w:rsidR="00E14D33">
        <w:rPr>
          <w:rFonts w:ascii="Calibri" w:hAnsi="Calibri" w:cs="Calibri"/>
          <w:sz w:val="24"/>
          <w:szCs w:val="24"/>
        </w:rPr>
        <w:t xml:space="preserve">and are widely </w:t>
      </w:r>
      <w:r>
        <w:rPr>
          <w:rFonts w:ascii="Calibri" w:hAnsi="Calibri" w:cs="Calibri"/>
          <w:sz w:val="24"/>
          <w:szCs w:val="24"/>
        </w:rPr>
        <w:t xml:space="preserve">used across Higher Education institutions </w:t>
      </w:r>
      <w:r w:rsidR="00E14D33">
        <w:rPr>
          <w:rFonts w:ascii="Calibri" w:hAnsi="Calibri" w:cs="Calibri"/>
          <w:sz w:val="24"/>
          <w:szCs w:val="24"/>
        </w:rPr>
        <w:t>(</w:t>
      </w:r>
      <w:r w:rsidR="001C6FDE">
        <w:rPr>
          <w:rFonts w:ascii="Calibri" w:hAnsi="Calibri" w:cs="Calibri"/>
          <w:sz w:val="24"/>
          <w:szCs w:val="24"/>
        </w:rPr>
        <w:t>Bennett, 2018</w:t>
      </w:r>
      <w:r>
        <w:rPr>
          <w:rFonts w:ascii="Calibri" w:hAnsi="Calibri" w:cs="Calibri"/>
          <w:sz w:val="24"/>
          <w:szCs w:val="24"/>
        </w:rPr>
        <w:t xml:space="preserve">). </w:t>
      </w:r>
      <w:r w:rsidR="00190ADE">
        <w:rPr>
          <w:rFonts w:ascii="Calibri" w:hAnsi="Calibri" w:cs="Calibri"/>
          <w:sz w:val="24"/>
          <w:szCs w:val="24"/>
        </w:rPr>
        <w:t>Higher education has seen development in learning Dashboards in recent years, justifying research enquiry into the effects of this emerging technology on students.</w:t>
      </w:r>
      <w:r w:rsidR="007A67F1">
        <w:rPr>
          <w:rFonts w:ascii="Calibri" w:hAnsi="Calibri" w:cs="Calibri"/>
          <w:sz w:val="24"/>
          <w:szCs w:val="24"/>
        </w:rPr>
        <w:t xml:space="preserve"> With a growing body of literature considering the use of Learning Dashboards, little research has considered the use of Dashboards in a student-facing capacity or the impact of </w:t>
      </w:r>
      <w:r w:rsidR="002E4C98">
        <w:rPr>
          <w:rFonts w:ascii="Calibri" w:hAnsi="Calibri" w:cs="Calibri"/>
          <w:sz w:val="24"/>
          <w:szCs w:val="24"/>
        </w:rPr>
        <w:t xml:space="preserve">Dashboard information </w:t>
      </w:r>
      <w:r w:rsidR="007A67F1">
        <w:rPr>
          <w:rFonts w:ascii="Calibri" w:hAnsi="Calibri" w:cs="Calibri"/>
          <w:sz w:val="24"/>
          <w:szCs w:val="24"/>
        </w:rPr>
        <w:t xml:space="preserve">on </w:t>
      </w:r>
      <w:r w:rsidR="00CF021F">
        <w:rPr>
          <w:rFonts w:ascii="Calibri" w:hAnsi="Calibri" w:cs="Calibri"/>
          <w:sz w:val="24"/>
          <w:szCs w:val="24"/>
        </w:rPr>
        <w:t>students</w:t>
      </w:r>
      <w:r w:rsidR="007A67F1">
        <w:rPr>
          <w:rFonts w:ascii="Calibri" w:hAnsi="Calibri" w:cs="Calibri"/>
          <w:sz w:val="24"/>
          <w:szCs w:val="24"/>
        </w:rPr>
        <w:t xml:space="preserve"> (see Schwendimann et al., </w:t>
      </w:r>
      <w:r w:rsidR="007A67F1" w:rsidRPr="00CA7B78">
        <w:rPr>
          <w:rFonts w:ascii="Calibri" w:hAnsi="Calibri" w:cs="Calibri"/>
          <w:sz w:val="24"/>
          <w:szCs w:val="24"/>
        </w:rPr>
        <w:t>2016</w:t>
      </w:r>
      <w:r w:rsidR="00635640">
        <w:rPr>
          <w:rFonts w:ascii="Calibri" w:hAnsi="Calibri" w:cs="Calibri"/>
          <w:sz w:val="24"/>
          <w:szCs w:val="24"/>
        </w:rPr>
        <w:t>;</w:t>
      </w:r>
      <w:r w:rsidR="00203638" w:rsidRPr="00635640">
        <w:rPr>
          <w:rFonts w:ascii="Calibri" w:hAnsi="Calibri" w:cs="Calibri"/>
          <w:sz w:val="24"/>
          <w:szCs w:val="24"/>
        </w:rPr>
        <w:t xml:space="preserve"> Verbert</w:t>
      </w:r>
      <w:r w:rsidR="000A3516">
        <w:rPr>
          <w:rFonts w:ascii="Calibri" w:hAnsi="Calibri" w:cs="Calibri"/>
          <w:sz w:val="24"/>
          <w:szCs w:val="24"/>
        </w:rPr>
        <w:t xml:space="preserve">, Duval, Klerkx, Govaerts &amp; Santos, </w:t>
      </w:r>
      <w:r w:rsidR="00203638" w:rsidRPr="00635640">
        <w:rPr>
          <w:rFonts w:ascii="Calibri" w:hAnsi="Calibri" w:cs="Calibri"/>
          <w:sz w:val="24"/>
          <w:szCs w:val="24"/>
        </w:rPr>
        <w:t>2013</w:t>
      </w:r>
      <w:r w:rsidR="007A67F1">
        <w:rPr>
          <w:rFonts w:ascii="Calibri" w:hAnsi="Calibri" w:cs="Calibri"/>
          <w:sz w:val="24"/>
          <w:szCs w:val="24"/>
        </w:rPr>
        <w:t xml:space="preserve">). </w:t>
      </w:r>
    </w:p>
    <w:p w14:paraId="6DA4BA7A" w14:textId="625A9E6D" w:rsidR="0003483D" w:rsidRDefault="001C6FDE" w:rsidP="00B10431">
      <w:pPr>
        <w:spacing w:line="360" w:lineRule="auto"/>
        <w:ind w:firstLine="720"/>
        <w:jc w:val="both"/>
        <w:rPr>
          <w:rFonts w:ascii="Calibri" w:hAnsi="Calibri" w:cs="Calibri"/>
          <w:sz w:val="24"/>
          <w:szCs w:val="24"/>
        </w:rPr>
      </w:pPr>
      <w:r>
        <w:rPr>
          <w:rFonts w:ascii="Calibri" w:hAnsi="Calibri" w:cs="Calibri"/>
          <w:sz w:val="24"/>
          <w:szCs w:val="24"/>
        </w:rPr>
        <w:t>Bennett (2018</w:t>
      </w:r>
      <w:r w:rsidR="00FA7857">
        <w:rPr>
          <w:rFonts w:ascii="Calibri" w:hAnsi="Calibri" w:cs="Calibri"/>
          <w:sz w:val="24"/>
          <w:szCs w:val="24"/>
        </w:rPr>
        <w:t>)</w:t>
      </w:r>
      <w:r w:rsidR="002E4C98">
        <w:rPr>
          <w:rFonts w:ascii="Calibri" w:hAnsi="Calibri" w:cs="Calibri"/>
          <w:sz w:val="24"/>
          <w:szCs w:val="24"/>
        </w:rPr>
        <w:t xml:space="preserve"> utilised interviews to consider the effects of Dashboard data on students and</w:t>
      </w:r>
      <w:r w:rsidR="00FA7857">
        <w:rPr>
          <w:rFonts w:ascii="Calibri" w:hAnsi="Calibri" w:cs="Calibri"/>
          <w:sz w:val="24"/>
          <w:szCs w:val="24"/>
        </w:rPr>
        <w:t xml:space="preserve"> found that most students, even those who are low-achieving, are motivated </w:t>
      </w:r>
      <w:r w:rsidR="000C4CFE">
        <w:rPr>
          <w:rFonts w:ascii="Calibri" w:hAnsi="Calibri" w:cs="Calibri"/>
          <w:sz w:val="24"/>
          <w:szCs w:val="24"/>
        </w:rPr>
        <w:t>following</w:t>
      </w:r>
      <w:r w:rsidR="00FA7857">
        <w:rPr>
          <w:rFonts w:ascii="Calibri" w:hAnsi="Calibri" w:cs="Calibri"/>
          <w:sz w:val="24"/>
          <w:szCs w:val="24"/>
        </w:rPr>
        <w:t xml:space="preserve"> viewing their Dashboard display</w:t>
      </w:r>
      <w:r w:rsidR="000C4CFE">
        <w:rPr>
          <w:rFonts w:ascii="Calibri" w:hAnsi="Calibri" w:cs="Calibri"/>
          <w:sz w:val="24"/>
          <w:szCs w:val="24"/>
        </w:rPr>
        <w:t>,</w:t>
      </w:r>
      <w:r w:rsidR="00FA7857">
        <w:rPr>
          <w:rFonts w:ascii="Calibri" w:hAnsi="Calibri" w:cs="Calibri"/>
          <w:sz w:val="24"/>
          <w:szCs w:val="24"/>
        </w:rPr>
        <w:t xml:space="preserve"> and such motivation can lead to positive changes in </w:t>
      </w:r>
      <w:r w:rsidR="000C4CFE">
        <w:rPr>
          <w:rFonts w:ascii="Calibri" w:hAnsi="Calibri" w:cs="Calibri"/>
          <w:sz w:val="24"/>
          <w:szCs w:val="24"/>
        </w:rPr>
        <w:t>student behaviour. In addition</w:t>
      </w:r>
      <w:r w:rsidR="00FA7857">
        <w:rPr>
          <w:rFonts w:ascii="Calibri" w:hAnsi="Calibri" w:cs="Calibri"/>
          <w:sz w:val="24"/>
          <w:szCs w:val="24"/>
        </w:rPr>
        <w:t xml:space="preserve">, </w:t>
      </w:r>
      <w:r w:rsidR="00FA7857" w:rsidRPr="00EC5501">
        <w:rPr>
          <w:rFonts w:ascii="Calibri" w:hAnsi="Calibri" w:cs="Calibri"/>
          <w:sz w:val="24"/>
          <w:szCs w:val="24"/>
        </w:rPr>
        <w:t xml:space="preserve">Bennett </w:t>
      </w:r>
      <w:r w:rsidR="00FA7857">
        <w:rPr>
          <w:rFonts w:ascii="Calibri" w:hAnsi="Calibri" w:cs="Calibri"/>
          <w:sz w:val="24"/>
          <w:szCs w:val="24"/>
        </w:rPr>
        <w:t xml:space="preserve">observed that even high-scoring students felt deflated after comparing themselves to others. Akin to Medvec et al.’s (1995) Olympic findings, even though these students had done objectively very well, the upward comparison against those who had performed slightly better </w:t>
      </w:r>
      <w:r w:rsidR="0003483D">
        <w:rPr>
          <w:rFonts w:ascii="Calibri" w:hAnsi="Calibri" w:cs="Calibri"/>
          <w:sz w:val="24"/>
          <w:szCs w:val="24"/>
        </w:rPr>
        <w:t xml:space="preserve">produced </w:t>
      </w:r>
      <w:r w:rsidR="0003483D" w:rsidRPr="00157D02">
        <w:rPr>
          <w:rFonts w:ascii="Calibri" w:hAnsi="Calibri" w:cs="Calibri"/>
          <w:sz w:val="24"/>
          <w:szCs w:val="24"/>
        </w:rPr>
        <w:t>detrimental effects</w:t>
      </w:r>
      <w:r w:rsidR="00FA7857" w:rsidRPr="00157D02">
        <w:rPr>
          <w:rFonts w:ascii="Calibri" w:hAnsi="Calibri" w:cs="Calibri"/>
          <w:sz w:val="24"/>
          <w:szCs w:val="24"/>
        </w:rPr>
        <w:t>.</w:t>
      </w:r>
      <w:r w:rsidR="00190ADE" w:rsidRPr="00157D02">
        <w:rPr>
          <w:rFonts w:ascii="Calibri" w:hAnsi="Calibri" w:cs="Calibri"/>
          <w:sz w:val="24"/>
          <w:szCs w:val="24"/>
        </w:rPr>
        <w:t xml:space="preserve"> </w:t>
      </w:r>
      <w:r w:rsidR="00190ADE" w:rsidRPr="00635640">
        <w:rPr>
          <w:rFonts w:ascii="Calibri" w:hAnsi="Calibri" w:cs="Calibri"/>
          <w:sz w:val="24"/>
          <w:szCs w:val="24"/>
        </w:rPr>
        <w:t>Dashb</w:t>
      </w:r>
      <w:r w:rsidR="0003483D" w:rsidRPr="00635640">
        <w:rPr>
          <w:rFonts w:ascii="Calibri" w:hAnsi="Calibri" w:cs="Calibri"/>
          <w:sz w:val="24"/>
          <w:szCs w:val="24"/>
        </w:rPr>
        <w:t>o</w:t>
      </w:r>
      <w:r w:rsidR="00190ADE" w:rsidRPr="00635640">
        <w:rPr>
          <w:rFonts w:ascii="Calibri" w:hAnsi="Calibri" w:cs="Calibri"/>
          <w:sz w:val="24"/>
          <w:szCs w:val="24"/>
        </w:rPr>
        <w:t>a</w:t>
      </w:r>
      <w:r w:rsidR="0003483D" w:rsidRPr="00635640">
        <w:rPr>
          <w:rFonts w:ascii="Calibri" w:hAnsi="Calibri" w:cs="Calibri"/>
          <w:sz w:val="24"/>
          <w:szCs w:val="24"/>
        </w:rPr>
        <w:t xml:space="preserve">rds  </w:t>
      </w:r>
      <w:r w:rsidR="00157D02" w:rsidRPr="00635640">
        <w:rPr>
          <w:rFonts w:ascii="Calibri" w:hAnsi="Calibri" w:cs="Calibri"/>
          <w:sz w:val="24"/>
          <w:szCs w:val="24"/>
        </w:rPr>
        <w:t>display learning analytics, of</w:t>
      </w:r>
      <w:r w:rsidR="0003483D" w:rsidRPr="00635640">
        <w:rPr>
          <w:rFonts w:ascii="Calibri" w:hAnsi="Calibri" w:cs="Calibri"/>
          <w:sz w:val="24"/>
          <w:szCs w:val="24"/>
        </w:rPr>
        <w:t xml:space="preserve">ten </w:t>
      </w:r>
      <w:r w:rsidR="00157D02" w:rsidRPr="00635640">
        <w:rPr>
          <w:rFonts w:ascii="Calibri" w:hAnsi="Calibri" w:cs="Calibri"/>
          <w:sz w:val="24"/>
          <w:szCs w:val="24"/>
        </w:rPr>
        <w:t xml:space="preserve">alongside </w:t>
      </w:r>
      <w:r w:rsidR="0003483D" w:rsidRPr="00635640">
        <w:rPr>
          <w:rFonts w:ascii="Calibri" w:hAnsi="Calibri" w:cs="Calibri"/>
          <w:sz w:val="24"/>
          <w:szCs w:val="24"/>
        </w:rPr>
        <w:t>comparison information</w:t>
      </w:r>
      <w:r w:rsidR="0003483D" w:rsidRPr="00157D02">
        <w:rPr>
          <w:rFonts w:ascii="Calibri" w:hAnsi="Calibri" w:cs="Calibri"/>
          <w:sz w:val="24"/>
          <w:szCs w:val="24"/>
        </w:rPr>
        <w:t xml:space="preserve"> (e.g. the level of the student’s engagement/attainment compared with the course average)</w:t>
      </w:r>
      <w:r w:rsidR="00223D30" w:rsidRPr="00157D02">
        <w:rPr>
          <w:rFonts w:ascii="Calibri" w:hAnsi="Calibri" w:cs="Calibri"/>
          <w:sz w:val="24"/>
          <w:szCs w:val="24"/>
        </w:rPr>
        <w:t>,</w:t>
      </w:r>
      <w:r w:rsidR="0003483D" w:rsidRPr="00157D02">
        <w:rPr>
          <w:rFonts w:ascii="Calibri" w:hAnsi="Calibri" w:cs="Calibri"/>
          <w:sz w:val="24"/>
          <w:szCs w:val="24"/>
        </w:rPr>
        <w:t xml:space="preserve"> and </w:t>
      </w:r>
      <w:r w:rsidR="00223D30">
        <w:rPr>
          <w:rFonts w:ascii="Calibri" w:hAnsi="Calibri" w:cs="Calibri"/>
          <w:sz w:val="24"/>
          <w:szCs w:val="24"/>
        </w:rPr>
        <w:t xml:space="preserve">as such, </w:t>
      </w:r>
      <w:r w:rsidR="0003483D">
        <w:rPr>
          <w:rFonts w:ascii="Calibri" w:hAnsi="Calibri" w:cs="Calibri"/>
          <w:sz w:val="24"/>
          <w:szCs w:val="24"/>
        </w:rPr>
        <w:t>may impact students’ self-esteem or academic performance</w:t>
      </w:r>
      <w:r w:rsidR="000C4CFE">
        <w:rPr>
          <w:rFonts w:ascii="Calibri" w:hAnsi="Calibri" w:cs="Calibri"/>
          <w:sz w:val="24"/>
          <w:szCs w:val="24"/>
        </w:rPr>
        <w:t>. However, such effects appear to be dependent on (1) the direction of the comparison</w:t>
      </w:r>
      <w:r w:rsidR="009C78FF">
        <w:rPr>
          <w:rFonts w:ascii="Calibri" w:hAnsi="Calibri" w:cs="Calibri"/>
          <w:sz w:val="24"/>
          <w:szCs w:val="24"/>
        </w:rPr>
        <w:t xml:space="preserve"> </w:t>
      </w:r>
      <w:r w:rsidR="009C78FF" w:rsidRPr="00635640">
        <w:rPr>
          <w:rFonts w:ascii="Calibri" w:hAnsi="Calibri" w:cs="Calibri"/>
          <w:sz w:val="24"/>
          <w:szCs w:val="24"/>
        </w:rPr>
        <w:t>(</w:t>
      </w:r>
      <w:r w:rsidR="009C78FF" w:rsidRPr="00635640">
        <w:rPr>
          <w:rFonts w:ascii="Calibri" w:hAnsi="Calibri" w:cs="Calibri"/>
          <w:color w:val="000000"/>
          <w:sz w:val="24"/>
          <w:szCs w:val="24"/>
        </w:rPr>
        <w:t>Pulford et al., 2018, Wehrens et al.</w:t>
      </w:r>
      <w:r w:rsidR="009C78FF" w:rsidRPr="008B2F43">
        <w:rPr>
          <w:rFonts w:ascii="Calibri" w:hAnsi="Calibri" w:cs="Calibri"/>
          <w:color w:val="000000"/>
          <w:sz w:val="24"/>
          <w:szCs w:val="24"/>
        </w:rPr>
        <w:t>, 2010)</w:t>
      </w:r>
      <w:r w:rsidR="000C4CFE" w:rsidRPr="008B2F43">
        <w:rPr>
          <w:rFonts w:ascii="Calibri" w:hAnsi="Calibri" w:cs="Calibri"/>
          <w:sz w:val="24"/>
          <w:szCs w:val="24"/>
        </w:rPr>
        <w:t xml:space="preserve"> and (2) the student’s academic achievement</w:t>
      </w:r>
      <w:r w:rsidR="009C78FF" w:rsidRPr="00CA7B78">
        <w:rPr>
          <w:rFonts w:ascii="Calibri" w:hAnsi="Calibri" w:cs="Calibri"/>
          <w:sz w:val="24"/>
          <w:szCs w:val="24"/>
        </w:rPr>
        <w:t xml:space="preserve"> (Altermatt &amp; Pomerantz, 2005</w:t>
      </w:r>
      <w:r w:rsidR="00CA7B78">
        <w:rPr>
          <w:rFonts w:ascii="Calibri" w:hAnsi="Calibri" w:cs="Calibri"/>
          <w:sz w:val="24"/>
          <w:szCs w:val="24"/>
        </w:rPr>
        <w:t>;</w:t>
      </w:r>
      <w:r w:rsidR="009C78FF" w:rsidRPr="00CA7B78">
        <w:rPr>
          <w:rFonts w:ascii="Calibri" w:hAnsi="Calibri" w:cs="Calibri"/>
          <w:sz w:val="24"/>
          <w:szCs w:val="24"/>
        </w:rPr>
        <w:t xml:space="preserve"> Molloy et al., 2010).</w:t>
      </w:r>
    </w:p>
    <w:p w14:paraId="44A3CEFE" w14:textId="3063E32D" w:rsidR="002956F0" w:rsidRDefault="0003483D" w:rsidP="00B10431">
      <w:pPr>
        <w:spacing w:line="360" w:lineRule="auto"/>
        <w:ind w:firstLine="720"/>
        <w:jc w:val="both"/>
        <w:rPr>
          <w:rFonts w:ascii="Calibri" w:hAnsi="Calibri" w:cs="Calibri"/>
          <w:sz w:val="24"/>
          <w:szCs w:val="24"/>
        </w:rPr>
      </w:pPr>
      <w:r>
        <w:rPr>
          <w:rFonts w:ascii="Calibri" w:hAnsi="Calibri" w:cs="Calibri"/>
          <w:sz w:val="24"/>
          <w:szCs w:val="24"/>
        </w:rPr>
        <w:t xml:space="preserve">The </w:t>
      </w:r>
      <w:r w:rsidR="000C4CFE">
        <w:rPr>
          <w:rFonts w:ascii="Calibri" w:hAnsi="Calibri" w:cs="Calibri"/>
          <w:sz w:val="24"/>
          <w:szCs w:val="24"/>
        </w:rPr>
        <w:t>curren</w:t>
      </w:r>
      <w:r>
        <w:rPr>
          <w:rFonts w:ascii="Calibri" w:hAnsi="Calibri" w:cs="Calibri"/>
          <w:sz w:val="24"/>
          <w:szCs w:val="24"/>
        </w:rPr>
        <w:t xml:space="preserve">t study sought to present students with hypothetical Dashboard displays that </w:t>
      </w:r>
      <w:r w:rsidR="000C4CFE">
        <w:rPr>
          <w:rFonts w:ascii="Calibri" w:hAnsi="Calibri" w:cs="Calibri"/>
          <w:sz w:val="24"/>
          <w:szCs w:val="24"/>
        </w:rPr>
        <w:t>simulated</w:t>
      </w:r>
      <w:r>
        <w:rPr>
          <w:rFonts w:ascii="Calibri" w:hAnsi="Calibri" w:cs="Calibri"/>
          <w:sz w:val="24"/>
          <w:szCs w:val="24"/>
        </w:rPr>
        <w:t xml:space="preserve"> a student performing </w:t>
      </w:r>
      <w:r w:rsidR="00223D30">
        <w:rPr>
          <w:rFonts w:ascii="Calibri" w:hAnsi="Calibri" w:cs="Calibri"/>
          <w:sz w:val="24"/>
          <w:szCs w:val="24"/>
        </w:rPr>
        <w:t xml:space="preserve">at </w:t>
      </w:r>
      <w:r>
        <w:rPr>
          <w:rFonts w:ascii="Calibri" w:hAnsi="Calibri" w:cs="Calibri"/>
          <w:sz w:val="24"/>
          <w:szCs w:val="24"/>
        </w:rPr>
        <w:t>and engaging below the course average, above the course average or at the course average.</w:t>
      </w:r>
      <w:r w:rsidR="00E44B62">
        <w:rPr>
          <w:rFonts w:ascii="Calibri" w:hAnsi="Calibri" w:cs="Calibri"/>
          <w:sz w:val="24"/>
          <w:szCs w:val="24"/>
        </w:rPr>
        <w:t xml:space="preserve"> </w:t>
      </w:r>
      <w:r w:rsidR="008E237F" w:rsidRPr="008B2F43">
        <w:rPr>
          <w:rFonts w:ascii="Calibri" w:hAnsi="Calibri" w:cs="Calibri"/>
          <w:sz w:val="24"/>
          <w:szCs w:val="24"/>
        </w:rPr>
        <w:t xml:space="preserve">Hypothetical vignettes and scenarios are used widely in a range of areas of research and </w:t>
      </w:r>
      <w:r w:rsidR="00CC384B" w:rsidRPr="008B2F43">
        <w:rPr>
          <w:rFonts w:ascii="Calibri" w:hAnsi="Calibri" w:cs="Calibri"/>
          <w:sz w:val="24"/>
          <w:szCs w:val="24"/>
        </w:rPr>
        <w:t>can provide researchers with an interpretation of the real world in a particular situated context (Hughes, 1998</w:t>
      </w:r>
      <w:r w:rsidR="00A75EF3">
        <w:rPr>
          <w:rFonts w:ascii="Calibri" w:hAnsi="Calibri" w:cs="Calibri"/>
          <w:sz w:val="24"/>
          <w:szCs w:val="24"/>
        </w:rPr>
        <w:t>; Shippen et al., 2005; Hofer et al., 2007</w:t>
      </w:r>
      <w:r w:rsidR="00CC384B" w:rsidRPr="008B2F43">
        <w:rPr>
          <w:rFonts w:ascii="Calibri" w:hAnsi="Calibri" w:cs="Calibri"/>
          <w:sz w:val="24"/>
          <w:szCs w:val="24"/>
        </w:rPr>
        <w:t>).</w:t>
      </w:r>
      <w:r w:rsidR="00157D02" w:rsidRPr="008B2F43">
        <w:rPr>
          <w:rFonts w:ascii="Calibri" w:hAnsi="Calibri" w:cs="Calibri"/>
          <w:sz w:val="24"/>
          <w:szCs w:val="24"/>
        </w:rPr>
        <w:t xml:space="preserve"> In addition, we wanted to limit variability and control the extent of social comparison </w:t>
      </w:r>
      <w:r w:rsidR="008B2F43">
        <w:rPr>
          <w:rFonts w:ascii="Calibri" w:hAnsi="Calibri" w:cs="Calibri"/>
          <w:sz w:val="24"/>
          <w:szCs w:val="24"/>
        </w:rPr>
        <w:t xml:space="preserve">that </w:t>
      </w:r>
      <w:r w:rsidR="00157D02" w:rsidRPr="008B2F43">
        <w:rPr>
          <w:rFonts w:ascii="Calibri" w:hAnsi="Calibri" w:cs="Calibri"/>
          <w:sz w:val="24"/>
          <w:szCs w:val="24"/>
        </w:rPr>
        <w:t>participants were exposed to, as previous research suggests positive effects of downward comparisons increase with the extent of the comparison (</w:t>
      </w:r>
      <w:r w:rsidR="00157D02" w:rsidRPr="008B2F43">
        <w:rPr>
          <w:rFonts w:ascii="Calibri" w:hAnsi="Calibri" w:cs="Calibri"/>
          <w:color w:val="000000"/>
          <w:sz w:val="24"/>
          <w:szCs w:val="24"/>
        </w:rPr>
        <w:t>Wehrens et al., 2010).</w:t>
      </w:r>
      <w:r w:rsidR="00CC384B">
        <w:rPr>
          <w:rFonts w:ascii="Calibri" w:hAnsi="Calibri" w:cs="Calibri"/>
          <w:sz w:val="24"/>
          <w:szCs w:val="24"/>
        </w:rPr>
        <w:t xml:space="preserve"> </w:t>
      </w:r>
      <w:r>
        <w:rPr>
          <w:rFonts w:ascii="Calibri" w:hAnsi="Calibri" w:cs="Calibri"/>
          <w:sz w:val="24"/>
          <w:szCs w:val="24"/>
        </w:rPr>
        <w:t xml:space="preserve">To control for academic ability acting as a potential moderator (Molloy et al., 2010), we also </w:t>
      </w:r>
      <w:r w:rsidR="00223D30">
        <w:rPr>
          <w:rFonts w:ascii="Calibri" w:hAnsi="Calibri" w:cs="Calibri"/>
          <w:sz w:val="24"/>
          <w:szCs w:val="24"/>
        </w:rPr>
        <w:t>accounted for</w:t>
      </w:r>
      <w:r>
        <w:rPr>
          <w:rFonts w:ascii="Calibri" w:hAnsi="Calibri" w:cs="Calibri"/>
          <w:sz w:val="24"/>
          <w:szCs w:val="24"/>
        </w:rPr>
        <w:t xml:space="preserve"> the average grade </w:t>
      </w:r>
      <w:r w:rsidR="005021CC">
        <w:rPr>
          <w:rFonts w:ascii="Calibri" w:hAnsi="Calibri" w:cs="Calibri"/>
          <w:sz w:val="24"/>
          <w:szCs w:val="24"/>
        </w:rPr>
        <w:t>profile</w:t>
      </w:r>
      <w:r>
        <w:rPr>
          <w:rFonts w:ascii="Calibri" w:hAnsi="Calibri" w:cs="Calibri"/>
          <w:sz w:val="24"/>
          <w:szCs w:val="24"/>
        </w:rPr>
        <w:t xml:space="preserve"> of students (below a 2:1, at a 2:1 or above a 2:1 grade)</w:t>
      </w:r>
      <w:r w:rsidR="000C4CFE">
        <w:rPr>
          <w:rFonts w:ascii="Calibri" w:hAnsi="Calibri" w:cs="Calibri"/>
          <w:sz w:val="24"/>
          <w:szCs w:val="24"/>
        </w:rPr>
        <w:t xml:space="preserve"> as an independent variable</w:t>
      </w:r>
      <w:r>
        <w:rPr>
          <w:rFonts w:ascii="Calibri" w:hAnsi="Calibri" w:cs="Calibri"/>
          <w:sz w:val="24"/>
          <w:szCs w:val="24"/>
        </w:rPr>
        <w:t>. As upward and downward comparisons have been shown to impact on well-being (</w:t>
      </w:r>
      <w:r w:rsidR="002956F0">
        <w:rPr>
          <w:rFonts w:ascii="Calibri" w:hAnsi="Calibri" w:cs="Calibri"/>
          <w:sz w:val="24"/>
          <w:szCs w:val="24"/>
        </w:rPr>
        <w:t>Callan et al., 2015), academic performance</w:t>
      </w:r>
      <w:r w:rsidR="00662F33">
        <w:rPr>
          <w:rFonts w:ascii="Calibri" w:hAnsi="Calibri" w:cs="Calibri"/>
          <w:sz w:val="24"/>
          <w:szCs w:val="24"/>
        </w:rPr>
        <w:t>,</w:t>
      </w:r>
      <w:r w:rsidR="002956F0">
        <w:rPr>
          <w:rFonts w:ascii="Calibri" w:hAnsi="Calibri" w:cs="Calibri"/>
          <w:sz w:val="24"/>
          <w:szCs w:val="24"/>
        </w:rPr>
        <w:t xml:space="preserve"> confidence (Pulford et al., 2018), and motivation (Bennett, 2018), we measured participants self-esteem, </w:t>
      </w:r>
      <w:r w:rsidR="00662F33">
        <w:rPr>
          <w:rFonts w:ascii="Calibri" w:hAnsi="Calibri" w:cs="Calibri"/>
          <w:sz w:val="24"/>
          <w:szCs w:val="24"/>
        </w:rPr>
        <w:t>persistence with</w:t>
      </w:r>
      <w:r w:rsidR="002956F0">
        <w:rPr>
          <w:rFonts w:ascii="Calibri" w:hAnsi="Calibri" w:cs="Calibri"/>
          <w:sz w:val="24"/>
          <w:szCs w:val="24"/>
        </w:rPr>
        <w:t xml:space="preserve"> an impossible task, and willingness to </w:t>
      </w:r>
      <w:r w:rsidR="002956F0" w:rsidRPr="00223D30">
        <w:rPr>
          <w:rFonts w:ascii="Calibri" w:hAnsi="Calibri" w:cs="Calibri"/>
          <w:sz w:val="24"/>
          <w:szCs w:val="24"/>
        </w:rPr>
        <w:t xml:space="preserve">engage with academic support services after viewing the Dashboard display. We hypothesised that students making an upward comparison </w:t>
      </w:r>
      <w:r w:rsidR="00223D30" w:rsidRPr="00223D30">
        <w:rPr>
          <w:rFonts w:ascii="Calibri" w:hAnsi="Calibri" w:cs="Calibri"/>
          <w:sz w:val="24"/>
          <w:szCs w:val="24"/>
        </w:rPr>
        <w:t>(</w:t>
      </w:r>
      <w:r w:rsidR="008B2F43">
        <w:rPr>
          <w:rFonts w:ascii="Calibri" w:hAnsi="Calibri" w:cs="Calibri"/>
          <w:sz w:val="24"/>
          <w:szCs w:val="24"/>
        </w:rPr>
        <w:t xml:space="preserve">i.e. </w:t>
      </w:r>
      <w:r w:rsidR="00223D30" w:rsidRPr="00B10431">
        <w:rPr>
          <w:rFonts w:ascii="Calibri" w:hAnsi="Calibri" w:cs="Calibri"/>
          <w:sz w:val="24"/>
          <w:szCs w:val="24"/>
        </w:rPr>
        <w:t xml:space="preserve">those in the </w:t>
      </w:r>
      <w:r w:rsidR="00223D30" w:rsidRPr="00223D30">
        <w:rPr>
          <w:rFonts w:ascii="Calibri" w:hAnsi="Calibri" w:cs="Calibri"/>
          <w:sz w:val="24"/>
          <w:szCs w:val="24"/>
        </w:rPr>
        <w:t xml:space="preserve">below average condition) </w:t>
      </w:r>
      <w:r w:rsidR="00223D30" w:rsidRPr="00B10431">
        <w:rPr>
          <w:rFonts w:ascii="Calibri" w:hAnsi="Calibri" w:cs="Calibri"/>
          <w:sz w:val="24"/>
          <w:szCs w:val="24"/>
        </w:rPr>
        <w:t xml:space="preserve">would </w:t>
      </w:r>
      <w:r w:rsidR="00223D30" w:rsidRPr="00223D30">
        <w:rPr>
          <w:rFonts w:ascii="Calibri" w:hAnsi="Calibri" w:cs="Calibri"/>
          <w:sz w:val="24"/>
          <w:szCs w:val="24"/>
        </w:rPr>
        <w:t xml:space="preserve">report lower self-esteem, spend less time persevering on the impossible task, and be less willing to engage with academic support </w:t>
      </w:r>
      <w:r w:rsidR="008B2F43">
        <w:rPr>
          <w:rFonts w:ascii="Calibri" w:hAnsi="Calibri" w:cs="Calibri"/>
          <w:sz w:val="24"/>
          <w:szCs w:val="24"/>
        </w:rPr>
        <w:t>compared with</w:t>
      </w:r>
      <w:r w:rsidR="008B2F43" w:rsidRPr="00223D30">
        <w:rPr>
          <w:rFonts w:ascii="Calibri" w:hAnsi="Calibri" w:cs="Calibri"/>
          <w:sz w:val="24"/>
          <w:szCs w:val="24"/>
        </w:rPr>
        <w:t xml:space="preserve"> </w:t>
      </w:r>
      <w:r w:rsidR="00223D30" w:rsidRPr="00223D30">
        <w:rPr>
          <w:rFonts w:ascii="Calibri" w:hAnsi="Calibri" w:cs="Calibri"/>
          <w:sz w:val="24"/>
          <w:szCs w:val="24"/>
        </w:rPr>
        <w:t xml:space="preserve">students making a downward comparison (i.e. </w:t>
      </w:r>
      <w:r w:rsidR="00223D30" w:rsidRPr="00B10431">
        <w:rPr>
          <w:rFonts w:ascii="Calibri" w:hAnsi="Calibri" w:cs="Calibri"/>
          <w:sz w:val="24"/>
          <w:szCs w:val="24"/>
        </w:rPr>
        <w:t xml:space="preserve">those in the </w:t>
      </w:r>
      <w:r w:rsidR="00223D30" w:rsidRPr="00223D30">
        <w:rPr>
          <w:rFonts w:ascii="Calibri" w:hAnsi="Calibri" w:cs="Calibri"/>
          <w:sz w:val="24"/>
          <w:szCs w:val="24"/>
        </w:rPr>
        <w:t xml:space="preserve">above average condition), </w:t>
      </w:r>
      <w:r w:rsidR="00223D30" w:rsidRPr="00B10431">
        <w:rPr>
          <w:rFonts w:ascii="Calibri" w:hAnsi="Calibri" w:cs="Calibri"/>
          <w:sz w:val="24"/>
          <w:szCs w:val="24"/>
        </w:rPr>
        <w:t>with students in the average condition serving as a control</w:t>
      </w:r>
      <w:r w:rsidR="00223D30">
        <w:rPr>
          <w:rFonts w:ascii="Calibri" w:hAnsi="Calibri" w:cs="Calibri"/>
          <w:sz w:val="24"/>
          <w:szCs w:val="24"/>
        </w:rPr>
        <w:t xml:space="preserve">. </w:t>
      </w:r>
      <w:r w:rsidR="002956F0">
        <w:rPr>
          <w:rFonts w:ascii="Calibri" w:hAnsi="Calibri" w:cs="Calibri"/>
          <w:sz w:val="24"/>
          <w:szCs w:val="24"/>
        </w:rPr>
        <w:t xml:space="preserve"> However, Bennett (201</w:t>
      </w:r>
      <w:r w:rsidR="00EC5501">
        <w:rPr>
          <w:rFonts w:ascii="Calibri" w:hAnsi="Calibri" w:cs="Calibri"/>
          <w:sz w:val="24"/>
          <w:szCs w:val="24"/>
        </w:rPr>
        <w:t>8</w:t>
      </w:r>
      <w:r w:rsidR="002956F0">
        <w:rPr>
          <w:rFonts w:ascii="Calibri" w:hAnsi="Calibri" w:cs="Calibri"/>
          <w:sz w:val="24"/>
          <w:szCs w:val="24"/>
        </w:rPr>
        <w:t>) states that</w:t>
      </w:r>
      <w:r w:rsidR="000C4CFE">
        <w:rPr>
          <w:rFonts w:ascii="Calibri" w:hAnsi="Calibri" w:cs="Calibri"/>
          <w:sz w:val="24"/>
          <w:szCs w:val="24"/>
        </w:rPr>
        <w:t xml:space="preserve"> a</w:t>
      </w:r>
      <w:r w:rsidR="002956F0">
        <w:rPr>
          <w:rFonts w:ascii="Calibri" w:hAnsi="Calibri" w:cs="Calibri"/>
          <w:sz w:val="24"/>
          <w:szCs w:val="24"/>
        </w:rPr>
        <w:t xml:space="preserve"> “one size fits all”</w:t>
      </w:r>
      <w:r w:rsidR="000C4CFE">
        <w:rPr>
          <w:rFonts w:ascii="Calibri" w:hAnsi="Calibri" w:cs="Calibri"/>
          <w:sz w:val="24"/>
          <w:szCs w:val="24"/>
        </w:rPr>
        <w:t xml:space="preserve"> approach</w:t>
      </w:r>
      <w:r w:rsidR="002956F0">
        <w:rPr>
          <w:rFonts w:ascii="Calibri" w:hAnsi="Calibri" w:cs="Calibri"/>
          <w:sz w:val="24"/>
          <w:szCs w:val="24"/>
        </w:rPr>
        <w:t xml:space="preserve"> is not appropriate </w:t>
      </w:r>
      <w:r w:rsidR="00662F33">
        <w:rPr>
          <w:rFonts w:ascii="Calibri" w:hAnsi="Calibri" w:cs="Calibri"/>
          <w:sz w:val="24"/>
          <w:szCs w:val="24"/>
        </w:rPr>
        <w:t xml:space="preserve">when considering </w:t>
      </w:r>
      <w:r w:rsidR="002956F0">
        <w:rPr>
          <w:rFonts w:ascii="Calibri" w:hAnsi="Calibri" w:cs="Calibri"/>
          <w:sz w:val="24"/>
          <w:szCs w:val="24"/>
        </w:rPr>
        <w:t>how students react to Dashboard comparisons. As such, academic ability is predicted to moderate the effect of upward comparisons</w:t>
      </w:r>
      <w:r w:rsidR="00662F33">
        <w:rPr>
          <w:rFonts w:ascii="Calibri" w:hAnsi="Calibri" w:cs="Calibri"/>
          <w:sz w:val="24"/>
          <w:szCs w:val="24"/>
        </w:rPr>
        <w:t>,</w:t>
      </w:r>
      <w:r w:rsidR="002956F0">
        <w:rPr>
          <w:rFonts w:ascii="Calibri" w:hAnsi="Calibri" w:cs="Calibri"/>
          <w:sz w:val="24"/>
          <w:szCs w:val="24"/>
        </w:rPr>
        <w:t xml:space="preserve"> such that high achieving students (above a 2:1), are more likely to be </w:t>
      </w:r>
      <w:r w:rsidR="00662F33">
        <w:rPr>
          <w:rFonts w:ascii="Calibri" w:hAnsi="Calibri" w:cs="Calibri"/>
          <w:sz w:val="24"/>
          <w:szCs w:val="24"/>
        </w:rPr>
        <w:t>persist with the impossible</w:t>
      </w:r>
      <w:r w:rsidR="002956F0">
        <w:rPr>
          <w:rFonts w:ascii="Calibri" w:hAnsi="Calibri" w:cs="Calibri"/>
          <w:sz w:val="24"/>
          <w:szCs w:val="24"/>
        </w:rPr>
        <w:t xml:space="preserve"> tasks and</w:t>
      </w:r>
      <w:r w:rsidR="00662F33">
        <w:rPr>
          <w:rFonts w:ascii="Calibri" w:hAnsi="Calibri" w:cs="Calibri"/>
          <w:sz w:val="24"/>
          <w:szCs w:val="24"/>
        </w:rPr>
        <w:t xml:space="preserve"> </w:t>
      </w:r>
      <w:r w:rsidR="00EE33A8">
        <w:rPr>
          <w:rFonts w:ascii="Calibri" w:hAnsi="Calibri" w:cs="Calibri"/>
          <w:sz w:val="24"/>
          <w:szCs w:val="24"/>
        </w:rPr>
        <w:t xml:space="preserve">show willingness to </w:t>
      </w:r>
      <w:r w:rsidR="00662F33">
        <w:rPr>
          <w:rFonts w:ascii="Calibri" w:hAnsi="Calibri" w:cs="Calibri"/>
          <w:sz w:val="24"/>
          <w:szCs w:val="24"/>
        </w:rPr>
        <w:t>engage</w:t>
      </w:r>
      <w:r w:rsidR="002956F0">
        <w:rPr>
          <w:rFonts w:ascii="Calibri" w:hAnsi="Calibri" w:cs="Calibri"/>
          <w:sz w:val="24"/>
          <w:szCs w:val="24"/>
        </w:rPr>
        <w:t xml:space="preserve"> with academic support following an upward social comparison than low performing students (below a 2:1).</w:t>
      </w:r>
    </w:p>
    <w:p w14:paraId="7802140F" w14:textId="77777777" w:rsidR="00EE21C8" w:rsidRDefault="00EE21C8" w:rsidP="00B10431">
      <w:pPr>
        <w:spacing w:line="360" w:lineRule="auto"/>
        <w:jc w:val="both"/>
        <w:rPr>
          <w:rFonts w:ascii="Calibri" w:hAnsi="Calibri" w:cs="Calibri"/>
          <w:b/>
          <w:sz w:val="24"/>
          <w:szCs w:val="24"/>
        </w:rPr>
      </w:pPr>
    </w:p>
    <w:p w14:paraId="2AD46BC6" w14:textId="4493DFEB" w:rsidR="00C00B94" w:rsidRPr="00C00B94" w:rsidRDefault="00C00B94" w:rsidP="00B10431">
      <w:pPr>
        <w:spacing w:line="360" w:lineRule="auto"/>
        <w:jc w:val="both"/>
        <w:rPr>
          <w:rFonts w:ascii="Calibri" w:hAnsi="Calibri" w:cs="Calibri"/>
          <w:b/>
          <w:sz w:val="24"/>
          <w:szCs w:val="24"/>
        </w:rPr>
      </w:pPr>
      <w:r w:rsidRPr="00C00B94">
        <w:rPr>
          <w:rFonts w:ascii="Calibri" w:hAnsi="Calibri" w:cs="Calibri"/>
          <w:b/>
          <w:sz w:val="24"/>
          <w:szCs w:val="24"/>
        </w:rPr>
        <w:t>Method</w:t>
      </w:r>
    </w:p>
    <w:p w14:paraId="3483E5D3" w14:textId="356FBBD7" w:rsidR="00C00B94" w:rsidRPr="00B10431" w:rsidRDefault="00C00B94" w:rsidP="00B10431">
      <w:pPr>
        <w:spacing w:line="360" w:lineRule="auto"/>
        <w:jc w:val="both"/>
        <w:rPr>
          <w:rFonts w:ascii="Calibri" w:hAnsi="Calibri" w:cs="Calibri"/>
          <w:b/>
          <w:i/>
          <w:sz w:val="24"/>
          <w:szCs w:val="24"/>
        </w:rPr>
      </w:pPr>
      <w:r w:rsidRPr="00B10431">
        <w:rPr>
          <w:rFonts w:ascii="Calibri" w:hAnsi="Calibri" w:cs="Calibri"/>
          <w:b/>
          <w:i/>
          <w:sz w:val="24"/>
          <w:szCs w:val="24"/>
        </w:rPr>
        <w:t>Participants</w:t>
      </w:r>
    </w:p>
    <w:p w14:paraId="36A36589" w14:textId="6F8D52DC" w:rsidR="003F511F" w:rsidRDefault="0065380F" w:rsidP="008B2F43">
      <w:pPr>
        <w:pStyle w:val="BodyText"/>
        <w:spacing w:line="360" w:lineRule="auto"/>
        <w:ind w:right="-766"/>
        <w:rPr>
          <w:rFonts w:asciiTheme="minorHAnsi" w:hAnsiTheme="minorHAnsi" w:cs="Arial"/>
          <w:sz w:val="24"/>
          <w:szCs w:val="24"/>
        </w:rPr>
      </w:pPr>
      <w:r>
        <w:rPr>
          <w:rFonts w:ascii="Calibri" w:hAnsi="Calibri" w:cs="Calibri"/>
          <w:sz w:val="24"/>
          <w:szCs w:val="24"/>
        </w:rPr>
        <w:t>Students from Anglia Ruskin University in the UK were recruited via electronic communications on campus.</w:t>
      </w:r>
      <w:r w:rsidR="003F511F">
        <w:rPr>
          <w:rFonts w:ascii="Calibri" w:hAnsi="Calibri" w:cs="Calibri"/>
          <w:sz w:val="24"/>
          <w:szCs w:val="24"/>
        </w:rPr>
        <w:t xml:space="preserve"> </w:t>
      </w:r>
      <w:r w:rsidR="00CA51A4">
        <w:rPr>
          <w:rFonts w:asciiTheme="minorHAnsi" w:hAnsiTheme="minorHAnsi" w:cs="Arial"/>
          <w:sz w:val="24"/>
          <w:szCs w:val="24"/>
        </w:rPr>
        <w:t>The study received ethical approval from</w:t>
      </w:r>
      <w:r w:rsidR="003F511F" w:rsidRPr="00C1204F">
        <w:rPr>
          <w:rFonts w:asciiTheme="minorHAnsi" w:hAnsiTheme="minorHAnsi" w:cs="Arial"/>
          <w:sz w:val="24"/>
          <w:szCs w:val="24"/>
        </w:rPr>
        <w:t xml:space="preserve"> the Psychology Departmental R</w:t>
      </w:r>
      <w:r w:rsidR="00CA51A4">
        <w:rPr>
          <w:rFonts w:asciiTheme="minorHAnsi" w:hAnsiTheme="minorHAnsi" w:cs="Arial"/>
          <w:sz w:val="24"/>
          <w:szCs w:val="24"/>
        </w:rPr>
        <w:t xml:space="preserve">esearch Ethics Panel, which was </w:t>
      </w:r>
      <w:r w:rsidR="003F511F" w:rsidRPr="00C1204F">
        <w:rPr>
          <w:rFonts w:asciiTheme="minorHAnsi" w:hAnsiTheme="minorHAnsi" w:cs="Arial"/>
          <w:sz w:val="24"/>
          <w:szCs w:val="24"/>
        </w:rPr>
        <w:t>ratified by the Faculty Research Ethics Panel under the terms of Anglia Ruskin University’s Policy and Code of Practice for the Conduct of Research with Human Participants</w:t>
      </w:r>
      <w:r w:rsidR="003F511F">
        <w:rPr>
          <w:rFonts w:asciiTheme="minorHAnsi" w:hAnsiTheme="minorHAnsi" w:cs="Arial"/>
          <w:sz w:val="24"/>
          <w:szCs w:val="24"/>
        </w:rPr>
        <w:t>. Participants were awarded a £5 Amazon gift voucher for their time.</w:t>
      </w:r>
    </w:p>
    <w:p w14:paraId="45000206" w14:textId="09FA6C04" w:rsidR="00B10431" w:rsidRDefault="0065380F" w:rsidP="00CA7B78">
      <w:pPr>
        <w:pStyle w:val="BodyText"/>
        <w:spacing w:after="160" w:line="360" w:lineRule="auto"/>
        <w:ind w:right="-766" w:firstLine="720"/>
        <w:rPr>
          <w:rFonts w:ascii="Calibri" w:hAnsi="Calibri" w:cs="Calibri"/>
          <w:sz w:val="24"/>
          <w:szCs w:val="24"/>
        </w:rPr>
      </w:pPr>
      <w:r>
        <w:rPr>
          <w:rFonts w:ascii="Calibri" w:hAnsi="Calibri" w:cs="Calibri"/>
          <w:sz w:val="24"/>
          <w:szCs w:val="24"/>
        </w:rPr>
        <w:t xml:space="preserve">A total of 260 participants </w:t>
      </w:r>
      <w:r w:rsidR="003C3BB1">
        <w:rPr>
          <w:rFonts w:ascii="Calibri" w:hAnsi="Calibri" w:cs="Calibri"/>
          <w:sz w:val="24"/>
          <w:szCs w:val="24"/>
        </w:rPr>
        <w:t xml:space="preserve">took part in </w:t>
      </w:r>
      <w:r>
        <w:rPr>
          <w:rFonts w:ascii="Calibri" w:hAnsi="Calibri" w:cs="Calibri"/>
          <w:sz w:val="24"/>
          <w:szCs w:val="24"/>
        </w:rPr>
        <w:t xml:space="preserve">the study, although </w:t>
      </w:r>
      <w:r w:rsidR="00A76183">
        <w:rPr>
          <w:rFonts w:ascii="Calibri" w:hAnsi="Calibri" w:cs="Calibri"/>
          <w:sz w:val="24"/>
          <w:szCs w:val="24"/>
        </w:rPr>
        <w:t>2</w:t>
      </w:r>
      <w:r>
        <w:rPr>
          <w:rFonts w:ascii="Calibri" w:hAnsi="Calibri" w:cs="Calibri"/>
          <w:sz w:val="24"/>
          <w:szCs w:val="24"/>
        </w:rPr>
        <w:t xml:space="preserve">2 of these participants </w:t>
      </w:r>
      <w:r w:rsidR="003C3BB1">
        <w:rPr>
          <w:rFonts w:ascii="Calibri" w:hAnsi="Calibri" w:cs="Calibri"/>
          <w:sz w:val="24"/>
          <w:szCs w:val="24"/>
        </w:rPr>
        <w:t>were later excluded due to incomplete data</w:t>
      </w:r>
      <w:r>
        <w:rPr>
          <w:rFonts w:ascii="Calibri" w:hAnsi="Calibri" w:cs="Calibri"/>
          <w:sz w:val="24"/>
          <w:szCs w:val="24"/>
        </w:rPr>
        <w:t xml:space="preserve">. </w:t>
      </w:r>
      <w:r w:rsidR="00DA58F0">
        <w:rPr>
          <w:rFonts w:ascii="Calibri" w:hAnsi="Calibri" w:cs="Calibri"/>
          <w:sz w:val="24"/>
          <w:szCs w:val="24"/>
        </w:rPr>
        <w:t xml:space="preserve">Of the </w:t>
      </w:r>
      <w:r w:rsidR="00A76183">
        <w:rPr>
          <w:rFonts w:ascii="Calibri" w:hAnsi="Calibri" w:cs="Calibri"/>
          <w:sz w:val="24"/>
          <w:szCs w:val="24"/>
        </w:rPr>
        <w:t xml:space="preserve">remaining </w:t>
      </w:r>
      <w:r w:rsidR="00DA58F0">
        <w:rPr>
          <w:rFonts w:ascii="Calibri" w:hAnsi="Calibri" w:cs="Calibri"/>
          <w:sz w:val="24"/>
          <w:szCs w:val="24"/>
        </w:rPr>
        <w:t xml:space="preserve">238 participants, </w:t>
      </w:r>
      <w:r w:rsidR="00320D26">
        <w:rPr>
          <w:rFonts w:ascii="Calibri" w:hAnsi="Calibri" w:cs="Calibri"/>
          <w:sz w:val="24"/>
          <w:szCs w:val="24"/>
        </w:rPr>
        <w:t>71</w:t>
      </w:r>
      <w:r w:rsidR="00DA58F0">
        <w:rPr>
          <w:rFonts w:ascii="Calibri" w:hAnsi="Calibri" w:cs="Calibri"/>
          <w:sz w:val="24"/>
          <w:szCs w:val="24"/>
        </w:rPr>
        <w:t xml:space="preserve">% were female, </w:t>
      </w:r>
      <w:r w:rsidR="00320D26">
        <w:rPr>
          <w:rFonts w:ascii="Calibri" w:hAnsi="Calibri" w:cs="Calibri"/>
          <w:sz w:val="24"/>
          <w:szCs w:val="24"/>
        </w:rPr>
        <w:t>27.7</w:t>
      </w:r>
      <w:r w:rsidR="00DA58F0">
        <w:rPr>
          <w:rFonts w:ascii="Calibri" w:hAnsi="Calibri" w:cs="Calibri"/>
          <w:sz w:val="24"/>
          <w:szCs w:val="24"/>
        </w:rPr>
        <w:t>% male and 1.</w:t>
      </w:r>
      <w:r w:rsidR="00320D26">
        <w:rPr>
          <w:rFonts w:ascii="Calibri" w:hAnsi="Calibri" w:cs="Calibri"/>
          <w:sz w:val="24"/>
          <w:szCs w:val="24"/>
        </w:rPr>
        <w:t>3</w:t>
      </w:r>
      <w:r w:rsidR="00DA58F0">
        <w:rPr>
          <w:rFonts w:ascii="Calibri" w:hAnsi="Calibri" w:cs="Calibri"/>
          <w:sz w:val="24"/>
          <w:szCs w:val="24"/>
        </w:rPr>
        <w:t>% selected “prefer not to say”. The mean age of participants was 24.7</w:t>
      </w:r>
      <w:r w:rsidR="00320D26">
        <w:rPr>
          <w:rFonts w:ascii="Calibri" w:hAnsi="Calibri" w:cs="Calibri"/>
          <w:sz w:val="24"/>
          <w:szCs w:val="24"/>
        </w:rPr>
        <w:t>1</w:t>
      </w:r>
      <w:r w:rsidR="00DA58F0">
        <w:rPr>
          <w:rFonts w:ascii="Calibri" w:hAnsi="Calibri" w:cs="Calibri"/>
          <w:sz w:val="24"/>
          <w:szCs w:val="24"/>
        </w:rPr>
        <w:t xml:space="preserve"> years (</w:t>
      </w:r>
      <w:r w:rsidR="00DA58F0" w:rsidRPr="00CA51A4">
        <w:rPr>
          <w:rFonts w:ascii="Calibri" w:hAnsi="Calibri" w:cs="Calibri"/>
          <w:i/>
          <w:sz w:val="24"/>
          <w:szCs w:val="24"/>
        </w:rPr>
        <w:t>SD</w:t>
      </w:r>
      <w:r w:rsidR="00DA58F0" w:rsidRPr="00CA51A4">
        <w:rPr>
          <w:rFonts w:ascii="Calibri" w:hAnsi="Calibri" w:cs="Calibri"/>
          <w:i/>
          <w:sz w:val="24"/>
          <w:szCs w:val="24"/>
          <w:vertAlign w:val="subscript"/>
        </w:rPr>
        <w:t>age</w:t>
      </w:r>
      <w:r w:rsidR="00DA58F0">
        <w:rPr>
          <w:rFonts w:ascii="Calibri" w:hAnsi="Calibri" w:cs="Calibri"/>
          <w:sz w:val="24"/>
          <w:szCs w:val="24"/>
        </w:rPr>
        <w:t xml:space="preserve"> = 8.0</w:t>
      </w:r>
      <w:r w:rsidR="00320D26">
        <w:rPr>
          <w:rFonts w:ascii="Calibri" w:hAnsi="Calibri" w:cs="Calibri"/>
          <w:sz w:val="24"/>
          <w:szCs w:val="24"/>
        </w:rPr>
        <w:t>1</w:t>
      </w:r>
      <w:r w:rsidR="00DA58F0">
        <w:rPr>
          <w:rFonts w:ascii="Calibri" w:hAnsi="Calibri" w:cs="Calibri"/>
          <w:sz w:val="24"/>
          <w:szCs w:val="24"/>
        </w:rPr>
        <w:t>) and the large majority of participants were white (66.2%), followed by Asian or Asian British (8.5%), Black or Black British (8.1%), Mixed (5.4%) and other (3.5%).</w:t>
      </w:r>
      <w:r w:rsidR="003F511F">
        <w:rPr>
          <w:rFonts w:ascii="Calibri" w:hAnsi="Calibri" w:cs="Calibri"/>
          <w:sz w:val="24"/>
          <w:szCs w:val="24"/>
        </w:rPr>
        <w:t xml:space="preserve"> </w:t>
      </w:r>
      <w:r w:rsidR="00CA51A4">
        <w:rPr>
          <w:rFonts w:ascii="Calibri" w:hAnsi="Calibri" w:cs="Calibri"/>
          <w:sz w:val="24"/>
          <w:szCs w:val="24"/>
        </w:rPr>
        <w:t>T</w:t>
      </w:r>
      <w:r w:rsidR="00DA58F0">
        <w:rPr>
          <w:rFonts w:ascii="Calibri" w:hAnsi="Calibri" w:cs="Calibri"/>
          <w:sz w:val="24"/>
          <w:szCs w:val="24"/>
        </w:rPr>
        <w:t xml:space="preserve">he majority </w:t>
      </w:r>
      <w:r w:rsidR="00CA51A4">
        <w:rPr>
          <w:rFonts w:ascii="Calibri" w:hAnsi="Calibri" w:cs="Calibri"/>
          <w:sz w:val="24"/>
          <w:szCs w:val="24"/>
        </w:rPr>
        <w:t xml:space="preserve">of participants </w:t>
      </w:r>
      <w:r w:rsidR="00DA58F0">
        <w:rPr>
          <w:rFonts w:ascii="Calibri" w:hAnsi="Calibri" w:cs="Calibri"/>
          <w:sz w:val="24"/>
          <w:szCs w:val="24"/>
        </w:rPr>
        <w:t xml:space="preserve">were not mature students (61.2%) and there was a </w:t>
      </w:r>
      <w:r w:rsidR="00CA51A4">
        <w:rPr>
          <w:rFonts w:ascii="Calibri" w:hAnsi="Calibri" w:cs="Calibri"/>
          <w:sz w:val="24"/>
          <w:szCs w:val="24"/>
        </w:rPr>
        <w:t xml:space="preserve">good distribution of participants </w:t>
      </w:r>
      <w:r w:rsidR="00DA58F0">
        <w:rPr>
          <w:rFonts w:ascii="Calibri" w:hAnsi="Calibri" w:cs="Calibri"/>
          <w:sz w:val="24"/>
          <w:szCs w:val="24"/>
        </w:rPr>
        <w:t>across levels of stud</w:t>
      </w:r>
      <w:r w:rsidR="00CA51A4">
        <w:rPr>
          <w:rFonts w:ascii="Calibri" w:hAnsi="Calibri" w:cs="Calibri"/>
          <w:sz w:val="24"/>
          <w:szCs w:val="24"/>
        </w:rPr>
        <w:t>y</w:t>
      </w:r>
      <w:r w:rsidR="00DA58F0">
        <w:rPr>
          <w:rFonts w:ascii="Calibri" w:hAnsi="Calibri" w:cs="Calibri"/>
          <w:sz w:val="24"/>
          <w:szCs w:val="24"/>
        </w:rPr>
        <w:t>; foundation year = 3.5%, 1</w:t>
      </w:r>
      <w:r w:rsidR="00DA58F0" w:rsidRPr="00DA58F0">
        <w:rPr>
          <w:rFonts w:ascii="Calibri" w:hAnsi="Calibri" w:cs="Calibri"/>
          <w:sz w:val="24"/>
          <w:szCs w:val="24"/>
          <w:vertAlign w:val="superscript"/>
        </w:rPr>
        <w:t>st</w:t>
      </w:r>
      <w:r w:rsidR="00DA58F0">
        <w:rPr>
          <w:rFonts w:ascii="Calibri" w:hAnsi="Calibri" w:cs="Calibri"/>
          <w:sz w:val="24"/>
          <w:szCs w:val="24"/>
        </w:rPr>
        <w:t xml:space="preserve"> year undergraduate (UG) = 21.9%, 2</w:t>
      </w:r>
      <w:r w:rsidR="00DA58F0" w:rsidRPr="00DA58F0">
        <w:rPr>
          <w:rFonts w:ascii="Calibri" w:hAnsi="Calibri" w:cs="Calibri"/>
          <w:sz w:val="24"/>
          <w:szCs w:val="24"/>
          <w:vertAlign w:val="superscript"/>
        </w:rPr>
        <w:t>nd</w:t>
      </w:r>
      <w:r w:rsidR="00DA58F0">
        <w:rPr>
          <w:rFonts w:ascii="Calibri" w:hAnsi="Calibri" w:cs="Calibri"/>
          <w:sz w:val="24"/>
          <w:szCs w:val="24"/>
        </w:rPr>
        <w:t xml:space="preserve"> year UG = 21.5%, 3</w:t>
      </w:r>
      <w:r w:rsidR="00DA58F0" w:rsidRPr="00DA58F0">
        <w:rPr>
          <w:rFonts w:ascii="Calibri" w:hAnsi="Calibri" w:cs="Calibri"/>
          <w:sz w:val="24"/>
          <w:szCs w:val="24"/>
          <w:vertAlign w:val="superscript"/>
        </w:rPr>
        <w:t>rd</w:t>
      </w:r>
      <w:r w:rsidR="00DA58F0">
        <w:rPr>
          <w:rFonts w:ascii="Calibri" w:hAnsi="Calibri" w:cs="Calibri"/>
          <w:sz w:val="24"/>
          <w:szCs w:val="24"/>
        </w:rPr>
        <w:t xml:space="preserve"> year UG = 28.1%, taught postgraduate (PG) = 12.3%, and research PG = 3.8%. The majority of students were not international students (78.8%).</w:t>
      </w:r>
      <w:r w:rsidR="00A85B35">
        <w:rPr>
          <w:rStyle w:val="FootnoteReference"/>
          <w:rFonts w:ascii="Calibri" w:hAnsi="Calibri" w:cs="Calibri"/>
          <w:sz w:val="24"/>
          <w:szCs w:val="24"/>
        </w:rPr>
        <w:footnoteReference w:id="1"/>
      </w:r>
      <w:r w:rsidR="00DA58F0">
        <w:rPr>
          <w:rFonts w:ascii="Calibri" w:hAnsi="Calibri" w:cs="Calibri"/>
          <w:sz w:val="24"/>
          <w:szCs w:val="24"/>
        </w:rPr>
        <w:t xml:space="preserve"> </w:t>
      </w:r>
    </w:p>
    <w:p w14:paraId="670E8ABA" w14:textId="77777777" w:rsidR="00320D26" w:rsidRDefault="00320D26" w:rsidP="00320D26">
      <w:pPr>
        <w:pStyle w:val="BodyText"/>
        <w:spacing w:after="160" w:line="360" w:lineRule="auto"/>
        <w:ind w:right="-766"/>
      </w:pPr>
    </w:p>
    <w:p w14:paraId="797D8784" w14:textId="21F6A7BB" w:rsidR="004B4E93" w:rsidRPr="00B10431" w:rsidRDefault="003F511F" w:rsidP="00B10431">
      <w:pPr>
        <w:spacing w:line="360" w:lineRule="auto"/>
        <w:jc w:val="both"/>
        <w:rPr>
          <w:rFonts w:ascii="Calibri" w:hAnsi="Calibri" w:cs="Calibri"/>
          <w:b/>
          <w:i/>
          <w:sz w:val="24"/>
          <w:szCs w:val="24"/>
        </w:rPr>
      </w:pPr>
      <w:r w:rsidRPr="00B10431">
        <w:rPr>
          <w:rFonts w:ascii="Calibri" w:hAnsi="Calibri" w:cs="Calibri"/>
          <w:b/>
          <w:i/>
          <w:sz w:val="24"/>
          <w:szCs w:val="24"/>
        </w:rPr>
        <w:t>Design</w:t>
      </w:r>
    </w:p>
    <w:p w14:paraId="72527018" w14:textId="637A457B" w:rsidR="003F511F" w:rsidRDefault="003F511F" w:rsidP="00B10431">
      <w:pPr>
        <w:spacing w:afterLines="20" w:after="48" w:line="360" w:lineRule="auto"/>
        <w:jc w:val="both"/>
        <w:rPr>
          <w:rFonts w:ascii="Calibri" w:hAnsi="Calibri" w:cs="Calibri"/>
          <w:sz w:val="24"/>
          <w:szCs w:val="24"/>
        </w:rPr>
      </w:pPr>
      <w:r>
        <w:rPr>
          <w:rFonts w:ascii="Calibri" w:hAnsi="Calibri" w:cs="Calibri"/>
          <w:sz w:val="24"/>
          <w:szCs w:val="24"/>
        </w:rPr>
        <w:t xml:space="preserve">The study operated a 3 (Grade </w:t>
      </w:r>
      <w:r w:rsidR="00574620">
        <w:rPr>
          <w:rFonts w:ascii="Calibri" w:hAnsi="Calibri" w:cs="Calibri"/>
          <w:sz w:val="24"/>
          <w:szCs w:val="24"/>
        </w:rPr>
        <w:t>profile</w:t>
      </w:r>
      <w:r>
        <w:rPr>
          <w:rFonts w:ascii="Calibri" w:hAnsi="Calibri" w:cs="Calibri"/>
          <w:sz w:val="24"/>
          <w:szCs w:val="24"/>
        </w:rPr>
        <w:t>: below a 2:1, at a 2:1</w:t>
      </w:r>
      <w:r w:rsidR="00CA51A4">
        <w:rPr>
          <w:rFonts w:ascii="Calibri" w:hAnsi="Calibri" w:cs="Calibri"/>
          <w:sz w:val="24"/>
          <w:szCs w:val="24"/>
        </w:rPr>
        <w:t>,</w:t>
      </w:r>
      <w:r>
        <w:rPr>
          <w:rFonts w:ascii="Calibri" w:hAnsi="Calibri" w:cs="Calibri"/>
          <w:sz w:val="24"/>
          <w:szCs w:val="24"/>
        </w:rPr>
        <w:t xml:space="preserve"> or above a 2:1) X 3 (Dashboard </w:t>
      </w:r>
      <w:r w:rsidR="005021CC">
        <w:rPr>
          <w:rFonts w:ascii="Calibri" w:hAnsi="Calibri" w:cs="Calibri"/>
          <w:sz w:val="24"/>
          <w:szCs w:val="24"/>
        </w:rPr>
        <w:t>condition</w:t>
      </w:r>
      <w:r>
        <w:rPr>
          <w:rFonts w:ascii="Calibri" w:hAnsi="Calibri" w:cs="Calibri"/>
          <w:sz w:val="24"/>
          <w:szCs w:val="24"/>
        </w:rPr>
        <w:t>: above average, below average</w:t>
      </w:r>
      <w:r w:rsidR="00CA51A4">
        <w:rPr>
          <w:rFonts w:ascii="Calibri" w:hAnsi="Calibri" w:cs="Calibri"/>
          <w:sz w:val="24"/>
          <w:szCs w:val="24"/>
        </w:rPr>
        <w:t>,</w:t>
      </w:r>
      <w:r>
        <w:rPr>
          <w:rFonts w:ascii="Calibri" w:hAnsi="Calibri" w:cs="Calibri"/>
          <w:sz w:val="24"/>
          <w:szCs w:val="24"/>
        </w:rPr>
        <w:t xml:space="preserve"> or average performance) between subjects ANOVA. The dependent variables of the study included self-esteem, measured via </w:t>
      </w:r>
      <w:r w:rsidRPr="003F511F">
        <w:rPr>
          <w:rFonts w:ascii="Calibri" w:hAnsi="Calibri" w:cs="Calibri"/>
          <w:sz w:val="24"/>
          <w:szCs w:val="24"/>
        </w:rPr>
        <w:t>Rosenberg’s (1965) self-</w:t>
      </w:r>
      <w:r w:rsidR="00CA51A4">
        <w:rPr>
          <w:rFonts w:ascii="Calibri" w:hAnsi="Calibri" w:cs="Calibri"/>
          <w:sz w:val="24"/>
          <w:szCs w:val="24"/>
        </w:rPr>
        <w:t>report scale</w:t>
      </w:r>
      <w:r w:rsidRPr="003F511F">
        <w:rPr>
          <w:rFonts w:ascii="Calibri" w:hAnsi="Calibri" w:cs="Calibri"/>
          <w:sz w:val="24"/>
          <w:szCs w:val="24"/>
        </w:rPr>
        <w:t>,</w:t>
      </w:r>
      <w:r w:rsidR="00662F33">
        <w:rPr>
          <w:rFonts w:ascii="Calibri" w:hAnsi="Calibri" w:cs="Calibri"/>
          <w:sz w:val="24"/>
          <w:szCs w:val="24"/>
        </w:rPr>
        <w:t xml:space="preserve"> persistence </w:t>
      </w:r>
      <w:r w:rsidR="00662F33" w:rsidRPr="003F511F">
        <w:rPr>
          <w:rFonts w:ascii="Calibri" w:hAnsi="Calibri" w:cs="Calibri"/>
          <w:sz w:val="24"/>
          <w:szCs w:val="24"/>
        </w:rPr>
        <w:t xml:space="preserve">(by measuring the time participants spent on impossible anagrams; </w:t>
      </w:r>
      <w:r w:rsidR="00662F33" w:rsidRPr="003F511F">
        <w:rPr>
          <w:rFonts w:cs="Arial"/>
          <w:color w:val="000000"/>
          <w:sz w:val="24"/>
          <w:szCs w:val="24"/>
        </w:rPr>
        <w:t>se</w:t>
      </w:r>
      <w:r w:rsidR="00662F33">
        <w:rPr>
          <w:rFonts w:cs="Arial"/>
          <w:color w:val="000000"/>
          <w:sz w:val="24"/>
          <w:szCs w:val="24"/>
        </w:rPr>
        <w:t>e Ventura, Shute, &amp; Zhao, 2013), and</w:t>
      </w:r>
      <w:r w:rsidRPr="003F511F">
        <w:rPr>
          <w:rFonts w:ascii="Calibri" w:hAnsi="Calibri" w:cs="Calibri"/>
          <w:sz w:val="24"/>
          <w:szCs w:val="24"/>
        </w:rPr>
        <w:t xml:space="preserve"> the self-reported willingness to engage with study skills support</w:t>
      </w:r>
      <w:r w:rsidR="00662F33">
        <w:rPr>
          <w:rFonts w:ascii="Calibri" w:hAnsi="Calibri" w:cs="Calibri"/>
          <w:sz w:val="24"/>
          <w:szCs w:val="24"/>
        </w:rPr>
        <w:t>.</w:t>
      </w:r>
    </w:p>
    <w:p w14:paraId="67E5EBC5" w14:textId="2F992C4F" w:rsidR="00D6192A" w:rsidRDefault="00D6192A" w:rsidP="00B10431">
      <w:pPr>
        <w:spacing w:afterLines="20" w:after="48" w:line="360" w:lineRule="auto"/>
        <w:jc w:val="both"/>
        <w:rPr>
          <w:rFonts w:cs="Arial"/>
          <w:b/>
          <w:color w:val="000000"/>
          <w:sz w:val="24"/>
          <w:szCs w:val="24"/>
        </w:rPr>
      </w:pPr>
    </w:p>
    <w:p w14:paraId="030554E1" w14:textId="62D0309D" w:rsidR="003F511F" w:rsidRPr="00B10431" w:rsidRDefault="003F511F" w:rsidP="00B10431">
      <w:pPr>
        <w:spacing w:afterLines="20" w:after="48" w:line="360" w:lineRule="auto"/>
        <w:jc w:val="both"/>
        <w:rPr>
          <w:rFonts w:cs="Arial"/>
          <w:b/>
          <w:i/>
          <w:color w:val="000000"/>
          <w:sz w:val="24"/>
          <w:szCs w:val="24"/>
        </w:rPr>
      </w:pPr>
      <w:r w:rsidRPr="00B10431">
        <w:rPr>
          <w:rFonts w:cs="Arial"/>
          <w:b/>
          <w:i/>
          <w:color w:val="000000"/>
          <w:sz w:val="24"/>
          <w:szCs w:val="24"/>
        </w:rPr>
        <w:t>Materials</w:t>
      </w:r>
    </w:p>
    <w:p w14:paraId="07F0F484" w14:textId="16C9AEF8" w:rsidR="00197053" w:rsidRDefault="00197053" w:rsidP="00B10431">
      <w:pPr>
        <w:spacing w:afterLines="20" w:after="48" w:line="360" w:lineRule="auto"/>
        <w:jc w:val="both"/>
        <w:rPr>
          <w:rFonts w:cs="Arial"/>
          <w:color w:val="000000"/>
          <w:sz w:val="24"/>
          <w:szCs w:val="24"/>
        </w:rPr>
      </w:pPr>
      <w:r w:rsidRPr="00B10431">
        <w:rPr>
          <w:rFonts w:cs="Arial"/>
          <w:i/>
          <w:color w:val="000000"/>
          <w:sz w:val="24"/>
          <w:szCs w:val="24"/>
        </w:rPr>
        <w:t xml:space="preserve">Dashboard Manipulation. </w:t>
      </w:r>
      <w:r>
        <w:rPr>
          <w:rFonts w:cs="Arial"/>
          <w:color w:val="000000"/>
          <w:sz w:val="24"/>
          <w:szCs w:val="24"/>
        </w:rPr>
        <w:t>The student view of Dashboard for Anglia Ruskin</w:t>
      </w:r>
      <w:r w:rsidR="008E2E76">
        <w:rPr>
          <w:rFonts w:cs="Arial"/>
          <w:color w:val="000000"/>
          <w:sz w:val="24"/>
          <w:szCs w:val="24"/>
        </w:rPr>
        <w:t xml:space="preserve"> University (ARU)</w:t>
      </w:r>
      <w:r>
        <w:rPr>
          <w:rFonts w:cs="Arial"/>
          <w:color w:val="000000"/>
          <w:sz w:val="24"/>
          <w:szCs w:val="24"/>
        </w:rPr>
        <w:t xml:space="preserve"> students was edited so that participants saw a display that indicated engagement either below average, above average or the same as the course average. The displays used the same colouring and font as the</w:t>
      </w:r>
      <w:r w:rsidR="008E2E76">
        <w:rPr>
          <w:rFonts w:cs="Arial"/>
          <w:color w:val="000000"/>
          <w:sz w:val="24"/>
          <w:szCs w:val="24"/>
        </w:rPr>
        <w:t xml:space="preserve"> ARU</w:t>
      </w:r>
      <w:r>
        <w:rPr>
          <w:rFonts w:cs="Arial"/>
          <w:color w:val="000000"/>
          <w:sz w:val="24"/>
          <w:szCs w:val="24"/>
        </w:rPr>
        <w:t xml:space="preserve"> student display. Students were shown two dials for engagement, one titled “Your Engagement Indicator” coloured in blue and the other titled “Course Average” coloured in gold. A percentage score was displayed in the middle of each dial. Below the engagement data, a bar chart showing attain</w:t>
      </w:r>
      <w:r w:rsidR="008E2E76">
        <w:rPr>
          <w:rFonts w:cs="Arial"/>
          <w:color w:val="000000"/>
          <w:sz w:val="24"/>
          <w:szCs w:val="24"/>
        </w:rPr>
        <w:t xml:space="preserve">ment for </w:t>
      </w:r>
      <w:r w:rsidR="00A37D27">
        <w:rPr>
          <w:rFonts w:cs="Arial"/>
          <w:color w:val="000000"/>
          <w:sz w:val="24"/>
          <w:szCs w:val="24"/>
        </w:rPr>
        <w:t>four</w:t>
      </w:r>
      <w:r w:rsidR="008E2E76">
        <w:rPr>
          <w:rFonts w:cs="Arial"/>
          <w:color w:val="000000"/>
          <w:sz w:val="24"/>
          <w:szCs w:val="24"/>
        </w:rPr>
        <w:t xml:space="preserve"> nondescript modules </w:t>
      </w:r>
      <w:r>
        <w:rPr>
          <w:rFonts w:cs="Arial"/>
          <w:color w:val="000000"/>
          <w:sz w:val="24"/>
          <w:szCs w:val="24"/>
        </w:rPr>
        <w:t>showed students “Your Mark” in blue and</w:t>
      </w:r>
      <w:r w:rsidR="008E2E76">
        <w:rPr>
          <w:rFonts w:cs="Arial"/>
          <w:color w:val="000000"/>
          <w:sz w:val="24"/>
          <w:szCs w:val="24"/>
        </w:rPr>
        <w:t xml:space="preserve"> the</w:t>
      </w:r>
      <w:r>
        <w:rPr>
          <w:rFonts w:cs="Arial"/>
          <w:color w:val="000000"/>
          <w:sz w:val="24"/>
          <w:szCs w:val="24"/>
        </w:rPr>
        <w:t xml:space="preserve"> “Course Average” </w:t>
      </w:r>
      <w:r w:rsidR="008E2E76">
        <w:rPr>
          <w:rFonts w:cs="Arial"/>
          <w:color w:val="000000"/>
          <w:sz w:val="24"/>
          <w:szCs w:val="24"/>
        </w:rPr>
        <w:t xml:space="preserve">mark </w:t>
      </w:r>
      <w:r>
        <w:rPr>
          <w:rFonts w:cs="Arial"/>
          <w:color w:val="000000"/>
          <w:sz w:val="24"/>
          <w:szCs w:val="24"/>
        </w:rPr>
        <w:t>in gold. The percentage of each grade was shown within each bar.</w:t>
      </w:r>
    </w:p>
    <w:p w14:paraId="099664BF" w14:textId="14F35F39" w:rsidR="00197053" w:rsidRPr="00197053" w:rsidRDefault="00197053" w:rsidP="00B10431">
      <w:pPr>
        <w:spacing w:afterLines="20" w:after="48" w:line="360" w:lineRule="auto"/>
        <w:jc w:val="both"/>
        <w:rPr>
          <w:rFonts w:cs="Arial"/>
          <w:color w:val="000000"/>
          <w:sz w:val="24"/>
          <w:szCs w:val="24"/>
        </w:rPr>
      </w:pPr>
      <w:r>
        <w:rPr>
          <w:rFonts w:cs="Arial"/>
          <w:color w:val="000000"/>
          <w:sz w:val="24"/>
          <w:szCs w:val="24"/>
        </w:rPr>
        <w:tab/>
        <w:t>Participants exposed to the below average condition saw their</w:t>
      </w:r>
      <w:r w:rsidR="008E2E76">
        <w:rPr>
          <w:rFonts w:cs="Arial"/>
          <w:color w:val="000000"/>
          <w:sz w:val="24"/>
          <w:szCs w:val="24"/>
        </w:rPr>
        <w:t xml:space="preserve"> hypothetical</w:t>
      </w:r>
      <w:r>
        <w:rPr>
          <w:rFonts w:cs="Arial"/>
          <w:color w:val="000000"/>
          <w:sz w:val="24"/>
          <w:szCs w:val="24"/>
        </w:rPr>
        <w:t xml:space="preserve"> engagement score as 25% and the course average as 50%. Participants in this condition </w:t>
      </w:r>
      <w:r w:rsidR="00D52509">
        <w:rPr>
          <w:rFonts w:cs="Arial"/>
          <w:color w:val="000000"/>
          <w:sz w:val="24"/>
          <w:szCs w:val="24"/>
        </w:rPr>
        <w:t xml:space="preserve">consistently scored 10% below the course average on the </w:t>
      </w:r>
      <w:r w:rsidR="00A37D27">
        <w:rPr>
          <w:rFonts w:cs="Arial"/>
          <w:color w:val="000000"/>
          <w:sz w:val="24"/>
          <w:szCs w:val="24"/>
        </w:rPr>
        <w:t>four</w:t>
      </w:r>
      <w:r w:rsidR="00D52509">
        <w:rPr>
          <w:rFonts w:cs="Arial"/>
          <w:color w:val="000000"/>
          <w:sz w:val="24"/>
          <w:szCs w:val="24"/>
        </w:rPr>
        <w:t xml:space="preserve"> modules</w:t>
      </w:r>
      <w:r w:rsidR="008E2E76">
        <w:rPr>
          <w:rFonts w:cs="Arial"/>
          <w:color w:val="000000"/>
          <w:sz w:val="24"/>
          <w:szCs w:val="24"/>
        </w:rPr>
        <w:t xml:space="preserve"> for attainment</w:t>
      </w:r>
      <w:r w:rsidR="00D52509">
        <w:rPr>
          <w:rFonts w:cs="Arial"/>
          <w:color w:val="000000"/>
          <w:sz w:val="24"/>
          <w:szCs w:val="24"/>
        </w:rPr>
        <w:t xml:space="preserve">. At the bottom of the display, one line of text informed participants “You are performing below the class average”. Participants in the average condition viewed an engagement </w:t>
      </w:r>
      <w:r w:rsidR="00587EC9">
        <w:rPr>
          <w:rFonts w:cs="Arial"/>
          <w:color w:val="000000"/>
          <w:sz w:val="24"/>
          <w:szCs w:val="24"/>
        </w:rPr>
        <w:t>score that</w:t>
      </w:r>
      <w:r w:rsidR="00D52509">
        <w:rPr>
          <w:rFonts w:cs="Arial"/>
          <w:color w:val="000000"/>
          <w:sz w:val="24"/>
          <w:szCs w:val="24"/>
        </w:rPr>
        <w:t xml:space="preserve"> matched the course average (50%) and showed the same grades of attainment for the </w:t>
      </w:r>
      <w:r w:rsidR="00A37D27">
        <w:rPr>
          <w:rFonts w:cs="Arial"/>
          <w:color w:val="000000"/>
          <w:sz w:val="24"/>
          <w:szCs w:val="24"/>
        </w:rPr>
        <w:t>four</w:t>
      </w:r>
      <w:r w:rsidR="008E2E76">
        <w:rPr>
          <w:rFonts w:cs="Arial"/>
          <w:color w:val="000000"/>
          <w:sz w:val="24"/>
          <w:szCs w:val="24"/>
        </w:rPr>
        <w:t xml:space="preserve"> modules as the course average.</w:t>
      </w:r>
      <w:r w:rsidR="00D52509">
        <w:rPr>
          <w:rFonts w:cs="Arial"/>
          <w:color w:val="000000"/>
          <w:sz w:val="24"/>
          <w:szCs w:val="24"/>
        </w:rPr>
        <w:t xml:space="preserve"> The final line of text for participants in this condition </w:t>
      </w:r>
      <w:r w:rsidR="00587EC9">
        <w:rPr>
          <w:rFonts w:cs="Arial"/>
          <w:color w:val="000000"/>
          <w:sz w:val="24"/>
          <w:szCs w:val="24"/>
        </w:rPr>
        <w:t>read,</w:t>
      </w:r>
      <w:r w:rsidR="00D52509">
        <w:rPr>
          <w:rFonts w:cs="Arial"/>
          <w:color w:val="000000"/>
          <w:sz w:val="24"/>
          <w:szCs w:val="24"/>
        </w:rPr>
        <w:t xml:space="preserve"> “You are performing the same as the class average”. Finally, participants in the above average condition viewed their engagement as 25% higher than the course average of 50% (i.e. 75%) and achieved grades 10% higher in each of the module presented. The summary line of text for participants in this condition </w:t>
      </w:r>
      <w:r w:rsidR="00587EC9">
        <w:rPr>
          <w:rFonts w:cs="Arial"/>
          <w:color w:val="000000"/>
          <w:sz w:val="24"/>
          <w:szCs w:val="24"/>
        </w:rPr>
        <w:t>read,</w:t>
      </w:r>
      <w:r w:rsidR="00D52509">
        <w:rPr>
          <w:rFonts w:cs="Arial"/>
          <w:color w:val="000000"/>
          <w:sz w:val="24"/>
          <w:szCs w:val="24"/>
        </w:rPr>
        <w:t xml:space="preserve"> “You are performing above the class average”. </w:t>
      </w:r>
      <w:r w:rsidR="00B10431">
        <w:rPr>
          <w:rFonts w:cs="Arial"/>
          <w:color w:val="000000"/>
          <w:sz w:val="24"/>
          <w:szCs w:val="24"/>
        </w:rPr>
        <w:t>See Figure 1 for an example of the above average Dashboard display.</w:t>
      </w:r>
      <w:r w:rsidR="00662F33">
        <w:rPr>
          <w:rStyle w:val="FootnoteReference"/>
          <w:rFonts w:cs="Arial"/>
          <w:color w:val="000000"/>
          <w:sz w:val="24"/>
          <w:szCs w:val="24"/>
        </w:rPr>
        <w:footnoteReference w:id="2"/>
      </w:r>
    </w:p>
    <w:p w14:paraId="483FF261" w14:textId="5F6551DB" w:rsidR="00197053" w:rsidRDefault="00D52509" w:rsidP="00B10431">
      <w:pPr>
        <w:spacing w:afterLines="20" w:after="48" w:line="360" w:lineRule="auto"/>
        <w:jc w:val="both"/>
        <w:rPr>
          <w:rFonts w:cs="Arial"/>
          <w:color w:val="000000"/>
          <w:sz w:val="24"/>
          <w:szCs w:val="24"/>
        </w:rPr>
      </w:pPr>
      <w:r>
        <w:rPr>
          <w:rFonts w:cs="Arial"/>
          <w:b/>
          <w:i/>
          <w:color w:val="000000"/>
          <w:sz w:val="24"/>
          <w:szCs w:val="24"/>
        </w:rPr>
        <w:tab/>
      </w:r>
      <w:r w:rsidRPr="00B10431">
        <w:rPr>
          <w:rFonts w:cs="Arial"/>
          <w:i/>
          <w:color w:val="000000"/>
          <w:sz w:val="24"/>
          <w:szCs w:val="24"/>
        </w:rPr>
        <w:t>Self-</w:t>
      </w:r>
      <w:r w:rsidR="00D6192A">
        <w:rPr>
          <w:rFonts w:cs="Arial"/>
          <w:i/>
          <w:color w:val="000000"/>
          <w:sz w:val="24"/>
          <w:szCs w:val="24"/>
        </w:rPr>
        <w:t>E</w:t>
      </w:r>
      <w:r w:rsidRPr="00B10431">
        <w:rPr>
          <w:rFonts w:cs="Arial"/>
          <w:i/>
          <w:color w:val="000000"/>
          <w:sz w:val="24"/>
          <w:szCs w:val="24"/>
        </w:rPr>
        <w:t xml:space="preserve">steem. </w:t>
      </w:r>
      <w:r>
        <w:rPr>
          <w:rFonts w:cs="Arial"/>
          <w:color w:val="000000"/>
          <w:sz w:val="24"/>
          <w:szCs w:val="24"/>
        </w:rPr>
        <w:t>Rosenberg’s (1965) 10 item self-report scale for self-esteem was utilised. The scale includes questions such as “I take a positive attitude towards myself” and “On the whole, I am satisfied with myself”. Agreement to the items are scored on a 4</w:t>
      </w:r>
      <w:r w:rsidR="00546824">
        <w:rPr>
          <w:rFonts w:cs="Arial"/>
          <w:color w:val="000000"/>
          <w:sz w:val="24"/>
          <w:szCs w:val="24"/>
        </w:rPr>
        <w:t>-</w:t>
      </w:r>
      <w:r>
        <w:rPr>
          <w:rFonts w:cs="Arial"/>
          <w:color w:val="000000"/>
          <w:sz w:val="24"/>
          <w:szCs w:val="24"/>
        </w:rPr>
        <w:t xml:space="preserve">point </w:t>
      </w:r>
      <w:r w:rsidR="00546824">
        <w:rPr>
          <w:rFonts w:cs="Arial"/>
          <w:color w:val="000000"/>
          <w:sz w:val="24"/>
          <w:szCs w:val="24"/>
        </w:rPr>
        <w:t>L</w:t>
      </w:r>
      <w:r>
        <w:rPr>
          <w:rFonts w:cs="Arial"/>
          <w:color w:val="000000"/>
          <w:sz w:val="24"/>
          <w:szCs w:val="24"/>
        </w:rPr>
        <w:t xml:space="preserve">ikert scale and this scale achieved </w:t>
      </w:r>
      <w:r w:rsidR="00D14616">
        <w:rPr>
          <w:rFonts w:cs="Arial"/>
          <w:color w:val="000000"/>
          <w:sz w:val="24"/>
          <w:szCs w:val="24"/>
        </w:rPr>
        <w:t>good</w:t>
      </w:r>
      <w:r>
        <w:rPr>
          <w:rFonts w:cs="Arial"/>
          <w:color w:val="000000"/>
          <w:sz w:val="24"/>
          <w:szCs w:val="24"/>
        </w:rPr>
        <w:t xml:space="preserve"> internal consistency in this study (</w:t>
      </w:r>
      <w:r w:rsidRPr="008E2E76">
        <w:rPr>
          <w:rFonts w:cstheme="minorHAnsi"/>
          <w:i/>
          <w:color w:val="000000"/>
          <w:sz w:val="24"/>
          <w:szCs w:val="24"/>
        </w:rPr>
        <w:t>α</w:t>
      </w:r>
      <w:r>
        <w:rPr>
          <w:rFonts w:cs="Arial"/>
          <w:color w:val="000000"/>
          <w:sz w:val="24"/>
          <w:szCs w:val="24"/>
        </w:rPr>
        <w:t xml:space="preserve"> = .88). As a result, all 10 items were summed and averaged to create a composite measure of self-esteem. Higher scores indicate greater self-esteem.</w:t>
      </w:r>
    </w:p>
    <w:p w14:paraId="221A4B76" w14:textId="5361EEF7" w:rsidR="00D14616" w:rsidRDefault="00D52509" w:rsidP="00B10431">
      <w:pPr>
        <w:spacing w:afterLines="20" w:after="48" w:line="360" w:lineRule="auto"/>
        <w:jc w:val="both"/>
        <w:rPr>
          <w:rFonts w:cs="Arial"/>
          <w:color w:val="000000"/>
          <w:sz w:val="24"/>
          <w:szCs w:val="24"/>
        </w:rPr>
      </w:pPr>
      <w:r>
        <w:rPr>
          <w:rFonts w:cs="Arial"/>
          <w:b/>
          <w:i/>
          <w:color w:val="000000"/>
          <w:sz w:val="24"/>
          <w:szCs w:val="24"/>
        </w:rPr>
        <w:tab/>
      </w:r>
      <w:r w:rsidRPr="00B10431">
        <w:rPr>
          <w:rFonts w:cs="Arial"/>
          <w:i/>
          <w:color w:val="000000"/>
          <w:sz w:val="24"/>
          <w:szCs w:val="24"/>
        </w:rPr>
        <w:t xml:space="preserve">Willingness to </w:t>
      </w:r>
      <w:r w:rsidR="00D6192A">
        <w:rPr>
          <w:rFonts w:cs="Arial"/>
          <w:i/>
          <w:color w:val="000000"/>
          <w:sz w:val="24"/>
          <w:szCs w:val="24"/>
        </w:rPr>
        <w:t>E</w:t>
      </w:r>
      <w:r w:rsidRPr="00B10431">
        <w:rPr>
          <w:rFonts w:cs="Arial"/>
          <w:i/>
          <w:color w:val="000000"/>
          <w:sz w:val="24"/>
          <w:szCs w:val="24"/>
        </w:rPr>
        <w:t>ngage</w:t>
      </w:r>
      <w:r w:rsidR="00D6192A">
        <w:rPr>
          <w:rFonts w:cs="Arial"/>
          <w:i/>
          <w:color w:val="000000"/>
          <w:sz w:val="24"/>
          <w:szCs w:val="24"/>
        </w:rPr>
        <w:t xml:space="preserve"> with Study Support Services</w:t>
      </w:r>
      <w:r w:rsidRPr="00B10431">
        <w:rPr>
          <w:rFonts w:cs="Arial"/>
          <w:i/>
          <w:color w:val="000000"/>
          <w:sz w:val="24"/>
          <w:szCs w:val="24"/>
        </w:rPr>
        <w:t>.</w:t>
      </w:r>
      <w:r>
        <w:rPr>
          <w:rFonts w:cs="Arial"/>
          <w:b/>
          <w:i/>
          <w:color w:val="000000"/>
          <w:sz w:val="24"/>
          <w:szCs w:val="24"/>
        </w:rPr>
        <w:t xml:space="preserve"> </w:t>
      </w:r>
      <w:r w:rsidR="00D14616">
        <w:rPr>
          <w:rFonts w:cs="Arial"/>
          <w:color w:val="000000"/>
          <w:sz w:val="24"/>
          <w:szCs w:val="24"/>
        </w:rPr>
        <w:t xml:space="preserve">To measure the willingness for students to engage with study resources, we created </w:t>
      </w:r>
      <w:r w:rsidR="00546824">
        <w:rPr>
          <w:rFonts w:cs="Arial"/>
          <w:color w:val="000000"/>
          <w:sz w:val="24"/>
          <w:szCs w:val="24"/>
        </w:rPr>
        <w:t>four</w:t>
      </w:r>
      <w:r w:rsidR="00D14616">
        <w:rPr>
          <w:rFonts w:cs="Arial"/>
          <w:color w:val="000000"/>
          <w:sz w:val="24"/>
          <w:szCs w:val="24"/>
        </w:rPr>
        <w:t xml:space="preserve"> items referring to the institutional academic support service called “Study Skills Plus”. On a 5</w:t>
      </w:r>
      <w:r w:rsidR="00546824">
        <w:rPr>
          <w:rFonts w:cs="Arial"/>
          <w:color w:val="000000"/>
          <w:sz w:val="24"/>
          <w:szCs w:val="24"/>
        </w:rPr>
        <w:t>-</w:t>
      </w:r>
      <w:r w:rsidR="00D14616">
        <w:rPr>
          <w:rFonts w:cs="Arial"/>
          <w:color w:val="000000"/>
          <w:sz w:val="24"/>
          <w:szCs w:val="24"/>
        </w:rPr>
        <w:t xml:space="preserve">point </w:t>
      </w:r>
      <w:r w:rsidR="00546824">
        <w:rPr>
          <w:rFonts w:cs="Arial"/>
          <w:color w:val="000000"/>
          <w:sz w:val="24"/>
          <w:szCs w:val="24"/>
        </w:rPr>
        <w:t>L</w:t>
      </w:r>
      <w:r w:rsidR="00D14616">
        <w:rPr>
          <w:rFonts w:cs="Arial"/>
          <w:color w:val="000000"/>
          <w:sz w:val="24"/>
          <w:szCs w:val="24"/>
        </w:rPr>
        <w:t>ikert scale from “extremely likely” to “extremely unlikely” we asked students “How likely are you to visit the study skills plus website?”, “How likely are you to attend a study skills plus workshop?”, “How likely are you to visit a study skills plus drop-in session?”</w:t>
      </w:r>
      <w:r w:rsidR="008E2E76">
        <w:rPr>
          <w:rFonts w:cs="Arial"/>
          <w:color w:val="000000"/>
          <w:sz w:val="24"/>
          <w:szCs w:val="24"/>
        </w:rPr>
        <w:t>,</w:t>
      </w:r>
      <w:r w:rsidR="00D14616">
        <w:rPr>
          <w:rFonts w:cs="Arial"/>
          <w:color w:val="000000"/>
          <w:sz w:val="24"/>
          <w:szCs w:val="24"/>
        </w:rPr>
        <w:t xml:space="preserve"> and “How likely are you to book a one-on-one session with a study skills plus coach?”. These items achieved good internal consistency (</w:t>
      </w:r>
      <w:r w:rsidR="00D14616" w:rsidRPr="008E2E76">
        <w:rPr>
          <w:rFonts w:cstheme="minorHAnsi"/>
          <w:i/>
          <w:color w:val="000000"/>
          <w:sz w:val="24"/>
          <w:szCs w:val="24"/>
        </w:rPr>
        <w:t>α</w:t>
      </w:r>
      <w:r w:rsidR="00D14616">
        <w:rPr>
          <w:rFonts w:cs="Arial"/>
          <w:color w:val="000000"/>
          <w:sz w:val="24"/>
          <w:szCs w:val="24"/>
        </w:rPr>
        <w:t xml:space="preserve"> = .90), so were summed and averaged to create a composite measure of willingness to engage. Higher scores indicate a greater willingness to engage with study support services in the university.</w:t>
      </w:r>
    </w:p>
    <w:p w14:paraId="48FFED2F" w14:textId="256E6B65" w:rsidR="00D14616" w:rsidRDefault="00D14616" w:rsidP="00B10431">
      <w:pPr>
        <w:spacing w:afterLines="20" w:after="48" w:line="360" w:lineRule="auto"/>
        <w:jc w:val="both"/>
        <w:rPr>
          <w:rFonts w:cs="Arial"/>
          <w:color w:val="000000"/>
          <w:sz w:val="24"/>
          <w:szCs w:val="24"/>
        </w:rPr>
      </w:pPr>
      <w:r>
        <w:rPr>
          <w:rFonts w:cs="Arial"/>
          <w:b/>
          <w:i/>
          <w:color w:val="000000"/>
          <w:sz w:val="24"/>
          <w:szCs w:val="24"/>
        </w:rPr>
        <w:tab/>
      </w:r>
      <w:r w:rsidR="00D6192A" w:rsidRPr="00B10431">
        <w:rPr>
          <w:rFonts w:cs="Arial"/>
          <w:i/>
          <w:color w:val="000000"/>
          <w:sz w:val="24"/>
          <w:szCs w:val="24"/>
        </w:rPr>
        <w:t>Persistence Task</w:t>
      </w:r>
      <w:r w:rsidR="00D6192A">
        <w:rPr>
          <w:rFonts w:cs="Arial"/>
          <w:i/>
          <w:color w:val="000000"/>
          <w:sz w:val="24"/>
          <w:szCs w:val="24"/>
        </w:rPr>
        <w:t xml:space="preserve">. </w:t>
      </w:r>
      <w:r w:rsidR="0058646C">
        <w:rPr>
          <w:rFonts w:cs="Arial"/>
          <w:color w:val="000000"/>
          <w:sz w:val="24"/>
          <w:szCs w:val="24"/>
        </w:rPr>
        <w:t>Previous research has measured participants’ willingness to preserve in impossible anagrams tasks before giving up</w:t>
      </w:r>
      <w:r w:rsidR="00662F33">
        <w:rPr>
          <w:rFonts w:cs="Arial"/>
          <w:color w:val="000000"/>
          <w:sz w:val="24"/>
          <w:szCs w:val="24"/>
        </w:rPr>
        <w:t xml:space="preserve"> </w:t>
      </w:r>
      <w:r w:rsidR="00B76524">
        <w:rPr>
          <w:rFonts w:cs="Arial"/>
          <w:color w:val="000000"/>
          <w:sz w:val="24"/>
          <w:szCs w:val="24"/>
        </w:rPr>
        <w:t>as</w:t>
      </w:r>
      <w:r w:rsidR="00662F33">
        <w:rPr>
          <w:rFonts w:cs="Arial"/>
          <w:color w:val="000000"/>
          <w:sz w:val="24"/>
          <w:szCs w:val="24"/>
        </w:rPr>
        <w:t xml:space="preserve"> a measure of persistence</w:t>
      </w:r>
      <w:r w:rsidR="0058646C">
        <w:rPr>
          <w:rFonts w:cs="Arial"/>
          <w:color w:val="000000"/>
          <w:sz w:val="24"/>
          <w:szCs w:val="24"/>
        </w:rPr>
        <w:t xml:space="preserve"> (</w:t>
      </w:r>
      <w:r w:rsidR="0058646C" w:rsidRPr="0058646C">
        <w:rPr>
          <w:rFonts w:cs="Arial"/>
          <w:color w:val="000000"/>
          <w:sz w:val="24"/>
          <w:szCs w:val="24"/>
        </w:rPr>
        <w:t>Ventura</w:t>
      </w:r>
      <w:r w:rsidR="00D6192A">
        <w:rPr>
          <w:rFonts w:cs="Arial"/>
          <w:color w:val="000000"/>
          <w:sz w:val="24"/>
          <w:szCs w:val="24"/>
        </w:rPr>
        <w:t>, Shute &amp; Zhao,</w:t>
      </w:r>
      <w:r w:rsidR="0058646C" w:rsidRPr="0058646C">
        <w:rPr>
          <w:rFonts w:cs="Arial"/>
          <w:color w:val="000000"/>
          <w:sz w:val="24"/>
          <w:szCs w:val="24"/>
        </w:rPr>
        <w:t xml:space="preserve"> 2013).</w:t>
      </w:r>
      <w:r w:rsidR="0058646C">
        <w:rPr>
          <w:rFonts w:cs="Arial"/>
          <w:color w:val="000000"/>
          <w:sz w:val="24"/>
          <w:szCs w:val="24"/>
        </w:rPr>
        <w:t xml:space="preserve"> Participants were presented with </w:t>
      </w:r>
      <w:r w:rsidR="00B76524">
        <w:rPr>
          <w:rFonts w:cs="Arial"/>
          <w:color w:val="000000"/>
          <w:sz w:val="24"/>
          <w:szCs w:val="24"/>
        </w:rPr>
        <w:t>five</w:t>
      </w:r>
      <w:r w:rsidR="0058646C">
        <w:rPr>
          <w:rFonts w:cs="Arial"/>
          <w:color w:val="000000"/>
          <w:sz w:val="24"/>
          <w:szCs w:val="24"/>
        </w:rPr>
        <w:t xml:space="preserve"> impossible anagrams (e.g. KDNITE) and asked to re</w:t>
      </w:r>
      <w:r w:rsidR="00662F33">
        <w:rPr>
          <w:rFonts w:cs="Arial"/>
          <w:color w:val="000000"/>
          <w:sz w:val="24"/>
          <w:szCs w:val="24"/>
        </w:rPr>
        <w:t>order the letters</w:t>
      </w:r>
      <w:r w:rsidR="00B76524">
        <w:rPr>
          <w:rFonts w:cs="Arial"/>
          <w:color w:val="000000"/>
          <w:sz w:val="24"/>
          <w:szCs w:val="24"/>
        </w:rPr>
        <w:t xml:space="preserve"> of each anagram</w:t>
      </w:r>
      <w:r w:rsidR="00662F33">
        <w:rPr>
          <w:rFonts w:cs="Arial"/>
          <w:color w:val="000000"/>
          <w:sz w:val="24"/>
          <w:szCs w:val="24"/>
        </w:rPr>
        <w:t xml:space="preserve"> to make a word</w:t>
      </w:r>
      <w:r w:rsidR="0058646C">
        <w:rPr>
          <w:rFonts w:cs="Arial"/>
          <w:color w:val="000000"/>
          <w:sz w:val="24"/>
          <w:szCs w:val="24"/>
        </w:rPr>
        <w:t>. Participants were not told the anagrams were impossible</w:t>
      </w:r>
      <w:r w:rsidR="00662F33">
        <w:rPr>
          <w:rFonts w:cs="Arial"/>
          <w:color w:val="000000"/>
          <w:sz w:val="24"/>
          <w:szCs w:val="24"/>
        </w:rPr>
        <w:t>,</w:t>
      </w:r>
      <w:r w:rsidR="0058646C">
        <w:rPr>
          <w:rFonts w:cs="Arial"/>
          <w:color w:val="000000"/>
          <w:sz w:val="24"/>
          <w:szCs w:val="24"/>
        </w:rPr>
        <w:t xml:space="preserve"> bu</w:t>
      </w:r>
      <w:r w:rsidR="007536B4">
        <w:rPr>
          <w:rFonts w:cs="Arial"/>
          <w:color w:val="000000"/>
          <w:sz w:val="24"/>
          <w:szCs w:val="24"/>
        </w:rPr>
        <w:t xml:space="preserve">t were instructed not to cheat </w:t>
      </w:r>
      <w:r w:rsidR="0058646C">
        <w:rPr>
          <w:rFonts w:cs="Arial"/>
          <w:color w:val="000000"/>
          <w:sz w:val="24"/>
          <w:szCs w:val="24"/>
        </w:rPr>
        <w:t>o</w:t>
      </w:r>
      <w:r w:rsidR="007536B4">
        <w:rPr>
          <w:rFonts w:cs="Arial"/>
          <w:color w:val="000000"/>
          <w:sz w:val="24"/>
          <w:szCs w:val="24"/>
        </w:rPr>
        <w:t>r</w:t>
      </w:r>
      <w:r w:rsidR="0058646C">
        <w:rPr>
          <w:rFonts w:cs="Arial"/>
          <w:color w:val="000000"/>
          <w:sz w:val="24"/>
          <w:szCs w:val="24"/>
        </w:rPr>
        <w:t xml:space="preserve"> find the answers online. Participants were told that if the anagram was too difficult, they should move on to the next </w:t>
      </w:r>
      <w:r w:rsidR="00662F33">
        <w:rPr>
          <w:rFonts w:cs="Arial"/>
          <w:color w:val="000000"/>
          <w:sz w:val="24"/>
          <w:szCs w:val="24"/>
        </w:rPr>
        <w:t xml:space="preserve">one </w:t>
      </w:r>
      <w:r w:rsidR="0058646C">
        <w:rPr>
          <w:rFonts w:cs="Arial"/>
          <w:color w:val="000000"/>
          <w:sz w:val="24"/>
          <w:szCs w:val="24"/>
        </w:rPr>
        <w:t>and once all anagrams have been attempted, participants needed to continue the survey by clicking on the “continue” button. The survey platform Qualtrics recorded the time spent on the anagram task.</w:t>
      </w:r>
      <w:r w:rsidR="00662F33">
        <w:rPr>
          <w:rStyle w:val="FootnoteReference"/>
          <w:rFonts w:cs="Arial"/>
          <w:color w:val="000000"/>
          <w:sz w:val="24"/>
          <w:szCs w:val="24"/>
        </w:rPr>
        <w:footnoteReference w:id="3"/>
      </w:r>
    </w:p>
    <w:p w14:paraId="0AD53527" w14:textId="1EAC8524" w:rsidR="0058646C" w:rsidRDefault="0058646C" w:rsidP="00B10431">
      <w:pPr>
        <w:spacing w:afterLines="20" w:after="48" w:line="360" w:lineRule="auto"/>
        <w:jc w:val="both"/>
        <w:rPr>
          <w:rFonts w:cs="Arial"/>
          <w:color w:val="000000"/>
          <w:sz w:val="24"/>
          <w:szCs w:val="24"/>
        </w:rPr>
      </w:pPr>
      <w:r>
        <w:rPr>
          <w:rFonts w:cs="Arial"/>
          <w:b/>
          <w:i/>
          <w:color w:val="000000"/>
          <w:sz w:val="24"/>
          <w:szCs w:val="24"/>
        </w:rPr>
        <w:tab/>
      </w:r>
      <w:r w:rsidRPr="00B10431">
        <w:rPr>
          <w:rFonts w:cs="Arial"/>
          <w:i/>
          <w:color w:val="000000"/>
          <w:sz w:val="24"/>
          <w:szCs w:val="24"/>
        </w:rPr>
        <w:t>Demographics.</w:t>
      </w:r>
      <w:r>
        <w:rPr>
          <w:rFonts w:cs="Arial"/>
          <w:b/>
          <w:i/>
          <w:color w:val="000000"/>
          <w:sz w:val="24"/>
          <w:szCs w:val="24"/>
        </w:rPr>
        <w:t xml:space="preserve"> </w:t>
      </w:r>
      <w:r w:rsidR="007536B4">
        <w:rPr>
          <w:rFonts w:cs="Arial"/>
          <w:color w:val="000000"/>
          <w:sz w:val="24"/>
          <w:szCs w:val="24"/>
        </w:rPr>
        <w:t xml:space="preserve">Participants were asked to think about the last </w:t>
      </w:r>
      <w:r w:rsidR="00546824">
        <w:rPr>
          <w:rFonts w:cs="Arial"/>
          <w:color w:val="000000"/>
          <w:sz w:val="24"/>
          <w:szCs w:val="24"/>
        </w:rPr>
        <w:t>three</w:t>
      </w:r>
      <w:r w:rsidR="007536B4">
        <w:rPr>
          <w:rFonts w:cs="Arial"/>
          <w:color w:val="000000"/>
          <w:sz w:val="24"/>
          <w:szCs w:val="24"/>
        </w:rPr>
        <w:t xml:space="preserve"> assessments they received grades for and to answer under what grade boundary these assessments (mostly) </w:t>
      </w:r>
      <w:r w:rsidR="00662F33">
        <w:rPr>
          <w:rFonts w:cs="Arial"/>
          <w:color w:val="000000"/>
          <w:sz w:val="24"/>
          <w:szCs w:val="24"/>
        </w:rPr>
        <w:t>aligned with</w:t>
      </w:r>
      <w:r w:rsidR="007536B4">
        <w:rPr>
          <w:rFonts w:cs="Arial"/>
          <w:color w:val="000000"/>
          <w:sz w:val="24"/>
          <w:szCs w:val="24"/>
        </w:rPr>
        <w:t xml:space="preserve">. Participants were also asked </w:t>
      </w:r>
      <w:r w:rsidR="00A76183">
        <w:rPr>
          <w:rFonts w:cs="Arial"/>
          <w:color w:val="000000"/>
          <w:sz w:val="24"/>
          <w:szCs w:val="24"/>
        </w:rPr>
        <w:t xml:space="preserve">to report if </w:t>
      </w:r>
      <w:r w:rsidR="007536B4">
        <w:rPr>
          <w:rFonts w:cs="Arial"/>
          <w:color w:val="000000"/>
          <w:sz w:val="24"/>
          <w:szCs w:val="24"/>
        </w:rPr>
        <w:t>they were an international student</w:t>
      </w:r>
      <w:r w:rsidR="00A76183">
        <w:rPr>
          <w:rFonts w:cs="Arial"/>
          <w:color w:val="000000"/>
          <w:sz w:val="24"/>
          <w:szCs w:val="24"/>
        </w:rPr>
        <w:t xml:space="preserve"> </w:t>
      </w:r>
      <w:r w:rsidR="007536B4">
        <w:rPr>
          <w:rFonts w:cs="Arial"/>
          <w:color w:val="000000"/>
          <w:sz w:val="24"/>
          <w:szCs w:val="24"/>
        </w:rPr>
        <w:t>or a mature student. Participants reported their ethnicity and gender</w:t>
      </w:r>
      <w:r w:rsidR="00662F33">
        <w:rPr>
          <w:rFonts w:cs="Arial"/>
          <w:color w:val="000000"/>
          <w:sz w:val="24"/>
          <w:szCs w:val="24"/>
        </w:rPr>
        <w:t>,</w:t>
      </w:r>
      <w:r w:rsidR="007536B4">
        <w:rPr>
          <w:rFonts w:cs="Arial"/>
          <w:color w:val="000000"/>
          <w:sz w:val="24"/>
          <w:szCs w:val="24"/>
        </w:rPr>
        <w:t xml:space="preserve"> </w:t>
      </w:r>
      <w:r w:rsidR="00587EC9">
        <w:rPr>
          <w:rFonts w:cs="Arial"/>
          <w:color w:val="000000"/>
          <w:sz w:val="24"/>
          <w:szCs w:val="24"/>
        </w:rPr>
        <w:t>and</w:t>
      </w:r>
      <w:r w:rsidR="007536B4">
        <w:rPr>
          <w:rFonts w:cs="Arial"/>
          <w:color w:val="000000"/>
          <w:sz w:val="24"/>
          <w:szCs w:val="24"/>
        </w:rPr>
        <w:t xml:space="preserve"> stated their current level of study.</w:t>
      </w:r>
    </w:p>
    <w:p w14:paraId="68C54657" w14:textId="1627007F" w:rsidR="00DE7437" w:rsidRDefault="007536B4" w:rsidP="00B10431">
      <w:pPr>
        <w:spacing w:afterLines="20" w:after="48" w:line="360" w:lineRule="auto"/>
        <w:jc w:val="both"/>
        <w:rPr>
          <w:rFonts w:cs="Arial"/>
          <w:color w:val="000000"/>
          <w:sz w:val="24"/>
          <w:szCs w:val="24"/>
        </w:rPr>
      </w:pPr>
      <w:r>
        <w:rPr>
          <w:rFonts w:cs="Arial"/>
          <w:b/>
          <w:i/>
          <w:color w:val="000000"/>
          <w:sz w:val="24"/>
          <w:szCs w:val="24"/>
        </w:rPr>
        <w:tab/>
      </w:r>
      <w:r w:rsidRPr="00B10431">
        <w:rPr>
          <w:rFonts w:cs="Arial"/>
          <w:i/>
          <w:color w:val="000000"/>
          <w:sz w:val="24"/>
          <w:szCs w:val="24"/>
        </w:rPr>
        <w:t>Uplifting task</w:t>
      </w:r>
      <w:r w:rsidR="00B76524">
        <w:rPr>
          <w:rFonts w:cs="Arial"/>
          <w:i/>
          <w:color w:val="000000"/>
          <w:sz w:val="24"/>
          <w:szCs w:val="24"/>
        </w:rPr>
        <w:t>.</w:t>
      </w:r>
      <w:r>
        <w:rPr>
          <w:rFonts w:cs="Arial"/>
          <w:b/>
          <w:i/>
          <w:color w:val="000000"/>
          <w:sz w:val="24"/>
          <w:szCs w:val="24"/>
        </w:rPr>
        <w:t xml:space="preserve"> </w:t>
      </w:r>
      <w:r>
        <w:rPr>
          <w:rFonts w:cs="Arial"/>
          <w:color w:val="000000"/>
          <w:sz w:val="24"/>
          <w:szCs w:val="24"/>
        </w:rPr>
        <w:t>Borrowing from Callan</w:t>
      </w:r>
      <w:r w:rsidR="00B76524">
        <w:rPr>
          <w:rFonts w:cs="Arial"/>
          <w:color w:val="000000"/>
          <w:sz w:val="24"/>
          <w:szCs w:val="24"/>
        </w:rPr>
        <w:t xml:space="preserve">, Kay and Dawtry </w:t>
      </w:r>
      <w:r w:rsidR="00662F33">
        <w:rPr>
          <w:rFonts w:cs="Arial"/>
          <w:color w:val="000000"/>
          <w:sz w:val="24"/>
          <w:szCs w:val="24"/>
        </w:rPr>
        <w:t>(2014)</w:t>
      </w:r>
      <w:r w:rsidR="00B76524">
        <w:rPr>
          <w:rFonts w:cs="Arial"/>
          <w:color w:val="000000"/>
          <w:sz w:val="24"/>
          <w:szCs w:val="24"/>
        </w:rPr>
        <w:t>, in order</w:t>
      </w:r>
      <w:r w:rsidR="00662F33">
        <w:rPr>
          <w:rFonts w:cs="Arial"/>
          <w:color w:val="000000"/>
          <w:sz w:val="24"/>
          <w:szCs w:val="24"/>
        </w:rPr>
        <w:t xml:space="preserve"> to pre-empt a reduction in participants’ self-esteem</w:t>
      </w:r>
      <w:r>
        <w:rPr>
          <w:rFonts w:cs="Arial"/>
          <w:color w:val="000000"/>
          <w:sz w:val="24"/>
          <w:szCs w:val="24"/>
        </w:rPr>
        <w:t>, we asked participants to list three of their best qualities at the end of the study.</w:t>
      </w:r>
    </w:p>
    <w:p w14:paraId="714ACC65" w14:textId="5D902ABD" w:rsidR="007D3AA9" w:rsidRDefault="007D3AA9" w:rsidP="00B10431">
      <w:pPr>
        <w:spacing w:afterLines="20" w:after="48" w:line="360" w:lineRule="auto"/>
        <w:jc w:val="both"/>
        <w:rPr>
          <w:rFonts w:cs="Arial"/>
          <w:color w:val="000000"/>
          <w:sz w:val="24"/>
          <w:szCs w:val="24"/>
        </w:rPr>
      </w:pPr>
    </w:p>
    <w:p w14:paraId="7EC46BCC" w14:textId="25080667" w:rsidR="007D3AA9" w:rsidRDefault="007D3AA9" w:rsidP="00B10431">
      <w:pPr>
        <w:spacing w:afterLines="20" w:after="48" w:line="360" w:lineRule="auto"/>
        <w:jc w:val="both"/>
        <w:rPr>
          <w:rFonts w:cs="Arial"/>
          <w:color w:val="000000"/>
          <w:sz w:val="24"/>
          <w:szCs w:val="24"/>
        </w:rPr>
      </w:pPr>
      <w:r>
        <w:rPr>
          <w:rFonts w:cs="Arial"/>
          <w:color w:val="000000"/>
          <w:sz w:val="24"/>
          <w:szCs w:val="24"/>
        </w:rPr>
        <w:t>(Insert Figure 1 here)</w:t>
      </w:r>
    </w:p>
    <w:p w14:paraId="224277AA" w14:textId="77777777" w:rsidR="007D3AA9" w:rsidRDefault="007D3AA9" w:rsidP="00B10431">
      <w:pPr>
        <w:spacing w:afterLines="20" w:after="48" w:line="360" w:lineRule="auto"/>
        <w:jc w:val="both"/>
        <w:rPr>
          <w:rFonts w:ascii="Calibri" w:hAnsi="Calibri" w:cs="Calibri"/>
          <w:b/>
          <w:sz w:val="24"/>
          <w:szCs w:val="24"/>
        </w:rPr>
      </w:pPr>
    </w:p>
    <w:p w14:paraId="7452B7AE" w14:textId="20BA32FA" w:rsidR="00197053" w:rsidRPr="00B10431" w:rsidRDefault="00197053" w:rsidP="00B10431">
      <w:pPr>
        <w:spacing w:afterLines="20" w:after="48" w:line="360" w:lineRule="auto"/>
        <w:jc w:val="both"/>
        <w:rPr>
          <w:rFonts w:cs="Arial"/>
          <w:b/>
          <w:i/>
          <w:color w:val="000000"/>
          <w:sz w:val="24"/>
          <w:szCs w:val="24"/>
        </w:rPr>
      </w:pPr>
      <w:r w:rsidRPr="00B10431">
        <w:rPr>
          <w:rFonts w:cs="Arial"/>
          <w:b/>
          <w:i/>
          <w:color w:val="000000"/>
          <w:sz w:val="24"/>
          <w:szCs w:val="24"/>
        </w:rPr>
        <w:t>Procedure</w:t>
      </w:r>
    </w:p>
    <w:p w14:paraId="77E66284" w14:textId="4F9366FD" w:rsidR="00197053" w:rsidRDefault="004C6EA8" w:rsidP="00B10431">
      <w:pPr>
        <w:spacing w:afterLines="20" w:after="48" w:line="360" w:lineRule="auto"/>
        <w:jc w:val="both"/>
        <w:rPr>
          <w:rFonts w:cs="Arial"/>
          <w:color w:val="000000"/>
          <w:sz w:val="24"/>
          <w:szCs w:val="24"/>
        </w:rPr>
      </w:pPr>
      <w:r>
        <w:rPr>
          <w:rFonts w:cs="Arial"/>
          <w:color w:val="000000"/>
          <w:sz w:val="24"/>
          <w:szCs w:val="24"/>
        </w:rPr>
        <w:t>Participants were students from</w:t>
      </w:r>
      <w:r w:rsidR="00197053">
        <w:rPr>
          <w:rFonts w:cs="Arial"/>
          <w:color w:val="000000"/>
          <w:sz w:val="24"/>
          <w:szCs w:val="24"/>
        </w:rPr>
        <w:t xml:space="preserve"> Anglia Ruskin University</w:t>
      </w:r>
      <w:r>
        <w:rPr>
          <w:rFonts w:cs="Arial"/>
          <w:color w:val="000000"/>
          <w:sz w:val="24"/>
          <w:szCs w:val="24"/>
        </w:rPr>
        <w:t xml:space="preserve"> and</w:t>
      </w:r>
      <w:r w:rsidR="00197053">
        <w:rPr>
          <w:rFonts w:cs="Arial"/>
          <w:color w:val="000000"/>
          <w:sz w:val="24"/>
          <w:szCs w:val="24"/>
        </w:rPr>
        <w:t xml:space="preserve"> were assumed to be familiar with Dashboard. </w:t>
      </w:r>
      <w:r>
        <w:rPr>
          <w:rFonts w:cs="Arial"/>
          <w:color w:val="000000"/>
          <w:sz w:val="24"/>
          <w:szCs w:val="24"/>
        </w:rPr>
        <w:t>Dashboard is a</w:t>
      </w:r>
      <w:r w:rsidR="00197053">
        <w:rPr>
          <w:rFonts w:cs="Arial"/>
          <w:color w:val="000000"/>
          <w:sz w:val="24"/>
          <w:szCs w:val="24"/>
        </w:rPr>
        <w:t xml:space="preserve"> university</w:t>
      </w:r>
      <w:r w:rsidR="00587EC9">
        <w:rPr>
          <w:rFonts w:cs="Arial"/>
          <w:color w:val="000000"/>
          <w:sz w:val="24"/>
          <w:szCs w:val="24"/>
        </w:rPr>
        <w:t>-</w:t>
      </w:r>
      <w:r w:rsidR="00197053">
        <w:rPr>
          <w:rFonts w:cs="Arial"/>
          <w:color w:val="000000"/>
          <w:sz w:val="24"/>
          <w:szCs w:val="24"/>
        </w:rPr>
        <w:t>wid</w:t>
      </w:r>
      <w:r w:rsidR="00662F33">
        <w:rPr>
          <w:rFonts w:cs="Arial"/>
          <w:color w:val="000000"/>
          <w:sz w:val="24"/>
          <w:szCs w:val="24"/>
        </w:rPr>
        <w:t>e metric for student engagement, which is</w:t>
      </w:r>
      <w:r w:rsidR="00197053">
        <w:rPr>
          <w:rFonts w:cs="Arial"/>
          <w:color w:val="000000"/>
          <w:sz w:val="24"/>
          <w:szCs w:val="24"/>
        </w:rPr>
        <w:t xml:space="preserve"> available to students directly, as well as via personal tutors in one-to-one meetings.</w:t>
      </w:r>
      <w:r>
        <w:rPr>
          <w:rFonts w:cs="Arial"/>
          <w:color w:val="000000"/>
          <w:sz w:val="24"/>
          <w:szCs w:val="24"/>
        </w:rPr>
        <w:t xml:space="preserve"> Following consent, participants were first exposed to one of the three hypothetical Dashboard displays. Participants </w:t>
      </w:r>
      <w:r w:rsidR="00197053">
        <w:rPr>
          <w:rFonts w:cs="Arial"/>
          <w:color w:val="000000"/>
          <w:sz w:val="24"/>
          <w:szCs w:val="24"/>
        </w:rPr>
        <w:t>were asked to imagine the displayed scores reflected their own levels of engagement</w:t>
      </w:r>
      <w:r>
        <w:rPr>
          <w:rFonts w:cs="Arial"/>
          <w:color w:val="000000"/>
          <w:sz w:val="24"/>
          <w:szCs w:val="24"/>
        </w:rPr>
        <w:t xml:space="preserve"> and were reminded that the data showed both their levels of engagement and attainment (in blue) and that of the course average (in gold)</w:t>
      </w:r>
      <w:r w:rsidR="00197053">
        <w:rPr>
          <w:rFonts w:cs="Arial"/>
          <w:color w:val="000000"/>
          <w:sz w:val="24"/>
          <w:szCs w:val="24"/>
        </w:rPr>
        <w:t>.</w:t>
      </w:r>
      <w:r w:rsidR="00662F33">
        <w:rPr>
          <w:rFonts w:cs="Arial"/>
          <w:color w:val="000000"/>
          <w:sz w:val="24"/>
          <w:szCs w:val="24"/>
        </w:rPr>
        <w:t xml:space="preserve"> </w:t>
      </w:r>
    </w:p>
    <w:p w14:paraId="6F51DA24" w14:textId="69B38653" w:rsidR="004C6EA8" w:rsidRDefault="004C6EA8" w:rsidP="00B10431">
      <w:pPr>
        <w:spacing w:afterLines="20" w:after="48" w:line="360" w:lineRule="auto"/>
        <w:jc w:val="both"/>
        <w:rPr>
          <w:rFonts w:cs="Arial"/>
          <w:color w:val="000000"/>
          <w:sz w:val="24"/>
          <w:szCs w:val="24"/>
        </w:rPr>
      </w:pPr>
      <w:r>
        <w:rPr>
          <w:rFonts w:cs="Arial"/>
          <w:color w:val="000000"/>
          <w:sz w:val="24"/>
          <w:szCs w:val="24"/>
        </w:rPr>
        <w:tab/>
      </w:r>
      <w:r w:rsidR="002F502A">
        <w:rPr>
          <w:rFonts w:cs="Arial"/>
          <w:color w:val="000000"/>
          <w:sz w:val="24"/>
          <w:szCs w:val="24"/>
        </w:rPr>
        <w:t>All participants then completed Rosenberg’s (1965) self-esteem scale, the willingness to engage questionnaire</w:t>
      </w:r>
      <w:r w:rsidR="00662F33">
        <w:rPr>
          <w:rFonts w:cs="Arial"/>
          <w:color w:val="000000"/>
          <w:sz w:val="24"/>
          <w:szCs w:val="24"/>
        </w:rPr>
        <w:t>,</w:t>
      </w:r>
      <w:r w:rsidR="002F502A">
        <w:rPr>
          <w:rFonts w:cs="Arial"/>
          <w:color w:val="000000"/>
          <w:sz w:val="24"/>
          <w:szCs w:val="24"/>
        </w:rPr>
        <w:t xml:space="preserve"> and the anagram task.</w:t>
      </w:r>
      <w:r w:rsidR="000A6E8B">
        <w:rPr>
          <w:rFonts w:cs="Arial"/>
          <w:color w:val="000000"/>
          <w:sz w:val="24"/>
          <w:szCs w:val="24"/>
        </w:rPr>
        <w:t xml:space="preserve"> Participants completed demographic questions before engaging with the uplifting task (see Callan et al., 2014). Finally, participants were debriefed and reimbursed for their time.</w:t>
      </w:r>
    </w:p>
    <w:p w14:paraId="16B0A29E" w14:textId="77777777" w:rsidR="00DB3B5D" w:rsidRDefault="00DB3B5D" w:rsidP="00B10431">
      <w:pPr>
        <w:spacing w:line="360" w:lineRule="auto"/>
        <w:jc w:val="both"/>
        <w:rPr>
          <w:rFonts w:ascii="Calibri" w:hAnsi="Calibri" w:cs="Calibri"/>
          <w:b/>
          <w:sz w:val="24"/>
          <w:szCs w:val="24"/>
        </w:rPr>
      </w:pPr>
    </w:p>
    <w:p w14:paraId="737AEE01" w14:textId="1AD92016" w:rsidR="007A67F1" w:rsidRDefault="007A67F1" w:rsidP="00B10431">
      <w:pPr>
        <w:spacing w:line="360" w:lineRule="auto"/>
        <w:jc w:val="both"/>
        <w:rPr>
          <w:rFonts w:ascii="Calibri" w:hAnsi="Calibri" w:cs="Calibri"/>
          <w:b/>
          <w:sz w:val="24"/>
          <w:szCs w:val="24"/>
        </w:rPr>
      </w:pPr>
      <w:r>
        <w:rPr>
          <w:rFonts w:ascii="Calibri" w:hAnsi="Calibri" w:cs="Calibri"/>
          <w:b/>
          <w:sz w:val="24"/>
          <w:szCs w:val="24"/>
        </w:rPr>
        <w:t>Results</w:t>
      </w:r>
    </w:p>
    <w:p w14:paraId="4E099A18" w14:textId="4900B032" w:rsidR="007A67F1" w:rsidRDefault="007A67F1" w:rsidP="00B10431">
      <w:pPr>
        <w:spacing w:after="4" w:line="360" w:lineRule="auto"/>
        <w:jc w:val="both"/>
        <w:rPr>
          <w:rFonts w:cstheme="minorHAnsi"/>
          <w:sz w:val="24"/>
          <w:szCs w:val="24"/>
        </w:rPr>
      </w:pPr>
      <w:r w:rsidRPr="00B6396E">
        <w:rPr>
          <w:rFonts w:ascii="Calibri" w:hAnsi="Calibri" w:cs="Calibri"/>
          <w:sz w:val="24"/>
          <w:szCs w:val="24"/>
        </w:rPr>
        <w:t xml:space="preserve">Data </w:t>
      </w:r>
      <w:r>
        <w:rPr>
          <w:rFonts w:ascii="Calibri" w:hAnsi="Calibri" w:cs="Calibri"/>
          <w:sz w:val="24"/>
          <w:szCs w:val="24"/>
        </w:rPr>
        <w:t>from 22 participants were excluded due to missing values. For the remaining 238 participants, t</w:t>
      </w:r>
      <w:r w:rsidR="00574620">
        <w:rPr>
          <w:rFonts w:ascii="Calibri" w:hAnsi="Calibri" w:cs="Calibri"/>
          <w:sz w:val="24"/>
          <w:szCs w:val="24"/>
        </w:rPr>
        <w:t>here was an even split between Dashboard</w:t>
      </w:r>
      <w:r>
        <w:rPr>
          <w:rFonts w:ascii="Calibri" w:hAnsi="Calibri" w:cs="Calibri"/>
          <w:sz w:val="24"/>
          <w:szCs w:val="24"/>
        </w:rPr>
        <w:t xml:space="preserve"> Condition </w:t>
      </w:r>
      <w:r w:rsidR="002266FA">
        <w:rPr>
          <w:rFonts w:ascii="Calibri" w:hAnsi="Calibri" w:cs="Calibri"/>
          <w:sz w:val="24"/>
          <w:szCs w:val="24"/>
        </w:rPr>
        <w:t xml:space="preserve">vignette </w:t>
      </w:r>
      <w:r>
        <w:rPr>
          <w:rFonts w:ascii="Calibri" w:hAnsi="Calibri" w:cs="Calibri"/>
          <w:sz w:val="24"/>
          <w:szCs w:val="24"/>
        </w:rPr>
        <w:t>groups (Below Average</w:t>
      </w:r>
      <w:r w:rsidRPr="00574620">
        <w:rPr>
          <w:rFonts w:ascii="Calibri" w:hAnsi="Calibri" w:cs="Calibri"/>
          <w:i/>
          <w:sz w:val="24"/>
          <w:szCs w:val="24"/>
        </w:rPr>
        <w:t xml:space="preserve"> N</w:t>
      </w:r>
      <w:r>
        <w:rPr>
          <w:rFonts w:ascii="Calibri" w:hAnsi="Calibri" w:cs="Calibri"/>
          <w:sz w:val="24"/>
          <w:szCs w:val="24"/>
        </w:rPr>
        <w:t xml:space="preserve"> = 79, Average </w:t>
      </w:r>
      <w:r w:rsidRPr="00574620">
        <w:rPr>
          <w:rFonts w:ascii="Calibri" w:hAnsi="Calibri" w:cs="Calibri"/>
          <w:i/>
          <w:sz w:val="24"/>
          <w:szCs w:val="24"/>
        </w:rPr>
        <w:t xml:space="preserve">N </w:t>
      </w:r>
      <w:r>
        <w:rPr>
          <w:rFonts w:ascii="Calibri" w:hAnsi="Calibri" w:cs="Calibri"/>
          <w:sz w:val="24"/>
          <w:szCs w:val="24"/>
        </w:rPr>
        <w:t>= 79, Above Average</w:t>
      </w:r>
      <w:r w:rsidRPr="00574620">
        <w:rPr>
          <w:rFonts w:ascii="Calibri" w:hAnsi="Calibri" w:cs="Calibri"/>
          <w:i/>
          <w:sz w:val="24"/>
          <w:szCs w:val="24"/>
        </w:rPr>
        <w:t xml:space="preserve"> N</w:t>
      </w:r>
      <w:r>
        <w:rPr>
          <w:rFonts w:ascii="Calibri" w:hAnsi="Calibri" w:cs="Calibri"/>
          <w:sz w:val="24"/>
          <w:szCs w:val="24"/>
        </w:rPr>
        <w:t xml:space="preserve"> = 80), and a comparable number of participants fell into each of the three Grade Profile groups (Below 2:1</w:t>
      </w:r>
      <w:r w:rsidRPr="00574620">
        <w:rPr>
          <w:rFonts w:ascii="Calibri" w:hAnsi="Calibri" w:cs="Calibri"/>
          <w:i/>
          <w:sz w:val="24"/>
          <w:szCs w:val="24"/>
        </w:rPr>
        <w:t xml:space="preserve"> N</w:t>
      </w:r>
      <w:r>
        <w:rPr>
          <w:rFonts w:ascii="Calibri" w:hAnsi="Calibri" w:cs="Calibri"/>
          <w:sz w:val="24"/>
          <w:szCs w:val="24"/>
        </w:rPr>
        <w:t xml:space="preserve"> = 75, 2:1 </w:t>
      </w:r>
      <w:r w:rsidRPr="00574620">
        <w:rPr>
          <w:rFonts w:ascii="Calibri" w:hAnsi="Calibri" w:cs="Calibri"/>
          <w:i/>
          <w:sz w:val="24"/>
          <w:szCs w:val="24"/>
        </w:rPr>
        <w:t>N</w:t>
      </w:r>
      <w:r>
        <w:rPr>
          <w:rFonts w:ascii="Calibri" w:hAnsi="Calibri" w:cs="Calibri"/>
          <w:sz w:val="24"/>
          <w:szCs w:val="24"/>
        </w:rPr>
        <w:t xml:space="preserve"> = 92, Above 2:1 </w:t>
      </w:r>
      <w:r w:rsidRPr="00574620">
        <w:rPr>
          <w:rFonts w:ascii="Calibri" w:hAnsi="Calibri" w:cs="Calibri"/>
          <w:i/>
          <w:sz w:val="24"/>
          <w:szCs w:val="24"/>
        </w:rPr>
        <w:t xml:space="preserve">N </w:t>
      </w:r>
      <w:r>
        <w:rPr>
          <w:rFonts w:ascii="Calibri" w:hAnsi="Calibri" w:cs="Calibri"/>
          <w:sz w:val="24"/>
          <w:szCs w:val="24"/>
        </w:rPr>
        <w:t>= 71). Three separate 3 X 3 between-subjects ANOVAs were carried out, with DVs of self-esteem, perseverance on an impossible anagram task and willingness to engage with study support services</w:t>
      </w:r>
      <w:r>
        <w:rPr>
          <w:rFonts w:cstheme="minorHAnsi"/>
          <w:sz w:val="24"/>
          <w:szCs w:val="24"/>
        </w:rPr>
        <w:t>.</w:t>
      </w:r>
    </w:p>
    <w:p w14:paraId="7652B97F" w14:textId="77777777" w:rsidR="00DB3B5D" w:rsidRDefault="00DB3B5D" w:rsidP="00B10431">
      <w:pPr>
        <w:spacing w:after="4" w:line="360" w:lineRule="auto"/>
        <w:jc w:val="both"/>
        <w:rPr>
          <w:rFonts w:cstheme="minorHAnsi"/>
          <w:b/>
          <w:sz w:val="24"/>
          <w:szCs w:val="24"/>
        </w:rPr>
      </w:pPr>
    </w:p>
    <w:p w14:paraId="40FFC9C6" w14:textId="115B4AD6" w:rsidR="00574620" w:rsidRPr="00B10431" w:rsidRDefault="007A67F1" w:rsidP="00B10431">
      <w:pPr>
        <w:spacing w:after="4" w:line="360" w:lineRule="auto"/>
        <w:jc w:val="both"/>
        <w:rPr>
          <w:rFonts w:cstheme="minorHAnsi"/>
          <w:b/>
          <w:i/>
          <w:sz w:val="24"/>
          <w:szCs w:val="24"/>
        </w:rPr>
      </w:pPr>
      <w:r w:rsidRPr="00B10431">
        <w:rPr>
          <w:rFonts w:cstheme="minorHAnsi"/>
          <w:b/>
          <w:i/>
          <w:sz w:val="24"/>
          <w:szCs w:val="24"/>
        </w:rPr>
        <w:t>Self-esteem</w:t>
      </w:r>
    </w:p>
    <w:p w14:paraId="25E80F86" w14:textId="35CED1D3" w:rsidR="007A67F1" w:rsidRPr="00574620" w:rsidRDefault="007A67F1" w:rsidP="00B10431">
      <w:pPr>
        <w:spacing w:after="4" w:line="360" w:lineRule="auto"/>
        <w:jc w:val="both"/>
        <w:rPr>
          <w:rFonts w:cstheme="minorHAnsi"/>
          <w:b/>
          <w:i/>
          <w:sz w:val="24"/>
          <w:szCs w:val="24"/>
        </w:rPr>
      </w:pPr>
      <w:r w:rsidRPr="00120057">
        <w:rPr>
          <w:rFonts w:cstheme="minorHAnsi"/>
          <w:sz w:val="24"/>
          <w:szCs w:val="24"/>
        </w:rPr>
        <w:t xml:space="preserve">There was a significant effect of </w:t>
      </w:r>
      <w:r w:rsidR="00574620">
        <w:rPr>
          <w:rFonts w:cstheme="minorHAnsi"/>
          <w:sz w:val="24"/>
          <w:szCs w:val="24"/>
        </w:rPr>
        <w:t>Dashboard</w:t>
      </w:r>
      <w:r w:rsidRPr="00120057">
        <w:rPr>
          <w:rFonts w:cstheme="minorHAnsi"/>
          <w:sz w:val="24"/>
          <w:szCs w:val="24"/>
        </w:rPr>
        <w:t xml:space="preserve"> Condition on participants’ self-esteem, </w:t>
      </w:r>
      <w:r w:rsidRPr="00120057">
        <w:rPr>
          <w:rFonts w:cstheme="minorHAnsi"/>
          <w:i/>
          <w:sz w:val="24"/>
          <w:szCs w:val="24"/>
        </w:rPr>
        <w:t>F</w:t>
      </w:r>
      <w:r w:rsidRPr="00120057">
        <w:rPr>
          <w:rFonts w:cstheme="minorHAnsi"/>
          <w:sz w:val="24"/>
          <w:szCs w:val="24"/>
        </w:rPr>
        <w:t xml:space="preserve">(2, 229) = 4.93, </w:t>
      </w:r>
      <w:r w:rsidRPr="00120057">
        <w:rPr>
          <w:rFonts w:cstheme="minorHAnsi"/>
          <w:i/>
          <w:sz w:val="24"/>
          <w:szCs w:val="24"/>
        </w:rPr>
        <w:t>p</w:t>
      </w:r>
      <w:r w:rsidRPr="00120057">
        <w:rPr>
          <w:rFonts w:cstheme="minorHAnsi"/>
          <w:sz w:val="24"/>
          <w:szCs w:val="24"/>
        </w:rPr>
        <w:t xml:space="preserve"> &lt; .05, ƞ</w:t>
      </w:r>
      <w:r w:rsidRPr="00120057">
        <w:rPr>
          <w:rFonts w:cstheme="minorHAnsi"/>
          <w:sz w:val="24"/>
          <w:szCs w:val="24"/>
          <w:vertAlign w:val="subscript"/>
        </w:rPr>
        <w:t>p</w:t>
      </w:r>
      <w:r w:rsidRPr="00120057">
        <w:rPr>
          <w:rFonts w:cstheme="minorHAnsi"/>
          <w:sz w:val="24"/>
          <w:szCs w:val="24"/>
          <w:vertAlign w:val="superscript"/>
        </w:rPr>
        <w:t xml:space="preserve">2 </w:t>
      </w:r>
      <w:r w:rsidRPr="00120057">
        <w:rPr>
          <w:rFonts w:cstheme="minorHAnsi"/>
          <w:sz w:val="24"/>
          <w:szCs w:val="24"/>
        </w:rPr>
        <w:t>= .041</w:t>
      </w:r>
      <w:r>
        <w:rPr>
          <w:rFonts w:cstheme="minorHAnsi"/>
          <w:sz w:val="24"/>
          <w:szCs w:val="24"/>
        </w:rPr>
        <w:t xml:space="preserve">. One-tailed follow-up tests show that participants who </w:t>
      </w:r>
      <w:r w:rsidR="00574620">
        <w:rPr>
          <w:rFonts w:cstheme="minorHAnsi"/>
          <w:sz w:val="24"/>
          <w:szCs w:val="24"/>
        </w:rPr>
        <w:t>were exposed to Dashboard analytics</w:t>
      </w:r>
      <w:r>
        <w:rPr>
          <w:rFonts w:cstheme="minorHAnsi"/>
          <w:sz w:val="24"/>
          <w:szCs w:val="24"/>
        </w:rPr>
        <w:t xml:space="preserve"> describing their performance as above the class average had significantly increased self-esteem compared to those who </w:t>
      </w:r>
      <w:r w:rsidR="00574620">
        <w:rPr>
          <w:rFonts w:cstheme="minorHAnsi"/>
          <w:sz w:val="24"/>
          <w:szCs w:val="24"/>
        </w:rPr>
        <w:t>were exposed to the</w:t>
      </w:r>
      <w:r>
        <w:rPr>
          <w:rFonts w:cstheme="minorHAnsi"/>
          <w:sz w:val="24"/>
          <w:szCs w:val="24"/>
        </w:rPr>
        <w:t xml:space="preserve"> below average</w:t>
      </w:r>
      <w:r w:rsidR="00574620">
        <w:rPr>
          <w:rFonts w:cstheme="minorHAnsi"/>
          <w:sz w:val="24"/>
          <w:szCs w:val="24"/>
        </w:rPr>
        <w:t xml:space="preserve"> Dashboard analytics</w:t>
      </w:r>
      <w:r>
        <w:rPr>
          <w:rFonts w:cstheme="minorHAnsi"/>
          <w:sz w:val="24"/>
          <w:szCs w:val="24"/>
        </w:rPr>
        <w:t xml:space="preserve">, </w:t>
      </w:r>
      <w:r>
        <w:rPr>
          <w:rFonts w:cstheme="minorHAnsi"/>
          <w:i/>
          <w:sz w:val="24"/>
          <w:szCs w:val="24"/>
        </w:rPr>
        <w:t>t</w:t>
      </w:r>
      <w:r>
        <w:rPr>
          <w:rFonts w:cstheme="minorHAnsi"/>
          <w:sz w:val="24"/>
          <w:szCs w:val="24"/>
        </w:rPr>
        <w:t xml:space="preserve">(157) = 3.04, </w:t>
      </w:r>
      <w:r>
        <w:rPr>
          <w:rFonts w:cstheme="minorHAnsi"/>
          <w:i/>
          <w:sz w:val="24"/>
          <w:szCs w:val="24"/>
        </w:rPr>
        <w:t>p</w:t>
      </w:r>
      <w:r>
        <w:rPr>
          <w:rFonts w:cstheme="minorHAnsi"/>
          <w:sz w:val="24"/>
          <w:szCs w:val="24"/>
        </w:rPr>
        <w:t xml:space="preserve"> &lt; .005. Those</w:t>
      </w:r>
      <w:r w:rsidR="00574620">
        <w:rPr>
          <w:rFonts w:cstheme="minorHAnsi"/>
          <w:sz w:val="24"/>
          <w:szCs w:val="24"/>
        </w:rPr>
        <w:t xml:space="preserve"> in the</w:t>
      </w:r>
      <w:r>
        <w:rPr>
          <w:rFonts w:cstheme="minorHAnsi"/>
          <w:sz w:val="24"/>
          <w:szCs w:val="24"/>
        </w:rPr>
        <w:t xml:space="preserve"> below average </w:t>
      </w:r>
      <w:r w:rsidR="00574620">
        <w:rPr>
          <w:rFonts w:cstheme="minorHAnsi"/>
          <w:sz w:val="24"/>
          <w:szCs w:val="24"/>
        </w:rPr>
        <w:t>condition</w:t>
      </w:r>
      <w:r>
        <w:rPr>
          <w:rFonts w:cstheme="minorHAnsi"/>
          <w:sz w:val="24"/>
          <w:szCs w:val="24"/>
        </w:rPr>
        <w:t xml:space="preserve"> had lowered self-esteem compared to those </w:t>
      </w:r>
      <w:r w:rsidR="00574620">
        <w:rPr>
          <w:rFonts w:cstheme="minorHAnsi"/>
          <w:sz w:val="24"/>
          <w:szCs w:val="24"/>
        </w:rPr>
        <w:t xml:space="preserve">in the average condition </w:t>
      </w:r>
      <w:r>
        <w:rPr>
          <w:rFonts w:cstheme="minorHAnsi"/>
          <w:sz w:val="24"/>
          <w:szCs w:val="24"/>
        </w:rPr>
        <w:t xml:space="preserve">at a level that approached significance following Bonferroni correction, </w:t>
      </w:r>
      <w:r>
        <w:rPr>
          <w:rFonts w:cstheme="minorHAnsi"/>
          <w:i/>
          <w:sz w:val="24"/>
          <w:szCs w:val="24"/>
        </w:rPr>
        <w:t>t</w:t>
      </w:r>
      <w:r>
        <w:rPr>
          <w:rFonts w:cstheme="minorHAnsi"/>
          <w:sz w:val="24"/>
          <w:szCs w:val="24"/>
        </w:rPr>
        <w:t xml:space="preserve">(156) = 1.83, </w:t>
      </w:r>
      <w:r>
        <w:rPr>
          <w:rFonts w:cstheme="minorHAnsi"/>
          <w:i/>
          <w:sz w:val="24"/>
          <w:szCs w:val="24"/>
        </w:rPr>
        <w:t xml:space="preserve">p </w:t>
      </w:r>
      <w:r>
        <w:rPr>
          <w:rFonts w:cstheme="minorHAnsi"/>
          <w:sz w:val="24"/>
          <w:szCs w:val="24"/>
        </w:rPr>
        <w:t>= .03</w:t>
      </w:r>
      <w:r>
        <w:rPr>
          <w:rFonts w:cstheme="minorHAnsi"/>
          <w:i/>
          <w:sz w:val="24"/>
          <w:szCs w:val="24"/>
        </w:rPr>
        <w:t>.</w:t>
      </w:r>
      <w:r>
        <w:rPr>
          <w:rFonts w:cstheme="minorHAnsi"/>
          <w:sz w:val="24"/>
          <w:szCs w:val="24"/>
        </w:rPr>
        <w:t xml:space="preserve"> No difference in self-esteem outcome was observed between </w:t>
      </w:r>
      <w:r w:rsidR="00574620">
        <w:rPr>
          <w:rFonts w:cstheme="minorHAnsi"/>
          <w:sz w:val="24"/>
          <w:szCs w:val="24"/>
        </w:rPr>
        <w:t>participants in the</w:t>
      </w:r>
      <w:r>
        <w:rPr>
          <w:rFonts w:cstheme="minorHAnsi"/>
          <w:sz w:val="24"/>
          <w:szCs w:val="24"/>
        </w:rPr>
        <w:t xml:space="preserve"> average </w:t>
      </w:r>
      <w:r w:rsidR="00574620">
        <w:rPr>
          <w:rFonts w:cstheme="minorHAnsi"/>
          <w:sz w:val="24"/>
          <w:szCs w:val="24"/>
        </w:rPr>
        <w:t>condition and the</w:t>
      </w:r>
      <w:r>
        <w:rPr>
          <w:rFonts w:cstheme="minorHAnsi"/>
          <w:sz w:val="24"/>
          <w:szCs w:val="24"/>
        </w:rPr>
        <w:t xml:space="preserve"> above average </w:t>
      </w:r>
      <w:r w:rsidR="00574620">
        <w:rPr>
          <w:rFonts w:cstheme="minorHAnsi"/>
          <w:sz w:val="24"/>
          <w:szCs w:val="24"/>
        </w:rPr>
        <w:t>condition</w:t>
      </w:r>
      <w:r>
        <w:rPr>
          <w:rFonts w:cstheme="minorHAnsi"/>
          <w:sz w:val="24"/>
          <w:szCs w:val="24"/>
        </w:rPr>
        <w:t xml:space="preserve">, </w:t>
      </w:r>
      <w:r>
        <w:rPr>
          <w:rFonts w:cstheme="minorHAnsi"/>
          <w:i/>
          <w:sz w:val="24"/>
          <w:szCs w:val="24"/>
        </w:rPr>
        <w:t>t</w:t>
      </w:r>
      <w:r>
        <w:rPr>
          <w:rFonts w:cstheme="minorHAnsi"/>
          <w:sz w:val="24"/>
          <w:szCs w:val="24"/>
        </w:rPr>
        <w:t>(157) = 1.10,</w:t>
      </w:r>
      <w:r w:rsidR="005119CD">
        <w:rPr>
          <w:rFonts w:cstheme="minorHAnsi"/>
          <w:sz w:val="24"/>
          <w:szCs w:val="24"/>
        </w:rPr>
        <w:t xml:space="preserve"> </w:t>
      </w:r>
      <w:r w:rsidR="005119CD">
        <w:rPr>
          <w:rFonts w:cstheme="minorHAnsi"/>
          <w:i/>
          <w:sz w:val="24"/>
          <w:szCs w:val="24"/>
        </w:rPr>
        <w:t>p</w:t>
      </w:r>
      <w:r w:rsidR="005119CD">
        <w:rPr>
          <w:rFonts w:cstheme="minorHAnsi"/>
          <w:sz w:val="24"/>
          <w:szCs w:val="24"/>
        </w:rPr>
        <w:t xml:space="preserve"> = .14.</w:t>
      </w:r>
      <w:r>
        <w:rPr>
          <w:rFonts w:cstheme="minorHAnsi"/>
          <w:i/>
          <w:sz w:val="24"/>
          <w:szCs w:val="24"/>
        </w:rPr>
        <w:t xml:space="preserve"> </w:t>
      </w:r>
      <w:r w:rsidR="00574620">
        <w:rPr>
          <w:rFonts w:cstheme="minorHAnsi"/>
          <w:sz w:val="24"/>
          <w:szCs w:val="24"/>
        </w:rPr>
        <w:t>The a</w:t>
      </w:r>
      <w:r>
        <w:rPr>
          <w:rFonts w:cstheme="minorHAnsi"/>
          <w:sz w:val="24"/>
          <w:szCs w:val="24"/>
        </w:rPr>
        <w:t>lpha for follow up tests was Bonferroni-adjusted to .017 for</w:t>
      </w:r>
      <w:r w:rsidR="00B10431">
        <w:rPr>
          <w:rFonts w:cstheme="minorHAnsi"/>
          <w:sz w:val="24"/>
          <w:szCs w:val="24"/>
        </w:rPr>
        <w:t xml:space="preserve"> three comparisons. See Figure 2</w:t>
      </w:r>
      <w:r>
        <w:rPr>
          <w:rFonts w:cstheme="minorHAnsi"/>
          <w:sz w:val="24"/>
          <w:szCs w:val="24"/>
        </w:rPr>
        <w:t xml:space="preserve"> for an illustration of these effects.</w:t>
      </w:r>
    </w:p>
    <w:p w14:paraId="52A8554E" w14:textId="63F3724E" w:rsidR="007A67F1" w:rsidRDefault="007A67F1" w:rsidP="00B10431">
      <w:pPr>
        <w:spacing w:after="4" w:line="360" w:lineRule="auto"/>
        <w:jc w:val="both"/>
        <w:rPr>
          <w:rFonts w:cstheme="minorHAnsi"/>
          <w:sz w:val="24"/>
          <w:szCs w:val="24"/>
        </w:rPr>
      </w:pPr>
      <w:r>
        <w:rPr>
          <w:rFonts w:cstheme="minorHAnsi"/>
          <w:sz w:val="24"/>
          <w:szCs w:val="24"/>
        </w:rPr>
        <w:tab/>
        <w:t xml:space="preserve">No effect of Grade Profile was observed on self-esteem, </w:t>
      </w:r>
      <w:r>
        <w:rPr>
          <w:rFonts w:cstheme="minorHAnsi"/>
          <w:i/>
          <w:sz w:val="24"/>
          <w:szCs w:val="24"/>
        </w:rPr>
        <w:t>F</w:t>
      </w:r>
      <w:r>
        <w:rPr>
          <w:rFonts w:cstheme="minorHAnsi"/>
          <w:sz w:val="24"/>
          <w:szCs w:val="24"/>
        </w:rPr>
        <w:t>(2, 229) = 1.42,</w:t>
      </w:r>
      <w:r w:rsidR="005119CD">
        <w:rPr>
          <w:rFonts w:cstheme="minorHAnsi"/>
          <w:sz w:val="24"/>
          <w:szCs w:val="24"/>
        </w:rPr>
        <w:t xml:space="preserve"> </w:t>
      </w:r>
      <w:r w:rsidR="005119CD">
        <w:rPr>
          <w:rFonts w:cstheme="minorHAnsi"/>
          <w:i/>
          <w:sz w:val="24"/>
          <w:szCs w:val="24"/>
        </w:rPr>
        <w:t>p</w:t>
      </w:r>
      <w:r w:rsidR="005119CD">
        <w:rPr>
          <w:rFonts w:cstheme="minorHAnsi"/>
          <w:sz w:val="24"/>
          <w:szCs w:val="24"/>
        </w:rPr>
        <w:t xml:space="preserve"> = .24,</w:t>
      </w:r>
      <w:r>
        <w:rPr>
          <w:rFonts w:cstheme="minorHAnsi"/>
          <w:sz w:val="24"/>
          <w:szCs w:val="24"/>
        </w:rPr>
        <w:t xml:space="preserve"> and a participant’s Grade Profile did not significantly interact with their Vignette Condition group, </w:t>
      </w:r>
      <w:r>
        <w:rPr>
          <w:rFonts w:cstheme="minorHAnsi"/>
          <w:i/>
          <w:sz w:val="24"/>
          <w:szCs w:val="24"/>
        </w:rPr>
        <w:t>F</w:t>
      </w:r>
      <w:r>
        <w:rPr>
          <w:rFonts w:cstheme="minorHAnsi"/>
          <w:sz w:val="24"/>
          <w:szCs w:val="24"/>
        </w:rPr>
        <w:t>(4, 229) = 0.24,</w:t>
      </w:r>
      <w:r w:rsidR="005119CD">
        <w:rPr>
          <w:rFonts w:cstheme="minorHAnsi"/>
          <w:i/>
          <w:sz w:val="24"/>
          <w:szCs w:val="24"/>
        </w:rPr>
        <w:t xml:space="preserve"> p</w:t>
      </w:r>
      <w:r w:rsidR="005119CD">
        <w:rPr>
          <w:rFonts w:cstheme="minorHAnsi"/>
          <w:sz w:val="24"/>
          <w:szCs w:val="24"/>
        </w:rPr>
        <w:t xml:space="preserve"> = .91.</w:t>
      </w:r>
    </w:p>
    <w:p w14:paraId="38131D51" w14:textId="77777777" w:rsidR="00DB3B5D" w:rsidRDefault="00DB3B5D" w:rsidP="00B10431">
      <w:pPr>
        <w:spacing w:after="4" w:line="360" w:lineRule="auto"/>
        <w:jc w:val="both"/>
        <w:rPr>
          <w:rFonts w:cstheme="minorHAnsi"/>
          <w:b/>
          <w:i/>
          <w:sz w:val="24"/>
          <w:szCs w:val="24"/>
        </w:rPr>
      </w:pPr>
    </w:p>
    <w:p w14:paraId="306DE31F" w14:textId="0D74F9B9" w:rsidR="007A67F1" w:rsidRDefault="005021CC" w:rsidP="00B10431">
      <w:pPr>
        <w:spacing w:after="4" w:line="360" w:lineRule="auto"/>
        <w:jc w:val="both"/>
        <w:rPr>
          <w:rFonts w:cstheme="minorHAnsi"/>
          <w:b/>
          <w:i/>
          <w:sz w:val="24"/>
          <w:szCs w:val="24"/>
        </w:rPr>
      </w:pPr>
      <w:r>
        <w:rPr>
          <w:rFonts w:cstheme="minorHAnsi"/>
          <w:b/>
          <w:i/>
          <w:sz w:val="24"/>
          <w:szCs w:val="24"/>
        </w:rPr>
        <w:t>Persistence</w:t>
      </w:r>
    </w:p>
    <w:p w14:paraId="02AEFA27" w14:textId="741DB9C3" w:rsidR="007A67F1" w:rsidRPr="00AA797C" w:rsidRDefault="007A67F1" w:rsidP="00B10431">
      <w:pPr>
        <w:spacing w:after="4" w:line="360" w:lineRule="auto"/>
        <w:jc w:val="both"/>
        <w:rPr>
          <w:rFonts w:cstheme="minorHAnsi"/>
          <w:i/>
          <w:sz w:val="24"/>
          <w:szCs w:val="24"/>
        </w:rPr>
      </w:pPr>
      <w:r>
        <w:rPr>
          <w:rFonts w:cstheme="minorHAnsi"/>
          <w:sz w:val="24"/>
          <w:szCs w:val="24"/>
        </w:rPr>
        <w:t>Pe</w:t>
      </w:r>
      <w:r w:rsidR="005021CC">
        <w:rPr>
          <w:rFonts w:cstheme="minorHAnsi"/>
          <w:sz w:val="24"/>
          <w:szCs w:val="24"/>
        </w:rPr>
        <w:t>rsistence</w:t>
      </w:r>
      <w:r>
        <w:rPr>
          <w:rFonts w:cstheme="minorHAnsi"/>
          <w:sz w:val="24"/>
          <w:szCs w:val="24"/>
        </w:rPr>
        <w:t xml:space="preserve">, as measured by time spent attempting to solve the impossible anagram task, was not affected by </w:t>
      </w:r>
      <w:r w:rsidR="005021CC">
        <w:rPr>
          <w:rFonts w:cstheme="minorHAnsi"/>
          <w:sz w:val="24"/>
          <w:szCs w:val="24"/>
        </w:rPr>
        <w:t>Dashboard</w:t>
      </w:r>
      <w:r>
        <w:rPr>
          <w:rFonts w:cstheme="minorHAnsi"/>
          <w:sz w:val="24"/>
          <w:szCs w:val="24"/>
        </w:rPr>
        <w:t xml:space="preserve"> Condition, </w:t>
      </w:r>
      <w:r>
        <w:rPr>
          <w:rFonts w:cstheme="minorHAnsi"/>
          <w:i/>
          <w:sz w:val="24"/>
          <w:szCs w:val="24"/>
        </w:rPr>
        <w:t>F</w:t>
      </w:r>
      <w:r>
        <w:rPr>
          <w:rFonts w:cstheme="minorHAnsi"/>
          <w:sz w:val="24"/>
          <w:szCs w:val="24"/>
        </w:rPr>
        <w:t xml:space="preserve">(2, 229) = 1.24, </w:t>
      </w:r>
      <w:r w:rsidR="00232A74">
        <w:rPr>
          <w:rFonts w:cstheme="minorHAnsi"/>
          <w:i/>
          <w:sz w:val="24"/>
          <w:szCs w:val="24"/>
        </w:rPr>
        <w:t xml:space="preserve">p </w:t>
      </w:r>
      <w:r w:rsidR="00232A74">
        <w:rPr>
          <w:rFonts w:cstheme="minorHAnsi"/>
          <w:sz w:val="24"/>
          <w:szCs w:val="24"/>
        </w:rPr>
        <w:t>= .29</w:t>
      </w:r>
      <w:r>
        <w:rPr>
          <w:rFonts w:cstheme="minorHAnsi"/>
          <w:sz w:val="24"/>
          <w:szCs w:val="24"/>
        </w:rPr>
        <w:t xml:space="preserve">, nor was it affected by a participant’s Grade Profile, </w:t>
      </w:r>
      <w:r>
        <w:rPr>
          <w:rFonts w:cstheme="minorHAnsi"/>
          <w:i/>
          <w:sz w:val="24"/>
          <w:szCs w:val="24"/>
        </w:rPr>
        <w:t>F</w:t>
      </w:r>
      <w:r>
        <w:rPr>
          <w:rFonts w:cstheme="minorHAnsi"/>
          <w:sz w:val="24"/>
          <w:szCs w:val="24"/>
        </w:rPr>
        <w:t xml:space="preserve">(2, 229) = 0.66, </w:t>
      </w:r>
      <w:r w:rsidR="00232A74">
        <w:rPr>
          <w:rFonts w:cstheme="minorHAnsi"/>
          <w:i/>
          <w:sz w:val="24"/>
          <w:szCs w:val="24"/>
        </w:rPr>
        <w:t xml:space="preserve">p </w:t>
      </w:r>
      <w:r w:rsidR="00232A74">
        <w:rPr>
          <w:rFonts w:cstheme="minorHAnsi"/>
          <w:sz w:val="24"/>
          <w:szCs w:val="24"/>
        </w:rPr>
        <w:t>= .52.</w:t>
      </w:r>
      <w:r>
        <w:rPr>
          <w:rFonts w:cstheme="minorHAnsi"/>
          <w:sz w:val="24"/>
          <w:szCs w:val="24"/>
        </w:rPr>
        <w:t xml:space="preserve"> These two variables did not significantly interact in their effect on perseverance, </w:t>
      </w:r>
      <w:r>
        <w:rPr>
          <w:rFonts w:cstheme="minorHAnsi"/>
          <w:i/>
          <w:sz w:val="24"/>
          <w:szCs w:val="24"/>
        </w:rPr>
        <w:t>F</w:t>
      </w:r>
      <w:r>
        <w:rPr>
          <w:rFonts w:cstheme="minorHAnsi"/>
          <w:sz w:val="24"/>
          <w:szCs w:val="24"/>
        </w:rPr>
        <w:t>(4, 229) = 0.</w:t>
      </w:r>
      <w:r w:rsidR="00232A74">
        <w:rPr>
          <w:rFonts w:cstheme="minorHAnsi"/>
          <w:sz w:val="24"/>
          <w:szCs w:val="24"/>
        </w:rPr>
        <w:t>76</w:t>
      </w:r>
      <w:r>
        <w:rPr>
          <w:rFonts w:cstheme="minorHAnsi"/>
          <w:sz w:val="24"/>
          <w:szCs w:val="24"/>
        </w:rPr>
        <w:t xml:space="preserve">, </w:t>
      </w:r>
      <w:r w:rsidR="00232A74">
        <w:rPr>
          <w:rFonts w:cstheme="minorHAnsi"/>
          <w:i/>
          <w:sz w:val="24"/>
          <w:szCs w:val="24"/>
        </w:rPr>
        <w:t xml:space="preserve">p </w:t>
      </w:r>
      <w:r w:rsidR="00232A74">
        <w:rPr>
          <w:rFonts w:cstheme="minorHAnsi"/>
          <w:sz w:val="24"/>
          <w:szCs w:val="24"/>
        </w:rPr>
        <w:t>= .55.</w:t>
      </w:r>
    </w:p>
    <w:p w14:paraId="6BF0753B" w14:textId="77777777" w:rsidR="00DB3B5D" w:rsidRDefault="00DB3B5D" w:rsidP="00B10431">
      <w:pPr>
        <w:spacing w:after="4" w:line="360" w:lineRule="auto"/>
        <w:jc w:val="both"/>
        <w:rPr>
          <w:rFonts w:cstheme="minorHAnsi"/>
          <w:b/>
          <w:i/>
          <w:sz w:val="24"/>
          <w:szCs w:val="24"/>
        </w:rPr>
      </w:pPr>
    </w:p>
    <w:p w14:paraId="7F254F62" w14:textId="24A032D6" w:rsidR="007A67F1" w:rsidRPr="00CD5E67" w:rsidRDefault="007A67F1" w:rsidP="00B10431">
      <w:pPr>
        <w:spacing w:after="4" w:line="360" w:lineRule="auto"/>
        <w:jc w:val="both"/>
        <w:rPr>
          <w:rFonts w:ascii="Calibri" w:hAnsi="Calibri" w:cs="Calibri"/>
          <w:b/>
          <w:i/>
          <w:sz w:val="24"/>
          <w:szCs w:val="24"/>
        </w:rPr>
      </w:pPr>
      <w:r w:rsidRPr="00CD5E67">
        <w:rPr>
          <w:rFonts w:cstheme="minorHAnsi"/>
          <w:b/>
          <w:i/>
          <w:sz w:val="24"/>
          <w:szCs w:val="24"/>
        </w:rPr>
        <w:t>Willingness to Engage</w:t>
      </w:r>
      <w:r w:rsidR="00DB3B5D">
        <w:rPr>
          <w:rFonts w:cstheme="minorHAnsi"/>
          <w:b/>
          <w:i/>
          <w:sz w:val="24"/>
          <w:szCs w:val="24"/>
        </w:rPr>
        <w:t xml:space="preserve"> with Study Support Services</w:t>
      </w:r>
    </w:p>
    <w:p w14:paraId="5FCF9638" w14:textId="09017EAF" w:rsidR="007A67F1" w:rsidRPr="008F140E" w:rsidRDefault="007A67F1" w:rsidP="00B10431">
      <w:pPr>
        <w:spacing w:after="4" w:line="360" w:lineRule="auto"/>
        <w:jc w:val="both"/>
        <w:rPr>
          <w:rFonts w:cstheme="minorHAnsi"/>
          <w:sz w:val="24"/>
          <w:szCs w:val="24"/>
        </w:rPr>
      </w:pPr>
      <w:r>
        <w:rPr>
          <w:rFonts w:cstheme="minorHAnsi"/>
          <w:sz w:val="24"/>
          <w:szCs w:val="24"/>
        </w:rPr>
        <w:t xml:space="preserve">A student’s Grade Profile did not impact on their willingness to engage with support services, </w:t>
      </w:r>
      <w:r>
        <w:rPr>
          <w:rFonts w:cstheme="minorHAnsi"/>
          <w:i/>
          <w:sz w:val="24"/>
          <w:szCs w:val="24"/>
        </w:rPr>
        <w:t>F</w:t>
      </w:r>
      <w:r>
        <w:rPr>
          <w:rFonts w:cstheme="minorHAnsi"/>
          <w:sz w:val="24"/>
          <w:szCs w:val="24"/>
        </w:rPr>
        <w:t xml:space="preserve">(2, 229) = 0.18, </w:t>
      </w:r>
      <w:r w:rsidR="00A7059C" w:rsidRPr="00B10431">
        <w:rPr>
          <w:rFonts w:cstheme="minorHAnsi"/>
          <w:sz w:val="24"/>
          <w:szCs w:val="24"/>
        </w:rPr>
        <w:t>p</w:t>
      </w:r>
      <w:r w:rsidR="00A7059C">
        <w:rPr>
          <w:rFonts w:cstheme="minorHAnsi"/>
          <w:i/>
          <w:sz w:val="24"/>
          <w:szCs w:val="24"/>
        </w:rPr>
        <w:t xml:space="preserve"> </w:t>
      </w:r>
      <w:r w:rsidR="00A7059C">
        <w:rPr>
          <w:rFonts w:cstheme="minorHAnsi"/>
          <w:sz w:val="24"/>
          <w:szCs w:val="24"/>
        </w:rPr>
        <w:t>= .8</w:t>
      </w:r>
      <w:r w:rsidR="008F7C23">
        <w:rPr>
          <w:rFonts w:cstheme="minorHAnsi"/>
          <w:sz w:val="24"/>
          <w:szCs w:val="24"/>
        </w:rPr>
        <w:t>4</w:t>
      </w:r>
      <w:r>
        <w:rPr>
          <w:rFonts w:cstheme="minorHAnsi"/>
          <w:sz w:val="24"/>
          <w:szCs w:val="24"/>
        </w:rPr>
        <w:t xml:space="preserve"> There was also no effect of </w:t>
      </w:r>
      <w:r w:rsidR="005021CC">
        <w:rPr>
          <w:rFonts w:cstheme="minorHAnsi"/>
          <w:sz w:val="24"/>
          <w:szCs w:val="24"/>
        </w:rPr>
        <w:t>Dashboard</w:t>
      </w:r>
      <w:r>
        <w:rPr>
          <w:rFonts w:cstheme="minorHAnsi"/>
          <w:sz w:val="24"/>
          <w:szCs w:val="24"/>
        </w:rPr>
        <w:t xml:space="preserve"> Condition, </w:t>
      </w:r>
      <w:r>
        <w:rPr>
          <w:rFonts w:cstheme="minorHAnsi"/>
          <w:i/>
          <w:sz w:val="24"/>
          <w:szCs w:val="24"/>
        </w:rPr>
        <w:t>F</w:t>
      </w:r>
      <w:r>
        <w:rPr>
          <w:rFonts w:cstheme="minorHAnsi"/>
          <w:sz w:val="24"/>
          <w:szCs w:val="24"/>
        </w:rPr>
        <w:t xml:space="preserve">(2, 229) = 0.07, </w:t>
      </w:r>
      <w:r w:rsidR="00A7059C">
        <w:rPr>
          <w:rFonts w:cstheme="minorHAnsi"/>
          <w:i/>
          <w:sz w:val="24"/>
          <w:szCs w:val="24"/>
        </w:rPr>
        <w:t xml:space="preserve">p </w:t>
      </w:r>
      <w:r w:rsidR="00A7059C">
        <w:rPr>
          <w:rFonts w:cstheme="minorHAnsi"/>
          <w:sz w:val="24"/>
          <w:szCs w:val="24"/>
        </w:rPr>
        <w:t>= .93</w:t>
      </w:r>
      <w:r>
        <w:rPr>
          <w:rFonts w:cstheme="minorHAnsi"/>
          <w:sz w:val="24"/>
          <w:szCs w:val="24"/>
        </w:rPr>
        <w:t>,</w:t>
      </w:r>
      <w:r>
        <w:rPr>
          <w:rFonts w:cstheme="minorHAnsi"/>
          <w:i/>
          <w:sz w:val="24"/>
          <w:szCs w:val="24"/>
        </w:rPr>
        <w:t xml:space="preserve"> </w:t>
      </w:r>
      <w:r>
        <w:rPr>
          <w:rFonts w:cstheme="minorHAnsi"/>
          <w:sz w:val="24"/>
          <w:szCs w:val="24"/>
        </w:rPr>
        <w:t>nor any interaction be</w:t>
      </w:r>
      <w:r w:rsidR="005021CC">
        <w:rPr>
          <w:rFonts w:cstheme="minorHAnsi"/>
          <w:sz w:val="24"/>
          <w:szCs w:val="24"/>
        </w:rPr>
        <w:t>tween Grade Profile and Dashboard</w:t>
      </w:r>
      <w:r>
        <w:rPr>
          <w:rFonts w:cstheme="minorHAnsi"/>
          <w:sz w:val="24"/>
          <w:szCs w:val="24"/>
        </w:rPr>
        <w:t xml:space="preserve"> Condition, </w:t>
      </w:r>
      <w:r>
        <w:rPr>
          <w:rFonts w:cstheme="minorHAnsi"/>
          <w:i/>
          <w:sz w:val="24"/>
          <w:szCs w:val="24"/>
        </w:rPr>
        <w:t>F</w:t>
      </w:r>
      <w:r>
        <w:rPr>
          <w:rFonts w:cstheme="minorHAnsi"/>
          <w:sz w:val="24"/>
          <w:szCs w:val="24"/>
        </w:rPr>
        <w:t xml:space="preserve">(4, 229) = 0.68, </w:t>
      </w:r>
      <w:r w:rsidR="00A7059C">
        <w:rPr>
          <w:rFonts w:cstheme="minorHAnsi"/>
          <w:i/>
          <w:sz w:val="24"/>
          <w:szCs w:val="24"/>
        </w:rPr>
        <w:t xml:space="preserve">p </w:t>
      </w:r>
      <w:r w:rsidR="00A7059C">
        <w:rPr>
          <w:rFonts w:cstheme="minorHAnsi"/>
          <w:sz w:val="24"/>
          <w:szCs w:val="24"/>
        </w:rPr>
        <w:t>= .6</w:t>
      </w:r>
      <w:r w:rsidR="008F7C23">
        <w:rPr>
          <w:rFonts w:cstheme="minorHAnsi"/>
          <w:sz w:val="24"/>
          <w:szCs w:val="24"/>
        </w:rPr>
        <w:t>1</w:t>
      </w:r>
      <w:r>
        <w:rPr>
          <w:rFonts w:cstheme="minorHAnsi"/>
          <w:sz w:val="24"/>
          <w:szCs w:val="24"/>
        </w:rPr>
        <w:t xml:space="preserve"> on a student’s willingness to engage.</w:t>
      </w:r>
    </w:p>
    <w:p w14:paraId="038B5145" w14:textId="1900AC3F" w:rsidR="007A67F1" w:rsidRDefault="007A67F1" w:rsidP="00B10431">
      <w:pPr>
        <w:spacing w:after="4" w:line="360" w:lineRule="auto"/>
        <w:jc w:val="both"/>
        <w:rPr>
          <w:noProof/>
          <w:sz w:val="24"/>
          <w:szCs w:val="24"/>
          <w:lang w:eastAsia="en-GB"/>
        </w:rPr>
      </w:pPr>
    </w:p>
    <w:p w14:paraId="49DCA6CE" w14:textId="3ED08826" w:rsidR="007D3AA9" w:rsidRDefault="007D3AA9" w:rsidP="00B10431">
      <w:pPr>
        <w:spacing w:after="4" w:line="360" w:lineRule="auto"/>
        <w:jc w:val="both"/>
        <w:rPr>
          <w:sz w:val="24"/>
          <w:szCs w:val="24"/>
        </w:rPr>
      </w:pPr>
      <w:r>
        <w:rPr>
          <w:noProof/>
          <w:sz w:val="24"/>
          <w:szCs w:val="24"/>
          <w:lang w:eastAsia="en-GB"/>
        </w:rPr>
        <w:t>(Insert Figure 2 here)</w:t>
      </w:r>
    </w:p>
    <w:p w14:paraId="7516FFB4" w14:textId="77777777" w:rsidR="00DB3B5D" w:rsidRDefault="00DB3B5D" w:rsidP="00B10431">
      <w:pPr>
        <w:spacing w:after="4" w:line="360" w:lineRule="auto"/>
        <w:jc w:val="both"/>
        <w:rPr>
          <w:b/>
          <w:sz w:val="24"/>
          <w:szCs w:val="24"/>
        </w:rPr>
      </w:pPr>
    </w:p>
    <w:p w14:paraId="12B973E0" w14:textId="77777777" w:rsidR="007A67F1" w:rsidRPr="00A54F01" w:rsidRDefault="007A67F1" w:rsidP="00B10431">
      <w:pPr>
        <w:spacing w:line="360" w:lineRule="auto"/>
        <w:jc w:val="both"/>
        <w:rPr>
          <w:b/>
          <w:sz w:val="24"/>
          <w:szCs w:val="24"/>
        </w:rPr>
      </w:pPr>
      <w:r w:rsidRPr="00A54F01">
        <w:rPr>
          <w:b/>
          <w:sz w:val="24"/>
          <w:szCs w:val="24"/>
        </w:rPr>
        <w:t>Discussion</w:t>
      </w:r>
    </w:p>
    <w:p w14:paraId="6F9F0781" w14:textId="787F6B13" w:rsidR="007A67F1" w:rsidRDefault="007A67F1" w:rsidP="009A247D">
      <w:pPr>
        <w:spacing w:after="4" w:line="360" w:lineRule="auto"/>
        <w:jc w:val="both"/>
        <w:rPr>
          <w:sz w:val="24"/>
          <w:szCs w:val="24"/>
        </w:rPr>
      </w:pPr>
      <w:r>
        <w:rPr>
          <w:sz w:val="24"/>
          <w:szCs w:val="24"/>
        </w:rPr>
        <w:t>Using an experimental design, we report social comparison effects on students’ self-esteem. Specifical</w:t>
      </w:r>
      <w:r w:rsidR="002050BA">
        <w:rPr>
          <w:sz w:val="24"/>
          <w:szCs w:val="24"/>
        </w:rPr>
        <w:t>ly, making upward comparisons (</w:t>
      </w:r>
      <w:r>
        <w:rPr>
          <w:sz w:val="24"/>
          <w:szCs w:val="24"/>
        </w:rPr>
        <w:t>i.e. students comparing themselves to a cohort that is generally performing better than them and who are more academically</w:t>
      </w:r>
      <w:r w:rsidR="002050BA">
        <w:rPr>
          <w:sz w:val="24"/>
          <w:szCs w:val="24"/>
        </w:rPr>
        <w:t xml:space="preserve"> engaged)</w:t>
      </w:r>
      <w:r>
        <w:rPr>
          <w:sz w:val="24"/>
          <w:szCs w:val="24"/>
        </w:rPr>
        <w:t xml:space="preserve"> has a detrimental effect on self-esteem. Interestingly, this negative effect on self-esteem did not translate into decreased levels of motivation as assessed on a perseverance task or by willingness to engage with study support services. Finally, self-esteem effects affected students across all grade profiles equally.</w:t>
      </w:r>
    </w:p>
    <w:p w14:paraId="42EFC35E" w14:textId="4E723634" w:rsidR="007A67F1" w:rsidRDefault="007A67F1" w:rsidP="00B10431">
      <w:pPr>
        <w:spacing w:after="4" w:line="360" w:lineRule="auto"/>
        <w:ind w:firstLine="720"/>
        <w:jc w:val="both"/>
        <w:rPr>
          <w:sz w:val="24"/>
          <w:szCs w:val="24"/>
        </w:rPr>
      </w:pPr>
      <w:r>
        <w:rPr>
          <w:sz w:val="24"/>
          <w:szCs w:val="24"/>
        </w:rPr>
        <w:t>The self-esteem results reported here suggest that the effects of class cohort comparison are negative in their drive. That is, we report significantly lowered self-esteem for students in the below average vignette condition in comparison with both the average (control)</w:t>
      </w:r>
      <w:r w:rsidR="002050BA">
        <w:rPr>
          <w:sz w:val="24"/>
          <w:szCs w:val="24"/>
        </w:rPr>
        <w:t>,</w:t>
      </w:r>
      <w:r>
        <w:rPr>
          <w:sz w:val="24"/>
          <w:szCs w:val="24"/>
        </w:rPr>
        <w:t xml:space="preserve"> and above average condition. In contrast, students in the above average vignette condition did not report a significant bump in self-esteem in comparison with students in the average vignette (control) condition.</w:t>
      </w:r>
      <w:r w:rsidRPr="00EC1DE6">
        <w:rPr>
          <w:sz w:val="24"/>
          <w:szCs w:val="24"/>
        </w:rPr>
        <w:t xml:space="preserve"> </w:t>
      </w:r>
      <w:r>
        <w:rPr>
          <w:sz w:val="24"/>
          <w:szCs w:val="24"/>
        </w:rPr>
        <w:t>This suggests that particular caution must be used when implementing this tool at a university-wide level: the positive effects of downward social comparison reported here are small and non-significant, whereas the negative effects of upward social comparison are substantial.</w:t>
      </w:r>
    </w:p>
    <w:p w14:paraId="0326CF62" w14:textId="417084C2" w:rsidR="007A67F1" w:rsidRDefault="007A67F1" w:rsidP="00B10431">
      <w:pPr>
        <w:spacing w:after="4" w:line="360" w:lineRule="auto"/>
        <w:ind w:firstLine="720"/>
        <w:jc w:val="both"/>
        <w:rPr>
          <w:sz w:val="24"/>
          <w:szCs w:val="24"/>
        </w:rPr>
      </w:pPr>
      <w:r>
        <w:rPr>
          <w:rFonts w:ascii="Calibri" w:hAnsi="Calibri" w:cs="Calibri"/>
          <w:sz w:val="24"/>
          <w:szCs w:val="24"/>
        </w:rPr>
        <w:t xml:space="preserve">In line with </w:t>
      </w:r>
      <w:r w:rsidRPr="00513165">
        <w:rPr>
          <w:rFonts w:ascii="Calibri" w:hAnsi="Calibri" w:cs="Calibri"/>
          <w:sz w:val="24"/>
          <w:szCs w:val="24"/>
        </w:rPr>
        <w:t>Molloy</w:t>
      </w:r>
      <w:r>
        <w:rPr>
          <w:rFonts w:ascii="Calibri" w:hAnsi="Calibri" w:cs="Calibri"/>
          <w:sz w:val="24"/>
          <w:szCs w:val="24"/>
        </w:rPr>
        <w:t xml:space="preserve"> and colleagues</w:t>
      </w:r>
      <w:r w:rsidRPr="00513165">
        <w:rPr>
          <w:rFonts w:ascii="Calibri" w:hAnsi="Calibri" w:cs="Calibri"/>
          <w:sz w:val="24"/>
          <w:szCs w:val="24"/>
        </w:rPr>
        <w:t xml:space="preserve"> (2010) </w:t>
      </w:r>
      <w:r>
        <w:rPr>
          <w:rFonts w:ascii="Calibri" w:hAnsi="Calibri" w:cs="Calibri"/>
          <w:sz w:val="24"/>
          <w:szCs w:val="24"/>
        </w:rPr>
        <w:t>and Altermatt and Pomerantz (2005), w</w:t>
      </w:r>
      <w:r>
        <w:rPr>
          <w:sz w:val="24"/>
          <w:szCs w:val="24"/>
        </w:rPr>
        <w:t>e predicted that making upward social comparisons would affect students of different grade profiles differentially. In particular, we predicted that any effects of upward comparison would be moderated by academic achievement, with students attaining grades at a higher level less affected by this comparison than less academically successful students. Instead, we report a universal negative effect of upward social comparison on students’ self-esteem. In both of the studies cited above, the students were of a young cohort (3</w:t>
      </w:r>
      <w:r w:rsidRPr="000C2644">
        <w:rPr>
          <w:sz w:val="24"/>
          <w:szCs w:val="24"/>
          <w:vertAlign w:val="superscript"/>
        </w:rPr>
        <w:t>rd</w:t>
      </w:r>
      <w:r>
        <w:rPr>
          <w:sz w:val="24"/>
          <w:szCs w:val="24"/>
        </w:rPr>
        <w:t>-7</w:t>
      </w:r>
      <w:r w:rsidRPr="000C2644">
        <w:rPr>
          <w:sz w:val="24"/>
          <w:szCs w:val="24"/>
          <w:vertAlign w:val="superscript"/>
        </w:rPr>
        <w:t>th</w:t>
      </w:r>
      <w:r>
        <w:rPr>
          <w:sz w:val="24"/>
          <w:szCs w:val="24"/>
        </w:rPr>
        <w:t xml:space="preserve"> Grade students). Our results suggest that for a Higher Education population, academic achievement may not offer the same protective benefits. That is, across the board of academic achievement, making upward social comparisons with one’s class cohort had a similar debilitating effect on self-esteem.</w:t>
      </w:r>
    </w:p>
    <w:p w14:paraId="14A1D408" w14:textId="77777777" w:rsidR="009533F1" w:rsidRDefault="009533F1" w:rsidP="00B10431">
      <w:pPr>
        <w:spacing w:after="4" w:line="360" w:lineRule="auto"/>
        <w:ind w:firstLine="720"/>
        <w:jc w:val="both"/>
        <w:rPr>
          <w:sz w:val="24"/>
          <w:szCs w:val="24"/>
        </w:rPr>
      </w:pPr>
    </w:p>
    <w:p w14:paraId="22843B42" w14:textId="0699772D" w:rsidR="00A85B35" w:rsidRPr="00F765A7" w:rsidRDefault="00A85B35" w:rsidP="00F765A7">
      <w:pPr>
        <w:spacing w:after="4" w:line="360" w:lineRule="auto"/>
        <w:jc w:val="both"/>
        <w:rPr>
          <w:b/>
          <w:i/>
          <w:sz w:val="24"/>
          <w:szCs w:val="24"/>
        </w:rPr>
      </w:pPr>
      <w:r w:rsidRPr="00F765A7">
        <w:rPr>
          <w:b/>
          <w:i/>
          <w:sz w:val="24"/>
          <w:szCs w:val="24"/>
        </w:rPr>
        <w:t>Limitations and Future Research</w:t>
      </w:r>
    </w:p>
    <w:p w14:paraId="02EE9B1A" w14:textId="6B89B807" w:rsidR="007A67F1" w:rsidRDefault="007A67F1" w:rsidP="00F765A7">
      <w:pPr>
        <w:spacing w:after="4" w:line="360" w:lineRule="auto"/>
        <w:jc w:val="both"/>
        <w:rPr>
          <w:sz w:val="24"/>
          <w:szCs w:val="24"/>
        </w:rPr>
      </w:pPr>
      <w:r>
        <w:rPr>
          <w:sz w:val="24"/>
          <w:szCs w:val="24"/>
        </w:rPr>
        <w:t xml:space="preserve">We were interested to note that the negative effects of upward social comparison observed for self-esteem did not translate into decreased motivation to engage – either with the perseverance task or on willingness to engage with student support services. Here we have demonstrated an </w:t>
      </w:r>
      <w:r w:rsidRPr="001A606E">
        <w:rPr>
          <w:i/>
          <w:sz w:val="24"/>
          <w:szCs w:val="24"/>
        </w:rPr>
        <w:t>immediate</w:t>
      </w:r>
      <w:r>
        <w:rPr>
          <w:sz w:val="24"/>
          <w:szCs w:val="24"/>
        </w:rPr>
        <w:t xml:space="preserve"> negative effect </w:t>
      </w:r>
      <w:r w:rsidR="002050BA">
        <w:rPr>
          <w:sz w:val="24"/>
          <w:szCs w:val="24"/>
        </w:rPr>
        <w:t xml:space="preserve">on self-esteem </w:t>
      </w:r>
      <w:r>
        <w:rPr>
          <w:sz w:val="24"/>
          <w:szCs w:val="24"/>
        </w:rPr>
        <w:t>from reading an imaginary vignette</w:t>
      </w:r>
      <w:r w:rsidR="002050BA">
        <w:rPr>
          <w:sz w:val="24"/>
          <w:szCs w:val="24"/>
        </w:rPr>
        <w:t>,</w:t>
      </w:r>
      <w:r>
        <w:rPr>
          <w:sz w:val="24"/>
          <w:szCs w:val="24"/>
        </w:rPr>
        <w:t xml:space="preserve"> which placed students in a position of upward comparison with their class cohort. </w:t>
      </w:r>
      <w:r w:rsidR="00C5600D">
        <w:rPr>
          <w:sz w:val="24"/>
          <w:szCs w:val="24"/>
        </w:rPr>
        <w:t>I</w:t>
      </w:r>
      <w:r w:rsidR="00805EFC">
        <w:rPr>
          <w:sz w:val="24"/>
          <w:szCs w:val="24"/>
        </w:rPr>
        <w:t xml:space="preserve">t is possible that more long-term </w:t>
      </w:r>
      <w:r>
        <w:rPr>
          <w:sz w:val="24"/>
          <w:szCs w:val="24"/>
        </w:rPr>
        <w:t xml:space="preserve">negative social comparison information (e.g. frequent reminders that performance is below the cohort average) may be required before effects on motivation to engage are evident. </w:t>
      </w:r>
      <w:r w:rsidR="00C5600D">
        <w:rPr>
          <w:sz w:val="24"/>
          <w:szCs w:val="24"/>
        </w:rPr>
        <w:t xml:space="preserve">Indeed, </w:t>
      </w:r>
      <w:r w:rsidR="005B20A3">
        <w:rPr>
          <w:sz w:val="24"/>
          <w:szCs w:val="24"/>
        </w:rPr>
        <w:t xml:space="preserve">while </w:t>
      </w:r>
      <w:r w:rsidR="00BB154C">
        <w:rPr>
          <w:sz w:val="24"/>
          <w:szCs w:val="24"/>
        </w:rPr>
        <w:t xml:space="preserve">it is relatively easy to manipulate state self-esteem with immediate effect (as demonstrated here), academic self-concept – which </w:t>
      </w:r>
      <w:r w:rsidR="00EB7F55">
        <w:rPr>
          <w:sz w:val="24"/>
          <w:szCs w:val="24"/>
        </w:rPr>
        <w:t>has direct links with</w:t>
      </w:r>
      <w:r w:rsidR="00D47BB2">
        <w:rPr>
          <w:sz w:val="24"/>
          <w:szCs w:val="24"/>
        </w:rPr>
        <w:t xml:space="preserve"> academic motivation (e.g. Awan, Noureen &amp; Naz, 2011</w:t>
      </w:r>
      <w:r w:rsidR="00AE7B9C">
        <w:rPr>
          <w:sz w:val="24"/>
          <w:szCs w:val="24"/>
        </w:rPr>
        <w:t>) – is more temporally stable (Bong &amp; Skaalvik, 2003)</w:t>
      </w:r>
      <w:r w:rsidR="00A11D5B">
        <w:rPr>
          <w:sz w:val="24"/>
          <w:szCs w:val="24"/>
        </w:rPr>
        <w:t xml:space="preserve"> and would therefore take greater</w:t>
      </w:r>
      <w:r w:rsidR="00EB7F55">
        <w:rPr>
          <w:sz w:val="24"/>
          <w:szCs w:val="24"/>
        </w:rPr>
        <w:t xml:space="preserve"> social comparison</w:t>
      </w:r>
      <w:r w:rsidR="00A11D5B">
        <w:rPr>
          <w:sz w:val="24"/>
          <w:szCs w:val="24"/>
        </w:rPr>
        <w:t xml:space="preserve"> input over a longer period of time to affect</w:t>
      </w:r>
      <w:r w:rsidR="00C5600D">
        <w:rPr>
          <w:sz w:val="24"/>
          <w:szCs w:val="24"/>
        </w:rPr>
        <w:t xml:space="preserve">. </w:t>
      </w:r>
      <w:r>
        <w:rPr>
          <w:sz w:val="24"/>
          <w:szCs w:val="24"/>
        </w:rPr>
        <w:t>It would be difficult to ethically design such a study, and simply looking at motivation in poorer performing students makes it difficult to disentangle social comparison effects from other factors</w:t>
      </w:r>
      <w:r w:rsidR="00032845">
        <w:rPr>
          <w:sz w:val="24"/>
          <w:szCs w:val="24"/>
        </w:rPr>
        <w:t>, such as ability</w:t>
      </w:r>
      <w:r>
        <w:rPr>
          <w:sz w:val="24"/>
          <w:szCs w:val="24"/>
        </w:rPr>
        <w:t>. Instead, we recommend that Higher Education institutions implementing student-facing class comparison tools</w:t>
      </w:r>
      <w:r w:rsidR="002050BA">
        <w:rPr>
          <w:sz w:val="24"/>
          <w:szCs w:val="24"/>
        </w:rPr>
        <w:t xml:space="preserve"> (such as Dashboards)</w:t>
      </w:r>
      <w:r>
        <w:rPr>
          <w:sz w:val="24"/>
          <w:szCs w:val="24"/>
        </w:rPr>
        <w:t xml:space="preserve"> closely monitor effects and compare engagement of student cohorts prior to and </w:t>
      </w:r>
      <w:r w:rsidR="00C331AF">
        <w:rPr>
          <w:sz w:val="24"/>
          <w:szCs w:val="24"/>
        </w:rPr>
        <w:t xml:space="preserve">following </w:t>
      </w:r>
      <w:r>
        <w:rPr>
          <w:sz w:val="24"/>
          <w:szCs w:val="24"/>
        </w:rPr>
        <w:t xml:space="preserve">the introduction of such systems. In light of </w:t>
      </w:r>
      <w:r w:rsidR="00E525E2">
        <w:rPr>
          <w:sz w:val="24"/>
          <w:szCs w:val="24"/>
        </w:rPr>
        <w:t xml:space="preserve">ongoing </w:t>
      </w:r>
      <w:r>
        <w:rPr>
          <w:sz w:val="24"/>
          <w:szCs w:val="24"/>
        </w:rPr>
        <w:t>retention issues in Higher Education</w:t>
      </w:r>
      <w:r w:rsidR="00E525E2">
        <w:rPr>
          <w:sz w:val="24"/>
          <w:szCs w:val="24"/>
        </w:rPr>
        <w:t xml:space="preserve"> (HESA, 2018)</w:t>
      </w:r>
      <w:r>
        <w:rPr>
          <w:sz w:val="24"/>
          <w:szCs w:val="24"/>
        </w:rPr>
        <w:t>, it will be important to assess whether the lowering of poorly-performing students’ self-esteem might result in an increased drop-out rate.</w:t>
      </w:r>
    </w:p>
    <w:p w14:paraId="5F948C2C" w14:textId="0AAA32FD" w:rsidR="00A85B35" w:rsidRPr="009431B6" w:rsidRDefault="00A85B35" w:rsidP="00C950F6">
      <w:pPr>
        <w:spacing w:after="4" w:line="360" w:lineRule="auto"/>
        <w:jc w:val="both"/>
        <w:rPr>
          <w:sz w:val="24"/>
          <w:szCs w:val="24"/>
        </w:rPr>
      </w:pPr>
      <w:r>
        <w:rPr>
          <w:b/>
          <w:i/>
          <w:sz w:val="24"/>
          <w:szCs w:val="24"/>
        </w:rPr>
        <w:tab/>
      </w:r>
      <w:r w:rsidRPr="00C950F6">
        <w:rPr>
          <w:sz w:val="24"/>
          <w:szCs w:val="24"/>
        </w:rPr>
        <w:t>The current study utilised hypothetical Dashboard data from one institution to consider the effects of social comparison. Although hypothetical vignettes are widely used and offer many benefits (</w:t>
      </w:r>
      <w:r w:rsidRPr="00C950F6">
        <w:rPr>
          <w:rFonts w:ascii="Calibri" w:hAnsi="Calibri" w:cs="Calibri"/>
          <w:sz w:val="24"/>
          <w:szCs w:val="24"/>
        </w:rPr>
        <w:t xml:space="preserve">Hughes, 1998), </w:t>
      </w:r>
      <w:r w:rsidR="00F526F8" w:rsidRPr="00C950F6">
        <w:rPr>
          <w:rFonts w:ascii="Calibri" w:hAnsi="Calibri" w:cs="Calibri"/>
          <w:sz w:val="24"/>
          <w:szCs w:val="24"/>
        </w:rPr>
        <w:t>the hypothetical data may not have been</w:t>
      </w:r>
      <w:r w:rsidR="00807419" w:rsidRPr="00C950F6">
        <w:rPr>
          <w:rFonts w:ascii="Calibri" w:hAnsi="Calibri" w:cs="Calibri"/>
          <w:sz w:val="24"/>
          <w:szCs w:val="24"/>
        </w:rPr>
        <w:t xml:space="preserve"> as</w:t>
      </w:r>
      <w:r w:rsidR="00F526F8" w:rsidRPr="00C950F6">
        <w:rPr>
          <w:rFonts w:ascii="Calibri" w:hAnsi="Calibri" w:cs="Calibri"/>
          <w:sz w:val="24"/>
          <w:szCs w:val="24"/>
        </w:rPr>
        <w:t xml:space="preserve"> impactful </w:t>
      </w:r>
      <w:r w:rsidR="00807419" w:rsidRPr="00C950F6">
        <w:rPr>
          <w:rFonts w:ascii="Calibri" w:hAnsi="Calibri" w:cs="Calibri"/>
          <w:sz w:val="24"/>
          <w:szCs w:val="24"/>
        </w:rPr>
        <w:t>as students’ own data and, as such, not produced authentic student responses</w:t>
      </w:r>
      <w:r w:rsidRPr="00C950F6">
        <w:rPr>
          <w:rFonts w:ascii="Calibri" w:hAnsi="Calibri" w:cs="Calibri"/>
          <w:sz w:val="24"/>
          <w:szCs w:val="24"/>
        </w:rPr>
        <w:t>.</w:t>
      </w:r>
      <w:r w:rsidR="00F526F8" w:rsidRPr="00C950F6">
        <w:rPr>
          <w:rFonts w:ascii="Calibri" w:hAnsi="Calibri" w:cs="Calibri"/>
          <w:sz w:val="24"/>
          <w:szCs w:val="24"/>
        </w:rPr>
        <w:t xml:space="preserve"> </w:t>
      </w:r>
      <w:r w:rsidRPr="00C950F6">
        <w:rPr>
          <w:rFonts w:ascii="Calibri" w:hAnsi="Calibri" w:cs="Calibri"/>
          <w:sz w:val="24"/>
          <w:szCs w:val="24"/>
        </w:rPr>
        <w:t>In addition, the current study only considered the impact of social comparisons on one Dashboard model</w:t>
      </w:r>
      <w:r w:rsidR="00F526F8" w:rsidRPr="00C950F6">
        <w:rPr>
          <w:rFonts w:ascii="Calibri" w:hAnsi="Calibri" w:cs="Calibri"/>
          <w:sz w:val="24"/>
          <w:szCs w:val="24"/>
        </w:rPr>
        <w:t xml:space="preserve"> (see Figure 1)</w:t>
      </w:r>
      <w:r w:rsidRPr="00C950F6">
        <w:rPr>
          <w:rFonts w:ascii="Calibri" w:hAnsi="Calibri" w:cs="Calibri"/>
          <w:sz w:val="24"/>
          <w:szCs w:val="24"/>
        </w:rPr>
        <w:t xml:space="preserve">. To generalise and increase the reliability of the findings, future research should also consider different models of Dashboard </w:t>
      </w:r>
      <w:r w:rsidR="00F526F8" w:rsidRPr="00C950F6">
        <w:rPr>
          <w:rFonts w:ascii="Calibri" w:hAnsi="Calibri" w:cs="Calibri"/>
          <w:sz w:val="24"/>
          <w:szCs w:val="24"/>
        </w:rPr>
        <w:t xml:space="preserve">data </w:t>
      </w:r>
      <w:r w:rsidRPr="00C950F6">
        <w:rPr>
          <w:rFonts w:ascii="Calibri" w:hAnsi="Calibri" w:cs="Calibri"/>
          <w:sz w:val="24"/>
          <w:szCs w:val="24"/>
        </w:rPr>
        <w:t>(i.e. display different analytics or vary visual representations</w:t>
      </w:r>
      <w:r w:rsidR="00F526F8" w:rsidRPr="00C950F6">
        <w:rPr>
          <w:rFonts w:ascii="Calibri" w:hAnsi="Calibri" w:cs="Calibri"/>
          <w:sz w:val="24"/>
          <w:szCs w:val="24"/>
        </w:rPr>
        <w:t>)</w:t>
      </w:r>
      <w:r w:rsidR="00807419" w:rsidRPr="00C950F6">
        <w:rPr>
          <w:rFonts w:ascii="Calibri" w:hAnsi="Calibri" w:cs="Calibri"/>
          <w:sz w:val="24"/>
          <w:szCs w:val="24"/>
        </w:rPr>
        <w:t xml:space="preserve"> and replicate this study utilising authentic student Dashboard data</w:t>
      </w:r>
      <w:r w:rsidR="00F526F8" w:rsidRPr="00C950F6">
        <w:rPr>
          <w:rFonts w:ascii="Calibri" w:hAnsi="Calibri" w:cs="Calibri"/>
          <w:sz w:val="24"/>
          <w:szCs w:val="24"/>
        </w:rPr>
        <w:t>.</w:t>
      </w:r>
    </w:p>
    <w:p w14:paraId="16C0E647" w14:textId="77777777" w:rsidR="007A67F1" w:rsidRDefault="007A67F1" w:rsidP="00B10431">
      <w:pPr>
        <w:spacing w:after="4" w:line="360" w:lineRule="auto"/>
        <w:jc w:val="both"/>
        <w:rPr>
          <w:sz w:val="24"/>
          <w:szCs w:val="24"/>
        </w:rPr>
      </w:pPr>
    </w:p>
    <w:p w14:paraId="014EF441" w14:textId="77777777" w:rsidR="007A67F1" w:rsidRPr="00B10431" w:rsidRDefault="007A67F1" w:rsidP="00B10431">
      <w:pPr>
        <w:spacing w:after="4" w:line="360" w:lineRule="auto"/>
        <w:jc w:val="both"/>
        <w:rPr>
          <w:b/>
          <w:i/>
          <w:sz w:val="24"/>
          <w:szCs w:val="24"/>
        </w:rPr>
      </w:pPr>
      <w:r w:rsidRPr="00B10431">
        <w:rPr>
          <w:b/>
          <w:i/>
          <w:sz w:val="24"/>
          <w:szCs w:val="24"/>
        </w:rPr>
        <w:t>Conclusion</w:t>
      </w:r>
    </w:p>
    <w:p w14:paraId="13512CD6" w14:textId="1E8349A5" w:rsidR="002956F0" w:rsidRPr="007D3AA9" w:rsidRDefault="007A67F1" w:rsidP="007D3AA9">
      <w:pPr>
        <w:spacing w:after="4" w:line="360" w:lineRule="auto"/>
        <w:jc w:val="both"/>
        <w:rPr>
          <w:sz w:val="24"/>
          <w:szCs w:val="24"/>
        </w:rPr>
      </w:pPr>
      <w:r>
        <w:rPr>
          <w:sz w:val="24"/>
          <w:szCs w:val="24"/>
        </w:rPr>
        <w:t>The use of Dashboard systems online – whereby a student can access comparison information in relation to their cohort – should be regarded with caution in the Higher Education setting. Using a realistic Dashboard interface, designed to mimic the student view of class cohort comparison information, we report that viewing information leading to upward social comparison has a detrimental effect on student self-esteem. This effect is not dependent on the grade profile of the student: upward social comparison in a Higher Education setting affects students of different academic abilities equally.</w:t>
      </w:r>
    </w:p>
    <w:p w14:paraId="46000CA4" w14:textId="77777777" w:rsidR="009431B6" w:rsidRDefault="009431B6" w:rsidP="00B10431">
      <w:pPr>
        <w:spacing w:after="4" w:line="360" w:lineRule="auto"/>
        <w:ind w:firstLine="720"/>
        <w:jc w:val="both"/>
        <w:rPr>
          <w:rFonts w:ascii="Calibri" w:hAnsi="Calibri" w:cs="Calibri"/>
          <w:sz w:val="24"/>
          <w:szCs w:val="24"/>
        </w:rPr>
      </w:pPr>
    </w:p>
    <w:p w14:paraId="3AF9C01E" w14:textId="40818E07" w:rsidR="001839F0" w:rsidRDefault="001839F0" w:rsidP="00B10431">
      <w:pPr>
        <w:spacing w:after="4" w:line="360" w:lineRule="auto"/>
        <w:jc w:val="both"/>
        <w:rPr>
          <w:rFonts w:ascii="Calibri" w:hAnsi="Calibri" w:cs="Calibri"/>
          <w:sz w:val="24"/>
          <w:szCs w:val="24"/>
        </w:rPr>
      </w:pPr>
    </w:p>
    <w:p w14:paraId="453277D0" w14:textId="75C13B31" w:rsidR="001839F0" w:rsidRDefault="001839F0" w:rsidP="00B10431">
      <w:pPr>
        <w:spacing w:after="4" w:line="360" w:lineRule="auto"/>
        <w:jc w:val="both"/>
        <w:rPr>
          <w:rFonts w:ascii="Calibri" w:hAnsi="Calibri" w:cs="Calibri"/>
          <w:sz w:val="24"/>
          <w:szCs w:val="24"/>
        </w:rPr>
      </w:pPr>
    </w:p>
    <w:p w14:paraId="1108D04C" w14:textId="2A03071F" w:rsidR="001839F0" w:rsidRDefault="001839F0" w:rsidP="00B10431">
      <w:pPr>
        <w:spacing w:after="4" w:line="360" w:lineRule="auto"/>
        <w:jc w:val="both"/>
        <w:rPr>
          <w:rFonts w:ascii="Calibri" w:hAnsi="Calibri" w:cs="Calibri"/>
          <w:sz w:val="24"/>
          <w:szCs w:val="24"/>
        </w:rPr>
      </w:pPr>
    </w:p>
    <w:p w14:paraId="51350109" w14:textId="0E4760AF" w:rsidR="001839F0" w:rsidRDefault="001839F0" w:rsidP="00B10431">
      <w:pPr>
        <w:spacing w:after="4" w:line="360" w:lineRule="auto"/>
        <w:jc w:val="both"/>
        <w:rPr>
          <w:rFonts w:ascii="Calibri" w:hAnsi="Calibri" w:cs="Calibri"/>
          <w:sz w:val="24"/>
          <w:szCs w:val="24"/>
        </w:rPr>
      </w:pPr>
    </w:p>
    <w:p w14:paraId="6354D1FE" w14:textId="3FF31910" w:rsidR="001839F0" w:rsidRDefault="001839F0" w:rsidP="00B10431">
      <w:pPr>
        <w:spacing w:after="4" w:line="360" w:lineRule="auto"/>
        <w:jc w:val="both"/>
        <w:rPr>
          <w:rFonts w:ascii="Calibri" w:hAnsi="Calibri" w:cs="Calibri"/>
          <w:sz w:val="24"/>
          <w:szCs w:val="24"/>
        </w:rPr>
      </w:pPr>
    </w:p>
    <w:p w14:paraId="6C154BA8" w14:textId="02A85CC2" w:rsidR="001839F0" w:rsidRDefault="001839F0" w:rsidP="00B10431">
      <w:pPr>
        <w:spacing w:after="4" w:line="360" w:lineRule="auto"/>
        <w:jc w:val="both"/>
        <w:rPr>
          <w:rFonts w:ascii="Calibri" w:hAnsi="Calibri" w:cs="Calibri"/>
          <w:sz w:val="24"/>
          <w:szCs w:val="24"/>
        </w:rPr>
      </w:pPr>
    </w:p>
    <w:p w14:paraId="0FFB249E" w14:textId="361729F9" w:rsidR="001839F0" w:rsidRDefault="001839F0" w:rsidP="00B10431">
      <w:pPr>
        <w:spacing w:after="4" w:line="360" w:lineRule="auto"/>
        <w:jc w:val="both"/>
        <w:rPr>
          <w:rFonts w:ascii="Calibri" w:hAnsi="Calibri" w:cs="Calibri"/>
          <w:sz w:val="24"/>
          <w:szCs w:val="24"/>
        </w:rPr>
      </w:pPr>
    </w:p>
    <w:p w14:paraId="31B20DB9" w14:textId="481D8DAB" w:rsidR="001839F0" w:rsidRDefault="001839F0" w:rsidP="00B10431">
      <w:pPr>
        <w:spacing w:after="4" w:line="360" w:lineRule="auto"/>
        <w:jc w:val="both"/>
        <w:rPr>
          <w:rFonts w:ascii="Calibri" w:hAnsi="Calibri" w:cs="Calibri"/>
          <w:sz w:val="24"/>
          <w:szCs w:val="24"/>
        </w:rPr>
      </w:pPr>
    </w:p>
    <w:p w14:paraId="30D0C4A5" w14:textId="5377D401" w:rsidR="001839F0" w:rsidRDefault="001839F0" w:rsidP="00B10431">
      <w:pPr>
        <w:spacing w:after="4" w:line="360" w:lineRule="auto"/>
        <w:jc w:val="both"/>
        <w:rPr>
          <w:rFonts w:ascii="Calibri" w:hAnsi="Calibri" w:cs="Calibri"/>
          <w:sz w:val="24"/>
          <w:szCs w:val="24"/>
        </w:rPr>
      </w:pPr>
    </w:p>
    <w:p w14:paraId="370D1DFA" w14:textId="2C8AF9A9" w:rsidR="001839F0" w:rsidRDefault="001839F0" w:rsidP="00B10431">
      <w:pPr>
        <w:spacing w:after="4" w:line="360" w:lineRule="auto"/>
        <w:jc w:val="both"/>
        <w:rPr>
          <w:rFonts w:ascii="Calibri" w:hAnsi="Calibri" w:cs="Calibri"/>
          <w:sz w:val="24"/>
          <w:szCs w:val="24"/>
        </w:rPr>
      </w:pPr>
    </w:p>
    <w:p w14:paraId="6A98A3F4" w14:textId="3FDD4CFF" w:rsidR="001839F0" w:rsidRDefault="001839F0" w:rsidP="00B10431">
      <w:pPr>
        <w:spacing w:after="4" w:line="360" w:lineRule="auto"/>
        <w:jc w:val="both"/>
        <w:rPr>
          <w:rFonts w:ascii="Calibri" w:hAnsi="Calibri" w:cs="Calibri"/>
          <w:sz w:val="24"/>
          <w:szCs w:val="24"/>
        </w:rPr>
      </w:pPr>
    </w:p>
    <w:p w14:paraId="27DFB445" w14:textId="2B0C8D67" w:rsidR="001839F0" w:rsidRDefault="001839F0" w:rsidP="00B10431">
      <w:pPr>
        <w:spacing w:after="4" w:line="360" w:lineRule="auto"/>
        <w:jc w:val="both"/>
        <w:rPr>
          <w:rFonts w:ascii="Calibri" w:hAnsi="Calibri" w:cs="Calibri"/>
          <w:sz w:val="24"/>
          <w:szCs w:val="24"/>
        </w:rPr>
      </w:pPr>
    </w:p>
    <w:p w14:paraId="1B997F0A" w14:textId="384574A0" w:rsidR="001839F0" w:rsidRDefault="001839F0" w:rsidP="00B10431">
      <w:pPr>
        <w:spacing w:after="4" w:line="360" w:lineRule="auto"/>
        <w:jc w:val="both"/>
        <w:rPr>
          <w:rFonts w:ascii="Calibri" w:hAnsi="Calibri" w:cs="Calibri"/>
          <w:sz w:val="24"/>
          <w:szCs w:val="24"/>
        </w:rPr>
      </w:pPr>
    </w:p>
    <w:p w14:paraId="5B97DCFD" w14:textId="2B252822" w:rsidR="001839F0" w:rsidRDefault="001839F0" w:rsidP="00B10431">
      <w:pPr>
        <w:spacing w:after="4" w:line="360" w:lineRule="auto"/>
        <w:jc w:val="both"/>
        <w:rPr>
          <w:rFonts w:ascii="Calibri" w:hAnsi="Calibri" w:cs="Calibri"/>
          <w:sz w:val="24"/>
          <w:szCs w:val="24"/>
        </w:rPr>
      </w:pPr>
    </w:p>
    <w:p w14:paraId="4B815C12" w14:textId="69748734" w:rsidR="001839F0" w:rsidRDefault="001839F0" w:rsidP="00B10431">
      <w:pPr>
        <w:spacing w:after="4" w:line="360" w:lineRule="auto"/>
        <w:jc w:val="both"/>
        <w:rPr>
          <w:rFonts w:ascii="Calibri" w:hAnsi="Calibri" w:cs="Calibri"/>
          <w:sz w:val="24"/>
          <w:szCs w:val="24"/>
        </w:rPr>
      </w:pPr>
    </w:p>
    <w:p w14:paraId="3673C636" w14:textId="2E5548FA" w:rsidR="001839F0" w:rsidRDefault="001839F0" w:rsidP="00B10431">
      <w:pPr>
        <w:spacing w:after="4" w:line="360" w:lineRule="auto"/>
        <w:jc w:val="both"/>
        <w:rPr>
          <w:rFonts w:ascii="Calibri" w:hAnsi="Calibri" w:cs="Calibri"/>
          <w:sz w:val="24"/>
          <w:szCs w:val="24"/>
        </w:rPr>
      </w:pPr>
    </w:p>
    <w:p w14:paraId="18DD7D62" w14:textId="1E1A231A" w:rsidR="001839F0" w:rsidRDefault="001839F0" w:rsidP="00B10431">
      <w:pPr>
        <w:spacing w:after="4" w:line="360" w:lineRule="auto"/>
        <w:jc w:val="both"/>
        <w:rPr>
          <w:rFonts w:ascii="Calibri" w:hAnsi="Calibri" w:cs="Calibri"/>
          <w:sz w:val="24"/>
          <w:szCs w:val="24"/>
        </w:rPr>
      </w:pPr>
    </w:p>
    <w:p w14:paraId="6BC14BA6" w14:textId="0FEFF693" w:rsidR="001839F0" w:rsidRDefault="001839F0" w:rsidP="00B10431">
      <w:pPr>
        <w:spacing w:after="4" w:line="360" w:lineRule="auto"/>
        <w:jc w:val="both"/>
        <w:rPr>
          <w:rFonts w:ascii="Calibri" w:hAnsi="Calibri" w:cs="Calibri"/>
          <w:sz w:val="24"/>
          <w:szCs w:val="24"/>
        </w:rPr>
      </w:pPr>
    </w:p>
    <w:p w14:paraId="03D326D2" w14:textId="219001D2" w:rsidR="001839F0" w:rsidRDefault="001839F0" w:rsidP="00B10431">
      <w:pPr>
        <w:spacing w:after="4" w:line="360" w:lineRule="auto"/>
        <w:jc w:val="both"/>
        <w:rPr>
          <w:rFonts w:ascii="Calibri" w:hAnsi="Calibri" w:cs="Calibri"/>
          <w:sz w:val="24"/>
          <w:szCs w:val="24"/>
        </w:rPr>
      </w:pPr>
    </w:p>
    <w:p w14:paraId="2CA294FB" w14:textId="694B6B8F" w:rsidR="001839F0" w:rsidRDefault="001839F0" w:rsidP="00B10431">
      <w:pPr>
        <w:spacing w:after="4" w:line="360" w:lineRule="auto"/>
        <w:jc w:val="both"/>
        <w:rPr>
          <w:rFonts w:ascii="Calibri" w:hAnsi="Calibri" w:cs="Calibri"/>
          <w:sz w:val="24"/>
          <w:szCs w:val="24"/>
        </w:rPr>
      </w:pPr>
    </w:p>
    <w:p w14:paraId="582704A8" w14:textId="3BE018F6" w:rsidR="001839F0" w:rsidRDefault="001839F0" w:rsidP="00B10431">
      <w:pPr>
        <w:spacing w:after="4" w:line="360" w:lineRule="auto"/>
        <w:jc w:val="both"/>
        <w:rPr>
          <w:rFonts w:ascii="Calibri" w:hAnsi="Calibri" w:cs="Calibri"/>
          <w:sz w:val="24"/>
          <w:szCs w:val="24"/>
        </w:rPr>
      </w:pPr>
    </w:p>
    <w:p w14:paraId="1F2A585B" w14:textId="4FC70989" w:rsidR="004E52BF" w:rsidRDefault="004E52BF" w:rsidP="00B10431">
      <w:pPr>
        <w:spacing w:after="4" w:line="360" w:lineRule="auto"/>
        <w:jc w:val="both"/>
        <w:rPr>
          <w:rFonts w:ascii="Calibri" w:hAnsi="Calibri" w:cs="Calibri"/>
          <w:sz w:val="24"/>
          <w:szCs w:val="24"/>
        </w:rPr>
      </w:pPr>
    </w:p>
    <w:p w14:paraId="21C59EAB" w14:textId="6891EB34" w:rsidR="004E52BF" w:rsidRDefault="004E52BF" w:rsidP="00B10431">
      <w:pPr>
        <w:spacing w:after="4" w:line="360" w:lineRule="auto"/>
        <w:jc w:val="both"/>
        <w:rPr>
          <w:rFonts w:ascii="Calibri" w:hAnsi="Calibri" w:cs="Calibri"/>
          <w:sz w:val="24"/>
          <w:szCs w:val="24"/>
        </w:rPr>
      </w:pPr>
    </w:p>
    <w:p w14:paraId="40F91FC1" w14:textId="77777777" w:rsidR="004E52BF" w:rsidRPr="00513165" w:rsidRDefault="004E52BF" w:rsidP="00B10431">
      <w:pPr>
        <w:spacing w:after="4" w:line="360" w:lineRule="auto"/>
        <w:jc w:val="both"/>
        <w:rPr>
          <w:rFonts w:ascii="Calibri" w:hAnsi="Calibri" w:cs="Calibri"/>
          <w:sz w:val="24"/>
          <w:szCs w:val="24"/>
        </w:rPr>
      </w:pPr>
    </w:p>
    <w:p w14:paraId="4FEA0AE7" w14:textId="77777777" w:rsidR="007D3AA9" w:rsidRDefault="007D3AA9" w:rsidP="007D3AA9">
      <w:pPr>
        <w:spacing w:after="4" w:line="360" w:lineRule="auto"/>
        <w:jc w:val="both"/>
        <w:rPr>
          <w:rFonts w:ascii="Calibri" w:hAnsi="Calibri" w:cs="Calibri"/>
          <w:sz w:val="24"/>
          <w:szCs w:val="24"/>
        </w:rPr>
      </w:pPr>
    </w:p>
    <w:p w14:paraId="027D3C4A" w14:textId="4EB6A523" w:rsidR="00C77C49" w:rsidRPr="007D3AA9" w:rsidRDefault="00C77C49" w:rsidP="007D3AA9">
      <w:pPr>
        <w:spacing w:after="4" w:line="360" w:lineRule="auto"/>
        <w:jc w:val="both"/>
        <w:rPr>
          <w:b/>
          <w:sz w:val="24"/>
          <w:szCs w:val="24"/>
        </w:rPr>
      </w:pPr>
      <w:r w:rsidRPr="00B000EE">
        <w:rPr>
          <w:rFonts w:ascii="Calibri" w:hAnsi="Calibri" w:cs="Calibri"/>
          <w:b/>
          <w:sz w:val="24"/>
          <w:szCs w:val="24"/>
        </w:rPr>
        <w:t>References</w:t>
      </w:r>
    </w:p>
    <w:p w14:paraId="5E6325C4" w14:textId="2ADBD1A3" w:rsidR="00CA7B78" w:rsidRPr="00CA7B78" w:rsidRDefault="00CA7B78" w:rsidP="005119CD">
      <w:pPr>
        <w:spacing w:after="0" w:line="360" w:lineRule="auto"/>
        <w:ind w:left="720" w:hanging="720"/>
        <w:jc w:val="both"/>
        <w:rPr>
          <w:rFonts w:ascii="Calibri" w:hAnsi="Calibri" w:cs="Calibri"/>
          <w:color w:val="000000"/>
          <w:sz w:val="24"/>
          <w:szCs w:val="24"/>
        </w:rPr>
      </w:pPr>
      <w:r>
        <w:rPr>
          <w:rFonts w:ascii="Calibri" w:hAnsi="Calibri" w:cs="Calibri"/>
          <w:color w:val="000000"/>
          <w:sz w:val="24"/>
          <w:szCs w:val="24"/>
        </w:rPr>
        <w:t xml:space="preserve">Altermatt, E.R., Pomerantz, E.M., Ruble, K.S., &amp; Greulich, F.K. (2002). Predicting changes in children’s self-perceptions of academic competence: A naturalistic examination of evaluative discourse among classmates. </w:t>
      </w:r>
      <w:r>
        <w:rPr>
          <w:rFonts w:ascii="Calibri" w:hAnsi="Calibri" w:cs="Calibri"/>
          <w:i/>
          <w:color w:val="000000"/>
          <w:sz w:val="24"/>
          <w:szCs w:val="24"/>
        </w:rPr>
        <w:t>Developmental Psychology,38</w:t>
      </w:r>
      <w:r>
        <w:rPr>
          <w:rFonts w:ascii="Calibri" w:hAnsi="Calibri" w:cs="Calibri"/>
          <w:color w:val="000000"/>
          <w:sz w:val="24"/>
          <w:szCs w:val="24"/>
        </w:rPr>
        <w:t>, 903-917.</w:t>
      </w:r>
    </w:p>
    <w:p w14:paraId="39A070D9" w14:textId="7BC182F9" w:rsidR="00D801DC" w:rsidRPr="00B000EE" w:rsidRDefault="00D801DC" w:rsidP="005119CD">
      <w:pPr>
        <w:spacing w:after="0" w:line="360" w:lineRule="auto"/>
        <w:ind w:left="720" w:hanging="720"/>
        <w:jc w:val="both"/>
        <w:rPr>
          <w:rFonts w:ascii="Calibri" w:hAnsi="Calibri" w:cs="Calibri"/>
          <w:color w:val="000000"/>
          <w:sz w:val="24"/>
          <w:szCs w:val="24"/>
        </w:rPr>
      </w:pPr>
      <w:r w:rsidRPr="00B000EE">
        <w:rPr>
          <w:rFonts w:ascii="Calibri" w:hAnsi="Calibri" w:cs="Calibri"/>
          <w:color w:val="000000"/>
          <w:sz w:val="24"/>
          <w:szCs w:val="24"/>
        </w:rPr>
        <w:t xml:space="preserve">Altermatt, E.R., &amp; Pomerantz, E.M. (2005). The implications of having high-achieving versus low-achieving friends: A longitudinal analysis. </w:t>
      </w:r>
      <w:r w:rsidRPr="00B000EE">
        <w:rPr>
          <w:rFonts w:ascii="Calibri" w:hAnsi="Calibri" w:cs="Calibri"/>
          <w:i/>
          <w:color w:val="000000"/>
          <w:sz w:val="24"/>
          <w:szCs w:val="24"/>
        </w:rPr>
        <w:t xml:space="preserve">Social Development,14, </w:t>
      </w:r>
      <w:r w:rsidRPr="00B000EE">
        <w:rPr>
          <w:rFonts w:ascii="Calibri" w:hAnsi="Calibri" w:cs="Calibri"/>
          <w:color w:val="000000"/>
          <w:sz w:val="24"/>
          <w:szCs w:val="24"/>
        </w:rPr>
        <w:t>61-81.</w:t>
      </w:r>
    </w:p>
    <w:p w14:paraId="1CDB7194" w14:textId="62B52162" w:rsidR="00FB3D6B" w:rsidRPr="00FB3D6B" w:rsidRDefault="00FB3D6B" w:rsidP="005119CD">
      <w:pPr>
        <w:spacing w:after="0" w:line="360" w:lineRule="auto"/>
        <w:ind w:left="720" w:hanging="720"/>
        <w:jc w:val="both"/>
        <w:rPr>
          <w:rFonts w:ascii="Calibri" w:hAnsi="Calibri" w:cs="Calibri"/>
          <w:sz w:val="24"/>
          <w:szCs w:val="24"/>
          <w:lang w:eastAsia="en-GB"/>
        </w:rPr>
      </w:pPr>
      <w:r>
        <w:rPr>
          <w:rFonts w:ascii="Calibri" w:hAnsi="Calibri" w:cs="Calibri"/>
          <w:sz w:val="24"/>
          <w:szCs w:val="24"/>
          <w:lang w:eastAsia="en-GB"/>
        </w:rPr>
        <w:t>Awan, R.-U.-N., Noureen, G., &amp; Naz, A. (2011). A study of relationship between achievement motivation, self</w:t>
      </w:r>
      <w:r w:rsidR="00C64CFE">
        <w:rPr>
          <w:rFonts w:ascii="Calibri" w:hAnsi="Calibri" w:cs="Calibri"/>
          <w:sz w:val="24"/>
          <w:szCs w:val="24"/>
          <w:lang w:eastAsia="en-GB"/>
        </w:rPr>
        <w:t>-</w:t>
      </w:r>
      <w:r>
        <w:rPr>
          <w:rFonts w:ascii="Calibri" w:hAnsi="Calibri" w:cs="Calibri"/>
          <w:sz w:val="24"/>
          <w:szCs w:val="24"/>
          <w:lang w:eastAsia="en-GB"/>
        </w:rPr>
        <w:t xml:space="preserve">concept and achievement in English and Mathematics at Secondary level. </w:t>
      </w:r>
      <w:r>
        <w:rPr>
          <w:rFonts w:ascii="Calibri" w:hAnsi="Calibri" w:cs="Calibri"/>
          <w:i/>
          <w:sz w:val="24"/>
          <w:szCs w:val="24"/>
          <w:lang w:eastAsia="en-GB"/>
        </w:rPr>
        <w:t>International Education Studies,4</w:t>
      </w:r>
      <w:r>
        <w:rPr>
          <w:rFonts w:ascii="Calibri" w:hAnsi="Calibri" w:cs="Calibri"/>
          <w:sz w:val="24"/>
          <w:szCs w:val="24"/>
          <w:lang w:eastAsia="en-GB"/>
        </w:rPr>
        <w:t>(3), 72-79.</w:t>
      </w:r>
    </w:p>
    <w:p w14:paraId="031CD85E" w14:textId="44E510DB" w:rsidR="001C6FDE" w:rsidRDefault="001C6FDE" w:rsidP="005119CD">
      <w:pPr>
        <w:spacing w:after="0" w:line="360" w:lineRule="auto"/>
        <w:ind w:left="720" w:hanging="720"/>
        <w:jc w:val="both"/>
        <w:rPr>
          <w:rFonts w:ascii="Calibri" w:hAnsi="Calibri" w:cs="Calibri"/>
          <w:i/>
          <w:sz w:val="24"/>
          <w:szCs w:val="24"/>
          <w:lang w:eastAsia="en-GB"/>
        </w:rPr>
      </w:pPr>
      <w:r>
        <w:rPr>
          <w:rFonts w:ascii="Calibri" w:hAnsi="Calibri" w:cs="Calibri"/>
          <w:sz w:val="24"/>
          <w:szCs w:val="24"/>
          <w:lang w:eastAsia="en-GB"/>
        </w:rPr>
        <w:t xml:space="preserve">Bennett, L. (2018). Students’ learning responses to receiving dashboard data. </w:t>
      </w:r>
      <w:r>
        <w:rPr>
          <w:rFonts w:ascii="Calibri" w:hAnsi="Calibri" w:cs="Calibri"/>
          <w:i/>
          <w:sz w:val="24"/>
          <w:szCs w:val="24"/>
          <w:lang w:eastAsia="en-GB"/>
        </w:rPr>
        <w:t>Society for Research into Higher Education.</w:t>
      </w:r>
    </w:p>
    <w:p w14:paraId="55499E59" w14:textId="62D63A9A" w:rsidR="008D777F" w:rsidRPr="008D777F" w:rsidRDefault="008D777F">
      <w:pPr>
        <w:spacing w:after="0" w:line="360" w:lineRule="auto"/>
        <w:ind w:left="720" w:hanging="720"/>
        <w:jc w:val="both"/>
        <w:rPr>
          <w:rFonts w:ascii="Calibri" w:hAnsi="Calibri" w:cs="Calibri"/>
          <w:sz w:val="24"/>
          <w:szCs w:val="24"/>
          <w:lang w:eastAsia="en-GB"/>
        </w:rPr>
      </w:pPr>
      <w:r>
        <w:rPr>
          <w:rFonts w:ascii="Calibri" w:hAnsi="Calibri" w:cs="Calibri"/>
          <w:sz w:val="24"/>
          <w:szCs w:val="24"/>
          <w:lang w:eastAsia="en-GB"/>
        </w:rPr>
        <w:t xml:space="preserve">Bong, M., &amp; Skaalvik, E.M. (2003). Academic self-concept and self-efficacy: How different are they really? </w:t>
      </w:r>
      <w:r>
        <w:rPr>
          <w:rFonts w:ascii="Calibri" w:hAnsi="Calibri" w:cs="Calibri"/>
          <w:i/>
          <w:sz w:val="24"/>
          <w:szCs w:val="24"/>
          <w:lang w:eastAsia="en-GB"/>
        </w:rPr>
        <w:t>Educational Psychology review,15</w:t>
      </w:r>
      <w:r>
        <w:rPr>
          <w:rFonts w:ascii="Calibri" w:hAnsi="Calibri" w:cs="Calibri"/>
          <w:sz w:val="24"/>
          <w:szCs w:val="24"/>
          <w:lang w:eastAsia="en-GB"/>
        </w:rPr>
        <w:t>(1), 1-40.</w:t>
      </w:r>
    </w:p>
    <w:p w14:paraId="741B6D4E" w14:textId="3477652A" w:rsidR="007536B4" w:rsidRPr="007536B4" w:rsidRDefault="007536B4">
      <w:pPr>
        <w:spacing w:after="0" w:line="360" w:lineRule="auto"/>
        <w:ind w:left="720" w:hanging="720"/>
        <w:jc w:val="both"/>
        <w:rPr>
          <w:rFonts w:ascii="Calibri" w:hAnsi="Calibri" w:cs="Calibri"/>
          <w:sz w:val="24"/>
          <w:szCs w:val="24"/>
          <w:lang w:eastAsia="en-GB"/>
        </w:rPr>
      </w:pPr>
      <w:r>
        <w:rPr>
          <w:rFonts w:ascii="Calibri" w:hAnsi="Calibri" w:cs="Calibri"/>
          <w:sz w:val="24"/>
          <w:szCs w:val="24"/>
          <w:lang w:eastAsia="en-GB"/>
        </w:rPr>
        <w:t xml:space="preserve">Callan, M.J., Kay, A.C., &amp; Dawtry, R.J. (2014). Making sense of misfortune: Deservingness, self-esteem, and patterns of self-defeat. </w:t>
      </w:r>
      <w:r>
        <w:rPr>
          <w:rFonts w:ascii="Calibri" w:hAnsi="Calibri" w:cs="Calibri"/>
          <w:i/>
          <w:sz w:val="24"/>
          <w:szCs w:val="24"/>
          <w:lang w:eastAsia="en-GB"/>
        </w:rPr>
        <w:t xml:space="preserve">Journal of Personality and Social Psychology,107, </w:t>
      </w:r>
      <w:r>
        <w:rPr>
          <w:rFonts w:ascii="Calibri" w:hAnsi="Calibri" w:cs="Calibri"/>
          <w:sz w:val="24"/>
          <w:szCs w:val="24"/>
          <w:lang w:eastAsia="en-GB"/>
        </w:rPr>
        <w:t>142–162.</w:t>
      </w:r>
    </w:p>
    <w:p w14:paraId="0C96C27F" w14:textId="5C648C0A" w:rsidR="000678D1" w:rsidRDefault="000678D1">
      <w:pPr>
        <w:spacing w:after="0" w:line="360" w:lineRule="auto"/>
        <w:ind w:left="720" w:hanging="720"/>
        <w:jc w:val="both"/>
        <w:rPr>
          <w:rFonts w:ascii="Calibri" w:hAnsi="Calibri" w:cs="Calibri"/>
          <w:sz w:val="24"/>
          <w:szCs w:val="24"/>
          <w:lang w:eastAsia="en-GB"/>
        </w:rPr>
      </w:pPr>
      <w:r>
        <w:rPr>
          <w:rFonts w:ascii="Calibri" w:hAnsi="Calibri" w:cs="Calibri"/>
          <w:sz w:val="24"/>
          <w:szCs w:val="24"/>
          <w:lang w:eastAsia="en-GB"/>
        </w:rPr>
        <w:t xml:space="preserve">Callan, M.J., Kim, H., &amp; Matthews, W.J. (2015). Predicting self-rated mental and physical health: The contributions of subjective socioeconomic status and personal relative deprivation. </w:t>
      </w:r>
      <w:r w:rsidR="001C17D9">
        <w:rPr>
          <w:rFonts w:ascii="Calibri" w:hAnsi="Calibri" w:cs="Calibri"/>
          <w:i/>
          <w:sz w:val="24"/>
          <w:szCs w:val="24"/>
          <w:lang w:eastAsia="en-GB"/>
        </w:rPr>
        <w:t>Frontiers</w:t>
      </w:r>
      <w:r w:rsidR="007D29C5">
        <w:rPr>
          <w:rFonts w:ascii="Calibri" w:hAnsi="Calibri" w:cs="Calibri"/>
          <w:i/>
          <w:sz w:val="24"/>
          <w:szCs w:val="24"/>
          <w:lang w:eastAsia="en-GB"/>
        </w:rPr>
        <w:t xml:space="preserve"> in Psychology,6, </w:t>
      </w:r>
      <w:r w:rsidR="007D29C5">
        <w:rPr>
          <w:rFonts w:ascii="Calibri" w:hAnsi="Calibri" w:cs="Calibri"/>
          <w:sz w:val="24"/>
          <w:szCs w:val="24"/>
          <w:lang w:eastAsia="en-GB"/>
        </w:rPr>
        <w:t>1415.</w:t>
      </w:r>
      <w:r>
        <w:rPr>
          <w:rFonts w:ascii="Calibri" w:hAnsi="Calibri" w:cs="Calibri"/>
          <w:sz w:val="24"/>
          <w:szCs w:val="24"/>
          <w:lang w:eastAsia="en-GB"/>
        </w:rPr>
        <w:t xml:space="preserve"> </w:t>
      </w:r>
    </w:p>
    <w:p w14:paraId="362B0694" w14:textId="5122C56F" w:rsidR="00E2340C" w:rsidRPr="00B000EE" w:rsidRDefault="00E2340C">
      <w:pPr>
        <w:spacing w:after="0" w:line="360" w:lineRule="auto"/>
        <w:ind w:left="720" w:hanging="720"/>
        <w:jc w:val="both"/>
        <w:rPr>
          <w:rFonts w:ascii="Calibri" w:hAnsi="Calibri" w:cs="Calibri"/>
          <w:sz w:val="24"/>
          <w:szCs w:val="24"/>
          <w:lang w:eastAsia="en-GB"/>
        </w:rPr>
      </w:pPr>
      <w:r w:rsidRPr="00B000EE">
        <w:rPr>
          <w:rFonts w:ascii="Calibri" w:hAnsi="Calibri" w:cs="Calibri"/>
          <w:sz w:val="24"/>
          <w:szCs w:val="24"/>
          <w:lang w:eastAsia="en-GB"/>
        </w:rPr>
        <w:t xml:space="preserve">Collins, R.L. (1996). For better or worse: The impact of upward social comparison on self-evaluations. </w:t>
      </w:r>
      <w:r w:rsidRPr="00B000EE">
        <w:rPr>
          <w:rFonts w:ascii="Calibri" w:hAnsi="Calibri" w:cs="Calibri"/>
          <w:i/>
          <w:sz w:val="24"/>
          <w:szCs w:val="24"/>
          <w:lang w:eastAsia="en-GB"/>
        </w:rPr>
        <w:t>Psycholo</w:t>
      </w:r>
      <w:r w:rsidR="001C17D9">
        <w:rPr>
          <w:rFonts w:ascii="Calibri" w:hAnsi="Calibri" w:cs="Calibri"/>
          <w:i/>
          <w:sz w:val="24"/>
          <w:szCs w:val="24"/>
          <w:lang w:eastAsia="en-GB"/>
        </w:rPr>
        <w:t>gi</w:t>
      </w:r>
      <w:r w:rsidRPr="00B000EE">
        <w:rPr>
          <w:rFonts w:ascii="Calibri" w:hAnsi="Calibri" w:cs="Calibri"/>
          <w:i/>
          <w:sz w:val="24"/>
          <w:szCs w:val="24"/>
          <w:lang w:eastAsia="en-GB"/>
        </w:rPr>
        <w:t>cal Bulletin,119,</w:t>
      </w:r>
      <w:r w:rsidRPr="00B000EE">
        <w:rPr>
          <w:rFonts w:ascii="Calibri" w:hAnsi="Calibri" w:cs="Calibri"/>
          <w:sz w:val="24"/>
          <w:szCs w:val="24"/>
          <w:lang w:eastAsia="en-GB"/>
        </w:rPr>
        <w:t xml:space="preserve"> 51-69.</w:t>
      </w:r>
    </w:p>
    <w:p w14:paraId="197E98C2" w14:textId="36A7FAA0" w:rsidR="0006210D" w:rsidRPr="00B000EE" w:rsidRDefault="009273C4">
      <w:pPr>
        <w:spacing w:after="0" w:line="360" w:lineRule="auto"/>
        <w:ind w:left="720" w:hanging="720"/>
        <w:jc w:val="both"/>
        <w:rPr>
          <w:rFonts w:ascii="Calibri" w:hAnsi="Calibri" w:cs="Calibri"/>
          <w:sz w:val="24"/>
          <w:szCs w:val="24"/>
          <w:lang w:eastAsia="en-GB"/>
        </w:rPr>
      </w:pPr>
      <w:r w:rsidRPr="00B000EE">
        <w:rPr>
          <w:rFonts w:ascii="Calibri" w:hAnsi="Calibri" w:cs="Calibri"/>
          <w:sz w:val="24"/>
          <w:szCs w:val="24"/>
          <w:lang w:eastAsia="en-GB"/>
        </w:rPr>
        <w:t xml:space="preserve">Festinger, L. (1954). A theory of social comparison processes. </w:t>
      </w:r>
      <w:r w:rsidRPr="00B000EE">
        <w:rPr>
          <w:rFonts w:ascii="Calibri" w:hAnsi="Calibri" w:cs="Calibri"/>
          <w:i/>
          <w:sz w:val="24"/>
          <w:szCs w:val="24"/>
          <w:lang w:eastAsia="en-GB"/>
        </w:rPr>
        <w:t>Human Relations,7,</w:t>
      </w:r>
      <w:r w:rsidRPr="00B000EE">
        <w:rPr>
          <w:rFonts w:ascii="Calibri" w:hAnsi="Calibri" w:cs="Calibri"/>
          <w:sz w:val="24"/>
          <w:szCs w:val="24"/>
          <w:lang w:eastAsia="en-GB"/>
        </w:rPr>
        <w:t xml:space="preserve"> 117-140.</w:t>
      </w:r>
    </w:p>
    <w:p w14:paraId="275352EC" w14:textId="311D956E" w:rsidR="00FD55A7" w:rsidRPr="00B000EE" w:rsidRDefault="00FD55A7">
      <w:pPr>
        <w:spacing w:after="0" w:line="360" w:lineRule="auto"/>
        <w:ind w:left="720" w:hanging="720"/>
        <w:jc w:val="both"/>
        <w:rPr>
          <w:rFonts w:ascii="Calibri" w:hAnsi="Calibri" w:cs="Calibri"/>
          <w:sz w:val="24"/>
          <w:szCs w:val="24"/>
          <w:lang w:eastAsia="en-GB"/>
        </w:rPr>
      </w:pPr>
      <w:r w:rsidRPr="00B000EE">
        <w:rPr>
          <w:rFonts w:ascii="Calibri" w:hAnsi="Calibri" w:cs="Calibri"/>
          <w:sz w:val="24"/>
          <w:szCs w:val="24"/>
          <w:lang w:eastAsia="en-GB"/>
        </w:rPr>
        <w:t xml:space="preserve">Gerber, J.P. (2018). A social comparison theory meta-analysis 60+ years on. </w:t>
      </w:r>
      <w:r w:rsidRPr="00B000EE">
        <w:rPr>
          <w:rFonts w:ascii="Calibri" w:hAnsi="Calibri" w:cs="Calibri"/>
          <w:i/>
          <w:sz w:val="24"/>
          <w:szCs w:val="24"/>
          <w:lang w:eastAsia="en-GB"/>
        </w:rPr>
        <w:t xml:space="preserve">Psychological Bulletin,144(2), </w:t>
      </w:r>
      <w:r w:rsidRPr="00B000EE">
        <w:rPr>
          <w:rFonts w:ascii="Calibri" w:hAnsi="Calibri" w:cs="Calibri"/>
          <w:sz w:val="24"/>
          <w:szCs w:val="24"/>
          <w:lang w:eastAsia="en-GB"/>
        </w:rPr>
        <w:t xml:space="preserve">177-197. Doi: </w:t>
      </w:r>
      <w:r w:rsidRPr="00B000EE">
        <w:rPr>
          <w:rFonts w:ascii="Calibri" w:hAnsi="Calibri" w:cs="Calibri"/>
          <w:sz w:val="24"/>
          <w:szCs w:val="24"/>
          <w:lang w:val="en"/>
        </w:rPr>
        <w:t>10.1037/bul0000127</w:t>
      </w:r>
    </w:p>
    <w:p w14:paraId="28B714F6" w14:textId="4F5507C9" w:rsidR="0006210D" w:rsidRPr="00B000EE" w:rsidRDefault="0006210D" w:rsidP="00B10431">
      <w:pPr>
        <w:spacing w:after="0" w:line="360" w:lineRule="auto"/>
        <w:ind w:left="720" w:hanging="720"/>
        <w:jc w:val="both"/>
        <w:rPr>
          <w:rFonts w:ascii="Calibri" w:hAnsi="Calibri" w:cs="Calibri"/>
          <w:sz w:val="24"/>
          <w:szCs w:val="24"/>
          <w:lang w:val="en"/>
        </w:rPr>
      </w:pPr>
      <w:r w:rsidRPr="00B000EE">
        <w:rPr>
          <w:rFonts w:ascii="Calibri" w:hAnsi="Calibri" w:cs="Calibri"/>
          <w:sz w:val="24"/>
          <w:szCs w:val="24"/>
          <w:lang w:val="en"/>
        </w:rPr>
        <w:t>Harris, P., Sparks, P., &amp; Raats, M. (</w:t>
      </w:r>
      <w:r w:rsidRPr="00B000EE">
        <w:rPr>
          <w:rStyle w:val="pubyear"/>
          <w:rFonts w:ascii="Calibri" w:hAnsi="Calibri" w:cs="Calibri"/>
          <w:sz w:val="24"/>
          <w:szCs w:val="24"/>
          <w:lang w:val="en"/>
        </w:rPr>
        <w:t>2002</w:t>
      </w:r>
      <w:r w:rsidRPr="00B000EE">
        <w:rPr>
          <w:rFonts w:ascii="Calibri" w:hAnsi="Calibri" w:cs="Calibri"/>
          <w:sz w:val="24"/>
          <w:szCs w:val="24"/>
          <w:lang w:val="en"/>
        </w:rPr>
        <w:t xml:space="preserve">). </w:t>
      </w:r>
      <w:r w:rsidRPr="00B000EE">
        <w:rPr>
          <w:rStyle w:val="articletitle"/>
          <w:rFonts w:ascii="Calibri" w:hAnsi="Calibri" w:cs="Calibri"/>
          <w:sz w:val="24"/>
          <w:szCs w:val="24"/>
          <w:lang w:val="en"/>
        </w:rPr>
        <w:t>Theoretical and applied issues in the provision of absolute and comparative risk information</w:t>
      </w:r>
      <w:r w:rsidRPr="00B000EE">
        <w:rPr>
          <w:rFonts w:ascii="Calibri" w:hAnsi="Calibri" w:cs="Calibri"/>
          <w:sz w:val="24"/>
          <w:szCs w:val="24"/>
          <w:lang w:val="en"/>
        </w:rPr>
        <w:t xml:space="preserve">. </w:t>
      </w:r>
      <w:r w:rsidRPr="00B000EE">
        <w:rPr>
          <w:rFonts w:ascii="Calibri" w:hAnsi="Calibri" w:cs="Calibri"/>
          <w:i/>
          <w:iCs/>
          <w:sz w:val="24"/>
          <w:szCs w:val="24"/>
          <w:lang w:val="en"/>
        </w:rPr>
        <w:t>Risk Decision and Policy</w:t>
      </w:r>
      <w:r w:rsidRPr="00B000EE">
        <w:rPr>
          <w:rFonts w:ascii="Calibri" w:hAnsi="Calibri" w:cs="Calibri"/>
          <w:sz w:val="24"/>
          <w:szCs w:val="24"/>
          <w:lang w:val="en"/>
        </w:rPr>
        <w:t>,</w:t>
      </w:r>
      <w:r w:rsidRPr="00B000EE">
        <w:rPr>
          <w:rStyle w:val="vol3"/>
          <w:rFonts w:ascii="Calibri" w:hAnsi="Calibri" w:cs="Calibri"/>
          <w:sz w:val="24"/>
          <w:szCs w:val="24"/>
          <w:lang w:val="en"/>
        </w:rPr>
        <w:t>7</w:t>
      </w:r>
      <w:r w:rsidRPr="00B000EE">
        <w:rPr>
          <w:rFonts w:ascii="Calibri" w:hAnsi="Calibri" w:cs="Calibri"/>
          <w:sz w:val="24"/>
          <w:szCs w:val="24"/>
          <w:lang w:val="en"/>
        </w:rPr>
        <w:t>, 153–163.</w:t>
      </w:r>
    </w:p>
    <w:p w14:paraId="0780D8DC" w14:textId="234C9B4C" w:rsidR="00E525E2" w:rsidRPr="001273F7" w:rsidRDefault="00E525E2" w:rsidP="005119CD">
      <w:pPr>
        <w:spacing w:after="0" w:line="360" w:lineRule="auto"/>
        <w:ind w:left="720" w:hanging="720"/>
        <w:jc w:val="both"/>
        <w:rPr>
          <w:rFonts w:ascii="Calibri" w:hAnsi="Calibri" w:cs="Calibri"/>
          <w:sz w:val="24"/>
          <w:szCs w:val="24"/>
          <w:lang w:eastAsia="en-GB"/>
        </w:rPr>
      </w:pPr>
      <w:r>
        <w:rPr>
          <w:rFonts w:ascii="Calibri" w:hAnsi="Calibri" w:cs="Calibri"/>
          <w:sz w:val="24"/>
          <w:szCs w:val="24"/>
          <w:lang w:eastAsia="en-GB"/>
        </w:rPr>
        <w:t xml:space="preserve">Higher Education Statistics Agency (2018, March 8). Non-continuation summary: UK PPerformance Indicators 2016/17. Retrieved from </w:t>
      </w:r>
      <w:hyperlink r:id="rId8" w:history="1">
        <w:r w:rsidRPr="001273F7">
          <w:rPr>
            <w:rStyle w:val="Hyperlink"/>
            <w:rFonts w:ascii="Calibri" w:hAnsi="Calibri" w:cs="Calibri"/>
            <w:sz w:val="24"/>
            <w:szCs w:val="24"/>
            <w:lang w:eastAsia="en-GB"/>
          </w:rPr>
          <w:t>https://www.hesa.ac.uk/news/08-03-2018/non-continuation-summary</w:t>
        </w:r>
      </w:hyperlink>
      <w:r w:rsidRPr="001273F7">
        <w:rPr>
          <w:rFonts w:ascii="Calibri" w:hAnsi="Calibri" w:cs="Calibri"/>
          <w:sz w:val="24"/>
          <w:szCs w:val="24"/>
          <w:lang w:eastAsia="en-GB"/>
        </w:rPr>
        <w:t>.</w:t>
      </w:r>
    </w:p>
    <w:p w14:paraId="3F522B04" w14:textId="7F8BB459" w:rsidR="00CC384B" w:rsidRPr="00A75EF3" w:rsidRDefault="00CC384B" w:rsidP="005119CD">
      <w:pPr>
        <w:spacing w:after="0" w:line="360" w:lineRule="auto"/>
        <w:ind w:left="720" w:hanging="720"/>
        <w:jc w:val="both"/>
        <w:rPr>
          <w:rFonts w:cstheme="minorHAnsi"/>
          <w:sz w:val="24"/>
          <w:szCs w:val="24"/>
          <w:lang w:val="en"/>
        </w:rPr>
      </w:pPr>
      <w:r w:rsidRPr="00A75EF3">
        <w:rPr>
          <w:rFonts w:cstheme="minorHAnsi"/>
          <w:sz w:val="24"/>
          <w:szCs w:val="24"/>
          <w:lang w:val="en"/>
        </w:rPr>
        <w:t xml:space="preserve">Hughes, R. (1998). Considering the vignette technique and its application to a study of drug injecting and HIV risk and safer behavior. </w:t>
      </w:r>
      <w:r w:rsidRPr="00A75EF3">
        <w:rPr>
          <w:rFonts w:cstheme="minorHAnsi"/>
          <w:i/>
          <w:sz w:val="24"/>
          <w:szCs w:val="24"/>
          <w:lang w:val="en"/>
        </w:rPr>
        <w:t>Sociology of Health and Illness,20</w:t>
      </w:r>
      <w:r w:rsidRPr="00A75EF3">
        <w:rPr>
          <w:rFonts w:cstheme="minorHAnsi"/>
          <w:sz w:val="24"/>
          <w:szCs w:val="24"/>
          <w:lang w:val="en"/>
        </w:rPr>
        <w:t>, 381-400</w:t>
      </w:r>
      <w:r w:rsidRPr="00A75EF3">
        <w:rPr>
          <w:rFonts w:cstheme="minorHAnsi"/>
          <w:i/>
          <w:sz w:val="24"/>
          <w:szCs w:val="24"/>
          <w:lang w:val="en"/>
        </w:rPr>
        <w:t>.</w:t>
      </w:r>
    </w:p>
    <w:p w14:paraId="3119CC14" w14:textId="25B88DCD" w:rsidR="00A75EF3" w:rsidRDefault="00A75EF3" w:rsidP="005119CD">
      <w:pPr>
        <w:spacing w:after="0" w:line="360" w:lineRule="auto"/>
        <w:ind w:left="720" w:hanging="720"/>
        <w:jc w:val="both"/>
        <w:rPr>
          <w:rFonts w:ascii="Calibri" w:hAnsi="Calibri" w:cs="Calibri"/>
          <w:sz w:val="24"/>
          <w:szCs w:val="24"/>
          <w:lang w:eastAsia="en-GB"/>
        </w:rPr>
      </w:pPr>
      <w:r w:rsidRPr="00A75EF3">
        <w:rPr>
          <w:rFonts w:ascii="Calibri" w:hAnsi="Calibri" w:cs="Calibri"/>
          <w:sz w:val="24"/>
          <w:szCs w:val="24"/>
          <w:lang w:eastAsia="en-GB"/>
        </w:rPr>
        <w:t>Hofer, M</w:t>
      </w:r>
      <w:r>
        <w:rPr>
          <w:rFonts w:ascii="Calibri" w:hAnsi="Calibri" w:cs="Calibri"/>
          <w:sz w:val="24"/>
          <w:szCs w:val="24"/>
          <w:lang w:eastAsia="en-GB"/>
        </w:rPr>
        <w:t>.</w:t>
      </w:r>
      <w:r w:rsidRPr="00A75EF3">
        <w:rPr>
          <w:rFonts w:ascii="Calibri" w:hAnsi="Calibri" w:cs="Calibri"/>
          <w:sz w:val="24"/>
          <w:szCs w:val="24"/>
          <w:lang w:eastAsia="en-GB"/>
        </w:rPr>
        <w:t xml:space="preserve"> Schmid, S</w:t>
      </w:r>
      <w:r>
        <w:rPr>
          <w:rFonts w:ascii="Calibri" w:hAnsi="Calibri" w:cs="Calibri"/>
          <w:sz w:val="24"/>
          <w:szCs w:val="24"/>
          <w:lang w:eastAsia="en-GB"/>
        </w:rPr>
        <w:t xml:space="preserve">., </w:t>
      </w:r>
      <w:r w:rsidRPr="00A75EF3">
        <w:rPr>
          <w:rFonts w:ascii="Calibri" w:hAnsi="Calibri" w:cs="Calibri"/>
          <w:sz w:val="24"/>
          <w:szCs w:val="24"/>
          <w:lang w:eastAsia="en-GB"/>
        </w:rPr>
        <w:t>Fries, S</w:t>
      </w:r>
      <w:r>
        <w:rPr>
          <w:rFonts w:ascii="Calibri" w:hAnsi="Calibri" w:cs="Calibri"/>
          <w:sz w:val="24"/>
          <w:szCs w:val="24"/>
          <w:lang w:eastAsia="en-GB"/>
        </w:rPr>
        <w:t>., Dietz, F.,</w:t>
      </w:r>
      <w:r w:rsidRPr="00A75EF3">
        <w:rPr>
          <w:rFonts w:ascii="Calibri" w:hAnsi="Calibri" w:cs="Calibri"/>
          <w:sz w:val="24"/>
          <w:szCs w:val="24"/>
          <w:lang w:eastAsia="en-GB"/>
        </w:rPr>
        <w:t xml:space="preserve"> Clausen, M</w:t>
      </w:r>
      <w:r>
        <w:rPr>
          <w:rFonts w:ascii="Calibri" w:hAnsi="Calibri" w:cs="Calibri"/>
          <w:sz w:val="24"/>
          <w:szCs w:val="24"/>
          <w:lang w:eastAsia="en-GB"/>
        </w:rPr>
        <w:t>., &amp; Reinders, H</w:t>
      </w:r>
      <w:r w:rsidRPr="00A75EF3">
        <w:rPr>
          <w:rFonts w:ascii="Calibri" w:hAnsi="Calibri" w:cs="Calibri"/>
          <w:sz w:val="24"/>
          <w:szCs w:val="24"/>
          <w:lang w:eastAsia="en-GB"/>
        </w:rPr>
        <w:t>. (2007). Individual values, motivational conflicts, and learning for sc</w:t>
      </w:r>
      <w:r>
        <w:rPr>
          <w:rFonts w:ascii="Calibri" w:hAnsi="Calibri" w:cs="Calibri"/>
          <w:sz w:val="24"/>
          <w:szCs w:val="24"/>
          <w:lang w:eastAsia="en-GB"/>
        </w:rPr>
        <w:t xml:space="preserve">hool. </w:t>
      </w:r>
      <w:r w:rsidRPr="00A75EF3">
        <w:rPr>
          <w:rFonts w:ascii="Calibri" w:hAnsi="Calibri" w:cs="Calibri"/>
          <w:i/>
          <w:sz w:val="24"/>
          <w:szCs w:val="24"/>
          <w:lang w:eastAsia="en-GB"/>
        </w:rPr>
        <w:t>Learning and Instruction,</w:t>
      </w:r>
      <w:r w:rsidR="00C64CFE">
        <w:rPr>
          <w:rFonts w:ascii="Calibri" w:hAnsi="Calibri" w:cs="Calibri"/>
          <w:i/>
          <w:sz w:val="24"/>
          <w:szCs w:val="24"/>
          <w:lang w:eastAsia="en-GB"/>
        </w:rPr>
        <w:t xml:space="preserve"> </w:t>
      </w:r>
      <w:r w:rsidRPr="00A75EF3">
        <w:rPr>
          <w:rFonts w:ascii="Calibri" w:hAnsi="Calibri" w:cs="Calibri"/>
          <w:i/>
          <w:sz w:val="24"/>
          <w:szCs w:val="24"/>
          <w:lang w:eastAsia="en-GB"/>
        </w:rPr>
        <w:t>17,</w:t>
      </w:r>
      <w:r w:rsidRPr="00A75EF3">
        <w:rPr>
          <w:rFonts w:ascii="Calibri" w:hAnsi="Calibri" w:cs="Calibri"/>
          <w:sz w:val="24"/>
          <w:szCs w:val="24"/>
          <w:lang w:eastAsia="en-GB"/>
        </w:rPr>
        <w:t xml:space="preserve"> 17-28. </w:t>
      </w:r>
    </w:p>
    <w:p w14:paraId="5C57BDF4" w14:textId="71546D1C" w:rsidR="00121E11" w:rsidRPr="00B000EE" w:rsidRDefault="00121E11" w:rsidP="005119CD">
      <w:pPr>
        <w:spacing w:after="0" w:line="360" w:lineRule="auto"/>
        <w:ind w:left="720" w:hanging="720"/>
        <w:jc w:val="both"/>
        <w:rPr>
          <w:rFonts w:ascii="Calibri" w:hAnsi="Calibri" w:cs="Calibri"/>
          <w:sz w:val="24"/>
          <w:szCs w:val="24"/>
          <w:lang w:eastAsia="en-GB"/>
        </w:rPr>
      </w:pPr>
      <w:r w:rsidRPr="00CC384B">
        <w:rPr>
          <w:rFonts w:ascii="Calibri" w:hAnsi="Calibri" w:cs="Calibri"/>
          <w:sz w:val="24"/>
          <w:szCs w:val="24"/>
          <w:lang w:eastAsia="en-GB"/>
        </w:rPr>
        <w:t xml:space="preserve">Medvec, V.H., Madey,S.F., &amp; Gilovich, T. (1995). When less is more: Counterfactual thinking and satisfaction among </w:t>
      </w:r>
      <w:r w:rsidRPr="00B000EE">
        <w:rPr>
          <w:rFonts w:ascii="Calibri" w:hAnsi="Calibri" w:cs="Calibri"/>
          <w:sz w:val="24"/>
          <w:szCs w:val="24"/>
          <w:lang w:eastAsia="en-GB"/>
        </w:rPr>
        <w:t xml:space="preserve">Olympic medallists. </w:t>
      </w:r>
      <w:r w:rsidRPr="00B000EE">
        <w:rPr>
          <w:rFonts w:ascii="Calibri" w:hAnsi="Calibri" w:cs="Calibri"/>
          <w:i/>
          <w:sz w:val="24"/>
          <w:szCs w:val="24"/>
          <w:lang w:eastAsia="en-GB"/>
        </w:rPr>
        <w:t xml:space="preserve">JPSP,69, </w:t>
      </w:r>
      <w:r w:rsidRPr="00B000EE">
        <w:rPr>
          <w:rFonts w:ascii="Calibri" w:hAnsi="Calibri" w:cs="Calibri"/>
          <w:sz w:val="24"/>
          <w:szCs w:val="24"/>
          <w:lang w:eastAsia="en-GB"/>
        </w:rPr>
        <w:t>603-610.</w:t>
      </w:r>
    </w:p>
    <w:p w14:paraId="539FE07D" w14:textId="392E987A" w:rsidR="00FF0403" w:rsidRPr="00B000EE" w:rsidRDefault="00FF0403" w:rsidP="005119CD">
      <w:pPr>
        <w:spacing w:after="0" w:line="360" w:lineRule="auto"/>
        <w:ind w:left="720" w:hanging="720"/>
        <w:jc w:val="both"/>
        <w:rPr>
          <w:rFonts w:ascii="Calibri" w:hAnsi="Calibri" w:cs="Calibri"/>
          <w:color w:val="000000"/>
          <w:sz w:val="24"/>
          <w:szCs w:val="24"/>
        </w:rPr>
      </w:pPr>
      <w:r w:rsidRPr="00B000EE">
        <w:rPr>
          <w:rFonts w:ascii="Calibri" w:hAnsi="Calibri" w:cs="Calibri"/>
          <w:sz w:val="24"/>
          <w:szCs w:val="24"/>
          <w:lang w:eastAsia="en-GB"/>
        </w:rPr>
        <w:t xml:space="preserve">Molloy, L.E., Gest, S.D., &amp; Rulison, K.L. (2010). Peer influences on academic motivation: Exploring multiple methods for assessing youths’ most “influential” peer relationships. </w:t>
      </w:r>
      <w:r w:rsidRPr="00B000EE">
        <w:rPr>
          <w:rFonts w:ascii="Calibri" w:hAnsi="Calibri" w:cs="Calibri"/>
          <w:i/>
          <w:sz w:val="24"/>
          <w:szCs w:val="24"/>
          <w:lang w:eastAsia="en-GB"/>
        </w:rPr>
        <w:t xml:space="preserve">The Journal of Early Adolescence,31, </w:t>
      </w:r>
      <w:r w:rsidRPr="00B000EE">
        <w:rPr>
          <w:rFonts w:ascii="Calibri" w:hAnsi="Calibri" w:cs="Calibri"/>
          <w:sz w:val="24"/>
          <w:szCs w:val="24"/>
          <w:lang w:eastAsia="en-GB"/>
        </w:rPr>
        <w:t>13-40.</w:t>
      </w:r>
    </w:p>
    <w:p w14:paraId="2316159D" w14:textId="5A5EFCFE" w:rsidR="009273C4" w:rsidRPr="00B000EE" w:rsidRDefault="009273C4" w:rsidP="00B10431">
      <w:pPr>
        <w:spacing w:after="0" w:line="360" w:lineRule="auto"/>
        <w:ind w:left="720" w:hanging="720"/>
        <w:jc w:val="both"/>
        <w:rPr>
          <w:rFonts w:ascii="Calibri" w:hAnsi="Calibri" w:cs="Calibri"/>
          <w:sz w:val="24"/>
          <w:szCs w:val="24"/>
          <w:lang w:val="en"/>
        </w:rPr>
      </w:pPr>
      <w:r w:rsidRPr="00B000EE">
        <w:rPr>
          <w:rFonts w:ascii="Calibri" w:hAnsi="Calibri" w:cs="Calibri"/>
          <w:sz w:val="24"/>
          <w:szCs w:val="24"/>
          <w:lang w:val="en"/>
        </w:rPr>
        <w:t xml:space="preserve">Mussweiler, T., Rüter, K., &amp; Epstude, K. (2004). The man who wasn’t there: Subliminal social comparison standards influence self-evaluation. </w:t>
      </w:r>
      <w:r w:rsidR="001C17D9" w:rsidRPr="00B000EE">
        <w:rPr>
          <w:rFonts w:ascii="Calibri" w:hAnsi="Calibri" w:cs="Calibri"/>
          <w:i/>
          <w:sz w:val="24"/>
          <w:szCs w:val="24"/>
          <w:lang w:val="en"/>
        </w:rPr>
        <w:t>Journal</w:t>
      </w:r>
      <w:r w:rsidRPr="00B000EE">
        <w:rPr>
          <w:rFonts w:ascii="Calibri" w:hAnsi="Calibri" w:cs="Calibri"/>
          <w:i/>
          <w:sz w:val="24"/>
          <w:szCs w:val="24"/>
          <w:lang w:val="en"/>
        </w:rPr>
        <w:t xml:space="preserve"> of </w:t>
      </w:r>
      <w:r w:rsidR="001C17D9" w:rsidRPr="00B000EE">
        <w:rPr>
          <w:rFonts w:ascii="Calibri" w:hAnsi="Calibri" w:cs="Calibri"/>
          <w:i/>
          <w:sz w:val="24"/>
          <w:szCs w:val="24"/>
          <w:lang w:val="en"/>
        </w:rPr>
        <w:t>Experimental</w:t>
      </w:r>
      <w:r w:rsidRPr="00B000EE">
        <w:rPr>
          <w:rFonts w:ascii="Calibri" w:hAnsi="Calibri" w:cs="Calibri"/>
          <w:i/>
          <w:sz w:val="24"/>
          <w:szCs w:val="24"/>
          <w:lang w:val="en"/>
        </w:rPr>
        <w:t xml:space="preserve"> Social Psychology,40(5), </w:t>
      </w:r>
      <w:r w:rsidRPr="00B000EE">
        <w:rPr>
          <w:rFonts w:ascii="Calibri" w:hAnsi="Calibri" w:cs="Calibri"/>
          <w:sz w:val="24"/>
          <w:szCs w:val="24"/>
          <w:lang w:val="en"/>
        </w:rPr>
        <w:t>689-696.</w:t>
      </w:r>
    </w:p>
    <w:p w14:paraId="7043B10C" w14:textId="357A7769" w:rsidR="00491283" w:rsidRPr="00B000EE" w:rsidRDefault="00491283" w:rsidP="00B10431">
      <w:pPr>
        <w:spacing w:after="0" w:line="360" w:lineRule="auto"/>
        <w:ind w:left="720" w:hanging="720"/>
        <w:jc w:val="both"/>
        <w:rPr>
          <w:rFonts w:ascii="Calibri" w:hAnsi="Calibri" w:cs="Calibri"/>
          <w:sz w:val="24"/>
          <w:szCs w:val="24"/>
        </w:rPr>
      </w:pPr>
      <w:r w:rsidRPr="00B000EE">
        <w:rPr>
          <w:rFonts w:ascii="Calibri" w:hAnsi="Calibri" w:cs="Calibri"/>
          <w:sz w:val="24"/>
          <w:szCs w:val="24"/>
          <w:lang w:val="en"/>
        </w:rPr>
        <w:t xml:space="preserve">Pulford, B.D., Woodward, B., &amp; Taylor, E. (2018). Do social comparisons in academic settings relate to gender and academic self-confidence? </w:t>
      </w:r>
      <w:r w:rsidRPr="00B000EE">
        <w:rPr>
          <w:rFonts w:ascii="Calibri" w:hAnsi="Calibri" w:cs="Calibri"/>
          <w:i/>
          <w:sz w:val="24"/>
          <w:szCs w:val="24"/>
          <w:lang w:val="en"/>
        </w:rPr>
        <w:t>Social Psychology of Education,21</w:t>
      </w:r>
      <w:r w:rsidRPr="00B000EE">
        <w:rPr>
          <w:rFonts w:ascii="Calibri" w:hAnsi="Calibri" w:cs="Calibri"/>
          <w:sz w:val="24"/>
          <w:szCs w:val="24"/>
          <w:lang w:val="en"/>
        </w:rPr>
        <w:t>(3), 677-690.</w:t>
      </w:r>
    </w:p>
    <w:p w14:paraId="6DD6D662" w14:textId="24620DD7" w:rsidR="0075104F" w:rsidRPr="0075104F" w:rsidRDefault="0075104F" w:rsidP="00B10431">
      <w:pPr>
        <w:spacing w:after="0" w:line="360" w:lineRule="auto"/>
        <w:ind w:left="720" w:hanging="720"/>
        <w:jc w:val="both"/>
        <w:rPr>
          <w:rFonts w:ascii="Calibri" w:hAnsi="Calibri" w:cs="Calibri"/>
          <w:sz w:val="24"/>
          <w:szCs w:val="24"/>
        </w:rPr>
      </w:pPr>
      <w:r>
        <w:rPr>
          <w:rFonts w:ascii="Calibri" w:hAnsi="Calibri" w:cs="Calibri"/>
          <w:sz w:val="24"/>
          <w:szCs w:val="24"/>
        </w:rPr>
        <w:t xml:space="preserve">Rosenberg, M. (1965). </w:t>
      </w:r>
      <w:r>
        <w:rPr>
          <w:rFonts w:ascii="Calibri" w:hAnsi="Calibri" w:cs="Calibri"/>
          <w:i/>
          <w:sz w:val="24"/>
          <w:szCs w:val="24"/>
        </w:rPr>
        <w:t>Society and the adolescent self-image.</w:t>
      </w:r>
      <w:r>
        <w:rPr>
          <w:rFonts w:ascii="Calibri" w:hAnsi="Calibri" w:cs="Calibri"/>
          <w:sz w:val="24"/>
          <w:szCs w:val="24"/>
        </w:rPr>
        <w:t xml:space="preserve"> Princeton, NJ: Princeton University Press.</w:t>
      </w:r>
    </w:p>
    <w:p w14:paraId="12ABDA9E" w14:textId="7C96830E" w:rsidR="00C77C49" w:rsidRDefault="00C77C49" w:rsidP="00B10431">
      <w:pPr>
        <w:spacing w:after="0" w:line="360" w:lineRule="auto"/>
        <w:ind w:left="720" w:hanging="720"/>
        <w:jc w:val="both"/>
        <w:rPr>
          <w:rFonts w:ascii="Calibri" w:hAnsi="Calibri" w:cs="Calibri"/>
          <w:bCs/>
          <w:sz w:val="24"/>
          <w:szCs w:val="24"/>
          <w:lang w:val="en"/>
        </w:rPr>
      </w:pPr>
      <w:r w:rsidRPr="00B000EE">
        <w:rPr>
          <w:rFonts w:ascii="Calibri" w:hAnsi="Calibri" w:cs="Calibri"/>
          <w:sz w:val="24"/>
          <w:szCs w:val="24"/>
        </w:rPr>
        <w:t xml:space="preserve">Schmiege, S.J., Klein, W.M., &amp; Bryan, A.D. (2010). </w:t>
      </w:r>
      <w:r w:rsidRPr="00B000EE">
        <w:rPr>
          <w:rFonts w:ascii="Calibri" w:hAnsi="Calibri" w:cs="Calibri"/>
          <w:sz w:val="24"/>
          <w:szCs w:val="24"/>
          <w:lang w:val="en"/>
        </w:rPr>
        <w:t xml:space="preserve">The effect of peer comparison information in the context of expert recommendations on risk perceptions and subsequent behavior. </w:t>
      </w:r>
      <w:r w:rsidRPr="00B000EE">
        <w:rPr>
          <w:rFonts w:ascii="Calibri" w:hAnsi="Calibri" w:cs="Calibri"/>
          <w:i/>
          <w:sz w:val="24"/>
          <w:szCs w:val="24"/>
          <w:lang w:val="en"/>
        </w:rPr>
        <w:t>European Journal of Social Psychology,20</w:t>
      </w:r>
      <w:r w:rsidRPr="00B000EE">
        <w:rPr>
          <w:rFonts w:ascii="Calibri" w:hAnsi="Calibri" w:cs="Calibri"/>
          <w:sz w:val="24"/>
          <w:szCs w:val="24"/>
          <w:lang w:val="en"/>
        </w:rPr>
        <w:t>(5), 746-759.</w:t>
      </w:r>
    </w:p>
    <w:p w14:paraId="05A2EE1C" w14:textId="20922536" w:rsidR="007A67F1" w:rsidRDefault="007A67F1" w:rsidP="00B10431">
      <w:pPr>
        <w:spacing w:after="0" w:line="360" w:lineRule="auto"/>
        <w:ind w:left="720" w:hanging="720"/>
        <w:jc w:val="both"/>
        <w:rPr>
          <w:rFonts w:ascii="Calibri" w:hAnsi="Calibri" w:cs="Calibri"/>
          <w:bCs/>
          <w:sz w:val="24"/>
          <w:szCs w:val="24"/>
          <w:lang w:val="en"/>
        </w:rPr>
      </w:pPr>
      <w:r>
        <w:rPr>
          <w:rFonts w:ascii="Calibri" w:hAnsi="Calibri" w:cs="Calibri"/>
          <w:bCs/>
          <w:sz w:val="24"/>
          <w:szCs w:val="24"/>
          <w:lang w:val="en"/>
        </w:rPr>
        <w:t>Schwendimann, B.A., Rodriguez-Triana, M.J., Vozniuk, A., Prieto, L.P., Boroujeni, M.S., Holzer, A., Gillet, D., &amp; Dillenbourg, P. (201</w:t>
      </w:r>
      <w:r w:rsidR="00CA7B78">
        <w:rPr>
          <w:rFonts w:ascii="Calibri" w:hAnsi="Calibri" w:cs="Calibri"/>
          <w:bCs/>
          <w:sz w:val="24"/>
          <w:szCs w:val="24"/>
          <w:lang w:val="en"/>
        </w:rPr>
        <w:t>6</w:t>
      </w:r>
      <w:r>
        <w:rPr>
          <w:rFonts w:ascii="Calibri" w:hAnsi="Calibri" w:cs="Calibri"/>
          <w:bCs/>
          <w:sz w:val="24"/>
          <w:szCs w:val="24"/>
          <w:lang w:val="en"/>
        </w:rPr>
        <w:t xml:space="preserve">). Perceiving learning at a glance: A systematic literature review of learning dashboard research. </w:t>
      </w:r>
      <w:r>
        <w:rPr>
          <w:rFonts w:ascii="Calibri" w:hAnsi="Calibri" w:cs="Calibri"/>
          <w:bCs/>
          <w:i/>
          <w:sz w:val="24"/>
          <w:szCs w:val="24"/>
          <w:lang w:val="en"/>
        </w:rPr>
        <w:t xml:space="preserve">IEEE Transactions on Learning Technologies,10, </w:t>
      </w:r>
      <w:r>
        <w:rPr>
          <w:rFonts w:ascii="Calibri" w:hAnsi="Calibri" w:cs="Calibri"/>
          <w:bCs/>
          <w:sz w:val="24"/>
          <w:szCs w:val="24"/>
          <w:lang w:val="en"/>
        </w:rPr>
        <w:t>30-41.</w:t>
      </w:r>
    </w:p>
    <w:p w14:paraId="0B103E20" w14:textId="15859319" w:rsidR="00A75EF3" w:rsidRPr="00C64CFE" w:rsidRDefault="00A75EF3" w:rsidP="00B10431">
      <w:pPr>
        <w:spacing w:after="0" w:line="360" w:lineRule="auto"/>
        <w:ind w:left="720" w:hanging="720"/>
        <w:jc w:val="both"/>
        <w:rPr>
          <w:rFonts w:ascii="Calibri" w:hAnsi="Calibri" w:cs="Calibri"/>
          <w:bCs/>
          <w:sz w:val="24"/>
          <w:szCs w:val="24"/>
          <w:lang w:val="en"/>
        </w:rPr>
      </w:pPr>
      <w:r>
        <w:rPr>
          <w:rFonts w:ascii="Calibri" w:hAnsi="Calibri" w:cs="Calibri"/>
          <w:bCs/>
          <w:sz w:val="24"/>
          <w:szCs w:val="24"/>
          <w:lang w:val="en"/>
        </w:rPr>
        <w:t xml:space="preserve">Shippen, M.E., Crites, S.A., Houchins, D.E., Ramsey, M.L.,&amp; Simon, M. (2005). Preservice teachers’ perceptions of including students with disabilities. </w:t>
      </w:r>
      <w:r>
        <w:rPr>
          <w:rFonts w:ascii="Calibri" w:hAnsi="Calibri" w:cs="Calibri"/>
          <w:bCs/>
          <w:i/>
          <w:sz w:val="24"/>
          <w:szCs w:val="24"/>
          <w:lang w:val="en"/>
        </w:rPr>
        <w:t>Teacher Education and Special Education</w:t>
      </w:r>
      <w:r w:rsidR="00C64CFE">
        <w:rPr>
          <w:rFonts w:ascii="Calibri" w:hAnsi="Calibri" w:cs="Calibri"/>
          <w:bCs/>
          <w:i/>
          <w:sz w:val="24"/>
          <w:szCs w:val="24"/>
          <w:lang w:val="en"/>
        </w:rPr>
        <w:t>, 2,</w:t>
      </w:r>
      <w:r w:rsidR="00C64CFE">
        <w:rPr>
          <w:rFonts w:ascii="Calibri" w:hAnsi="Calibri" w:cs="Calibri"/>
          <w:bCs/>
          <w:sz w:val="24"/>
          <w:szCs w:val="24"/>
          <w:lang w:val="en"/>
        </w:rPr>
        <w:t xml:space="preserve"> 92-99.</w:t>
      </w:r>
    </w:p>
    <w:p w14:paraId="3FAC9014" w14:textId="7F0F314F" w:rsidR="007D29C5" w:rsidRDefault="007D29C5" w:rsidP="00B10431">
      <w:pPr>
        <w:spacing w:after="0" w:line="360" w:lineRule="auto"/>
        <w:ind w:left="720" w:hanging="720"/>
        <w:jc w:val="both"/>
        <w:rPr>
          <w:sz w:val="24"/>
          <w:szCs w:val="24"/>
        </w:rPr>
      </w:pPr>
      <w:r w:rsidRPr="007D29C5">
        <w:rPr>
          <w:sz w:val="24"/>
          <w:szCs w:val="24"/>
        </w:rPr>
        <w:t>Smith,</w:t>
      </w:r>
      <w:r>
        <w:rPr>
          <w:sz w:val="24"/>
          <w:szCs w:val="24"/>
        </w:rPr>
        <w:t xml:space="preserve"> </w:t>
      </w:r>
      <w:r w:rsidRPr="007D29C5">
        <w:rPr>
          <w:sz w:val="24"/>
          <w:szCs w:val="24"/>
        </w:rPr>
        <w:t>H.J.,</w:t>
      </w:r>
      <w:r>
        <w:rPr>
          <w:sz w:val="24"/>
          <w:szCs w:val="24"/>
        </w:rPr>
        <w:t xml:space="preserve"> </w:t>
      </w:r>
      <w:r w:rsidRPr="007D29C5">
        <w:rPr>
          <w:sz w:val="24"/>
          <w:szCs w:val="24"/>
        </w:rPr>
        <w:t>Pettigrew,</w:t>
      </w:r>
      <w:r>
        <w:rPr>
          <w:sz w:val="24"/>
          <w:szCs w:val="24"/>
        </w:rPr>
        <w:t xml:space="preserve"> </w:t>
      </w:r>
      <w:r w:rsidRPr="007D29C5">
        <w:rPr>
          <w:sz w:val="24"/>
          <w:szCs w:val="24"/>
        </w:rPr>
        <w:t>T.F.,</w:t>
      </w:r>
      <w:r>
        <w:rPr>
          <w:sz w:val="24"/>
          <w:szCs w:val="24"/>
        </w:rPr>
        <w:t xml:space="preserve"> </w:t>
      </w:r>
      <w:r w:rsidRPr="007D29C5">
        <w:rPr>
          <w:sz w:val="24"/>
          <w:szCs w:val="24"/>
        </w:rPr>
        <w:t>Pippin,</w:t>
      </w:r>
      <w:r>
        <w:rPr>
          <w:sz w:val="24"/>
          <w:szCs w:val="24"/>
        </w:rPr>
        <w:t xml:space="preserve"> </w:t>
      </w:r>
      <w:r w:rsidRPr="007D29C5">
        <w:rPr>
          <w:sz w:val="24"/>
          <w:szCs w:val="24"/>
        </w:rPr>
        <w:t>G.M.,</w:t>
      </w:r>
      <w:r>
        <w:rPr>
          <w:sz w:val="24"/>
          <w:szCs w:val="24"/>
        </w:rPr>
        <w:t xml:space="preserve"> &amp; </w:t>
      </w:r>
      <w:r w:rsidRPr="007D29C5">
        <w:rPr>
          <w:sz w:val="24"/>
          <w:szCs w:val="24"/>
        </w:rPr>
        <w:t>Bialosiewicz,</w:t>
      </w:r>
      <w:r>
        <w:rPr>
          <w:sz w:val="24"/>
          <w:szCs w:val="24"/>
        </w:rPr>
        <w:t xml:space="preserve"> </w:t>
      </w:r>
      <w:r w:rsidRPr="007D29C5">
        <w:rPr>
          <w:sz w:val="24"/>
          <w:szCs w:val="24"/>
        </w:rPr>
        <w:t>S.</w:t>
      </w:r>
      <w:r>
        <w:rPr>
          <w:sz w:val="24"/>
          <w:szCs w:val="24"/>
        </w:rPr>
        <w:t xml:space="preserve"> </w:t>
      </w:r>
      <w:r w:rsidRPr="007D29C5">
        <w:rPr>
          <w:sz w:val="24"/>
          <w:szCs w:val="24"/>
        </w:rPr>
        <w:t>(2012).</w:t>
      </w:r>
      <w:r>
        <w:rPr>
          <w:sz w:val="24"/>
          <w:szCs w:val="24"/>
        </w:rPr>
        <w:t xml:space="preserve"> </w:t>
      </w:r>
      <w:r w:rsidRPr="007D29C5">
        <w:rPr>
          <w:sz w:val="24"/>
          <w:szCs w:val="24"/>
        </w:rPr>
        <w:t>Relative deprivation</w:t>
      </w:r>
      <w:r>
        <w:rPr>
          <w:sz w:val="24"/>
          <w:szCs w:val="24"/>
        </w:rPr>
        <w:t xml:space="preserve"> </w:t>
      </w:r>
      <w:r w:rsidRPr="007D29C5">
        <w:rPr>
          <w:sz w:val="24"/>
          <w:szCs w:val="24"/>
        </w:rPr>
        <w:t>a</w:t>
      </w:r>
      <w:r>
        <w:rPr>
          <w:sz w:val="24"/>
          <w:szCs w:val="24"/>
        </w:rPr>
        <w:t xml:space="preserve"> </w:t>
      </w:r>
      <w:r w:rsidRPr="007D29C5">
        <w:rPr>
          <w:sz w:val="24"/>
          <w:szCs w:val="24"/>
        </w:rPr>
        <w:t>theoretical</w:t>
      </w:r>
      <w:r>
        <w:rPr>
          <w:sz w:val="24"/>
          <w:szCs w:val="24"/>
        </w:rPr>
        <w:t xml:space="preserve"> </w:t>
      </w:r>
      <w:r w:rsidRPr="007D29C5">
        <w:rPr>
          <w:sz w:val="24"/>
          <w:szCs w:val="24"/>
        </w:rPr>
        <w:t>and</w:t>
      </w:r>
      <w:r>
        <w:rPr>
          <w:sz w:val="24"/>
          <w:szCs w:val="24"/>
        </w:rPr>
        <w:t xml:space="preserve"> </w:t>
      </w:r>
      <w:r w:rsidRPr="007D29C5">
        <w:rPr>
          <w:sz w:val="24"/>
          <w:szCs w:val="24"/>
        </w:rPr>
        <w:t>meta-analytic</w:t>
      </w:r>
      <w:r>
        <w:rPr>
          <w:sz w:val="24"/>
          <w:szCs w:val="24"/>
        </w:rPr>
        <w:t xml:space="preserve"> </w:t>
      </w:r>
      <w:r w:rsidRPr="007D29C5">
        <w:rPr>
          <w:sz w:val="24"/>
          <w:szCs w:val="24"/>
        </w:rPr>
        <w:t xml:space="preserve">review. </w:t>
      </w:r>
      <w:r>
        <w:rPr>
          <w:i/>
          <w:iCs/>
          <w:sz w:val="24"/>
          <w:szCs w:val="24"/>
        </w:rPr>
        <w:t xml:space="preserve">Personality and Social Psychology </w:t>
      </w:r>
      <w:r w:rsidRPr="007D29C5">
        <w:rPr>
          <w:i/>
          <w:iCs/>
          <w:sz w:val="24"/>
          <w:szCs w:val="24"/>
        </w:rPr>
        <w:t>Rev</w:t>
      </w:r>
      <w:r>
        <w:rPr>
          <w:i/>
          <w:iCs/>
          <w:sz w:val="24"/>
          <w:szCs w:val="24"/>
        </w:rPr>
        <w:t>iew,</w:t>
      </w:r>
      <w:r w:rsidRPr="007D29C5">
        <w:rPr>
          <w:sz w:val="24"/>
          <w:szCs w:val="24"/>
        </w:rPr>
        <w:t>16, 203–232.</w:t>
      </w:r>
    </w:p>
    <w:p w14:paraId="6F10615B" w14:textId="3D3DF2A1" w:rsidR="008E2E76" w:rsidRDefault="008E2E76" w:rsidP="00B10431">
      <w:pPr>
        <w:spacing w:after="0" w:line="360" w:lineRule="auto"/>
        <w:ind w:left="720" w:hanging="720"/>
        <w:jc w:val="both"/>
        <w:rPr>
          <w:sz w:val="24"/>
          <w:szCs w:val="24"/>
        </w:rPr>
      </w:pPr>
      <w:r>
        <w:rPr>
          <w:sz w:val="24"/>
          <w:szCs w:val="24"/>
        </w:rPr>
        <w:t xml:space="preserve">Ventura, W., Shute, V., &amp; Zhao, W. (2013). The relationship between video game use and a performance-based measure of persistence. </w:t>
      </w:r>
      <w:r>
        <w:rPr>
          <w:i/>
          <w:sz w:val="24"/>
          <w:szCs w:val="24"/>
        </w:rPr>
        <w:t xml:space="preserve">Computers &amp; Education,60, </w:t>
      </w:r>
      <w:r>
        <w:rPr>
          <w:sz w:val="24"/>
          <w:szCs w:val="24"/>
        </w:rPr>
        <w:t>52-58.</w:t>
      </w:r>
    </w:p>
    <w:p w14:paraId="71DBAB35" w14:textId="2AA5C5BE" w:rsidR="00203638" w:rsidRPr="001273F7" w:rsidRDefault="00203638" w:rsidP="00B10431">
      <w:pPr>
        <w:spacing w:after="0" w:line="360" w:lineRule="auto"/>
        <w:ind w:left="720" w:hanging="720"/>
        <w:jc w:val="both"/>
        <w:rPr>
          <w:sz w:val="24"/>
          <w:szCs w:val="24"/>
        </w:rPr>
      </w:pPr>
      <w:r w:rsidRPr="001273F7">
        <w:rPr>
          <w:sz w:val="24"/>
          <w:szCs w:val="24"/>
        </w:rPr>
        <w:t xml:space="preserve">Verbert, K., Duval, E., Klerkx, J., Govaerts, S., &amp; Santos, J.L. (2013). Learning analytics dashboard applications. </w:t>
      </w:r>
      <w:r w:rsidRPr="001273F7">
        <w:rPr>
          <w:i/>
          <w:sz w:val="24"/>
          <w:szCs w:val="24"/>
        </w:rPr>
        <w:t xml:space="preserve">American Behavioural Scientist,57, </w:t>
      </w:r>
      <w:r w:rsidRPr="001273F7">
        <w:rPr>
          <w:sz w:val="24"/>
          <w:szCs w:val="24"/>
        </w:rPr>
        <w:t>1500-1509.</w:t>
      </w:r>
    </w:p>
    <w:p w14:paraId="4A665EBA" w14:textId="6929B1E7" w:rsidR="009431B6" w:rsidRPr="001273F7" w:rsidRDefault="009431B6" w:rsidP="001273F7">
      <w:pPr>
        <w:spacing w:after="0" w:line="360" w:lineRule="auto"/>
        <w:ind w:left="720" w:hanging="720"/>
        <w:rPr>
          <w:rFonts w:eastAsia="Times New Roman" w:cstheme="minorHAnsi"/>
          <w:spacing w:val="2"/>
          <w:sz w:val="24"/>
          <w:szCs w:val="24"/>
          <w:lang w:eastAsia="en-GB"/>
        </w:rPr>
      </w:pPr>
      <w:r w:rsidRPr="001273F7">
        <w:rPr>
          <w:rFonts w:eastAsia="Times New Roman" w:cstheme="minorHAnsi"/>
          <w:spacing w:val="2"/>
          <w:sz w:val="24"/>
          <w:szCs w:val="24"/>
          <w:lang w:eastAsia="en-GB"/>
        </w:rPr>
        <w:t xml:space="preserve">Verbert, K., Govaerts, S., Duval, E. et al. (2014). Learning dashboards: An overview and future research opportunities. </w:t>
      </w:r>
      <w:r w:rsidRPr="001273F7">
        <w:rPr>
          <w:rFonts w:eastAsia="Times New Roman" w:cstheme="minorHAnsi"/>
          <w:i/>
          <w:spacing w:val="2"/>
          <w:sz w:val="24"/>
          <w:szCs w:val="24"/>
          <w:lang w:eastAsia="en-GB"/>
        </w:rPr>
        <w:t>Personal and Ubiquitous Computing,18</w:t>
      </w:r>
      <w:r w:rsidRPr="001273F7">
        <w:rPr>
          <w:rFonts w:eastAsia="Times New Roman" w:cstheme="minorHAnsi"/>
          <w:spacing w:val="2"/>
          <w:sz w:val="24"/>
          <w:szCs w:val="24"/>
          <w:lang w:eastAsia="en-GB"/>
        </w:rPr>
        <w:t>, 1499-1514.</w:t>
      </w:r>
    </w:p>
    <w:p w14:paraId="18284F14" w14:textId="3A5AA25B" w:rsidR="00B000EE" w:rsidRPr="00B000EE" w:rsidRDefault="00B000EE" w:rsidP="00B10431">
      <w:pPr>
        <w:spacing w:after="0" w:line="360" w:lineRule="auto"/>
        <w:ind w:left="720" w:hanging="720"/>
        <w:jc w:val="both"/>
        <w:rPr>
          <w:rFonts w:ascii="Calibri" w:hAnsi="Calibri" w:cs="Calibri"/>
          <w:sz w:val="24"/>
          <w:szCs w:val="24"/>
          <w:lang w:val="en"/>
        </w:rPr>
      </w:pPr>
      <w:r w:rsidRPr="00B000EE">
        <w:rPr>
          <w:rFonts w:ascii="Calibri" w:hAnsi="Calibri" w:cs="Calibri"/>
          <w:color w:val="000000"/>
          <w:sz w:val="24"/>
          <w:szCs w:val="24"/>
        </w:rPr>
        <w:t xml:space="preserve">Wehrens, M.J.P. W., Kuyper, H., Dijkstra, P., Buunk, A.P., &amp; Van Der Werf, M.P.C. (2010). The long-term effect of social comparison on academic performance. </w:t>
      </w:r>
      <w:r w:rsidRPr="00B000EE">
        <w:rPr>
          <w:rFonts w:ascii="Calibri" w:hAnsi="Calibri" w:cs="Calibri"/>
          <w:i/>
          <w:color w:val="000000"/>
          <w:sz w:val="24"/>
          <w:szCs w:val="24"/>
        </w:rPr>
        <w:t>European Journal of Social Psychology,40</w:t>
      </w:r>
      <w:r w:rsidRPr="00B000EE">
        <w:rPr>
          <w:rFonts w:ascii="Calibri" w:hAnsi="Calibri" w:cs="Calibri"/>
          <w:color w:val="000000"/>
          <w:sz w:val="24"/>
          <w:szCs w:val="24"/>
        </w:rPr>
        <w:t>, 1158-1171.</w:t>
      </w:r>
    </w:p>
    <w:p w14:paraId="1B5DEFD5" w14:textId="6E0BCA80" w:rsidR="00D52509" w:rsidRDefault="00A61775" w:rsidP="00584301">
      <w:pPr>
        <w:spacing w:after="0" w:line="360" w:lineRule="auto"/>
        <w:ind w:left="720" w:hanging="720"/>
        <w:jc w:val="both"/>
        <w:rPr>
          <w:rFonts w:ascii="Calibri" w:hAnsi="Calibri" w:cs="Calibri"/>
          <w:sz w:val="24"/>
          <w:szCs w:val="24"/>
          <w:lang w:val="en"/>
        </w:rPr>
      </w:pPr>
      <w:r w:rsidRPr="00B000EE">
        <w:rPr>
          <w:rFonts w:ascii="Calibri" w:hAnsi="Calibri" w:cs="Calibri"/>
          <w:sz w:val="24"/>
          <w:szCs w:val="24"/>
          <w:lang w:val="en"/>
        </w:rPr>
        <w:t xml:space="preserve">Wills, T.A. (1981). Downward comparison principles in social psychology. </w:t>
      </w:r>
      <w:r w:rsidRPr="00B000EE">
        <w:rPr>
          <w:rFonts w:ascii="Calibri" w:hAnsi="Calibri" w:cs="Calibri"/>
          <w:i/>
          <w:sz w:val="24"/>
          <w:szCs w:val="24"/>
          <w:lang w:val="en"/>
        </w:rPr>
        <w:t xml:space="preserve">Psychological Bulletin,90(2), </w:t>
      </w:r>
      <w:r w:rsidRPr="00B000EE">
        <w:rPr>
          <w:rFonts w:ascii="Calibri" w:hAnsi="Calibri" w:cs="Calibri"/>
          <w:sz w:val="24"/>
          <w:szCs w:val="24"/>
          <w:lang w:val="en"/>
        </w:rPr>
        <w:t>245-271.</w:t>
      </w:r>
      <w:r w:rsidR="00D52509">
        <w:rPr>
          <w:rFonts w:ascii="Calibri" w:hAnsi="Calibri" w:cs="Calibri"/>
          <w:sz w:val="24"/>
          <w:szCs w:val="24"/>
          <w:lang w:val="en"/>
        </w:rPr>
        <w:br w:type="page"/>
      </w:r>
    </w:p>
    <w:p w14:paraId="4DF935CA" w14:textId="59BC446F" w:rsidR="00061D40" w:rsidRDefault="00061D40" w:rsidP="00981475">
      <w:pPr>
        <w:spacing w:after="0" w:line="360" w:lineRule="auto"/>
        <w:ind w:left="720" w:hanging="720"/>
        <w:jc w:val="both"/>
        <w:rPr>
          <w:rFonts w:ascii="Calibri" w:hAnsi="Calibri" w:cs="Calibri"/>
          <w:b/>
          <w:sz w:val="24"/>
          <w:szCs w:val="24"/>
        </w:rPr>
      </w:pPr>
      <w:r>
        <w:rPr>
          <w:rFonts w:ascii="Calibri" w:hAnsi="Calibri" w:cs="Calibri"/>
          <w:b/>
          <w:sz w:val="24"/>
          <w:szCs w:val="24"/>
        </w:rPr>
        <w:t>Figure Captions:</w:t>
      </w:r>
    </w:p>
    <w:p w14:paraId="1E631F58" w14:textId="77777777" w:rsidR="00061D40" w:rsidRDefault="00061D40" w:rsidP="00981475">
      <w:pPr>
        <w:spacing w:after="0" w:line="360" w:lineRule="auto"/>
        <w:ind w:left="720" w:hanging="720"/>
        <w:jc w:val="both"/>
        <w:rPr>
          <w:rFonts w:ascii="Calibri" w:hAnsi="Calibri" w:cs="Calibri"/>
          <w:b/>
          <w:sz w:val="24"/>
          <w:szCs w:val="24"/>
        </w:rPr>
      </w:pPr>
    </w:p>
    <w:p w14:paraId="269A3D47" w14:textId="06CA93E4" w:rsidR="00061D40" w:rsidRPr="00061D40" w:rsidRDefault="00061D40" w:rsidP="00981475">
      <w:pPr>
        <w:spacing w:after="0" w:line="360" w:lineRule="auto"/>
        <w:ind w:left="720" w:hanging="720"/>
        <w:jc w:val="both"/>
        <w:rPr>
          <w:rFonts w:ascii="Calibri" w:hAnsi="Calibri" w:cs="Calibri"/>
          <w:sz w:val="24"/>
          <w:szCs w:val="24"/>
        </w:rPr>
      </w:pPr>
      <w:r>
        <w:rPr>
          <w:rFonts w:ascii="Calibri" w:hAnsi="Calibri" w:cs="Calibri"/>
          <w:b/>
          <w:sz w:val="24"/>
          <w:szCs w:val="24"/>
        </w:rPr>
        <w:t xml:space="preserve">Figure 1. </w:t>
      </w:r>
      <w:r>
        <w:rPr>
          <w:rFonts w:ascii="Calibri" w:hAnsi="Calibri" w:cs="Calibri"/>
          <w:sz w:val="24"/>
          <w:szCs w:val="24"/>
        </w:rPr>
        <w:t>Above average Dashboard display.</w:t>
      </w:r>
    </w:p>
    <w:p w14:paraId="17B4984E" w14:textId="7FB61DDE" w:rsidR="00061D40" w:rsidRPr="00B000EE" w:rsidRDefault="00061D40" w:rsidP="00061D40">
      <w:pPr>
        <w:spacing w:after="4" w:line="360" w:lineRule="auto"/>
        <w:rPr>
          <w:sz w:val="24"/>
          <w:szCs w:val="24"/>
        </w:rPr>
      </w:pPr>
    </w:p>
    <w:p w14:paraId="0643ACAD" w14:textId="77777777" w:rsidR="00061D40" w:rsidRDefault="00061D40" w:rsidP="00061D40">
      <w:pPr>
        <w:spacing w:after="4" w:line="360" w:lineRule="auto"/>
        <w:jc w:val="both"/>
        <w:rPr>
          <w:sz w:val="24"/>
          <w:szCs w:val="24"/>
        </w:rPr>
      </w:pPr>
      <w:r>
        <w:rPr>
          <w:b/>
          <w:sz w:val="24"/>
          <w:szCs w:val="24"/>
        </w:rPr>
        <w:t xml:space="preserve">Figure 2. </w:t>
      </w:r>
      <w:r w:rsidRPr="005021CC">
        <w:rPr>
          <w:sz w:val="24"/>
          <w:szCs w:val="24"/>
        </w:rPr>
        <w:t>Average self-esteem scores after reading a vignette describing a student’s performance as below the class average (</w:t>
      </w:r>
      <w:r>
        <w:rPr>
          <w:sz w:val="24"/>
          <w:szCs w:val="24"/>
        </w:rPr>
        <w:t>dots</w:t>
      </w:r>
      <w:r w:rsidRPr="005021CC">
        <w:rPr>
          <w:sz w:val="24"/>
          <w:szCs w:val="24"/>
        </w:rPr>
        <w:t>), at the class average (</w:t>
      </w:r>
      <w:r>
        <w:rPr>
          <w:sz w:val="24"/>
          <w:szCs w:val="24"/>
        </w:rPr>
        <w:t>diagonal lines</w:t>
      </w:r>
      <w:r w:rsidRPr="005021CC">
        <w:rPr>
          <w:sz w:val="24"/>
          <w:szCs w:val="24"/>
        </w:rPr>
        <w:t>) or above the class average (</w:t>
      </w:r>
      <w:r>
        <w:rPr>
          <w:sz w:val="24"/>
          <w:szCs w:val="24"/>
        </w:rPr>
        <w:t>checker</w:t>
      </w:r>
      <w:r w:rsidRPr="005021CC">
        <w:rPr>
          <w:sz w:val="24"/>
          <w:szCs w:val="24"/>
        </w:rPr>
        <w:t>). Error bars represent standard error.</w:t>
      </w:r>
    </w:p>
    <w:p w14:paraId="24637CB9" w14:textId="08A4CE4E" w:rsidR="00061D40" w:rsidRDefault="00061D40" w:rsidP="00981475">
      <w:pPr>
        <w:spacing w:after="0" w:line="360" w:lineRule="auto"/>
        <w:ind w:left="720" w:hanging="720"/>
        <w:jc w:val="both"/>
        <w:rPr>
          <w:rFonts w:ascii="Calibri" w:hAnsi="Calibri" w:cs="Calibri"/>
          <w:b/>
          <w:sz w:val="24"/>
          <w:szCs w:val="24"/>
        </w:rPr>
      </w:pPr>
    </w:p>
    <w:p w14:paraId="358B352B" w14:textId="38837A41" w:rsidR="00061D40" w:rsidRDefault="00061D40" w:rsidP="00981475">
      <w:pPr>
        <w:spacing w:after="0" w:line="360" w:lineRule="auto"/>
        <w:ind w:left="720" w:hanging="720"/>
        <w:jc w:val="both"/>
        <w:rPr>
          <w:rFonts w:ascii="Calibri" w:hAnsi="Calibri" w:cs="Calibri"/>
          <w:b/>
          <w:sz w:val="24"/>
          <w:szCs w:val="24"/>
        </w:rPr>
      </w:pPr>
    </w:p>
    <w:p w14:paraId="26F5DBF8" w14:textId="41047017" w:rsidR="00061D40" w:rsidRDefault="00061D40" w:rsidP="00981475">
      <w:pPr>
        <w:spacing w:after="0" w:line="360" w:lineRule="auto"/>
        <w:ind w:left="720" w:hanging="720"/>
        <w:jc w:val="both"/>
        <w:rPr>
          <w:rFonts w:ascii="Calibri" w:hAnsi="Calibri" w:cs="Calibri"/>
          <w:b/>
          <w:sz w:val="24"/>
          <w:szCs w:val="24"/>
        </w:rPr>
      </w:pPr>
    </w:p>
    <w:p w14:paraId="624D08A1" w14:textId="4051065E" w:rsidR="00061D40" w:rsidRDefault="00061D40" w:rsidP="00981475">
      <w:pPr>
        <w:spacing w:after="0" w:line="360" w:lineRule="auto"/>
        <w:ind w:left="720" w:hanging="720"/>
        <w:jc w:val="both"/>
        <w:rPr>
          <w:rFonts w:ascii="Calibri" w:hAnsi="Calibri" w:cs="Calibri"/>
          <w:b/>
          <w:sz w:val="24"/>
          <w:szCs w:val="24"/>
        </w:rPr>
      </w:pPr>
    </w:p>
    <w:p w14:paraId="7F6E23FA" w14:textId="3F673A3C" w:rsidR="00061D40" w:rsidRDefault="00061D40" w:rsidP="00981475">
      <w:pPr>
        <w:spacing w:after="0" w:line="360" w:lineRule="auto"/>
        <w:ind w:left="720" w:hanging="720"/>
        <w:jc w:val="both"/>
        <w:rPr>
          <w:rFonts w:ascii="Calibri" w:hAnsi="Calibri" w:cs="Calibri"/>
          <w:b/>
          <w:sz w:val="24"/>
          <w:szCs w:val="24"/>
        </w:rPr>
      </w:pPr>
    </w:p>
    <w:p w14:paraId="7631F8EB" w14:textId="76274980" w:rsidR="00061D40" w:rsidRDefault="00061D40" w:rsidP="00981475">
      <w:pPr>
        <w:spacing w:after="0" w:line="360" w:lineRule="auto"/>
        <w:ind w:left="720" w:hanging="720"/>
        <w:jc w:val="both"/>
        <w:rPr>
          <w:rFonts w:ascii="Calibri" w:hAnsi="Calibri" w:cs="Calibri"/>
          <w:b/>
          <w:sz w:val="24"/>
          <w:szCs w:val="24"/>
        </w:rPr>
      </w:pPr>
    </w:p>
    <w:p w14:paraId="5C3BB6B3" w14:textId="79DCCCF6" w:rsidR="00061D40" w:rsidRDefault="00061D40" w:rsidP="00981475">
      <w:pPr>
        <w:spacing w:after="0" w:line="360" w:lineRule="auto"/>
        <w:ind w:left="720" w:hanging="720"/>
        <w:jc w:val="both"/>
        <w:rPr>
          <w:rFonts w:ascii="Calibri" w:hAnsi="Calibri" w:cs="Calibri"/>
          <w:b/>
          <w:sz w:val="24"/>
          <w:szCs w:val="24"/>
        </w:rPr>
      </w:pPr>
    </w:p>
    <w:p w14:paraId="26AFF4B3" w14:textId="474B5044" w:rsidR="00061D40" w:rsidRDefault="00061D40" w:rsidP="00981475">
      <w:pPr>
        <w:spacing w:after="0" w:line="360" w:lineRule="auto"/>
        <w:ind w:left="720" w:hanging="720"/>
        <w:jc w:val="both"/>
        <w:rPr>
          <w:rFonts w:ascii="Calibri" w:hAnsi="Calibri" w:cs="Calibri"/>
          <w:b/>
          <w:sz w:val="24"/>
          <w:szCs w:val="24"/>
        </w:rPr>
      </w:pPr>
    </w:p>
    <w:p w14:paraId="2F53275B" w14:textId="2419A20E" w:rsidR="00061D40" w:rsidRDefault="00061D40" w:rsidP="00981475">
      <w:pPr>
        <w:spacing w:after="0" w:line="360" w:lineRule="auto"/>
        <w:ind w:left="720" w:hanging="720"/>
        <w:jc w:val="both"/>
        <w:rPr>
          <w:rFonts w:ascii="Calibri" w:hAnsi="Calibri" w:cs="Calibri"/>
          <w:b/>
          <w:sz w:val="24"/>
          <w:szCs w:val="24"/>
        </w:rPr>
      </w:pPr>
    </w:p>
    <w:p w14:paraId="066ABE51" w14:textId="4813EAFD" w:rsidR="00061D40" w:rsidRDefault="00061D40" w:rsidP="00981475">
      <w:pPr>
        <w:spacing w:after="0" w:line="360" w:lineRule="auto"/>
        <w:ind w:left="720" w:hanging="720"/>
        <w:jc w:val="both"/>
        <w:rPr>
          <w:rFonts w:ascii="Calibri" w:hAnsi="Calibri" w:cs="Calibri"/>
          <w:b/>
          <w:sz w:val="24"/>
          <w:szCs w:val="24"/>
        </w:rPr>
      </w:pPr>
    </w:p>
    <w:p w14:paraId="3F2AC347" w14:textId="66924CB0" w:rsidR="00061D40" w:rsidRDefault="00061D40" w:rsidP="00981475">
      <w:pPr>
        <w:spacing w:after="0" w:line="360" w:lineRule="auto"/>
        <w:ind w:left="720" w:hanging="720"/>
        <w:jc w:val="both"/>
        <w:rPr>
          <w:rFonts w:ascii="Calibri" w:hAnsi="Calibri" w:cs="Calibri"/>
          <w:b/>
          <w:sz w:val="24"/>
          <w:szCs w:val="24"/>
        </w:rPr>
      </w:pPr>
    </w:p>
    <w:p w14:paraId="1594EA3C" w14:textId="0CEAC1AA" w:rsidR="00061D40" w:rsidRDefault="00061D40" w:rsidP="00981475">
      <w:pPr>
        <w:spacing w:after="0" w:line="360" w:lineRule="auto"/>
        <w:ind w:left="720" w:hanging="720"/>
        <w:jc w:val="both"/>
        <w:rPr>
          <w:rFonts w:ascii="Calibri" w:hAnsi="Calibri" w:cs="Calibri"/>
          <w:b/>
          <w:sz w:val="24"/>
          <w:szCs w:val="24"/>
        </w:rPr>
      </w:pPr>
    </w:p>
    <w:p w14:paraId="25143D46" w14:textId="147F67D8" w:rsidR="00061D40" w:rsidRDefault="00061D40" w:rsidP="00981475">
      <w:pPr>
        <w:spacing w:after="0" w:line="360" w:lineRule="auto"/>
        <w:ind w:left="720" w:hanging="720"/>
        <w:jc w:val="both"/>
        <w:rPr>
          <w:rFonts w:ascii="Calibri" w:hAnsi="Calibri" w:cs="Calibri"/>
          <w:b/>
          <w:sz w:val="24"/>
          <w:szCs w:val="24"/>
        </w:rPr>
      </w:pPr>
    </w:p>
    <w:p w14:paraId="76BF92E5" w14:textId="2E735BB2" w:rsidR="00061D40" w:rsidRDefault="00061D40" w:rsidP="00981475">
      <w:pPr>
        <w:spacing w:after="0" w:line="360" w:lineRule="auto"/>
        <w:ind w:left="720" w:hanging="720"/>
        <w:jc w:val="both"/>
        <w:rPr>
          <w:rFonts w:ascii="Calibri" w:hAnsi="Calibri" w:cs="Calibri"/>
          <w:b/>
          <w:sz w:val="24"/>
          <w:szCs w:val="24"/>
        </w:rPr>
      </w:pPr>
    </w:p>
    <w:p w14:paraId="1A9182EC" w14:textId="5B58679B" w:rsidR="00061D40" w:rsidRDefault="00061D40" w:rsidP="00981475">
      <w:pPr>
        <w:spacing w:after="0" w:line="360" w:lineRule="auto"/>
        <w:ind w:left="720" w:hanging="720"/>
        <w:jc w:val="both"/>
        <w:rPr>
          <w:rFonts w:ascii="Calibri" w:hAnsi="Calibri" w:cs="Calibri"/>
          <w:b/>
          <w:sz w:val="24"/>
          <w:szCs w:val="24"/>
        </w:rPr>
      </w:pPr>
    </w:p>
    <w:p w14:paraId="698B9746" w14:textId="2B373CD6" w:rsidR="00061D40" w:rsidRDefault="00061D40" w:rsidP="00981475">
      <w:pPr>
        <w:spacing w:after="0" w:line="360" w:lineRule="auto"/>
        <w:ind w:left="720" w:hanging="720"/>
        <w:jc w:val="both"/>
        <w:rPr>
          <w:rFonts w:ascii="Calibri" w:hAnsi="Calibri" w:cs="Calibri"/>
          <w:b/>
          <w:sz w:val="24"/>
          <w:szCs w:val="24"/>
        </w:rPr>
      </w:pPr>
    </w:p>
    <w:p w14:paraId="0125A082" w14:textId="1B8B48A3" w:rsidR="00061D40" w:rsidRDefault="00061D40" w:rsidP="00981475">
      <w:pPr>
        <w:spacing w:after="0" w:line="360" w:lineRule="auto"/>
        <w:ind w:left="720" w:hanging="720"/>
        <w:jc w:val="both"/>
        <w:rPr>
          <w:rFonts w:ascii="Calibri" w:hAnsi="Calibri" w:cs="Calibri"/>
          <w:b/>
          <w:sz w:val="24"/>
          <w:szCs w:val="24"/>
        </w:rPr>
      </w:pPr>
    </w:p>
    <w:p w14:paraId="496E4B8A" w14:textId="2754C690" w:rsidR="00061D40" w:rsidRDefault="00061D40" w:rsidP="00981475">
      <w:pPr>
        <w:spacing w:after="0" w:line="360" w:lineRule="auto"/>
        <w:ind w:left="720" w:hanging="720"/>
        <w:jc w:val="both"/>
        <w:rPr>
          <w:rFonts w:ascii="Calibri" w:hAnsi="Calibri" w:cs="Calibri"/>
          <w:b/>
          <w:sz w:val="24"/>
          <w:szCs w:val="24"/>
        </w:rPr>
      </w:pPr>
    </w:p>
    <w:p w14:paraId="7A5240CD" w14:textId="408CE50B" w:rsidR="00061D40" w:rsidRDefault="00061D40" w:rsidP="00981475">
      <w:pPr>
        <w:spacing w:after="0" w:line="360" w:lineRule="auto"/>
        <w:ind w:left="720" w:hanging="720"/>
        <w:jc w:val="both"/>
        <w:rPr>
          <w:rFonts w:ascii="Calibri" w:hAnsi="Calibri" w:cs="Calibri"/>
          <w:b/>
          <w:sz w:val="24"/>
          <w:szCs w:val="24"/>
        </w:rPr>
      </w:pPr>
    </w:p>
    <w:p w14:paraId="783BB87A" w14:textId="2621063A" w:rsidR="00061D40" w:rsidRDefault="00061D40" w:rsidP="00981475">
      <w:pPr>
        <w:spacing w:after="0" w:line="360" w:lineRule="auto"/>
        <w:ind w:left="720" w:hanging="720"/>
        <w:jc w:val="both"/>
        <w:rPr>
          <w:rFonts w:ascii="Calibri" w:hAnsi="Calibri" w:cs="Calibri"/>
          <w:b/>
          <w:sz w:val="24"/>
          <w:szCs w:val="24"/>
        </w:rPr>
      </w:pPr>
    </w:p>
    <w:p w14:paraId="5BF893BE" w14:textId="6A48D476" w:rsidR="00061D40" w:rsidRDefault="00061D40" w:rsidP="00981475">
      <w:pPr>
        <w:spacing w:after="0" w:line="360" w:lineRule="auto"/>
        <w:ind w:left="720" w:hanging="720"/>
        <w:jc w:val="both"/>
        <w:rPr>
          <w:rFonts w:ascii="Calibri" w:hAnsi="Calibri" w:cs="Calibri"/>
          <w:b/>
          <w:sz w:val="24"/>
          <w:szCs w:val="24"/>
        </w:rPr>
      </w:pPr>
    </w:p>
    <w:p w14:paraId="070B970D" w14:textId="62AE7B94" w:rsidR="00061D40" w:rsidRDefault="00061D40" w:rsidP="00981475">
      <w:pPr>
        <w:spacing w:after="0" w:line="360" w:lineRule="auto"/>
        <w:ind w:left="720" w:hanging="720"/>
        <w:jc w:val="both"/>
        <w:rPr>
          <w:rFonts w:ascii="Calibri" w:hAnsi="Calibri" w:cs="Calibri"/>
          <w:b/>
          <w:sz w:val="24"/>
          <w:szCs w:val="24"/>
        </w:rPr>
      </w:pPr>
    </w:p>
    <w:p w14:paraId="5AC7BCE6" w14:textId="3BA69F1E" w:rsidR="00061D40" w:rsidRDefault="00061D40" w:rsidP="00981475">
      <w:pPr>
        <w:spacing w:after="0" w:line="360" w:lineRule="auto"/>
        <w:ind w:left="720" w:hanging="720"/>
        <w:jc w:val="both"/>
        <w:rPr>
          <w:rFonts w:ascii="Calibri" w:hAnsi="Calibri" w:cs="Calibri"/>
          <w:b/>
          <w:sz w:val="24"/>
          <w:szCs w:val="24"/>
        </w:rPr>
      </w:pPr>
    </w:p>
    <w:p w14:paraId="02331A65" w14:textId="77777777" w:rsidR="00061D40" w:rsidRPr="00061D40" w:rsidRDefault="00061D40" w:rsidP="00981475">
      <w:pPr>
        <w:spacing w:after="0" w:line="360" w:lineRule="auto"/>
        <w:ind w:left="720" w:hanging="720"/>
        <w:jc w:val="both"/>
        <w:rPr>
          <w:rFonts w:ascii="Calibri" w:hAnsi="Calibri" w:cs="Calibri"/>
          <w:b/>
          <w:sz w:val="24"/>
          <w:szCs w:val="24"/>
        </w:rPr>
      </w:pPr>
    </w:p>
    <w:p w14:paraId="510CB141" w14:textId="3D7D99D7" w:rsidR="005C65F0" w:rsidRPr="009E63A2" w:rsidRDefault="005C65F0" w:rsidP="000844A6">
      <w:pPr>
        <w:spacing w:after="0" w:line="360" w:lineRule="auto"/>
        <w:jc w:val="both"/>
        <w:rPr>
          <w:rFonts w:ascii="Calibri" w:hAnsi="Calibri" w:cs="Calibri"/>
          <w:sz w:val="24"/>
          <w:szCs w:val="24"/>
        </w:rPr>
      </w:pPr>
    </w:p>
    <w:sectPr w:rsidR="005C65F0" w:rsidRPr="009E63A2" w:rsidSect="0075104F">
      <w:headerReference w:type="default" r:id="rId9"/>
      <w:footerReference w:type="default" r:id="rId10"/>
      <w:pgSz w:w="11906" w:h="16838"/>
      <w:pgMar w:top="1440" w:right="1440" w:bottom="1440" w:left="1440"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75078" w14:textId="77777777" w:rsidR="00C00B94" w:rsidRDefault="00C00B94" w:rsidP="00C00B94">
      <w:pPr>
        <w:spacing w:after="0" w:line="240" w:lineRule="auto"/>
      </w:pPr>
      <w:r>
        <w:separator/>
      </w:r>
    </w:p>
  </w:endnote>
  <w:endnote w:type="continuationSeparator" w:id="0">
    <w:p w14:paraId="5214706D" w14:textId="77777777" w:rsidR="00C00B94" w:rsidRDefault="00C00B94" w:rsidP="00C00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331802"/>
      <w:docPartObj>
        <w:docPartGallery w:val="Page Numbers (Bottom of Page)"/>
        <w:docPartUnique/>
      </w:docPartObj>
    </w:sdtPr>
    <w:sdtEndPr>
      <w:rPr>
        <w:noProof/>
      </w:rPr>
    </w:sdtEndPr>
    <w:sdtContent>
      <w:p w14:paraId="42BEEF22" w14:textId="1470D73D" w:rsidR="00315EE6" w:rsidRDefault="00315EE6">
        <w:pPr>
          <w:pStyle w:val="Footer"/>
          <w:jc w:val="right"/>
        </w:pPr>
        <w:r>
          <w:fldChar w:fldCharType="begin"/>
        </w:r>
        <w:r>
          <w:instrText xml:space="preserve"> PAGE   \* MERGEFORMAT </w:instrText>
        </w:r>
        <w:r>
          <w:fldChar w:fldCharType="separate"/>
        </w:r>
        <w:r w:rsidR="00AC0358">
          <w:rPr>
            <w:noProof/>
          </w:rPr>
          <w:t>1</w:t>
        </w:r>
        <w:r>
          <w:rPr>
            <w:noProof/>
          </w:rPr>
          <w:fldChar w:fldCharType="end"/>
        </w:r>
      </w:p>
    </w:sdtContent>
  </w:sdt>
  <w:p w14:paraId="143E8335" w14:textId="77777777" w:rsidR="00315EE6" w:rsidRDefault="00315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04341" w14:textId="77777777" w:rsidR="00C00B94" w:rsidRDefault="00C00B94" w:rsidP="00C00B94">
      <w:pPr>
        <w:spacing w:after="0" w:line="240" w:lineRule="auto"/>
      </w:pPr>
      <w:r>
        <w:separator/>
      </w:r>
    </w:p>
  </w:footnote>
  <w:footnote w:type="continuationSeparator" w:id="0">
    <w:p w14:paraId="3AD2E419" w14:textId="77777777" w:rsidR="00C00B94" w:rsidRDefault="00C00B94" w:rsidP="00C00B94">
      <w:pPr>
        <w:spacing w:after="0" w:line="240" w:lineRule="auto"/>
      </w:pPr>
      <w:r>
        <w:continuationSeparator/>
      </w:r>
    </w:p>
  </w:footnote>
  <w:footnote w:id="1">
    <w:p w14:paraId="04EA85BE" w14:textId="79EED1A7" w:rsidR="00A85B35" w:rsidRPr="008B2F43" w:rsidRDefault="00A85B35" w:rsidP="008B2F43">
      <w:pPr>
        <w:pStyle w:val="FootnoteText"/>
        <w:jc w:val="both"/>
        <w:rPr>
          <w:sz w:val="22"/>
          <w:szCs w:val="22"/>
        </w:rPr>
      </w:pPr>
      <w:r w:rsidRPr="008B2F43">
        <w:rPr>
          <w:rStyle w:val="FootnoteReference"/>
          <w:sz w:val="22"/>
          <w:szCs w:val="22"/>
        </w:rPr>
        <w:footnoteRef/>
      </w:r>
      <w:r w:rsidRPr="008B2F43">
        <w:rPr>
          <w:sz w:val="22"/>
          <w:szCs w:val="22"/>
        </w:rPr>
        <w:t xml:space="preserve"> </w:t>
      </w:r>
      <w:r w:rsidRPr="008B2F43">
        <w:rPr>
          <w:rFonts w:ascii="Calibri" w:hAnsi="Calibri" w:cs="Calibri"/>
          <w:sz w:val="22"/>
          <w:szCs w:val="22"/>
        </w:rPr>
        <w:t>The authors document</w:t>
      </w:r>
      <w:r w:rsidR="008B2F43">
        <w:rPr>
          <w:rFonts w:ascii="Calibri" w:hAnsi="Calibri" w:cs="Calibri"/>
          <w:sz w:val="22"/>
          <w:szCs w:val="22"/>
        </w:rPr>
        <w:t>ed</w:t>
      </w:r>
      <w:r w:rsidRPr="008B2F43">
        <w:rPr>
          <w:rFonts w:ascii="Calibri" w:hAnsi="Calibri" w:cs="Calibri"/>
          <w:sz w:val="22"/>
          <w:szCs w:val="22"/>
        </w:rPr>
        <w:t xml:space="preserve"> detailed demographic information to provide insight into the makeup of the population sample. This demographic information may be of use to future researchers looking to replicate or generalise this work.</w:t>
      </w:r>
    </w:p>
  </w:footnote>
  <w:footnote w:id="2">
    <w:p w14:paraId="13EDA702" w14:textId="29BCF9EB" w:rsidR="00662F33" w:rsidRDefault="00662F33" w:rsidP="00587EC9">
      <w:pPr>
        <w:pStyle w:val="FootnoteText"/>
        <w:jc w:val="both"/>
      </w:pPr>
      <w:r>
        <w:rPr>
          <w:rStyle w:val="FootnoteReference"/>
        </w:rPr>
        <w:footnoteRef/>
      </w:r>
      <w:r>
        <w:t xml:space="preserve"> </w:t>
      </w:r>
      <w:r w:rsidRPr="00546CBB">
        <w:rPr>
          <w:rFonts w:cs="Arial"/>
          <w:color w:val="000000"/>
          <w:sz w:val="22"/>
          <w:szCs w:val="22"/>
        </w:rPr>
        <w:t>Timing data indicated that participants spent an average of 2</w:t>
      </w:r>
      <w:r w:rsidR="004944D0">
        <w:rPr>
          <w:rFonts w:cs="Arial"/>
          <w:color w:val="000000"/>
          <w:sz w:val="22"/>
          <w:szCs w:val="22"/>
        </w:rPr>
        <w:t>6.22</w:t>
      </w:r>
      <w:r w:rsidRPr="00546CBB">
        <w:rPr>
          <w:rFonts w:cs="Arial"/>
          <w:color w:val="000000"/>
          <w:sz w:val="22"/>
          <w:szCs w:val="22"/>
        </w:rPr>
        <w:t xml:space="preserve"> seconds (</w:t>
      </w:r>
      <w:r w:rsidRPr="00546CBB">
        <w:rPr>
          <w:rFonts w:cs="Arial"/>
          <w:i/>
          <w:color w:val="000000"/>
          <w:sz w:val="22"/>
          <w:szCs w:val="22"/>
        </w:rPr>
        <w:t>SD</w:t>
      </w:r>
      <w:r w:rsidRPr="00546CBB">
        <w:rPr>
          <w:rFonts w:cs="Arial"/>
          <w:color w:val="000000"/>
          <w:sz w:val="22"/>
          <w:szCs w:val="22"/>
        </w:rPr>
        <w:t xml:space="preserve"> = </w:t>
      </w:r>
      <w:r w:rsidR="004944D0">
        <w:rPr>
          <w:rFonts w:cs="Arial"/>
          <w:color w:val="000000"/>
          <w:sz w:val="22"/>
          <w:szCs w:val="22"/>
        </w:rPr>
        <w:t>36</w:t>
      </w:r>
      <w:r w:rsidRPr="00546CBB">
        <w:rPr>
          <w:rFonts w:cs="Arial"/>
          <w:color w:val="000000"/>
          <w:sz w:val="22"/>
          <w:szCs w:val="22"/>
        </w:rPr>
        <w:t>.</w:t>
      </w:r>
      <w:r w:rsidR="004944D0">
        <w:rPr>
          <w:rFonts w:cs="Arial"/>
          <w:color w:val="000000"/>
          <w:sz w:val="22"/>
          <w:szCs w:val="22"/>
        </w:rPr>
        <w:t>65</w:t>
      </w:r>
      <w:r w:rsidRPr="00546CBB">
        <w:rPr>
          <w:rFonts w:cs="Arial"/>
          <w:color w:val="000000"/>
          <w:sz w:val="22"/>
          <w:szCs w:val="22"/>
        </w:rPr>
        <w:t xml:space="preserve"> seconds) considering the Dashboard display (with a range of 5.96 to 465.03 seconds).</w:t>
      </w:r>
    </w:p>
  </w:footnote>
  <w:footnote w:id="3">
    <w:p w14:paraId="4FE5A5D5" w14:textId="28652B26" w:rsidR="00662F33" w:rsidRDefault="00662F33" w:rsidP="00587EC9">
      <w:pPr>
        <w:pStyle w:val="FootnoteText"/>
        <w:jc w:val="both"/>
      </w:pPr>
      <w:r>
        <w:rPr>
          <w:rStyle w:val="FootnoteReference"/>
        </w:rPr>
        <w:footnoteRef/>
      </w:r>
      <w:r>
        <w:t xml:space="preserve"> </w:t>
      </w:r>
      <w:r w:rsidRPr="00546CBB">
        <w:rPr>
          <w:sz w:val="22"/>
          <w:szCs w:val="22"/>
        </w:rPr>
        <w:t>Excluding an outlier of 4910</w:t>
      </w:r>
      <w:r>
        <w:rPr>
          <w:sz w:val="22"/>
          <w:szCs w:val="22"/>
        </w:rPr>
        <w:t>.</w:t>
      </w:r>
      <w:r w:rsidRPr="00546CBB">
        <w:rPr>
          <w:sz w:val="22"/>
          <w:szCs w:val="22"/>
        </w:rPr>
        <w:t>18 seconds, participants spent on average 226.10 seconds (</w:t>
      </w:r>
      <w:r w:rsidRPr="00546CBB">
        <w:rPr>
          <w:i/>
          <w:sz w:val="22"/>
          <w:szCs w:val="22"/>
        </w:rPr>
        <w:t>SD</w:t>
      </w:r>
      <w:r w:rsidRPr="00546CBB">
        <w:rPr>
          <w:sz w:val="22"/>
          <w:szCs w:val="22"/>
        </w:rPr>
        <w:t xml:space="preserve"> = 243.12) on the anagram task (with a range of 1.36 to 1426.15 seconds).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2A54A" w14:textId="412C2FA5" w:rsidR="00C00B94" w:rsidRDefault="00C00B94">
    <w:pPr>
      <w:pStyle w:val="Header"/>
    </w:pPr>
    <w:r>
      <w:t>Running head: THE EFFECTS OF SOCIAL COMPARISON VIA DASHBAORD ON STUDENTS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45A5B"/>
    <w:multiLevelType w:val="hybridMultilevel"/>
    <w:tmpl w:val="29AC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7E04ED"/>
    <w:multiLevelType w:val="hybridMultilevel"/>
    <w:tmpl w:val="8E609714"/>
    <w:lvl w:ilvl="0" w:tplc="31109C4C">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44175A"/>
    <w:multiLevelType w:val="hybridMultilevel"/>
    <w:tmpl w:val="39E67912"/>
    <w:lvl w:ilvl="0" w:tplc="3A182FA4">
      <w:start w:val="1"/>
      <w:numFmt w:val="bullet"/>
      <w:lvlText w:val="•"/>
      <w:lvlJc w:val="left"/>
      <w:pPr>
        <w:tabs>
          <w:tab w:val="num" w:pos="720"/>
        </w:tabs>
        <w:ind w:left="720" w:hanging="360"/>
      </w:pPr>
      <w:rPr>
        <w:rFonts w:ascii="Arial" w:hAnsi="Arial" w:hint="default"/>
      </w:rPr>
    </w:lvl>
    <w:lvl w:ilvl="1" w:tplc="2294EBCA" w:tentative="1">
      <w:start w:val="1"/>
      <w:numFmt w:val="bullet"/>
      <w:lvlText w:val="•"/>
      <w:lvlJc w:val="left"/>
      <w:pPr>
        <w:tabs>
          <w:tab w:val="num" w:pos="1440"/>
        </w:tabs>
        <w:ind w:left="1440" w:hanging="360"/>
      </w:pPr>
      <w:rPr>
        <w:rFonts w:ascii="Arial" w:hAnsi="Arial" w:hint="default"/>
      </w:rPr>
    </w:lvl>
    <w:lvl w:ilvl="2" w:tplc="42065072" w:tentative="1">
      <w:start w:val="1"/>
      <w:numFmt w:val="bullet"/>
      <w:lvlText w:val="•"/>
      <w:lvlJc w:val="left"/>
      <w:pPr>
        <w:tabs>
          <w:tab w:val="num" w:pos="2160"/>
        </w:tabs>
        <w:ind w:left="2160" w:hanging="360"/>
      </w:pPr>
      <w:rPr>
        <w:rFonts w:ascii="Arial" w:hAnsi="Arial" w:hint="default"/>
      </w:rPr>
    </w:lvl>
    <w:lvl w:ilvl="3" w:tplc="905A4702" w:tentative="1">
      <w:start w:val="1"/>
      <w:numFmt w:val="bullet"/>
      <w:lvlText w:val="•"/>
      <w:lvlJc w:val="left"/>
      <w:pPr>
        <w:tabs>
          <w:tab w:val="num" w:pos="2880"/>
        </w:tabs>
        <w:ind w:left="2880" w:hanging="360"/>
      </w:pPr>
      <w:rPr>
        <w:rFonts w:ascii="Arial" w:hAnsi="Arial" w:hint="default"/>
      </w:rPr>
    </w:lvl>
    <w:lvl w:ilvl="4" w:tplc="649E6C0E" w:tentative="1">
      <w:start w:val="1"/>
      <w:numFmt w:val="bullet"/>
      <w:lvlText w:val="•"/>
      <w:lvlJc w:val="left"/>
      <w:pPr>
        <w:tabs>
          <w:tab w:val="num" w:pos="3600"/>
        </w:tabs>
        <w:ind w:left="3600" w:hanging="360"/>
      </w:pPr>
      <w:rPr>
        <w:rFonts w:ascii="Arial" w:hAnsi="Arial" w:hint="default"/>
      </w:rPr>
    </w:lvl>
    <w:lvl w:ilvl="5" w:tplc="B778ED9A" w:tentative="1">
      <w:start w:val="1"/>
      <w:numFmt w:val="bullet"/>
      <w:lvlText w:val="•"/>
      <w:lvlJc w:val="left"/>
      <w:pPr>
        <w:tabs>
          <w:tab w:val="num" w:pos="4320"/>
        </w:tabs>
        <w:ind w:left="4320" w:hanging="360"/>
      </w:pPr>
      <w:rPr>
        <w:rFonts w:ascii="Arial" w:hAnsi="Arial" w:hint="default"/>
      </w:rPr>
    </w:lvl>
    <w:lvl w:ilvl="6" w:tplc="EFE84A0C" w:tentative="1">
      <w:start w:val="1"/>
      <w:numFmt w:val="bullet"/>
      <w:lvlText w:val="•"/>
      <w:lvlJc w:val="left"/>
      <w:pPr>
        <w:tabs>
          <w:tab w:val="num" w:pos="5040"/>
        </w:tabs>
        <w:ind w:left="5040" w:hanging="360"/>
      </w:pPr>
      <w:rPr>
        <w:rFonts w:ascii="Arial" w:hAnsi="Arial" w:hint="default"/>
      </w:rPr>
    </w:lvl>
    <w:lvl w:ilvl="7" w:tplc="09E4D12E" w:tentative="1">
      <w:start w:val="1"/>
      <w:numFmt w:val="bullet"/>
      <w:lvlText w:val="•"/>
      <w:lvlJc w:val="left"/>
      <w:pPr>
        <w:tabs>
          <w:tab w:val="num" w:pos="5760"/>
        </w:tabs>
        <w:ind w:left="5760" w:hanging="360"/>
      </w:pPr>
      <w:rPr>
        <w:rFonts w:ascii="Arial" w:hAnsi="Arial" w:hint="default"/>
      </w:rPr>
    </w:lvl>
    <w:lvl w:ilvl="8" w:tplc="72EE81A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8B"/>
    <w:rsid w:val="00032845"/>
    <w:rsid w:val="0003483D"/>
    <w:rsid w:val="000546FC"/>
    <w:rsid w:val="00061D40"/>
    <w:rsid w:val="0006210D"/>
    <w:rsid w:val="000678D1"/>
    <w:rsid w:val="0007187F"/>
    <w:rsid w:val="000830F3"/>
    <w:rsid w:val="00083770"/>
    <w:rsid w:val="000844A6"/>
    <w:rsid w:val="000906A8"/>
    <w:rsid w:val="000A1B5F"/>
    <w:rsid w:val="000A3516"/>
    <w:rsid w:val="000A6E8B"/>
    <w:rsid w:val="000B1FEB"/>
    <w:rsid w:val="000C4CFE"/>
    <w:rsid w:val="00110DA6"/>
    <w:rsid w:val="00121E11"/>
    <w:rsid w:val="001257D3"/>
    <w:rsid w:val="001273F7"/>
    <w:rsid w:val="00134134"/>
    <w:rsid w:val="00137580"/>
    <w:rsid w:val="00157D02"/>
    <w:rsid w:val="00173E6A"/>
    <w:rsid w:val="001839F0"/>
    <w:rsid w:val="00190ADE"/>
    <w:rsid w:val="00195AAD"/>
    <w:rsid w:val="00197053"/>
    <w:rsid w:val="001C17D9"/>
    <w:rsid w:val="001C6FDE"/>
    <w:rsid w:val="00203638"/>
    <w:rsid w:val="00203B50"/>
    <w:rsid w:val="002050BA"/>
    <w:rsid w:val="00207CEE"/>
    <w:rsid w:val="00223D30"/>
    <w:rsid w:val="002266FA"/>
    <w:rsid w:val="00232A74"/>
    <w:rsid w:val="0027098B"/>
    <w:rsid w:val="002956F0"/>
    <w:rsid w:val="002A0BC9"/>
    <w:rsid w:val="002B7348"/>
    <w:rsid w:val="002E0210"/>
    <w:rsid w:val="002E4C98"/>
    <w:rsid w:val="002F502A"/>
    <w:rsid w:val="003013D5"/>
    <w:rsid w:val="00315EE6"/>
    <w:rsid w:val="00320D26"/>
    <w:rsid w:val="00332ED5"/>
    <w:rsid w:val="003978D4"/>
    <w:rsid w:val="003A0B27"/>
    <w:rsid w:val="003B5AED"/>
    <w:rsid w:val="003C3BB1"/>
    <w:rsid w:val="003C5378"/>
    <w:rsid w:val="003C7BA7"/>
    <w:rsid w:val="003F511F"/>
    <w:rsid w:val="003F5CF5"/>
    <w:rsid w:val="00462FB0"/>
    <w:rsid w:val="00491283"/>
    <w:rsid w:val="004944D0"/>
    <w:rsid w:val="004A0A3E"/>
    <w:rsid w:val="004A79DE"/>
    <w:rsid w:val="004B4E93"/>
    <w:rsid w:val="004B5C6D"/>
    <w:rsid w:val="004C6EA8"/>
    <w:rsid w:val="004D2A08"/>
    <w:rsid w:val="004E52BF"/>
    <w:rsid w:val="005021CC"/>
    <w:rsid w:val="00505ECC"/>
    <w:rsid w:val="0050694B"/>
    <w:rsid w:val="005118EC"/>
    <w:rsid w:val="005119CD"/>
    <w:rsid w:val="00513165"/>
    <w:rsid w:val="00546824"/>
    <w:rsid w:val="00546CBB"/>
    <w:rsid w:val="00566F9A"/>
    <w:rsid w:val="00574620"/>
    <w:rsid w:val="00584301"/>
    <w:rsid w:val="0058646C"/>
    <w:rsid w:val="00587EC9"/>
    <w:rsid w:val="00594A35"/>
    <w:rsid w:val="005B20A3"/>
    <w:rsid w:val="005C4EE1"/>
    <w:rsid w:val="005C65F0"/>
    <w:rsid w:val="005F4243"/>
    <w:rsid w:val="005F71EC"/>
    <w:rsid w:val="00635640"/>
    <w:rsid w:val="00650209"/>
    <w:rsid w:val="0065380F"/>
    <w:rsid w:val="00662F33"/>
    <w:rsid w:val="00682820"/>
    <w:rsid w:val="006B7C34"/>
    <w:rsid w:val="006C0326"/>
    <w:rsid w:val="006C20A0"/>
    <w:rsid w:val="006D1EFF"/>
    <w:rsid w:val="00700ECA"/>
    <w:rsid w:val="007213BC"/>
    <w:rsid w:val="0075104F"/>
    <w:rsid w:val="007536B4"/>
    <w:rsid w:val="007804E2"/>
    <w:rsid w:val="00781570"/>
    <w:rsid w:val="007956D4"/>
    <w:rsid w:val="007A67F1"/>
    <w:rsid w:val="007D29C5"/>
    <w:rsid w:val="007D3AA9"/>
    <w:rsid w:val="007D5B36"/>
    <w:rsid w:val="00802C01"/>
    <w:rsid w:val="00805EFC"/>
    <w:rsid w:val="00807419"/>
    <w:rsid w:val="008308BD"/>
    <w:rsid w:val="0083445A"/>
    <w:rsid w:val="00842866"/>
    <w:rsid w:val="00860A2A"/>
    <w:rsid w:val="00876117"/>
    <w:rsid w:val="0087709E"/>
    <w:rsid w:val="00891632"/>
    <w:rsid w:val="008A3DC0"/>
    <w:rsid w:val="008B2F43"/>
    <w:rsid w:val="008C23A8"/>
    <w:rsid w:val="008C25DE"/>
    <w:rsid w:val="008D3BAF"/>
    <w:rsid w:val="008D496D"/>
    <w:rsid w:val="008D777F"/>
    <w:rsid w:val="008E237F"/>
    <w:rsid w:val="008E2E76"/>
    <w:rsid w:val="008F140E"/>
    <w:rsid w:val="008F3B5F"/>
    <w:rsid w:val="008F7C23"/>
    <w:rsid w:val="009273C4"/>
    <w:rsid w:val="009316C6"/>
    <w:rsid w:val="0094025E"/>
    <w:rsid w:val="009431B6"/>
    <w:rsid w:val="0095229B"/>
    <w:rsid w:val="009533F1"/>
    <w:rsid w:val="009662D2"/>
    <w:rsid w:val="00973C22"/>
    <w:rsid w:val="00981475"/>
    <w:rsid w:val="009A247D"/>
    <w:rsid w:val="009A6AAF"/>
    <w:rsid w:val="009C78FF"/>
    <w:rsid w:val="009D2ECD"/>
    <w:rsid w:val="009D484C"/>
    <w:rsid w:val="009E63A2"/>
    <w:rsid w:val="00A11D5B"/>
    <w:rsid w:val="00A37D27"/>
    <w:rsid w:val="00A464BD"/>
    <w:rsid w:val="00A61775"/>
    <w:rsid w:val="00A7059C"/>
    <w:rsid w:val="00A75EF3"/>
    <w:rsid w:val="00A76183"/>
    <w:rsid w:val="00A85B35"/>
    <w:rsid w:val="00A92E46"/>
    <w:rsid w:val="00A94FE4"/>
    <w:rsid w:val="00AA304F"/>
    <w:rsid w:val="00AB49C8"/>
    <w:rsid w:val="00AC0358"/>
    <w:rsid w:val="00AC5266"/>
    <w:rsid w:val="00AC6DE4"/>
    <w:rsid w:val="00AC78D4"/>
    <w:rsid w:val="00AE7B9C"/>
    <w:rsid w:val="00B000EE"/>
    <w:rsid w:val="00B10431"/>
    <w:rsid w:val="00B24B77"/>
    <w:rsid w:val="00B3402D"/>
    <w:rsid w:val="00B76524"/>
    <w:rsid w:val="00BB10DD"/>
    <w:rsid w:val="00BB154C"/>
    <w:rsid w:val="00BB67C8"/>
    <w:rsid w:val="00BD36EF"/>
    <w:rsid w:val="00C00B94"/>
    <w:rsid w:val="00C25DBB"/>
    <w:rsid w:val="00C329E0"/>
    <w:rsid w:val="00C331AF"/>
    <w:rsid w:val="00C52C65"/>
    <w:rsid w:val="00C556FD"/>
    <w:rsid w:val="00C5600D"/>
    <w:rsid w:val="00C64CFE"/>
    <w:rsid w:val="00C76871"/>
    <w:rsid w:val="00C77C49"/>
    <w:rsid w:val="00C950F6"/>
    <w:rsid w:val="00CA51A4"/>
    <w:rsid w:val="00CA7692"/>
    <w:rsid w:val="00CA7B78"/>
    <w:rsid w:val="00CB7702"/>
    <w:rsid w:val="00CC384B"/>
    <w:rsid w:val="00CF021F"/>
    <w:rsid w:val="00D03563"/>
    <w:rsid w:val="00D108CA"/>
    <w:rsid w:val="00D14616"/>
    <w:rsid w:val="00D1657A"/>
    <w:rsid w:val="00D47BB2"/>
    <w:rsid w:val="00D52509"/>
    <w:rsid w:val="00D6192A"/>
    <w:rsid w:val="00D62566"/>
    <w:rsid w:val="00D72BF8"/>
    <w:rsid w:val="00D801DC"/>
    <w:rsid w:val="00D835C0"/>
    <w:rsid w:val="00D837BA"/>
    <w:rsid w:val="00D85BD9"/>
    <w:rsid w:val="00D8619C"/>
    <w:rsid w:val="00D93D1D"/>
    <w:rsid w:val="00DA58F0"/>
    <w:rsid w:val="00DB3B5D"/>
    <w:rsid w:val="00DB6D61"/>
    <w:rsid w:val="00DD3C47"/>
    <w:rsid w:val="00DE7437"/>
    <w:rsid w:val="00E14D33"/>
    <w:rsid w:val="00E2340C"/>
    <w:rsid w:val="00E34461"/>
    <w:rsid w:val="00E44B62"/>
    <w:rsid w:val="00E525E2"/>
    <w:rsid w:val="00E74B5D"/>
    <w:rsid w:val="00E906B1"/>
    <w:rsid w:val="00EB62B0"/>
    <w:rsid w:val="00EB7F55"/>
    <w:rsid w:val="00EC1939"/>
    <w:rsid w:val="00EC5501"/>
    <w:rsid w:val="00ED33AE"/>
    <w:rsid w:val="00ED697D"/>
    <w:rsid w:val="00EE21C8"/>
    <w:rsid w:val="00EE33A8"/>
    <w:rsid w:val="00EE4333"/>
    <w:rsid w:val="00EF2C60"/>
    <w:rsid w:val="00F410B7"/>
    <w:rsid w:val="00F42EDA"/>
    <w:rsid w:val="00F43777"/>
    <w:rsid w:val="00F526F8"/>
    <w:rsid w:val="00F765A7"/>
    <w:rsid w:val="00FA7857"/>
    <w:rsid w:val="00FB3D6B"/>
    <w:rsid w:val="00FC2ADF"/>
    <w:rsid w:val="00FD55A7"/>
    <w:rsid w:val="00FE2971"/>
    <w:rsid w:val="00FF0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78802"/>
  <w15:chartTrackingRefBased/>
  <w15:docId w15:val="{2F13D9AE-D93D-4BAF-A23A-BE040348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210D"/>
    <w:rPr>
      <w:sz w:val="16"/>
      <w:szCs w:val="16"/>
    </w:rPr>
  </w:style>
  <w:style w:type="paragraph" w:styleId="CommentText">
    <w:name w:val="annotation text"/>
    <w:basedOn w:val="Normal"/>
    <w:link w:val="CommentTextChar"/>
    <w:uiPriority w:val="99"/>
    <w:semiHidden/>
    <w:unhideWhenUsed/>
    <w:rsid w:val="0006210D"/>
    <w:pPr>
      <w:spacing w:line="240" w:lineRule="auto"/>
    </w:pPr>
    <w:rPr>
      <w:sz w:val="20"/>
      <w:szCs w:val="20"/>
    </w:rPr>
  </w:style>
  <w:style w:type="character" w:customStyle="1" w:styleId="CommentTextChar">
    <w:name w:val="Comment Text Char"/>
    <w:basedOn w:val="DefaultParagraphFont"/>
    <w:link w:val="CommentText"/>
    <w:uiPriority w:val="99"/>
    <w:semiHidden/>
    <w:rsid w:val="0006210D"/>
    <w:rPr>
      <w:sz w:val="20"/>
      <w:szCs w:val="20"/>
    </w:rPr>
  </w:style>
  <w:style w:type="paragraph" w:styleId="CommentSubject">
    <w:name w:val="annotation subject"/>
    <w:basedOn w:val="CommentText"/>
    <w:next w:val="CommentText"/>
    <w:link w:val="CommentSubjectChar"/>
    <w:uiPriority w:val="99"/>
    <w:semiHidden/>
    <w:unhideWhenUsed/>
    <w:rsid w:val="0006210D"/>
    <w:rPr>
      <w:b/>
      <w:bCs/>
    </w:rPr>
  </w:style>
  <w:style w:type="character" w:customStyle="1" w:styleId="CommentSubjectChar">
    <w:name w:val="Comment Subject Char"/>
    <w:basedOn w:val="CommentTextChar"/>
    <w:link w:val="CommentSubject"/>
    <w:uiPriority w:val="99"/>
    <w:semiHidden/>
    <w:rsid w:val="0006210D"/>
    <w:rPr>
      <w:b/>
      <w:bCs/>
      <w:sz w:val="20"/>
      <w:szCs w:val="20"/>
    </w:rPr>
  </w:style>
  <w:style w:type="paragraph" w:styleId="BalloonText">
    <w:name w:val="Balloon Text"/>
    <w:basedOn w:val="Normal"/>
    <w:link w:val="BalloonTextChar"/>
    <w:uiPriority w:val="99"/>
    <w:semiHidden/>
    <w:unhideWhenUsed/>
    <w:rsid w:val="00062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10D"/>
    <w:rPr>
      <w:rFonts w:ascii="Segoe UI" w:hAnsi="Segoe UI" w:cs="Segoe UI"/>
      <w:sz w:val="18"/>
      <w:szCs w:val="18"/>
    </w:rPr>
  </w:style>
  <w:style w:type="character" w:customStyle="1" w:styleId="pubyear">
    <w:name w:val="pubyear"/>
    <w:basedOn w:val="DefaultParagraphFont"/>
    <w:rsid w:val="0006210D"/>
  </w:style>
  <w:style w:type="character" w:customStyle="1" w:styleId="articletitle">
    <w:name w:val="articletitle"/>
    <w:basedOn w:val="DefaultParagraphFont"/>
    <w:rsid w:val="0006210D"/>
  </w:style>
  <w:style w:type="character" w:customStyle="1" w:styleId="vol3">
    <w:name w:val="vol3"/>
    <w:basedOn w:val="DefaultParagraphFont"/>
    <w:rsid w:val="0006210D"/>
  </w:style>
  <w:style w:type="character" w:styleId="Hyperlink">
    <w:name w:val="Hyperlink"/>
    <w:basedOn w:val="DefaultParagraphFont"/>
    <w:uiPriority w:val="99"/>
    <w:unhideWhenUsed/>
    <w:rsid w:val="0006210D"/>
    <w:rPr>
      <w:color w:val="0000FF"/>
      <w:u w:val="single"/>
    </w:rPr>
  </w:style>
  <w:style w:type="character" w:styleId="FollowedHyperlink">
    <w:name w:val="FollowedHyperlink"/>
    <w:basedOn w:val="DefaultParagraphFont"/>
    <w:uiPriority w:val="99"/>
    <w:semiHidden/>
    <w:unhideWhenUsed/>
    <w:rsid w:val="00D93D1D"/>
    <w:rPr>
      <w:color w:val="954F72" w:themeColor="followedHyperlink"/>
      <w:u w:val="single"/>
    </w:rPr>
  </w:style>
  <w:style w:type="paragraph" w:styleId="ListParagraph">
    <w:name w:val="List Paragraph"/>
    <w:basedOn w:val="Normal"/>
    <w:uiPriority w:val="34"/>
    <w:qFormat/>
    <w:rsid w:val="00B000EE"/>
    <w:pPr>
      <w:ind w:left="720"/>
      <w:contextualSpacing/>
    </w:pPr>
  </w:style>
  <w:style w:type="paragraph" w:styleId="Header">
    <w:name w:val="header"/>
    <w:basedOn w:val="Normal"/>
    <w:link w:val="HeaderChar"/>
    <w:uiPriority w:val="99"/>
    <w:unhideWhenUsed/>
    <w:rsid w:val="00C00B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B94"/>
  </w:style>
  <w:style w:type="paragraph" w:styleId="Footer">
    <w:name w:val="footer"/>
    <w:basedOn w:val="Normal"/>
    <w:link w:val="FooterChar"/>
    <w:uiPriority w:val="99"/>
    <w:unhideWhenUsed/>
    <w:rsid w:val="00C00B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B94"/>
  </w:style>
  <w:style w:type="paragraph" w:styleId="BodyText">
    <w:name w:val="Body Text"/>
    <w:basedOn w:val="Normal"/>
    <w:link w:val="BodyTextChar"/>
    <w:unhideWhenUsed/>
    <w:rsid w:val="003F511F"/>
    <w:pPr>
      <w:spacing w:after="0" w:line="240" w:lineRule="auto"/>
      <w:ind w:right="-574"/>
      <w:jc w:val="both"/>
    </w:pPr>
    <w:rPr>
      <w:rFonts w:ascii="Arial" w:eastAsia="Times New Roman" w:hAnsi="Arial" w:cs="Times New Roman"/>
      <w:szCs w:val="20"/>
      <w:lang w:eastAsia="en-GB"/>
    </w:rPr>
  </w:style>
  <w:style w:type="character" w:customStyle="1" w:styleId="BodyTextChar">
    <w:name w:val="Body Text Char"/>
    <w:basedOn w:val="DefaultParagraphFont"/>
    <w:link w:val="BodyText"/>
    <w:rsid w:val="003F511F"/>
    <w:rPr>
      <w:rFonts w:ascii="Arial" w:eastAsia="Times New Roman" w:hAnsi="Arial" w:cs="Times New Roman"/>
      <w:szCs w:val="20"/>
      <w:lang w:eastAsia="en-GB"/>
    </w:rPr>
  </w:style>
  <w:style w:type="paragraph" w:styleId="FootnoteText">
    <w:name w:val="footnote text"/>
    <w:basedOn w:val="Normal"/>
    <w:link w:val="FootnoteTextChar"/>
    <w:uiPriority w:val="99"/>
    <w:semiHidden/>
    <w:unhideWhenUsed/>
    <w:rsid w:val="00CF02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021F"/>
    <w:rPr>
      <w:sz w:val="20"/>
      <w:szCs w:val="20"/>
    </w:rPr>
  </w:style>
  <w:style w:type="character" w:styleId="FootnoteReference">
    <w:name w:val="footnote reference"/>
    <w:basedOn w:val="DefaultParagraphFont"/>
    <w:uiPriority w:val="99"/>
    <w:semiHidden/>
    <w:unhideWhenUsed/>
    <w:rsid w:val="00CF021F"/>
    <w:rPr>
      <w:vertAlign w:val="superscript"/>
    </w:rPr>
  </w:style>
  <w:style w:type="character" w:styleId="LineNumber">
    <w:name w:val="line number"/>
    <w:basedOn w:val="DefaultParagraphFont"/>
    <w:uiPriority w:val="99"/>
    <w:semiHidden/>
    <w:unhideWhenUsed/>
    <w:rsid w:val="00CC384B"/>
  </w:style>
  <w:style w:type="character" w:styleId="Strong">
    <w:name w:val="Strong"/>
    <w:basedOn w:val="DefaultParagraphFont"/>
    <w:uiPriority w:val="22"/>
    <w:qFormat/>
    <w:rsid w:val="00CA7B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819">
      <w:bodyDiv w:val="1"/>
      <w:marLeft w:val="0"/>
      <w:marRight w:val="0"/>
      <w:marTop w:val="0"/>
      <w:marBottom w:val="0"/>
      <w:divBdr>
        <w:top w:val="none" w:sz="0" w:space="0" w:color="auto"/>
        <w:left w:val="none" w:sz="0" w:space="0" w:color="auto"/>
        <w:bottom w:val="none" w:sz="0" w:space="0" w:color="auto"/>
        <w:right w:val="none" w:sz="0" w:space="0" w:color="auto"/>
      </w:divBdr>
      <w:divsChild>
        <w:div w:id="1163933015">
          <w:marLeft w:val="0"/>
          <w:marRight w:val="0"/>
          <w:marTop w:val="0"/>
          <w:marBottom w:val="0"/>
          <w:divBdr>
            <w:top w:val="none" w:sz="0" w:space="0" w:color="auto"/>
            <w:left w:val="none" w:sz="0" w:space="0" w:color="auto"/>
            <w:bottom w:val="none" w:sz="0" w:space="0" w:color="auto"/>
            <w:right w:val="none" w:sz="0" w:space="0" w:color="auto"/>
          </w:divBdr>
        </w:div>
        <w:div w:id="1544906105">
          <w:marLeft w:val="0"/>
          <w:marRight w:val="0"/>
          <w:marTop w:val="0"/>
          <w:marBottom w:val="0"/>
          <w:divBdr>
            <w:top w:val="none" w:sz="0" w:space="0" w:color="auto"/>
            <w:left w:val="none" w:sz="0" w:space="0" w:color="auto"/>
            <w:bottom w:val="none" w:sz="0" w:space="0" w:color="auto"/>
            <w:right w:val="none" w:sz="0" w:space="0" w:color="auto"/>
          </w:divBdr>
        </w:div>
      </w:divsChild>
    </w:div>
    <w:div w:id="1272396303">
      <w:bodyDiv w:val="1"/>
      <w:marLeft w:val="0"/>
      <w:marRight w:val="0"/>
      <w:marTop w:val="0"/>
      <w:marBottom w:val="0"/>
      <w:divBdr>
        <w:top w:val="none" w:sz="0" w:space="0" w:color="auto"/>
        <w:left w:val="none" w:sz="0" w:space="0" w:color="auto"/>
        <w:bottom w:val="none" w:sz="0" w:space="0" w:color="auto"/>
        <w:right w:val="none" w:sz="0" w:space="0" w:color="auto"/>
      </w:divBdr>
      <w:divsChild>
        <w:div w:id="1304851236">
          <w:marLeft w:val="547"/>
          <w:marRight w:val="0"/>
          <w:marTop w:val="53"/>
          <w:marBottom w:val="0"/>
          <w:divBdr>
            <w:top w:val="none" w:sz="0" w:space="0" w:color="auto"/>
            <w:left w:val="none" w:sz="0" w:space="0" w:color="auto"/>
            <w:bottom w:val="none" w:sz="0" w:space="0" w:color="auto"/>
            <w:right w:val="none" w:sz="0" w:space="0" w:color="auto"/>
          </w:divBdr>
        </w:div>
      </w:divsChild>
    </w:div>
    <w:div w:id="1932664335">
      <w:bodyDiv w:val="1"/>
      <w:marLeft w:val="0"/>
      <w:marRight w:val="0"/>
      <w:marTop w:val="0"/>
      <w:marBottom w:val="0"/>
      <w:divBdr>
        <w:top w:val="none" w:sz="0" w:space="0" w:color="auto"/>
        <w:left w:val="none" w:sz="0" w:space="0" w:color="auto"/>
        <w:bottom w:val="none" w:sz="0" w:space="0" w:color="auto"/>
        <w:right w:val="none" w:sz="0" w:space="0" w:color="auto"/>
      </w:divBdr>
    </w:div>
    <w:div w:id="208984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sa.ac.uk/news/08-03-2018/non-continuation-summ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833ED-A8B4-45C2-B85E-D4A56A5B1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43CD52B5</Template>
  <TotalTime>0</TotalTime>
  <Pages>22</Pages>
  <Words>5035</Words>
  <Characters>28704</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33672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Annelie</dc:creator>
  <cp:keywords/>
  <dc:description/>
  <cp:lastModifiedBy>Harvey, Annelie</cp:lastModifiedBy>
  <cp:revision>2</cp:revision>
  <cp:lastPrinted>2018-10-12T14:30:00Z</cp:lastPrinted>
  <dcterms:created xsi:type="dcterms:W3CDTF">2019-02-25T10:14:00Z</dcterms:created>
  <dcterms:modified xsi:type="dcterms:W3CDTF">2019-02-25T10:14:00Z</dcterms:modified>
</cp:coreProperties>
</file>