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528CE" w14:textId="1A2E1511" w:rsidR="000C3D4B" w:rsidRDefault="0098291C" w:rsidP="005A71EB">
      <w:pPr>
        <w:spacing w:line="480" w:lineRule="auto"/>
        <w:rPr>
          <w:b/>
          <w:sz w:val="24"/>
          <w:szCs w:val="24"/>
        </w:rPr>
      </w:pPr>
      <w:r w:rsidRPr="0098291C">
        <w:rPr>
          <w:b/>
          <w:sz w:val="24"/>
          <w:szCs w:val="24"/>
        </w:rPr>
        <w:t>Changes in p</w:t>
      </w:r>
      <w:r w:rsidR="00977BD6" w:rsidRPr="0098291C">
        <w:rPr>
          <w:b/>
          <w:sz w:val="24"/>
          <w:szCs w:val="24"/>
        </w:rPr>
        <w:t xml:space="preserve">hysical activity </w:t>
      </w:r>
      <w:proofErr w:type="spellStart"/>
      <w:r w:rsidR="00656AF9">
        <w:rPr>
          <w:b/>
          <w:sz w:val="24"/>
          <w:szCs w:val="24"/>
        </w:rPr>
        <w:t>behavior</w:t>
      </w:r>
      <w:proofErr w:type="spellEnd"/>
      <w:r w:rsidR="00656AF9">
        <w:rPr>
          <w:b/>
          <w:sz w:val="24"/>
          <w:szCs w:val="24"/>
        </w:rPr>
        <w:t xml:space="preserve"> </w:t>
      </w:r>
      <w:r w:rsidR="00977BD6" w:rsidRPr="0098291C">
        <w:rPr>
          <w:b/>
          <w:sz w:val="24"/>
          <w:szCs w:val="24"/>
        </w:rPr>
        <w:t xml:space="preserve">and </w:t>
      </w:r>
      <w:r w:rsidR="00D11258" w:rsidRPr="0098291C">
        <w:rPr>
          <w:b/>
          <w:sz w:val="24"/>
          <w:szCs w:val="24"/>
        </w:rPr>
        <w:t xml:space="preserve">risk of </w:t>
      </w:r>
      <w:r>
        <w:rPr>
          <w:b/>
          <w:sz w:val="24"/>
          <w:szCs w:val="24"/>
        </w:rPr>
        <w:t>falls</w:t>
      </w:r>
      <w:r w:rsidR="00553E29">
        <w:rPr>
          <w:b/>
          <w:sz w:val="24"/>
          <w:szCs w:val="24"/>
        </w:rPr>
        <w:t xml:space="preserve"> over 8</w:t>
      </w:r>
      <w:r w:rsidR="00217777">
        <w:rPr>
          <w:b/>
          <w:sz w:val="24"/>
          <w:szCs w:val="24"/>
        </w:rPr>
        <w:t xml:space="preserve"> years follow-</w:t>
      </w:r>
      <w:r w:rsidR="004244FE">
        <w:rPr>
          <w:b/>
          <w:sz w:val="24"/>
          <w:szCs w:val="24"/>
        </w:rPr>
        <w:t>up</w:t>
      </w:r>
      <w:r w:rsidRPr="0098291C">
        <w:rPr>
          <w:b/>
          <w:sz w:val="24"/>
          <w:szCs w:val="24"/>
        </w:rPr>
        <w:t xml:space="preserve">: English Longitudinal Study of Ageing </w:t>
      </w:r>
    </w:p>
    <w:p w14:paraId="02DC486E" w14:textId="3D370C41" w:rsidR="00A22932" w:rsidRPr="00FE58B5" w:rsidRDefault="00A22932" w:rsidP="00623C9B">
      <w:pPr>
        <w:spacing w:line="480" w:lineRule="auto"/>
        <w:rPr>
          <w:b/>
          <w:sz w:val="24"/>
          <w:szCs w:val="24"/>
        </w:rPr>
      </w:pPr>
      <w:r w:rsidRPr="00FE58B5">
        <w:rPr>
          <w:b/>
          <w:sz w:val="24"/>
          <w:szCs w:val="24"/>
        </w:rPr>
        <w:t>Lee Smith</w:t>
      </w:r>
      <w:r w:rsidR="0085014C" w:rsidRPr="00FE58B5">
        <w:rPr>
          <w:b/>
          <w:sz w:val="24"/>
          <w:szCs w:val="24"/>
        </w:rPr>
        <w:t xml:space="preserve"> PhD</w:t>
      </w:r>
      <w:r w:rsidR="00623C9B" w:rsidRPr="00FE58B5">
        <w:rPr>
          <w:b/>
          <w:sz w:val="24"/>
          <w:szCs w:val="24"/>
        </w:rPr>
        <w:t>,</w:t>
      </w:r>
      <w:r w:rsidR="00623C9B" w:rsidRPr="00FE58B5">
        <w:rPr>
          <w:b/>
          <w:sz w:val="24"/>
          <w:szCs w:val="24"/>
          <w:vertAlign w:val="superscript"/>
        </w:rPr>
        <w:t>1</w:t>
      </w:r>
      <w:r w:rsidR="00623C9B" w:rsidRPr="00FE58B5">
        <w:rPr>
          <w:b/>
          <w:sz w:val="24"/>
          <w:szCs w:val="24"/>
        </w:rPr>
        <w:t xml:space="preserve"> </w:t>
      </w:r>
      <w:r w:rsidRPr="00FE58B5">
        <w:rPr>
          <w:b/>
          <w:sz w:val="24"/>
          <w:szCs w:val="24"/>
        </w:rPr>
        <w:t>Brendon Stubbs</w:t>
      </w:r>
      <w:r w:rsidR="0085014C" w:rsidRPr="00FE58B5">
        <w:rPr>
          <w:b/>
          <w:sz w:val="24"/>
          <w:szCs w:val="24"/>
        </w:rPr>
        <w:t xml:space="preserve"> PhD</w:t>
      </w:r>
      <w:r w:rsidR="00623C9B" w:rsidRPr="00FE58B5">
        <w:rPr>
          <w:b/>
          <w:sz w:val="24"/>
          <w:szCs w:val="24"/>
        </w:rPr>
        <w:t>,</w:t>
      </w:r>
      <w:r w:rsidR="00623C9B" w:rsidRPr="00FE58B5">
        <w:rPr>
          <w:b/>
          <w:sz w:val="24"/>
          <w:szCs w:val="24"/>
          <w:vertAlign w:val="superscript"/>
        </w:rPr>
        <w:t>1,2,3</w:t>
      </w:r>
      <w:r w:rsidRPr="00FE58B5">
        <w:rPr>
          <w:b/>
          <w:sz w:val="24"/>
          <w:szCs w:val="24"/>
        </w:rPr>
        <w:t xml:space="preserve"> </w:t>
      </w:r>
      <w:bookmarkStart w:id="0" w:name="_Hlk517777401"/>
      <w:r w:rsidR="00623C9B" w:rsidRPr="00FE58B5">
        <w:rPr>
          <w:b/>
          <w:sz w:val="24"/>
          <w:szCs w:val="24"/>
        </w:rPr>
        <w:t>Mark Hamer</w:t>
      </w:r>
      <w:r w:rsidR="0085014C" w:rsidRPr="00FE58B5">
        <w:rPr>
          <w:b/>
          <w:sz w:val="24"/>
          <w:szCs w:val="24"/>
        </w:rPr>
        <w:t xml:space="preserve"> PhD</w:t>
      </w:r>
      <w:r w:rsidR="00623C9B" w:rsidRPr="00FE58B5">
        <w:rPr>
          <w:b/>
          <w:sz w:val="24"/>
          <w:szCs w:val="24"/>
        </w:rPr>
        <w:t xml:space="preserve"> </w:t>
      </w:r>
      <w:r w:rsidR="00623C9B" w:rsidRPr="00FE58B5">
        <w:rPr>
          <w:b/>
          <w:sz w:val="24"/>
          <w:szCs w:val="24"/>
          <w:vertAlign w:val="superscript"/>
        </w:rPr>
        <w:t xml:space="preserve">4 </w:t>
      </w:r>
      <w:bookmarkEnd w:id="0"/>
    </w:p>
    <w:p w14:paraId="725DE2E0" w14:textId="28025D32" w:rsidR="0081032A" w:rsidRPr="00FE58B5" w:rsidRDefault="0081032A" w:rsidP="0081032A">
      <w:pPr>
        <w:spacing w:line="480" w:lineRule="auto"/>
        <w:jc w:val="both"/>
        <w:rPr>
          <w:rFonts w:cstheme="minorHAnsi"/>
          <w:sz w:val="24"/>
          <w:szCs w:val="24"/>
        </w:rPr>
      </w:pPr>
      <w:r w:rsidRPr="00FE58B5">
        <w:rPr>
          <w:rFonts w:cstheme="minorHAnsi"/>
          <w:sz w:val="24"/>
          <w:szCs w:val="24"/>
          <w:vertAlign w:val="superscript"/>
        </w:rPr>
        <w:t>1</w:t>
      </w:r>
      <w:r w:rsidRPr="00FE58B5">
        <w:rPr>
          <w:rFonts w:cstheme="minorHAnsi"/>
          <w:sz w:val="24"/>
          <w:szCs w:val="24"/>
        </w:rPr>
        <w:t xml:space="preserve">The Cambridge Centre for Sport and Exercise Sciences, Anglia Ruskin University, Cambridge; </w:t>
      </w:r>
      <w:r w:rsidR="00623C9B" w:rsidRPr="00FE58B5">
        <w:rPr>
          <w:rFonts w:cstheme="minorHAnsi"/>
          <w:sz w:val="24"/>
          <w:szCs w:val="24"/>
          <w:vertAlign w:val="superscript"/>
        </w:rPr>
        <w:t>2</w:t>
      </w:r>
      <w:r w:rsidR="00623C9B" w:rsidRPr="00FE58B5">
        <w:rPr>
          <w:rFonts w:cstheme="minorHAnsi"/>
          <w:sz w:val="24"/>
          <w:szCs w:val="24"/>
        </w:rPr>
        <w:t xml:space="preserve">Physiotherapy Department, South London and Maudsley NHS Foundation Trust, Denmark Hill, London, UK; </w:t>
      </w:r>
      <w:r w:rsidR="00623C9B" w:rsidRPr="00FE58B5">
        <w:rPr>
          <w:rFonts w:cstheme="minorHAnsi"/>
          <w:sz w:val="24"/>
          <w:szCs w:val="24"/>
          <w:vertAlign w:val="superscript"/>
        </w:rPr>
        <w:t>3</w:t>
      </w:r>
      <w:r w:rsidR="00623C9B" w:rsidRPr="00FE58B5">
        <w:rPr>
          <w:rFonts w:cstheme="minorHAnsi"/>
          <w:sz w:val="24"/>
          <w:szCs w:val="24"/>
        </w:rPr>
        <w:t xml:space="preserve">Health Service and Population Research Department, Institute of Psychiatry, Psychology and Neuroscience, King's College London, De </w:t>
      </w:r>
      <w:proofErr w:type="spellStart"/>
      <w:r w:rsidR="00623C9B" w:rsidRPr="00FE58B5">
        <w:rPr>
          <w:rFonts w:cstheme="minorHAnsi"/>
          <w:sz w:val="24"/>
          <w:szCs w:val="24"/>
        </w:rPr>
        <w:t>Crespigny</w:t>
      </w:r>
      <w:proofErr w:type="spellEnd"/>
      <w:r w:rsidR="00623C9B" w:rsidRPr="00FE58B5">
        <w:rPr>
          <w:rFonts w:cstheme="minorHAnsi"/>
          <w:sz w:val="24"/>
          <w:szCs w:val="24"/>
        </w:rPr>
        <w:t xml:space="preserve"> Park, London, UK</w:t>
      </w:r>
      <w:r w:rsidRPr="00FE58B5">
        <w:rPr>
          <w:rFonts w:cstheme="minorHAnsi"/>
          <w:sz w:val="24"/>
          <w:szCs w:val="24"/>
        </w:rPr>
        <w:t xml:space="preserve">; </w:t>
      </w:r>
      <w:r w:rsidR="00623C9B" w:rsidRPr="00FE58B5">
        <w:rPr>
          <w:rFonts w:cstheme="minorHAnsi"/>
          <w:sz w:val="24"/>
          <w:szCs w:val="24"/>
          <w:vertAlign w:val="superscript"/>
        </w:rPr>
        <w:t>4</w:t>
      </w:r>
      <w:r w:rsidRPr="00FE58B5">
        <w:rPr>
          <w:rFonts w:cstheme="minorHAnsi"/>
          <w:sz w:val="24"/>
          <w:szCs w:val="24"/>
        </w:rPr>
        <w:t>School Sport, Exercise Health Sciences, Loughborough University, Loughborough, UK</w:t>
      </w:r>
    </w:p>
    <w:p w14:paraId="2751F3E2" w14:textId="77777777" w:rsidR="0081032A" w:rsidRPr="00FE58B5" w:rsidRDefault="0081032A" w:rsidP="00B92FDE">
      <w:pPr>
        <w:spacing w:line="480" w:lineRule="auto"/>
        <w:rPr>
          <w:sz w:val="24"/>
          <w:szCs w:val="24"/>
        </w:rPr>
      </w:pPr>
    </w:p>
    <w:p w14:paraId="60748FDF" w14:textId="4E4DD770" w:rsidR="006D4569" w:rsidRPr="00FE58B5" w:rsidRDefault="00B92FDE" w:rsidP="00623C9B">
      <w:pPr>
        <w:spacing w:line="480" w:lineRule="auto"/>
        <w:rPr>
          <w:b/>
          <w:sz w:val="24"/>
          <w:szCs w:val="24"/>
        </w:rPr>
      </w:pPr>
      <w:r w:rsidRPr="00FE58B5">
        <w:rPr>
          <w:sz w:val="24"/>
          <w:szCs w:val="24"/>
        </w:rPr>
        <w:t xml:space="preserve">Correspondence: </w:t>
      </w:r>
      <w:r w:rsidR="00623C9B" w:rsidRPr="00FE58B5">
        <w:rPr>
          <w:sz w:val="24"/>
          <w:szCs w:val="24"/>
        </w:rPr>
        <w:t xml:space="preserve">Prof Mark Hamer, </w:t>
      </w:r>
      <w:r w:rsidRPr="00FE58B5">
        <w:rPr>
          <w:sz w:val="24"/>
          <w:szCs w:val="24"/>
        </w:rPr>
        <w:t>National Centre for Sport &amp; Exercise Medicine – East Midlands, Loughborough University, Loughborough LE11 3TU, United Kingdom. Phone: +44 (0) 1509 228473. Email: m.hamer@lboro.ac.uk</w:t>
      </w:r>
    </w:p>
    <w:p w14:paraId="7A397FE6" w14:textId="461A7D72" w:rsidR="00FC5220" w:rsidRPr="00FE58B5" w:rsidRDefault="00FC5220" w:rsidP="005A71EB">
      <w:pPr>
        <w:spacing w:line="480" w:lineRule="auto"/>
        <w:rPr>
          <w:sz w:val="24"/>
          <w:szCs w:val="24"/>
        </w:rPr>
      </w:pPr>
      <w:r w:rsidRPr="00FE58B5">
        <w:rPr>
          <w:sz w:val="24"/>
          <w:szCs w:val="24"/>
        </w:rPr>
        <w:t xml:space="preserve">Word count: </w:t>
      </w:r>
      <w:r w:rsidR="001910BB" w:rsidRPr="00FE58B5">
        <w:rPr>
          <w:sz w:val="24"/>
          <w:szCs w:val="24"/>
        </w:rPr>
        <w:t>609</w:t>
      </w:r>
    </w:p>
    <w:p w14:paraId="12AEA905" w14:textId="77777777" w:rsidR="00623C9B" w:rsidRPr="00FE58B5" w:rsidRDefault="00623C9B" w:rsidP="00623C9B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FE58B5">
        <w:rPr>
          <w:rFonts w:ascii="Calibri" w:hAnsi="Calibri" w:cs="Calibri"/>
          <w:sz w:val="24"/>
          <w:szCs w:val="24"/>
        </w:rPr>
        <w:t>Disclosures: The authors declare no conflicts of interest.</w:t>
      </w:r>
    </w:p>
    <w:p w14:paraId="5196E913" w14:textId="77777777" w:rsidR="00623C9B" w:rsidRPr="00FE58B5" w:rsidRDefault="00623C9B" w:rsidP="00623C9B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FE58B5">
        <w:rPr>
          <w:rFonts w:ascii="Calibri" w:hAnsi="Calibri" w:cs="Calibri"/>
          <w:sz w:val="24"/>
          <w:szCs w:val="24"/>
        </w:rPr>
        <w:t xml:space="preserve">Funding: Hamer is supported by NIHR Leicester BRC. </w:t>
      </w:r>
    </w:p>
    <w:p w14:paraId="257869F3" w14:textId="6F73BC53" w:rsidR="00623C9B" w:rsidRPr="00FE58B5" w:rsidRDefault="00623C9B" w:rsidP="00623C9B">
      <w:pPr>
        <w:jc w:val="both"/>
        <w:rPr>
          <w:rFonts w:ascii="Calibri" w:hAnsi="Calibri" w:cs="Calibri"/>
          <w:sz w:val="24"/>
          <w:szCs w:val="24"/>
        </w:rPr>
      </w:pPr>
      <w:r w:rsidRPr="00FE58B5">
        <w:rPr>
          <w:rFonts w:ascii="Calibri" w:hAnsi="Calibri" w:cs="Calibri"/>
          <w:sz w:val="24"/>
          <w:szCs w:val="24"/>
        </w:rPr>
        <w:t xml:space="preserve">Contributor and guarantor information: Hamer conceptualized and designed the study, performed statistical analyses, </w:t>
      </w:r>
      <w:r w:rsidR="00A46A17" w:rsidRPr="00FE58B5">
        <w:rPr>
          <w:rFonts w:ascii="Calibri" w:hAnsi="Calibri" w:cs="Calibri"/>
          <w:sz w:val="24"/>
          <w:szCs w:val="24"/>
        </w:rPr>
        <w:t>provided critical revision of the manuscript</w:t>
      </w:r>
      <w:r w:rsidRPr="00FE58B5">
        <w:rPr>
          <w:rFonts w:ascii="Calibri" w:hAnsi="Calibri" w:cs="Calibri"/>
          <w:sz w:val="24"/>
          <w:szCs w:val="24"/>
        </w:rPr>
        <w:t xml:space="preserve">, and approved the final manuscript as submitted. He is the manuscript's guarantor; Smith drafted the initial manuscript, and approved the final manuscript as submitted; Stubbs </w:t>
      </w:r>
      <w:bookmarkStart w:id="1" w:name="_Hlk517778568"/>
      <w:r w:rsidRPr="00FE58B5">
        <w:rPr>
          <w:rFonts w:ascii="Calibri" w:hAnsi="Calibri" w:cs="Calibri"/>
          <w:sz w:val="24"/>
          <w:szCs w:val="24"/>
        </w:rPr>
        <w:t>provided critical revision of the manuscript</w:t>
      </w:r>
      <w:bookmarkEnd w:id="1"/>
      <w:r w:rsidRPr="00FE58B5">
        <w:rPr>
          <w:rFonts w:ascii="Calibri" w:hAnsi="Calibri" w:cs="Calibri"/>
          <w:sz w:val="24"/>
          <w:szCs w:val="24"/>
        </w:rPr>
        <w:t xml:space="preserve"> and approved the final manuscript as submitted. We affirm that the manuscript is an honest, accurate, and transparent account of the study being reported; that no important aspects of the study have been omitted; and that any discrepancies from the study as planned (and, if relevant, registered) have been explained.</w:t>
      </w:r>
    </w:p>
    <w:p w14:paraId="4E8EBADE" w14:textId="605CACD1" w:rsidR="00FC5220" w:rsidRPr="00FE58B5" w:rsidRDefault="00AE336C" w:rsidP="005A71EB">
      <w:pPr>
        <w:spacing w:line="480" w:lineRule="auto"/>
        <w:rPr>
          <w:bCs/>
          <w:sz w:val="24"/>
          <w:szCs w:val="24"/>
        </w:rPr>
      </w:pPr>
      <w:r w:rsidRPr="00FE58B5">
        <w:rPr>
          <w:bCs/>
          <w:sz w:val="24"/>
          <w:szCs w:val="24"/>
        </w:rPr>
        <w:t xml:space="preserve">Data sharing: data are available at </w:t>
      </w:r>
      <w:hyperlink r:id="rId7" w:history="1">
        <w:r w:rsidRPr="00FE58B5">
          <w:rPr>
            <w:rStyle w:val="Hyperlink"/>
            <w:bCs/>
            <w:color w:val="auto"/>
            <w:sz w:val="24"/>
            <w:szCs w:val="24"/>
          </w:rPr>
          <w:t>http://www.data-archive.ac.uk/</w:t>
        </w:r>
      </w:hyperlink>
      <w:r w:rsidRPr="00FE58B5">
        <w:rPr>
          <w:bCs/>
          <w:sz w:val="24"/>
          <w:szCs w:val="24"/>
        </w:rPr>
        <w:t xml:space="preserve"> </w:t>
      </w:r>
    </w:p>
    <w:p w14:paraId="0B03B2C0" w14:textId="203D5B3F" w:rsidR="004474AE" w:rsidRPr="00FE58B5" w:rsidRDefault="000D072C" w:rsidP="000D072C">
      <w:pPr>
        <w:spacing w:line="480" w:lineRule="auto"/>
        <w:rPr>
          <w:b/>
          <w:sz w:val="24"/>
          <w:szCs w:val="24"/>
        </w:rPr>
      </w:pPr>
      <w:r w:rsidRPr="00FE58B5">
        <w:rPr>
          <w:b/>
          <w:sz w:val="24"/>
          <w:szCs w:val="24"/>
        </w:rPr>
        <w:lastRenderedPageBreak/>
        <w:t>To the Editor</w:t>
      </w:r>
    </w:p>
    <w:p w14:paraId="0C14992B" w14:textId="13467514" w:rsidR="00500FE4" w:rsidRPr="00FE58B5" w:rsidRDefault="00500FE4" w:rsidP="001C4E28">
      <w:pPr>
        <w:spacing w:line="48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FE58B5">
        <w:rPr>
          <w:rFonts w:ascii="Calibri" w:eastAsia="Calibri" w:hAnsi="Calibri" w:cs="Times New Roman"/>
          <w:bCs/>
          <w:sz w:val="24"/>
          <w:szCs w:val="24"/>
        </w:rPr>
        <w:t>Data suggests that population levels of physical activity (PA) are low</w:t>
      </w:r>
      <w:r w:rsidR="00D5460F" w:rsidRPr="00FE58B5">
        <w:rPr>
          <w:rFonts w:ascii="Calibri" w:eastAsia="Calibri" w:hAnsi="Calibri" w:cs="Times New Roman"/>
          <w:bCs/>
          <w:sz w:val="24"/>
          <w:szCs w:val="24"/>
        </w:rPr>
        <w:t>.</w:t>
      </w:r>
      <w:r w:rsidR="00D5460F" w:rsidRPr="00FE58B5">
        <w:rPr>
          <w:rFonts w:ascii="Calibri" w:eastAsia="Calibri" w:hAnsi="Calibri" w:cs="Times New Roman"/>
          <w:bCs/>
          <w:sz w:val="24"/>
          <w:szCs w:val="24"/>
          <w:vertAlign w:val="superscript"/>
        </w:rPr>
        <w:t xml:space="preserve">1 </w:t>
      </w:r>
      <w:r w:rsidR="00E23976" w:rsidRPr="00FE58B5">
        <w:rPr>
          <w:rFonts w:ascii="Calibri" w:eastAsia="Calibri" w:hAnsi="Calibri" w:cs="Times New Roman"/>
          <w:bCs/>
          <w:sz w:val="24"/>
          <w:szCs w:val="24"/>
        </w:rPr>
        <w:t>Hi</w:t>
      </w:r>
      <w:r w:rsidRPr="00FE58B5">
        <w:rPr>
          <w:rFonts w:ascii="Calibri" w:eastAsia="Calibri" w:hAnsi="Calibri" w:cs="Times New Roman"/>
          <w:bCs/>
          <w:sz w:val="24"/>
          <w:szCs w:val="24"/>
        </w:rPr>
        <w:t>gh levels of PA</w:t>
      </w:r>
      <w:r w:rsidR="00E23976" w:rsidRPr="00FE58B5">
        <w:rPr>
          <w:rFonts w:ascii="Calibri" w:eastAsia="Calibri" w:hAnsi="Calibri" w:cs="Times New Roman"/>
          <w:bCs/>
          <w:sz w:val="24"/>
          <w:szCs w:val="24"/>
        </w:rPr>
        <w:t xml:space="preserve"> across the</w:t>
      </w:r>
      <w:r w:rsidR="005B1169" w:rsidRPr="00FE58B5">
        <w:rPr>
          <w:rFonts w:ascii="Calibri" w:eastAsia="Calibri" w:hAnsi="Calibri" w:cs="Times New Roman"/>
          <w:bCs/>
          <w:sz w:val="24"/>
          <w:szCs w:val="24"/>
        </w:rPr>
        <w:t xml:space="preserve"> life span and in later life have</w:t>
      </w:r>
      <w:r w:rsidR="00E23976" w:rsidRPr="00FE58B5">
        <w:rPr>
          <w:rFonts w:ascii="Calibri" w:eastAsia="Calibri" w:hAnsi="Calibri" w:cs="Times New Roman"/>
          <w:bCs/>
          <w:sz w:val="24"/>
          <w:szCs w:val="24"/>
        </w:rPr>
        <w:t xml:space="preserve"> been shown to be associated with greater life expectancy.</w:t>
      </w:r>
      <w:r w:rsidR="00D5460F" w:rsidRPr="00FE58B5">
        <w:rPr>
          <w:rFonts w:ascii="Calibri" w:eastAsia="Calibri" w:hAnsi="Calibri" w:cs="Times New Roman"/>
          <w:bCs/>
          <w:sz w:val="24"/>
          <w:szCs w:val="24"/>
          <w:vertAlign w:val="superscript"/>
        </w:rPr>
        <w:t>2-</w:t>
      </w:r>
      <w:r w:rsidR="0084599D" w:rsidRPr="00FE58B5">
        <w:rPr>
          <w:rFonts w:ascii="Calibri" w:eastAsia="Calibri" w:hAnsi="Calibri" w:cs="Times New Roman"/>
          <w:bCs/>
          <w:sz w:val="24"/>
          <w:szCs w:val="24"/>
          <w:vertAlign w:val="superscript"/>
        </w:rPr>
        <w:t>4</w:t>
      </w:r>
      <w:r w:rsidR="00E23976" w:rsidRPr="00FE58B5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FE58B5">
        <w:rPr>
          <w:rFonts w:ascii="Calibri" w:eastAsia="Calibri" w:hAnsi="Calibri" w:cs="Times New Roman"/>
          <w:bCs/>
          <w:sz w:val="24"/>
          <w:szCs w:val="24"/>
        </w:rPr>
        <w:t xml:space="preserve">A contributing component to greater life expectancy in the physically active may be owing to a reduction in falls. </w:t>
      </w:r>
    </w:p>
    <w:p w14:paraId="1FECE2C3" w14:textId="0DBF242C" w:rsidR="000D072C" w:rsidRPr="00FE58B5" w:rsidRDefault="00500FE4" w:rsidP="001C4E28">
      <w:pPr>
        <w:spacing w:line="480" w:lineRule="auto"/>
        <w:jc w:val="both"/>
        <w:rPr>
          <w:sz w:val="24"/>
          <w:szCs w:val="24"/>
        </w:rPr>
      </w:pPr>
      <w:r w:rsidRPr="00FE58B5">
        <w:rPr>
          <w:rFonts w:ascii="Calibri" w:eastAsia="Calibri" w:hAnsi="Calibri" w:cs="Times New Roman"/>
          <w:bCs/>
          <w:sz w:val="24"/>
          <w:szCs w:val="24"/>
        </w:rPr>
        <w:t>Falls are the major cause of injury-related fatalities in the elderly population.</w:t>
      </w:r>
      <w:r w:rsidR="0058571F" w:rsidRPr="00FE58B5">
        <w:rPr>
          <w:rFonts w:ascii="Calibri" w:eastAsia="Calibri" w:hAnsi="Calibri" w:cs="Times New Roman"/>
          <w:bCs/>
          <w:sz w:val="24"/>
          <w:szCs w:val="24"/>
          <w:vertAlign w:val="superscript"/>
        </w:rPr>
        <w:t>5</w:t>
      </w:r>
      <w:r w:rsidRPr="00FE58B5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562446" w:rsidRPr="00FE58B5">
        <w:rPr>
          <w:rFonts w:ascii="Calibri" w:eastAsia="Calibri" w:hAnsi="Calibri" w:cs="Times New Roman"/>
          <w:bCs/>
          <w:sz w:val="24"/>
          <w:szCs w:val="24"/>
        </w:rPr>
        <w:t>S</w:t>
      </w:r>
      <w:r w:rsidR="00941096" w:rsidRPr="00FE58B5">
        <w:rPr>
          <w:sz w:val="24"/>
          <w:szCs w:val="24"/>
        </w:rPr>
        <w:t xml:space="preserve">tructured strength and balance training programmes </w:t>
      </w:r>
      <w:r w:rsidR="00123638" w:rsidRPr="00FE58B5">
        <w:rPr>
          <w:sz w:val="24"/>
          <w:szCs w:val="24"/>
        </w:rPr>
        <w:t>have been widely used in the</w:t>
      </w:r>
      <w:r w:rsidR="001B639F" w:rsidRPr="00FE58B5">
        <w:rPr>
          <w:sz w:val="24"/>
          <w:szCs w:val="24"/>
        </w:rPr>
        <w:t xml:space="preserve"> falls</w:t>
      </w:r>
      <w:r w:rsidR="00123638" w:rsidRPr="00FE58B5">
        <w:rPr>
          <w:sz w:val="24"/>
          <w:szCs w:val="24"/>
        </w:rPr>
        <w:t xml:space="preserve"> prevention field</w:t>
      </w:r>
      <w:r w:rsidR="00233A73" w:rsidRPr="00FE58B5">
        <w:rPr>
          <w:sz w:val="24"/>
          <w:szCs w:val="24"/>
        </w:rPr>
        <w:t>,</w:t>
      </w:r>
      <w:r w:rsidR="00B14D71" w:rsidRPr="00FE58B5">
        <w:rPr>
          <w:sz w:val="24"/>
          <w:szCs w:val="24"/>
          <w:vertAlign w:val="superscript"/>
        </w:rPr>
        <w:t>6</w:t>
      </w:r>
      <w:r w:rsidR="00233A73" w:rsidRPr="00FE58B5">
        <w:rPr>
          <w:sz w:val="24"/>
          <w:szCs w:val="24"/>
        </w:rPr>
        <w:t xml:space="preserve"> </w:t>
      </w:r>
      <w:r w:rsidR="00562446" w:rsidRPr="00FE58B5">
        <w:rPr>
          <w:sz w:val="24"/>
          <w:szCs w:val="24"/>
        </w:rPr>
        <w:t xml:space="preserve">although </w:t>
      </w:r>
      <w:r w:rsidR="001B639F" w:rsidRPr="00FE58B5">
        <w:rPr>
          <w:sz w:val="24"/>
          <w:szCs w:val="24"/>
        </w:rPr>
        <w:t>t</w:t>
      </w:r>
      <w:r w:rsidR="00CD4486" w:rsidRPr="00FE58B5">
        <w:rPr>
          <w:sz w:val="24"/>
          <w:szCs w:val="24"/>
        </w:rPr>
        <w:t xml:space="preserve">he role of free-living </w:t>
      </w:r>
      <w:r w:rsidR="00EC6EF0" w:rsidRPr="00FE58B5">
        <w:rPr>
          <w:sz w:val="24"/>
          <w:szCs w:val="24"/>
        </w:rPr>
        <w:t>PA</w:t>
      </w:r>
      <w:r w:rsidR="001C4E28" w:rsidRPr="00FE58B5">
        <w:rPr>
          <w:sz w:val="24"/>
          <w:szCs w:val="24"/>
        </w:rPr>
        <w:t xml:space="preserve"> </w:t>
      </w:r>
      <w:r w:rsidR="009142BB" w:rsidRPr="00FE58B5">
        <w:rPr>
          <w:sz w:val="24"/>
          <w:szCs w:val="24"/>
        </w:rPr>
        <w:t xml:space="preserve">has </w:t>
      </w:r>
      <w:r w:rsidR="00123638" w:rsidRPr="00FE58B5">
        <w:rPr>
          <w:sz w:val="24"/>
          <w:szCs w:val="24"/>
        </w:rPr>
        <w:t>had limited attention</w:t>
      </w:r>
      <w:r w:rsidR="00CD4486" w:rsidRPr="00FE58B5">
        <w:rPr>
          <w:sz w:val="24"/>
          <w:szCs w:val="24"/>
        </w:rPr>
        <w:t>.</w:t>
      </w:r>
      <w:r w:rsidR="00B14D71" w:rsidRPr="00FE58B5">
        <w:rPr>
          <w:sz w:val="24"/>
          <w:szCs w:val="24"/>
          <w:vertAlign w:val="superscript"/>
        </w:rPr>
        <w:t>7,8</w:t>
      </w:r>
      <w:r w:rsidR="00CD4486" w:rsidRPr="00FE58B5">
        <w:rPr>
          <w:sz w:val="24"/>
          <w:szCs w:val="24"/>
        </w:rPr>
        <w:t xml:space="preserve"> </w:t>
      </w:r>
      <w:r w:rsidR="00584EF7" w:rsidRPr="00FE58B5">
        <w:rPr>
          <w:sz w:val="24"/>
          <w:szCs w:val="24"/>
        </w:rPr>
        <w:t>Exercise t</w:t>
      </w:r>
      <w:r w:rsidR="00123638" w:rsidRPr="00FE58B5">
        <w:rPr>
          <w:sz w:val="24"/>
          <w:szCs w:val="24"/>
        </w:rPr>
        <w:t xml:space="preserve">raining studies are often limited by </w:t>
      </w:r>
      <w:r w:rsidR="00713636" w:rsidRPr="00FE58B5">
        <w:rPr>
          <w:sz w:val="24"/>
          <w:szCs w:val="24"/>
        </w:rPr>
        <w:t>short-term</w:t>
      </w:r>
      <w:r w:rsidR="00123638" w:rsidRPr="00FE58B5">
        <w:rPr>
          <w:sz w:val="24"/>
          <w:szCs w:val="24"/>
        </w:rPr>
        <w:t xml:space="preserve"> follow up (e.g., 6 – 18 months), thus we know little about the effects of </w:t>
      </w:r>
      <w:r w:rsidR="00713636" w:rsidRPr="00FE58B5">
        <w:rPr>
          <w:sz w:val="24"/>
          <w:szCs w:val="24"/>
        </w:rPr>
        <w:t>long-term</w:t>
      </w:r>
      <w:r w:rsidR="00123638" w:rsidRPr="00FE58B5">
        <w:rPr>
          <w:sz w:val="24"/>
          <w:szCs w:val="24"/>
        </w:rPr>
        <w:t xml:space="preserve"> </w:t>
      </w:r>
      <w:r w:rsidR="00412268" w:rsidRPr="00FE58B5">
        <w:rPr>
          <w:sz w:val="24"/>
          <w:szCs w:val="24"/>
        </w:rPr>
        <w:t xml:space="preserve">free-living </w:t>
      </w:r>
      <w:r w:rsidR="001C4E28" w:rsidRPr="00FE58B5">
        <w:rPr>
          <w:sz w:val="24"/>
          <w:szCs w:val="24"/>
        </w:rPr>
        <w:t>PA</w:t>
      </w:r>
      <w:r w:rsidR="00123638" w:rsidRPr="00FE58B5">
        <w:rPr>
          <w:sz w:val="24"/>
          <w:szCs w:val="24"/>
        </w:rPr>
        <w:t xml:space="preserve"> adherence on risk of falls. </w:t>
      </w:r>
      <w:r w:rsidR="0051259E" w:rsidRPr="00FE58B5">
        <w:rPr>
          <w:sz w:val="24"/>
          <w:szCs w:val="24"/>
        </w:rPr>
        <w:t>T</w:t>
      </w:r>
      <w:r w:rsidR="00941096" w:rsidRPr="00FE58B5">
        <w:rPr>
          <w:sz w:val="24"/>
          <w:szCs w:val="24"/>
        </w:rPr>
        <w:t xml:space="preserve">here are presently no data examining associations between </w:t>
      </w:r>
      <w:r w:rsidR="009142BB" w:rsidRPr="00FE58B5">
        <w:rPr>
          <w:sz w:val="24"/>
          <w:szCs w:val="24"/>
        </w:rPr>
        <w:t xml:space="preserve">long-term </w:t>
      </w:r>
      <w:r w:rsidR="00941096" w:rsidRPr="00FE58B5">
        <w:rPr>
          <w:sz w:val="24"/>
          <w:szCs w:val="24"/>
        </w:rPr>
        <w:t xml:space="preserve">changes in </w:t>
      </w:r>
      <w:r w:rsidR="00584EF7" w:rsidRPr="00FE58B5">
        <w:rPr>
          <w:sz w:val="24"/>
          <w:szCs w:val="24"/>
        </w:rPr>
        <w:t xml:space="preserve">free-living </w:t>
      </w:r>
      <w:r w:rsidR="001C4E28" w:rsidRPr="00FE58B5">
        <w:rPr>
          <w:sz w:val="24"/>
          <w:szCs w:val="24"/>
        </w:rPr>
        <w:t>PA</w:t>
      </w:r>
      <w:r w:rsidR="00941096" w:rsidRPr="00FE58B5">
        <w:rPr>
          <w:sz w:val="24"/>
          <w:szCs w:val="24"/>
        </w:rPr>
        <w:t xml:space="preserve"> and risk of falls</w:t>
      </w:r>
      <w:r w:rsidR="00562446" w:rsidRPr="00FE58B5">
        <w:rPr>
          <w:sz w:val="24"/>
          <w:szCs w:val="24"/>
        </w:rPr>
        <w:t>, which was the aim of our study</w:t>
      </w:r>
      <w:r w:rsidR="00941096" w:rsidRPr="00FE58B5">
        <w:rPr>
          <w:sz w:val="24"/>
          <w:szCs w:val="24"/>
        </w:rPr>
        <w:t xml:space="preserve">. </w:t>
      </w:r>
    </w:p>
    <w:p w14:paraId="7CABB595" w14:textId="4E9875A6" w:rsidR="00233A73" w:rsidRPr="00FE58B5" w:rsidRDefault="00553E29" w:rsidP="00ED2CC0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FE58B5">
        <w:rPr>
          <w:rFonts w:ascii="Calibri" w:eastAsia="Times New Roman" w:hAnsi="Calibri" w:cs="Calibri"/>
          <w:sz w:val="24"/>
          <w:szCs w:val="24"/>
          <w:lang w:val="en-US"/>
        </w:rPr>
        <w:t>The English Longitudinal Study of Ageing (</w:t>
      </w:r>
      <w:r w:rsidR="0098291C" w:rsidRPr="00FE58B5">
        <w:rPr>
          <w:rFonts w:ascii="Calibri" w:eastAsia="Times New Roman" w:hAnsi="Calibri" w:cs="Calibri"/>
          <w:sz w:val="24"/>
          <w:szCs w:val="24"/>
          <w:lang w:val="en-US"/>
        </w:rPr>
        <w:t>ELSA</w:t>
      </w:r>
      <w:r w:rsidRPr="00FE58B5">
        <w:rPr>
          <w:rFonts w:ascii="Calibri" w:eastAsia="Times New Roman" w:hAnsi="Calibri" w:cs="Calibri"/>
          <w:sz w:val="24"/>
          <w:szCs w:val="24"/>
          <w:lang w:val="en-US"/>
        </w:rPr>
        <w:t>)</w:t>
      </w:r>
      <w:r w:rsidR="00B14D71" w:rsidRPr="00FE58B5">
        <w:rPr>
          <w:rFonts w:ascii="Calibri" w:eastAsia="Times New Roman" w:hAnsi="Calibri" w:cs="Calibri"/>
          <w:sz w:val="24"/>
          <w:szCs w:val="24"/>
          <w:vertAlign w:val="superscript"/>
          <w:lang w:val="en-US"/>
        </w:rPr>
        <w:t>9</w:t>
      </w:r>
      <w:r w:rsidR="0098291C" w:rsidRPr="00FE58B5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="00562446" w:rsidRPr="00FE58B5">
        <w:rPr>
          <w:rFonts w:ascii="Calibri" w:eastAsia="Times New Roman" w:hAnsi="Calibri" w:cs="Calibri"/>
          <w:sz w:val="24"/>
          <w:szCs w:val="24"/>
          <w:lang w:val="en-US"/>
        </w:rPr>
        <w:t>conducted</w:t>
      </w:r>
      <w:r w:rsidR="0098291C" w:rsidRPr="00FE58B5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="00562446" w:rsidRPr="00FE58B5">
        <w:rPr>
          <w:rFonts w:ascii="Calibri" w:eastAsia="Times New Roman" w:hAnsi="Calibri" w:cs="Calibri"/>
          <w:sz w:val="24"/>
          <w:szCs w:val="24"/>
          <w:lang w:val="en-US"/>
        </w:rPr>
        <w:t>i</w:t>
      </w:r>
      <w:r w:rsidR="0098291C" w:rsidRPr="00FE58B5">
        <w:rPr>
          <w:rFonts w:ascii="Calibri" w:eastAsia="Times New Roman" w:hAnsi="Calibri" w:cs="Calibri"/>
          <w:sz w:val="24"/>
          <w:szCs w:val="24"/>
          <w:lang w:val="en-US"/>
        </w:rPr>
        <w:t xml:space="preserve">nterviews at baseline (wave 1; 2002-03) </w:t>
      </w:r>
      <w:r w:rsidR="00562446" w:rsidRPr="00FE58B5">
        <w:rPr>
          <w:rFonts w:ascii="Calibri" w:eastAsia="Times New Roman" w:hAnsi="Calibri" w:cs="Calibri"/>
          <w:sz w:val="24"/>
          <w:szCs w:val="24"/>
          <w:lang w:val="en-US"/>
        </w:rPr>
        <w:t>in</w:t>
      </w:r>
      <w:r w:rsidR="0098291C" w:rsidRPr="00FE58B5">
        <w:rPr>
          <w:rFonts w:ascii="Calibri" w:eastAsia="Times New Roman" w:hAnsi="Calibri" w:cs="Calibri"/>
          <w:sz w:val="24"/>
          <w:szCs w:val="24"/>
          <w:lang w:val="en-US"/>
        </w:rPr>
        <w:t xml:space="preserve"> 11,391 individuals (5186 men, 6205 women); Participants were re-assessed ever</w:t>
      </w:r>
      <w:r w:rsidR="002744E6" w:rsidRPr="00FE58B5">
        <w:rPr>
          <w:rFonts w:ascii="Calibri" w:eastAsia="Times New Roman" w:hAnsi="Calibri" w:cs="Calibri"/>
          <w:sz w:val="24"/>
          <w:szCs w:val="24"/>
          <w:lang w:val="en-US"/>
        </w:rPr>
        <w:t>y 2 years thereafter</w:t>
      </w:r>
      <w:r w:rsidR="00562446" w:rsidRPr="00FE58B5">
        <w:rPr>
          <w:rFonts w:ascii="Calibri" w:eastAsia="Times New Roman" w:hAnsi="Calibri" w:cs="Calibri"/>
          <w:sz w:val="24"/>
          <w:szCs w:val="24"/>
          <w:lang w:val="en-US"/>
        </w:rPr>
        <w:t>.</w:t>
      </w:r>
      <w:r w:rsidR="002744E6" w:rsidRPr="00FE58B5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="0098291C" w:rsidRPr="00FE58B5">
        <w:rPr>
          <w:rFonts w:ascii="Calibri" w:eastAsia="Times New Roman" w:hAnsi="Calibri" w:cs="Calibri"/>
          <w:sz w:val="24"/>
          <w:szCs w:val="24"/>
          <w:lang w:val="en-US"/>
        </w:rPr>
        <w:t>Participants gave full informed written consent to participate in the study and ethical approval was obtained from the London Multi-</w:t>
      </w:r>
      <w:proofErr w:type="spellStart"/>
      <w:r w:rsidR="0098291C" w:rsidRPr="00FE58B5">
        <w:rPr>
          <w:rFonts w:ascii="Calibri" w:eastAsia="Times New Roman" w:hAnsi="Calibri" w:cs="Calibri"/>
          <w:sz w:val="24"/>
          <w:szCs w:val="24"/>
          <w:lang w:val="en-US"/>
        </w:rPr>
        <w:t>centre</w:t>
      </w:r>
      <w:proofErr w:type="spellEnd"/>
      <w:r w:rsidR="0098291C" w:rsidRPr="00FE58B5">
        <w:rPr>
          <w:rFonts w:ascii="Calibri" w:eastAsia="Times New Roman" w:hAnsi="Calibri" w:cs="Calibri"/>
          <w:sz w:val="24"/>
          <w:szCs w:val="24"/>
          <w:lang w:val="en-US"/>
        </w:rPr>
        <w:t xml:space="preserve"> Research Ethics Committee.</w:t>
      </w:r>
      <w:r w:rsidR="001C4E28" w:rsidRPr="00FE58B5">
        <w:rPr>
          <w:rFonts w:ascii="Calibri" w:eastAsia="Times New Roman" w:hAnsi="Calibri" w:cs="Calibri"/>
          <w:sz w:val="24"/>
          <w:szCs w:val="24"/>
          <w:lang w:val="en-US"/>
        </w:rPr>
        <w:t xml:space="preserve"> Self-reported PA</w:t>
      </w:r>
      <w:r w:rsidR="000D072C" w:rsidRPr="00FE58B5">
        <w:rPr>
          <w:rFonts w:ascii="Calibri" w:eastAsia="Times New Roman" w:hAnsi="Calibri" w:cs="Calibri"/>
          <w:sz w:val="24"/>
          <w:szCs w:val="24"/>
          <w:lang w:val="en-US"/>
        </w:rPr>
        <w:t>, previously validated,</w:t>
      </w:r>
      <w:r w:rsidR="00B14D71" w:rsidRPr="00FE58B5">
        <w:rPr>
          <w:rFonts w:ascii="Calibri" w:eastAsia="Times New Roman" w:hAnsi="Calibri" w:cs="Calibri"/>
          <w:sz w:val="24"/>
          <w:szCs w:val="24"/>
          <w:vertAlign w:val="superscript"/>
          <w:lang w:val="en-US"/>
        </w:rPr>
        <w:t>10</w:t>
      </w:r>
      <w:r w:rsidR="0098291C" w:rsidRPr="00FE58B5">
        <w:rPr>
          <w:rFonts w:ascii="Calibri" w:eastAsia="Times New Roman" w:hAnsi="Calibri" w:cs="Calibri"/>
          <w:sz w:val="24"/>
          <w:szCs w:val="24"/>
          <w:lang w:val="en-US"/>
        </w:rPr>
        <w:t xml:space="preserve"> included questions on the frequency of participation in vigorous, moderate, and light physical activities. </w:t>
      </w:r>
      <w:r w:rsidR="000D072C" w:rsidRPr="00FE58B5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bookmarkStart w:id="2" w:name="_Hlk528172175"/>
      <w:r w:rsidR="00972E43" w:rsidRPr="00FE58B5">
        <w:rPr>
          <w:rFonts w:ascii="Calibri" w:eastAsia="Times New Roman" w:hAnsi="Calibri" w:cs="Calibri"/>
          <w:sz w:val="24"/>
          <w:szCs w:val="24"/>
          <w:lang w:val="en-US"/>
        </w:rPr>
        <w:t xml:space="preserve">At </w:t>
      </w:r>
      <w:r w:rsidR="006C54D3" w:rsidRPr="00FE58B5">
        <w:rPr>
          <w:rFonts w:ascii="Calibri" w:eastAsia="Times New Roman" w:hAnsi="Calibri" w:cs="Calibri"/>
          <w:sz w:val="24"/>
          <w:szCs w:val="24"/>
          <w:lang w:val="en-US"/>
        </w:rPr>
        <w:t>follow-</w:t>
      </w:r>
      <w:r w:rsidR="00972E43" w:rsidRPr="00FE58B5">
        <w:rPr>
          <w:rFonts w:ascii="Calibri" w:eastAsia="Times New Roman" w:hAnsi="Calibri" w:cs="Calibri"/>
          <w:sz w:val="24"/>
          <w:szCs w:val="24"/>
          <w:lang w:val="en-US"/>
        </w:rPr>
        <w:t xml:space="preserve">up </w:t>
      </w:r>
      <w:r w:rsidR="000D072C" w:rsidRPr="00FE58B5">
        <w:rPr>
          <w:rFonts w:ascii="Calibri" w:eastAsia="Times New Roman" w:hAnsi="Calibri" w:cs="Calibri"/>
          <w:sz w:val="24"/>
          <w:szCs w:val="24"/>
          <w:lang w:val="en-US"/>
        </w:rPr>
        <w:t xml:space="preserve">(8 years later at wave 5; 2010-11) </w:t>
      </w:r>
      <w:r w:rsidR="00972E43" w:rsidRPr="00FE58B5">
        <w:rPr>
          <w:rFonts w:ascii="Calibri" w:eastAsia="Times New Roman" w:hAnsi="Calibri" w:cs="Calibri"/>
          <w:sz w:val="24"/>
          <w:szCs w:val="24"/>
          <w:lang w:val="en-US"/>
        </w:rPr>
        <w:t>participants were asked “if they had fallen down</w:t>
      </w:r>
      <w:r w:rsidR="00331103" w:rsidRPr="00FE58B5">
        <w:rPr>
          <w:rFonts w:ascii="Calibri" w:eastAsia="Times New Roman" w:hAnsi="Calibri" w:cs="Calibri"/>
          <w:sz w:val="24"/>
          <w:szCs w:val="24"/>
          <w:lang w:val="en-US"/>
        </w:rPr>
        <w:t xml:space="preserve"> in the past 12 months</w:t>
      </w:r>
      <w:r w:rsidR="00972E43" w:rsidRPr="00FE58B5">
        <w:rPr>
          <w:rFonts w:ascii="Calibri" w:eastAsia="Times New Roman" w:hAnsi="Calibri" w:cs="Calibri"/>
          <w:sz w:val="24"/>
          <w:szCs w:val="24"/>
          <w:lang w:val="en-US"/>
        </w:rPr>
        <w:t>”, and if so “whether injured seriously enough (from the fall) to need medical treatment</w:t>
      </w:r>
      <w:r w:rsidR="00C800C2" w:rsidRPr="00FE58B5">
        <w:rPr>
          <w:rFonts w:ascii="Calibri" w:eastAsia="Times New Roman" w:hAnsi="Calibri" w:cs="Calibri"/>
          <w:sz w:val="24"/>
          <w:szCs w:val="24"/>
          <w:lang w:val="en-US"/>
        </w:rPr>
        <w:t>.</w:t>
      </w:r>
      <w:r w:rsidR="00972E43" w:rsidRPr="00FE58B5">
        <w:rPr>
          <w:rFonts w:ascii="Calibri" w:eastAsia="Times New Roman" w:hAnsi="Calibri" w:cs="Calibri"/>
          <w:sz w:val="24"/>
          <w:szCs w:val="24"/>
          <w:lang w:val="en-US"/>
        </w:rPr>
        <w:t>”</w:t>
      </w:r>
      <w:bookmarkEnd w:id="2"/>
      <w:r w:rsidR="00972E43" w:rsidRPr="00FE58B5">
        <w:rPr>
          <w:rFonts w:ascii="Calibri" w:eastAsia="Times New Roman" w:hAnsi="Calibri" w:cs="Calibri"/>
          <w:sz w:val="24"/>
          <w:szCs w:val="24"/>
          <w:lang w:val="en-US"/>
        </w:rPr>
        <w:t xml:space="preserve"> The outcome was </w:t>
      </w:r>
      <w:proofErr w:type="spellStart"/>
      <w:r w:rsidR="00972E43" w:rsidRPr="00FE58B5">
        <w:rPr>
          <w:rFonts w:ascii="Calibri" w:eastAsia="Times New Roman" w:hAnsi="Calibri" w:cs="Calibri"/>
          <w:sz w:val="24"/>
          <w:szCs w:val="24"/>
          <w:lang w:val="en-US"/>
        </w:rPr>
        <w:t>categorised</w:t>
      </w:r>
      <w:proofErr w:type="spellEnd"/>
      <w:r w:rsidR="00972E43" w:rsidRPr="00FE58B5">
        <w:rPr>
          <w:rFonts w:ascii="Calibri" w:eastAsia="Times New Roman" w:hAnsi="Calibri" w:cs="Calibri"/>
          <w:sz w:val="24"/>
          <w:szCs w:val="24"/>
          <w:lang w:val="en-US"/>
        </w:rPr>
        <w:t xml:space="preserve"> into three gro</w:t>
      </w:r>
      <w:r w:rsidR="002744E6" w:rsidRPr="00FE58B5">
        <w:rPr>
          <w:rFonts w:ascii="Calibri" w:eastAsia="Times New Roman" w:hAnsi="Calibri" w:cs="Calibri"/>
          <w:sz w:val="24"/>
          <w:szCs w:val="24"/>
          <w:lang w:val="en-US"/>
        </w:rPr>
        <w:t>ups, comprising “no fall”, “non-</w:t>
      </w:r>
      <w:r w:rsidR="00972E43" w:rsidRPr="00FE58B5">
        <w:rPr>
          <w:rFonts w:ascii="Calibri" w:eastAsia="Times New Roman" w:hAnsi="Calibri" w:cs="Calibri"/>
          <w:sz w:val="24"/>
          <w:szCs w:val="24"/>
          <w:lang w:val="en-US"/>
        </w:rPr>
        <w:t>serious fall”, “fall requiring medical treatment</w:t>
      </w:r>
      <w:r w:rsidR="009B530D" w:rsidRPr="00FE58B5">
        <w:rPr>
          <w:rFonts w:ascii="Calibri" w:eastAsia="Times New Roman" w:hAnsi="Calibri" w:cs="Calibri"/>
          <w:sz w:val="24"/>
          <w:szCs w:val="24"/>
          <w:lang w:val="en-US"/>
        </w:rPr>
        <w:t xml:space="preserve"> (injurious fall)</w:t>
      </w:r>
      <w:r w:rsidR="00972E43" w:rsidRPr="00FE58B5">
        <w:rPr>
          <w:rFonts w:ascii="Calibri" w:eastAsia="Times New Roman" w:hAnsi="Calibri" w:cs="Calibri"/>
          <w:sz w:val="24"/>
          <w:szCs w:val="24"/>
          <w:lang w:val="en-US"/>
        </w:rPr>
        <w:t>”.</w:t>
      </w:r>
      <w:r w:rsidR="00766B4A" w:rsidRPr="00FE58B5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="00C800C2" w:rsidRPr="00FE58B5">
        <w:rPr>
          <w:rFonts w:ascii="Calibri" w:eastAsia="Times New Roman" w:hAnsi="Calibri" w:cs="Calibri"/>
          <w:sz w:val="24"/>
          <w:szCs w:val="24"/>
          <w:lang w:val="en-US"/>
        </w:rPr>
        <w:t>Multinomial logistic regression was employed to examine the assoc</w:t>
      </w:r>
      <w:r w:rsidR="00EC6EF0" w:rsidRPr="00FE58B5">
        <w:rPr>
          <w:rFonts w:ascii="Calibri" w:eastAsia="Times New Roman" w:hAnsi="Calibri" w:cs="Calibri"/>
          <w:sz w:val="24"/>
          <w:szCs w:val="24"/>
          <w:lang w:val="en-US"/>
        </w:rPr>
        <w:t>iation between PA</w:t>
      </w:r>
      <w:r w:rsidR="00C800C2" w:rsidRPr="00FE58B5">
        <w:rPr>
          <w:rFonts w:ascii="Calibri" w:eastAsia="Times New Roman" w:hAnsi="Calibri" w:cs="Calibri"/>
          <w:sz w:val="24"/>
          <w:szCs w:val="24"/>
          <w:lang w:val="en-US"/>
        </w:rPr>
        <w:t xml:space="preserve"> and falls risk</w:t>
      </w:r>
      <w:r w:rsidR="001C4E28" w:rsidRPr="00FE58B5">
        <w:rPr>
          <w:rFonts w:ascii="Calibri" w:eastAsia="Times New Roman" w:hAnsi="Calibri" w:cs="Calibri"/>
          <w:sz w:val="24"/>
          <w:szCs w:val="24"/>
          <w:lang w:val="en-US"/>
        </w:rPr>
        <w:t xml:space="preserve"> at follow-</w:t>
      </w:r>
      <w:r w:rsidR="00C800C2" w:rsidRPr="00FE58B5">
        <w:rPr>
          <w:rFonts w:ascii="Calibri" w:eastAsia="Times New Roman" w:hAnsi="Calibri" w:cs="Calibri"/>
          <w:sz w:val="24"/>
          <w:szCs w:val="24"/>
          <w:lang w:val="en-US"/>
        </w:rPr>
        <w:t>up</w:t>
      </w:r>
      <w:r w:rsidR="0098291C" w:rsidRPr="00FE58B5">
        <w:rPr>
          <w:rFonts w:ascii="Calibri" w:eastAsia="Times New Roman" w:hAnsi="Calibri" w:cs="Calibri"/>
          <w:sz w:val="24"/>
          <w:szCs w:val="24"/>
          <w:lang w:val="en-US"/>
        </w:rPr>
        <w:t xml:space="preserve">. </w:t>
      </w:r>
      <w:r w:rsidR="00562446" w:rsidRPr="00FE58B5">
        <w:rPr>
          <w:rFonts w:ascii="Calibri" w:eastAsia="Times New Roman" w:hAnsi="Calibri" w:cs="Calibri"/>
          <w:sz w:val="24"/>
          <w:szCs w:val="24"/>
          <w:lang w:val="en-US"/>
        </w:rPr>
        <w:lastRenderedPageBreak/>
        <w:t xml:space="preserve">Covariates included </w:t>
      </w:r>
      <w:r w:rsidR="00BA5342" w:rsidRPr="00FE58B5">
        <w:rPr>
          <w:rFonts w:ascii="Calibri" w:eastAsia="Times New Roman" w:hAnsi="Calibri" w:cs="Calibri"/>
          <w:sz w:val="24"/>
          <w:szCs w:val="24"/>
          <w:lang w:val="en-US"/>
        </w:rPr>
        <w:t xml:space="preserve">age, sex, </w:t>
      </w:r>
      <w:r w:rsidR="00562446" w:rsidRPr="00FE58B5">
        <w:rPr>
          <w:rFonts w:ascii="Calibri" w:eastAsia="Times New Roman" w:hAnsi="Calibri" w:cs="Calibri"/>
          <w:sz w:val="24"/>
          <w:szCs w:val="24"/>
          <w:lang w:val="en-US"/>
        </w:rPr>
        <w:t xml:space="preserve">cigarette smoking, alcohol intake, body mass index, depressive symptoms, activity limiting illness, and wealth. </w:t>
      </w:r>
      <w:r w:rsidR="0098291C" w:rsidRPr="00FE58B5">
        <w:rPr>
          <w:rFonts w:ascii="Calibri" w:eastAsia="Times New Roman" w:hAnsi="Calibri" w:cs="Calibri"/>
          <w:sz w:val="24"/>
          <w:szCs w:val="24"/>
          <w:lang w:val="en-US"/>
        </w:rPr>
        <w:t>All analyses were conducted using SPSS version 2</w:t>
      </w:r>
      <w:r w:rsidR="00C800C2" w:rsidRPr="00FE58B5">
        <w:rPr>
          <w:rFonts w:ascii="Calibri" w:eastAsia="Times New Roman" w:hAnsi="Calibri" w:cs="Calibri"/>
          <w:sz w:val="24"/>
          <w:szCs w:val="24"/>
          <w:lang w:val="en-US"/>
        </w:rPr>
        <w:t>2</w:t>
      </w:r>
      <w:r w:rsidR="0098291C" w:rsidRPr="00FE58B5">
        <w:rPr>
          <w:rFonts w:ascii="Calibri" w:eastAsia="Times New Roman" w:hAnsi="Calibri" w:cs="Calibri"/>
          <w:sz w:val="24"/>
          <w:szCs w:val="24"/>
          <w:lang w:val="en-US"/>
        </w:rPr>
        <w:t>.</w:t>
      </w:r>
    </w:p>
    <w:p w14:paraId="298E6A55" w14:textId="77777777" w:rsidR="00380132" w:rsidRPr="00FE58B5" w:rsidRDefault="00380132" w:rsidP="00ED2CC0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2C56E01C" w14:textId="43EC23DB" w:rsidR="00104A7F" w:rsidRPr="00FE58B5" w:rsidRDefault="004316F9" w:rsidP="00562446">
      <w:pPr>
        <w:spacing w:line="480" w:lineRule="auto"/>
        <w:jc w:val="both"/>
        <w:rPr>
          <w:sz w:val="24"/>
          <w:szCs w:val="24"/>
        </w:rPr>
      </w:pPr>
      <w:r w:rsidRPr="00FE58B5">
        <w:rPr>
          <w:sz w:val="24"/>
          <w:szCs w:val="24"/>
        </w:rPr>
        <w:t xml:space="preserve">At baseline 9,720 participants had complete data although </w:t>
      </w:r>
      <w:r w:rsidR="004A29C2" w:rsidRPr="00FE58B5">
        <w:rPr>
          <w:sz w:val="24"/>
          <w:szCs w:val="24"/>
        </w:rPr>
        <w:t xml:space="preserve">loss </w:t>
      </w:r>
      <w:r w:rsidR="001877E2" w:rsidRPr="00FE58B5">
        <w:rPr>
          <w:sz w:val="24"/>
          <w:szCs w:val="24"/>
        </w:rPr>
        <w:t>to follow-</w:t>
      </w:r>
      <w:r w:rsidR="004A29C2" w:rsidRPr="00FE58B5">
        <w:rPr>
          <w:sz w:val="24"/>
          <w:szCs w:val="24"/>
        </w:rPr>
        <w:t>up</w:t>
      </w:r>
      <w:r w:rsidR="00312FA5" w:rsidRPr="00FE58B5">
        <w:rPr>
          <w:sz w:val="24"/>
          <w:szCs w:val="24"/>
        </w:rPr>
        <w:t xml:space="preserve"> (n=1,848 died; n=</w:t>
      </w:r>
      <w:r w:rsidR="00584EF7" w:rsidRPr="00FE58B5">
        <w:rPr>
          <w:sz w:val="24"/>
          <w:szCs w:val="24"/>
        </w:rPr>
        <w:t>3</w:t>
      </w:r>
      <w:r w:rsidR="00312FA5" w:rsidRPr="00FE58B5">
        <w:rPr>
          <w:sz w:val="24"/>
          <w:szCs w:val="24"/>
        </w:rPr>
        <w:t>,</w:t>
      </w:r>
      <w:r w:rsidR="00584EF7" w:rsidRPr="00FE58B5">
        <w:rPr>
          <w:sz w:val="24"/>
          <w:szCs w:val="24"/>
        </w:rPr>
        <w:t>186</w:t>
      </w:r>
      <w:r w:rsidR="00312FA5" w:rsidRPr="00FE58B5">
        <w:rPr>
          <w:sz w:val="24"/>
          <w:szCs w:val="24"/>
        </w:rPr>
        <w:t xml:space="preserve"> </w:t>
      </w:r>
      <w:r w:rsidR="00F82F6A" w:rsidRPr="00FE58B5">
        <w:rPr>
          <w:sz w:val="24"/>
          <w:szCs w:val="24"/>
        </w:rPr>
        <w:t>missing data at follow up</w:t>
      </w:r>
      <w:r w:rsidR="00312FA5" w:rsidRPr="00FE58B5">
        <w:rPr>
          <w:sz w:val="24"/>
          <w:szCs w:val="24"/>
        </w:rPr>
        <w:t>)</w:t>
      </w:r>
      <w:r w:rsidR="004A29C2" w:rsidRPr="00FE58B5">
        <w:rPr>
          <w:sz w:val="24"/>
          <w:szCs w:val="24"/>
        </w:rPr>
        <w:t xml:space="preserve"> resulted in a final analytic sample of n=</w:t>
      </w:r>
      <w:r w:rsidR="00562446" w:rsidRPr="00FE58B5">
        <w:rPr>
          <w:sz w:val="24"/>
          <w:szCs w:val="24"/>
        </w:rPr>
        <w:t>4</w:t>
      </w:r>
      <w:r w:rsidR="004A29C2" w:rsidRPr="00FE58B5">
        <w:rPr>
          <w:sz w:val="24"/>
          <w:szCs w:val="24"/>
        </w:rPr>
        <w:t>,</w:t>
      </w:r>
      <w:r w:rsidR="00562446" w:rsidRPr="00FE58B5">
        <w:rPr>
          <w:sz w:val="24"/>
          <w:szCs w:val="24"/>
        </w:rPr>
        <w:t>686</w:t>
      </w:r>
      <w:r w:rsidRPr="00FE58B5">
        <w:rPr>
          <w:sz w:val="24"/>
          <w:szCs w:val="24"/>
        </w:rPr>
        <w:t xml:space="preserve"> </w:t>
      </w:r>
      <w:r w:rsidR="004A29C2" w:rsidRPr="00FE58B5">
        <w:rPr>
          <w:sz w:val="24"/>
          <w:szCs w:val="24"/>
        </w:rPr>
        <w:t xml:space="preserve">(age 63.2± 8.3 </w:t>
      </w:r>
      <w:proofErr w:type="spellStart"/>
      <w:r w:rsidR="004A29C2" w:rsidRPr="00FE58B5">
        <w:rPr>
          <w:sz w:val="24"/>
          <w:szCs w:val="24"/>
        </w:rPr>
        <w:t>yrs</w:t>
      </w:r>
      <w:proofErr w:type="spellEnd"/>
      <w:r w:rsidR="005A71EB" w:rsidRPr="00FE58B5">
        <w:rPr>
          <w:sz w:val="24"/>
          <w:szCs w:val="24"/>
        </w:rPr>
        <w:t>; 44.1% men</w:t>
      </w:r>
      <w:r w:rsidR="001877E2" w:rsidRPr="00FE58B5">
        <w:rPr>
          <w:sz w:val="24"/>
          <w:szCs w:val="24"/>
        </w:rPr>
        <w:t xml:space="preserve">). </w:t>
      </w:r>
      <w:r w:rsidR="00562446" w:rsidRPr="00FE58B5">
        <w:rPr>
          <w:sz w:val="24"/>
          <w:szCs w:val="24"/>
        </w:rPr>
        <w:t xml:space="preserve"> </w:t>
      </w:r>
      <w:r w:rsidR="001877E2" w:rsidRPr="00FE58B5">
        <w:rPr>
          <w:sz w:val="24"/>
          <w:szCs w:val="24"/>
        </w:rPr>
        <w:t xml:space="preserve">At </w:t>
      </w:r>
      <w:r w:rsidR="00AA2E0E" w:rsidRPr="00FE58B5">
        <w:rPr>
          <w:sz w:val="24"/>
          <w:szCs w:val="24"/>
        </w:rPr>
        <w:t xml:space="preserve">8 </w:t>
      </w:r>
      <w:proofErr w:type="spellStart"/>
      <w:r w:rsidR="00AA2E0E" w:rsidRPr="00FE58B5">
        <w:rPr>
          <w:sz w:val="24"/>
          <w:szCs w:val="24"/>
        </w:rPr>
        <w:t>yr</w:t>
      </w:r>
      <w:proofErr w:type="spellEnd"/>
      <w:r w:rsidR="00AA2E0E" w:rsidRPr="00FE58B5">
        <w:rPr>
          <w:sz w:val="24"/>
          <w:szCs w:val="24"/>
        </w:rPr>
        <w:t xml:space="preserve"> </w:t>
      </w:r>
      <w:r w:rsidR="001877E2" w:rsidRPr="00FE58B5">
        <w:rPr>
          <w:sz w:val="24"/>
          <w:szCs w:val="24"/>
        </w:rPr>
        <w:t>follow-</w:t>
      </w:r>
      <w:r w:rsidR="000F63DA" w:rsidRPr="00FE58B5">
        <w:rPr>
          <w:sz w:val="24"/>
          <w:szCs w:val="24"/>
        </w:rPr>
        <w:t>up 8.2% of the sample reported a</w:t>
      </w:r>
      <w:r w:rsidR="00975F0F" w:rsidRPr="00FE58B5">
        <w:rPr>
          <w:sz w:val="24"/>
          <w:szCs w:val="24"/>
        </w:rPr>
        <w:t>n</w:t>
      </w:r>
      <w:r w:rsidR="000F63DA" w:rsidRPr="00FE58B5">
        <w:rPr>
          <w:sz w:val="24"/>
          <w:szCs w:val="24"/>
        </w:rPr>
        <w:t xml:space="preserve"> </w:t>
      </w:r>
      <w:r w:rsidR="009B530D" w:rsidRPr="00FE58B5">
        <w:rPr>
          <w:sz w:val="24"/>
          <w:szCs w:val="24"/>
        </w:rPr>
        <w:t>injurious</w:t>
      </w:r>
      <w:r w:rsidR="000F63DA" w:rsidRPr="00FE58B5">
        <w:rPr>
          <w:sz w:val="24"/>
          <w:szCs w:val="24"/>
        </w:rPr>
        <w:t xml:space="preserve"> fall that required medical treatment. </w:t>
      </w:r>
      <w:r w:rsidR="00380132" w:rsidRPr="00FE58B5">
        <w:rPr>
          <w:sz w:val="24"/>
          <w:szCs w:val="24"/>
        </w:rPr>
        <w:t>Participants reporting falls were older, less likely to be male, physically inactive, report activity limiting illnesses, obese, and less affluent (Table e1). In multivariate models there was no assoc</w:t>
      </w:r>
      <w:r w:rsidR="001C4E28" w:rsidRPr="00FE58B5">
        <w:rPr>
          <w:sz w:val="24"/>
          <w:szCs w:val="24"/>
        </w:rPr>
        <w:t>iation between PA</w:t>
      </w:r>
      <w:r w:rsidR="00380132" w:rsidRPr="00FE58B5">
        <w:rPr>
          <w:sz w:val="24"/>
          <w:szCs w:val="24"/>
        </w:rPr>
        <w:t xml:space="preserve"> and risk of a non-injurious fall (Table e2). </w:t>
      </w:r>
      <w:r w:rsidR="000F63DA" w:rsidRPr="00FE58B5">
        <w:rPr>
          <w:sz w:val="24"/>
          <w:szCs w:val="24"/>
        </w:rPr>
        <w:t>Participation in mo</w:t>
      </w:r>
      <w:r w:rsidR="00DD102D" w:rsidRPr="00FE58B5">
        <w:rPr>
          <w:sz w:val="24"/>
          <w:szCs w:val="24"/>
        </w:rPr>
        <w:t>d</w:t>
      </w:r>
      <w:r w:rsidR="001C4E28" w:rsidRPr="00FE58B5">
        <w:rPr>
          <w:sz w:val="24"/>
          <w:szCs w:val="24"/>
        </w:rPr>
        <w:t>erate PA</w:t>
      </w:r>
      <w:r w:rsidR="00562446" w:rsidRPr="00FE58B5">
        <w:rPr>
          <w:sz w:val="24"/>
          <w:szCs w:val="24"/>
        </w:rPr>
        <w:t xml:space="preserve"> at baseline</w:t>
      </w:r>
      <w:r w:rsidR="000F63DA" w:rsidRPr="00FE58B5">
        <w:rPr>
          <w:sz w:val="24"/>
          <w:szCs w:val="24"/>
        </w:rPr>
        <w:t xml:space="preserve"> was related to lower </w:t>
      </w:r>
      <w:r w:rsidR="00891B25" w:rsidRPr="00FE58B5">
        <w:rPr>
          <w:sz w:val="24"/>
          <w:szCs w:val="24"/>
        </w:rPr>
        <w:t>risk of an injurious</w:t>
      </w:r>
      <w:r w:rsidR="000F63DA" w:rsidRPr="00FE58B5">
        <w:rPr>
          <w:sz w:val="24"/>
          <w:szCs w:val="24"/>
        </w:rPr>
        <w:t xml:space="preserve"> f</w:t>
      </w:r>
      <w:r w:rsidR="00891B25" w:rsidRPr="00FE58B5">
        <w:rPr>
          <w:sz w:val="24"/>
          <w:szCs w:val="24"/>
        </w:rPr>
        <w:t>all</w:t>
      </w:r>
      <w:r w:rsidR="00DD102D" w:rsidRPr="00FE58B5">
        <w:rPr>
          <w:sz w:val="24"/>
          <w:szCs w:val="24"/>
        </w:rPr>
        <w:t xml:space="preserve"> in </w:t>
      </w:r>
      <w:r w:rsidR="001C4E28" w:rsidRPr="00FE58B5">
        <w:rPr>
          <w:sz w:val="24"/>
          <w:szCs w:val="24"/>
        </w:rPr>
        <w:t>comparison to vigorous PA</w:t>
      </w:r>
      <w:r w:rsidR="00380132" w:rsidRPr="00FE58B5">
        <w:rPr>
          <w:sz w:val="24"/>
          <w:szCs w:val="24"/>
        </w:rPr>
        <w:t xml:space="preserve"> (Table e2)</w:t>
      </w:r>
      <w:r w:rsidR="00562446" w:rsidRPr="00FE58B5">
        <w:rPr>
          <w:sz w:val="24"/>
          <w:szCs w:val="24"/>
        </w:rPr>
        <w:t>.</w:t>
      </w:r>
      <w:r w:rsidR="00AB3214" w:rsidRPr="00FE58B5">
        <w:rPr>
          <w:sz w:val="24"/>
          <w:szCs w:val="24"/>
        </w:rPr>
        <w:t xml:space="preserve"> </w:t>
      </w:r>
      <w:bookmarkStart w:id="3" w:name="_Hlk528232877"/>
      <w:r w:rsidR="001910BB" w:rsidRPr="00FE58B5">
        <w:rPr>
          <w:sz w:val="24"/>
          <w:szCs w:val="24"/>
        </w:rPr>
        <w:t xml:space="preserve">Over a 4-year follow-up period (from wave 1 to 3) </w:t>
      </w:r>
      <w:proofErr w:type="gramStart"/>
      <w:r w:rsidR="001910BB" w:rsidRPr="00FE58B5">
        <w:rPr>
          <w:sz w:val="24"/>
          <w:szCs w:val="24"/>
        </w:rPr>
        <w:t>the majority of</w:t>
      </w:r>
      <w:proofErr w:type="gramEnd"/>
      <w:r w:rsidR="001910BB" w:rsidRPr="00FE58B5">
        <w:rPr>
          <w:sz w:val="24"/>
          <w:szCs w:val="24"/>
        </w:rPr>
        <w:t xml:space="preserve"> participants had not changed their original activity status from the initial baseline examination (</w:t>
      </w:r>
      <w:r w:rsidR="00CF7AC8" w:rsidRPr="00FE58B5">
        <w:rPr>
          <w:sz w:val="24"/>
          <w:szCs w:val="24"/>
        </w:rPr>
        <w:t>Table e3 provides a comparison of baseline characteristics</w:t>
      </w:r>
      <w:r w:rsidR="001910BB" w:rsidRPr="00FE58B5">
        <w:rPr>
          <w:sz w:val="24"/>
          <w:szCs w:val="24"/>
        </w:rPr>
        <w:t>).</w:t>
      </w:r>
      <w:r w:rsidR="00CF7AC8" w:rsidRPr="00FE58B5">
        <w:rPr>
          <w:sz w:val="24"/>
          <w:szCs w:val="24"/>
        </w:rPr>
        <w:t xml:space="preserve"> </w:t>
      </w:r>
      <w:bookmarkEnd w:id="3"/>
      <w:r w:rsidR="00584EF7" w:rsidRPr="00FE58B5">
        <w:rPr>
          <w:sz w:val="24"/>
          <w:szCs w:val="24"/>
        </w:rPr>
        <w:t>I</w:t>
      </w:r>
      <w:r w:rsidR="00DD102D" w:rsidRPr="00FE58B5">
        <w:rPr>
          <w:sz w:val="24"/>
          <w:szCs w:val="24"/>
        </w:rPr>
        <w:t xml:space="preserve">n participants that were inactive at baseline but active at </w:t>
      </w:r>
      <w:proofErr w:type="gramStart"/>
      <w:r w:rsidR="00584EF7" w:rsidRPr="00FE58B5">
        <w:rPr>
          <w:sz w:val="24"/>
          <w:szCs w:val="24"/>
        </w:rPr>
        <w:t>4 year</w:t>
      </w:r>
      <w:proofErr w:type="gramEnd"/>
      <w:r w:rsidR="00584EF7" w:rsidRPr="00FE58B5">
        <w:rPr>
          <w:sz w:val="24"/>
          <w:szCs w:val="24"/>
        </w:rPr>
        <w:t xml:space="preserve"> </w:t>
      </w:r>
      <w:r w:rsidR="00EC6EF0" w:rsidRPr="00FE58B5">
        <w:rPr>
          <w:sz w:val="24"/>
          <w:szCs w:val="24"/>
        </w:rPr>
        <w:t>follow-</w:t>
      </w:r>
      <w:r w:rsidR="00DD102D" w:rsidRPr="00FE58B5">
        <w:rPr>
          <w:sz w:val="24"/>
          <w:szCs w:val="24"/>
        </w:rPr>
        <w:t xml:space="preserve">up </w:t>
      </w:r>
      <w:r w:rsidR="004244FE" w:rsidRPr="00FE58B5">
        <w:rPr>
          <w:sz w:val="24"/>
          <w:szCs w:val="24"/>
        </w:rPr>
        <w:t xml:space="preserve">(n=403) </w:t>
      </w:r>
      <w:r w:rsidR="00DD102D" w:rsidRPr="00FE58B5">
        <w:rPr>
          <w:sz w:val="24"/>
          <w:szCs w:val="24"/>
        </w:rPr>
        <w:t>there was no greater ris</w:t>
      </w:r>
      <w:r w:rsidR="001877E2" w:rsidRPr="00FE58B5">
        <w:rPr>
          <w:sz w:val="24"/>
          <w:szCs w:val="24"/>
        </w:rPr>
        <w:t xml:space="preserve">k of any type of fall at </w:t>
      </w:r>
      <w:r w:rsidR="00584EF7" w:rsidRPr="00FE58B5">
        <w:rPr>
          <w:sz w:val="24"/>
          <w:szCs w:val="24"/>
        </w:rPr>
        <w:t xml:space="preserve">8 year </w:t>
      </w:r>
      <w:r w:rsidR="001877E2" w:rsidRPr="00FE58B5">
        <w:rPr>
          <w:sz w:val="24"/>
          <w:szCs w:val="24"/>
        </w:rPr>
        <w:t>follow-</w:t>
      </w:r>
      <w:r w:rsidR="00562446" w:rsidRPr="00FE58B5">
        <w:rPr>
          <w:sz w:val="24"/>
          <w:szCs w:val="24"/>
        </w:rPr>
        <w:t>up (Table</w:t>
      </w:r>
      <w:r w:rsidR="00DD102D" w:rsidRPr="00FE58B5">
        <w:rPr>
          <w:sz w:val="24"/>
          <w:szCs w:val="24"/>
        </w:rPr>
        <w:t xml:space="preserve">). </w:t>
      </w:r>
      <w:bookmarkStart w:id="4" w:name="_Hlk528171840"/>
      <w:r w:rsidR="00380132" w:rsidRPr="00FE58B5">
        <w:rPr>
          <w:sz w:val="24"/>
          <w:szCs w:val="24"/>
        </w:rPr>
        <w:t>P</w:t>
      </w:r>
      <w:r w:rsidR="00DD102D" w:rsidRPr="00FE58B5">
        <w:rPr>
          <w:sz w:val="24"/>
          <w:szCs w:val="24"/>
        </w:rPr>
        <w:t>articipants that had remained physically inactive</w:t>
      </w:r>
      <w:r w:rsidR="005A71EB" w:rsidRPr="00FE58B5">
        <w:rPr>
          <w:sz w:val="24"/>
          <w:szCs w:val="24"/>
        </w:rPr>
        <w:t xml:space="preserve"> throughout</w:t>
      </w:r>
      <w:r w:rsidR="00DD102D" w:rsidRPr="00FE58B5">
        <w:rPr>
          <w:sz w:val="24"/>
          <w:szCs w:val="24"/>
        </w:rPr>
        <w:t xml:space="preserve"> </w:t>
      </w:r>
      <w:r w:rsidR="004244FE" w:rsidRPr="00FE58B5">
        <w:rPr>
          <w:sz w:val="24"/>
          <w:szCs w:val="24"/>
        </w:rPr>
        <w:t xml:space="preserve">(n=401) </w:t>
      </w:r>
      <w:r w:rsidR="00763F62" w:rsidRPr="00FE58B5">
        <w:rPr>
          <w:sz w:val="24"/>
          <w:szCs w:val="24"/>
        </w:rPr>
        <w:t>were at higher risk of an injurious</w:t>
      </w:r>
      <w:r w:rsidR="00DD102D" w:rsidRPr="00FE58B5">
        <w:rPr>
          <w:sz w:val="24"/>
          <w:szCs w:val="24"/>
        </w:rPr>
        <w:t xml:space="preserve"> fall (OR=1.49;</w:t>
      </w:r>
      <w:r w:rsidR="00331103" w:rsidRPr="00FE58B5">
        <w:rPr>
          <w:sz w:val="24"/>
          <w:szCs w:val="24"/>
        </w:rPr>
        <w:t xml:space="preserve"> 95% CI</w:t>
      </w:r>
      <w:r w:rsidR="00DD102D" w:rsidRPr="00FE58B5">
        <w:rPr>
          <w:sz w:val="24"/>
          <w:szCs w:val="24"/>
        </w:rPr>
        <w:t xml:space="preserve"> 1.04, 2.13) compared with participants that had remained active.</w:t>
      </w:r>
      <w:bookmarkEnd w:id="4"/>
    </w:p>
    <w:p w14:paraId="69A03776" w14:textId="773E299B" w:rsidR="004C1E85" w:rsidRPr="00FE58B5" w:rsidRDefault="006B5DC8" w:rsidP="00ED2CC0">
      <w:pPr>
        <w:spacing w:line="480" w:lineRule="auto"/>
        <w:jc w:val="both"/>
        <w:rPr>
          <w:sz w:val="24"/>
          <w:szCs w:val="24"/>
        </w:rPr>
      </w:pPr>
      <w:r w:rsidRPr="00FE58B5">
        <w:rPr>
          <w:sz w:val="24"/>
          <w:szCs w:val="24"/>
        </w:rPr>
        <w:t>Our data demonstrate</w:t>
      </w:r>
      <w:r w:rsidR="00261EDF" w:rsidRPr="00FE58B5">
        <w:rPr>
          <w:sz w:val="24"/>
          <w:szCs w:val="24"/>
        </w:rPr>
        <w:t xml:space="preserve"> </w:t>
      </w:r>
      <w:r w:rsidR="001C4E28" w:rsidRPr="00FE58B5">
        <w:rPr>
          <w:sz w:val="24"/>
          <w:szCs w:val="24"/>
        </w:rPr>
        <w:t>persistent PA</w:t>
      </w:r>
      <w:r w:rsidR="001071FA" w:rsidRPr="00FE58B5">
        <w:rPr>
          <w:sz w:val="24"/>
          <w:szCs w:val="24"/>
        </w:rPr>
        <w:t xml:space="preserve"> over 4 years was related to lower risk of falls compared to inactivity; </w:t>
      </w:r>
      <w:r w:rsidR="00941096" w:rsidRPr="00FE58B5">
        <w:rPr>
          <w:sz w:val="24"/>
          <w:szCs w:val="24"/>
        </w:rPr>
        <w:t xml:space="preserve">inactive </w:t>
      </w:r>
      <w:r w:rsidR="00012859" w:rsidRPr="00FE58B5">
        <w:rPr>
          <w:sz w:val="24"/>
          <w:szCs w:val="24"/>
        </w:rPr>
        <w:t xml:space="preserve">participants that became physically active were not at any greater risk of falls. </w:t>
      </w:r>
      <w:r w:rsidR="004C1E85" w:rsidRPr="00FE58B5">
        <w:rPr>
          <w:sz w:val="24"/>
          <w:szCs w:val="24"/>
        </w:rPr>
        <w:t>The strength of this study is the large representative sample of older adults</w:t>
      </w:r>
      <w:r w:rsidR="00B91B35" w:rsidRPr="00FE58B5">
        <w:rPr>
          <w:sz w:val="24"/>
          <w:szCs w:val="24"/>
        </w:rPr>
        <w:t>, repeat</w:t>
      </w:r>
      <w:r w:rsidR="001C4E28" w:rsidRPr="00FE58B5">
        <w:rPr>
          <w:sz w:val="24"/>
          <w:szCs w:val="24"/>
        </w:rPr>
        <w:t>ed measures of PA</w:t>
      </w:r>
      <w:r w:rsidR="00B91B35" w:rsidRPr="00FE58B5">
        <w:rPr>
          <w:sz w:val="24"/>
          <w:szCs w:val="24"/>
        </w:rPr>
        <w:t>,</w:t>
      </w:r>
      <w:r w:rsidR="00F3165E" w:rsidRPr="00FE58B5">
        <w:rPr>
          <w:sz w:val="24"/>
          <w:szCs w:val="24"/>
        </w:rPr>
        <w:t xml:space="preserve"> and the longitudinal study design. However, </w:t>
      </w:r>
      <w:r w:rsidR="0051259E" w:rsidRPr="00FE58B5">
        <w:rPr>
          <w:sz w:val="24"/>
          <w:szCs w:val="24"/>
        </w:rPr>
        <w:t>t</w:t>
      </w:r>
      <w:r w:rsidR="00C23D78" w:rsidRPr="00FE58B5">
        <w:rPr>
          <w:sz w:val="24"/>
          <w:szCs w:val="24"/>
        </w:rPr>
        <w:t>he falls ascertainment was collected by retrospective recall over the past 12 months</w:t>
      </w:r>
      <w:r w:rsidR="00CB0B1A" w:rsidRPr="00FE58B5">
        <w:rPr>
          <w:sz w:val="24"/>
          <w:szCs w:val="24"/>
        </w:rPr>
        <w:t xml:space="preserve"> that may have </w:t>
      </w:r>
      <w:r w:rsidR="00CB0B1A" w:rsidRPr="00FE58B5">
        <w:rPr>
          <w:sz w:val="24"/>
          <w:szCs w:val="24"/>
        </w:rPr>
        <w:lastRenderedPageBreak/>
        <w:t>introduced recall bias</w:t>
      </w:r>
      <w:r w:rsidR="00C23D78" w:rsidRPr="00FE58B5">
        <w:rPr>
          <w:sz w:val="24"/>
          <w:szCs w:val="24"/>
        </w:rPr>
        <w:t xml:space="preserve">. </w:t>
      </w:r>
      <w:r w:rsidRPr="00FE58B5">
        <w:rPr>
          <w:sz w:val="24"/>
          <w:szCs w:val="24"/>
        </w:rPr>
        <w:t>In conclusion, once inactive older adults’ balance and lower limb function has improved and falls risk reduced, incre</w:t>
      </w:r>
      <w:r w:rsidR="001C4E28" w:rsidRPr="00FE58B5">
        <w:rPr>
          <w:sz w:val="24"/>
          <w:szCs w:val="24"/>
        </w:rPr>
        <w:t>asing habitual PA</w:t>
      </w:r>
      <w:r w:rsidR="00331103" w:rsidRPr="00FE58B5">
        <w:rPr>
          <w:sz w:val="24"/>
          <w:szCs w:val="24"/>
        </w:rPr>
        <w:t xml:space="preserve"> </w:t>
      </w:r>
      <w:r w:rsidR="00FC7972" w:rsidRPr="00FE58B5">
        <w:rPr>
          <w:sz w:val="24"/>
          <w:szCs w:val="24"/>
        </w:rPr>
        <w:t>may reduce risk for</w:t>
      </w:r>
      <w:r w:rsidR="00331103" w:rsidRPr="00FE58B5">
        <w:rPr>
          <w:sz w:val="24"/>
          <w:szCs w:val="24"/>
        </w:rPr>
        <w:t xml:space="preserve"> subsequent falls</w:t>
      </w:r>
      <w:r w:rsidRPr="00FE58B5">
        <w:rPr>
          <w:sz w:val="24"/>
          <w:szCs w:val="24"/>
        </w:rPr>
        <w:t>.</w:t>
      </w:r>
    </w:p>
    <w:p w14:paraId="39C3ECED" w14:textId="77777777" w:rsidR="001910BB" w:rsidRPr="00FE58B5" w:rsidRDefault="001910BB" w:rsidP="00ED2CC0">
      <w:pPr>
        <w:spacing w:line="480" w:lineRule="auto"/>
        <w:jc w:val="both"/>
        <w:rPr>
          <w:sz w:val="24"/>
          <w:szCs w:val="24"/>
        </w:rPr>
      </w:pPr>
      <w:bookmarkStart w:id="5" w:name="_Hlk528174741"/>
    </w:p>
    <w:p w14:paraId="23FEA454" w14:textId="40D275E4" w:rsidR="00AA2E0E" w:rsidRPr="00FE58B5" w:rsidRDefault="00D5494E" w:rsidP="00ED2CC0">
      <w:pPr>
        <w:spacing w:line="480" w:lineRule="auto"/>
        <w:jc w:val="both"/>
        <w:rPr>
          <w:sz w:val="24"/>
          <w:szCs w:val="24"/>
        </w:rPr>
      </w:pPr>
      <w:r w:rsidRPr="00FE58B5">
        <w:rPr>
          <w:sz w:val="24"/>
          <w:szCs w:val="24"/>
        </w:rPr>
        <w:t>Dr Lee Smith, Anglia Ruskin University, Cambridge, UK</w:t>
      </w:r>
    </w:p>
    <w:p w14:paraId="650192A1" w14:textId="526C6DD4" w:rsidR="00D5494E" w:rsidRPr="00FE58B5" w:rsidRDefault="005C3C54" w:rsidP="00ED2CC0">
      <w:pPr>
        <w:spacing w:line="480" w:lineRule="auto"/>
        <w:jc w:val="both"/>
        <w:rPr>
          <w:sz w:val="24"/>
          <w:szCs w:val="24"/>
        </w:rPr>
      </w:pPr>
      <w:r w:rsidRPr="00FE58B5">
        <w:rPr>
          <w:sz w:val="24"/>
          <w:szCs w:val="24"/>
        </w:rPr>
        <w:t>Dr</w:t>
      </w:r>
      <w:r w:rsidR="00D5494E" w:rsidRPr="00FE58B5">
        <w:rPr>
          <w:sz w:val="24"/>
          <w:szCs w:val="24"/>
        </w:rPr>
        <w:t xml:space="preserve"> Brendon Stubbs, King’s College London, UK</w:t>
      </w:r>
    </w:p>
    <w:p w14:paraId="0951E390" w14:textId="2AC81262" w:rsidR="00D5494E" w:rsidRPr="00FE58B5" w:rsidRDefault="00D5494E" w:rsidP="00ED2CC0">
      <w:pPr>
        <w:spacing w:line="480" w:lineRule="auto"/>
        <w:jc w:val="both"/>
        <w:rPr>
          <w:sz w:val="24"/>
          <w:szCs w:val="24"/>
        </w:rPr>
      </w:pPr>
      <w:r w:rsidRPr="00FE58B5">
        <w:rPr>
          <w:sz w:val="24"/>
          <w:szCs w:val="24"/>
        </w:rPr>
        <w:t>Prof. Mark Hamer, Loughborough University, Loughborough, UK</w:t>
      </w:r>
    </w:p>
    <w:bookmarkEnd w:id="5"/>
    <w:p w14:paraId="5875F8B1" w14:textId="77777777" w:rsidR="00D5494E" w:rsidRPr="00FE58B5" w:rsidRDefault="00D5494E" w:rsidP="00ED2CC0">
      <w:pPr>
        <w:spacing w:line="480" w:lineRule="auto"/>
        <w:jc w:val="both"/>
        <w:rPr>
          <w:sz w:val="24"/>
          <w:szCs w:val="24"/>
        </w:rPr>
      </w:pPr>
    </w:p>
    <w:p w14:paraId="134D867E" w14:textId="202D5469" w:rsidR="00546B66" w:rsidRPr="00FE58B5" w:rsidRDefault="00546B66" w:rsidP="00ED2CC0">
      <w:pPr>
        <w:spacing w:line="480" w:lineRule="auto"/>
        <w:jc w:val="both"/>
        <w:rPr>
          <w:sz w:val="24"/>
          <w:szCs w:val="24"/>
        </w:rPr>
      </w:pPr>
    </w:p>
    <w:p w14:paraId="5528592E" w14:textId="77777777" w:rsidR="001910BB" w:rsidRPr="00FE58B5" w:rsidRDefault="001910BB" w:rsidP="00623C9B">
      <w:pPr>
        <w:spacing w:line="480" w:lineRule="auto"/>
        <w:jc w:val="both"/>
        <w:rPr>
          <w:b/>
          <w:sz w:val="24"/>
          <w:szCs w:val="24"/>
        </w:rPr>
      </w:pPr>
    </w:p>
    <w:p w14:paraId="07F224A3" w14:textId="77777777" w:rsidR="001910BB" w:rsidRPr="00FE58B5" w:rsidRDefault="001910BB" w:rsidP="00623C9B">
      <w:pPr>
        <w:spacing w:line="480" w:lineRule="auto"/>
        <w:jc w:val="both"/>
        <w:rPr>
          <w:b/>
          <w:sz w:val="24"/>
          <w:szCs w:val="24"/>
        </w:rPr>
      </w:pPr>
    </w:p>
    <w:p w14:paraId="6F743C68" w14:textId="77777777" w:rsidR="001910BB" w:rsidRPr="00FE58B5" w:rsidRDefault="001910BB" w:rsidP="00623C9B">
      <w:pPr>
        <w:spacing w:line="480" w:lineRule="auto"/>
        <w:jc w:val="both"/>
        <w:rPr>
          <w:b/>
          <w:sz w:val="24"/>
          <w:szCs w:val="24"/>
        </w:rPr>
      </w:pPr>
    </w:p>
    <w:p w14:paraId="593E4EA7" w14:textId="77777777" w:rsidR="001910BB" w:rsidRPr="00FE58B5" w:rsidRDefault="001910BB" w:rsidP="00623C9B">
      <w:pPr>
        <w:spacing w:line="480" w:lineRule="auto"/>
        <w:jc w:val="both"/>
        <w:rPr>
          <w:b/>
          <w:sz w:val="24"/>
          <w:szCs w:val="24"/>
        </w:rPr>
      </w:pPr>
    </w:p>
    <w:p w14:paraId="465C33A9" w14:textId="77777777" w:rsidR="001910BB" w:rsidRPr="00FE58B5" w:rsidRDefault="001910BB" w:rsidP="00623C9B">
      <w:pPr>
        <w:spacing w:line="480" w:lineRule="auto"/>
        <w:jc w:val="both"/>
        <w:rPr>
          <w:b/>
          <w:sz w:val="24"/>
          <w:szCs w:val="24"/>
        </w:rPr>
      </w:pPr>
    </w:p>
    <w:p w14:paraId="5A36AFD0" w14:textId="77777777" w:rsidR="001910BB" w:rsidRPr="00FE58B5" w:rsidRDefault="001910BB" w:rsidP="00623C9B">
      <w:pPr>
        <w:spacing w:line="480" w:lineRule="auto"/>
        <w:jc w:val="both"/>
        <w:rPr>
          <w:b/>
          <w:sz w:val="24"/>
          <w:szCs w:val="24"/>
        </w:rPr>
      </w:pPr>
    </w:p>
    <w:p w14:paraId="7F039B18" w14:textId="77777777" w:rsidR="001910BB" w:rsidRPr="00FE58B5" w:rsidRDefault="001910BB" w:rsidP="00623C9B">
      <w:pPr>
        <w:spacing w:line="480" w:lineRule="auto"/>
        <w:jc w:val="both"/>
        <w:rPr>
          <w:b/>
          <w:sz w:val="24"/>
          <w:szCs w:val="24"/>
        </w:rPr>
      </w:pPr>
    </w:p>
    <w:p w14:paraId="4861F46F" w14:textId="77777777" w:rsidR="001910BB" w:rsidRPr="00FE58B5" w:rsidRDefault="001910BB" w:rsidP="00623C9B">
      <w:pPr>
        <w:spacing w:line="480" w:lineRule="auto"/>
        <w:jc w:val="both"/>
        <w:rPr>
          <w:b/>
          <w:sz w:val="24"/>
          <w:szCs w:val="24"/>
        </w:rPr>
      </w:pPr>
    </w:p>
    <w:p w14:paraId="07EFF4EA" w14:textId="77777777" w:rsidR="001910BB" w:rsidRPr="00FE58B5" w:rsidRDefault="001910BB" w:rsidP="00623C9B">
      <w:pPr>
        <w:spacing w:line="480" w:lineRule="auto"/>
        <w:jc w:val="both"/>
        <w:rPr>
          <w:b/>
          <w:sz w:val="24"/>
          <w:szCs w:val="24"/>
        </w:rPr>
      </w:pPr>
    </w:p>
    <w:p w14:paraId="460EDC90" w14:textId="6B616575" w:rsidR="006D4569" w:rsidRPr="00FE58B5" w:rsidRDefault="0035605F" w:rsidP="00623C9B">
      <w:pPr>
        <w:spacing w:line="480" w:lineRule="auto"/>
        <w:jc w:val="both"/>
        <w:rPr>
          <w:b/>
          <w:sz w:val="24"/>
          <w:szCs w:val="24"/>
        </w:rPr>
      </w:pPr>
      <w:r w:rsidRPr="00FE58B5">
        <w:rPr>
          <w:b/>
          <w:sz w:val="24"/>
          <w:szCs w:val="24"/>
        </w:rPr>
        <w:lastRenderedPageBreak/>
        <w:t>REFERENCES</w:t>
      </w:r>
    </w:p>
    <w:p w14:paraId="127E1991" w14:textId="73A0BAF2" w:rsidR="00D5460F" w:rsidRPr="00FE58B5" w:rsidRDefault="00D5460F" w:rsidP="00623C9B">
      <w:pPr>
        <w:spacing w:line="480" w:lineRule="auto"/>
        <w:jc w:val="both"/>
        <w:rPr>
          <w:sz w:val="24"/>
          <w:szCs w:val="24"/>
        </w:rPr>
      </w:pPr>
      <w:r w:rsidRPr="00FE58B5">
        <w:rPr>
          <w:sz w:val="24"/>
          <w:szCs w:val="24"/>
        </w:rPr>
        <w:t xml:space="preserve">1. </w:t>
      </w:r>
      <w:proofErr w:type="spellStart"/>
      <w:r w:rsidRPr="00FE58B5">
        <w:rPr>
          <w:sz w:val="24"/>
          <w:szCs w:val="24"/>
        </w:rPr>
        <w:t>Katzmarzayk</w:t>
      </w:r>
      <w:proofErr w:type="spellEnd"/>
      <w:r w:rsidRPr="00FE58B5">
        <w:rPr>
          <w:sz w:val="24"/>
          <w:szCs w:val="24"/>
        </w:rPr>
        <w:t xml:space="preserve">, P. T., I-Min, L., Martin, C. K., and Blair, S. N. </w:t>
      </w:r>
      <w:r w:rsidRPr="00FE58B5">
        <w:rPr>
          <w:b/>
          <w:sz w:val="24"/>
          <w:szCs w:val="24"/>
        </w:rPr>
        <w:t xml:space="preserve">Epidemiology of physical activity and exercise training in the United States. </w:t>
      </w:r>
      <w:r w:rsidRPr="00FE58B5">
        <w:rPr>
          <w:i/>
          <w:sz w:val="24"/>
          <w:szCs w:val="24"/>
        </w:rPr>
        <w:t>Prog Cardiovasc Dis</w:t>
      </w:r>
      <w:r w:rsidRPr="00FE58B5">
        <w:rPr>
          <w:sz w:val="24"/>
          <w:szCs w:val="24"/>
        </w:rPr>
        <w:t>. 2017; 60: 3-10</w:t>
      </w:r>
    </w:p>
    <w:p w14:paraId="7830DBCF" w14:textId="6B8B6FCE" w:rsidR="00D5460F" w:rsidRPr="00FE58B5" w:rsidRDefault="00D5460F" w:rsidP="00623C9B">
      <w:pPr>
        <w:spacing w:line="480" w:lineRule="auto"/>
        <w:jc w:val="both"/>
        <w:rPr>
          <w:sz w:val="24"/>
          <w:szCs w:val="24"/>
        </w:rPr>
      </w:pPr>
      <w:r w:rsidRPr="00FE58B5">
        <w:rPr>
          <w:sz w:val="24"/>
          <w:szCs w:val="24"/>
        </w:rPr>
        <w:t xml:space="preserve">2. </w:t>
      </w:r>
      <w:proofErr w:type="spellStart"/>
      <w:r w:rsidR="0084599D" w:rsidRPr="00FE58B5">
        <w:rPr>
          <w:sz w:val="24"/>
          <w:szCs w:val="24"/>
        </w:rPr>
        <w:t>Schnohr</w:t>
      </w:r>
      <w:proofErr w:type="spellEnd"/>
      <w:r w:rsidR="0084599D" w:rsidRPr="00FE58B5">
        <w:rPr>
          <w:sz w:val="24"/>
          <w:szCs w:val="24"/>
        </w:rPr>
        <w:t xml:space="preserve">, P., O’Keefe, J. H., </w:t>
      </w:r>
      <w:proofErr w:type="spellStart"/>
      <w:r w:rsidR="0084599D" w:rsidRPr="00FE58B5">
        <w:rPr>
          <w:sz w:val="24"/>
          <w:szCs w:val="24"/>
        </w:rPr>
        <w:t>Holtermann</w:t>
      </w:r>
      <w:proofErr w:type="spellEnd"/>
      <w:r w:rsidR="0084599D" w:rsidRPr="00FE58B5">
        <w:rPr>
          <w:sz w:val="24"/>
          <w:szCs w:val="24"/>
        </w:rPr>
        <w:t xml:space="preserve">, A., et al. </w:t>
      </w:r>
      <w:r w:rsidR="0084599D" w:rsidRPr="00FE58B5">
        <w:rPr>
          <w:b/>
          <w:sz w:val="24"/>
          <w:szCs w:val="24"/>
        </w:rPr>
        <w:t xml:space="preserve">Various Leisure-Time physical activities associated with widely divergent life expectancies: The Copenhagen City Heart Study. </w:t>
      </w:r>
      <w:r w:rsidR="0084599D" w:rsidRPr="00FE58B5">
        <w:rPr>
          <w:i/>
          <w:sz w:val="24"/>
          <w:szCs w:val="24"/>
        </w:rPr>
        <w:t xml:space="preserve">Mayo Clin Proc. </w:t>
      </w:r>
      <w:r w:rsidR="0084599D" w:rsidRPr="00FE58B5">
        <w:rPr>
          <w:sz w:val="24"/>
          <w:szCs w:val="24"/>
        </w:rPr>
        <w:t>2018; Sept on-line</w:t>
      </w:r>
    </w:p>
    <w:p w14:paraId="5F4D273F" w14:textId="3136D526" w:rsidR="0084599D" w:rsidRPr="00FE58B5" w:rsidRDefault="0084599D" w:rsidP="00623C9B">
      <w:pPr>
        <w:spacing w:line="480" w:lineRule="auto"/>
        <w:jc w:val="both"/>
        <w:rPr>
          <w:sz w:val="24"/>
          <w:szCs w:val="24"/>
        </w:rPr>
      </w:pPr>
      <w:r w:rsidRPr="00FE58B5">
        <w:rPr>
          <w:sz w:val="24"/>
          <w:szCs w:val="24"/>
        </w:rPr>
        <w:t xml:space="preserve">3. Franklin, B. A., Kaminsky, L. A., and Kokkinos, P. </w:t>
      </w:r>
      <w:r w:rsidRPr="00FE58B5">
        <w:rPr>
          <w:b/>
          <w:sz w:val="24"/>
          <w:szCs w:val="24"/>
        </w:rPr>
        <w:t>Quantitating the dose of physical activity in secondary prevention: Relation of exercise intensity to survival.</w:t>
      </w:r>
      <w:r w:rsidRPr="00FE58B5">
        <w:rPr>
          <w:sz w:val="24"/>
          <w:szCs w:val="24"/>
        </w:rPr>
        <w:t xml:space="preserve"> </w:t>
      </w:r>
      <w:r w:rsidRPr="00FE58B5">
        <w:rPr>
          <w:i/>
          <w:sz w:val="24"/>
          <w:szCs w:val="24"/>
        </w:rPr>
        <w:t>Mayo Clin Proc</w:t>
      </w:r>
      <w:r w:rsidRPr="00FE58B5">
        <w:rPr>
          <w:sz w:val="24"/>
          <w:szCs w:val="24"/>
        </w:rPr>
        <w:t>. 2018; 93: 1158-1163</w:t>
      </w:r>
    </w:p>
    <w:p w14:paraId="1F9BD7D1" w14:textId="1106431B" w:rsidR="005B3ADF" w:rsidRPr="00FE58B5" w:rsidRDefault="005B3ADF" w:rsidP="00623C9B">
      <w:pPr>
        <w:spacing w:line="480" w:lineRule="auto"/>
        <w:jc w:val="both"/>
        <w:rPr>
          <w:sz w:val="24"/>
          <w:szCs w:val="24"/>
        </w:rPr>
      </w:pPr>
      <w:r w:rsidRPr="00FE58B5">
        <w:rPr>
          <w:sz w:val="24"/>
          <w:szCs w:val="24"/>
        </w:rPr>
        <w:t xml:space="preserve">4. </w:t>
      </w:r>
      <w:proofErr w:type="spellStart"/>
      <w:r w:rsidRPr="00FE58B5">
        <w:rPr>
          <w:sz w:val="24"/>
          <w:szCs w:val="24"/>
        </w:rPr>
        <w:t>Lavie</w:t>
      </w:r>
      <w:proofErr w:type="spellEnd"/>
      <w:r w:rsidRPr="00FE58B5">
        <w:rPr>
          <w:sz w:val="24"/>
          <w:szCs w:val="24"/>
        </w:rPr>
        <w:t xml:space="preserve">, C., Kokkinos, P., and Ortega, F. </w:t>
      </w:r>
      <w:r w:rsidR="0058571F" w:rsidRPr="00FE58B5">
        <w:rPr>
          <w:b/>
          <w:sz w:val="24"/>
          <w:szCs w:val="24"/>
        </w:rPr>
        <w:t xml:space="preserve">Survival of the fittest – promoting fitness throughout the lifespan. </w:t>
      </w:r>
      <w:r w:rsidR="0058571F" w:rsidRPr="00FE58B5">
        <w:rPr>
          <w:i/>
          <w:sz w:val="24"/>
          <w:szCs w:val="24"/>
        </w:rPr>
        <w:t xml:space="preserve">Mayo Clin Proc. </w:t>
      </w:r>
      <w:r w:rsidR="0058571F" w:rsidRPr="00FE58B5">
        <w:rPr>
          <w:sz w:val="24"/>
          <w:szCs w:val="24"/>
        </w:rPr>
        <w:t xml:space="preserve">2017; 92: 1743-1745. </w:t>
      </w:r>
    </w:p>
    <w:p w14:paraId="3849172F" w14:textId="60B82C94" w:rsidR="0058571F" w:rsidRPr="00FE58B5" w:rsidRDefault="0058571F" w:rsidP="00623C9B">
      <w:pPr>
        <w:spacing w:line="480" w:lineRule="auto"/>
        <w:jc w:val="both"/>
        <w:rPr>
          <w:sz w:val="24"/>
          <w:szCs w:val="24"/>
        </w:rPr>
      </w:pPr>
      <w:r w:rsidRPr="00FE58B5">
        <w:rPr>
          <w:sz w:val="24"/>
          <w:szCs w:val="24"/>
        </w:rPr>
        <w:t xml:space="preserve">5. </w:t>
      </w:r>
      <w:proofErr w:type="spellStart"/>
      <w:r w:rsidRPr="00FE58B5">
        <w:rPr>
          <w:sz w:val="24"/>
          <w:szCs w:val="24"/>
        </w:rPr>
        <w:t>Majdan</w:t>
      </w:r>
      <w:proofErr w:type="spellEnd"/>
      <w:r w:rsidRPr="00FE58B5">
        <w:rPr>
          <w:sz w:val="24"/>
          <w:szCs w:val="24"/>
        </w:rPr>
        <w:t xml:space="preserve">, M., and Mauritz, W. </w:t>
      </w:r>
      <w:r w:rsidRPr="00FE58B5">
        <w:rPr>
          <w:b/>
          <w:sz w:val="24"/>
          <w:szCs w:val="24"/>
        </w:rPr>
        <w:t xml:space="preserve">Unintentional fall related mortality in the elderly: comparing patterns in two countries with different demographic structure. </w:t>
      </w:r>
      <w:r w:rsidRPr="00FE58B5">
        <w:rPr>
          <w:i/>
          <w:sz w:val="24"/>
          <w:szCs w:val="24"/>
        </w:rPr>
        <w:t xml:space="preserve">BMJ Open. </w:t>
      </w:r>
      <w:r w:rsidRPr="00FE58B5">
        <w:rPr>
          <w:sz w:val="24"/>
          <w:szCs w:val="24"/>
        </w:rPr>
        <w:t xml:space="preserve">2015; 5. </w:t>
      </w:r>
    </w:p>
    <w:p w14:paraId="03F26F45" w14:textId="3A9054B9" w:rsidR="0051259E" w:rsidRPr="00B14D71" w:rsidRDefault="00B14D71" w:rsidP="00B14D71">
      <w:pPr>
        <w:spacing w:line="480" w:lineRule="auto"/>
        <w:jc w:val="both"/>
        <w:rPr>
          <w:i/>
          <w:sz w:val="24"/>
          <w:szCs w:val="24"/>
        </w:rPr>
      </w:pPr>
      <w:r w:rsidRPr="00FE58B5">
        <w:rPr>
          <w:sz w:val="24"/>
          <w:szCs w:val="24"/>
        </w:rPr>
        <w:t xml:space="preserve">6. </w:t>
      </w:r>
      <w:r w:rsidR="006D4569" w:rsidRPr="00FE58B5">
        <w:rPr>
          <w:sz w:val="24"/>
          <w:szCs w:val="24"/>
        </w:rPr>
        <w:t>Stubbs</w:t>
      </w:r>
      <w:r w:rsidR="005C3C54" w:rsidRPr="00FE58B5">
        <w:rPr>
          <w:sz w:val="24"/>
          <w:szCs w:val="24"/>
        </w:rPr>
        <w:t>,</w:t>
      </w:r>
      <w:r w:rsidR="006D4569" w:rsidRPr="00FE58B5">
        <w:rPr>
          <w:sz w:val="24"/>
          <w:szCs w:val="24"/>
        </w:rPr>
        <w:t xml:space="preserve"> B</w:t>
      </w:r>
      <w:r w:rsidR="005C3C54" w:rsidRPr="00FE58B5">
        <w:rPr>
          <w:sz w:val="24"/>
          <w:szCs w:val="24"/>
        </w:rPr>
        <w:t>.</w:t>
      </w:r>
      <w:r w:rsidR="006D4569" w:rsidRPr="00FE58B5">
        <w:rPr>
          <w:sz w:val="24"/>
          <w:szCs w:val="24"/>
        </w:rPr>
        <w:t xml:space="preserve">, </w:t>
      </w:r>
      <w:proofErr w:type="spellStart"/>
      <w:r w:rsidR="006D4569" w:rsidRPr="00FE58B5">
        <w:rPr>
          <w:sz w:val="24"/>
          <w:szCs w:val="24"/>
        </w:rPr>
        <w:t>Brefka</w:t>
      </w:r>
      <w:proofErr w:type="spellEnd"/>
      <w:r w:rsidR="005C3C54" w:rsidRPr="00FE58B5">
        <w:rPr>
          <w:sz w:val="24"/>
          <w:szCs w:val="24"/>
        </w:rPr>
        <w:t>,</w:t>
      </w:r>
      <w:r w:rsidR="006D4569" w:rsidRPr="00FE58B5">
        <w:rPr>
          <w:sz w:val="24"/>
          <w:szCs w:val="24"/>
        </w:rPr>
        <w:t xml:space="preserve"> S</w:t>
      </w:r>
      <w:r w:rsidR="005C3C54" w:rsidRPr="00FE58B5">
        <w:rPr>
          <w:sz w:val="24"/>
          <w:szCs w:val="24"/>
        </w:rPr>
        <w:t>.</w:t>
      </w:r>
      <w:r w:rsidR="006D4569" w:rsidRPr="00FE58B5">
        <w:rPr>
          <w:sz w:val="24"/>
          <w:szCs w:val="24"/>
        </w:rPr>
        <w:t xml:space="preserve">, </w:t>
      </w:r>
      <w:r w:rsidR="005C3C54" w:rsidRPr="00FE58B5">
        <w:rPr>
          <w:sz w:val="24"/>
          <w:szCs w:val="24"/>
        </w:rPr>
        <w:t xml:space="preserve">and </w:t>
      </w:r>
      <w:proofErr w:type="spellStart"/>
      <w:r w:rsidR="006D4569" w:rsidRPr="00FE58B5">
        <w:rPr>
          <w:sz w:val="24"/>
          <w:szCs w:val="24"/>
        </w:rPr>
        <w:t>Denkinger</w:t>
      </w:r>
      <w:proofErr w:type="spellEnd"/>
      <w:r w:rsidR="005C3C54" w:rsidRPr="00FE58B5">
        <w:rPr>
          <w:sz w:val="24"/>
          <w:szCs w:val="24"/>
        </w:rPr>
        <w:t>,</w:t>
      </w:r>
      <w:r w:rsidR="006D4569" w:rsidRPr="00FE58B5">
        <w:rPr>
          <w:sz w:val="24"/>
          <w:szCs w:val="24"/>
        </w:rPr>
        <w:t xml:space="preserve"> M. </w:t>
      </w:r>
      <w:r w:rsidR="006D4569" w:rsidRPr="00FE58B5">
        <w:rPr>
          <w:b/>
          <w:sz w:val="24"/>
          <w:szCs w:val="24"/>
        </w:rPr>
        <w:t>What works to prevent falls in community-dwelling older adul</w:t>
      </w:r>
      <w:r w:rsidR="00706A00" w:rsidRPr="00FE58B5">
        <w:rPr>
          <w:b/>
          <w:sz w:val="24"/>
          <w:szCs w:val="24"/>
        </w:rPr>
        <w:t>ts? Um</w:t>
      </w:r>
      <w:r w:rsidR="006D4569" w:rsidRPr="00FE58B5">
        <w:rPr>
          <w:b/>
          <w:sz w:val="24"/>
          <w:szCs w:val="24"/>
        </w:rPr>
        <w:t xml:space="preserve">brella review of meta-analyses </w:t>
      </w:r>
      <w:r w:rsidR="006D4569" w:rsidRPr="00B14D71">
        <w:rPr>
          <w:b/>
          <w:sz w:val="24"/>
          <w:szCs w:val="24"/>
        </w:rPr>
        <w:t>of randomized controlled trials.</w:t>
      </w:r>
      <w:r w:rsidR="006D4569" w:rsidRPr="00B14D71">
        <w:rPr>
          <w:sz w:val="24"/>
          <w:szCs w:val="24"/>
        </w:rPr>
        <w:t xml:space="preserve"> </w:t>
      </w:r>
      <w:r w:rsidR="006D4569" w:rsidRPr="00B14D71">
        <w:rPr>
          <w:i/>
          <w:sz w:val="24"/>
          <w:szCs w:val="24"/>
        </w:rPr>
        <w:t>Phys Ther</w:t>
      </w:r>
      <w:r w:rsidR="006B5DC8" w:rsidRPr="00B14D71">
        <w:rPr>
          <w:i/>
          <w:sz w:val="24"/>
          <w:szCs w:val="24"/>
        </w:rPr>
        <w:t>apy</w:t>
      </w:r>
      <w:r w:rsidR="005C3C54" w:rsidRPr="00B14D71">
        <w:rPr>
          <w:i/>
          <w:sz w:val="24"/>
          <w:szCs w:val="24"/>
        </w:rPr>
        <w:t>.</w:t>
      </w:r>
      <w:r w:rsidR="005C3C54" w:rsidRPr="00B14D71">
        <w:rPr>
          <w:sz w:val="24"/>
          <w:szCs w:val="24"/>
        </w:rPr>
        <w:t xml:space="preserve"> 2015; 95: 1095-1110</w:t>
      </w:r>
      <w:r w:rsidR="006D4569" w:rsidRPr="00B14D71">
        <w:rPr>
          <w:sz w:val="24"/>
          <w:szCs w:val="24"/>
        </w:rPr>
        <w:t xml:space="preserve"> </w:t>
      </w:r>
    </w:p>
    <w:p w14:paraId="704BFD36" w14:textId="2586BC4A" w:rsidR="00584EF7" w:rsidRPr="00B14D71" w:rsidRDefault="00B14D71" w:rsidP="00B14D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="0051259E" w:rsidRPr="00B14D71">
        <w:rPr>
          <w:sz w:val="24"/>
          <w:szCs w:val="24"/>
        </w:rPr>
        <w:t>Jefferis</w:t>
      </w:r>
      <w:proofErr w:type="spellEnd"/>
      <w:r w:rsidR="005C3C54" w:rsidRPr="00B14D71">
        <w:rPr>
          <w:sz w:val="24"/>
          <w:szCs w:val="24"/>
        </w:rPr>
        <w:t>,</w:t>
      </w:r>
      <w:r w:rsidR="0051259E" w:rsidRPr="00B14D71">
        <w:rPr>
          <w:sz w:val="24"/>
          <w:szCs w:val="24"/>
        </w:rPr>
        <w:t xml:space="preserve"> B</w:t>
      </w:r>
      <w:r w:rsidR="005C3C54" w:rsidRPr="00B14D71">
        <w:rPr>
          <w:sz w:val="24"/>
          <w:szCs w:val="24"/>
        </w:rPr>
        <w:t>.</w:t>
      </w:r>
      <w:r w:rsidR="0051259E" w:rsidRPr="00B14D71">
        <w:rPr>
          <w:sz w:val="24"/>
          <w:szCs w:val="24"/>
        </w:rPr>
        <w:t xml:space="preserve">, </w:t>
      </w:r>
      <w:proofErr w:type="spellStart"/>
      <w:r w:rsidR="0051259E" w:rsidRPr="00B14D71">
        <w:rPr>
          <w:sz w:val="24"/>
          <w:szCs w:val="24"/>
        </w:rPr>
        <w:t>Merom</w:t>
      </w:r>
      <w:proofErr w:type="spellEnd"/>
      <w:r w:rsidR="005C3C54" w:rsidRPr="00B14D71">
        <w:rPr>
          <w:sz w:val="24"/>
          <w:szCs w:val="24"/>
        </w:rPr>
        <w:t>,</w:t>
      </w:r>
      <w:r w:rsidR="0051259E" w:rsidRPr="00B14D71">
        <w:rPr>
          <w:sz w:val="24"/>
          <w:szCs w:val="24"/>
        </w:rPr>
        <w:t xml:space="preserve"> D</w:t>
      </w:r>
      <w:r w:rsidR="005C3C54" w:rsidRPr="00B14D71">
        <w:rPr>
          <w:sz w:val="24"/>
          <w:szCs w:val="24"/>
        </w:rPr>
        <w:t>.</w:t>
      </w:r>
      <w:r w:rsidR="0051259E" w:rsidRPr="00B14D71">
        <w:rPr>
          <w:sz w:val="24"/>
          <w:szCs w:val="24"/>
        </w:rPr>
        <w:t xml:space="preserve">, </w:t>
      </w:r>
      <w:proofErr w:type="spellStart"/>
      <w:r w:rsidR="0051259E" w:rsidRPr="00B14D71">
        <w:rPr>
          <w:sz w:val="24"/>
          <w:szCs w:val="24"/>
        </w:rPr>
        <w:t>Sartini</w:t>
      </w:r>
      <w:proofErr w:type="spellEnd"/>
      <w:r w:rsidR="005C3C54" w:rsidRPr="00B14D71">
        <w:rPr>
          <w:sz w:val="24"/>
          <w:szCs w:val="24"/>
        </w:rPr>
        <w:t>,</w:t>
      </w:r>
      <w:r w:rsidR="0051259E" w:rsidRPr="00B14D71">
        <w:rPr>
          <w:sz w:val="24"/>
          <w:szCs w:val="24"/>
        </w:rPr>
        <w:t xml:space="preserve"> C</w:t>
      </w:r>
      <w:r w:rsidR="005C3C54" w:rsidRPr="00B14D71">
        <w:rPr>
          <w:sz w:val="24"/>
          <w:szCs w:val="24"/>
        </w:rPr>
        <w:t>.</w:t>
      </w:r>
      <w:r w:rsidR="0051259E" w:rsidRPr="00B14D71">
        <w:rPr>
          <w:sz w:val="24"/>
          <w:szCs w:val="24"/>
        </w:rPr>
        <w:t xml:space="preserve">, et al. </w:t>
      </w:r>
      <w:r w:rsidR="0051259E" w:rsidRPr="00B14D71">
        <w:rPr>
          <w:b/>
          <w:sz w:val="24"/>
          <w:szCs w:val="24"/>
        </w:rPr>
        <w:t>Physical activity and falls in older men: The critical role of mobility limitations.</w:t>
      </w:r>
      <w:r w:rsidR="0051259E" w:rsidRPr="00B14D71">
        <w:rPr>
          <w:sz w:val="24"/>
          <w:szCs w:val="24"/>
        </w:rPr>
        <w:t xml:space="preserve"> </w:t>
      </w:r>
      <w:r w:rsidR="0051259E" w:rsidRPr="00B14D71">
        <w:rPr>
          <w:i/>
          <w:sz w:val="24"/>
          <w:szCs w:val="24"/>
        </w:rPr>
        <w:t xml:space="preserve">Med Sci Sport </w:t>
      </w:r>
      <w:proofErr w:type="spellStart"/>
      <w:r w:rsidR="0051259E" w:rsidRPr="00B14D71">
        <w:rPr>
          <w:i/>
          <w:sz w:val="24"/>
          <w:szCs w:val="24"/>
        </w:rPr>
        <w:t>Exerc</w:t>
      </w:r>
      <w:proofErr w:type="spellEnd"/>
      <w:r w:rsidR="00797DE6" w:rsidRPr="00B14D71">
        <w:rPr>
          <w:i/>
          <w:sz w:val="24"/>
          <w:szCs w:val="24"/>
        </w:rPr>
        <w:t>.</w:t>
      </w:r>
      <w:r w:rsidR="0051259E" w:rsidRPr="00B14D71">
        <w:rPr>
          <w:sz w:val="24"/>
          <w:szCs w:val="24"/>
        </w:rPr>
        <w:t xml:space="preserve"> 2015; 47: 211</w:t>
      </w:r>
      <w:r w:rsidR="00797DE6" w:rsidRPr="00B14D71">
        <w:rPr>
          <w:sz w:val="24"/>
          <w:szCs w:val="24"/>
        </w:rPr>
        <w:t>9-2128</w:t>
      </w:r>
      <w:r w:rsidR="0051259E" w:rsidRPr="00B14D71">
        <w:rPr>
          <w:sz w:val="24"/>
          <w:szCs w:val="24"/>
        </w:rPr>
        <w:t xml:space="preserve"> </w:t>
      </w:r>
    </w:p>
    <w:p w14:paraId="182998C2" w14:textId="19B3BF53" w:rsidR="00584EF7" w:rsidRPr="00B14D71" w:rsidRDefault="00B14D71" w:rsidP="00B14D71">
      <w:pPr>
        <w:spacing w:line="480" w:lineRule="auto"/>
        <w:jc w:val="both"/>
        <w:rPr>
          <w:sz w:val="24"/>
          <w:szCs w:val="24"/>
        </w:rPr>
      </w:pPr>
      <w:r w:rsidRPr="001910BB">
        <w:rPr>
          <w:sz w:val="24"/>
          <w:szCs w:val="24"/>
        </w:rPr>
        <w:lastRenderedPageBreak/>
        <w:t xml:space="preserve">8. </w:t>
      </w:r>
      <w:r w:rsidR="00584EF7" w:rsidRPr="001910BB">
        <w:rPr>
          <w:sz w:val="24"/>
          <w:szCs w:val="24"/>
        </w:rPr>
        <w:t>Buchner</w:t>
      </w:r>
      <w:r w:rsidR="00797DE6" w:rsidRPr="001910BB">
        <w:rPr>
          <w:sz w:val="24"/>
          <w:szCs w:val="24"/>
        </w:rPr>
        <w:t>,</w:t>
      </w:r>
      <w:r w:rsidR="00584EF7" w:rsidRPr="001910BB">
        <w:rPr>
          <w:sz w:val="24"/>
          <w:szCs w:val="24"/>
        </w:rPr>
        <w:t xml:space="preserve"> D</w:t>
      </w:r>
      <w:r w:rsidR="00797DE6" w:rsidRPr="001910BB">
        <w:rPr>
          <w:sz w:val="24"/>
          <w:szCs w:val="24"/>
        </w:rPr>
        <w:t>.</w:t>
      </w:r>
      <w:r w:rsidR="00584EF7" w:rsidRPr="001910BB">
        <w:rPr>
          <w:sz w:val="24"/>
          <w:szCs w:val="24"/>
        </w:rPr>
        <w:t>M</w:t>
      </w:r>
      <w:r w:rsidR="00797DE6" w:rsidRPr="001910BB">
        <w:rPr>
          <w:sz w:val="24"/>
          <w:szCs w:val="24"/>
        </w:rPr>
        <w:t>.</w:t>
      </w:r>
      <w:r w:rsidR="00584EF7" w:rsidRPr="001910BB">
        <w:rPr>
          <w:sz w:val="24"/>
          <w:szCs w:val="24"/>
        </w:rPr>
        <w:t xml:space="preserve">, </w:t>
      </w:r>
      <w:proofErr w:type="spellStart"/>
      <w:r w:rsidR="00584EF7" w:rsidRPr="001910BB">
        <w:rPr>
          <w:sz w:val="24"/>
          <w:szCs w:val="24"/>
        </w:rPr>
        <w:t>Rillamas</w:t>
      </w:r>
      <w:proofErr w:type="spellEnd"/>
      <w:r w:rsidR="00584EF7" w:rsidRPr="001910BB">
        <w:rPr>
          <w:sz w:val="24"/>
          <w:szCs w:val="24"/>
        </w:rPr>
        <w:t>-Sun</w:t>
      </w:r>
      <w:r w:rsidR="00797DE6" w:rsidRPr="001910BB">
        <w:rPr>
          <w:sz w:val="24"/>
          <w:szCs w:val="24"/>
        </w:rPr>
        <w:t>,</w:t>
      </w:r>
      <w:r w:rsidR="00584EF7" w:rsidRPr="001910BB">
        <w:rPr>
          <w:sz w:val="24"/>
          <w:szCs w:val="24"/>
        </w:rPr>
        <w:t xml:space="preserve"> E</w:t>
      </w:r>
      <w:r w:rsidR="00797DE6" w:rsidRPr="001910BB">
        <w:rPr>
          <w:sz w:val="24"/>
          <w:szCs w:val="24"/>
        </w:rPr>
        <w:t>.</w:t>
      </w:r>
      <w:r w:rsidR="00584EF7" w:rsidRPr="001910BB">
        <w:rPr>
          <w:sz w:val="24"/>
          <w:szCs w:val="24"/>
        </w:rPr>
        <w:t>, Di</w:t>
      </w:r>
      <w:r w:rsidR="00797DE6" w:rsidRPr="001910BB">
        <w:rPr>
          <w:sz w:val="24"/>
          <w:szCs w:val="24"/>
        </w:rPr>
        <w:t>,</w:t>
      </w:r>
      <w:r w:rsidR="00584EF7" w:rsidRPr="001910BB">
        <w:rPr>
          <w:sz w:val="24"/>
          <w:szCs w:val="24"/>
        </w:rPr>
        <w:t xml:space="preserve"> C</w:t>
      </w:r>
      <w:r w:rsidR="00797DE6" w:rsidRPr="001910BB">
        <w:rPr>
          <w:sz w:val="24"/>
          <w:szCs w:val="24"/>
        </w:rPr>
        <w:t>.</w:t>
      </w:r>
      <w:r w:rsidR="00584EF7" w:rsidRPr="001910BB">
        <w:rPr>
          <w:sz w:val="24"/>
          <w:szCs w:val="24"/>
        </w:rPr>
        <w:t xml:space="preserve">, et al. </w:t>
      </w:r>
      <w:r w:rsidR="00584EF7" w:rsidRPr="00B14D71">
        <w:rPr>
          <w:b/>
          <w:sz w:val="24"/>
          <w:szCs w:val="24"/>
        </w:rPr>
        <w:t>Accelerometer measured moderate to vigorous physical activity and incidence rates of falls in older women.</w:t>
      </w:r>
      <w:r w:rsidR="00584EF7" w:rsidRPr="00B14D71">
        <w:rPr>
          <w:sz w:val="24"/>
          <w:szCs w:val="24"/>
        </w:rPr>
        <w:t xml:space="preserve"> </w:t>
      </w:r>
      <w:r w:rsidR="00584EF7" w:rsidRPr="00B14D71">
        <w:rPr>
          <w:i/>
          <w:sz w:val="24"/>
          <w:szCs w:val="24"/>
        </w:rPr>
        <w:t>J Amer</w:t>
      </w:r>
      <w:r w:rsidR="006B5DC8" w:rsidRPr="00B14D71">
        <w:rPr>
          <w:i/>
          <w:sz w:val="24"/>
          <w:szCs w:val="24"/>
        </w:rPr>
        <w:t xml:space="preserve"> </w:t>
      </w:r>
      <w:proofErr w:type="spellStart"/>
      <w:r w:rsidR="00584EF7" w:rsidRPr="00B14D71">
        <w:rPr>
          <w:i/>
          <w:sz w:val="24"/>
          <w:szCs w:val="24"/>
        </w:rPr>
        <w:t>Geriat</w:t>
      </w:r>
      <w:proofErr w:type="spellEnd"/>
      <w:r w:rsidR="006B5DC8" w:rsidRPr="00B14D71">
        <w:rPr>
          <w:i/>
          <w:sz w:val="24"/>
          <w:szCs w:val="24"/>
        </w:rPr>
        <w:t xml:space="preserve"> </w:t>
      </w:r>
      <w:r w:rsidR="00584EF7" w:rsidRPr="00B14D71">
        <w:rPr>
          <w:i/>
          <w:sz w:val="24"/>
          <w:szCs w:val="24"/>
        </w:rPr>
        <w:t>Soc</w:t>
      </w:r>
      <w:r w:rsidR="00797DE6" w:rsidRPr="00B14D71">
        <w:rPr>
          <w:i/>
          <w:sz w:val="24"/>
          <w:szCs w:val="24"/>
        </w:rPr>
        <w:t>.</w:t>
      </w:r>
      <w:r w:rsidR="00584EF7" w:rsidRPr="00B14D71">
        <w:rPr>
          <w:i/>
          <w:sz w:val="24"/>
          <w:szCs w:val="24"/>
        </w:rPr>
        <w:t xml:space="preserve"> </w:t>
      </w:r>
      <w:r w:rsidR="00584EF7" w:rsidRPr="00B14D71">
        <w:rPr>
          <w:sz w:val="24"/>
          <w:szCs w:val="24"/>
        </w:rPr>
        <w:t>2017; 65:</w:t>
      </w:r>
      <w:r w:rsidR="00797DE6" w:rsidRPr="00B14D71">
        <w:rPr>
          <w:sz w:val="24"/>
          <w:szCs w:val="24"/>
        </w:rPr>
        <w:t xml:space="preserve"> 2480-2487</w:t>
      </w:r>
      <w:r w:rsidR="00584EF7" w:rsidRPr="00B14D71">
        <w:rPr>
          <w:sz w:val="24"/>
          <w:szCs w:val="24"/>
        </w:rPr>
        <w:t xml:space="preserve"> </w:t>
      </w:r>
    </w:p>
    <w:p w14:paraId="49BDD40D" w14:textId="0DD672B1" w:rsidR="00584EF7" w:rsidRPr="00B14D71" w:rsidRDefault="00B14D71" w:rsidP="00B14D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84EF7" w:rsidRPr="00B14D71">
        <w:rPr>
          <w:sz w:val="24"/>
          <w:szCs w:val="24"/>
        </w:rPr>
        <w:t>Steptoe</w:t>
      </w:r>
      <w:r w:rsidR="00797DE6" w:rsidRPr="00B14D71">
        <w:rPr>
          <w:sz w:val="24"/>
          <w:szCs w:val="24"/>
        </w:rPr>
        <w:t>,</w:t>
      </w:r>
      <w:r w:rsidR="00584EF7" w:rsidRPr="00B14D71">
        <w:rPr>
          <w:sz w:val="24"/>
          <w:szCs w:val="24"/>
        </w:rPr>
        <w:t xml:space="preserve"> A</w:t>
      </w:r>
      <w:r w:rsidR="00797DE6" w:rsidRPr="00B14D71">
        <w:rPr>
          <w:sz w:val="24"/>
          <w:szCs w:val="24"/>
        </w:rPr>
        <w:t>.</w:t>
      </w:r>
      <w:r w:rsidR="00584EF7" w:rsidRPr="00B14D71">
        <w:rPr>
          <w:sz w:val="24"/>
          <w:szCs w:val="24"/>
        </w:rPr>
        <w:t>, Breeze</w:t>
      </w:r>
      <w:r w:rsidR="00797DE6" w:rsidRPr="00B14D71">
        <w:rPr>
          <w:sz w:val="24"/>
          <w:szCs w:val="24"/>
        </w:rPr>
        <w:t>,</w:t>
      </w:r>
      <w:r w:rsidR="00584EF7" w:rsidRPr="00B14D71">
        <w:rPr>
          <w:sz w:val="24"/>
          <w:szCs w:val="24"/>
        </w:rPr>
        <w:t xml:space="preserve"> E</w:t>
      </w:r>
      <w:r w:rsidR="00797DE6" w:rsidRPr="00B14D71">
        <w:rPr>
          <w:sz w:val="24"/>
          <w:szCs w:val="24"/>
        </w:rPr>
        <w:t>.</w:t>
      </w:r>
      <w:r w:rsidR="00584EF7" w:rsidRPr="00B14D71">
        <w:rPr>
          <w:sz w:val="24"/>
          <w:szCs w:val="24"/>
        </w:rPr>
        <w:t>, Banks</w:t>
      </w:r>
      <w:r w:rsidR="00797DE6" w:rsidRPr="00B14D71">
        <w:rPr>
          <w:sz w:val="24"/>
          <w:szCs w:val="24"/>
        </w:rPr>
        <w:t>,</w:t>
      </w:r>
      <w:r w:rsidR="00584EF7" w:rsidRPr="00B14D71">
        <w:rPr>
          <w:sz w:val="24"/>
          <w:szCs w:val="24"/>
        </w:rPr>
        <w:t xml:space="preserve"> J</w:t>
      </w:r>
      <w:r w:rsidR="00797DE6" w:rsidRPr="00B14D71">
        <w:rPr>
          <w:sz w:val="24"/>
          <w:szCs w:val="24"/>
        </w:rPr>
        <w:t>.</w:t>
      </w:r>
      <w:r w:rsidR="00584EF7" w:rsidRPr="00B14D71">
        <w:rPr>
          <w:sz w:val="24"/>
          <w:szCs w:val="24"/>
        </w:rPr>
        <w:t xml:space="preserve">, et al. </w:t>
      </w:r>
      <w:r w:rsidR="00584EF7" w:rsidRPr="00B14D71">
        <w:rPr>
          <w:b/>
          <w:sz w:val="24"/>
          <w:szCs w:val="24"/>
        </w:rPr>
        <w:t xml:space="preserve">Cohort profile: The English </w:t>
      </w:r>
      <w:r w:rsidR="00797DE6" w:rsidRPr="00B14D71">
        <w:rPr>
          <w:b/>
          <w:sz w:val="24"/>
          <w:szCs w:val="24"/>
        </w:rPr>
        <w:t>Longitudinal</w:t>
      </w:r>
      <w:r w:rsidR="00584EF7" w:rsidRPr="00B14D71">
        <w:rPr>
          <w:b/>
          <w:sz w:val="24"/>
          <w:szCs w:val="24"/>
        </w:rPr>
        <w:t xml:space="preserve"> Study of Ageing.</w:t>
      </w:r>
      <w:r w:rsidR="00584EF7" w:rsidRPr="00B14D71">
        <w:rPr>
          <w:sz w:val="24"/>
          <w:szCs w:val="24"/>
        </w:rPr>
        <w:t xml:space="preserve"> </w:t>
      </w:r>
      <w:r w:rsidR="00584EF7" w:rsidRPr="00B14D71">
        <w:rPr>
          <w:i/>
          <w:sz w:val="24"/>
          <w:szCs w:val="24"/>
        </w:rPr>
        <w:t xml:space="preserve">Inter J </w:t>
      </w:r>
      <w:proofErr w:type="spellStart"/>
      <w:r w:rsidR="00584EF7" w:rsidRPr="00B14D71">
        <w:rPr>
          <w:i/>
          <w:sz w:val="24"/>
          <w:szCs w:val="24"/>
        </w:rPr>
        <w:t>Epidemiol</w:t>
      </w:r>
      <w:proofErr w:type="spellEnd"/>
      <w:r w:rsidR="00797DE6" w:rsidRPr="00B14D71">
        <w:rPr>
          <w:i/>
          <w:sz w:val="24"/>
          <w:szCs w:val="24"/>
        </w:rPr>
        <w:t>.</w:t>
      </w:r>
      <w:r w:rsidR="00584EF7" w:rsidRPr="00B14D71">
        <w:rPr>
          <w:sz w:val="24"/>
          <w:szCs w:val="24"/>
        </w:rPr>
        <w:t xml:space="preserve"> 2013; 6:</w:t>
      </w:r>
      <w:r w:rsidR="00797DE6" w:rsidRPr="00B14D71">
        <w:rPr>
          <w:sz w:val="24"/>
          <w:szCs w:val="24"/>
        </w:rPr>
        <w:t xml:space="preserve"> 1640-1648</w:t>
      </w:r>
      <w:r w:rsidR="00584EF7" w:rsidRPr="00584EF7">
        <w:t xml:space="preserve"> </w:t>
      </w:r>
    </w:p>
    <w:p w14:paraId="1C1942C7" w14:textId="4E341278" w:rsidR="00584EF7" w:rsidRPr="00B14D71" w:rsidRDefault="00B14D71" w:rsidP="00B14D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584EF7" w:rsidRPr="00B14D71">
        <w:rPr>
          <w:sz w:val="24"/>
          <w:szCs w:val="24"/>
        </w:rPr>
        <w:t>Hamer</w:t>
      </w:r>
      <w:r w:rsidR="00797DE6" w:rsidRPr="00B14D71">
        <w:rPr>
          <w:sz w:val="24"/>
          <w:szCs w:val="24"/>
        </w:rPr>
        <w:t>,</w:t>
      </w:r>
      <w:r w:rsidR="00584EF7" w:rsidRPr="00B14D71">
        <w:rPr>
          <w:sz w:val="24"/>
          <w:szCs w:val="24"/>
        </w:rPr>
        <w:t xml:space="preserve"> M</w:t>
      </w:r>
      <w:r w:rsidR="00797DE6" w:rsidRPr="00B14D71">
        <w:rPr>
          <w:sz w:val="24"/>
          <w:szCs w:val="24"/>
        </w:rPr>
        <w:t>.</w:t>
      </w:r>
      <w:r w:rsidR="00584EF7" w:rsidRPr="00B14D71">
        <w:rPr>
          <w:sz w:val="24"/>
          <w:szCs w:val="24"/>
        </w:rPr>
        <w:t>, Lavoie</w:t>
      </w:r>
      <w:r w:rsidR="00797DE6" w:rsidRPr="00B14D71">
        <w:rPr>
          <w:sz w:val="24"/>
          <w:szCs w:val="24"/>
        </w:rPr>
        <w:t>,</w:t>
      </w:r>
      <w:r w:rsidR="00584EF7" w:rsidRPr="00B14D71">
        <w:rPr>
          <w:sz w:val="24"/>
          <w:szCs w:val="24"/>
        </w:rPr>
        <w:t xml:space="preserve"> K</w:t>
      </w:r>
      <w:r w:rsidR="00797DE6" w:rsidRPr="00B14D71">
        <w:rPr>
          <w:sz w:val="24"/>
          <w:szCs w:val="24"/>
        </w:rPr>
        <w:t xml:space="preserve">. </w:t>
      </w:r>
      <w:r w:rsidR="00584EF7" w:rsidRPr="00B14D71">
        <w:rPr>
          <w:sz w:val="24"/>
          <w:szCs w:val="24"/>
        </w:rPr>
        <w:t>L</w:t>
      </w:r>
      <w:r w:rsidR="00797DE6" w:rsidRPr="00B14D71">
        <w:rPr>
          <w:sz w:val="24"/>
          <w:szCs w:val="24"/>
        </w:rPr>
        <w:t>.</w:t>
      </w:r>
      <w:r w:rsidR="00584EF7" w:rsidRPr="00B14D71">
        <w:rPr>
          <w:sz w:val="24"/>
          <w:szCs w:val="24"/>
        </w:rPr>
        <w:t xml:space="preserve">, </w:t>
      </w:r>
      <w:r w:rsidR="00797DE6" w:rsidRPr="00B14D71">
        <w:rPr>
          <w:sz w:val="24"/>
          <w:szCs w:val="24"/>
        </w:rPr>
        <w:t xml:space="preserve">and </w:t>
      </w:r>
      <w:r w:rsidR="00584EF7" w:rsidRPr="00B14D71">
        <w:rPr>
          <w:sz w:val="24"/>
          <w:szCs w:val="24"/>
        </w:rPr>
        <w:t>Bacon</w:t>
      </w:r>
      <w:r w:rsidR="00797DE6" w:rsidRPr="00B14D71">
        <w:rPr>
          <w:sz w:val="24"/>
          <w:szCs w:val="24"/>
        </w:rPr>
        <w:t>,</w:t>
      </w:r>
      <w:r w:rsidR="00584EF7" w:rsidRPr="00B14D71">
        <w:rPr>
          <w:sz w:val="24"/>
          <w:szCs w:val="24"/>
        </w:rPr>
        <w:t xml:space="preserve"> S</w:t>
      </w:r>
      <w:r w:rsidR="00797DE6" w:rsidRPr="00B14D71">
        <w:rPr>
          <w:sz w:val="24"/>
          <w:szCs w:val="24"/>
        </w:rPr>
        <w:t xml:space="preserve">. </w:t>
      </w:r>
      <w:r w:rsidR="00584EF7" w:rsidRPr="00B14D71">
        <w:rPr>
          <w:sz w:val="24"/>
          <w:szCs w:val="24"/>
        </w:rPr>
        <w:t xml:space="preserve">L. </w:t>
      </w:r>
      <w:r w:rsidR="00584EF7" w:rsidRPr="00B14D71">
        <w:rPr>
          <w:b/>
          <w:sz w:val="24"/>
          <w:szCs w:val="24"/>
        </w:rPr>
        <w:t>Taking up physical activity in later life and healthy ageing: the English Longitudinal Study of Ageing.</w:t>
      </w:r>
      <w:r w:rsidR="00584EF7" w:rsidRPr="00B14D71">
        <w:rPr>
          <w:sz w:val="24"/>
          <w:szCs w:val="24"/>
        </w:rPr>
        <w:t xml:space="preserve"> </w:t>
      </w:r>
      <w:r w:rsidR="00584EF7" w:rsidRPr="00B14D71">
        <w:rPr>
          <w:i/>
          <w:sz w:val="24"/>
          <w:szCs w:val="24"/>
        </w:rPr>
        <w:t>Br J Sports Med</w:t>
      </w:r>
      <w:r w:rsidR="00797DE6" w:rsidRPr="00B14D71">
        <w:rPr>
          <w:i/>
          <w:sz w:val="24"/>
          <w:szCs w:val="24"/>
        </w:rPr>
        <w:t>.</w:t>
      </w:r>
      <w:r w:rsidR="00584EF7" w:rsidRPr="00B14D71">
        <w:rPr>
          <w:sz w:val="24"/>
          <w:szCs w:val="24"/>
        </w:rPr>
        <w:t xml:space="preserve"> 2014; 48:</w:t>
      </w:r>
      <w:r w:rsidR="00797DE6" w:rsidRPr="00B14D71">
        <w:rPr>
          <w:sz w:val="24"/>
          <w:szCs w:val="24"/>
        </w:rPr>
        <w:t xml:space="preserve"> 239-243</w:t>
      </w:r>
      <w:r w:rsidR="00584EF7" w:rsidRPr="00B14D71">
        <w:rPr>
          <w:sz w:val="24"/>
          <w:szCs w:val="24"/>
        </w:rPr>
        <w:t xml:space="preserve"> </w:t>
      </w:r>
    </w:p>
    <w:p w14:paraId="388EAFF2" w14:textId="77777777" w:rsidR="0051259E" w:rsidRDefault="0051259E" w:rsidP="00AA2E0E">
      <w:pPr>
        <w:pStyle w:val="ListParagraph"/>
        <w:spacing w:line="480" w:lineRule="auto"/>
        <w:ind w:left="643"/>
        <w:jc w:val="both"/>
        <w:rPr>
          <w:sz w:val="24"/>
          <w:szCs w:val="24"/>
        </w:rPr>
      </w:pPr>
    </w:p>
    <w:p w14:paraId="41BF62D5" w14:textId="77777777" w:rsidR="00AA2E0E" w:rsidRDefault="00AA2E0E" w:rsidP="00AA2E0E">
      <w:pPr>
        <w:pStyle w:val="ListParagraph"/>
        <w:spacing w:line="480" w:lineRule="auto"/>
        <w:ind w:left="643"/>
        <w:jc w:val="both"/>
        <w:rPr>
          <w:sz w:val="24"/>
          <w:szCs w:val="24"/>
        </w:rPr>
      </w:pPr>
    </w:p>
    <w:p w14:paraId="7FF0D720" w14:textId="77777777" w:rsidR="006B5DC8" w:rsidRDefault="006B5DC8" w:rsidP="00AA2E0E">
      <w:pPr>
        <w:pStyle w:val="ListParagraph"/>
        <w:spacing w:line="480" w:lineRule="auto"/>
        <w:ind w:left="643"/>
        <w:jc w:val="both"/>
        <w:rPr>
          <w:sz w:val="24"/>
          <w:szCs w:val="24"/>
        </w:rPr>
      </w:pPr>
    </w:p>
    <w:p w14:paraId="5579E195" w14:textId="77777777" w:rsidR="006B5DC8" w:rsidRDefault="006B5DC8" w:rsidP="00AA2E0E">
      <w:pPr>
        <w:pStyle w:val="ListParagraph"/>
        <w:spacing w:line="480" w:lineRule="auto"/>
        <w:ind w:left="643"/>
        <w:jc w:val="both"/>
        <w:rPr>
          <w:sz w:val="24"/>
          <w:szCs w:val="24"/>
        </w:rPr>
      </w:pPr>
    </w:p>
    <w:p w14:paraId="663F637D" w14:textId="77777777" w:rsidR="00AA2E0E" w:rsidRDefault="00AA2E0E" w:rsidP="00AA2E0E">
      <w:pPr>
        <w:pStyle w:val="ListParagraph"/>
        <w:spacing w:line="480" w:lineRule="auto"/>
        <w:ind w:left="643"/>
        <w:jc w:val="both"/>
        <w:rPr>
          <w:sz w:val="24"/>
          <w:szCs w:val="24"/>
        </w:rPr>
      </w:pPr>
    </w:p>
    <w:p w14:paraId="28D891A5" w14:textId="77777777" w:rsidR="00AA2E0E" w:rsidRDefault="00AA2E0E" w:rsidP="00AA2E0E">
      <w:pPr>
        <w:pStyle w:val="ListParagraph"/>
        <w:spacing w:line="480" w:lineRule="auto"/>
        <w:ind w:left="643"/>
        <w:jc w:val="both"/>
        <w:rPr>
          <w:sz w:val="24"/>
          <w:szCs w:val="24"/>
        </w:rPr>
      </w:pPr>
    </w:p>
    <w:p w14:paraId="17583B9D" w14:textId="77777777" w:rsidR="00AA2E0E" w:rsidRDefault="00AA2E0E" w:rsidP="00AA2E0E">
      <w:pPr>
        <w:pStyle w:val="ListParagraph"/>
        <w:spacing w:line="480" w:lineRule="auto"/>
        <w:ind w:left="643"/>
        <w:jc w:val="both"/>
        <w:rPr>
          <w:sz w:val="24"/>
          <w:szCs w:val="24"/>
        </w:rPr>
      </w:pPr>
    </w:p>
    <w:p w14:paraId="2EF3B341" w14:textId="77777777" w:rsidR="00AA2E0E" w:rsidRPr="00AA2E0E" w:rsidRDefault="00AA2E0E" w:rsidP="00AA2E0E">
      <w:pPr>
        <w:pStyle w:val="ListParagraph"/>
        <w:spacing w:line="480" w:lineRule="auto"/>
        <w:ind w:left="643"/>
        <w:jc w:val="both"/>
        <w:rPr>
          <w:sz w:val="24"/>
          <w:szCs w:val="24"/>
        </w:rPr>
      </w:pPr>
      <w:bookmarkStart w:id="6" w:name="_GoBack"/>
      <w:bookmarkEnd w:id="6"/>
    </w:p>
    <w:p w14:paraId="5F3A5E74" w14:textId="1BA8CABD" w:rsidR="00380526" w:rsidRDefault="00380526" w:rsidP="00380526">
      <w:pPr>
        <w:spacing w:line="480" w:lineRule="auto"/>
        <w:jc w:val="both"/>
        <w:rPr>
          <w:i/>
          <w:sz w:val="24"/>
          <w:szCs w:val="24"/>
        </w:rPr>
      </w:pPr>
    </w:p>
    <w:p w14:paraId="7005786E" w14:textId="77777777" w:rsidR="00380526" w:rsidRDefault="00380526" w:rsidP="00380526"/>
    <w:p w14:paraId="1B937513" w14:textId="77777777" w:rsidR="001910BB" w:rsidRDefault="001910BB" w:rsidP="00380526"/>
    <w:p w14:paraId="02FF18FF" w14:textId="77777777" w:rsidR="001910BB" w:rsidRDefault="001910BB" w:rsidP="00380526"/>
    <w:p w14:paraId="0F6E9FDE" w14:textId="77777777" w:rsidR="001910BB" w:rsidRDefault="001910BB" w:rsidP="00380526"/>
    <w:p w14:paraId="21F7C817" w14:textId="77777777" w:rsidR="001910BB" w:rsidRDefault="001910BB" w:rsidP="00380526"/>
    <w:p w14:paraId="1CEA022F" w14:textId="006E1330" w:rsidR="00380526" w:rsidRPr="00BA5342" w:rsidRDefault="00562446" w:rsidP="00104A7F">
      <w:pPr>
        <w:spacing w:line="480" w:lineRule="auto"/>
        <w:rPr>
          <w:sz w:val="24"/>
          <w:szCs w:val="24"/>
        </w:rPr>
      </w:pPr>
      <w:r w:rsidRPr="00BA5342">
        <w:rPr>
          <w:b/>
          <w:sz w:val="24"/>
          <w:szCs w:val="24"/>
        </w:rPr>
        <w:lastRenderedPageBreak/>
        <w:t>Table</w:t>
      </w:r>
      <w:r w:rsidR="00380526" w:rsidRPr="00BA5342">
        <w:rPr>
          <w:sz w:val="24"/>
          <w:szCs w:val="24"/>
        </w:rPr>
        <w:t xml:space="preserve">. Multinomial logistic regression on longitudinal association between </w:t>
      </w:r>
      <w:proofErr w:type="gramStart"/>
      <w:r w:rsidR="00380526" w:rsidRPr="00BA5342">
        <w:rPr>
          <w:sz w:val="24"/>
          <w:szCs w:val="24"/>
        </w:rPr>
        <w:t>4 year</w:t>
      </w:r>
      <w:proofErr w:type="gramEnd"/>
      <w:r w:rsidR="00380526" w:rsidRPr="00BA5342">
        <w:rPr>
          <w:sz w:val="24"/>
          <w:szCs w:val="24"/>
        </w:rPr>
        <w:t xml:space="preserve"> change in physical activity (wave 1 to 3) and f</w:t>
      </w:r>
      <w:r w:rsidRPr="00BA5342">
        <w:rPr>
          <w:sz w:val="24"/>
          <w:szCs w:val="24"/>
        </w:rPr>
        <w:t>alls risk (at wave 5) (n=4,686)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1541"/>
        <w:gridCol w:w="2551"/>
        <w:gridCol w:w="2755"/>
      </w:tblGrid>
      <w:tr w:rsidR="00380526" w14:paraId="33D9A9A6" w14:textId="77777777" w:rsidTr="004F4E12">
        <w:tc>
          <w:tcPr>
            <w:tcW w:w="2395" w:type="dxa"/>
          </w:tcPr>
          <w:p w14:paraId="5862800B" w14:textId="77777777" w:rsidR="00380526" w:rsidRPr="00D11258" w:rsidRDefault="00380526" w:rsidP="004F4E12">
            <w:pPr>
              <w:rPr>
                <w:b/>
              </w:rPr>
            </w:pPr>
          </w:p>
        </w:tc>
        <w:tc>
          <w:tcPr>
            <w:tcW w:w="6847" w:type="dxa"/>
            <w:gridSpan w:val="3"/>
          </w:tcPr>
          <w:p w14:paraId="55D6FDF6" w14:textId="47999F60" w:rsidR="00380526" w:rsidRPr="001C4E28" w:rsidRDefault="001C4E28" w:rsidP="004F4E12">
            <w:pPr>
              <w:jc w:val="center"/>
              <w:rPr>
                <w:i/>
                <w:color w:val="FF0000"/>
              </w:rPr>
            </w:pPr>
            <w:r w:rsidRPr="001C4E28">
              <w:rPr>
                <w:i/>
                <w:color w:val="FF0000"/>
              </w:rPr>
              <w:t>Non</w:t>
            </w:r>
            <w:r w:rsidR="00546B66">
              <w:rPr>
                <w:i/>
                <w:color w:val="FF0000"/>
              </w:rPr>
              <w:t>-</w:t>
            </w:r>
            <w:r w:rsidR="00006DBB" w:rsidRPr="001C4E28">
              <w:rPr>
                <w:i/>
                <w:color w:val="FF0000"/>
              </w:rPr>
              <w:t>Injurious</w:t>
            </w:r>
            <w:r w:rsidR="00380526" w:rsidRPr="001C4E28">
              <w:rPr>
                <w:i/>
                <w:color w:val="FF0000"/>
              </w:rPr>
              <w:t xml:space="preserve"> fall</w:t>
            </w:r>
          </w:p>
        </w:tc>
      </w:tr>
      <w:tr w:rsidR="00380526" w14:paraId="4C71C910" w14:textId="77777777" w:rsidTr="004F4E12">
        <w:tc>
          <w:tcPr>
            <w:tcW w:w="2395" w:type="dxa"/>
          </w:tcPr>
          <w:p w14:paraId="404E12A2" w14:textId="77777777" w:rsidR="00380526" w:rsidRPr="00D11258" w:rsidRDefault="00380526" w:rsidP="004F4E12">
            <w:pPr>
              <w:rPr>
                <w:b/>
              </w:rPr>
            </w:pPr>
            <w:r w:rsidRPr="00D11258">
              <w:rPr>
                <w:b/>
              </w:rPr>
              <w:t xml:space="preserve">Physical activity </w:t>
            </w:r>
            <w:proofErr w:type="gramStart"/>
            <w:r>
              <w:rPr>
                <w:b/>
              </w:rPr>
              <w:t>change</w:t>
            </w:r>
            <w:proofErr w:type="gramEnd"/>
            <w:r>
              <w:rPr>
                <w:b/>
              </w:rPr>
              <w:t xml:space="preserve"> over 4 years</w:t>
            </w:r>
          </w:p>
        </w:tc>
        <w:tc>
          <w:tcPr>
            <w:tcW w:w="1541" w:type="dxa"/>
          </w:tcPr>
          <w:p w14:paraId="0E2D95B7" w14:textId="77777777" w:rsidR="00380526" w:rsidRDefault="00380526" w:rsidP="004F4E12">
            <w:r>
              <w:t>Cases/N</w:t>
            </w:r>
          </w:p>
        </w:tc>
        <w:tc>
          <w:tcPr>
            <w:tcW w:w="2551" w:type="dxa"/>
          </w:tcPr>
          <w:p w14:paraId="05D53E30" w14:textId="0413B642" w:rsidR="00380526" w:rsidRDefault="00380526" w:rsidP="004F4E12">
            <w:r>
              <w:t>Model 1</w:t>
            </w:r>
            <w:r w:rsidR="00E21249" w:rsidRPr="00E21249">
              <w:rPr>
                <w:color w:val="FF0000"/>
                <w:vertAlign w:val="superscript"/>
              </w:rPr>
              <w:t>a</w:t>
            </w:r>
          </w:p>
          <w:p w14:paraId="60BF6D76" w14:textId="77777777" w:rsidR="00380526" w:rsidRDefault="00380526" w:rsidP="004F4E12">
            <w:r>
              <w:t>OR (95 % CI)</w:t>
            </w:r>
          </w:p>
        </w:tc>
        <w:tc>
          <w:tcPr>
            <w:tcW w:w="2755" w:type="dxa"/>
          </w:tcPr>
          <w:p w14:paraId="2AD72049" w14:textId="0343ABFA" w:rsidR="00380526" w:rsidRDefault="00380526" w:rsidP="004F4E12">
            <w:r>
              <w:t>Model 2</w:t>
            </w:r>
            <w:r w:rsidR="00E21249" w:rsidRPr="00E21249">
              <w:rPr>
                <w:color w:val="FF0000"/>
                <w:vertAlign w:val="superscript"/>
              </w:rPr>
              <w:t>b</w:t>
            </w:r>
          </w:p>
          <w:p w14:paraId="19FE50E3" w14:textId="77777777" w:rsidR="00380526" w:rsidRDefault="00380526" w:rsidP="004F4E12">
            <w:r>
              <w:t>OR (95% CI)</w:t>
            </w:r>
          </w:p>
        </w:tc>
      </w:tr>
      <w:tr w:rsidR="00380526" w14:paraId="0652F6B9" w14:textId="77777777" w:rsidTr="004F4E12">
        <w:tc>
          <w:tcPr>
            <w:tcW w:w="2395" w:type="dxa"/>
          </w:tcPr>
          <w:p w14:paraId="443B5848" w14:textId="77777777" w:rsidR="00380526" w:rsidRDefault="00380526" w:rsidP="004F4E12">
            <w:r>
              <w:t>Remain active†</w:t>
            </w:r>
          </w:p>
        </w:tc>
        <w:tc>
          <w:tcPr>
            <w:tcW w:w="1541" w:type="dxa"/>
          </w:tcPr>
          <w:p w14:paraId="33B6AA75" w14:textId="77777777" w:rsidR="00380526" w:rsidRDefault="00380526" w:rsidP="004F4E12">
            <w:r>
              <w:t>675/3349</w:t>
            </w:r>
          </w:p>
        </w:tc>
        <w:tc>
          <w:tcPr>
            <w:tcW w:w="2551" w:type="dxa"/>
          </w:tcPr>
          <w:p w14:paraId="01B61E5A" w14:textId="77777777" w:rsidR="00380526" w:rsidRDefault="00380526" w:rsidP="004F4E12">
            <w:r>
              <w:t>1.0 (Ref)</w:t>
            </w:r>
          </w:p>
        </w:tc>
        <w:tc>
          <w:tcPr>
            <w:tcW w:w="2755" w:type="dxa"/>
          </w:tcPr>
          <w:p w14:paraId="42B71FFD" w14:textId="77777777" w:rsidR="00380526" w:rsidRDefault="00380526" w:rsidP="004F4E12">
            <w:r>
              <w:t>1.0 (Ref)</w:t>
            </w:r>
          </w:p>
        </w:tc>
      </w:tr>
      <w:tr w:rsidR="00380526" w14:paraId="75148D0E" w14:textId="77777777" w:rsidTr="004F4E12">
        <w:tc>
          <w:tcPr>
            <w:tcW w:w="2395" w:type="dxa"/>
          </w:tcPr>
          <w:p w14:paraId="37CFB81A" w14:textId="77777777" w:rsidR="00380526" w:rsidRDefault="00380526" w:rsidP="004F4E12">
            <w:r>
              <w:t>Became active</w:t>
            </w:r>
          </w:p>
        </w:tc>
        <w:tc>
          <w:tcPr>
            <w:tcW w:w="1541" w:type="dxa"/>
          </w:tcPr>
          <w:p w14:paraId="36D68D52" w14:textId="77777777" w:rsidR="00380526" w:rsidRDefault="00380526" w:rsidP="004F4E12">
            <w:r>
              <w:t>84/403</w:t>
            </w:r>
          </w:p>
        </w:tc>
        <w:tc>
          <w:tcPr>
            <w:tcW w:w="2551" w:type="dxa"/>
          </w:tcPr>
          <w:p w14:paraId="5FF84E64" w14:textId="77777777" w:rsidR="00380526" w:rsidRDefault="00380526" w:rsidP="004F4E12">
            <w:r>
              <w:t>1.04</w:t>
            </w:r>
            <w:r w:rsidRPr="00B23D5A">
              <w:t xml:space="preserve"> (0.</w:t>
            </w:r>
            <w:r>
              <w:t>8</w:t>
            </w:r>
            <w:r w:rsidRPr="00B23D5A">
              <w:t>1, 1.</w:t>
            </w:r>
            <w:r>
              <w:t>35</w:t>
            </w:r>
            <w:r w:rsidRPr="00B23D5A">
              <w:t>)</w:t>
            </w:r>
          </w:p>
        </w:tc>
        <w:tc>
          <w:tcPr>
            <w:tcW w:w="2755" w:type="dxa"/>
          </w:tcPr>
          <w:p w14:paraId="53E436BB" w14:textId="77777777" w:rsidR="00380526" w:rsidRDefault="00380526" w:rsidP="004F4E12">
            <w:r w:rsidRPr="00B23D5A">
              <w:t>0.93 (0.71, 1.21)</w:t>
            </w:r>
          </w:p>
        </w:tc>
      </w:tr>
      <w:tr w:rsidR="00380526" w14:paraId="48617E5F" w14:textId="77777777" w:rsidTr="004F4E12">
        <w:tc>
          <w:tcPr>
            <w:tcW w:w="2395" w:type="dxa"/>
          </w:tcPr>
          <w:p w14:paraId="30744C38" w14:textId="77777777" w:rsidR="00380526" w:rsidRDefault="00380526" w:rsidP="004F4E12">
            <w:r>
              <w:t xml:space="preserve">Became inactive </w:t>
            </w:r>
          </w:p>
        </w:tc>
        <w:tc>
          <w:tcPr>
            <w:tcW w:w="1541" w:type="dxa"/>
          </w:tcPr>
          <w:p w14:paraId="789CDD2D" w14:textId="77777777" w:rsidR="00380526" w:rsidRDefault="00380526" w:rsidP="004F4E12">
            <w:r>
              <w:t>125/533</w:t>
            </w:r>
          </w:p>
        </w:tc>
        <w:tc>
          <w:tcPr>
            <w:tcW w:w="2551" w:type="dxa"/>
          </w:tcPr>
          <w:p w14:paraId="34DE0993" w14:textId="77777777" w:rsidR="00380526" w:rsidRDefault="00380526" w:rsidP="004F4E12">
            <w:r>
              <w:t>1.18 (0.94, 1.48)</w:t>
            </w:r>
          </w:p>
        </w:tc>
        <w:tc>
          <w:tcPr>
            <w:tcW w:w="2755" w:type="dxa"/>
          </w:tcPr>
          <w:p w14:paraId="45221A8D" w14:textId="77777777" w:rsidR="00380526" w:rsidRDefault="00380526" w:rsidP="004F4E12">
            <w:r>
              <w:t>1.04 (0.82, 1.31)</w:t>
            </w:r>
          </w:p>
        </w:tc>
      </w:tr>
      <w:tr w:rsidR="00380526" w14:paraId="70CC0C5A" w14:textId="77777777" w:rsidTr="004F4E12">
        <w:tc>
          <w:tcPr>
            <w:tcW w:w="2395" w:type="dxa"/>
          </w:tcPr>
          <w:p w14:paraId="5F39D29C" w14:textId="77777777" w:rsidR="00380526" w:rsidRDefault="00380526" w:rsidP="004F4E12">
            <w:r>
              <w:t>Remain inactive</w:t>
            </w:r>
          </w:p>
        </w:tc>
        <w:tc>
          <w:tcPr>
            <w:tcW w:w="1541" w:type="dxa"/>
          </w:tcPr>
          <w:p w14:paraId="48518B2E" w14:textId="77777777" w:rsidR="00380526" w:rsidRDefault="00380526" w:rsidP="004F4E12">
            <w:r>
              <w:t>110/401</w:t>
            </w:r>
          </w:p>
        </w:tc>
        <w:tc>
          <w:tcPr>
            <w:tcW w:w="2551" w:type="dxa"/>
          </w:tcPr>
          <w:p w14:paraId="7B553BC0" w14:textId="77777777" w:rsidR="00380526" w:rsidRDefault="00380526" w:rsidP="004F4E12">
            <w:r>
              <w:t>1.56 (1.22, 1.99)</w:t>
            </w:r>
          </w:p>
        </w:tc>
        <w:tc>
          <w:tcPr>
            <w:tcW w:w="2755" w:type="dxa"/>
          </w:tcPr>
          <w:p w14:paraId="0FE21F00" w14:textId="77777777" w:rsidR="00380526" w:rsidRDefault="00380526" w:rsidP="004F4E12">
            <w:r>
              <w:t>1.18 (0.90, 1.54)</w:t>
            </w:r>
          </w:p>
        </w:tc>
      </w:tr>
      <w:tr w:rsidR="00380526" w14:paraId="045796F0" w14:textId="77777777" w:rsidTr="004F4E12">
        <w:tc>
          <w:tcPr>
            <w:tcW w:w="2395" w:type="dxa"/>
          </w:tcPr>
          <w:p w14:paraId="5F02D23A" w14:textId="77777777" w:rsidR="00380526" w:rsidRPr="00D11258" w:rsidRDefault="00380526" w:rsidP="004F4E12">
            <w:pPr>
              <w:rPr>
                <w:b/>
              </w:rPr>
            </w:pPr>
          </w:p>
        </w:tc>
        <w:tc>
          <w:tcPr>
            <w:tcW w:w="6847" w:type="dxa"/>
            <w:gridSpan w:val="3"/>
          </w:tcPr>
          <w:p w14:paraId="0A47ECE4" w14:textId="5D16F06A" w:rsidR="00380526" w:rsidRPr="00382572" w:rsidRDefault="00006DBB" w:rsidP="004F4E12">
            <w:pPr>
              <w:jc w:val="center"/>
              <w:rPr>
                <w:i/>
              </w:rPr>
            </w:pPr>
            <w:r w:rsidRPr="00006DBB">
              <w:rPr>
                <w:i/>
              </w:rPr>
              <w:t xml:space="preserve">Injurious </w:t>
            </w:r>
            <w:r w:rsidR="00380526" w:rsidRPr="00032537">
              <w:rPr>
                <w:i/>
              </w:rPr>
              <w:t xml:space="preserve">Fall </w:t>
            </w:r>
          </w:p>
        </w:tc>
      </w:tr>
      <w:tr w:rsidR="00380526" w14:paraId="30FC8DC4" w14:textId="77777777" w:rsidTr="004F4E12">
        <w:tc>
          <w:tcPr>
            <w:tcW w:w="2395" w:type="dxa"/>
          </w:tcPr>
          <w:p w14:paraId="2F4619D4" w14:textId="77777777" w:rsidR="00380526" w:rsidRPr="00D11258" w:rsidRDefault="00380526" w:rsidP="004F4E12">
            <w:pPr>
              <w:rPr>
                <w:b/>
              </w:rPr>
            </w:pPr>
          </w:p>
        </w:tc>
        <w:tc>
          <w:tcPr>
            <w:tcW w:w="1541" w:type="dxa"/>
          </w:tcPr>
          <w:p w14:paraId="2F59AD0A" w14:textId="77777777" w:rsidR="00380526" w:rsidRDefault="00380526" w:rsidP="004F4E12">
            <w:r>
              <w:t>Cases/N</w:t>
            </w:r>
          </w:p>
        </w:tc>
        <w:tc>
          <w:tcPr>
            <w:tcW w:w="2551" w:type="dxa"/>
          </w:tcPr>
          <w:p w14:paraId="1E501600" w14:textId="77777777" w:rsidR="00380526" w:rsidRDefault="00380526" w:rsidP="004F4E12">
            <w:r>
              <w:t>Model 1</w:t>
            </w:r>
          </w:p>
          <w:p w14:paraId="0168CEC7" w14:textId="77777777" w:rsidR="00380526" w:rsidRDefault="00380526" w:rsidP="004F4E12">
            <w:r>
              <w:t>OR (95 % CI)</w:t>
            </w:r>
          </w:p>
        </w:tc>
        <w:tc>
          <w:tcPr>
            <w:tcW w:w="2755" w:type="dxa"/>
          </w:tcPr>
          <w:p w14:paraId="2CD1546D" w14:textId="77777777" w:rsidR="00380526" w:rsidRDefault="00380526" w:rsidP="004F4E12">
            <w:r>
              <w:t>Model 2</w:t>
            </w:r>
          </w:p>
          <w:p w14:paraId="75A0B2E9" w14:textId="77777777" w:rsidR="00380526" w:rsidRDefault="00380526" w:rsidP="004F4E12">
            <w:r>
              <w:t>OR (95% CI)</w:t>
            </w:r>
          </w:p>
        </w:tc>
      </w:tr>
      <w:tr w:rsidR="00380526" w14:paraId="4930AE4B" w14:textId="77777777" w:rsidTr="004F4E12">
        <w:tc>
          <w:tcPr>
            <w:tcW w:w="2395" w:type="dxa"/>
          </w:tcPr>
          <w:p w14:paraId="63D776D6" w14:textId="77777777" w:rsidR="00380526" w:rsidRDefault="00380526" w:rsidP="004F4E12">
            <w:r>
              <w:t>Remain active</w:t>
            </w:r>
          </w:p>
        </w:tc>
        <w:tc>
          <w:tcPr>
            <w:tcW w:w="1541" w:type="dxa"/>
          </w:tcPr>
          <w:p w14:paraId="5BF6D964" w14:textId="77777777" w:rsidR="00380526" w:rsidRDefault="00380526" w:rsidP="004F4E12">
            <w:r>
              <w:t>232/3349</w:t>
            </w:r>
          </w:p>
        </w:tc>
        <w:tc>
          <w:tcPr>
            <w:tcW w:w="2551" w:type="dxa"/>
          </w:tcPr>
          <w:p w14:paraId="27FEAF84" w14:textId="77777777" w:rsidR="00380526" w:rsidRDefault="00380526" w:rsidP="004F4E12">
            <w:r>
              <w:t>1.0 (Ref)</w:t>
            </w:r>
          </w:p>
        </w:tc>
        <w:tc>
          <w:tcPr>
            <w:tcW w:w="2755" w:type="dxa"/>
          </w:tcPr>
          <w:p w14:paraId="70A01ACA" w14:textId="77777777" w:rsidR="00380526" w:rsidRDefault="00380526" w:rsidP="004F4E12">
            <w:r>
              <w:t>1.0 (Ref)</w:t>
            </w:r>
          </w:p>
        </w:tc>
      </w:tr>
      <w:tr w:rsidR="00380526" w14:paraId="15E155A1" w14:textId="77777777" w:rsidTr="004F4E12">
        <w:tc>
          <w:tcPr>
            <w:tcW w:w="2395" w:type="dxa"/>
          </w:tcPr>
          <w:p w14:paraId="6B9B5746" w14:textId="77777777" w:rsidR="00380526" w:rsidRDefault="00380526" w:rsidP="004F4E12">
            <w:r>
              <w:t>Became active</w:t>
            </w:r>
          </w:p>
        </w:tc>
        <w:tc>
          <w:tcPr>
            <w:tcW w:w="1541" w:type="dxa"/>
          </w:tcPr>
          <w:p w14:paraId="41700513" w14:textId="77777777" w:rsidR="00380526" w:rsidRDefault="00380526" w:rsidP="004F4E12">
            <w:r>
              <w:t>38/403</w:t>
            </w:r>
          </w:p>
        </w:tc>
        <w:tc>
          <w:tcPr>
            <w:tcW w:w="2551" w:type="dxa"/>
          </w:tcPr>
          <w:p w14:paraId="017F926E" w14:textId="77777777" w:rsidR="00380526" w:rsidRDefault="00380526" w:rsidP="004F4E12">
            <w:r>
              <w:t>1.27</w:t>
            </w:r>
            <w:r w:rsidRPr="00B23D5A">
              <w:t xml:space="preserve"> (0.</w:t>
            </w:r>
            <w:r>
              <w:t>88</w:t>
            </w:r>
            <w:r w:rsidRPr="00B23D5A">
              <w:t>, 1.</w:t>
            </w:r>
            <w:r>
              <w:t>84</w:t>
            </w:r>
            <w:r w:rsidRPr="00B23D5A">
              <w:t>)</w:t>
            </w:r>
          </w:p>
        </w:tc>
        <w:tc>
          <w:tcPr>
            <w:tcW w:w="2755" w:type="dxa"/>
          </w:tcPr>
          <w:p w14:paraId="1621485A" w14:textId="77777777" w:rsidR="00380526" w:rsidRDefault="00380526" w:rsidP="004F4E12">
            <w:r>
              <w:t>1.11 (0.76, 1.52)</w:t>
            </w:r>
          </w:p>
        </w:tc>
      </w:tr>
      <w:tr w:rsidR="00380526" w14:paraId="13386236" w14:textId="77777777" w:rsidTr="004F4E12">
        <w:tc>
          <w:tcPr>
            <w:tcW w:w="2395" w:type="dxa"/>
          </w:tcPr>
          <w:p w14:paraId="009EB18F" w14:textId="77777777" w:rsidR="00380526" w:rsidRDefault="00380526" w:rsidP="004F4E12">
            <w:r>
              <w:t xml:space="preserve">Became inactive </w:t>
            </w:r>
          </w:p>
        </w:tc>
        <w:tc>
          <w:tcPr>
            <w:tcW w:w="1541" w:type="dxa"/>
          </w:tcPr>
          <w:p w14:paraId="630E6F49" w14:textId="77777777" w:rsidR="00380526" w:rsidRDefault="00380526" w:rsidP="004F4E12">
            <w:r>
              <w:t>53/533</w:t>
            </w:r>
          </w:p>
        </w:tc>
        <w:tc>
          <w:tcPr>
            <w:tcW w:w="2551" w:type="dxa"/>
          </w:tcPr>
          <w:p w14:paraId="3BD02BC9" w14:textId="77777777" w:rsidR="00380526" w:rsidRDefault="00380526" w:rsidP="004F4E12">
            <w:r>
              <w:t>1.26 (0.91, 1.74)</w:t>
            </w:r>
          </w:p>
        </w:tc>
        <w:tc>
          <w:tcPr>
            <w:tcW w:w="2755" w:type="dxa"/>
          </w:tcPr>
          <w:p w14:paraId="3C2C86B3" w14:textId="77777777" w:rsidR="00380526" w:rsidRDefault="00380526" w:rsidP="004F4E12">
            <w:r>
              <w:t>1.10 (0.79, 1.55)</w:t>
            </w:r>
          </w:p>
        </w:tc>
      </w:tr>
      <w:tr w:rsidR="00380526" w14:paraId="51932340" w14:textId="77777777" w:rsidTr="004F4E12">
        <w:tc>
          <w:tcPr>
            <w:tcW w:w="2395" w:type="dxa"/>
          </w:tcPr>
          <w:p w14:paraId="751C7BA5" w14:textId="77777777" w:rsidR="00380526" w:rsidRDefault="00380526" w:rsidP="004F4E12">
            <w:r>
              <w:t>Remain inactive</w:t>
            </w:r>
          </w:p>
        </w:tc>
        <w:tc>
          <w:tcPr>
            <w:tcW w:w="1541" w:type="dxa"/>
          </w:tcPr>
          <w:p w14:paraId="60C05476" w14:textId="77777777" w:rsidR="00380526" w:rsidRDefault="00380526" w:rsidP="004F4E12">
            <w:r>
              <w:t>58/401</w:t>
            </w:r>
          </w:p>
        </w:tc>
        <w:tc>
          <w:tcPr>
            <w:tcW w:w="2551" w:type="dxa"/>
          </w:tcPr>
          <w:p w14:paraId="4D7525E2" w14:textId="77777777" w:rsidR="00380526" w:rsidRDefault="00380526" w:rsidP="004F4E12">
            <w:r>
              <w:t>1.94 (1.39, 2.70)</w:t>
            </w:r>
          </w:p>
        </w:tc>
        <w:tc>
          <w:tcPr>
            <w:tcW w:w="2755" w:type="dxa"/>
          </w:tcPr>
          <w:p w14:paraId="223B21F9" w14:textId="77777777" w:rsidR="00380526" w:rsidRDefault="00380526" w:rsidP="004F4E12">
            <w:r>
              <w:t>1.49 (1.04, 2.13)</w:t>
            </w:r>
          </w:p>
        </w:tc>
      </w:tr>
    </w:tbl>
    <w:p w14:paraId="113B2D74" w14:textId="77777777" w:rsidR="00380526" w:rsidRDefault="00380526" w:rsidP="00380526">
      <w:r>
        <w:t>†Remain active defined as maintaining at least moderate activity once a week over 4 years</w:t>
      </w:r>
    </w:p>
    <w:p w14:paraId="264B7523" w14:textId="7A80BF13" w:rsidR="00380526" w:rsidRDefault="00380526" w:rsidP="00380526">
      <w:r>
        <w:t>Odds ratios (OR) are relative to no fall.</w:t>
      </w:r>
      <w:r w:rsidR="001910BB">
        <w:t xml:space="preserve"> </w:t>
      </w:r>
      <w:r w:rsidR="001910BB" w:rsidRPr="001910BB">
        <w:rPr>
          <w:color w:val="FF0000"/>
        </w:rPr>
        <w:t>CI= confidence interval; n= number</w:t>
      </w:r>
    </w:p>
    <w:p w14:paraId="37D989D2" w14:textId="60EAE111" w:rsidR="00380526" w:rsidRDefault="00E21249" w:rsidP="00380526">
      <w:r>
        <w:rPr>
          <w:color w:val="FF0000"/>
        </w:rPr>
        <w:t xml:space="preserve">a </w:t>
      </w:r>
      <w:r w:rsidR="00380526">
        <w:t>Model 1 adjusted for age and sex</w:t>
      </w:r>
    </w:p>
    <w:p w14:paraId="50CC4D0D" w14:textId="57884143" w:rsidR="00380526" w:rsidRPr="006F1CEF" w:rsidRDefault="00E21249" w:rsidP="00380526">
      <w:r>
        <w:rPr>
          <w:color w:val="FF0000"/>
        </w:rPr>
        <w:t xml:space="preserve">b </w:t>
      </w:r>
      <w:r w:rsidR="00380526">
        <w:t>Model 2 adjusted for age, sex, smoking</w:t>
      </w:r>
      <w:r w:rsidR="00584EF7">
        <w:t xml:space="preserve"> </w:t>
      </w:r>
      <w:r w:rsidR="00584EF7" w:rsidRPr="00584EF7">
        <w:t>(current, previous or non-smoker)</w:t>
      </w:r>
      <w:r w:rsidR="00380526">
        <w:t>, alcohol</w:t>
      </w:r>
      <w:r w:rsidR="00584EF7">
        <w:t xml:space="preserve"> </w:t>
      </w:r>
      <w:r w:rsidR="00584EF7" w:rsidRPr="00584EF7">
        <w:t>(daily, at least weekly, rarely, never)</w:t>
      </w:r>
      <w:r w:rsidR="00380526">
        <w:t>, depressive symptoms</w:t>
      </w:r>
      <w:r w:rsidR="00584EF7" w:rsidRPr="00584EF7">
        <w:t xml:space="preserve"> </w:t>
      </w:r>
      <w:r w:rsidR="00584EF7">
        <w:t>(</w:t>
      </w:r>
      <w:r w:rsidR="00584EF7" w:rsidRPr="00584EF7">
        <w:t>a score &gt;3 on the 8-item Centre of Epidemiological Studies Depression scale</w:t>
      </w:r>
      <w:r w:rsidR="00584EF7">
        <w:t>)</w:t>
      </w:r>
      <w:r w:rsidR="00380526">
        <w:t xml:space="preserve">, activity limiting illness, </w:t>
      </w:r>
      <w:r w:rsidR="00AA2E0E">
        <w:t xml:space="preserve">body mass index, </w:t>
      </w:r>
      <w:r w:rsidR="00380526">
        <w:t>wealth</w:t>
      </w:r>
      <w:r w:rsidR="00584EF7" w:rsidRPr="00584EF7">
        <w:t xml:space="preserve"> </w:t>
      </w:r>
      <w:r w:rsidR="00584EF7">
        <w:t>(</w:t>
      </w:r>
      <w:r w:rsidR="00584EF7" w:rsidRPr="00584EF7">
        <w:t xml:space="preserve">calculated as net of debt </w:t>
      </w:r>
      <w:r w:rsidR="00104A7F">
        <w:t>including</w:t>
      </w:r>
      <w:r w:rsidR="00584EF7" w:rsidRPr="00584EF7">
        <w:t xml:space="preserve"> total value of participant’s home (excluding mortgage), financial assets, business assets, and physical wealth)</w:t>
      </w:r>
      <w:r w:rsidR="00AA2E0E">
        <w:t>.</w:t>
      </w:r>
    </w:p>
    <w:p w14:paraId="3576739A" w14:textId="77777777" w:rsidR="00380526" w:rsidRPr="00380526" w:rsidRDefault="00380526" w:rsidP="00380526">
      <w:pPr>
        <w:spacing w:line="480" w:lineRule="auto"/>
        <w:jc w:val="both"/>
        <w:rPr>
          <w:iCs/>
          <w:sz w:val="24"/>
          <w:szCs w:val="24"/>
        </w:rPr>
      </w:pPr>
    </w:p>
    <w:p w14:paraId="3496B7CF" w14:textId="422EEE73" w:rsidR="00F36A09" w:rsidRDefault="00F36A09"/>
    <w:p w14:paraId="1D7E8EEA" w14:textId="1B3D7862" w:rsidR="00FC1495" w:rsidRDefault="00FC1495"/>
    <w:p w14:paraId="2040051F" w14:textId="53112E9B" w:rsidR="00FC1495" w:rsidRDefault="00FC1495"/>
    <w:p w14:paraId="5535E0ED" w14:textId="0F02BE2A" w:rsidR="00FC1495" w:rsidRDefault="00FC1495"/>
    <w:p w14:paraId="77461178" w14:textId="56191BFB" w:rsidR="00FC1495" w:rsidRDefault="00FC1495"/>
    <w:p w14:paraId="7A92CAFD" w14:textId="382F3776" w:rsidR="00FC1495" w:rsidRPr="0031608C" w:rsidRDefault="00FC1495">
      <w:pPr>
        <w:rPr>
          <w:color w:val="FF0000"/>
        </w:rPr>
      </w:pPr>
    </w:p>
    <w:sectPr w:rsidR="00FC1495" w:rsidRPr="003160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AAA0A" w14:textId="77777777" w:rsidR="00DF6587" w:rsidRDefault="00DF6587" w:rsidP="00623C9B">
      <w:pPr>
        <w:spacing w:after="0" w:line="240" w:lineRule="auto"/>
      </w:pPr>
      <w:r>
        <w:separator/>
      </w:r>
    </w:p>
  </w:endnote>
  <w:endnote w:type="continuationSeparator" w:id="0">
    <w:p w14:paraId="63A2C2D5" w14:textId="77777777" w:rsidR="00DF6587" w:rsidRDefault="00DF6587" w:rsidP="0062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8249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96BF4E" w14:textId="7623E82F" w:rsidR="00623C9B" w:rsidRDefault="00623C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0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F6CB54" w14:textId="77777777" w:rsidR="00623C9B" w:rsidRDefault="00623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DCF28" w14:textId="77777777" w:rsidR="00DF6587" w:rsidRDefault="00DF6587" w:rsidP="00623C9B">
      <w:pPr>
        <w:spacing w:after="0" w:line="240" w:lineRule="auto"/>
      </w:pPr>
      <w:r>
        <w:separator/>
      </w:r>
    </w:p>
  </w:footnote>
  <w:footnote w:type="continuationSeparator" w:id="0">
    <w:p w14:paraId="367EA485" w14:textId="77777777" w:rsidR="00DF6587" w:rsidRDefault="00DF6587" w:rsidP="00623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7FF1"/>
    <w:multiLevelType w:val="hybridMultilevel"/>
    <w:tmpl w:val="634CBFB6"/>
    <w:lvl w:ilvl="0" w:tplc="4BF8F1F0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93F41"/>
    <w:multiLevelType w:val="hybridMultilevel"/>
    <w:tmpl w:val="AEFC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50416"/>
    <w:multiLevelType w:val="hybridMultilevel"/>
    <w:tmpl w:val="D640E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57E96"/>
    <w:multiLevelType w:val="hybridMultilevel"/>
    <w:tmpl w:val="24EC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D6"/>
    <w:rsid w:val="00006DBB"/>
    <w:rsid w:val="00012859"/>
    <w:rsid w:val="00032537"/>
    <w:rsid w:val="00042645"/>
    <w:rsid w:val="00044F8C"/>
    <w:rsid w:val="00054DA8"/>
    <w:rsid w:val="00075700"/>
    <w:rsid w:val="000A4CF6"/>
    <w:rsid w:val="000B1289"/>
    <w:rsid w:val="000C035A"/>
    <w:rsid w:val="000C3D4B"/>
    <w:rsid w:val="000D072C"/>
    <w:rsid w:val="000D0B60"/>
    <w:rsid w:val="000F63DA"/>
    <w:rsid w:val="00104A7F"/>
    <w:rsid w:val="001071FA"/>
    <w:rsid w:val="00112B1A"/>
    <w:rsid w:val="00123638"/>
    <w:rsid w:val="0012507D"/>
    <w:rsid w:val="001405B0"/>
    <w:rsid w:val="001451D3"/>
    <w:rsid w:val="0017386F"/>
    <w:rsid w:val="00184626"/>
    <w:rsid w:val="00186077"/>
    <w:rsid w:val="001877E2"/>
    <w:rsid w:val="001910BB"/>
    <w:rsid w:val="001A4F39"/>
    <w:rsid w:val="001B639F"/>
    <w:rsid w:val="001C02D3"/>
    <w:rsid w:val="001C4E28"/>
    <w:rsid w:val="001D65F5"/>
    <w:rsid w:val="001F1BA8"/>
    <w:rsid w:val="001F6C03"/>
    <w:rsid w:val="00217777"/>
    <w:rsid w:val="00233A73"/>
    <w:rsid w:val="00261EDF"/>
    <w:rsid w:val="002744E6"/>
    <w:rsid w:val="002A3456"/>
    <w:rsid w:val="002A416E"/>
    <w:rsid w:val="002C72C5"/>
    <w:rsid w:val="002D23BC"/>
    <w:rsid w:val="002D3D47"/>
    <w:rsid w:val="002E1232"/>
    <w:rsid w:val="002E2007"/>
    <w:rsid w:val="002E513C"/>
    <w:rsid w:val="002F17E0"/>
    <w:rsid w:val="002F32B2"/>
    <w:rsid w:val="003055EA"/>
    <w:rsid w:val="00312FA5"/>
    <w:rsid w:val="0031608C"/>
    <w:rsid w:val="00331103"/>
    <w:rsid w:val="00344912"/>
    <w:rsid w:val="0035605F"/>
    <w:rsid w:val="00376B59"/>
    <w:rsid w:val="0037742B"/>
    <w:rsid w:val="00380132"/>
    <w:rsid w:val="00380526"/>
    <w:rsid w:val="00382572"/>
    <w:rsid w:val="003825B5"/>
    <w:rsid w:val="003871E8"/>
    <w:rsid w:val="003D4C80"/>
    <w:rsid w:val="00412268"/>
    <w:rsid w:val="00414234"/>
    <w:rsid w:val="004244FE"/>
    <w:rsid w:val="00430CFE"/>
    <w:rsid w:val="004316F9"/>
    <w:rsid w:val="00433622"/>
    <w:rsid w:val="004474AE"/>
    <w:rsid w:val="00452A62"/>
    <w:rsid w:val="004615DD"/>
    <w:rsid w:val="00473FE5"/>
    <w:rsid w:val="0049073D"/>
    <w:rsid w:val="00494E0B"/>
    <w:rsid w:val="004A29C2"/>
    <w:rsid w:val="004B5525"/>
    <w:rsid w:val="004C1E85"/>
    <w:rsid w:val="004D6AFB"/>
    <w:rsid w:val="004E01E3"/>
    <w:rsid w:val="00500FE4"/>
    <w:rsid w:val="0051259E"/>
    <w:rsid w:val="00532208"/>
    <w:rsid w:val="00533108"/>
    <w:rsid w:val="00546B66"/>
    <w:rsid w:val="00553E29"/>
    <w:rsid w:val="00562446"/>
    <w:rsid w:val="00584EF7"/>
    <w:rsid w:val="0058571F"/>
    <w:rsid w:val="005A71EB"/>
    <w:rsid w:val="005B1169"/>
    <w:rsid w:val="005B3ADF"/>
    <w:rsid w:val="005C3C54"/>
    <w:rsid w:val="006050AB"/>
    <w:rsid w:val="00615457"/>
    <w:rsid w:val="0062354A"/>
    <w:rsid w:val="00623C9B"/>
    <w:rsid w:val="00624192"/>
    <w:rsid w:val="00651F88"/>
    <w:rsid w:val="00656AF9"/>
    <w:rsid w:val="00670AC2"/>
    <w:rsid w:val="0067555E"/>
    <w:rsid w:val="006B5DC8"/>
    <w:rsid w:val="006C54D3"/>
    <w:rsid w:val="006D4569"/>
    <w:rsid w:val="006F6A0A"/>
    <w:rsid w:val="00706A00"/>
    <w:rsid w:val="00713636"/>
    <w:rsid w:val="00722A26"/>
    <w:rsid w:val="007232F4"/>
    <w:rsid w:val="00763F62"/>
    <w:rsid w:val="00766B4A"/>
    <w:rsid w:val="00767B6D"/>
    <w:rsid w:val="00797DE6"/>
    <w:rsid w:val="007A382A"/>
    <w:rsid w:val="007B75A3"/>
    <w:rsid w:val="007D6A8C"/>
    <w:rsid w:val="0081032A"/>
    <w:rsid w:val="00843816"/>
    <w:rsid w:val="0084599D"/>
    <w:rsid w:val="0085014C"/>
    <w:rsid w:val="00854721"/>
    <w:rsid w:val="00867570"/>
    <w:rsid w:val="00877806"/>
    <w:rsid w:val="00891B25"/>
    <w:rsid w:val="008B3C47"/>
    <w:rsid w:val="008C3283"/>
    <w:rsid w:val="008F27EC"/>
    <w:rsid w:val="008F50FE"/>
    <w:rsid w:val="00906063"/>
    <w:rsid w:val="009142BB"/>
    <w:rsid w:val="00933513"/>
    <w:rsid w:val="00941096"/>
    <w:rsid w:val="00972ACF"/>
    <w:rsid w:val="00972E43"/>
    <w:rsid w:val="00975F0F"/>
    <w:rsid w:val="00977BD6"/>
    <w:rsid w:val="0098291C"/>
    <w:rsid w:val="009A714F"/>
    <w:rsid w:val="009B530D"/>
    <w:rsid w:val="009C6396"/>
    <w:rsid w:val="009F58E7"/>
    <w:rsid w:val="00A02B8F"/>
    <w:rsid w:val="00A177A8"/>
    <w:rsid w:val="00A22932"/>
    <w:rsid w:val="00A46A17"/>
    <w:rsid w:val="00A52CB3"/>
    <w:rsid w:val="00A5404F"/>
    <w:rsid w:val="00A84728"/>
    <w:rsid w:val="00AA2E0E"/>
    <w:rsid w:val="00AB3214"/>
    <w:rsid w:val="00AC4107"/>
    <w:rsid w:val="00AE336C"/>
    <w:rsid w:val="00AF4BEF"/>
    <w:rsid w:val="00B14D71"/>
    <w:rsid w:val="00B23D5A"/>
    <w:rsid w:val="00B34393"/>
    <w:rsid w:val="00B60B37"/>
    <w:rsid w:val="00B60B96"/>
    <w:rsid w:val="00B717A6"/>
    <w:rsid w:val="00B866ED"/>
    <w:rsid w:val="00B91B35"/>
    <w:rsid w:val="00B92FDE"/>
    <w:rsid w:val="00BA5342"/>
    <w:rsid w:val="00BC609C"/>
    <w:rsid w:val="00BC74CC"/>
    <w:rsid w:val="00C05E23"/>
    <w:rsid w:val="00C21F33"/>
    <w:rsid w:val="00C23D78"/>
    <w:rsid w:val="00C4071B"/>
    <w:rsid w:val="00C41018"/>
    <w:rsid w:val="00C51EA1"/>
    <w:rsid w:val="00C800C2"/>
    <w:rsid w:val="00C917D1"/>
    <w:rsid w:val="00CB0B1A"/>
    <w:rsid w:val="00CB2163"/>
    <w:rsid w:val="00CC0BA9"/>
    <w:rsid w:val="00CD4486"/>
    <w:rsid w:val="00CE1E9A"/>
    <w:rsid w:val="00CF7AC8"/>
    <w:rsid w:val="00D10B47"/>
    <w:rsid w:val="00D11258"/>
    <w:rsid w:val="00D33AFF"/>
    <w:rsid w:val="00D533FC"/>
    <w:rsid w:val="00D5460F"/>
    <w:rsid w:val="00D5494E"/>
    <w:rsid w:val="00DD102D"/>
    <w:rsid w:val="00DF6587"/>
    <w:rsid w:val="00DF747E"/>
    <w:rsid w:val="00E21249"/>
    <w:rsid w:val="00E23976"/>
    <w:rsid w:val="00E373D2"/>
    <w:rsid w:val="00E57E28"/>
    <w:rsid w:val="00EA444D"/>
    <w:rsid w:val="00EB561D"/>
    <w:rsid w:val="00EC6EF0"/>
    <w:rsid w:val="00ED2CC0"/>
    <w:rsid w:val="00ED5312"/>
    <w:rsid w:val="00EE3374"/>
    <w:rsid w:val="00EF721F"/>
    <w:rsid w:val="00F174AE"/>
    <w:rsid w:val="00F22624"/>
    <w:rsid w:val="00F3165E"/>
    <w:rsid w:val="00F36A09"/>
    <w:rsid w:val="00F43E65"/>
    <w:rsid w:val="00F62459"/>
    <w:rsid w:val="00F82F6A"/>
    <w:rsid w:val="00F86C79"/>
    <w:rsid w:val="00F877AD"/>
    <w:rsid w:val="00F907D8"/>
    <w:rsid w:val="00F90D00"/>
    <w:rsid w:val="00F9545C"/>
    <w:rsid w:val="00FA7A08"/>
    <w:rsid w:val="00FC1495"/>
    <w:rsid w:val="00FC4F63"/>
    <w:rsid w:val="00FC5220"/>
    <w:rsid w:val="00FC7972"/>
    <w:rsid w:val="00FD37F9"/>
    <w:rsid w:val="00FD3C7C"/>
    <w:rsid w:val="00FE509A"/>
    <w:rsid w:val="00FE58B5"/>
    <w:rsid w:val="00FF0876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6AA1"/>
  <w15:docId w15:val="{E928956D-8609-460C-A464-09C30531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569"/>
  </w:style>
  <w:style w:type="paragraph" w:styleId="Heading1">
    <w:name w:val="heading 1"/>
    <w:basedOn w:val="Normal"/>
    <w:link w:val="Heading1Char"/>
    <w:uiPriority w:val="9"/>
    <w:qFormat/>
    <w:rsid w:val="00F17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15D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5D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4491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3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08"/>
    <w:rPr>
      <w:rFonts w:ascii="Tahoma" w:hAnsi="Tahoma" w:cs="Tahoma"/>
      <w:sz w:val="16"/>
      <w:szCs w:val="16"/>
    </w:rPr>
  </w:style>
  <w:style w:type="character" w:customStyle="1" w:styleId="ref-title">
    <w:name w:val="ref-title"/>
    <w:basedOn w:val="DefaultParagraphFont"/>
    <w:rsid w:val="00533108"/>
  </w:style>
  <w:style w:type="character" w:styleId="Emphasis">
    <w:name w:val="Emphasis"/>
    <w:basedOn w:val="DefaultParagraphFont"/>
    <w:uiPriority w:val="20"/>
    <w:qFormat/>
    <w:rsid w:val="00533108"/>
    <w:rPr>
      <w:i/>
      <w:iCs/>
    </w:rPr>
  </w:style>
  <w:style w:type="character" w:customStyle="1" w:styleId="ref-vol">
    <w:name w:val="ref-vol"/>
    <w:basedOn w:val="DefaultParagraphFont"/>
    <w:rsid w:val="00533108"/>
  </w:style>
  <w:style w:type="character" w:customStyle="1" w:styleId="ref-iss">
    <w:name w:val="ref-iss"/>
    <w:basedOn w:val="DefaultParagraphFont"/>
    <w:rsid w:val="0053310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74A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174A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52A62"/>
    <w:rPr>
      <w:color w:val="808080"/>
      <w:shd w:val="clear" w:color="auto" w:fill="E6E6E6"/>
    </w:rPr>
  </w:style>
  <w:style w:type="paragraph" w:customStyle="1" w:styleId="Title1">
    <w:name w:val="Title1"/>
    <w:basedOn w:val="Normal"/>
    <w:rsid w:val="0076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rsid w:val="0076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76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767B6D"/>
  </w:style>
  <w:style w:type="paragraph" w:styleId="ListParagraph">
    <w:name w:val="List Paragraph"/>
    <w:basedOn w:val="Normal"/>
    <w:uiPriority w:val="34"/>
    <w:qFormat/>
    <w:rsid w:val="006D4569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C9B"/>
  </w:style>
  <w:style w:type="paragraph" w:styleId="Footer">
    <w:name w:val="footer"/>
    <w:basedOn w:val="Normal"/>
    <w:link w:val="FooterChar"/>
    <w:uiPriority w:val="99"/>
    <w:unhideWhenUsed/>
    <w:rsid w:val="00623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9B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E336C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239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95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4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54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ata-archive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Markh</dc:creator>
  <cp:lastModifiedBy>Lee Smith</cp:lastModifiedBy>
  <cp:revision>2</cp:revision>
  <dcterms:created xsi:type="dcterms:W3CDTF">2019-02-01T20:16:00Z</dcterms:created>
  <dcterms:modified xsi:type="dcterms:W3CDTF">2019-02-01T20:16:00Z</dcterms:modified>
</cp:coreProperties>
</file>