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36D7A" w14:textId="74905B25" w:rsidR="00093AAD" w:rsidRPr="00B06BDB" w:rsidRDefault="00E64C92" w:rsidP="006B71AB">
      <w:pPr>
        <w:pStyle w:val="Heading1"/>
        <w:spacing w:before="0" w:after="120" w:line="240" w:lineRule="auto"/>
        <w:rPr>
          <w:color w:val="auto"/>
        </w:rPr>
      </w:pPr>
      <w:r w:rsidRPr="00B06BDB">
        <w:rPr>
          <w:color w:val="auto"/>
        </w:rPr>
        <w:t>Organisational Approach to G</w:t>
      </w:r>
      <w:r w:rsidR="00093AAD" w:rsidRPr="00B06BDB">
        <w:rPr>
          <w:color w:val="auto"/>
        </w:rPr>
        <w:t xml:space="preserve">overnment </w:t>
      </w:r>
      <w:r w:rsidRPr="00B06BDB">
        <w:rPr>
          <w:color w:val="auto"/>
        </w:rPr>
        <w:t>Digital Transformation: C</w:t>
      </w:r>
      <w:r w:rsidR="00093AAD" w:rsidRPr="00B06BDB">
        <w:rPr>
          <w:color w:val="auto"/>
        </w:rPr>
        <w:t>omparing the UK and Sweden</w:t>
      </w:r>
    </w:p>
    <w:p w14:paraId="3A5BB0D2" w14:textId="52A5C82C" w:rsidR="00E8239F" w:rsidRPr="00B06BDB" w:rsidRDefault="00ED3DD8" w:rsidP="006B71AB">
      <w:pPr>
        <w:pStyle w:val="Heading1"/>
        <w:spacing w:before="0" w:after="120" w:line="240" w:lineRule="auto"/>
        <w:rPr>
          <w:rFonts w:cstheme="minorHAnsi"/>
          <w:color w:val="auto"/>
          <w:sz w:val="20"/>
          <w:szCs w:val="20"/>
          <w:vertAlign w:val="superscript"/>
        </w:rPr>
      </w:pPr>
      <w:r w:rsidRPr="00B06BDB">
        <w:rPr>
          <w:rFonts w:cstheme="minorHAnsi"/>
          <w:color w:val="auto"/>
          <w:sz w:val="20"/>
          <w:szCs w:val="20"/>
        </w:rPr>
        <w:t>Irina Popova</w:t>
      </w:r>
      <w:r w:rsidRPr="00B06BDB">
        <w:rPr>
          <w:rFonts w:cstheme="minorHAnsi"/>
          <w:color w:val="auto"/>
          <w:sz w:val="20"/>
          <w:szCs w:val="20"/>
          <w:vertAlign w:val="superscript"/>
        </w:rPr>
        <w:t>1</w:t>
      </w:r>
      <w:r w:rsidRPr="00B06BDB">
        <w:rPr>
          <w:rFonts w:cstheme="minorHAnsi"/>
          <w:color w:val="auto"/>
          <w:sz w:val="20"/>
          <w:szCs w:val="20"/>
        </w:rPr>
        <w:t>, Chris Ivory</w:t>
      </w:r>
      <w:r w:rsidRPr="00B06BDB">
        <w:rPr>
          <w:rFonts w:cstheme="minorHAnsi"/>
          <w:color w:val="auto"/>
          <w:sz w:val="20"/>
          <w:szCs w:val="20"/>
          <w:vertAlign w:val="superscript"/>
        </w:rPr>
        <w:t>1</w:t>
      </w:r>
      <w:r w:rsidRPr="00B06BDB">
        <w:rPr>
          <w:rFonts w:cstheme="minorHAnsi"/>
          <w:color w:val="auto"/>
          <w:sz w:val="20"/>
          <w:szCs w:val="20"/>
        </w:rPr>
        <w:t>, Anna Uhlin</w:t>
      </w:r>
      <w:r w:rsidRPr="00B06BDB">
        <w:rPr>
          <w:rFonts w:cstheme="minorHAnsi"/>
          <w:color w:val="auto"/>
          <w:sz w:val="20"/>
          <w:szCs w:val="20"/>
          <w:vertAlign w:val="superscript"/>
        </w:rPr>
        <w:t>2</w:t>
      </w:r>
    </w:p>
    <w:p w14:paraId="3CFD194D" w14:textId="517B00B6" w:rsidR="00D44585" w:rsidRPr="00B06BDB" w:rsidRDefault="00D44585" w:rsidP="00220B98">
      <w:pPr>
        <w:pStyle w:val="Heading1"/>
        <w:spacing w:before="0" w:line="240" w:lineRule="auto"/>
        <w:rPr>
          <w:rFonts w:cstheme="minorHAnsi"/>
          <w:color w:val="auto"/>
          <w:sz w:val="20"/>
          <w:szCs w:val="20"/>
        </w:rPr>
      </w:pPr>
      <w:r w:rsidRPr="00B06BDB">
        <w:rPr>
          <w:rFonts w:cstheme="minorHAnsi"/>
          <w:color w:val="auto"/>
          <w:sz w:val="20"/>
          <w:szCs w:val="20"/>
          <w:vertAlign w:val="superscript"/>
        </w:rPr>
        <w:t>1</w:t>
      </w:r>
      <w:r w:rsidRPr="00B06BDB">
        <w:rPr>
          <w:rFonts w:cstheme="minorHAnsi"/>
          <w:color w:val="auto"/>
          <w:sz w:val="20"/>
          <w:szCs w:val="20"/>
        </w:rPr>
        <w:t>IMPACT Research Centre, LAIBS, Anglia Ruskin University, Cambridge, UK</w:t>
      </w:r>
    </w:p>
    <w:p w14:paraId="76D73A1A" w14:textId="09BE09D4" w:rsidR="00D44585" w:rsidRPr="00B06BDB" w:rsidRDefault="00D44585" w:rsidP="00220B98">
      <w:pPr>
        <w:pStyle w:val="Heading1"/>
        <w:spacing w:before="0" w:line="240" w:lineRule="auto"/>
        <w:rPr>
          <w:rFonts w:cstheme="minorHAnsi"/>
          <w:color w:val="auto"/>
          <w:sz w:val="20"/>
          <w:szCs w:val="20"/>
        </w:rPr>
      </w:pPr>
      <w:r w:rsidRPr="00B06BDB">
        <w:rPr>
          <w:rFonts w:cstheme="minorHAnsi"/>
          <w:color w:val="auto"/>
          <w:sz w:val="20"/>
          <w:szCs w:val="20"/>
          <w:vertAlign w:val="superscript"/>
        </w:rPr>
        <w:t>2</w:t>
      </w:r>
      <w:r w:rsidRPr="00B06BDB">
        <w:rPr>
          <w:rFonts w:cstheme="minorHAnsi"/>
          <w:color w:val="auto"/>
          <w:sz w:val="20"/>
          <w:szCs w:val="20"/>
        </w:rPr>
        <w:t xml:space="preserve">School of Business, Society and Engineering, </w:t>
      </w:r>
      <w:proofErr w:type="spellStart"/>
      <w:r w:rsidRPr="00B06BDB">
        <w:rPr>
          <w:rFonts w:cstheme="minorHAnsi"/>
          <w:color w:val="auto"/>
          <w:sz w:val="20"/>
          <w:szCs w:val="20"/>
        </w:rPr>
        <w:t>Mälardalen</w:t>
      </w:r>
      <w:proofErr w:type="spellEnd"/>
      <w:r w:rsidRPr="00B06BDB">
        <w:rPr>
          <w:rFonts w:cstheme="minorHAnsi"/>
          <w:color w:val="auto"/>
          <w:sz w:val="20"/>
          <w:szCs w:val="20"/>
        </w:rPr>
        <w:t xml:space="preserve"> University, </w:t>
      </w:r>
      <w:proofErr w:type="spellStart"/>
      <w:r w:rsidRPr="00B06BDB">
        <w:rPr>
          <w:rFonts w:cstheme="minorHAnsi"/>
          <w:color w:val="auto"/>
          <w:sz w:val="20"/>
          <w:szCs w:val="20"/>
        </w:rPr>
        <w:t>Västerås</w:t>
      </w:r>
      <w:proofErr w:type="spellEnd"/>
      <w:r w:rsidRPr="00B06BDB">
        <w:rPr>
          <w:rFonts w:cstheme="minorHAnsi"/>
          <w:color w:val="auto"/>
          <w:sz w:val="20"/>
          <w:szCs w:val="20"/>
        </w:rPr>
        <w:t>, Sweden</w:t>
      </w:r>
    </w:p>
    <w:p w14:paraId="26880133" w14:textId="0C471314" w:rsidR="005547BE" w:rsidRPr="00B06BDB" w:rsidRDefault="009657A6" w:rsidP="00220B98">
      <w:pPr>
        <w:spacing w:after="0" w:line="240" w:lineRule="auto"/>
      </w:pPr>
      <w:hyperlink r:id="rId8" w:history="1">
        <w:r w:rsidR="005547BE" w:rsidRPr="00B06BDB">
          <w:rPr>
            <w:rStyle w:val="Hyperlink"/>
            <w:color w:val="auto"/>
          </w:rPr>
          <w:t>irina.popova@anglia.ac.uk</w:t>
        </w:r>
      </w:hyperlink>
    </w:p>
    <w:p w14:paraId="4489E50A" w14:textId="0445DE81" w:rsidR="005547BE" w:rsidRPr="00B06BDB" w:rsidRDefault="009657A6" w:rsidP="00220B98">
      <w:pPr>
        <w:spacing w:after="0" w:line="240" w:lineRule="auto"/>
      </w:pPr>
      <w:hyperlink r:id="rId9" w:history="1">
        <w:r w:rsidR="005547BE" w:rsidRPr="00B06BDB">
          <w:rPr>
            <w:rStyle w:val="Hyperlink"/>
            <w:color w:val="auto"/>
          </w:rPr>
          <w:t>chris.ivory@anglia.ac.uk</w:t>
        </w:r>
      </w:hyperlink>
    </w:p>
    <w:p w14:paraId="4A3C388B" w14:textId="73EF79D7" w:rsidR="005547BE" w:rsidRPr="00B06BDB" w:rsidRDefault="009657A6" w:rsidP="00220B98">
      <w:pPr>
        <w:spacing w:after="0" w:line="240" w:lineRule="auto"/>
      </w:pPr>
      <w:hyperlink r:id="rId10" w:history="1">
        <w:r w:rsidR="005547BE" w:rsidRPr="00B06BDB">
          <w:rPr>
            <w:rStyle w:val="Hyperlink"/>
            <w:color w:val="auto"/>
          </w:rPr>
          <w:t>anna.uhlin@mdh.se</w:t>
        </w:r>
      </w:hyperlink>
      <w:r w:rsidR="005547BE" w:rsidRPr="00B06BDB">
        <w:t xml:space="preserve"> </w:t>
      </w:r>
    </w:p>
    <w:p w14:paraId="4D2A0BD5" w14:textId="77777777" w:rsidR="00612412" w:rsidRPr="00B06BDB" w:rsidRDefault="00612412" w:rsidP="006B71AB">
      <w:pPr>
        <w:pStyle w:val="Heading1"/>
        <w:spacing w:before="0" w:after="120" w:line="240" w:lineRule="auto"/>
        <w:rPr>
          <w:color w:val="auto"/>
        </w:rPr>
      </w:pPr>
    </w:p>
    <w:p w14:paraId="6A9B4E6A" w14:textId="11D04F00" w:rsidR="003220AC" w:rsidRPr="00B06BDB" w:rsidRDefault="003220AC" w:rsidP="006B71AB">
      <w:pPr>
        <w:pStyle w:val="Heading1"/>
        <w:spacing w:before="0" w:after="120" w:line="240" w:lineRule="auto"/>
        <w:rPr>
          <w:color w:val="auto"/>
        </w:rPr>
      </w:pPr>
      <w:r w:rsidRPr="00B06BDB">
        <w:rPr>
          <w:color w:val="auto"/>
        </w:rPr>
        <w:t>Abstract</w:t>
      </w:r>
    </w:p>
    <w:p w14:paraId="60A76B68" w14:textId="5009F70D" w:rsidR="006C7F6D" w:rsidRPr="00B06BDB" w:rsidRDefault="006C7F6D" w:rsidP="006B71AB">
      <w:pPr>
        <w:spacing w:after="120" w:line="240" w:lineRule="auto"/>
        <w:jc w:val="both"/>
        <w:rPr>
          <w:rFonts w:cstheme="minorHAnsi"/>
          <w:sz w:val="20"/>
          <w:szCs w:val="20"/>
        </w:rPr>
      </w:pPr>
      <w:r w:rsidRPr="00B06BDB">
        <w:rPr>
          <w:rFonts w:cstheme="minorHAnsi"/>
          <w:sz w:val="20"/>
          <w:szCs w:val="20"/>
        </w:rPr>
        <w:t xml:space="preserve">This article considers the emergence of e-government in the UK and Sweden by conducting a structured document analysis of relevant government reports. The aim of the research was to examine differences in management planning practice – i.e. how change was planned and executed differently in both states. The key </w:t>
      </w:r>
      <w:r w:rsidR="00041B64" w:rsidRPr="00B06BDB">
        <w:rPr>
          <w:rFonts w:cstheme="minorHAnsi"/>
          <w:sz w:val="20"/>
          <w:szCs w:val="20"/>
        </w:rPr>
        <w:t>finding</w:t>
      </w:r>
      <w:r w:rsidRPr="00B06BDB">
        <w:rPr>
          <w:rFonts w:cstheme="minorHAnsi"/>
          <w:sz w:val="20"/>
          <w:szCs w:val="20"/>
        </w:rPr>
        <w:t xml:space="preserve"> was that the focus of </w:t>
      </w:r>
      <w:r w:rsidR="00041B64" w:rsidRPr="00B06BDB">
        <w:rPr>
          <w:rFonts w:cstheme="minorHAnsi"/>
          <w:sz w:val="20"/>
          <w:szCs w:val="20"/>
        </w:rPr>
        <w:t xml:space="preserve">digital transformation </w:t>
      </w:r>
      <w:r w:rsidRPr="00B06BDB">
        <w:rPr>
          <w:rFonts w:cstheme="minorHAnsi"/>
          <w:sz w:val="20"/>
          <w:szCs w:val="20"/>
        </w:rPr>
        <w:t xml:space="preserve">shifted over time from digitalizing services to digitalizing internal departmental work processes. Both governments enacted change by identifying and supporting new roles and agencies deemed able to drive change. In so doing, both actively </w:t>
      </w:r>
      <w:r w:rsidR="00CB26FA" w:rsidRPr="00B06BDB">
        <w:rPr>
          <w:rFonts w:cstheme="minorHAnsi"/>
          <w:sz w:val="20"/>
          <w:szCs w:val="20"/>
        </w:rPr>
        <w:t xml:space="preserve">sought to </w:t>
      </w:r>
      <w:r w:rsidRPr="00B06BDB">
        <w:rPr>
          <w:rFonts w:cstheme="minorHAnsi"/>
          <w:sz w:val="20"/>
          <w:szCs w:val="20"/>
        </w:rPr>
        <w:t xml:space="preserve">balance macro-social and micro-social shaping forces.  However, the ‘macro’ rationales and micro-level practices for digitalizing services </w:t>
      </w:r>
      <w:r w:rsidR="00CB26FA" w:rsidRPr="00B06BDB">
        <w:rPr>
          <w:rFonts w:cstheme="minorHAnsi"/>
          <w:sz w:val="20"/>
          <w:szCs w:val="20"/>
        </w:rPr>
        <w:t xml:space="preserve">also </w:t>
      </w:r>
      <w:r w:rsidRPr="00B06BDB">
        <w:rPr>
          <w:rFonts w:cstheme="minorHAnsi"/>
          <w:sz w:val="20"/>
          <w:szCs w:val="20"/>
        </w:rPr>
        <w:t xml:space="preserve">showed some differences of focus in each case.   </w:t>
      </w:r>
    </w:p>
    <w:p w14:paraId="4C5A8B27" w14:textId="28B5C731" w:rsidR="00093AAD" w:rsidRPr="00B06BDB" w:rsidRDefault="00093AAD" w:rsidP="006B71AB">
      <w:pPr>
        <w:spacing w:after="120" w:line="240" w:lineRule="auto"/>
        <w:jc w:val="both"/>
        <w:rPr>
          <w:rFonts w:cstheme="minorHAnsi"/>
          <w:b/>
          <w:sz w:val="20"/>
          <w:szCs w:val="20"/>
        </w:rPr>
      </w:pPr>
      <w:r w:rsidRPr="00B06BDB">
        <w:rPr>
          <w:rFonts w:cstheme="minorHAnsi"/>
          <w:b/>
          <w:sz w:val="20"/>
          <w:szCs w:val="20"/>
        </w:rPr>
        <w:t xml:space="preserve">Keywords: digital transformation, digital government, </w:t>
      </w:r>
      <w:proofErr w:type="spellStart"/>
      <w:r w:rsidRPr="00B06BDB">
        <w:rPr>
          <w:rFonts w:cstheme="minorHAnsi"/>
          <w:b/>
          <w:sz w:val="20"/>
          <w:szCs w:val="20"/>
        </w:rPr>
        <w:t>eGovernment</w:t>
      </w:r>
      <w:proofErr w:type="spellEnd"/>
      <w:r w:rsidRPr="00B06BDB">
        <w:rPr>
          <w:rFonts w:cstheme="minorHAnsi"/>
          <w:b/>
          <w:sz w:val="20"/>
          <w:szCs w:val="20"/>
        </w:rPr>
        <w:t>, comparative analysis, document analysis, organisa</w:t>
      </w:r>
      <w:r w:rsidR="009F28C1" w:rsidRPr="00B06BDB">
        <w:rPr>
          <w:rFonts w:cstheme="minorHAnsi"/>
          <w:b/>
          <w:sz w:val="20"/>
          <w:szCs w:val="20"/>
        </w:rPr>
        <w:t>tional transformation, digitalis</w:t>
      </w:r>
      <w:r w:rsidRPr="00B06BDB">
        <w:rPr>
          <w:rFonts w:cstheme="minorHAnsi"/>
          <w:b/>
          <w:sz w:val="20"/>
          <w:szCs w:val="20"/>
        </w:rPr>
        <w:t>ation</w:t>
      </w:r>
    </w:p>
    <w:p w14:paraId="3B2766CD" w14:textId="77777777" w:rsidR="00490BDB" w:rsidRPr="00B06BDB" w:rsidRDefault="00490BDB" w:rsidP="006B71AB">
      <w:pPr>
        <w:pStyle w:val="Heading1"/>
        <w:spacing w:before="0" w:after="120" w:line="240" w:lineRule="auto"/>
        <w:rPr>
          <w:color w:val="auto"/>
        </w:rPr>
      </w:pPr>
      <w:r w:rsidRPr="00B06BDB">
        <w:rPr>
          <w:color w:val="auto"/>
        </w:rPr>
        <w:t>Introduction</w:t>
      </w:r>
    </w:p>
    <w:p w14:paraId="47493F98" w14:textId="496A2C80" w:rsidR="00E30692" w:rsidRPr="00B06BDB" w:rsidRDefault="00E30692" w:rsidP="006B71AB">
      <w:pPr>
        <w:spacing w:after="120" w:line="240" w:lineRule="auto"/>
        <w:jc w:val="both"/>
        <w:rPr>
          <w:rFonts w:cstheme="minorHAnsi"/>
          <w:sz w:val="20"/>
          <w:szCs w:val="20"/>
        </w:rPr>
      </w:pPr>
      <w:r w:rsidRPr="00B06BDB">
        <w:rPr>
          <w:rFonts w:cstheme="minorHAnsi"/>
          <w:sz w:val="20"/>
          <w:szCs w:val="20"/>
        </w:rPr>
        <w:t xml:space="preserve">National contexts are important factor in the shape that different </w:t>
      </w:r>
      <w:proofErr w:type="spellStart"/>
      <w:r w:rsidRPr="00B06BDB">
        <w:rPr>
          <w:rFonts w:cstheme="minorHAnsi"/>
          <w:sz w:val="20"/>
          <w:szCs w:val="20"/>
        </w:rPr>
        <w:t>eGovernment</w:t>
      </w:r>
      <w:proofErr w:type="spellEnd"/>
      <w:r w:rsidRPr="00B06BDB">
        <w:rPr>
          <w:rFonts w:cstheme="minorHAnsi"/>
          <w:sz w:val="20"/>
          <w:szCs w:val="20"/>
        </w:rPr>
        <w:t xml:space="preserve"> projects take (</w:t>
      </w:r>
      <w:proofErr w:type="spellStart"/>
      <w:r w:rsidRPr="00B06BDB">
        <w:rPr>
          <w:rFonts w:cstheme="minorHAnsi"/>
          <w:sz w:val="20"/>
          <w:szCs w:val="20"/>
        </w:rPr>
        <w:t>Tinholt</w:t>
      </w:r>
      <w:proofErr w:type="spellEnd"/>
      <w:r w:rsidRPr="00B06BDB">
        <w:rPr>
          <w:rFonts w:cstheme="minorHAnsi"/>
          <w:sz w:val="20"/>
          <w:szCs w:val="20"/>
        </w:rPr>
        <w:t xml:space="preserve"> et al., 2016; Lee et al., 2005). Digital transformation is viewed as a key modernizing force in both the public and private sectors. </w:t>
      </w:r>
      <w:r w:rsidR="00AD75CA" w:rsidRPr="00B06BDB">
        <w:rPr>
          <w:rFonts w:cstheme="minorHAnsi"/>
          <w:sz w:val="20"/>
          <w:szCs w:val="20"/>
        </w:rPr>
        <w:t>Digital</w:t>
      </w:r>
      <w:r w:rsidRPr="00B06BDB">
        <w:rPr>
          <w:rFonts w:cstheme="minorHAnsi"/>
          <w:sz w:val="20"/>
          <w:szCs w:val="20"/>
        </w:rPr>
        <w:t xml:space="preserve"> technologies are viewed a key to efficiencies, competitiveness and innovation (</w:t>
      </w:r>
      <w:proofErr w:type="spellStart"/>
      <w:r w:rsidRPr="00B06BDB">
        <w:rPr>
          <w:rFonts w:cstheme="minorHAnsi"/>
          <w:sz w:val="20"/>
          <w:szCs w:val="20"/>
        </w:rPr>
        <w:t>Andriole</w:t>
      </w:r>
      <w:proofErr w:type="spellEnd"/>
      <w:r w:rsidRPr="00B06BDB">
        <w:rPr>
          <w:rFonts w:cstheme="minorHAnsi"/>
          <w:sz w:val="20"/>
          <w:szCs w:val="20"/>
        </w:rPr>
        <w:t>, 2017) and transforming business operations, products/services, processes, organisational structures and management concepts (Matt et al., 2015). Organizational transformation is not automatically a consequence of technology, however, and requires concerted management effort that drive, shape and govern those transformations; a digital transformation strategy ‘that serves as a central concept to integrate the entire coordination, prioritization, and implementation of digital transformations’ (</w:t>
      </w:r>
      <w:proofErr w:type="gramStart"/>
      <w:r w:rsidRPr="00B06BDB">
        <w:rPr>
          <w:rFonts w:cstheme="minorHAnsi"/>
          <w:sz w:val="20"/>
          <w:szCs w:val="20"/>
        </w:rPr>
        <w:t>ibid.:</w:t>
      </w:r>
      <w:proofErr w:type="gramEnd"/>
      <w:r w:rsidRPr="00B06BDB">
        <w:rPr>
          <w:rFonts w:cstheme="minorHAnsi"/>
          <w:sz w:val="20"/>
          <w:szCs w:val="20"/>
        </w:rPr>
        <w:t xml:space="preserve"> 339). In contrast to IT strategies, digital transformation strategies come from a business-centric perspective. That is, they focus more broadly on the transformation of products, processes and related organizational arrangements. It is generally accepted also that IT strategies (Henderson and </w:t>
      </w:r>
      <w:proofErr w:type="spellStart"/>
      <w:r w:rsidRPr="00B06BDB">
        <w:rPr>
          <w:rFonts w:cstheme="minorHAnsi"/>
          <w:sz w:val="20"/>
          <w:szCs w:val="20"/>
        </w:rPr>
        <w:t>Venkatraman</w:t>
      </w:r>
      <w:proofErr w:type="spellEnd"/>
      <w:r w:rsidRPr="00B06BDB">
        <w:rPr>
          <w:rFonts w:cstheme="minorHAnsi"/>
          <w:sz w:val="20"/>
          <w:szCs w:val="20"/>
        </w:rPr>
        <w:t xml:space="preserve"> 1993) and digital transformation strategies (Matt et al., 2015) need to be aligned with other business strategies.</w:t>
      </w:r>
    </w:p>
    <w:p w14:paraId="12DE8261" w14:textId="335F81A0" w:rsidR="0094251C" w:rsidRPr="00B06BDB" w:rsidRDefault="00E30692" w:rsidP="006B71AB">
      <w:pPr>
        <w:spacing w:after="120" w:line="240" w:lineRule="auto"/>
        <w:jc w:val="both"/>
        <w:rPr>
          <w:rFonts w:cstheme="minorHAnsi"/>
          <w:sz w:val="20"/>
          <w:szCs w:val="20"/>
        </w:rPr>
      </w:pPr>
      <w:r w:rsidRPr="00B06BDB">
        <w:rPr>
          <w:rFonts w:cstheme="minorHAnsi"/>
          <w:sz w:val="20"/>
          <w:szCs w:val="20"/>
        </w:rPr>
        <w:t xml:space="preserve">Our focus in this paper is on the way in which digital transformation is enacted by governments in terms of the adoption of new and re-shaping of old organisational arrangements, roles and tasks. This paper, using a structured analysis of government policies via </w:t>
      </w:r>
      <w:proofErr w:type="spellStart"/>
      <w:r w:rsidRPr="00B06BDB">
        <w:rPr>
          <w:rFonts w:cstheme="minorHAnsi"/>
          <w:sz w:val="20"/>
          <w:szCs w:val="20"/>
        </w:rPr>
        <w:t>Nvivo</w:t>
      </w:r>
      <w:proofErr w:type="spellEnd"/>
      <w:r w:rsidRPr="00B06BDB">
        <w:rPr>
          <w:rFonts w:cstheme="minorHAnsi"/>
          <w:sz w:val="20"/>
          <w:szCs w:val="20"/>
        </w:rPr>
        <w:t>, examines the differing approaches that have been taken by the Swedish and British national governments toward di</w:t>
      </w:r>
      <w:r w:rsidR="00AD75CA" w:rsidRPr="00B06BDB">
        <w:rPr>
          <w:rFonts w:cstheme="minorHAnsi"/>
          <w:sz w:val="20"/>
          <w:szCs w:val="20"/>
        </w:rPr>
        <w:t>gitalis</w:t>
      </w:r>
      <w:r w:rsidRPr="00B06BDB">
        <w:rPr>
          <w:rFonts w:cstheme="minorHAnsi"/>
          <w:sz w:val="20"/>
          <w:szCs w:val="20"/>
        </w:rPr>
        <w:t>ation of services and digital transformation from 2010 to the present.</w:t>
      </w:r>
    </w:p>
    <w:p w14:paraId="46DB470B" w14:textId="7B9DD4F6" w:rsidR="0082531C" w:rsidRPr="00B06BDB" w:rsidRDefault="0082531C" w:rsidP="006B71AB">
      <w:pPr>
        <w:pStyle w:val="Heading1"/>
        <w:spacing w:before="0" w:after="120" w:line="240" w:lineRule="auto"/>
        <w:rPr>
          <w:color w:val="auto"/>
        </w:rPr>
      </w:pPr>
      <w:r w:rsidRPr="00B06BDB">
        <w:rPr>
          <w:color w:val="auto"/>
        </w:rPr>
        <w:t>Literature review</w:t>
      </w:r>
    </w:p>
    <w:p w14:paraId="3F997255" w14:textId="1AADF0C0" w:rsidR="00BC3E8A" w:rsidRPr="00B06BDB" w:rsidRDefault="00500F4E" w:rsidP="00FF517D">
      <w:pPr>
        <w:pStyle w:val="Heading2"/>
        <w:ind w:left="720"/>
        <w:rPr>
          <w:color w:val="auto"/>
        </w:rPr>
      </w:pPr>
      <w:r w:rsidRPr="00B06BDB">
        <w:rPr>
          <w:color w:val="auto"/>
        </w:rPr>
        <w:t xml:space="preserve">Drivers of </w:t>
      </w:r>
      <w:r w:rsidR="00426FF1" w:rsidRPr="00B06BDB">
        <w:rPr>
          <w:color w:val="auto"/>
        </w:rPr>
        <w:t xml:space="preserve">government </w:t>
      </w:r>
      <w:r w:rsidRPr="00B06BDB">
        <w:rPr>
          <w:color w:val="auto"/>
        </w:rPr>
        <w:t>digital transformation</w:t>
      </w:r>
      <w:r w:rsidR="00426FF1" w:rsidRPr="00B06BDB">
        <w:rPr>
          <w:color w:val="auto"/>
        </w:rPr>
        <w:t xml:space="preserve"> and reform</w:t>
      </w:r>
    </w:p>
    <w:p w14:paraId="3E413B86" w14:textId="0E0C0051" w:rsidR="00460FBE" w:rsidRPr="00B06BDB" w:rsidRDefault="00B3554B" w:rsidP="006532D1">
      <w:pPr>
        <w:spacing w:after="120" w:line="240" w:lineRule="auto"/>
        <w:jc w:val="both"/>
        <w:rPr>
          <w:rFonts w:ascii="Calibri" w:hAnsi="Calibri"/>
          <w:sz w:val="20"/>
          <w:szCs w:val="20"/>
        </w:rPr>
      </w:pPr>
      <w:r w:rsidRPr="00B06BDB">
        <w:rPr>
          <w:rFonts w:ascii="Calibri" w:hAnsi="Calibri"/>
          <w:sz w:val="20"/>
          <w:szCs w:val="20"/>
        </w:rPr>
        <w:t xml:space="preserve">E-Government initiatives are fundamentally part of political reforms and organisational transformations (Nita, 2015). </w:t>
      </w:r>
      <w:r w:rsidR="00500F4E" w:rsidRPr="00B06BDB">
        <w:rPr>
          <w:rFonts w:ascii="Calibri" w:hAnsi="Calibri"/>
          <w:sz w:val="20"/>
          <w:szCs w:val="20"/>
        </w:rPr>
        <w:t>They</w:t>
      </w:r>
      <w:r w:rsidRPr="00B06BDB">
        <w:rPr>
          <w:rFonts w:ascii="Calibri" w:hAnsi="Calibri"/>
          <w:sz w:val="20"/>
          <w:szCs w:val="20"/>
        </w:rPr>
        <w:t xml:space="preserve"> can be </w:t>
      </w:r>
      <w:r w:rsidR="00500F4E" w:rsidRPr="00B06BDB">
        <w:rPr>
          <w:rFonts w:ascii="Calibri" w:hAnsi="Calibri"/>
          <w:sz w:val="20"/>
          <w:szCs w:val="20"/>
        </w:rPr>
        <w:t>regarded</w:t>
      </w:r>
      <w:r w:rsidRPr="00B06BDB">
        <w:rPr>
          <w:rFonts w:ascii="Calibri" w:hAnsi="Calibri"/>
          <w:sz w:val="20"/>
          <w:szCs w:val="20"/>
        </w:rPr>
        <w:t xml:space="preserve"> as New Pu</w:t>
      </w:r>
      <w:r w:rsidR="00500F4E" w:rsidRPr="00B06BDB">
        <w:rPr>
          <w:rFonts w:ascii="Calibri" w:hAnsi="Calibri"/>
          <w:sz w:val="20"/>
          <w:szCs w:val="20"/>
        </w:rPr>
        <w:t>blic Management-inspired reform, driven by</w:t>
      </w:r>
      <w:r w:rsidRPr="00B06BDB">
        <w:rPr>
          <w:rFonts w:ascii="Calibri" w:hAnsi="Calibri"/>
          <w:sz w:val="20"/>
          <w:szCs w:val="20"/>
        </w:rPr>
        <w:t xml:space="preserve"> a broader neoliberal agenda. Despite national variation in the scope and depth of transformations, ‘NPM reforms originate in similar economic theories and normative values, placing economic efficiency and budgetary control as priorities for government’ (</w:t>
      </w:r>
      <w:proofErr w:type="spellStart"/>
      <w:r w:rsidRPr="00B06BDB">
        <w:rPr>
          <w:rFonts w:ascii="Calibri" w:hAnsi="Calibri"/>
          <w:sz w:val="20"/>
          <w:szCs w:val="20"/>
        </w:rPr>
        <w:t>Eakin</w:t>
      </w:r>
      <w:proofErr w:type="spellEnd"/>
      <w:r w:rsidRPr="00B06BDB">
        <w:rPr>
          <w:rFonts w:ascii="Calibri" w:hAnsi="Calibri"/>
          <w:sz w:val="20"/>
          <w:szCs w:val="20"/>
        </w:rPr>
        <w:t xml:space="preserve"> et al., 2011: p.440).</w:t>
      </w:r>
      <w:r w:rsidR="00711B36" w:rsidRPr="00B06BDB">
        <w:rPr>
          <w:rFonts w:ascii="Calibri" w:hAnsi="Calibri"/>
          <w:sz w:val="20"/>
          <w:szCs w:val="20"/>
        </w:rPr>
        <w:t xml:space="preserve"> </w:t>
      </w:r>
      <w:r w:rsidR="003948DD" w:rsidRPr="00B06BDB">
        <w:rPr>
          <w:rFonts w:ascii="Calibri" w:hAnsi="Calibri"/>
          <w:sz w:val="20"/>
          <w:szCs w:val="20"/>
        </w:rPr>
        <w:t>At the same time o</w:t>
      </w:r>
      <w:r w:rsidR="00500F4E" w:rsidRPr="00B06BDB">
        <w:rPr>
          <w:rFonts w:ascii="Calibri" w:hAnsi="Calibri"/>
          <w:sz w:val="20"/>
          <w:szCs w:val="20"/>
        </w:rPr>
        <w:t>thers</w:t>
      </w:r>
      <w:r w:rsidR="00C24752" w:rsidRPr="00B06BDB">
        <w:rPr>
          <w:rFonts w:ascii="Calibri" w:hAnsi="Calibri"/>
          <w:sz w:val="20"/>
          <w:szCs w:val="20"/>
        </w:rPr>
        <w:t xml:space="preserve"> </w:t>
      </w:r>
      <w:r w:rsidR="00500F4E" w:rsidRPr="00B06BDB">
        <w:rPr>
          <w:rFonts w:ascii="Calibri" w:hAnsi="Calibri"/>
          <w:sz w:val="20"/>
          <w:szCs w:val="20"/>
        </w:rPr>
        <w:t>(</w:t>
      </w:r>
      <w:proofErr w:type="spellStart"/>
      <w:r w:rsidR="00500F4E" w:rsidRPr="00B06BDB">
        <w:rPr>
          <w:rFonts w:ascii="Calibri" w:hAnsi="Calibri"/>
          <w:sz w:val="20"/>
          <w:szCs w:val="20"/>
        </w:rPr>
        <w:t>Flinder</w:t>
      </w:r>
      <w:proofErr w:type="spellEnd"/>
      <w:r w:rsidR="00500F4E" w:rsidRPr="00B06BDB">
        <w:rPr>
          <w:rFonts w:ascii="Calibri" w:hAnsi="Calibri"/>
          <w:sz w:val="20"/>
          <w:szCs w:val="20"/>
        </w:rPr>
        <w:t xml:space="preserve"> and </w:t>
      </w:r>
      <w:proofErr w:type="spellStart"/>
      <w:r w:rsidR="00500F4E" w:rsidRPr="00B06BDB">
        <w:rPr>
          <w:rFonts w:ascii="Calibri" w:hAnsi="Calibri"/>
          <w:sz w:val="20"/>
          <w:szCs w:val="20"/>
        </w:rPr>
        <w:t>Tinkiss</w:t>
      </w:r>
      <w:proofErr w:type="spellEnd"/>
      <w:r w:rsidR="00500F4E" w:rsidRPr="00B06BDB">
        <w:rPr>
          <w:rFonts w:ascii="Calibri" w:hAnsi="Calibri"/>
          <w:sz w:val="20"/>
          <w:szCs w:val="20"/>
        </w:rPr>
        <w:t xml:space="preserve">, </w:t>
      </w:r>
      <w:r w:rsidR="00C24752" w:rsidRPr="00B06BDB">
        <w:rPr>
          <w:rFonts w:ascii="Calibri" w:hAnsi="Calibri"/>
          <w:sz w:val="20"/>
          <w:szCs w:val="20"/>
        </w:rPr>
        <w:t xml:space="preserve">2016) </w:t>
      </w:r>
      <w:r w:rsidR="00500F4E" w:rsidRPr="00B06BDB">
        <w:rPr>
          <w:rFonts w:ascii="Calibri" w:hAnsi="Calibri"/>
          <w:sz w:val="20"/>
          <w:szCs w:val="20"/>
        </w:rPr>
        <w:t xml:space="preserve">have </w:t>
      </w:r>
      <w:r w:rsidR="003948DD" w:rsidRPr="00B06BDB">
        <w:rPr>
          <w:rFonts w:ascii="Calibri" w:hAnsi="Calibri"/>
          <w:sz w:val="20"/>
          <w:szCs w:val="20"/>
        </w:rPr>
        <w:t>established</w:t>
      </w:r>
      <w:r w:rsidR="00C24752" w:rsidRPr="00B06BDB">
        <w:rPr>
          <w:rFonts w:ascii="Calibri" w:hAnsi="Calibri"/>
          <w:sz w:val="20"/>
          <w:szCs w:val="20"/>
        </w:rPr>
        <w:t xml:space="preserve"> that </w:t>
      </w:r>
      <w:r w:rsidR="00460FBE" w:rsidRPr="00B06BDB">
        <w:rPr>
          <w:rFonts w:ascii="Calibri" w:hAnsi="Calibri"/>
          <w:sz w:val="20"/>
          <w:szCs w:val="20"/>
        </w:rPr>
        <w:t>the</w:t>
      </w:r>
      <w:r w:rsidR="00C24752" w:rsidRPr="00B06BDB">
        <w:rPr>
          <w:rFonts w:ascii="Calibri" w:hAnsi="Calibri"/>
          <w:sz w:val="20"/>
          <w:szCs w:val="20"/>
        </w:rPr>
        <w:t xml:space="preserve"> </w:t>
      </w:r>
      <w:r w:rsidR="00FF6943" w:rsidRPr="00B06BDB">
        <w:rPr>
          <w:rFonts w:ascii="Calibri" w:hAnsi="Calibri"/>
          <w:sz w:val="20"/>
          <w:szCs w:val="20"/>
        </w:rPr>
        <w:t xml:space="preserve">previous </w:t>
      </w:r>
      <w:r w:rsidR="000C29F8" w:rsidRPr="00B06BDB">
        <w:rPr>
          <w:rFonts w:ascii="Calibri" w:hAnsi="Calibri"/>
          <w:sz w:val="20"/>
          <w:szCs w:val="20"/>
        </w:rPr>
        <w:t>coalition government in the UK (</w:t>
      </w:r>
      <w:r w:rsidR="00C24752" w:rsidRPr="00B06BDB">
        <w:rPr>
          <w:rFonts w:ascii="Calibri" w:hAnsi="Calibri"/>
          <w:sz w:val="20"/>
          <w:szCs w:val="20"/>
        </w:rPr>
        <w:t xml:space="preserve">as well as </w:t>
      </w:r>
      <w:r w:rsidR="00FF6943" w:rsidRPr="00B06BDB">
        <w:rPr>
          <w:rFonts w:ascii="Calibri" w:hAnsi="Calibri"/>
          <w:sz w:val="20"/>
          <w:szCs w:val="20"/>
        </w:rPr>
        <w:t>governments</w:t>
      </w:r>
      <w:r w:rsidR="00C24752" w:rsidRPr="00B06BDB">
        <w:rPr>
          <w:rFonts w:ascii="Calibri" w:hAnsi="Calibri"/>
          <w:sz w:val="20"/>
          <w:szCs w:val="20"/>
        </w:rPr>
        <w:t xml:space="preserve"> across North America,</w:t>
      </w:r>
      <w:r w:rsidR="000C29F8" w:rsidRPr="00B06BDB">
        <w:rPr>
          <w:rFonts w:ascii="Calibri" w:hAnsi="Calibri"/>
          <w:sz w:val="20"/>
          <w:szCs w:val="20"/>
        </w:rPr>
        <w:t xml:space="preserve"> Western Europe and Australasia)</w:t>
      </w:r>
      <w:r w:rsidR="00C24752" w:rsidRPr="00B06BDB">
        <w:rPr>
          <w:rFonts w:ascii="Calibri" w:hAnsi="Calibri"/>
          <w:sz w:val="20"/>
          <w:szCs w:val="20"/>
        </w:rPr>
        <w:t xml:space="preserve"> demonstrate </w:t>
      </w:r>
      <w:r w:rsidR="00FF6943" w:rsidRPr="00B06BDB">
        <w:rPr>
          <w:rFonts w:ascii="Calibri" w:hAnsi="Calibri"/>
          <w:sz w:val="20"/>
          <w:szCs w:val="20"/>
        </w:rPr>
        <w:t xml:space="preserve">what they call </w:t>
      </w:r>
      <w:r w:rsidR="00C24752" w:rsidRPr="00B06BDB">
        <w:rPr>
          <w:rFonts w:ascii="Calibri" w:hAnsi="Calibri"/>
          <w:sz w:val="20"/>
          <w:szCs w:val="20"/>
        </w:rPr>
        <w:t xml:space="preserve">‘post-NPM’ trends. </w:t>
      </w:r>
      <w:r w:rsidR="002F438E" w:rsidRPr="00B06BDB">
        <w:rPr>
          <w:rFonts w:ascii="Calibri" w:hAnsi="Calibri"/>
          <w:sz w:val="20"/>
          <w:szCs w:val="20"/>
        </w:rPr>
        <w:t>That</w:t>
      </w:r>
      <w:r w:rsidR="00FF6943" w:rsidRPr="00B06BDB">
        <w:rPr>
          <w:rFonts w:ascii="Calibri" w:hAnsi="Calibri"/>
          <w:sz w:val="20"/>
          <w:szCs w:val="20"/>
        </w:rPr>
        <w:t xml:space="preserve"> is, ideas that </w:t>
      </w:r>
      <w:r w:rsidR="00C24752" w:rsidRPr="00B06BDB">
        <w:rPr>
          <w:rFonts w:ascii="Calibri" w:hAnsi="Calibri"/>
          <w:sz w:val="20"/>
          <w:szCs w:val="20"/>
        </w:rPr>
        <w:t xml:space="preserve">seek to ‘respond to the </w:t>
      </w:r>
      <w:r w:rsidR="00C24752" w:rsidRPr="00B06BDB">
        <w:rPr>
          <w:rFonts w:ascii="Calibri" w:hAnsi="Calibri"/>
          <w:sz w:val="20"/>
          <w:szCs w:val="20"/>
        </w:rPr>
        <w:lastRenderedPageBreak/>
        <w:t>coordination dilemma by redefining relationships, limiting discretion, increasing controls, reasserting the position of the principal and shifting back towards a hierarchy-based model of agency governance (almost pre-NPM)’ (ibid.: 511).</w:t>
      </w:r>
      <w:r w:rsidR="00416901" w:rsidRPr="00B06BDB">
        <w:rPr>
          <w:rFonts w:ascii="Calibri" w:hAnsi="Calibri"/>
          <w:sz w:val="20"/>
          <w:szCs w:val="20"/>
        </w:rPr>
        <w:t xml:space="preserve"> </w:t>
      </w:r>
    </w:p>
    <w:p w14:paraId="4A772E20" w14:textId="59EB45CF" w:rsidR="00711B36" w:rsidRPr="00B06BDB" w:rsidRDefault="00B93441" w:rsidP="00711B36">
      <w:pPr>
        <w:spacing w:after="120" w:line="240" w:lineRule="auto"/>
        <w:jc w:val="both"/>
        <w:rPr>
          <w:rFonts w:ascii="Calibri" w:hAnsi="Calibri"/>
          <w:sz w:val="20"/>
          <w:szCs w:val="20"/>
        </w:rPr>
      </w:pPr>
      <w:r w:rsidRPr="00B06BDB">
        <w:rPr>
          <w:rFonts w:ascii="Calibri" w:hAnsi="Calibri"/>
          <w:sz w:val="20"/>
          <w:szCs w:val="20"/>
        </w:rPr>
        <w:t>Wise (2002) has</w:t>
      </w:r>
      <w:r w:rsidR="00711B36" w:rsidRPr="00B06BDB">
        <w:rPr>
          <w:rFonts w:ascii="Calibri" w:hAnsi="Calibri"/>
          <w:sz w:val="20"/>
          <w:szCs w:val="20"/>
        </w:rPr>
        <w:t xml:space="preserve"> already</w:t>
      </w:r>
      <w:r w:rsidRPr="00B06BDB">
        <w:rPr>
          <w:rFonts w:ascii="Calibri" w:hAnsi="Calibri"/>
          <w:sz w:val="20"/>
          <w:szCs w:val="20"/>
        </w:rPr>
        <w:t xml:space="preserve"> established that there are sometimes competing drivers of change in public management reform </w:t>
      </w:r>
      <w:r w:rsidR="001E6207" w:rsidRPr="00B06BDB">
        <w:rPr>
          <w:rFonts w:ascii="Calibri" w:hAnsi="Calibri"/>
          <w:sz w:val="20"/>
          <w:szCs w:val="20"/>
        </w:rPr>
        <w:t xml:space="preserve">which operate alongside established </w:t>
      </w:r>
      <w:r w:rsidR="00252A66" w:rsidRPr="00B06BDB">
        <w:rPr>
          <w:rFonts w:ascii="Calibri" w:hAnsi="Calibri"/>
          <w:sz w:val="20"/>
          <w:szCs w:val="20"/>
        </w:rPr>
        <w:t>discourses</w:t>
      </w:r>
      <w:r w:rsidRPr="00B06BDB">
        <w:rPr>
          <w:rFonts w:ascii="Calibri" w:hAnsi="Calibri"/>
          <w:sz w:val="20"/>
          <w:szCs w:val="20"/>
        </w:rPr>
        <w:t xml:space="preserve"> of efficiency and market-based reforms.</w:t>
      </w:r>
      <w:r w:rsidR="00252A66" w:rsidRPr="00B06BDB">
        <w:rPr>
          <w:rFonts w:ascii="Calibri" w:hAnsi="Calibri"/>
          <w:sz w:val="20"/>
          <w:szCs w:val="20"/>
        </w:rPr>
        <w:t xml:space="preserve"> </w:t>
      </w:r>
      <w:r w:rsidR="00A176C4" w:rsidRPr="00B06BDB">
        <w:rPr>
          <w:rFonts w:ascii="Calibri" w:hAnsi="Calibri"/>
          <w:sz w:val="20"/>
          <w:szCs w:val="20"/>
        </w:rPr>
        <w:t>Sometimes reforms indicate mimicry associated with</w:t>
      </w:r>
      <w:r w:rsidR="000E4C11" w:rsidRPr="00B06BDB">
        <w:rPr>
          <w:rFonts w:ascii="Calibri" w:hAnsi="Calibri"/>
          <w:sz w:val="20"/>
          <w:szCs w:val="20"/>
        </w:rPr>
        <w:t xml:space="preserve"> external pressures</w:t>
      </w:r>
      <w:r w:rsidR="00A176C4" w:rsidRPr="00B06BDB">
        <w:rPr>
          <w:rFonts w:ascii="Calibri" w:hAnsi="Calibri"/>
          <w:sz w:val="20"/>
          <w:szCs w:val="20"/>
        </w:rPr>
        <w:t>. An example would be</w:t>
      </w:r>
      <w:r w:rsidR="000E4C11" w:rsidRPr="00B06BDB">
        <w:rPr>
          <w:rFonts w:ascii="Calibri" w:hAnsi="Calibri"/>
          <w:sz w:val="20"/>
          <w:szCs w:val="20"/>
        </w:rPr>
        <w:t xml:space="preserve"> the case of US pension reforms, where the drivers were exogenous policy popularity in other states thus creating contagion pressures</w:t>
      </w:r>
      <w:r w:rsidR="00A176C4" w:rsidRPr="00B06BDB">
        <w:rPr>
          <w:rFonts w:ascii="Calibri" w:hAnsi="Calibri"/>
          <w:sz w:val="20"/>
          <w:szCs w:val="20"/>
        </w:rPr>
        <w:t xml:space="preserve"> (Thom, 2017). </w:t>
      </w:r>
      <w:r w:rsidR="00460FBE" w:rsidRPr="00B06BDB">
        <w:rPr>
          <w:rFonts w:ascii="Calibri" w:hAnsi="Calibri"/>
          <w:sz w:val="20"/>
          <w:szCs w:val="20"/>
        </w:rPr>
        <w:t>Similarly e</w:t>
      </w:r>
      <w:r w:rsidR="0017784E" w:rsidRPr="00B06BDB">
        <w:rPr>
          <w:rFonts w:ascii="Calibri" w:hAnsi="Calibri"/>
          <w:sz w:val="20"/>
          <w:szCs w:val="20"/>
        </w:rPr>
        <w:t xml:space="preserve">xternal pressures have been found by Krause (2013) </w:t>
      </w:r>
      <w:r w:rsidR="001E6207" w:rsidRPr="00B06BDB">
        <w:rPr>
          <w:rFonts w:ascii="Calibri" w:hAnsi="Calibri"/>
          <w:sz w:val="20"/>
          <w:szCs w:val="20"/>
        </w:rPr>
        <w:t xml:space="preserve">that </w:t>
      </w:r>
      <w:r w:rsidR="0017784E" w:rsidRPr="00B06BDB">
        <w:rPr>
          <w:rFonts w:ascii="Calibri" w:hAnsi="Calibri"/>
          <w:sz w:val="20"/>
          <w:szCs w:val="20"/>
        </w:rPr>
        <w:t>lead the</w:t>
      </w:r>
      <w:r w:rsidR="00A176C4" w:rsidRPr="00B06BDB">
        <w:rPr>
          <w:rFonts w:ascii="Calibri" w:hAnsi="Calibri"/>
          <w:sz w:val="20"/>
          <w:szCs w:val="20"/>
        </w:rPr>
        <w:t xml:space="preserve"> </w:t>
      </w:r>
      <w:r w:rsidR="0017784E" w:rsidRPr="00B06BDB">
        <w:rPr>
          <w:rFonts w:ascii="Calibri" w:hAnsi="Calibri"/>
          <w:sz w:val="20"/>
          <w:szCs w:val="20"/>
        </w:rPr>
        <w:t>adoption of</w:t>
      </w:r>
      <w:r w:rsidR="001E6207" w:rsidRPr="00B06BDB">
        <w:rPr>
          <w:rFonts w:ascii="Calibri" w:hAnsi="Calibri"/>
          <w:sz w:val="20"/>
          <w:szCs w:val="20"/>
        </w:rPr>
        <w:t>,</w:t>
      </w:r>
      <w:r w:rsidR="0017784E" w:rsidRPr="00B06BDB">
        <w:rPr>
          <w:rFonts w:ascii="Calibri" w:hAnsi="Calibri"/>
          <w:sz w:val="20"/>
          <w:szCs w:val="20"/>
        </w:rPr>
        <w:t xml:space="preserve"> for example</w:t>
      </w:r>
      <w:r w:rsidR="001E6207" w:rsidRPr="00B06BDB">
        <w:rPr>
          <w:rFonts w:ascii="Calibri" w:hAnsi="Calibri"/>
          <w:sz w:val="20"/>
          <w:szCs w:val="20"/>
        </w:rPr>
        <w:t>,</w:t>
      </w:r>
      <w:r w:rsidR="0017784E" w:rsidRPr="00B06BDB">
        <w:rPr>
          <w:rFonts w:ascii="Calibri" w:hAnsi="Calibri"/>
          <w:sz w:val="20"/>
          <w:szCs w:val="20"/>
        </w:rPr>
        <w:t xml:space="preserve"> computerised budgeting, civil service restructuring without actually achieving the intended function of those reforms. </w:t>
      </w:r>
      <w:r w:rsidR="00711B36" w:rsidRPr="00B06BDB">
        <w:rPr>
          <w:rFonts w:ascii="Calibri" w:hAnsi="Calibri"/>
          <w:sz w:val="20"/>
          <w:szCs w:val="20"/>
        </w:rPr>
        <w:t xml:space="preserve">Andrews et al. (2012), however, have argued that ‘isomorphic mimicry’, adopting organisational forms that are considered best practice elsewhere, do not result in positive outcomes. Others have focused on the role of agents (institutional entrepreneurs) and agency in institutional reform literature and have proved that institutional reform requires both macro- and micro-level engagement in politics (Brinkerhoff, 2015). </w:t>
      </w:r>
    </w:p>
    <w:p w14:paraId="5615DEA7" w14:textId="4E671C60" w:rsidR="002213F2" w:rsidRPr="00B06BDB" w:rsidRDefault="002213F2" w:rsidP="002213F2">
      <w:pPr>
        <w:pStyle w:val="Heading2"/>
        <w:ind w:left="720"/>
        <w:rPr>
          <w:color w:val="auto"/>
        </w:rPr>
      </w:pPr>
      <w:r w:rsidRPr="00B06BDB">
        <w:rPr>
          <w:color w:val="auto"/>
        </w:rPr>
        <w:t>Impact of technology on organisational structure and processes</w:t>
      </w:r>
    </w:p>
    <w:p w14:paraId="298974FC" w14:textId="648E8201" w:rsidR="00896A0C" w:rsidRPr="00B06BDB" w:rsidRDefault="0008731F" w:rsidP="00896A0C">
      <w:pPr>
        <w:spacing w:after="120" w:line="240" w:lineRule="auto"/>
        <w:jc w:val="both"/>
        <w:rPr>
          <w:rFonts w:ascii="Calibri" w:hAnsi="Calibri"/>
          <w:sz w:val="20"/>
          <w:szCs w:val="20"/>
        </w:rPr>
      </w:pPr>
      <w:r w:rsidRPr="00B06BDB">
        <w:rPr>
          <w:rFonts w:ascii="Calibri" w:hAnsi="Calibri"/>
          <w:sz w:val="20"/>
          <w:szCs w:val="20"/>
        </w:rPr>
        <w:t>Kraemer and King (2006) explore the relationship between IT and administrative reform. The claim that e-government will change structure, citizen engagement and performance is, they suggest, unlikely of itself and that IT is an enabler of reform, but other factor</w:t>
      </w:r>
      <w:r w:rsidR="00751EEE" w:rsidRPr="00B06BDB">
        <w:rPr>
          <w:rFonts w:ascii="Calibri" w:hAnsi="Calibri"/>
          <w:sz w:val="20"/>
          <w:szCs w:val="20"/>
        </w:rPr>
        <w:t xml:space="preserve">s are important too. They argue </w:t>
      </w:r>
      <w:r w:rsidRPr="00B06BDB">
        <w:rPr>
          <w:rFonts w:ascii="Calibri" w:hAnsi="Calibri"/>
          <w:sz w:val="20"/>
          <w:szCs w:val="20"/>
        </w:rPr>
        <w:t xml:space="preserve">that IT </w:t>
      </w:r>
      <w:r w:rsidR="00751EEE" w:rsidRPr="00B06BDB">
        <w:rPr>
          <w:rFonts w:ascii="Calibri" w:hAnsi="Calibri"/>
          <w:sz w:val="20"/>
          <w:szCs w:val="20"/>
        </w:rPr>
        <w:t xml:space="preserve">implementation </w:t>
      </w:r>
      <w:r w:rsidRPr="00B06BDB">
        <w:rPr>
          <w:rFonts w:ascii="Calibri" w:hAnsi="Calibri"/>
          <w:sz w:val="20"/>
          <w:szCs w:val="20"/>
        </w:rPr>
        <w:t>has</w:t>
      </w:r>
      <w:r w:rsidR="00751EEE" w:rsidRPr="00B06BDB">
        <w:rPr>
          <w:rFonts w:ascii="Calibri" w:hAnsi="Calibri"/>
          <w:sz w:val="20"/>
          <w:szCs w:val="20"/>
        </w:rPr>
        <w:t xml:space="preserve"> had</w:t>
      </w:r>
      <w:r w:rsidRPr="00B06BDB">
        <w:rPr>
          <w:rFonts w:ascii="Calibri" w:hAnsi="Calibri"/>
          <w:sz w:val="20"/>
          <w:szCs w:val="20"/>
        </w:rPr>
        <w:t xml:space="preserve"> little effect on organisational structure and actually yields greater centralisation in already centralised organisations supporting existing organisational arrangements. </w:t>
      </w:r>
      <w:r w:rsidR="00426FF1" w:rsidRPr="00B06BDB">
        <w:rPr>
          <w:rFonts w:ascii="Calibri" w:hAnsi="Calibri"/>
          <w:sz w:val="20"/>
          <w:szCs w:val="20"/>
        </w:rPr>
        <w:t>Contrarily other</w:t>
      </w:r>
      <w:r w:rsidR="004821BD" w:rsidRPr="00B06BDB">
        <w:rPr>
          <w:rFonts w:ascii="Calibri" w:hAnsi="Calibri"/>
          <w:sz w:val="20"/>
          <w:szCs w:val="20"/>
        </w:rPr>
        <w:t xml:space="preserve"> studies in the public sector demonstrate how newly introduced mobile ICT has the potential to shape organisational structure (Scholl, 2014) and ‘advisory information artefacts can enable front-office staff to ‘become expert advisors and eventually provide citizens with superior advisory services’ (</w:t>
      </w:r>
      <w:proofErr w:type="spellStart"/>
      <w:r w:rsidR="004821BD" w:rsidRPr="00B06BDB">
        <w:rPr>
          <w:rFonts w:ascii="Calibri" w:hAnsi="Calibri"/>
          <w:sz w:val="20"/>
          <w:szCs w:val="20"/>
        </w:rPr>
        <w:t>Giesbrecht</w:t>
      </w:r>
      <w:proofErr w:type="spellEnd"/>
      <w:r w:rsidR="004821BD" w:rsidRPr="00B06BDB">
        <w:rPr>
          <w:rFonts w:ascii="Calibri" w:hAnsi="Calibri"/>
          <w:sz w:val="20"/>
          <w:szCs w:val="20"/>
        </w:rPr>
        <w:t xml:space="preserve"> et al., 2016: 669). </w:t>
      </w:r>
      <w:r w:rsidR="00426FF1" w:rsidRPr="00B06BDB">
        <w:rPr>
          <w:rFonts w:ascii="Calibri" w:hAnsi="Calibri"/>
          <w:sz w:val="20"/>
          <w:szCs w:val="20"/>
        </w:rPr>
        <w:t>Previously</w:t>
      </w:r>
      <w:r w:rsidR="000C29F8" w:rsidRPr="00B06BDB">
        <w:rPr>
          <w:rFonts w:ascii="Calibri" w:hAnsi="Calibri"/>
          <w:sz w:val="20"/>
          <w:szCs w:val="20"/>
        </w:rPr>
        <w:t xml:space="preserve"> i</w:t>
      </w:r>
      <w:r w:rsidR="00B3554B" w:rsidRPr="00B06BDB">
        <w:rPr>
          <w:rFonts w:ascii="Calibri" w:hAnsi="Calibri"/>
          <w:sz w:val="20"/>
          <w:szCs w:val="20"/>
        </w:rPr>
        <w:t xml:space="preserve">t has been established that </w:t>
      </w:r>
      <w:r w:rsidR="00CF7AF1" w:rsidRPr="00B06BDB">
        <w:rPr>
          <w:rFonts w:ascii="Calibri" w:hAnsi="Calibri"/>
          <w:sz w:val="20"/>
          <w:szCs w:val="20"/>
        </w:rPr>
        <w:t>E-</w:t>
      </w:r>
      <w:r w:rsidR="00B52841" w:rsidRPr="00B06BDB">
        <w:rPr>
          <w:rFonts w:ascii="Calibri" w:hAnsi="Calibri"/>
          <w:sz w:val="20"/>
          <w:szCs w:val="20"/>
        </w:rPr>
        <w:t>Government</w:t>
      </w:r>
      <w:r w:rsidR="00CF7AF1" w:rsidRPr="00B06BDB">
        <w:rPr>
          <w:rFonts w:ascii="Calibri" w:hAnsi="Calibri"/>
          <w:sz w:val="20"/>
          <w:szCs w:val="20"/>
        </w:rPr>
        <w:t xml:space="preserve"> projects impact government business processes and lead to BPC</w:t>
      </w:r>
      <w:r w:rsidR="00AA7F39" w:rsidRPr="00B06BDB">
        <w:rPr>
          <w:rFonts w:ascii="Calibri" w:hAnsi="Calibri"/>
          <w:sz w:val="20"/>
          <w:szCs w:val="20"/>
        </w:rPr>
        <w:t xml:space="preserve"> (business-process change) </w:t>
      </w:r>
      <w:r w:rsidR="008C28DA" w:rsidRPr="00B06BDB">
        <w:rPr>
          <w:rFonts w:ascii="Calibri" w:hAnsi="Calibri"/>
          <w:sz w:val="20"/>
          <w:szCs w:val="20"/>
        </w:rPr>
        <w:t>(Scholl, 2005b</w:t>
      </w:r>
      <w:r w:rsidR="00CF7AF1" w:rsidRPr="00B06BDB">
        <w:rPr>
          <w:rFonts w:ascii="Calibri" w:hAnsi="Calibri"/>
          <w:sz w:val="20"/>
          <w:szCs w:val="20"/>
        </w:rPr>
        <w:t xml:space="preserve">). </w:t>
      </w:r>
      <w:r w:rsidR="00426FF1" w:rsidRPr="00B06BDB">
        <w:rPr>
          <w:rFonts w:ascii="Calibri" w:hAnsi="Calibri"/>
          <w:sz w:val="20"/>
          <w:szCs w:val="20"/>
        </w:rPr>
        <w:t>Hence the authors have acknowledged that</w:t>
      </w:r>
      <w:r w:rsidR="000C29F8" w:rsidRPr="00B06BDB">
        <w:rPr>
          <w:rFonts w:ascii="Calibri" w:hAnsi="Calibri"/>
          <w:sz w:val="20"/>
          <w:szCs w:val="20"/>
        </w:rPr>
        <w:t xml:space="preserve"> </w:t>
      </w:r>
      <w:r w:rsidR="00D37244" w:rsidRPr="00B06BDB">
        <w:rPr>
          <w:rFonts w:ascii="Calibri" w:hAnsi="Calibri"/>
          <w:sz w:val="20"/>
          <w:szCs w:val="20"/>
        </w:rPr>
        <w:t>BPC</w:t>
      </w:r>
      <w:r w:rsidR="00964A21" w:rsidRPr="00B06BDB">
        <w:rPr>
          <w:rFonts w:ascii="Calibri" w:hAnsi="Calibri"/>
          <w:sz w:val="20"/>
          <w:szCs w:val="20"/>
        </w:rPr>
        <w:t xml:space="preserve"> private sector literature </w:t>
      </w:r>
      <w:r w:rsidR="00D37244" w:rsidRPr="00B06BDB">
        <w:rPr>
          <w:rFonts w:ascii="Calibri" w:hAnsi="Calibri"/>
          <w:sz w:val="20"/>
          <w:szCs w:val="20"/>
        </w:rPr>
        <w:t>had been</w:t>
      </w:r>
      <w:r w:rsidR="00B3554B" w:rsidRPr="00B06BDB">
        <w:rPr>
          <w:rFonts w:ascii="Calibri" w:hAnsi="Calibri"/>
          <w:sz w:val="20"/>
          <w:szCs w:val="20"/>
        </w:rPr>
        <w:t xml:space="preserve"> relevant </w:t>
      </w:r>
      <w:r w:rsidR="00964A21" w:rsidRPr="00B06BDB">
        <w:rPr>
          <w:rFonts w:ascii="Calibri" w:hAnsi="Calibri"/>
          <w:sz w:val="20"/>
          <w:szCs w:val="20"/>
        </w:rPr>
        <w:t xml:space="preserve">in terms of </w:t>
      </w:r>
      <w:r w:rsidR="00D37244" w:rsidRPr="00B06BDB">
        <w:rPr>
          <w:rFonts w:ascii="Calibri" w:hAnsi="Calibri"/>
          <w:sz w:val="20"/>
          <w:szCs w:val="20"/>
        </w:rPr>
        <w:t xml:space="preserve">finding </w:t>
      </w:r>
      <w:r w:rsidR="00964A21" w:rsidRPr="00B06BDB">
        <w:rPr>
          <w:rFonts w:ascii="Calibri" w:hAnsi="Calibri"/>
          <w:sz w:val="20"/>
          <w:szCs w:val="20"/>
        </w:rPr>
        <w:t xml:space="preserve">concepts and approaches </w:t>
      </w:r>
      <w:r w:rsidR="00B3554B" w:rsidRPr="00B06BDB">
        <w:rPr>
          <w:rFonts w:ascii="Calibri" w:hAnsi="Calibri"/>
          <w:sz w:val="20"/>
          <w:szCs w:val="20"/>
        </w:rPr>
        <w:t xml:space="preserve">- </w:t>
      </w:r>
      <w:r w:rsidR="00964A21" w:rsidRPr="00B06BDB">
        <w:rPr>
          <w:rFonts w:ascii="Calibri" w:hAnsi="Calibri"/>
          <w:sz w:val="20"/>
          <w:szCs w:val="20"/>
        </w:rPr>
        <w:t>strategic approaches, objectives, motives and focal areas in e-government BPC (Scholl, 2005</w:t>
      </w:r>
      <w:r w:rsidR="008C28DA" w:rsidRPr="00B06BDB">
        <w:rPr>
          <w:rFonts w:ascii="Calibri" w:hAnsi="Calibri"/>
          <w:sz w:val="20"/>
          <w:szCs w:val="20"/>
        </w:rPr>
        <w:t>a</w:t>
      </w:r>
      <w:r w:rsidR="00964A21" w:rsidRPr="00B06BDB">
        <w:rPr>
          <w:rFonts w:ascii="Calibri" w:hAnsi="Calibri"/>
          <w:sz w:val="20"/>
          <w:szCs w:val="20"/>
        </w:rPr>
        <w:t>).</w:t>
      </w:r>
      <w:r w:rsidR="00CF7AF1" w:rsidRPr="00B06BDB">
        <w:rPr>
          <w:rFonts w:ascii="Calibri" w:hAnsi="Calibri"/>
          <w:sz w:val="20"/>
          <w:szCs w:val="20"/>
        </w:rPr>
        <w:t xml:space="preserve"> </w:t>
      </w:r>
      <w:r w:rsidR="008C28DA" w:rsidRPr="00B06BDB">
        <w:rPr>
          <w:rFonts w:ascii="Calibri" w:hAnsi="Calibri"/>
          <w:sz w:val="20"/>
          <w:szCs w:val="20"/>
        </w:rPr>
        <w:t xml:space="preserve">However different principles of governance in the public sector require higher degree of consensus among stakeholders and sharing of burden. These lead to longer completion and thus determine the more complex nature of the BPC project. </w:t>
      </w:r>
    </w:p>
    <w:p w14:paraId="47DAA6C3" w14:textId="5F4F6400" w:rsidR="004821BD" w:rsidRPr="00B06BDB" w:rsidRDefault="00D37244" w:rsidP="006B71AB">
      <w:pPr>
        <w:spacing w:after="120" w:line="240" w:lineRule="auto"/>
        <w:jc w:val="both"/>
        <w:rPr>
          <w:rFonts w:ascii="Calibri" w:hAnsi="Calibri"/>
          <w:sz w:val="20"/>
          <w:szCs w:val="20"/>
        </w:rPr>
      </w:pPr>
      <w:r w:rsidRPr="00B06BDB">
        <w:rPr>
          <w:rFonts w:cstheme="minorHAnsi"/>
          <w:sz w:val="20"/>
          <w:szCs w:val="20"/>
        </w:rPr>
        <w:t>Likewise o</w:t>
      </w:r>
      <w:r w:rsidR="00E30692" w:rsidRPr="00B06BDB">
        <w:rPr>
          <w:rFonts w:cstheme="minorHAnsi"/>
          <w:sz w:val="20"/>
          <w:szCs w:val="20"/>
        </w:rPr>
        <w:t xml:space="preserve">rganisational transformation </w:t>
      </w:r>
      <w:r w:rsidRPr="00B06BDB">
        <w:rPr>
          <w:rFonts w:cstheme="minorHAnsi"/>
          <w:sz w:val="20"/>
          <w:szCs w:val="20"/>
        </w:rPr>
        <w:t>as a result of</w:t>
      </w:r>
      <w:r w:rsidR="00E30692" w:rsidRPr="00B06BDB">
        <w:rPr>
          <w:rFonts w:cstheme="minorHAnsi"/>
          <w:sz w:val="20"/>
          <w:szCs w:val="20"/>
        </w:rPr>
        <w:t xml:space="preserve"> digital technologies has been explored widely in the </w:t>
      </w:r>
      <w:r w:rsidRPr="00B06BDB">
        <w:rPr>
          <w:rFonts w:cstheme="minorHAnsi"/>
          <w:sz w:val="20"/>
          <w:szCs w:val="20"/>
        </w:rPr>
        <w:t xml:space="preserve">public and private sector </w:t>
      </w:r>
      <w:r w:rsidR="00E30692" w:rsidRPr="00B06BDB">
        <w:rPr>
          <w:rFonts w:cstheme="minorHAnsi"/>
          <w:sz w:val="20"/>
          <w:szCs w:val="20"/>
        </w:rPr>
        <w:t xml:space="preserve">(Doherty et al., 2006; Fountain, 2001; Gil-Garcia, 2012; Luna-Reyes et al., 2005; </w:t>
      </w:r>
      <w:proofErr w:type="spellStart"/>
      <w:r w:rsidR="00E30692" w:rsidRPr="00B06BDB">
        <w:rPr>
          <w:rFonts w:cstheme="minorHAnsi"/>
          <w:sz w:val="20"/>
          <w:szCs w:val="20"/>
        </w:rPr>
        <w:t>Orlikowski</w:t>
      </w:r>
      <w:proofErr w:type="spellEnd"/>
      <w:r w:rsidR="00E30692" w:rsidRPr="00B06BDB">
        <w:rPr>
          <w:rFonts w:cstheme="minorHAnsi"/>
          <w:sz w:val="20"/>
          <w:szCs w:val="20"/>
        </w:rPr>
        <w:t>, 2000). Studies of organisational transformation in response to technology can be grouped in two main categories – those that assume that external forces lead to organizational change and those that focus on the internal bottom-up responses of the organisation to introduced technology.</w:t>
      </w:r>
      <w:r w:rsidR="00460FBE" w:rsidRPr="00B06BDB">
        <w:rPr>
          <w:rFonts w:ascii="Calibri" w:hAnsi="Calibri"/>
          <w:sz w:val="20"/>
          <w:szCs w:val="20"/>
        </w:rPr>
        <w:t xml:space="preserve"> </w:t>
      </w:r>
    </w:p>
    <w:p w14:paraId="0501AB53" w14:textId="1C269963" w:rsidR="00E30692" w:rsidRPr="00B06BDB" w:rsidRDefault="00E30692" w:rsidP="006B71AB">
      <w:pPr>
        <w:spacing w:after="120" w:line="240" w:lineRule="auto"/>
        <w:jc w:val="both"/>
        <w:rPr>
          <w:rFonts w:ascii="Calibri" w:hAnsi="Calibri"/>
          <w:sz w:val="20"/>
          <w:szCs w:val="20"/>
        </w:rPr>
      </w:pPr>
      <w:r w:rsidRPr="00B06BDB">
        <w:rPr>
          <w:rFonts w:cstheme="minorHAnsi"/>
          <w:sz w:val="20"/>
          <w:szCs w:val="20"/>
        </w:rPr>
        <w:t xml:space="preserve">Barley (1990) has referred to these broad categories as macro-social forces (top-down perspective) and micro-social forces (bottom-up perspective). In his influential 1990 paper he argues that the two perspectives need to be combined for a fuller understanding of organisational change in relation to technology. </w:t>
      </w:r>
      <w:r w:rsidR="00FF517D" w:rsidRPr="00B06BDB">
        <w:rPr>
          <w:rFonts w:cstheme="minorHAnsi"/>
          <w:sz w:val="20"/>
          <w:szCs w:val="20"/>
        </w:rPr>
        <w:t xml:space="preserve">Current public sector reform (PSR) literature has already focused on different aspects at the micro level and its importance for the success of public sector reform. However studies about the direction </w:t>
      </w:r>
      <w:r w:rsidR="00D37244" w:rsidRPr="00B06BDB">
        <w:rPr>
          <w:rFonts w:cstheme="minorHAnsi"/>
          <w:sz w:val="20"/>
          <w:szCs w:val="20"/>
        </w:rPr>
        <w:t xml:space="preserve">of </w:t>
      </w:r>
      <w:r w:rsidR="00FF517D" w:rsidRPr="00B06BDB">
        <w:rPr>
          <w:rFonts w:cstheme="minorHAnsi"/>
          <w:sz w:val="20"/>
          <w:szCs w:val="20"/>
        </w:rPr>
        <w:t xml:space="preserve">PSR in relation to technology have not been done yet. </w:t>
      </w:r>
    </w:p>
    <w:p w14:paraId="0DE66938" w14:textId="363524C1" w:rsidR="007E06B0" w:rsidRPr="00B06BDB" w:rsidRDefault="007E06B0" w:rsidP="006B71AB">
      <w:pPr>
        <w:spacing w:after="120" w:line="240" w:lineRule="auto"/>
        <w:jc w:val="both"/>
        <w:rPr>
          <w:rFonts w:cstheme="minorHAnsi"/>
          <w:sz w:val="20"/>
          <w:szCs w:val="20"/>
        </w:rPr>
      </w:pPr>
      <w:r w:rsidRPr="00B06BDB">
        <w:rPr>
          <w:rFonts w:cstheme="minorHAnsi"/>
          <w:sz w:val="20"/>
          <w:szCs w:val="20"/>
        </w:rPr>
        <w:t>The structures of organizations are related to the technologies employed by them (See Barl</w:t>
      </w:r>
      <w:r w:rsidR="00AD75CA" w:rsidRPr="00B06BDB">
        <w:rPr>
          <w:rFonts w:cstheme="minorHAnsi"/>
          <w:sz w:val="20"/>
          <w:szCs w:val="20"/>
        </w:rPr>
        <w:t>e</w:t>
      </w:r>
      <w:r w:rsidRPr="00B06BDB">
        <w:rPr>
          <w:rFonts w:cstheme="minorHAnsi"/>
          <w:sz w:val="20"/>
          <w:szCs w:val="20"/>
        </w:rPr>
        <w:t>y 1990). Moreover, there is a close relationship between technology, organisations and institutions (Luna-Reyes and Gil-Garcia, 2014). However, the precise relationship between the two is not clear. Barely (1990) notes that earlier approaches to the relationship between organisations and new technology (such as automation) assumed a one-way relationship which determined the shape that organisations took. Marxist theories of technology change, for example, assumed that technologies were shaped as a consequence of (capitalist) ideology which put the design focus on sub-dividing and controlling labour to reduce its costs to industry</w:t>
      </w:r>
      <w:r w:rsidR="00FF517D" w:rsidRPr="00B06BDB">
        <w:rPr>
          <w:rFonts w:cstheme="minorHAnsi"/>
          <w:sz w:val="20"/>
          <w:szCs w:val="20"/>
        </w:rPr>
        <w:t>, those would be in line with NLP or other macro discourses present in the digital transformation strategies</w:t>
      </w:r>
      <w:r w:rsidRPr="00B06BDB">
        <w:rPr>
          <w:rFonts w:cstheme="minorHAnsi"/>
          <w:sz w:val="20"/>
          <w:szCs w:val="20"/>
        </w:rPr>
        <w:t xml:space="preserve">. </w:t>
      </w:r>
    </w:p>
    <w:p w14:paraId="0971B639" w14:textId="77777777" w:rsidR="00217708" w:rsidRPr="00B06BDB" w:rsidRDefault="007E06B0" w:rsidP="00B75528">
      <w:pPr>
        <w:spacing w:after="120" w:line="240" w:lineRule="auto"/>
        <w:jc w:val="both"/>
        <w:rPr>
          <w:rFonts w:cstheme="minorHAnsi"/>
          <w:sz w:val="20"/>
          <w:szCs w:val="20"/>
        </w:rPr>
      </w:pPr>
      <w:r w:rsidRPr="00B06BDB">
        <w:rPr>
          <w:rFonts w:cstheme="minorHAnsi"/>
          <w:sz w:val="20"/>
          <w:szCs w:val="20"/>
        </w:rPr>
        <w:t>Countering the macro-social 'top down' approach to technology and organizational structure alignment is the idea that neither workforces not organisations are passive in the face of broader technology change and will themselves play a key role in shaping how technology is used in practice (</w:t>
      </w:r>
      <w:proofErr w:type="spellStart"/>
      <w:r w:rsidRPr="00B06BDB">
        <w:rPr>
          <w:rFonts w:cstheme="minorHAnsi"/>
          <w:sz w:val="20"/>
          <w:szCs w:val="20"/>
        </w:rPr>
        <w:t>Grint</w:t>
      </w:r>
      <w:proofErr w:type="spellEnd"/>
      <w:r w:rsidRPr="00B06BDB">
        <w:rPr>
          <w:rFonts w:cstheme="minorHAnsi"/>
          <w:sz w:val="20"/>
          <w:szCs w:val="20"/>
        </w:rPr>
        <w:t xml:space="preserve"> and </w:t>
      </w:r>
      <w:proofErr w:type="spellStart"/>
      <w:r w:rsidRPr="00B06BDB">
        <w:rPr>
          <w:rFonts w:cstheme="minorHAnsi"/>
          <w:sz w:val="20"/>
          <w:szCs w:val="20"/>
        </w:rPr>
        <w:t>Woolgar</w:t>
      </w:r>
      <w:proofErr w:type="spellEnd"/>
      <w:r w:rsidRPr="00B06BDB">
        <w:rPr>
          <w:rFonts w:cstheme="minorHAnsi"/>
          <w:sz w:val="20"/>
          <w:szCs w:val="20"/>
        </w:rPr>
        <w:t xml:space="preserve">, 1997; </w:t>
      </w:r>
      <w:proofErr w:type="spellStart"/>
      <w:r w:rsidRPr="00B06BDB">
        <w:rPr>
          <w:rFonts w:cstheme="minorHAnsi"/>
          <w:sz w:val="20"/>
          <w:szCs w:val="20"/>
        </w:rPr>
        <w:t>Leonardi</w:t>
      </w:r>
      <w:proofErr w:type="spellEnd"/>
      <w:r w:rsidRPr="00B06BDB">
        <w:rPr>
          <w:rFonts w:cstheme="minorHAnsi"/>
          <w:sz w:val="20"/>
          <w:szCs w:val="20"/>
        </w:rPr>
        <w:t xml:space="preserve"> and Barley, 2010; Barley, 1990). </w:t>
      </w:r>
      <w:r w:rsidR="00D92538" w:rsidRPr="00B06BDB">
        <w:rPr>
          <w:rFonts w:cstheme="minorHAnsi"/>
          <w:sz w:val="20"/>
          <w:szCs w:val="20"/>
        </w:rPr>
        <w:t>Those who privilege the social (</w:t>
      </w:r>
      <w:proofErr w:type="spellStart"/>
      <w:r w:rsidR="00D92538" w:rsidRPr="00B06BDB">
        <w:rPr>
          <w:rFonts w:cstheme="minorHAnsi"/>
          <w:sz w:val="20"/>
          <w:szCs w:val="20"/>
        </w:rPr>
        <w:t>Bijker</w:t>
      </w:r>
      <w:proofErr w:type="spellEnd"/>
      <w:r w:rsidR="00D92538" w:rsidRPr="00B06BDB">
        <w:rPr>
          <w:rFonts w:cstheme="minorHAnsi"/>
          <w:sz w:val="20"/>
          <w:szCs w:val="20"/>
        </w:rPr>
        <w:t xml:space="preserve"> et al., 2012; Jackson et al., 2002) state that groups and organisations decide which technology to use and how, which is a result from contextual, </w:t>
      </w:r>
      <w:r w:rsidR="00D92538" w:rsidRPr="00B06BDB">
        <w:rPr>
          <w:rFonts w:cstheme="minorHAnsi"/>
          <w:sz w:val="20"/>
          <w:szCs w:val="20"/>
        </w:rPr>
        <w:lastRenderedPageBreak/>
        <w:t xml:space="preserve">organizational and institutional, characteristics from each locality (Fountain, 2001; Gil-Garcia, 2012). </w:t>
      </w:r>
      <w:r w:rsidR="00581F49" w:rsidRPr="00B06BDB">
        <w:rPr>
          <w:rFonts w:cstheme="minorHAnsi"/>
          <w:sz w:val="20"/>
          <w:szCs w:val="20"/>
        </w:rPr>
        <w:t>Moreover</w:t>
      </w:r>
      <w:r w:rsidR="00B75528" w:rsidRPr="00B06BDB">
        <w:rPr>
          <w:rFonts w:cstheme="minorHAnsi"/>
          <w:sz w:val="20"/>
          <w:szCs w:val="20"/>
        </w:rPr>
        <w:t xml:space="preserve">, </w:t>
      </w:r>
      <w:r w:rsidR="00581F49" w:rsidRPr="00B06BDB">
        <w:rPr>
          <w:rFonts w:cstheme="minorHAnsi"/>
          <w:sz w:val="20"/>
          <w:szCs w:val="20"/>
        </w:rPr>
        <w:t>t</w:t>
      </w:r>
      <w:r w:rsidRPr="00B06BDB">
        <w:rPr>
          <w:rFonts w:cstheme="minorHAnsi"/>
          <w:sz w:val="20"/>
          <w:szCs w:val="20"/>
        </w:rPr>
        <w:t xml:space="preserve">echnology is introduced for a variety of reasons, not all which </w:t>
      </w:r>
      <w:r w:rsidR="00B75528" w:rsidRPr="00B06BDB">
        <w:rPr>
          <w:rFonts w:cstheme="minorHAnsi"/>
          <w:sz w:val="20"/>
          <w:szCs w:val="20"/>
        </w:rPr>
        <w:t xml:space="preserve">sought increased control over the workforce or how work was done </w:t>
      </w:r>
      <w:r w:rsidRPr="00B06BDB">
        <w:rPr>
          <w:rFonts w:cstheme="minorHAnsi"/>
          <w:sz w:val="20"/>
          <w:szCs w:val="20"/>
        </w:rPr>
        <w:t xml:space="preserve">(Bain and Taylor, 2000; </w:t>
      </w:r>
      <w:proofErr w:type="spellStart"/>
      <w:r w:rsidRPr="00B06BDB">
        <w:rPr>
          <w:rFonts w:cstheme="minorHAnsi"/>
          <w:sz w:val="20"/>
          <w:szCs w:val="20"/>
        </w:rPr>
        <w:t>Whalley</w:t>
      </w:r>
      <w:proofErr w:type="spellEnd"/>
      <w:r w:rsidRPr="00B06BDB">
        <w:rPr>
          <w:rFonts w:cstheme="minorHAnsi"/>
          <w:sz w:val="20"/>
          <w:szCs w:val="20"/>
        </w:rPr>
        <w:t>, 1984</w:t>
      </w:r>
      <w:r w:rsidR="00581F49" w:rsidRPr="00B06BDB">
        <w:rPr>
          <w:rFonts w:cstheme="minorHAnsi"/>
          <w:sz w:val="20"/>
          <w:szCs w:val="20"/>
        </w:rPr>
        <w:t xml:space="preserve">; </w:t>
      </w:r>
      <w:r w:rsidR="00A66358" w:rsidRPr="00B06BDB">
        <w:rPr>
          <w:rFonts w:cstheme="minorHAnsi"/>
          <w:sz w:val="20"/>
          <w:szCs w:val="20"/>
        </w:rPr>
        <w:t>Spell, 2001</w:t>
      </w:r>
      <w:r w:rsidRPr="00B06BDB">
        <w:rPr>
          <w:rFonts w:cstheme="minorHAnsi"/>
          <w:sz w:val="20"/>
          <w:szCs w:val="20"/>
        </w:rPr>
        <w:t>).</w:t>
      </w:r>
      <w:r w:rsidR="000D389B" w:rsidRPr="00B06BDB">
        <w:rPr>
          <w:rFonts w:cstheme="minorHAnsi"/>
          <w:sz w:val="20"/>
          <w:szCs w:val="20"/>
        </w:rPr>
        <w:t xml:space="preserve"> </w:t>
      </w:r>
      <w:r w:rsidR="00B75528" w:rsidRPr="00B06BDB">
        <w:rPr>
          <w:rFonts w:cstheme="minorHAnsi"/>
          <w:sz w:val="20"/>
          <w:szCs w:val="20"/>
        </w:rPr>
        <w:t>Thus, the particular context within which technology change is taking place is important.</w:t>
      </w:r>
      <w:r w:rsidR="00E31A11" w:rsidRPr="00B06BDB">
        <w:rPr>
          <w:rFonts w:cstheme="minorHAnsi"/>
          <w:sz w:val="20"/>
          <w:szCs w:val="20"/>
        </w:rPr>
        <w:t xml:space="preserve"> </w:t>
      </w:r>
    </w:p>
    <w:p w14:paraId="4AC1ECBC" w14:textId="3A2288EA" w:rsidR="00E31A11" w:rsidRPr="00B06BDB" w:rsidRDefault="00B75528" w:rsidP="00B75528">
      <w:pPr>
        <w:spacing w:after="120" w:line="240" w:lineRule="auto"/>
        <w:jc w:val="both"/>
        <w:rPr>
          <w:rFonts w:cstheme="minorHAnsi"/>
          <w:sz w:val="20"/>
          <w:szCs w:val="20"/>
        </w:rPr>
      </w:pPr>
      <w:r w:rsidRPr="00B06BDB">
        <w:rPr>
          <w:rFonts w:cstheme="minorHAnsi"/>
          <w:sz w:val="20"/>
          <w:szCs w:val="20"/>
        </w:rPr>
        <w:t>A 'm</w:t>
      </w:r>
      <w:r w:rsidR="00217708" w:rsidRPr="00B06BDB">
        <w:rPr>
          <w:rFonts w:cstheme="minorHAnsi"/>
          <w:sz w:val="20"/>
          <w:szCs w:val="20"/>
        </w:rPr>
        <w:t xml:space="preserve">iddle ground' approach assumed </w:t>
      </w:r>
      <w:r w:rsidR="007E06B0" w:rsidRPr="00B06BDB">
        <w:rPr>
          <w:rFonts w:cstheme="minorHAnsi"/>
          <w:sz w:val="20"/>
          <w:szCs w:val="20"/>
        </w:rPr>
        <w:t xml:space="preserve">that both micro- and macro-social </w:t>
      </w:r>
      <w:r w:rsidR="004B3732" w:rsidRPr="00B06BDB">
        <w:rPr>
          <w:rFonts w:cstheme="minorHAnsi"/>
          <w:sz w:val="20"/>
          <w:szCs w:val="20"/>
        </w:rPr>
        <w:t>forces</w:t>
      </w:r>
      <w:r w:rsidR="007E06B0" w:rsidRPr="00B06BDB">
        <w:rPr>
          <w:rFonts w:cstheme="minorHAnsi"/>
          <w:sz w:val="20"/>
          <w:szCs w:val="20"/>
        </w:rPr>
        <w:t xml:space="preserve"> are </w:t>
      </w:r>
      <w:r w:rsidRPr="00B06BDB">
        <w:rPr>
          <w:rFonts w:cstheme="minorHAnsi"/>
          <w:sz w:val="20"/>
          <w:szCs w:val="20"/>
        </w:rPr>
        <w:t xml:space="preserve">implicated in </w:t>
      </w:r>
      <w:r w:rsidR="007E06B0" w:rsidRPr="00B06BDB">
        <w:rPr>
          <w:rFonts w:cstheme="minorHAnsi"/>
          <w:sz w:val="20"/>
          <w:szCs w:val="20"/>
        </w:rPr>
        <w:t>the alignment of technology and organisational structure</w:t>
      </w:r>
      <w:r w:rsidRPr="00B06BDB">
        <w:rPr>
          <w:rFonts w:cstheme="minorHAnsi"/>
          <w:sz w:val="20"/>
          <w:szCs w:val="20"/>
        </w:rPr>
        <w:t xml:space="preserve"> (e.g. Barley, 1990</w:t>
      </w:r>
      <w:r w:rsidR="002213F2" w:rsidRPr="00B06BDB">
        <w:rPr>
          <w:rFonts w:cstheme="minorHAnsi"/>
          <w:sz w:val="20"/>
          <w:szCs w:val="20"/>
        </w:rPr>
        <w:t>; Scholl, 2014</w:t>
      </w:r>
      <w:r w:rsidRPr="00B06BDB">
        <w:rPr>
          <w:rFonts w:cstheme="minorHAnsi"/>
          <w:sz w:val="20"/>
          <w:szCs w:val="20"/>
        </w:rPr>
        <w:t>)</w:t>
      </w:r>
      <w:r w:rsidR="007E06B0" w:rsidRPr="00B06BDB">
        <w:rPr>
          <w:rFonts w:cstheme="minorHAnsi"/>
          <w:sz w:val="20"/>
          <w:szCs w:val="20"/>
        </w:rPr>
        <w:t xml:space="preserve">. Firstly, Barley assumes that macrosocial forces </w:t>
      </w:r>
      <w:r w:rsidR="007E06B0" w:rsidRPr="00B06BDB">
        <w:rPr>
          <w:rFonts w:cstheme="minorHAnsi"/>
          <w:i/>
          <w:sz w:val="20"/>
          <w:szCs w:val="20"/>
        </w:rPr>
        <w:t>do</w:t>
      </w:r>
      <w:r w:rsidR="007E06B0" w:rsidRPr="00B06BDB">
        <w:rPr>
          <w:rFonts w:cstheme="minorHAnsi"/>
          <w:sz w:val="20"/>
          <w:szCs w:val="20"/>
        </w:rPr>
        <w:t xml:space="preserve"> exert a degree of common influence on individual action, organizational structure, and technological design - such that the design, selection, and implementation of new technologies is indeed constrained by established ideologies, entrenched interests and institutional arrangements. However, once in place, new technologies, in collusion with micro-social interactions, he argues, give rise to new roles and patterns of communication that 'reverberate up' through the organisation giving rise to new unanticipated organisational structures. He notes, with respect to the introduction of radiography into hospitals, for example, the need for technicians to be more skilled and more active in diagnosis (tha</w:t>
      </w:r>
      <w:r w:rsidR="00AD75CA" w:rsidRPr="00B06BDB">
        <w:rPr>
          <w:rFonts w:cstheme="minorHAnsi"/>
          <w:sz w:val="20"/>
          <w:szCs w:val="20"/>
        </w:rPr>
        <w:t>n their counterparts operating X-</w:t>
      </w:r>
      <w:r w:rsidR="007E06B0" w:rsidRPr="00B06BDB">
        <w:rPr>
          <w:rFonts w:cstheme="minorHAnsi"/>
          <w:sz w:val="20"/>
          <w:szCs w:val="20"/>
        </w:rPr>
        <w:t xml:space="preserve">ray equipment) led to new relationships between technicians, clinicians and administrators, the creation of new roles and ultimately to new organisational structures. </w:t>
      </w:r>
      <w:r w:rsidR="0070300F" w:rsidRPr="00B06BDB">
        <w:rPr>
          <w:rFonts w:cstheme="minorHAnsi"/>
          <w:sz w:val="20"/>
          <w:szCs w:val="20"/>
        </w:rPr>
        <w:t xml:space="preserve">In this unified view implementation of a new technology may result in changes in the social structures, which in turn may lead to technology changes (Baxter &amp; </w:t>
      </w:r>
      <w:proofErr w:type="spellStart"/>
      <w:r w:rsidR="0070300F" w:rsidRPr="00B06BDB">
        <w:rPr>
          <w:rFonts w:cstheme="minorHAnsi"/>
          <w:sz w:val="20"/>
          <w:szCs w:val="20"/>
        </w:rPr>
        <w:t>Sommerville</w:t>
      </w:r>
      <w:proofErr w:type="spellEnd"/>
      <w:r w:rsidR="0070300F" w:rsidRPr="00B06BDB">
        <w:rPr>
          <w:rFonts w:cstheme="minorHAnsi"/>
          <w:sz w:val="20"/>
          <w:szCs w:val="20"/>
        </w:rPr>
        <w:t xml:space="preserve">, 2011; Luna-Reyes et al., 2005; </w:t>
      </w:r>
      <w:proofErr w:type="spellStart"/>
      <w:r w:rsidR="0070300F" w:rsidRPr="00B06BDB">
        <w:rPr>
          <w:rFonts w:cstheme="minorHAnsi"/>
          <w:sz w:val="20"/>
          <w:szCs w:val="20"/>
        </w:rPr>
        <w:t>Orlikowski</w:t>
      </w:r>
      <w:proofErr w:type="spellEnd"/>
      <w:r w:rsidR="0070300F" w:rsidRPr="00B06BDB">
        <w:rPr>
          <w:rFonts w:cstheme="minorHAnsi"/>
          <w:sz w:val="20"/>
          <w:szCs w:val="20"/>
        </w:rPr>
        <w:t>, 1992).</w:t>
      </w:r>
    </w:p>
    <w:p w14:paraId="75A16E53" w14:textId="238B244B" w:rsidR="00A85CA3" w:rsidRPr="00B06BDB" w:rsidRDefault="001E6A7A" w:rsidP="006B71AB">
      <w:pPr>
        <w:spacing w:after="120" w:line="240" w:lineRule="auto"/>
        <w:jc w:val="both"/>
        <w:rPr>
          <w:rFonts w:cstheme="minorHAnsi"/>
          <w:sz w:val="20"/>
          <w:szCs w:val="20"/>
        </w:rPr>
      </w:pPr>
      <w:r w:rsidRPr="00B06BDB">
        <w:rPr>
          <w:rFonts w:cstheme="minorHAnsi"/>
          <w:sz w:val="20"/>
          <w:szCs w:val="20"/>
        </w:rPr>
        <w:t>In following the response of both the Swedish and UK public sectors we do not replicate Barley's (1990) approach but instead use it as a template for studying strategic responses – accordingly our analysis examines the new roles and structures that formed the strategic response of both nations as they attempted to re-shape their public sectors in light of emerging digital technology.</w:t>
      </w:r>
    </w:p>
    <w:p w14:paraId="1890507B" w14:textId="4ABF2A14" w:rsidR="003220AC" w:rsidRPr="00B06BDB" w:rsidRDefault="003220AC" w:rsidP="006B71AB">
      <w:pPr>
        <w:spacing w:after="120" w:line="240" w:lineRule="auto"/>
        <w:jc w:val="both"/>
        <w:rPr>
          <w:rFonts w:cstheme="minorHAnsi"/>
          <w:sz w:val="20"/>
          <w:szCs w:val="20"/>
        </w:rPr>
      </w:pPr>
      <w:r w:rsidRPr="00B06BDB">
        <w:rPr>
          <w:rFonts w:cstheme="minorHAnsi"/>
          <w:sz w:val="20"/>
          <w:szCs w:val="20"/>
        </w:rPr>
        <w:t>Research questions</w:t>
      </w:r>
    </w:p>
    <w:p w14:paraId="7513CA98" w14:textId="7F524CB4" w:rsidR="004B3732" w:rsidRPr="00B06BDB" w:rsidRDefault="004B3732" w:rsidP="004B3732">
      <w:pPr>
        <w:jc w:val="both"/>
        <w:rPr>
          <w:sz w:val="20"/>
          <w:szCs w:val="20"/>
        </w:rPr>
      </w:pPr>
      <w:r w:rsidRPr="00B06BDB">
        <w:rPr>
          <w:sz w:val="20"/>
          <w:szCs w:val="20"/>
        </w:rPr>
        <w:t xml:space="preserve">Aim: To explore and analyse the organisational approach to digital transformation of government in the UK and Sweden </w:t>
      </w:r>
    </w:p>
    <w:p w14:paraId="1350236E" w14:textId="77777777" w:rsidR="004B3732" w:rsidRPr="00B06BDB" w:rsidRDefault="004B3732" w:rsidP="004B3732">
      <w:pPr>
        <w:autoSpaceDE w:val="0"/>
        <w:autoSpaceDN w:val="0"/>
        <w:adjustRightInd w:val="0"/>
        <w:spacing w:after="0" w:line="240" w:lineRule="auto"/>
        <w:jc w:val="both"/>
        <w:rPr>
          <w:rFonts w:ascii="Calibri" w:hAnsi="Calibri" w:cs="Calibri"/>
          <w:sz w:val="20"/>
          <w:szCs w:val="20"/>
        </w:rPr>
      </w:pPr>
      <w:r w:rsidRPr="00B06BDB">
        <w:rPr>
          <w:rFonts w:ascii="Calibri" w:hAnsi="Calibri" w:cs="Calibri"/>
          <w:sz w:val="20"/>
          <w:szCs w:val="20"/>
        </w:rPr>
        <w:t xml:space="preserve">1) What is intended to be transformed (foci)? </w:t>
      </w:r>
    </w:p>
    <w:p w14:paraId="046BF055" w14:textId="77777777" w:rsidR="004B3732" w:rsidRPr="00B06BDB" w:rsidRDefault="004B3732" w:rsidP="004B3732">
      <w:pPr>
        <w:autoSpaceDE w:val="0"/>
        <w:autoSpaceDN w:val="0"/>
        <w:adjustRightInd w:val="0"/>
        <w:spacing w:after="0" w:line="240" w:lineRule="auto"/>
        <w:jc w:val="both"/>
        <w:rPr>
          <w:rFonts w:ascii="Calibri" w:hAnsi="Calibri" w:cs="Calibri"/>
          <w:sz w:val="20"/>
          <w:szCs w:val="20"/>
        </w:rPr>
      </w:pPr>
      <w:r w:rsidRPr="00B06BDB">
        <w:rPr>
          <w:rFonts w:ascii="Calibri" w:hAnsi="Calibri" w:cs="Calibri"/>
          <w:sz w:val="20"/>
          <w:szCs w:val="20"/>
        </w:rPr>
        <w:t xml:space="preserve">2) How is digital transformation planned to be enacted? </w:t>
      </w:r>
    </w:p>
    <w:p w14:paraId="3BEF974A" w14:textId="77777777" w:rsidR="004B3732" w:rsidRPr="00B06BDB" w:rsidRDefault="004B3732" w:rsidP="004B3732">
      <w:pPr>
        <w:autoSpaceDE w:val="0"/>
        <w:autoSpaceDN w:val="0"/>
        <w:adjustRightInd w:val="0"/>
        <w:spacing w:after="0" w:line="240" w:lineRule="auto"/>
        <w:ind w:firstLine="720"/>
        <w:jc w:val="both"/>
        <w:rPr>
          <w:rFonts w:ascii="Calibri" w:hAnsi="Calibri" w:cs="Calibri"/>
          <w:sz w:val="20"/>
          <w:szCs w:val="20"/>
        </w:rPr>
      </w:pPr>
      <w:r w:rsidRPr="00B06BDB">
        <w:rPr>
          <w:rFonts w:ascii="Calibri" w:hAnsi="Calibri" w:cs="Calibri"/>
          <w:sz w:val="20"/>
          <w:szCs w:val="20"/>
        </w:rPr>
        <w:t>To identify new structures/arrangements planned to enable digital transformation</w:t>
      </w:r>
    </w:p>
    <w:p w14:paraId="718BC460" w14:textId="77777777" w:rsidR="004B3732" w:rsidRPr="00B06BDB" w:rsidRDefault="004B3732" w:rsidP="004B3732">
      <w:pPr>
        <w:autoSpaceDE w:val="0"/>
        <w:autoSpaceDN w:val="0"/>
        <w:adjustRightInd w:val="0"/>
        <w:spacing w:after="0" w:line="240" w:lineRule="auto"/>
        <w:ind w:firstLine="720"/>
        <w:jc w:val="both"/>
        <w:rPr>
          <w:rFonts w:ascii="Calibri" w:hAnsi="Calibri" w:cs="Calibri"/>
          <w:sz w:val="20"/>
          <w:szCs w:val="20"/>
        </w:rPr>
      </w:pPr>
      <w:r w:rsidRPr="00B06BDB">
        <w:rPr>
          <w:rFonts w:ascii="Calibri" w:hAnsi="Calibri" w:cs="Calibri"/>
          <w:sz w:val="20"/>
          <w:szCs w:val="20"/>
        </w:rPr>
        <w:t>To identify new roles regarding digital transformation</w:t>
      </w:r>
    </w:p>
    <w:p w14:paraId="19F9968E" w14:textId="77777777" w:rsidR="004B3732" w:rsidRPr="00B06BDB" w:rsidRDefault="004B3732" w:rsidP="004B3732">
      <w:pPr>
        <w:autoSpaceDE w:val="0"/>
        <w:autoSpaceDN w:val="0"/>
        <w:adjustRightInd w:val="0"/>
        <w:spacing w:after="0" w:line="240" w:lineRule="auto"/>
        <w:ind w:firstLine="720"/>
        <w:jc w:val="both"/>
        <w:rPr>
          <w:rFonts w:ascii="Calibri" w:hAnsi="Calibri" w:cs="Calibri"/>
          <w:sz w:val="20"/>
          <w:szCs w:val="20"/>
        </w:rPr>
      </w:pPr>
      <w:r w:rsidRPr="00B06BDB">
        <w:rPr>
          <w:rFonts w:ascii="Calibri" w:hAnsi="Calibri" w:cs="Calibri"/>
          <w:sz w:val="20"/>
          <w:szCs w:val="20"/>
        </w:rPr>
        <w:t xml:space="preserve">To identify tasks each department plans to perform regarding digital transformation  </w:t>
      </w:r>
    </w:p>
    <w:p w14:paraId="17118CD8" w14:textId="77777777" w:rsidR="004B3732" w:rsidRPr="00B06BDB" w:rsidRDefault="004B3732" w:rsidP="004B3732">
      <w:pPr>
        <w:autoSpaceDE w:val="0"/>
        <w:autoSpaceDN w:val="0"/>
        <w:adjustRightInd w:val="0"/>
        <w:spacing w:after="0" w:line="240" w:lineRule="auto"/>
        <w:ind w:firstLine="720"/>
        <w:jc w:val="both"/>
        <w:rPr>
          <w:rFonts w:ascii="Calibri" w:hAnsi="Calibri" w:cs="Calibri"/>
          <w:sz w:val="20"/>
          <w:szCs w:val="20"/>
        </w:rPr>
      </w:pPr>
      <w:r w:rsidRPr="00B06BDB">
        <w:rPr>
          <w:rFonts w:ascii="Calibri" w:hAnsi="Calibri" w:cs="Calibri"/>
          <w:sz w:val="20"/>
          <w:szCs w:val="20"/>
        </w:rPr>
        <w:t>To identify new skills that are needed</w:t>
      </w:r>
    </w:p>
    <w:p w14:paraId="17550A58" w14:textId="28EBE517" w:rsidR="004B3732" w:rsidRPr="00B06BDB" w:rsidRDefault="004B3732" w:rsidP="004B3732">
      <w:pPr>
        <w:spacing w:after="0"/>
        <w:jc w:val="both"/>
        <w:rPr>
          <w:rFonts w:ascii="Calibri" w:hAnsi="Calibri" w:cs="Calibri"/>
          <w:sz w:val="20"/>
          <w:szCs w:val="20"/>
        </w:rPr>
      </w:pPr>
      <w:r w:rsidRPr="00B06BDB">
        <w:rPr>
          <w:rFonts w:ascii="Calibri" w:hAnsi="Calibri" w:cs="Calibri"/>
          <w:sz w:val="20"/>
          <w:szCs w:val="20"/>
        </w:rPr>
        <w:t xml:space="preserve">3) What is the direction of digital transformation of </w:t>
      </w:r>
      <w:proofErr w:type="spellStart"/>
      <w:r w:rsidRPr="00B06BDB">
        <w:rPr>
          <w:rFonts w:ascii="Calibri" w:hAnsi="Calibri" w:cs="Calibri"/>
          <w:sz w:val="20"/>
          <w:szCs w:val="20"/>
        </w:rPr>
        <w:t>governement</w:t>
      </w:r>
      <w:proofErr w:type="spellEnd"/>
      <w:r w:rsidRPr="00B06BDB">
        <w:rPr>
          <w:rFonts w:ascii="Calibri" w:hAnsi="Calibri" w:cs="Calibri"/>
          <w:sz w:val="20"/>
          <w:szCs w:val="20"/>
        </w:rPr>
        <w:t>? Top-down or bottom-up?</w:t>
      </w:r>
    </w:p>
    <w:p w14:paraId="347A9D93" w14:textId="77777777" w:rsidR="004B3732" w:rsidRPr="00B06BDB" w:rsidRDefault="004B3732" w:rsidP="004B3732">
      <w:pPr>
        <w:jc w:val="both"/>
        <w:rPr>
          <w:rFonts w:ascii="Calibri" w:hAnsi="Calibri" w:cs="Calibri"/>
          <w:sz w:val="20"/>
          <w:szCs w:val="20"/>
        </w:rPr>
      </w:pPr>
      <w:r w:rsidRPr="00B06BDB">
        <w:rPr>
          <w:rFonts w:ascii="Calibri" w:hAnsi="Calibri" w:cs="Calibri"/>
          <w:sz w:val="20"/>
          <w:szCs w:val="20"/>
        </w:rPr>
        <w:tab/>
        <w:t>To identify whether government introduces new structures that lead to new roles and activities which then require change in existing technology/implementation of new technology</w:t>
      </w:r>
    </w:p>
    <w:p w14:paraId="5EFBCE71" w14:textId="77777777" w:rsidR="004B3732" w:rsidRPr="00B06BDB" w:rsidRDefault="004B3732" w:rsidP="004B3732">
      <w:pPr>
        <w:autoSpaceDE w:val="0"/>
        <w:autoSpaceDN w:val="0"/>
        <w:adjustRightInd w:val="0"/>
        <w:spacing w:after="0" w:line="240" w:lineRule="auto"/>
        <w:jc w:val="both"/>
        <w:rPr>
          <w:rFonts w:ascii="Calibri" w:hAnsi="Calibri" w:cs="Calibri"/>
          <w:sz w:val="20"/>
          <w:szCs w:val="20"/>
        </w:rPr>
      </w:pPr>
      <w:r w:rsidRPr="00B06BDB">
        <w:rPr>
          <w:rFonts w:ascii="Calibri" w:hAnsi="Calibri" w:cs="Calibri"/>
          <w:sz w:val="20"/>
          <w:szCs w:val="20"/>
        </w:rPr>
        <w:tab/>
        <w:t xml:space="preserve">To identify whether government introduces new technology that </w:t>
      </w:r>
      <w:r w:rsidRPr="00B06BDB">
        <w:rPr>
          <w:sz w:val="20"/>
          <w:szCs w:val="20"/>
        </w:rPr>
        <w:t xml:space="preserve">modifies tasks and skills and then these changes create opportunities and pressures for changing organizational structure and processes </w:t>
      </w:r>
    </w:p>
    <w:p w14:paraId="44AEB5E2" w14:textId="6DAF6E3E" w:rsidR="00870EB4" w:rsidRPr="00B06BDB" w:rsidRDefault="003220AC" w:rsidP="006B71AB">
      <w:pPr>
        <w:pStyle w:val="Heading1"/>
        <w:spacing w:before="0" w:after="120" w:line="240" w:lineRule="auto"/>
        <w:rPr>
          <w:color w:val="auto"/>
        </w:rPr>
      </w:pPr>
      <w:r w:rsidRPr="00B06BDB">
        <w:rPr>
          <w:color w:val="auto"/>
        </w:rPr>
        <w:t>Methodology</w:t>
      </w:r>
      <w:r w:rsidR="002B6835" w:rsidRPr="00B06BDB">
        <w:rPr>
          <w:color w:val="auto"/>
        </w:rPr>
        <w:t xml:space="preserve"> </w:t>
      </w:r>
    </w:p>
    <w:p w14:paraId="7D84733E" w14:textId="1DC70703" w:rsidR="00AC69A8" w:rsidRPr="00B06BDB" w:rsidRDefault="000D545A" w:rsidP="006B71AB">
      <w:pPr>
        <w:spacing w:after="120" w:line="240" w:lineRule="auto"/>
        <w:jc w:val="both"/>
        <w:rPr>
          <w:rFonts w:cstheme="minorHAnsi"/>
          <w:sz w:val="20"/>
          <w:szCs w:val="20"/>
        </w:rPr>
      </w:pPr>
      <w:r w:rsidRPr="00B06BDB">
        <w:rPr>
          <w:rFonts w:cstheme="minorHAnsi"/>
          <w:sz w:val="20"/>
          <w:szCs w:val="20"/>
        </w:rPr>
        <w:t>T</w:t>
      </w:r>
      <w:r w:rsidR="00AC69A8" w:rsidRPr="00B06BDB">
        <w:rPr>
          <w:rFonts w:cstheme="minorHAnsi"/>
          <w:sz w:val="20"/>
          <w:szCs w:val="20"/>
        </w:rPr>
        <w:t>his research aims to explore the</w:t>
      </w:r>
      <w:r w:rsidR="005B0243" w:rsidRPr="00B06BDB">
        <w:rPr>
          <w:rFonts w:cstheme="minorHAnsi"/>
          <w:sz w:val="20"/>
          <w:szCs w:val="20"/>
        </w:rPr>
        <w:t xml:space="preserve"> way</w:t>
      </w:r>
      <w:r w:rsidR="00AC69A8" w:rsidRPr="00B06BDB">
        <w:rPr>
          <w:rFonts w:cstheme="minorHAnsi"/>
          <w:sz w:val="20"/>
          <w:szCs w:val="20"/>
        </w:rPr>
        <w:t xml:space="preserve"> digital transformation</w:t>
      </w:r>
      <w:r w:rsidR="005B0243" w:rsidRPr="00B06BDB">
        <w:rPr>
          <w:rFonts w:cstheme="minorHAnsi"/>
          <w:sz w:val="20"/>
          <w:szCs w:val="20"/>
        </w:rPr>
        <w:t xml:space="preserve"> was planned and organised</w:t>
      </w:r>
      <w:r w:rsidR="00AC69A8" w:rsidRPr="00B06BDB">
        <w:rPr>
          <w:rFonts w:cstheme="minorHAnsi"/>
          <w:sz w:val="20"/>
          <w:szCs w:val="20"/>
        </w:rPr>
        <w:t xml:space="preserve"> </w:t>
      </w:r>
      <w:r w:rsidR="005B0243" w:rsidRPr="00B06BDB">
        <w:rPr>
          <w:rFonts w:cstheme="minorHAnsi"/>
          <w:sz w:val="20"/>
          <w:szCs w:val="20"/>
        </w:rPr>
        <w:t>in</w:t>
      </w:r>
      <w:r w:rsidR="00AC69A8" w:rsidRPr="00B06BDB">
        <w:rPr>
          <w:rFonts w:cstheme="minorHAnsi"/>
          <w:sz w:val="20"/>
          <w:szCs w:val="20"/>
        </w:rPr>
        <w:t xml:space="preserve"> the UK and Swedish governments inductively. The comparative research strategy</w:t>
      </w:r>
      <w:r w:rsidRPr="00B06BDB">
        <w:rPr>
          <w:rFonts w:cstheme="minorHAnsi"/>
          <w:sz w:val="20"/>
          <w:szCs w:val="20"/>
        </w:rPr>
        <w:t xml:space="preserve"> was chosen</w:t>
      </w:r>
      <w:r w:rsidR="00AC69A8" w:rsidRPr="00B06BDB">
        <w:rPr>
          <w:rFonts w:cstheme="minorHAnsi"/>
          <w:sz w:val="20"/>
          <w:szCs w:val="20"/>
        </w:rPr>
        <w:t xml:space="preserve"> as </w:t>
      </w:r>
      <w:r w:rsidRPr="00B06BDB">
        <w:rPr>
          <w:rFonts w:cstheme="minorHAnsi"/>
          <w:sz w:val="20"/>
          <w:szCs w:val="20"/>
        </w:rPr>
        <w:t>the</w:t>
      </w:r>
      <w:r w:rsidR="00AC69A8" w:rsidRPr="00B06BDB">
        <w:rPr>
          <w:rFonts w:cstheme="minorHAnsi"/>
          <w:sz w:val="20"/>
          <w:szCs w:val="20"/>
        </w:rPr>
        <w:t xml:space="preserve"> two </w:t>
      </w:r>
      <w:r w:rsidR="001703BB" w:rsidRPr="00B06BDB">
        <w:rPr>
          <w:rFonts w:cstheme="minorHAnsi"/>
          <w:sz w:val="20"/>
          <w:szCs w:val="20"/>
        </w:rPr>
        <w:t>countries</w:t>
      </w:r>
      <w:r w:rsidRPr="00B06BDB">
        <w:rPr>
          <w:rFonts w:cstheme="minorHAnsi"/>
          <w:sz w:val="20"/>
          <w:szCs w:val="20"/>
        </w:rPr>
        <w:t xml:space="preserve"> are at different stages of their digital transformation</w:t>
      </w:r>
      <w:r w:rsidR="005B0243" w:rsidRPr="00B06BDB">
        <w:rPr>
          <w:rFonts w:cstheme="minorHAnsi"/>
          <w:sz w:val="20"/>
          <w:szCs w:val="20"/>
        </w:rPr>
        <w:t xml:space="preserve"> and </w:t>
      </w:r>
      <w:proofErr w:type="spellStart"/>
      <w:r w:rsidR="005B0243" w:rsidRPr="00B06BDB">
        <w:rPr>
          <w:rFonts w:cstheme="minorHAnsi"/>
          <w:sz w:val="20"/>
          <w:szCs w:val="20"/>
        </w:rPr>
        <w:t>eGovernment</w:t>
      </w:r>
      <w:proofErr w:type="spellEnd"/>
      <w:r w:rsidR="005B0243" w:rsidRPr="00B06BDB">
        <w:rPr>
          <w:rFonts w:cstheme="minorHAnsi"/>
          <w:sz w:val="20"/>
          <w:szCs w:val="20"/>
        </w:rPr>
        <w:t xml:space="preserve"> maturity which will enable learning in terms of how the </w:t>
      </w:r>
      <w:r w:rsidR="00833E9E" w:rsidRPr="00B06BDB">
        <w:rPr>
          <w:rFonts w:cstheme="minorHAnsi"/>
          <w:sz w:val="20"/>
          <w:szCs w:val="20"/>
        </w:rPr>
        <w:t>transformation</w:t>
      </w:r>
      <w:r w:rsidR="005B0243" w:rsidRPr="00B06BDB">
        <w:rPr>
          <w:rFonts w:cstheme="minorHAnsi"/>
          <w:sz w:val="20"/>
          <w:szCs w:val="20"/>
        </w:rPr>
        <w:t xml:space="preserve"> was </w:t>
      </w:r>
      <w:r w:rsidR="00833E9E" w:rsidRPr="00B06BDB">
        <w:rPr>
          <w:rFonts w:cstheme="minorHAnsi"/>
          <w:sz w:val="20"/>
          <w:szCs w:val="20"/>
        </w:rPr>
        <w:t>approached</w:t>
      </w:r>
      <w:r w:rsidR="00AC69A8" w:rsidRPr="00B06BDB">
        <w:rPr>
          <w:rFonts w:cstheme="minorHAnsi"/>
          <w:sz w:val="20"/>
          <w:szCs w:val="20"/>
        </w:rPr>
        <w:t>.</w:t>
      </w:r>
      <w:r w:rsidRPr="00B06BDB">
        <w:rPr>
          <w:rFonts w:cstheme="minorHAnsi"/>
          <w:sz w:val="20"/>
          <w:szCs w:val="20"/>
        </w:rPr>
        <w:t xml:space="preserve"> </w:t>
      </w:r>
      <w:r w:rsidR="008E11D4" w:rsidRPr="00B06BDB">
        <w:rPr>
          <w:rFonts w:cstheme="minorHAnsi"/>
          <w:sz w:val="20"/>
          <w:szCs w:val="20"/>
        </w:rPr>
        <w:t>D</w:t>
      </w:r>
      <w:r w:rsidR="00AC69A8" w:rsidRPr="00B06BDB">
        <w:rPr>
          <w:rFonts w:cstheme="minorHAnsi"/>
          <w:sz w:val="20"/>
          <w:szCs w:val="20"/>
        </w:rPr>
        <w:t>ocument analysis o</w:t>
      </w:r>
      <w:r w:rsidR="000D6BA0" w:rsidRPr="00B06BDB">
        <w:rPr>
          <w:rFonts w:cstheme="minorHAnsi"/>
          <w:sz w:val="20"/>
          <w:szCs w:val="20"/>
        </w:rPr>
        <w:t xml:space="preserve">f the two cases was chosen as an approach </w:t>
      </w:r>
      <w:r w:rsidR="00AC69A8" w:rsidRPr="00B06BDB">
        <w:rPr>
          <w:rFonts w:cstheme="minorHAnsi"/>
          <w:sz w:val="20"/>
          <w:szCs w:val="20"/>
        </w:rPr>
        <w:t>to exploring the strategic intent and the related tasks</w:t>
      </w:r>
      <w:r w:rsidR="00D42247" w:rsidRPr="00B06BDB">
        <w:rPr>
          <w:rFonts w:cstheme="minorHAnsi"/>
          <w:sz w:val="20"/>
          <w:szCs w:val="20"/>
        </w:rPr>
        <w:t>, roles</w:t>
      </w:r>
      <w:r w:rsidR="00AC69A8" w:rsidRPr="00B06BDB">
        <w:rPr>
          <w:rFonts w:cstheme="minorHAnsi"/>
          <w:sz w:val="20"/>
          <w:szCs w:val="20"/>
        </w:rPr>
        <w:t xml:space="preserve"> and structures as planned and executed by the two governments.</w:t>
      </w:r>
      <w:r w:rsidR="001C09BE" w:rsidRPr="00B06BDB">
        <w:rPr>
          <w:rFonts w:cstheme="minorHAnsi"/>
          <w:sz w:val="20"/>
          <w:szCs w:val="20"/>
        </w:rPr>
        <w:t xml:space="preserve"> See table 1</w:t>
      </w:r>
      <w:r w:rsidR="008E11D4" w:rsidRPr="00B06BDB">
        <w:rPr>
          <w:rFonts w:cstheme="minorHAnsi"/>
          <w:sz w:val="20"/>
          <w:szCs w:val="20"/>
        </w:rPr>
        <w:t xml:space="preserve"> for selected and analysed groups of documents.</w:t>
      </w:r>
      <w:r w:rsidR="00B25DD6" w:rsidRPr="00B06BDB">
        <w:rPr>
          <w:rFonts w:cstheme="minorHAnsi"/>
          <w:sz w:val="20"/>
          <w:szCs w:val="20"/>
        </w:rPr>
        <w:t xml:space="preserve"> The selected documents explore the direction and alignment of technology and organisational structures as described in the digital transformation strategy documents published in both countries. </w:t>
      </w:r>
    </w:p>
    <w:p w14:paraId="5D46110D" w14:textId="3770B273" w:rsidR="008E11D4" w:rsidRPr="00B06BDB" w:rsidRDefault="00E85339" w:rsidP="006B71AB">
      <w:pPr>
        <w:spacing w:after="120" w:line="240" w:lineRule="auto"/>
        <w:jc w:val="both"/>
        <w:rPr>
          <w:rFonts w:cstheme="minorHAnsi"/>
          <w:sz w:val="20"/>
          <w:szCs w:val="20"/>
        </w:rPr>
      </w:pPr>
      <w:r w:rsidRPr="00B06BDB">
        <w:rPr>
          <w:rFonts w:cstheme="minorHAnsi"/>
          <w:b/>
          <w:sz w:val="20"/>
          <w:szCs w:val="20"/>
        </w:rPr>
        <w:t>Table 1</w:t>
      </w:r>
      <w:r w:rsidR="00F44DF8" w:rsidRPr="00B06BDB">
        <w:rPr>
          <w:rFonts w:cstheme="minorHAnsi"/>
          <w:b/>
          <w:sz w:val="20"/>
          <w:szCs w:val="20"/>
        </w:rPr>
        <w:t>:</w:t>
      </w:r>
      <w:r w:rsidR="008E11D4" w:rsidRPr="00B06BDB">
        <w:rPr>
          <w:rFonts w:cstheme="minorHAnsi"/>
          <w:b/>
          <w:sz w:val="20"/>
          <w:szCs w:val="20"/>
        </w:rPr>
        <w:t xml:space="preserve"> </w:t>
      </w:r>
      <w:r w:rsidR="008E11D4" w:rsidRPr="00B06BDB">
        <w:rPr>
          <w:rFonts w:cstheme="minorHAnsi"/>
          <w:sz w:val="20"/>
          <w:szCs w:val="20"/>
        </w:rPr>
        <w:t>Secondary data analysed</w:t>
      </w:r>
    </w:p>
    <w:tbl>
      <w:tblPr>
        <w:tblStyle w:val="TableGrid"/>
        <w:tblW w:w="0" w:type="auto"/>
        <w:tblLook w:val="04A0" w:firstRow="1" w:lastRow="0" w:firstColumn="1" w:lastColumn="0" w:noHBand="0" w:noVBand="1"/>
      </w:tblPr>
      <w:tblGrid>
        <w:gridCol w:w="4508"/>
        <w:gridCol w:w="4508"/>
      </w:tblGrid>
      <w:tr w:rsidR="00B06BDB" w:rsidRPr="00B06BDB" w14:paraId="79E75A9B" w14:textId="77777777" w:rsidTr="00FC6705">
        <w:tc>
          <w:tcPr>
            <w:tcW w:w="4508" w:type="dxa"/>
          </w:tcPr>
          <w:p w14:paraId="735E15DB" w14:textId="77777777" w:rsidR="00722FDA" w:rsidRPr="00B06BDB" w:rsidRDefault="00722FDA" w:rsidP="00FC6705">
            <w:pPr>
              <w:jc w:val="both"/>
              <w:rPr>
                <w:sz w:val="20"/>
                <w:szCs w:val="20"/>
              </w:rPr>
            </w:pPr>
            <w:r w:rsidRPr="00B06BDB">
              <w:rPr>
                <w:sz w:val="20"/>
                <w:szCs w:val="20"/>
              </w:rPr>
              <w:t>UK Documents</w:t>
            </w:r>
          </w:p>
        </w:tc>
        <w:tc>
          <w:tcPr>
            <w:tcW w:w="4508" w:type="dxa"/>
          </w:tcPr>
          <w:p w14:paraId="7B795CBB" w14:textId="77777777" w:rsidR="00722FDA" w:rsidRPr="00B06BDB" w:rsidRDefault="00722FDA" w:rsidP="00FC6705">
            <w:pPr>
              <w:jc w:val="both"/>
              <w:rPr>
                <w:sz w:val="20"/>
                <w:szCs w:val="20"/>
              </w:rPr>
            </w:pPr>
            <w:r w:rsidRPr="00B06BDB">
              <w:rPr>
                <w:sz w:val="20"/>
                <w:szCs w:val="20"/>
              </w:rPr>
              <w:t>Swedish Documents</w:t>
            </w:r>
          </w:p>
        </w:tc>
      </w:tr>
      <w:tr w:rsidR="00722FDA" w:rsidRPr="00B06BDB" w14:paraId="29A54397" w14:textId="77777777" w:rsidTr="00FC6705">
        <w:tc>
          <w:tcPr>
            <w:tcW w:w="4508" w:type="dxa"/>
          </w:tcPr>
          <w:p w14:paraId="3B8BE312" w14:textId="77777777" w:rsidR="00722FDA" w:rsidRPr="00B06BDB" w:rsidRDefault="00722FDA" w:rsidP="00FC6705">
            <w:pPr>
              <w:jc w:val="both"/>
              <w:rPr>
                <w:sz w:val="20"/>
                <w:szCs w:val="20"/>
              </w:rPr>
            </w:pPr>
            <w:r w:rsidRPr="00B06BDB">
              <w:rPr>
                <w:sz w:val="20"/>
                <w:szCs w:val="20"/>
              </w:rPr>
              <w:t>Government Digital Strategy 2013</w:t>
            </w:r>
          </w:p>
          <w:p w14:paraId="0092FFA3" w14:textId="77777777" w:rsidR="00722FDA" w:rsidRPr="00B06BDB" w:rsidRDefault="00722FDA" w:rsidP="00FC6705">
            <w:pPr>
              <w:jc w:val="both"/>
              <w:rPr>
                <w:sz w:val="20"/>
                <w:szCs w:val="20"/>
              </w:rPr>
            </w:pPr>
            <w:r w:rsidRPr="00B06BDB">
              <w:rPr>
                <w:sz w:val="20"/>
                <w:szCs w:val="20"/>
              </w:rPr>
              <w:t>Government Transformation strategy 2017</w:t>
            </w:r>
          </w:p>
        </w:tc>
        <w:tc>
          <w:tcPr>
            <w:tcW w:w="4508" w:type="dxa"/>
          </w:tcPr>
          <w:p w14:paraId="2265B861" w14:textId="77777777" w:rsidR="00722FDA" w:rsidRPr="00B06BDB" w:rsidRDefault="00722FDA" w:rsidP="00FC6705">
            <w:pPr>
              <w:jc w:val="both"/>
              <w:rPr>
                <w:i/>
                <w:iCs/>
                <w:sz w:val="20"/>
                <w:szCs w:val="20"/>
              </w:rPr>
            </w:pPr>
            <w:r w:rsidRPr="00B06BDB">
              <w:rPr>
                <w:sz w:val="20"/>
                <w:szCs w:val="20"/>
              </w:rPr>
              <w:t xml:space="preserve">Government Digital Strategy 2012: </w:t>
            </w:r>
            <w:r w:rsidRPr="00B06BDB">
              <w:rPr>
                <w:i/>
                <w:iCs/>
                <w:sz w:val="20"/>
                <w:szCs w:val="20"/>
              </w:rPr>
              <w:t xml:space="preserve">Med </w:t>
            </w:r>
            <w:proofErr w:type="spellStart"/>
            <w:r w:rsidRPr="00B06BDB">
              <w:rPr>
                <w:i/>
                <w:iCs/>
                <w:sz w:val="20"/>
                <w:szCs w:val="20"/>
              </w:rPr>
              <w:t>medborgaren</w:t>
            </w:r>
            <w:proofErr w:type="spellEnd"/>
            <w:r w:rsidRPr="00B06BDB">
              <w:rPr>
                <w:i/>
                <w:iCs/>
                <w:sz w:val="20"/>
                <w:szCs w:val="20"/>
              </w:rPr>
              <w:t xml:space="preserve"> </w:t>
            </w:r>
            <w:proofErr w:type="spellStart"/>
            <w:r w:rsidRPr="00B06BDB">
              <w:rPr>
                <w:i/>
                <w:iCs/>
                <w:sz w:val="20"/>
                <w:szCs w:val="20"/>
              </w:rPr>
              <w:t>i</w:t>
            </w:r>
            <w:proofErr w:type="spellEnd"/>
            <w:r w:rsidRPr="00B06BDB">
              <w:rPr>
                <w:i/>
                <w:iCs/>
                <w:sz w:val="20"/>
                <w:szCs w:val="20"/>
              </w:rPr>
              <w:t xml:space="preserve"> centrum: </w:t>
            </w:r>
            <w:proofErr w:type="spellStart"/>
            <w:r w:rsidRPr="00B06BDB">
              <w:rPr>
                <w:i/>
                <w:iCs/>
                <w:sz w:val="20"/>
                <w:szCs w:val="20"/>
              </w:rPr>
              <w:t>Regeringens</w:t>
            </w:r>
            <w:proofErr w:type="spellEnd"/>
            <w:r w:rsidRPr="00B06BDB">
              <w:rPr>
                <w:i/>
                <w:iCs/>
                <w:sz w:val="20"/>
                <w:szCs w:val="20"/>
              </w:rPr>
              <w:t xml:space="preserve"> </w:t>
            </w:r>
            <w:proofErr w:type="spellStart"/>
            <w:r w:rsidRPr="00B06BDB">
              <w:rPr>
                <w:i/>
                <w:iCs/>
                <w:sz w:val="20"/>
                <w:szCs w:val="20"/>
              </w:rPr>
              <w:t>strategi</w:t>
            </w:r>
            <w:proofErr w:type="spellEnd"/>
            <w:r w:rsidRPr="00B06BDB">
              <w:rPr>
                <w:i/>
                <w:iCs/>
                <w:sz w:val="20"/>
                <w:szCs w:val="20"/>
              </w:rPr>
              <w:t xml:space="preserve"> </w:t>
            </w:r>
            <w:proofErr w:type="spellStart"/>
            <w:r w:rsidRPr="00B06BDB">
              <w:rPr>
                <w:i/>
                <w:iCs/>
                <w:sz w:val="20"/>
                <w:szCs w:val="20"/>
              </w:rPr>
              <w:t>för</w:t>
            </w:r>
            <w:proofErr w:type="spellEnd"/>
            <w:r w:rsidRPr="00B06BDB">
              <w:rPr>
                <w:i/>
                <w:iCs/>
                <w:sz w:val="20"/>
                <w:szCs w:val="20"/>
              </w:rPr>
              <w:t xml:space="preserve"> </w:t>
            </w:r>
            <w:proofErr w:type="spellStart"/>
            <w:r w:rsidRPr="00B06BDB">
              <w:rPr>
                <w:i/>
                <w:iCs/>
                <w:sz w:val="20"/>
                <w:szCs w:val="20"/>
              </w:rPr>
              <w:t>en</w:t>
            </w:r>
            <w:proofErr w:type="spellEnd"/>
            <w:r w:rsidRPr="00B06BDB">
              <w:rPr>
                <w:i/>
                <w:iCs/>
                <w:sz w:val="20"/>
                <w:szCs w:val="20"/>
              </w:rPr>
              <w:t xml:space="preserve"> </w:t>
            </w:r>
            <w:proofErr w:type="spellStart"/>
            <w:r w:rsidRPr="00B06BDB">
              <w:rPr>
                <w:i/>
                <w:iCs/>
                <w:sz w:val="20"/>
                <w:szCs w:val="20"/>
              </w:rPr>
              <w:t>digitalt</w:t>
            </w:r>
            <w:proofErr w:type="spellEnd"/>
            <w:r w:rsidRPr="00B06BDB">
              <w:rPr>
                <w:i/>
                <w:iCs/>
                <w:sz w:val="20"/>
                <w:szCs w:val="20"/>
              </w:rPr>
              <w:t xml:space="preserve"> </w:t>
            </w:r>
            <w:proofErr w:type="spellStart"/>
            <w:r w:rsidRPr="00B06BDB">
              <w:rPr>
                <w:i/>
                <w:iCs/>
                <w:sz w:val="20"/>
                <w:szCs w:val="20"/>
              </w:rPr>
              <w:t>samverkande</w:t>
            </w:r>
            <w:proofErr w:type="spellEnd"/>
            <w:r w:rsidRPr="00B06BDB">
              <w:rPr>
                <w:i/>
                <w:iCs/>
                <w:sz w:val="20"/>
                <w:szCs w:val="20"/>
              </w:rPr>
              <w:t xml:space="preserve"> </w:t>
            </w:r>
            <w:proofErr w:type="spellStart"/>
            <w:r w:rsidRPr="00B06BDB">
              <w:rPr>
                <w:i/>
                <w:iCs/>
                <w:sz w:val="20"/>
                <w:szCs w:val="20"/>
              </w:rPr>
              <w:t>statsförvaltning</w:t>
            </w:r>
            <w:proofErr w:type="spellEnd"/>
            <w:r w:rsidRPr="00B06BDB">
              <w:rPr>
                <w:i/>
                <w:iCs/>
                <w:sz w:val="20"/>
                <w:szCs w:val="20"/>
              </w:rPr>
              <w:t>.</w:t>
            </w:r>
          </w:p>
          <w:p w14:paraId="335F2281" w14:textId="77777777" w:rsidR="00722FDA" w:rsidRPr="00B06BDB" w:rsidRDefault="00722FDA" w:rsidP="00FC6705">
            <w:pPr>
              <w:jc w:val="both"/>
              <w:rPr>
                <w:sz w:val="20"/>
                <w:szCs w:val="20"/>
              </w:rPr>
            </w:pPr>
            <w:r w:rsidRPr="00B06BDB">
              <w:rPr>
                <w:sz w:val="20"/>
                <w:szCs w:val="20"/>
              </w:rPr>
              <w:t>Budget proposition 2017</w:t>
            </w:r>
          </w:p>
          <w:p w14:paraId="63BB75DB" w14:textId="77777777" w:rsidR="00722FDA" w:rsidRPr="00B06BDB" w:rsidRDefault="00722FDA" w:rsidP="00FC6705">
            <w:pPr>
              <w:jc w:val="both"/>
              <w:rPr>
                <w:sz w:val="20"/>
                <w:szCs w:val="20"/>
              </w:rPr>
            </w:pPr>
            <w:r w:rsidRPr="00B06BDB">
              <w:rPr>
                <w:sz w:val="20"/>
                <w:szCs w:val="20"/>
              </w:rPr>
              <w:t>Budget proposition 2018</w:t>
            </w:r>
          </w:p>
        </w:tc>
      </w:tr>
    </w:tbl>
    <w:p w14:paraId="797AB426" w14:textId="77777777" w:rsidR="00722FDA" w:rsidRPr="00B06BDB" w:rsidRDefault="00722FDA" w:rsidP="006B71AB">
      <w:pPr>
        <w:spacing w:after="120" w:line="240" w:lineRule="auto"/>
        <w:jc w:val="both"/>
        <w:rPr>
          <w:rFonts w:cstheme="minorHAnsi"/>
          <w:b/>
          <w:sz w:val="20"/>
          <w:szCs w:val="20"/>
        </w:rPr>
      </w:pPr>
    </w:p>
    <w:p w14:paraId="0B26366E" w14:textId="0EA5E686" w:rsidR="00694F12" w:rsidRPr="00B06BDB" w:rsidRDefault="002963CB" w:rsidP="006B71AB">
      <w:pPr>
        <w:spacing w:after="120" w:line="240" w:lineRule="auto"/>
        <w:jc w:val="both"/>
        <w:rPr>
          <w:rFonts w:cstheme="minorHAnsi"/>
          <w:sz w:val="20"/>
          <w:szCs w:val="20"/>
        </w:rPr>
      </w:pPr>
      <w:r w:rsidRPr="00B06BDB">
        <w:rPr>
          <w:rFonts w:cstheme="minorHAnsi"/>
          <w:sz w:val="20"/>
          <w:szCs w:val="20"/>
        </w:rPr>
        <w:t>The focus of this paper is on planned digital transformation as outlined in the official document</w:t>
      </w:r>
      <w:r w:rsidR="0082024E" w:rsidRPr="00B06BDB">
        <w:rPr>
          <w:rFonts w:cstheme="minorHAnsi"/>
          <w:sz w:val="20"/>
          <w:szCs w:val="20"/>
        </w:rPr>
        <w:t>s</w:t>
      </w:r>
      <w:r w:rsidRPr="00B06BDB">
        <w:rPr>
          <w:rFonts w:cstheme="minorHAnsi"/>
          <w:sz w:val="20"/>
          <w:szCs w:val="20"/>
        </w:rPr>
        <w:t xml:space="preserve"> of the UK digital strategy policy. As such the study does not reflect any processes or change from an emic perspective but compares what was intended to happen</w:t>
      </w:r>
      <w:r w:rsidR="00EC335D" w:rsidRPr="00B06BDB">
        <w:rPr>
          <w:rFonts w:cstheme="minorHAnsi"/>
          <w:sz w:val="20"/>
          <w:szCs w:val="20"/>
        </w:rPr>
        <w:t xml:space="preserve"> organisationally</w:t>
      </w:r>
      <w:r w:rsidRPr="00B06BDB">
        <w:rPr>
          <w:rFonts w:cstheme="minorHAnsi"/>
          <w:sz w:val="20"/>
          <w:szCs w:val="20"/>
        </w:rPr>
        <w:t xml:space="preserve"> in </w:t>
      </w:r>
      <w:r w:rsidR="00E4358B" w:rsidRPr="00B06BDB">
        <w:rPr>
          <w:rFonts w:cstheme="minorHAnsi"/>
          <w:sz w:val="20"/>
          <w:szCs w:val="20"/>
        </w:rPr>
        <w:t xml:space="preserve">the </w:t>
      </w:r>
      <w:r w:rsidRPr="00B06BDB">
        <w:rPr>
          <w:rFonts w:cstheme="minorHAnsi"/>
          <w:sz w:val="20"/>
          <w:szCs w:val="20"/>
        </w:rPr>
        <w:t xml:space="preserve">UK and Sweden. </w:t>
      </w:r>
      <w:r w:rsidR="00F11CD2" w:rsidRPr="00B06BDB">
        <w:rPr>
          <w:rFonts w:cstheme="minorHAnsi"/>
          <w:sz w:val="20"/>
          <w:szCs w:val="20"/>
        </w:rPr>
        <w:t xml:space="preserve">The research team used </w:t>
      </w:r>
      <w:proofErr w:type="spellStart"/>
      <w:r w:rsidR="00F11CD2" w:rsidRPr="00B06BDB">
        <w:rPr>
          <w:rFonts w:cstheme="minorHAnsi"/>
          <w:sz w:val="20"/>
          <w:szCs w:val="20"/>
        </w:rPr>
        <w:t>NVivo</w:t>
      </w:r>
      <w:proofErr w:type="spellEnd"/>
      <w:r w:rsidR="00E4358B" w:rsidRPr="00B06BDB">
        <w:rPr>
          <w:rFonts w:cstheme="minorHAnsi"/>
          <w:sz w:val="20"/>
          <w:szCs w:val="20"/>
        </w:rPr>
        <w:t xml:space="preserve"> 11 Pro to analyse the data. </w:t>
      </w:r>
      <w:r w:rsidR="00694F12" w:rsidRPr="00B06BDB">
        <w:rPr>
          <w:rFonts w:cstheme="minorHAnsi"/>
          <w:sz w:val="20"/>
          <w:szCs w:val="20"/>
        </w:rPr>
        <w:t xml:space="preserve">The data analysis proceeded in </w:t>
      </w:r>
      <w:r w:rsidR="00833E9E" w:rsidRPr="00B06BDB">
        <w:rPr>
          <w:rFonts w:cstheme="minorHAnsi"/>
          <w:sz w:val="20"/>
          <w:szCs w:val="20"/>
        </w:rPr>
        <w:t>three</w:t>
      </w:r>
      <w:r w:rsidR="00694F12" w:rsidRPr="00B06BDB">
        <w:rPr>
          <w:rFonts w:cstheme="minorHAnsi"/>
          <w:sz w:val="20"/>
          <w:szCs w:val="20"/>
        </w:rPr>
        <w:t xml:space="preserve"> phases</w:t>
      </w:r>
      <w:r w:rsidR="008013C0" w:rsidRPr="00B06BDB">
        <w:rPr>
          <w:rFonts w:cstheme="minorHAnsi"/>
          <w:sz w:val="20"/>
          <w:szCs w:val="20"/>
        </w:rPr>
        <w:t xml:space="preserve"> related to the research questions</w:t>
      </w:r>
      <w:r w:rsidR="001C09BE" w:rsidRPr="00B06BDB">
        <w:rPr>
          <w:rFonts w:cstheme="minorHAnsi"/>
          <w:sz w:val="20"/>
          <w:szCs w:val="20"/>
        </w:rPr>
        <w:t xml:space="preserve"> (table 2</w:t>
      </w:r>
      <w:r w:rsidR="009028FB" w:rsidRPr="00B06BDB">
        <w:rPr>
          <w:rFonts w:cstheme="minorHAnsi"/>
          <w:sz w:val="20"/>
          <w:szCs w:val="20"/>
        </w:rPr>
        <w:t>).</w:t>
      </w:r>
    </w:p>
    <w:p w14:paraId="5930DC50" w14:textId="7D24F1CE" w:rsidR="009028FB" w:rsidRPr="00B06BDB" w:rsidRDefault="00E85339" w:rsidP="006B71AB">
      <w:pPr>
        <w:spacing w:after="120" w:line="240" w:lineRule="auto"/>
        <w:jc w:val="both"/>
        <w:rPr>
          <w:rFonts w:cstheme="minorHAnsi"/>
          <w:sz w:val="20"/>
          <w:szCs w:val="20"/>
        </w:rPr>
      </w:pPr>
      <w:r w:rsidRPr="00B06BDB">
        <w:rPr>
          <w:rFonts w:cstheme="minorHAnsi"/>
          <w:b/>
          <w:sz w:val="20"/>
          <w:szCs w:val="20"/>
        </w:rPr>
        <w:t>Table 2</w:t>
      </w:r>
      <w:r w:rsidR="00F44DF8" w:rsidRPr="00B06BDB">
        <w:rPr>
          <w:rFonts w:cstheme="minorHAnsi"/>
          <w:b/>
          <w:sz w:val="20"/>
          <w:szCs w:val="20"/>
        </w:rPr>
        <w:t>:</w:t>
      </w:r>
      <w:r w:rsidR="009028FB" w:rsidRPr="00B06BDB">
        <w:rPr>
          <w:rFonts w:cstheme="minorHAnsi"/>
          <w:sz w:val="20"/>
          <w:szCs w:val="20"/>
        </w:rPr>
        <w:t xml:space="preserve"> Data analysis procedure</w:t>
      </w:r>
    </w:p>
    <w:tbl>
      <w:tblPr>
        <w:tblW w:w="8717" w:type="dxa"/>
        <w:tblCellMar>
          <w:left w:w="0" w:type="dxa"/>
          <w:right w:w="0" w:type="dxa"/>
        </w:tblCellMar>
        <w:tblLook w:val="0420" w:firstRow="1" w:lastRow="0" w:firstColumn="0" w:lastColumn="0" w:noHBand="0" w:noVBand="1"/>
      </w:tblPr>
      <w:tblGrid>
        <w:gridCol w:w="781"/>
        <w:gridCol w:w="7936"/>
      </w:tblGrid>
      <w:tr w:rsidR="00B06BDB" w:rsidRPr="00B06BDB" w14:paraId="109D935B" w14:textId="77777777" w:rsidTr="00A6757B">
        <w:trPr>
          <w:trHeight w:val="36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A82A22" w14:textId="77777777" w:rsidR="00722FDA" w:rsidRPr="00B06BDB" w:rsidRDefault="00722FDA" w:rsidP="00722FDA">
            <w:pPr>
              <w:spacing w:after="120" w:line="240" w:lineRule="auto"/>
              <w:jc w:val="both"/>
              <w:rPr>
                <w:rFonts w:cstheme="minorHAnsi"/>
                <w:sz w:val="20"/>
                <w:szCs w:val="20"/>
              </w:rPr>
            </w:pPr>
            <w:r w:rsidRPr="00B06BDB">
              <w:rPr>
                <w:rFonts w:cstheme="minorHAnsi"/>
                <w:b/>
                <w:bCs/>
                <w:sz w:val="20"/>
                <w:szCs w:val="20"/>
              </w:rPr>
              <w:t>Phase</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6555E8" w14:textId="77777777" w:rsidR="00722FDA" w:rsidRPr="00B06BDB" w:rsidRDefault="00722FDA" w:rsidP="00722FDA">
            <w:pPr>
              <w:spacing w:after="120" w:line="240" w:lineRule="auto"/>
              <w:jc w:val="both"/>
              <w:rPr>
                <w:rFonts w:cstheme="minorHAnsi"/>
                <w:sz w:val="20"/>
                <w:szCs w:val="20"/>
              </w:rPr>
            </w:pPr>
            <w:r w:rsidRPr="00B06BDB">
              <w:rPr>
                <w:rFonts w:cstheme="minorHAnsi"/>
                <w:b/>
                <w:bCs/>
                <w:sz w:val="20"/>
                <w:szCs w:val="20"/>
              </w:rPr>
              <w:t>Description</w:t>
            </w:r>
          </w:p>
        </w:tc>
      </w:tr>
      <w:tr w:rsidR="00B06BDB" w:rsidRPr="00B06BDB" w14:paraId="57E0EFD8" w14:textId="77777777" w:rsidTr="00A6757B">
        <w:trPr>
          <w:trHeight w:val="52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2AB718"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rPr>
              <w:t>1</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BECD90"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rPr>
              <w:t xml:space="preserve">Initially open coding took place by looking for any references to what was (intended to be) transformed: the focus of digital transformation. The parent node </w:t>
            </w:r>
            <w:r w:rsidRPr="00B06BDB">
              <w:rPr>
                <w:rFonts w:cstheme="minorHAnsi"/>
                <w:i/>
                <w:iCs/>
                <w:sz w:val="20"/>
                <w:szCs w:val="20"/>
              </w:rPr>
              <w:t>focus of digital transformation</w:t>
            </w:r>
            <w:r w:rsidRPr="00B06BDB">
              <w:rPr>
                <w:rFonts w:cstheme="minorHAnsi"/>
                <w:sz w:val="20"/>
                <w:szCs w:val="20"/>
              </w:rPr>
              <w:t xml:space="preserve"> (DT) was created with a number of child nodes such as: </w:t>
            </w:r>
            <w:r w:rsidRPr="00B06BDB">
              <w:rPr>
                <w:rFonts w:cstheme="minorHAnsi"/>
                <w:i/>
                <w:iCs/>
                <w:sz w:val="20"/>
                <w:szCs w:val="20"/>
              </w:rPr>
              <w:t>services, communication, processes</w:t>
            </w:r>
            <w:r w:rsidRPr="00B06BDB">
              <w:rPr>
                <w:rFonts w:cstheme="minorHAnsi"/>
                <w:sz w:val="20"/>
                <w:szCs w:val="20"/>
              </w:rPr>
              <w:t xml:space="preserve"> etc. where content was coded which identified the transformation of that particular aspect of government due to digital transformation.</w:t>
            </w:r>
          </w:p>
        </w:tc>
      </w:tr>
      <w:tr w:rsidR="00B06BDB" w:rsidRPr="00B06BDB" w14:paraId="19E18EF6" w14:textId="77777777" w:rsidTr="00A6757B">
        <w:trPr>
          <w:trHeight w:val="52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5E05D6"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rPr>
              <w:t>2</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12D0D1"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lang w:val="en-US"/>
              </w:rPr>
              <w:t xml:space="preserve">The second round of analysis included identifying and coding for the tasks for digital transformation in each department as well as specific </w:t>
            </w:r>
            <w:r w:rsidRPr="00B06BDB">
              <w:rPr>
                <w:rFonts w:cstheme="minorHAnsi"/>
                <w:i/>
                <w:iCs/>
                <w:sz w:val="20"/>
                <w:szCs w:val="20"/>
                <w:lang w:val="en-US"/>
              </w:rPr>
              <w:t>new structures, roles, skills and arrangements related to DT</w:t>
            </w:r>
            <w:r w:rsidRPr="00B06BDB">
              <w:rPr>
                <w:rFonts w:cstheme="minorHAnsi"/>
                <w:sz w:val="20"/>
                <w:szCs w:val="20"/>
                <w:lang w:val="en-US"/>
              </w:rPr>
              <w:t>. These child nodes were aggregated under the digital transformation approach parent node.</w:t>
            </w:r>
          </w:p>
        </w:tc>
      </w:tr>
      <w:tr w:rsidR="00B06BDB" w:rsidRPr="00B06BDB" w14:paraId="708FAD3F" w14:textId="77777777" w:rsidTr="00A6757B">
        <w:trPr>
          <w:trHeight w:val="52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362D35"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rPr>
              <w:t>3</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715326"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lang w:val="en-US"/>
              </w:rPr>
              <w:t xml:space="preserve">Identifying the direction of the transformation: Here the researches coded for </w:t>
            </w:r>
            <w:r w:rsidRPr="00B06BDB">
              <w:rPr>
                <w:rFonts w:cstheme="minorHAnsi"/>
                <w:i/>
                <w:iCs/>
                <w:sz w:val="20"/>
                <w:szCs w:val="20"/>
                <w:lang w:val="en-US"/>
              </w:rPr>
              <w:t xml:space="preserve">direction of DT </w:t>
            </w:r>
            <w:r w:rsidRPr="00B06BDB">
              <w:rPr>
                <w:rFonts w:cstheme="minorHAnsi"/>
                <w:sz w:val="20"/>
                <w:szCs w:val="20"/>
                <w:lang w:val="en-US"/>
              </w:rPr>
              <w:t xml:space="preserve">(parent node) creating two child nodes </w:t>
            </w:r>
            <w:r w:rsidRPr="00B06BDB">
              <w:rPr>
                <w:rFonts w:cstheme="minorHAnsi"/>
                <w:i/>
                <w:iCs/>
                <w:sz w:val="20"/>
                <w:szCs w:val="20"/>
                <w:lang w:val="en-US"/>
              </w:rPr>
              <w:t xml:space="preserve">macrosocial forces - top down </w:t>
            </w:r>
            <w:r w:rsidRPr="00B06BDB">
              <w:rPr>
                <w:rFonts w:cstheme="minorHAnsi"/>
                <w:sz w:val="20"/>
                <w:szCs w:val="20"/>
                <w:lang w:val="en-US"/>
              </w:rPr>
              <w:t xml:space="preserve">and </w:t>
            </w:r>
            <w:r w:rsidRPr="00B06BDB">
              <w:rPr>
                <w:rFonts w:cstheme="minorHAnsi"/>
                <w:i/>
                <w:iCs/>
                <w:sz w:val="20"/>
                <w:szCs w:val="20"/>
                <w:lang w:val="en-US"/>
              </w:rPr>
              <w:t>microsocial forces - bottom up</w:t>
            </w:r>
            <w:r w:rsidRPr="00B06BDB">
              <w:rPr>
                <w:rFonts w:cstheme="minorHAnsi"/>
                <w:sz w:val="20"/>
                <w:szCs w:val="20"/>
                <w:lang w:val="en-US"/>
              </w:rPr>
              <w:t xml:space="preserve">. The analysis here indicates whether discourse in policy documents focused on technology and </w:t>
            </w:r>
            <w:proofErr w:type="spellStart"/>
            <w:r w:rsidRPr="00B06BDB">
              <w:rPr>
                <w:rFonts w:cstheme="minorHAnsi"/>
                <w:sz w:val="20"/>
                <w:szCs w:val="20"/>
                <w:lang w:val="en-US"/>
              </w:rPr>
              <w:t>organisational</w:t>
            </w:r>
            <w:proofErr w:type="spellEnd"/>
            <w:r w:rsidRPr="00B06BDB">
              <w:rPr>
                <w:rFonts w:cstheme="minorHAnsi"/>
                <w:sz w:val="20"/>
                <w:szCs w:val="20"/>
                <w:lang w:val="en-US"/>
              </w:rPr>
              <w:t xml:space="preserve"> structure alignment from a microsocial or macrosocial perspective. Documents are coded for references to microsocial forces or macrosocial forces. </w:t>
            </w:r>
          </w:p>
        </w:tc>
      </w:tr>
      <w:tr w:rsidR="00722FDA" w:rsidRPr="00B06BDB" w14:paraId="591AD1F7" w14:textId="77777777" w:rsidTr="00A6757B">
        <w:trPr>
          <w:trHeight w:val="52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63EED"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rPr>
              <w:t>4</w:t>
            </w:r>
          </w:p>
        </w:tc>
        <w:tc>
          <w:tcPr>
            <w:tcW w:w="8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D8D972" w14:textId="77777777" w:rsidR="00722FDA" w:rsidRPr="00B06BDB" w:rsidRDefault="00722FDA" w:rsidP="00722FDA">
            <w:pPr>
              <w:spacing w:after="120" w:line="240" w:lineRule="auto"/>
              <w:jc w:val="both"/>
              <w:rPr>
                <w:rFonts w:cstheme="minorHAnsi"/>
                <w:sz w:val="20"/>
                <w:szCs w:val="20"/>
              </w:rPr>
            </w:pPr>
            <w:r w:rsidRPr="00B06BDB">
              <w:rPr>
                <w:rFonts w:cstheme="minorHAnsi"/>
                <w:sz w:val="20"/>
                <w:szCs w:val="20"/>
                <w:lang w:val="en-US"/>
              </w:rPr>
              <w:t xml:space="preserve">Finally the coding of the UK and Swedish documents was thoroughly discussed and research findings checked in terms of understanding the higher level analysis of identifying the direction of DT in Sweden and the UK. </w:t>
            </w:r>
          </w:p>
        </w:tc>
      </w:tr>
    </w:tbl>
    <w:p w14:paraId="0D5D55DD" w14:textId="4FFB9EF0" w:rsidR="00722FDA" w:rsidRPr="00B06BDB" w:rsidRDefault="00722FDA" w:rsidP="006B71AB">
      <w:pPr>
        <w:spacing w:after="120" w:line="240" w:lineRule="auto"/>
        <w:jc w:val="both"/>
        <w:rPr>
          <w:rFonts w:cstheme="minorHAnsi"/>
          <w:sz w:val="20"/>
          <w:szCs w:val="20"/>
        </w:rPr>
      </w:pPr>
    </w:p>
    <w:p w14:paraId="030D43FE" w14:textId="7133E9DF" w:rsidR="00A6757B" w:rsidRPr="00B06BDB" w:rsidRDefault="00A6757B" w:rsidP="006B71AB">
      <w:pPr>
        <w:spacing w:after="120" w:line="240" w:lineRule="auto"/>
        <w:jc w:val="both"/>
        <w:rPr>
          <w:rFonts w:cstheme="minorHAnsi"/>
          <w:sz w:val="20"/>
          <w:szCs w:val="20"/>
        </w:rPr>
      </w:pPr>
      <w:r w:rsidRPr="00B06BDB">
        <w:rPr>
          <w:rFonts w:cstheme="minorHAnsi"/>
          <w:sz w:val="20"/>
          <w:szCs w:val="20"/>
        </w:rPr>
        <w:t xml:space="preserve">As indicated in the table the dimensions of comparison are focus of the digital transformation (this is related to the first research question), organisational structures, roles, tasks and skills used in the digital transformation (related to the second research question) and finally direction of the transformation – initiated by macro- or microsocial forces. </w:t>
      </w:r>
    </w:p>
    <w:p w14:paraId="1348B6D8" w14:textId="2337BEB8" w:rsidR="00694F12" w:rsidRPr="00B06BDB" w:rsidRDefault="007C451F" w:rsidP="006B71AB">
      <w:pPr>
        <w:pStyle w:val="Heading1"/>
        <w:spacing w:before="0" w:after="120" w:line="240" w:lineRule="auto"/>
        <w:rPr>
          <w:color w:val="auto"/>
        </w:rPr>
      </w:pPr>
      <w:r w:rsidRPr="00B06BDB">
        <w:rPr>
          <w:color w:val="auto"/>
        </w:rPr>
        <w:t>Findings</w:t>
      </w:r>
    </w:p>
    <w:p w14:paraId="065ED27A" w14:textId="009386BC" w:rsidR="0091085B" w:rsidRPr="00B06BDB" w:rsidRDefault="0091085B" w:rsidP="00722FDA">
      <w:pPr>
        <w:pStyle w:val="Heading2"/>
        <w:ind w:firstLine="720"/>
        <w:jc w:val="both"/>
        <w:rPr>
          <w:color w:val="auto"/>
        </w:rPr>
      </w:pPr>
      <w:r w:rsidRPr="00B06BDB">
        <w:rPr>
          <w:color w:val="auto"/>
        </w:rPr>
        <w:t>National contexts</w:t>
      </w:r>
    </w:p>
    <w:p w14:paraId="3FB26331" w14:textId="77777777" w:rsidR="0091085B" w:rsidRPr="00B06BDB" w:rsidRDefault="0091085B" w:rsidP="00AD75CA">
      <w:pPr>
        <w:spacing w:after="0" w:line="240" w:lineRule="auto"/>
        <w:jc w:val="both"/>
        <w:rPr>
          <w:rFonts w:cstheme="minorHAnsi"/>
          <w:sz w:val="20"/>
          <w:szCs w:val="20"/>
        </w:rPr>
      </w:pPr>
      <w:r w:rsidRPr="00B06BDB">
        <w:rPr>
          <w:rFonts w:cstheme="minorHAnsi"/>
          <w:sz w:val="20"/>
          <w:szCs w:val="20"/>
        </w:rPr>
        <w:t>Sweden</w:t>
      </w:r>
    </w:p>
    <w:p w14:paraId="39943754" w14:textId="49585E97" w:rsidR="0091085B" w:rsidRPr="00B06BDB" w:rsidRDefault="0091085B" w:rsidP="00AD75CA">
      <w:pPr>
        <w:spacing w:after="0" w:line="240" w:lineRule="auto"/>
        <w:jc w:val="both"/>
        <w:rPr>
          <w:rFonts w:cstheme="minorHAnsi"/>
          <w:sz w:val="20"/>
          <w:szCs w:val="20"/>
        </w:rPr>
      </w:pPr>
      <w:r w:rsidRPr="00B06BDB">
        <w:rPr>
          <w:rFonts w:cstheme="minorHAnsi"/>
          <w:sz w:val="20"/>
          <w:szCs w:val="20"/>
        </w:rPr>
        <w:t>Sweden is o</w:t>
      </w:r>
      <w:r w:rsidR="00671CB4" w:rsidRPr="00B06BDB">
        <w:rPr>
          <w:rFonts w:cstheme="minorHAnsi"/>
          <w:sz w:val="20"/>
          <w:szCs w:val="20"/>
        </w:rPr>
        <w:t>ne of the leading nations in e-G</w:t>
      </w:r>
      <w:r w:rsidRPr="00B06BDB">
        <w:rPr>
          <w:rFonts w:cstheme="minorHAnsi"/>
          <w:sz w:val="20"/>
          <w:szCs w:val="20"/>
        </w:rPr>
        <w:t xml:space="preserve">overnment together with the other Nordic countries (Joseph and </w:t>
      </w:r>
      <w:proofErr w:type="spellStart"/>
      <w:r w:rsidRPr="00B06BDB">
        <w:rPr>
          <w:rFonts w:cstheme="minorHAnsi"/>
          <w:sz w:val="20"/>
          <w:szCs w:val="20"/>
        </w:rPr>
        <w:t>Avdic</w:t>
      </w:r>
      <w:proofErr w:type="spellEnd"/>
      <w:r w:rsidRPr="00B06BDB">
        <w:rPr>
          <w:rFonts w:cstheme="minorHAnsi"/>
          <w:sz w:val="20"/>
          <w:szCs w:val="20"/>
        </w:rPr>
        <w:t xml:space="preserve">, 2016; </w:t>
      </w:r>
      <w:proofErr w:type="spellStart"/>
      <w:r w:rsidRPr="00B06BDB">
        <w:rPr>
          <w:rFonts w:cstheme="minorHAnsi"/>
          <w:sz w:val="20"/>
          <w:szCs w:val="20"/>
        </w:rPr>
        <w:t>Tinholt</w:t>
      </w:r>
      <w:proofErr w:type="spellEnd"/>
      <w:r w:rsidRPr="00B06BDB">
        <w:rPr>
          <w:rFonts w:cstheme="minorHAnsi"/>
          <w:sz w:val="20"/>
          <w:szCs w:val="20"/>
        </w:rPr>
        <w:t xml:space="preserve"> et al., 2016). Sweden has with high penetration of digital services and digitalisation of service delivery and is an exemplar of a successful process of innovation enabling the exploitation of opportunities offered by ICT. Sweden belongs to 'Group 5</w:t>
      </w:r>
      <w:r w:rsidR="00671CB4" w:rsidRPr="00B06BDB">
        <w:rPr>
          <w:rFonts w:cstheme="minorHAnsi"/>
          <w:sz w:val="20"/>
          <w:szCs w:val="20"/>
        </w:rPr>
        <w:t>'</w:t>
      </w:r>
      <w:r w:rsidRPr="00B06BDB">
        <w:rPr>
          <w:rFonts w:cstheme="minorHAnsi"/>
          <w:sz w:val="20"/>
          <w:szCs w:val="20"/>
        </w:rPr>
        <w:t xml:space="preserve"> together with other high income countries with small populations - highly educated and very much inclined to use banking services and e-commerce; well-developed infrastructures; high level of centralisation of services; and low perceived levels of public sector corruption.</w:t>
      </w:r>
    </w:p>
    <w:p w14:paraId="6B6B8E8B" w14:textId="77777777" w:rsidR="0091085B" w:rsidRPr="00B06BDB" w:rsidRDefault="0091085B" w:rsidP="00AD75CA">
      <w:pPr>
        <w:spacing w:after="0" w:line="240" w:lineRule="auto"/>
        <w:jc w:val="both"/>
        <w:rPr>
          <w:rFonts w:cstheme="minorHAnsi"/>
          <w:sz w:val="20"/>
          <w:szCs w:val="20"/>
        </w:rPr>
      </w:pPr>
      <w:r w:rsidRPr="00B06BDB">
        <w:rPr>
          <w:rFonts w:cstheme="minorHAnsi"/>
          <w:sz w:val="20"/>
          <w:szCs w:val="20"/>
        </w:rPr>
        <w:t>UK</w:t>
      </w:r>
    </w:p>
    <w:p w14:paraId="18485CEA" w14:textId="6590D31D" w:rsidR="0091085B" w:rsidRPr="00B06BDB" w:rsidRDefault="0091085B" w:rsidP="00AD75CA">
      <w:pPr>
        <w:jc w:val="both"/>
        <w:rPr>
          <w:rFonts w:cstheme="minorHAnsi"/>
          <w:sz w:val="20"/>
          <w:szCs w:val="20"/>
        </w:rPr>
      </w:pPr>
      <w:r w:rsidRPr="00B06BDB">
        <w:rPr>
          <w:rFonts w:cstheme="minorHAnsi"/>
          <w:sz w:val="20"/>
          <w:szCs w:val="20"/>
        </w:rPr>
        <w:t>The UK is characterised by a high level of penetration in terms of internet use but a low-level of digitisation – automated services. According to the X report the UK is something of a laggard, it appears in group 2 together with other countries with the largest and aging populations with only European Union average level of education; infrastructure maturity and take-up of internet. Public administration processes are not efficient or cost effective. Sweden, during the research period (2010-2017) was located in the progressive (for e-</w:t>
      </w:r>
      <w:r w:rsidRPr="00B06BDB">
        <w:rPr>
          <w:rFonts w:cstheme="minorHAnsi"/>
          <w:sz w:val="20"/>
          <w:szCs w:val="20"/>
        </w:rPr>
        <w:lastRenderedPageBreak/>
        <w:t xml:space="preserve">Government) cluster in 2012/2013 and had moved to the mature cluster in 2014/2015. The UK has not made any progress in terms of </w:t>
      </w:r>
      <w:proofErr w:type="spellStart"/>
      <w:r w:rsidRPr="00B06BDB">
        <w:rPr>
          <w:rFonts w:cstheme="minorHAnsi"/>
          <w:sz w:val="20"/>
          <w:szCs w:val="20"/>
        </w:rPr>
        <w:t>eGovernment</w:t>
      </w:r>
      <w:proofErr w:type="spellEnd"/>
      <w:r w:rsidRPr="00B06BDB">
        <w:rPr>
          <w:rFonts w:cstheme="minorHAnsi"/>
          <w:sz w:val="20"/>
          <w:szCs w:val="20"/>
        </w:rPr>
        <w:t xml:space="preserve"> maturity performance.</w:t>
      </w:r>
    </w:p>
    <w:p w14:paraId="679B2A19" w14:textId="77777777" w:rsidR="007C451F" w:rsidRPr="00B06BDB" w:rsidRDefault="007C451F" w:rsidP="00722FDA">
      <w:pPr>
        <w:pStyle w:val="Heading2"/>
        <w:spacing w:before="0" w:after="120" w:line="240" w:lineRule="auto"/>
        <w:ind w:firstLine="720"/>
        <w:rPr>
          <w:color w:val="auto"/>
        </w:rPr>
      </w:pPr>
      <w:r w:rsidRPr="00B06BDB">
        <w:rPr>
          <w:color w:val="auto"/>
        </w:rPr>
        <w:t>The foci of transformation</w:t>
      </w:r>
    </w:p>
    <w:p w14:paraId="5B2C15D4" w14:textId="487F1E36" w:rsidR="008A4A42" w:rsidRPr="00B06BDB" w:rsidRDefault="00CA63C0" w:rsidP="006B71AB">
      <w:pPr>
        <w:spacing w:after="120" w:line="240" w:lineRule="auto"/>
        <w:jc w:val="both"/>
        <w:rPr>
          <w:rFonts w:cstheme="minorHAnsi"/>
          <w:sz w:val="20"/>
          <w:szCs w:val="20"/>
        </w:rPr>
      </w:pPr>
      <w:r w:rsidRPr="00B06BDB">
        <w:rPr>
          <w:rFonts w:cstheme="minorHAnsi"/>
          <w:i/>
          <w:sz w:val="20"/>
          <w:szCs w:val="20"/>
        </w:rPr>
        <w:t>UK:</w:t>
      </w:r>
      <w:r w:rsidRPr="00B06BDB">
        <w:rPr>
          <w:rFonts w:cstheme="minorHAnsi"/>
          <w:sz w:val="20"/>
          <w:szCs w:val="20"/>
        </w:rPr>
        <w:t xml:space="preserve"> In</w:t>
      </w:r>
      <w:r w:rsidR="004606D3" w:rsidRPr="00B06BDB">
        <w:rPr>
          <w:rFonts w:cstheme="minorHAnsi"/>
          <w:sz w:val="20"/>
          <w:szCs w:val="20"/>
        </w:rPr>
        <w:t xml:space="preserve"> 2013 </w:t>
      </w:r>
      <w:r w:rsidRPr="00B06BDB">
        <w:rPr>
          <w:rFonts w:cstheme="minorHAnsi"/>
          <w:sz w:val="20"/>
          <w:szCs w:val="20"/>
        </w:rPr>
        <w:t>the main focus was on</w:t>
      </w:r>
      <w:r w:rsidR="004606D3" w:rsidRPr="00B06BDB">
        <w:rPr>
          <w:rFonts w:cstheme="minorHAnsi"/>
          <w:sz w:val="20"/>
          <w:szCs w:val="20"/>
        </w:rPr>
        <w:t xml:space="preserve"> redesign</w:t>
      </w:r>
      <w:r w:rsidRPr="00B06BDB">
        <w:rPr>
          <w:rFonts w:cstheme="minorHAnsi"/>
          <w:sz w:val="20"/>
          <w:szCs w:val="20"/>
        </w:rPr>
        <w:t>ing</w:t>
      </w:r>
      <w:r w:rsidR="00041B64" w:rsidRPr="00B06BDB">
        <w:rPr>
          <w:rFonts w:cstheme="minorHAnsi"/>
          <w:sz w:val="20"/>
          <w:szCs w:val="20"/>
        </w:rPr>
        <w:t xml:space="preserve"> services </w:t>
      </w:r>
      <w:r w:rsidR="004606D3" w:rsidRPr="00B06BDB">
        <w:rPr>
          <w:rFonts w:cstheme="minorHAnsi"/>
          <w:sz w:val="20"/>
          <w:szCs w:val="20"/>
        </w:rPr>
        <w:t>handling over 1</w:t>
      </w:r>
      <w:r w:rsidR="00041B64" w:rsidRPr="00B06BDB">
        <w:rPr>
          <w:rFonts w:cstheme="minorHAnsi"/>
          <w:sz w:val="20"/>
          <w:szCs w:val="20"/>
        </w:rPr>
        <w:t>00,000 transactions each year</w:t>
      </w:r>
      <w:r w:rsidRPr="00B06BDB">
        <w:rPr>
          <w:rFonts w:cstheme="minorHAnsi"/>
          <w:sz w:val="20"/>
          <w:szCs w:val="20"/>
        </w:rPr>
        <w:t xml:space="preserve">. The focus on front-end transformation included discourse around transforming user/customer experience, communications and information provision. </w:t>
      </w:r>
      <w:r w:rsidR="009028FB" w:rsidRPr="00B06BDB">
        <w:rPr>
          <w:rFonts w:cstheme="minorHAnsi"/>
          <w:sz w:val="20"/>
          <w:szCs w:val="20"/>
        </w:rPr>
        <w:t>In 2013 the focus was on opening</w:t>
      </w:r>
      <w:r w:rsidRPr="00B06BDB">
        <w:rPr>
          <w:rFonts w:cstheme="minorHAnsi"/>
          <w:sz w:val="20"/>
          <w:szCs w:val="20"/>
        </w:rPr>
        <w:t xml:space="preserve"> up</w:t>
      </w:r>
      <w:r w:rsidR="009028FB" w:rsidRPr="00B06BDB">
        <w:rPr>
          <w:rFonts w:cstheme="minorHAnsi"/>
          <w:sz w:val="20"/>
          <w:szCs w:val="20"/>
        </w:rPr>
        <w:t xml:space="preserve"> data</w:t>
      </w:r>
      <w:r w:rsidRPr="00B06BDB">
        <w:rPr>
          <w:rFonts w:cstheme="minorHAnsi"/>
          <w:sz w:val="20"/>
          <w:szCs w:val="20"/>
        </w:rPr>
        <w:t xml:space="preserve"> for access by users through digital technology</w:t>
      </w:r>
      <w:r w:rsidR="00041B64" w:rsidRPr="00B06BDB">
        <w:rPr>
          <w:rFonts w:cstheme="minorHAnsi"/>
          <w:sz w:val="20"/>
          <w:szCs w:val="20"/>
        </w:rPr>
        <w:t xml:space="preserve"> whereas in</w:t>
      </w:r>
      <w:r w:rsidR="008A4A42" w:rsidRPr="00B06BDB">
        <w:rPr>
          <w:rFonts w:cstheme="minorHAnsi"/>
          <w:sz w:val="20"/>
          <w:szCs w:val="20"/>
        </w:rPr>
        <w:t xml:space="preserve"> 2017 </w:t>
      </w:r>
      <w:r w:rsidR="009028FB" w:rsidRPr="00B06BDB">
        <w:rPr>
          <w:rFonts w:cstheme="minorHAnsi"/>
          <w:sz w:val="20"/>
          <w:szCs w:val="20"/>
        </w:rPr>
        <w:t>the focus was on</w:t>
      </w:r>
      <w:r w:rsidR="008A4A42" w:rsidRPr="00B06BDB">
        <w:rPr>
          <w:rFonts w:cstheme="minorHAnsi"/>
          <w:sz w:val="20"/>
          <w:szCs w:val="20"/>
        </w:rPr>
        <w:t xml:space="preserve"> sharing APIs both internally and externally to open up services, building national data infrastructure of registers, transforming the storage and management of data repositories. </w:t>
      </w:r>
    </w:p>
    <w:p w14:paraId="678CB3DD" w14:textId="603229FE" w:rsidR="008A4A42" w:rsidRPr="00B06BDB" w:rsidRDefault="008A4A42" w:rsidP="006B71AB">
      <w:pPr>
        <w:spacing w:after="120" w:line="240" w:lineRule="auto"/>
        <w:jc w:val="both"/>
        <w:rPr>
          <w:rFonts w:cstheme="minorHAnsi"/>
          <w:sz w:val="20"/>
          <w:szCs w:val="20"/>
        </w:rPr>
      </w:pPr>
      <w:r w:rsidRPr="00B06BDB">
        <w:rPr>
          <w:rFonts w:cstheme="minorHAnsi"/>
          <w:sz w:val="20"/>
          <w:szCs w:val="20"/>
        </w:rPr>
        <w:t xml:space="preserve">Another focus of transformation in 2013 </w:t>
      </w:r>
      <w:r w:rsidR="006B17EC" w:rsidRPr="00B06BDB">
        <w:rPr>
          <w:rFonts w:cstheme="minorHAnsi"/>
          <w:sz w:val="20"/>
          <w:szCs w:val="20"/>
        </w:rPr>
        <w:t>was</w:t>
      </w:r>
      <w:r w:rsidRPr="00B06BDB">
        <w:rPr>
          <w:rFonts w:cstheme="minorHAnsi"/>
          <w:sz w:val="20"/>
          <w:szCs w:val="20"/>
        </w:rPr>
        <w:t xml:space="preserve"> legislation which </w:t>
      </w:r>
      <w:r w:rsidR="006B17EC" w:rsidRPr="00B06BDB">
        <w:rPr>
          <w:rFonts w:cstheme="minorHAnsi"/>
          <w:sz w:val="20"/>
          <w:szCs w:val="20"/>
        </w:rPr>
        <w:t>was</w:t>
      </w:r>
      <w:r w:rsidR="000E6066" w:rsidRPr="00B06BDB">
        <w:rPr>
          <w:rFonts w:cstheme="minorHAnsi"/>
          <w:sz w:val="20"/>
          <w:szCs w:val="20"/>
        </w:rPr>
        <w:t xml:space="preserve"> related to service</w:t>
      </w:r>
      <w:r w:rsidR="006B17EC" w:rsidRPr="00B06BDB">
        <w:rPr>
          <w:rFonts w:cstheme="minorHAnsi"/>
          <w:sz w:val="20"/>
          <w:szCs w:val="20"/>
        </w:rPr>
        <w:t>s</w:t>
      </w:r>
      <w:r w:rsidR="000E6066" w:rsidRPr="00B06BDB">
        <w:rPr>
          <w:rFonts w:cstheme="minorHAnsi"/>
          <w:sz w:val="20"/>
          <w:szCs w:val="20"/>
        </w:rPr>
        <w:t xml:space="preserve"> as the need for</w:t>
      </w:r>
      <w:r w:rsidRPr="00B06BDB">
        <w:rPr>
          <w:rFonts w:cstheme="minorHAnsi"/>
          <w:sz w:val="20"/>
          <w:szCs w:val="20"/>
        </w:rPr>
        <w:t xml:space="preserve"> ‘departments to remove legislative barriers which unnecessarily prevent the development of straightforward and convenient digital services’ (p.37). </w:t>
      </w:r>
      <w:r w:rsidR="00041B64" w:rsidRPr="00B06BDB">
        <w:rPr>
          <w:rFonts w:cstheme="minorHAnsi"/>
          <w:sz w:val="20"/>
          <w:szCs w:val="20"/>
        </w:rPr>
        <w:t>L</w:t>
      </w:r>
      <w:r w:rsidRPr="00B06BDB">
        <w:rPr>
          <w:rFonts w:cstheme="minorHAnsi"/>
          <w:sz w:val="20"/>
          <w:szCs w:val="20"/>
        </w:rPr>
        <w:t xml:space="preserve">aws were made before the digital age and thus </w:t>
      </w:r>
      <w:r w:rsidR="00041B64" w:rsidRPr="00B06BDB">
        <w:rPr>
          <w:rFonts w:cstheme="minorHAnsi"/>
          <w:sz w:val="20"/>
          <w:szCs w:val="20"/>
        </w:rPr>
        <w:t>could</w:t>
      </w:r>
      <w:r w:rsidRPr="00B06BDB">
        <w:rPr>
          <w:rFonts w:cstheme="minorHAnsi"/>
          <w:sz w:val="20"/>
          <w:szCs w:val="20"/>
        </w:rPr>
        <w:t xml:space="preserve"> constrain development of digital services. In 2017 focus was placed on ‘modernising legislation to enable data access for defined public interest purposes within government’ (p.49). </w:t>
      </w:r>
    </w:p>
    <w:p w14:paraId="0194D9B9" w14:textId="693FC313" w:rsidR="00513975" w:rsidRPr="00B06BDB" w:rsidRDefault="00513975" w:rsidP="006B71AB">
      <w:pPr>
        <w:spacing w:after="120" w:line="240" w:lineRule="auto"/>
        <w:jc w:val="both"/>
        <w:rPr>
          <w:rFonts w:cstheme="minorHAnsi"/>
          <w:sz w:val="20"/>
          <w:szCs w:val="20"/>
        </w:rPr>
      </w:pPr>
      <w:r w:rsidRPr="00B06BDB">
        <w:rPr>
          <w:rFonts w:cstheme="minorHAnsi"/>
          <w:sz w:val="20"/>
          <w:szCs w:val="20"/>
        </w:rPr>
        <w:t xml:space="preserve">A major difference between 2013 and 2017 in the UK </w:t>
      </w:r>
      <w:r w:rsidR="006B17EC" w:rsidRPr="00B06BDB">
        <w:rPr>
          <w:rFonts w:cstheme="minorHAnsi"/>
          <w:sz w:val="20"/>
          <w:szCs w:val="20"/>
        </w:rPr>
        <w:t>was</w:t>
      </w:r>
      <w:r w:rsidRPr="00B06BDB">
        <w:rPr>
          <w:rFonts w:cstheme="minorHAnsi"/>
          <w:sz w:val="20"/>
          <w:szCs w:val="20"/>
        </w:rPr>
        <w:t xml:space="preserve"> the emphasis on back-end operations and processes in 2017. It includes internal processes, as well as services offered to users:</w:t>
      </w:r>
    </w:p>
    <w:p w14:paraId="46713F0F" w14:textId="77777777" w:rsidR="00513975" w:rsidRPr="00B06BDB" w:rsidRDefault="00513975" w:rsidP="006B71AB">
      <w:pPr>
        <w:spacing w:after="120" w:line="240" w:lineRule="auto"/>
        <w:ind w:left="720"/>
        <w:jc w:val="both"/>
        <w:rPr>
          <w:rFonts w:cstheme="minorHAnsi"/>
          <w:sz w:val="20"/>
          <w:szCs w:val="20"/>
        </w:rPr>
      </w:pPr>
      <w:r w:rsidRPr="00B06BDB">
        <w:rPr>
          <w:rFonts w:cstheme="minorHAnsi"/>
          <w:sz w:val="20"/>
          <w:szCs w:val="20"/>
        </w:rPr>
        <w:t xml:space="preserve">‘[Transformation] is in essence a change of working, of culture and of disposition - changes that are made possible by digital technology. That technology is not change itself; it enables the change that is so transformative… this strategy charts the direction of the total transformation of government - in how we work, how we organize ourselves and how we serve our citizens’ (p.4). </w:t>
      </w:r>
    </w:p>
    <w:p w14:paraId="173A1123" w14:textId="5726AF9D" w:rsidR="00513975" w:rsidRPr="00B06BDB" w:rsidRDefault="00513975" w:rsidP="006B71AB">
      <w:pPr>
        <w:spacing w:after="120" w:line="240" w:lineRule="auto"/>
        <w:jc w:val="both"/>
        <w:rPr>
          <w:rFonts w:cstheme="minorHAnsi"/>
          <w:sz w:val="20"/>
          <w:szCs w:val="20"/>
        </w:rPr>
      </w:pPr>
      <w:r w:rsidRPr="00B06BDB">
        <w:rPr>
          <w:rFonts w:cstheme="minorHAnsi"/>
          <w:sz w:val="20"/>
          <w:szCs w:val="20"/>
        </w:rPr>
        <w:t>There was a strong emphasis on collaboration across boundaries, joint-up whole, transformation plans being interwoven and developed collaboratively, collaboration across professions and depa</w:t>
      </w:r>
      <w:r w:rsidR="00041B64" w:rsidRPr="00B06BDB">
        <w:rPr>
          <w:rFonts w:cstheme="minorHAnsi"/>
          <w:sz w:val="20"/>
          <w:szCs w:val="20"/>
        </w:rPr>
        <w:t xml:space="preserve">rtments as well as coordination. </w:t>
      </w:r>
      <w:r w:rsidRPr="00B06BDB">
        <w:rPr>
          <w:rFonts w:cstheme="minorHAnsi"/>
          <w:sz w:val="20"/>
          <w:szCs w:val="20"/>
        </w:rPr>
        <w:t>Not only services but also internal transformation is needed to</w:t>
      </w:r>
      <w:r w:rsidR="00041B64" w:rsidRPr="00B06BDB">
        <w:rPr>
          <w:rFonts w:cstheme="minorHAnsi"/>
          <w:sz w:val="20"/>
          <w:szCs w:val="20"/>
        </w:rPr>
        <w:t xml:space="preserve"> digitally transform government as</w:t>
      </w:r>
      <w:r w:rsidRPr="00B06BDB">
        <w:rPr>
          <w:rFonts w:cstheme="minorHAnsi"/>
          <w:sz w:val="20"/>
          <w:szCs w:val="20"/>
        </w:rPr>
        <w:t xml:space="preserve"> ‘</w:t>
      </w:r>
      <w:r w:rsidR="00041B64" w:rsidRPr="00B06BDB">
        <w:rPr>
          <w:rFonts w:cstheme="minorHAnsi"/>
          <w:sz w:val="20"/>
          <w:szCs w:val="20"/>
        </w:rPr>
        <w:t>d</w:t>
      </w:r>
      <w:r w:rsidRPr="00B06BDB">
        <w:rPr>
          <w:rFonts w:cstheme="minorHAnsi"/>
          <w:sz w:val="20"/>
          <w:szCs w:val="20"/>
        </w:rPr>
        <w:t xml:space="preserve">igital can no longer be a ‘bolt-on’ to the side of an organisation. It is now having a profound impact on the internal structures of departments’ (p.26). </w:t>
      </w:r>
    </w:p>
    <w:p w14:paraId="74DFCB82" w14:textId="47DC6827" w:rsidR="006B74F9" w:rsidRPr="00B06BDB" w:rsidRDefault="00513975" w:rsidP="006B71AB">
      <w:pPr>
        <w:spacing w:after="120" w:line="240" w:lineRule="auto"/>
        <w:jc w:val="both"/>
        <w:rPr>
          <w:rFonts w:cstheme="minorHAnsi"/>
          <w:sz w:val="20"/>
          <w:szCs w:val="20"/>
        </w:rPr>
      </w:pPr>
      <w:r w:rsidRPr="00B06BDB">
        <w:rPr>
          <w:rFonts w:cstheme="minorHAnsi"/>
          <w:i/>
          <w:sz w:val="20"/>
          <w:szCs w:val="20"/>
        </w:rPr>
        <w:t>Sweden:</w:t>
      </w:r>
      <w:r w:rsidRPr="00B06BDB">
        <w:rPr>
          <w:rFonts w:cstheme="minorHAnsi"/>
          <w:sz w:val="20"/>
          <w:szCs w:val="20"/>
        </w:rPr>
        <w:t xml:space="preserve"> </w:t>
      </w:r>
      <w:r w:rsidR="006B74F9" w:rsidRPr="00B06BDB">
        <w:rPr>
          <w:rFonts w:cstheme="minorHAnsi"/>
          <w:sz w:val="20"/>
          <w:szCs w:val="20"/>
        </w:rPr>
        <w:t>In</w:t>
      </w:r>
      <w:r w:rsidR="00475CF1" w:rsidRPr="00B06BDB">
        <w:rPr>
          <w:rFonts w:cstheme="minorHAnsi"/>
          <w:sz w:val="20"/>
          <w:szCs w:val="20"/>
        </w:rPr>
        <w:t xml:space="preserve"> Sweden both documents from 2012</w:t>
      </w:r>
      <w:r w:rsidR="006B74F9" w:rsidRPr="00B06BDB">
        <w:rPr>
          <w:rFonts w:cstheme="minorHAnsi"/>
          <w:sz w:val="20"/>
          <w:szCs w:val="20"/>
        </w:rPr>
        <w:t xml:space="preserve"> and 2017 focus less on services than in the UK. </w:t>
      </w:r>
      <w:r w:rsidR="00E244B9" w:rsidRPr="00B06BDB">
        <w:rPr>
          <w:rFonts w:cstheme="minorHAnsi"/>
          <w:sz w:val="20"/>
          <w:szCs w:val="20"/>
          <w:lang w:val="en"/>
        </w:rPr>
        <w:t xml:space="preserve">Both </w:t>
      </w:r>
      <w:r w:rsidR="006B74F9" w:rsidRPr="00B06BDB">
        <w:rPr>
          <w:rFonts w:cstheme="minorHAnsi"/>
          <w:sz w:val="20"/>
          <w:szCs w:val="20"/>
          <w:lang w:val="en"/>
        </w:rPr>
        <w:t>discuss the update and uptake of services</w:t>
      </w:r>
      <w:r w:rsidRPr="00B06BDB">
        <w:rPr>
          <w:rFonts w:cstheme="minorHAnsi"/>
          <w:sz w:val="20"/>
          <w:szCs w:val="20"/>
          <w:lang w:val="en"/>
        </w:rPr>
        <w:t xml:space="preserve"> generally</w:t>
      </w:r>
      <w:r w:rsidR="006B74F9" w:rsidRPr="00B06BDB">
        <w:rPr>
          <w:rFonts w:cstheme="minorHAnsi"/>
          <w:sz w:val="20"/>
          <w:szCs w:val="20"/>
          <w:lang w:val="en"/>
        </w:rPr>
        <w:t xml:space="preserve">. </w:t>
      </w:r>
      <w:r w:rsidR="006B74F9" w:rsidRPr="00B06BDB">
        <w:rPr>
          <w:rFonts w:cstheme="minorHAnsi"/>
          <w:sz w:val="20"/>
          <w:szCs w:val="20"/>
        </w:rPr>
        <w:t xml:space="preserve"> </w:t>
      </w:r>
      <w:r w:rsidR="00505311" w:rsidRPr="00B06BDB">
        <w:rPr>
          <w:rFonts w:cstheme="minorHAnsi"/>
          <w:sz w:val="20"/>
          <w:szCs w:val="20"/>
        </w:rPr>
        <w:t xml:space="preserve">Moreover </w:t>
      </w:r>
      <w:r w:rsidRPr="00B06BDB">
        <w:rPr>
          <w:rFonts w:cstheme="minorHAnsi"/>
          <w:sz w:val="20"/>
          <w:szCs w:val="20"/>
        </w:rPr>
        <w:t>the focus is on ‘</w:t>
      </w:r>
      <w:r w:rsidR="00505311" w:rsidRPr="00B06BDB">
        <w:rPr>
          <w:rFonts w:cstheme="minorHAnsi"/>
          <w:sz w:val="20"/>
          <w:szCs w:val="20"/>
          <w:lang w:val="en"/>
        </w:rPr>
        <w:t>improved coordination across authority borders with e-government project and increased focus in developing more e-services, has been concluded’ (2018, p. 97).</w:t>
      </w:r>
    </w:p>
    <w:p w14:paraId="61112DCE" w14:textId="3C59E565" w:rsidR="00B719C5" w:rsidRPr="00B06BDB" w:rsidRDefault="00B719C5" w:rsidP="006B71AB">
      <w:pPr>
        <w:spacing w:after="120" w:line="240" w:lineRule="auto"/>
        <w:jc w:val="both"/>
        <w:rPr>
          <w:rFonts w:cstheme="minorHAnsi"/>
          <w:sz w:val="20"/>
          <w:szCs w:val="20"/>
          <w:lang w:val="en"/>
        </w:rPr>
      </w:pPr>
      <w:r w:rsidRPr="00B06BDB">
        <w:rPr>
          <w:rFonts w:cstheme="minorHAnsi"/>
          <w:sz w:val="20"/>
          <w:szCs w:val="20"/>
          <w:lang w:val="en"/>
        </w:rPr>
        <w:t xml:space="preserve">In Sweden </w:t>
      </w:r>
      <w:r w:rsidR="00004941" w:rsidRPr="00B06BDB">
        <w:rPr>
          <w:rFonts w:cstheme="minorHAnsi"/>
          <w:sz w:val="20"/>
          <w:szCs w:val="20"/>
          <w:lang w:val="en"/>
        </w:rPr>
        <w:t>all documents</w:t>
      </w:r>
      <w:r w:rsidR="008F1CA9" w:rsidRPr="00B06BDB">
        <w:rPr>
          <w:rFonts w:cstheme="minorHAnsi"/>
          <w:sz w:val="20"/>
          <w:szCs w:val="20"/>
          <w:lang w:val="en"/>
        </w:rPr>
        <w:t xml:space="preserve"> communicate a </w:t>
      </w:r>
      <w:r w:rsidRPr="00B06BDB">
        <w:rPr>
          <w:rFonts w:cstheme="minorHAnsi"/>
          <w:sz w:val="20"/>
          <w:szCs w:val="20"/>
          <w:lang w:val="en"/>
        </w:rPr>
        <w:t xml:space="preserve">stronger </w:t>
      </w:r>
      <w:r w:rsidR="008F1CA9" w:rsidRPr="00B06BDB">
        <w:rPr>
          <w:rFonts w:cstheme="minorHAnsi"/>
          <w:sz w:val="20"/>
          <w:szCs w:val="20"/>
          <w:lang w:val="en"/>
        </w:rPr>
        <w:t>focus on processes and internal operation</w:t>
      </w:r>
      <w:r w:rsidRPr="00B06BDB">
        <w:rPr>
          <w:rFonts w:cstheme="minorHAnsi"/>
          <w:sz w:val="20"/>
          <w:szCs w:val="20"/>
          <w:lang w:val="en"/>
        </w:rPr>
        <w:t>s:</w:t>
      </w:r>
    </w:p>
    <w:p w14:paraId="2B1AD433" w14:textId="77777777" w:rsidR="00B719C5" w:rsidRPr="00B06BDB" w:rsidRDefault="008F1CA9" w:rsidP="006B71AB">
      <w:pPr>
        <w:spacing w:after="120" w:line="240" w:lineRule="auto"/>
        <w:ind w:left="720"/>
        <w:jc w:val="both"/>
        <w:rPr>
          <w:rFonts w:cstheme="minorHAnsi"/>
          <w:sz w:val="20"/>
          <w:szCs w:val="20"/>
          <w:lang w:val="en"/>
        </w:rPr>
      </w:pPr>
      <w:r w:rsidRPr="00B06BDB">
        <w:rPr>
          <w:rFonts w:cstheme="minorHAnsi"/>
          <w:sz w:val="20"/>
          <w:szCs w:val="20"/>
          <w:lang w:val="en"/>
        </w:rPr>
        <w:t xml:space="preserve">‘In order to be able to do this, the coordination of the development work in terms of agency common digital services needs to be reinforced’ (2012, p. </w:t>
      </w:r>
      <w:r w:rsidR="00B719C5" w:rsidRPr="00B06BDB">
        <w:rPr>
          <w:rFonts w:cstheme="minorHAnsi"/>
          <w:sz w:val="20"/>
          <w:szCs w:val="20"/>
          <w:lang w:val="en"/>
        </w:rPr>
        <w:t xml:space="preserve">7) </w:t>
      </w:r>
    </w:p>
    <w:p w14:paraId="4E6AC69B" w14:textId="444DE534" w:rsidR="00B719C5" w:rsidRPr="00B06BDB" w:rsidRDefault="008F1CA9" w:rsidP="006B71AB">
      <w:pPr>
        <w:spacing w:after="120" w:line="240" w:lineRule="auto"/>
        <w:ind w:left="720"/>
        <w:jc w:val="both"/>
        <w:rPr>
          <w:rFonts w:cstheme="minorHAnsi"/>
          <w:sz w:val="20"/>
          <w:szCs w:val="20"/>
          <w:lang w:val="en"/>
        </w:rPr>
      </w:pPr>
      <w:r w:rsidRPr="00B06BDB">
        <w:rPr>
          <w:rFonts w:cstheme="minorHAnsi"/>
          <w:sz w:val="20"/>
          <w:szCs w:val="20"/>
          <w:lang w:val="en"/>
        </w:rPr>
        <w:t xml:space="preserve">‘There is a great need for cooperation and coordination between governmental authorities, municipalities and counties in order to be able to, through horizontal authority processes, meet the needs of individuals and corporations’ (2017, p. 116) </w:t>
      </w:r>
    </w:p>
    <w:p w14:paraId="5F98C20C" w14:textId="77777777" w:rsidR="00725429" w:rsidRPr="00B06BDB" w:rsidRDefault="00B719C5" w:rsidP="006B71AB">
      <w:pPr>
        <w:spacing w:after="120" w:line="240" w:lineRule="auto"/>
        <w:jc w:val="both"/>
        <w:rPr>
          <w:rFonts w:cstheme="minorHAnsi"/>
          <w:sz w:val="20"/>
          <w:szCs w:val="20"/>
          <w:lang w:val="en"/>
        </w:rPr>
      </w:pPr>
      <w:r w:rsidRPr="00B06BDB">
        <w:rPr>
          <w:rFonts w:cstheme="minorHAnsi"/>
          <w:sz w:val="20"/>
          <w:szCs w:val="20"/>
          <w:lang w:val="en"/>
        </w:rPr>
        <w:t>I</w:t>
      </w:r>
      <w:r w:rsidR="008F1CA9" w:rsidRPr="00B06BDB">
        <w:rPr>
          <w:rFonts w:cstheme="minorHAnsi"/>
          <w:sz w:val="20"/>
          <w:szCs w:val="20"/>
          <w:lang w:val="en"/>
        </w:rPr>
        <w:t xml:space="preserve">n the 2012 strategy </w:t>
      </w:r>
      <w:r w:rsidRPr="00B06BDB">
        <w:rPr>
          <w:rFonts w:cstheme="minorHAnsi"/>
          <w:sz w:val="20"/>
          <w:szCs w:val="20"/>
          <w:lang w:val="en"/>
        </w:rPr>
        <w:t>the focus on processes is related to</w:t>
      </w:r>
      <w:r w:rsidR="008F1CA9" w:rsidRPr="00B06BDB">
        <w:rPr>
          <w:rFonts w:cstheme="minorHAnsi"/>
          <w:sz w:val="20"/>
          <w:szCs w:val="20"/>
          <w:lang w:val="en"/>
        </w:rPr>
        <w:t xml:space="preserve"> the services the au</w:t>
      </w:r>
      <w:r w:rsidRPr="00B06BDB">
        <w:rPr>
          <w:rFonts w:cstheme="minorHAnsi"/>
          <w:sz w:val="20"/>
          <w:szCs w:val="20"/>
          <w:lang w:val="en"/>
        </w:rPr>
        <w:t>thorities provide, which is no longer the case</w:t>
      </w:r>
      <w:r w:rsidR="008F1CA9" w:rsidRPr="00B06BDB">
        <w:rPr>
          <w:rFonts w:cstheme="minorHAnsi"/>
          <w:sz w:val="20"/>
          <w:szCs w:val="20"/>
          <w:lang w:val="en"/>
        </w:rPr>
        <w:t xml:space="preserve"> in the 2017 and 2018 documents.</w:t>
      </w:r>
      <w:r w:rsidR="00C228EC" w:rsidRPr="00B06BDB">
        <w:rPr>
          <w:rFonts w:cstheme="minorHAnsi"/>
          <w:sz w:val="20"/>
          <w:szCs w:val="20"/>
          <w:lang w:val="en"/>
        </w:rPr>
        <w:t xml:space="preserve">  </w:t>
      </w:r>
    </w:p>
    <w:p w14:paraId="551B0CD4" w14:textId="09035321" w:rsidR="008F1CA9" w:rsidRPr="00B06BDB" w:rsidRDefault="00725429" w:rsidP="006B71AB">
      <w:pPr>
        <w:spacing w:after="120" w:line="240" w:lineRule="auto"/>
        <w:jc w:val="both"/>
        <w:rPr>
          <w:rFonts w:cstheme="minorHAnsi"/>
          <w:sz w:val="20"/>
          <w:szCs w:val="20"/>
          <w:lang w:val="en"/>
        </w:rPr>
      </w:pPr>
      <w:r w:rsidRPr="00B06BDB">
        <w:rPr>
          <w:rFonts w:cstheme="minorHAnsi"/>
          <w:sz w:val="20"/>
          <w:szCs w:val="20"/>
          <w:lang w:val="en"/>
        </w:rPr>
        <w:t>T</w:t>
      </w:r>
      <w:r w:rsidR="008F1CA9" w:rsidRPr="00B06BDB">
        <w:rPr>
          <w:rFonts w:cstheme="minorHAnsi"/>
          <w:sz w:val="20"/>
          <w:szCs w:val="20"/>
        </w:rPr>
        <w:t xml:space="preserve">he discourse related to legislation </w:t>
      </w:r>
      <w:r w:rsidR="008F1CA9" w:rsidRPr="00B06BDB">
        <w:rPr>
          <w:rFonts w:cstheme="minorHAnsi"/>
          <w:sz w:val="20"/>
          <w:szCs w:val="20"/>
          <w:lang w:val="en"/>
        </w:rPr>
        <w:t xml:space="preserve">is not related to enabling the </w:t>
      </w:r>
      <w:proofErr w:type="spellStart"/>
      <w:r w:rsidR="008F1CA9" w:rsidRPr="00B06BDB">
        <w:rPr>
          <w:rFonts w:cstheme="minorHAnsi"/>
          <w:sz w:val="20"/>
          <w:szCs w:val="20"/>
          <w:lang w:val="en"/>
        </w:rPr>
        <w:t>digitisation</w:t>
      </w:r>
      <w:proofErr w:type="spellEnd"/>
      <w:r w:rsidR="008F1CA9" w:rsidRPr="00B06BDB">
        <w:rPr>
          <w:rFonts w:cstheme="minorHAnsi"/>
          <w:sz w:val="20"/>
          <w:szCs w:val="20"/>
          <w:lang w:val="en"/>
        </w:rPr>
        <w:t xml:space="preserve"> of services but to internal processes such as cooperation. In 2012, ‘the government has reinforced the coordination of e-identification’ (p. 17) and ‘an appointed investigator will review the so called registry legislation, and thereto connected issues, in order to create legal conditions for a more efficient e-government’ (p. 19). The E-delegation and the Digitalization commission ‘have in reports acknowledged the need to review certain legislation to enable the development of digital services in cooperation’ (2017, p. 101) and ‘The government will review the proposals from the investigation of legal conditions for a digitally cooperative government (dir. 2016:98) by the need to remove unnecessary legal obstacles for digitalization and cooperation’ (2018, p. 98)</w:t>
      </w:r>
      <w:r w:rsidR="006B17EC" w:rsidRPr="00B06BDB">
        <w:rPr>
          <w:rFonts w:cstheme="minorHAnsi"/>
          <w:sz w:val="20"/>
          <w:szCs w:val="20"/>
          <w:lang w:val="en"/>
        </w:rPr>
        <w:t>.</w:t>
      </w:r>
    </w:p>
    <w:p w14:paraId="561D6C83" w14:textId="77777777" w:rsidR="0077216D" w:rsidRPr="00B06BDB" w:rsidRDefault="0077216D" w:rsidP="00722FDA">
      <w:pPr>
        <w:pStyle w:val="Heading2"/>
        <w:spacing w:before="0" w:after="120" w:line="240" w:lineRule="auto"/>
        <w:ind w:firstLine="720"/>
        <w:rPr>
          <w:color w:val="auto"/>
        </w:rPr>
      </w:pPr>
      <w:r w:rsidRPr="00B06BDB">
        <w:rPr>
          <w:color w:val="auto"/>
        </w:rPr>
        <w:lastRenderedPageBreak/>
        <w:t>Approach to digital transformation</w:t>
      </w:r>
    </w:p>
    <w:p w14:paraId="41D8B3E8" w14:textId="77777777" w:rsidR="00E928F7" w:rsidRPr="00B06BDB" w:rsidRDefault="00E928F7" w:rsidP="00722FDA">
      <w:pPr>
        <w:pStyle w:val="Heading3"/>
        <w:spacing w:before="0" w:after="120" w:line="240" w:lineRule="auto"/>
        <w:ind w:left="720" w:firstLine="720"/>
        <w:rPr>
          <w:color w:val="auto"/>
        </w:rPr>
      </w:pPr>
      <w:r w:rsidRPr="00B06BDB">
        <w:rPr>
          <w:color w:val="auto"/>
        </w:rPr>
        <w:t>Roles:</w:t>
      </w:r>
    </w:p>
    <w:p w14:paraId="317AAEB6" w14:textId="0D07F74E" w:rsidR="000D0B63" w:rsidRPr="00B06BDB" w:rsidRDefault="006270DD" w:rsidP="006B71AB">
      <w:pPr>
        <w:spacing w:after="120" w:line="240" w:lineRule="auto"/>
        <w:jc w:val="both"/>
        <w:rPr>
          <w:rFonts w:cstheme="minorHAnsi"/>
          <w:sz w:val="20"/>
          <w:szCs w:val="20"/>
        </w:rPr>
      </w:pPr>
      <w:r w:rsidRPr="00B06BDB">
        <w:rPr>
          <w:rFonts w:cstheme="minorHAnsi"/>
          <w:i/>
          <w:sz w:val="20"/>
          <w:szCs w:val="20"/>
        </w:rPr>
        <w:t>UK:</w:t>
      </w:r>
      <w:r w:rsidRPr="00B06BDB">
        <w:rPr>
          <w:rFonts w:cstheme="minorHAnsi"/>
          <w:sz w:val="20"/>
          <w:szCs w:val="20"/>
        </w:rPr>
        <w:t xml:space="preserve"> </w:t>
      </w:r>
      <w:r w:rsidR="000D0B63" w:rsidRPr="00B06BDB">
        <w:rPr>
          <w:rFonts w:cstheme="minorHAnsi"/>
          <w:sz w:val="20"/>
          <w:szCs w:val="20"/>
        </w:rPr>
        <w:t>In 2013</w:t>
      </w:r>
      <w:r w:rsidR="004F4726" w:rsidRPr="00B06BDB">
        <w:rPr>
          <w:rFonts w:cstheme="minorHAnsi"/>
          <w:sz w:val="20"/>
          <w:szCs w:val="20"/>
        </w:rPr>
        <w:t xml:space="preserve"> each department was</w:t>
      </w:r>
      <w:r w:rsidR="00911404" w:rsidRPr="00B06BDB">
        <w:rPr>
          <w:rFonts w:cstheme="minorHAnsi"/>
          <w:sz w:val="20"/>
          <w:szCs w:val="20"/>
        </w:rPr>
        <w:t xml:space="preserve"> planned</w:t>
      </w:r>
      <w:r w:rsidR="004F4726" w:rsidRPr="00B06BDB">
        <w:rPr>
          <w:rFonts w:cstheme="minorHAnsi"/>
          <w:sz w:val="20"/>
          <w:szCs w:val="20"/>
        </w:rPr>
        <w:t xml:space="preserve"> to appoint a digital leader to direct the transformation and also ‘experienced and highly skilled managers (often called product managers in the commercial world)’ (p.23) to deliver high-quality digital services.</w:t>
      </w:r>
      <w:r w:rsidR="00090125" w:rsidRPr="00B06BDB">
        <w:rPr>
          <w:rFonts w:cstheme="minorHAnsi"/>
          <w:sz w:val="20"/>
          <w:szCs w:val="20"/>
        </w:rPr>
        <w:t xml:space="preserve"> In 2017 those w</w:t>
      </w:r>
      <w:r w:rsidR="008A7F61" w:rsidRPr="00B06BDB">
        <w:rPr>
          <w:rFonts w:cstheme="minorHAnsi"/>
          <w:sz w:val="20"/>
          <w:szCs w:val="20"/>
        </w:rPr>
        <w:t>ere in place – ‘n</w:t>
      </w:r>
      <w:r w:rsidR="00090125" w:rsidRPr="00B06BDB">
        <w:rPr>
          <w:rFonts w:cstheme="minorHAnsi"/>
          <w:sz w:val="20"/>
          <w:szCs w:val="20"/>
        </w:rPr>
        <w:t xml:space="preserve">ew digital professions are now established across the public sector’ (p.5). The intent was to continue to grow them developing reward structures and consistent career paths. In addition to that in the </w:t>
      </w:r>
      <w:r w:rsidR="002D3BAC" w:rsidRPr="00B06BDB">
        <w:rPr>
          <w:rFonts w:cstheme="minorHAnsi"/>
          <w:sz w:val="20"/>
          <w:szCs w:val="20"/>
        </w:rPr>
        <w:t>last document a new Chief Data O</w:t>
      </w:r>
      <w:r w:rsidR="00090125" w:rsidRPr="00B06BDB">
        <w:rPr>
          <w:rFonts w:cstheme="minorHAnsi"/>
          <w:sz w:val="20"/>
          <w:szCs w:val="20"/>
        </w:rPr>
        <w:t xml:space="preserve">fficer was indicated to be appointed including ‘the creation of new senior roles with a wider government mandate’ (p.14) to increase the comprehensiveness of the digital approach. </w:t>
      </w:r>
    </w:p>
    <w:p w14:paraId="1E5B805D" w14:textId="6E27E6AA" w:rsidR="006270DD" w:rsidRPr="00B06BDB" w:rsidRDefault="006270DD" w:rsidP="006B71AB">
      <w:pPr>
        <w:spacing w:after="120" w:line="240" w:lineRule="auto"/>
        <w:rPr>
          <w:rFonts w:cstheme="minorHAnsi"/>
          <w:sz w:val="20"/>
          <w:szCs w:val="20"/>
          <w:lang w:val="en-US"/>
        </w:rPr>
      </w:pPr>
      <w:r w:rsidRPr="00B06BDB">
        <w:rPr>
          <w:rFonts w:cstheme="minorHAnsi"/>
          <w:sz w:val="20"/>
          <w:szCs w:val="20"/>
        </w:rPr>
        <w:t xml:space="preserve">In addition to creating new roles in 2013 it was recognised that as a result of channel shift to accessing services online the role of front-line staff would change and evolve as digital take-up increases. In the second strategy document they expand that all roles will include some sort of digital technology: ‘professions which will adopt digital tools and techniques as the way that they work’ (p.38). </w:t>
      </w:r>
    </w:p>
    <w:p w14:paraId="03E2DD0A" w14:textId="77777777" w:rsidR="00A72C6F" w:rsidRPr="00B06BDB" w:rsidRDefault="006270DD" w:rsidP="006B71AB">
      <w:pPr>
        <w:spacing w:after="120" w:line="240" w:lineRule="auto"/>
        <w:jc w:val="both"/>
        <w:rPr>
          <w:rFonts w:cstheme="minorHAnsi"/>
          <w:sz w:val="20"/>
          <w:szCs w:val="20"/>
          <w:lang w:val="en-US"/>
        </w:rPr>
      </w:pPr>
      <w:r w:rsidRPr="00B06BDB">
        <w:rPr>
          <w:rFonts w:cstheme="minorHAnsi"/>
          <w:i/>
          <w:sz w:val="20"/>
          <w:szCs w:val="20"/>
        </w:rPr>
        <w:t>Sweden:</w:t>
      </w:r>
      <w:r w:rsidRPr="00B06BDB">
        <w:rPr>
          <w:rFonts w:cstheme="minorHAnsi"/>
          <w:sz w:val="20"/>
          <w:szCs w:val="20"/>
        </w:rPr>
        <w:t xml:space="preserve">  T</w:t>
      </w:r>
      <w:r w:rsidR="00304AB8" w:rsidRPr="00B06BDB">
        <w:rPr>
          <w:rFonts w:cstheme="minorHAnsi"/>
          <w:sz w:val="20"/>
          <w:szCs w:val="20"/>
        </w:rPr>
        <w:t xml:space="preserve">here is no explicit reference to new job roles being created in 2012. That is implied through the new structures being created (see below) </w:t>
      </w:r>
      <w:r w:rsidR="00304AB8" w:rsidRPr="00B06BDB">
        <w:rPr>
          <w:rFonts w:cstheme="minorHAnsi"/>
          <w:sz w:val="20"/>
          <w:szCs w:val="20"/>
          <w:lang w:val="en-US"/>
        </w:rPr>
        <w:t>as ‘it could be appropriate to identify further development areas and agencies that would be given coordination responsibilities for these areas’ (p.15).</w:t>
      </w:r>
    </w:p>
    <w:p w14:paraId="0BC90CD5" w14:textId="52CF9F54" w:rsidR="006270DD" w:rsidRPr="00B06BDB" w:rsidRDefault="006270DD" w:rsidP="006B71AB">
      <w:pPr>
        <w:spacing w:after="120" w:line="240" w:lineRule="auto"/>
        <w:jc w:val="both"/>
        <w:rPr>
          <w:rFonts w:cstheme="minorHAnsi"/>
          <w:sz w:val="20"/>
          <w:szCs w:val="20"/>
          <w:lang w:val="en-US"/>
        </w:rPr>
      </w:pPr>
      <w:r w:rsidRPr="00B06BDB">
        <w:rPr>
          <w:rFonts w:cstheme="minorHAnsi"/>
          <w:sz w:val="20"/>
          <w:szCs w:val="20"/>
        </w:rPr>
        <w:t xml:space="preserve">The change of current job roles was also discussed in the Swedish documents </w:t>
      </w:r>
      <w:r w:rsidRPr="00B06BDB">
        <w:rPr>
          <w:rFonts w:cstheme="minorHAnsi"/>
          <w:sz w:val="20"/>
          <w:szCs w:val="20"/>
          <w:lang w:val="en-US"/>
        </w:rPr>
        <w:t>from 2018 implying changes to the current job roles within the affected authorities. That was attributed to the automation of decision making processes. That is related to digitalizing intern</w:t>
      </w:r>
      <w:r w:rsidR="008A7F61" w:rsidRPr="00B06BDB">
        <w:rPr>
          <w:rFonts w:cstheme="minorHAnsi"/>
          <w:sz w:val="20"/>
          <w:szCs w:val="20"/>
          <w:lang w:val="en-US"/>
        </w:rPr>
        <w:t xml:space="preserve">al processes rather than </w:t>
      </w:r>
      <w:proofErr w:type="spellStart"/>
      <w:r w:rsidR="008A7F61" w:rsidRPr="00B06BDB">
        <w:rPr>
          <w:rFonts w:cstheme="minorHAnsi"/>
          <w:sz w:val="20"/>
          <w:szCs w:val="20"/>
          <w:lang w:val="en-US"/>
        </w:rPr>
        <w:t>digitis</w:t>
      </w:r>
      <w:r w:rsidRPr="00B06BDB">
        <w:rPr>
          <w:rFonts w:cstheme="minorHAnsi"/>
          <w:sz w:val="20"/>
          <w:szCs w:val="20"/>
          <w:lang w:val="en-US"/>
        </w:rPr>
        <w:t>ing</w:t>
      </w:r>
      <w:proofErr w:type="spellEnd"/>
      <w:r w:rsidRPr="00B06BDB">
        <w:rPr>
          <w:rFonts w:cstheme="minorHAnsi"/>
          <w:sz w:val="20"/>
          <w:szCs w:val="20"/>
          <w:lang w:val="en-US"/>
        </w:rPr>
        <w:t xml:space="preserve"> services as</w:t>
      </w:r>
      <w:r w:rsidR="008A7F61" w:rsidRPr="00B06BDB">
        <w:rPr>
          <w:rFonts w:cstheme="minorHAnsi"/>
          <w:sz w:val="20"/>
          <w:szCs w:val="20"/>
          <w:lang w:val="en-US"/>
        </w:rPr>
        <w:t xml:space="preserve"> in the UK.</w:t>
      </w:r>
    </w:p>
    <w:p w14:paraId="5147C729" w14:textId="77777777" w:rsidR="00E928F7" w:rsidRPr="00B06BDB" w:rsidRDefault="00E928F7" w:rsidP="00722FDA">
      <w:pPr>
        <w:pStyle w:val="Heading3"/>
        <w:spacing w:before="0" w:after="120" w:line="240" w:lineRule="auto"/>
        <w:ind w:left="720" w:firstLine="720"/>
        <w:rPr>
          <w:color w:val="auto"/>
        </w:rPr>
      </w:pPr>
      <w:r w:rsidRPr="00B06BDB">
        <w:rPr>
          <w:color w:val="auto"/>
        </w:rPr>
        <w:t>Skills:</w:t>
      </w:r>
    </w:p>
    <w:p w14:paraId="49B0453D" w14:textId="48747C4B" w:rsidR="00E928F7" w:rsidRPr="00B06BDB" w:rsidRDefault="00C25186" w:rsidP="006B71AB">
      <w:pPr>
        <w:spacing w:after="120" w:line="240" w:lineRule="auto"/>
        <w:jc w:val="both"/>
        <w:rPr>
          <w:rFonts w:cstheme="minorHAnsi"/>
          <w:sz w:val="20"/>
          <w:szCs w:val="20"/>
        </w:rPr>
      </w:pPr>
      <w:r w:rsidRPr="00B06BDB">
        <w:rPr>
          <w:rFonts w:cstheme="minorHAnsi"/>
          <w:sz w:val="20"/>
          <w:szCs w:val="20"/>
        </w:rPr>
        <w:t xml:space="preserve">In 2013 the emphasis </w:t>
      </w:r>
      <w:r w:rsidR="0020095D" w:rsidRPr="00B06BDB">
        <w:rPr>
          <w:rFonts w:cstheme="minorHAnsi"/>
          <w:sz w:val="20"/>
          <w:szCs w:val="20"/>
        </w:rPr>
        <w:t xml:space="preserve">in the UK </w:t>
      </w:r>
      <w:r w:rsidRPr="00B06BDB">
        <w:rPr>
          <w:rFonts w:cstheme="minorHAnsi"/>
          <w:sz w:val="20"/>
          <w:szCs w:val="20"/>
        </w:rPr>
        <w:t>was on embedding digital skills ‘into our organisational DNA’</w:t>
      </w:r>
      <w:r w:rsidR="00525F0B" w:rsidRPr="00B06BDB">
        <w:rPr>
          <w:rFonts w:cstheme="minorHAnsi"/>
          <w:sz w:val="20"/>
          <w:szCs w:val="20"/>
        </w:rPr>
        <w:t xml:space="preserve"> (p.2) and developing digital capabilities such as ‘specialist technical architecture, development, design and analytics skills’ (p.20). </w:t>
      </w:r>
    </w:p>
    <w:p w14:paraId="3D563494" w14:textId="77777777" w:rsidR="005C4184" w:rsidRPr="00B06BDB" w:rsidRDefault="005C4184" w:rsidP="006B71AB">
      <w:pPr>
        <w:spacing w:after="120" w:line="240" w:lineRule="auto"/>
        <w:jc w:val="both"/>
        <w:rPr>
          <w:rFonts w:cstheme="minorHAnsi"/>
          <w:sz w:val="20"/>
          <w:szCs w:val="20"/>
          <w:lang w:val="en-US"/>
        </w:rPr>
      </w:pPr>
      <w:r w:rsidRPr="00B06BDB">
        <w:rPr>
          <w:rFonts w:cstheme="minorHAnsi"/>
          <w:sz w:val="20"/>
          <w:szCs w:val="20"/>
          <w:lang w:val="en-US"/>
        </w:rPr>
        <w:t>In Sweden</w:t>
      </w:r>
      <w:r w:rsidR="00FD68EB" w:rsidRPr="00B06BDB">
        <w:rPr>
          <w:rFonts w:cstheme="minorHAnsi"/>
          <w:sz w:val="20"/>
          <w:szCs w:val="20"/>
          <w:lang w:val="en-US"/>
        </w:rPr>
        <w:t xml:space="preserve"> digital competences</w:t>
      </w:r>
      <w:r w:rsidRPr="00B06BDB">
        <w:rPr>
          <w:rFonts w:cstheme="minorHAnsi"/>
          <w:sz w:val="20"/>
          <w:szCs w:val="20"/>
          <w:lang w:val="en-US"/>
        </w:rPr>
        <w:t xml:space="preserve"> (</w:t>
      </w:r>
      <w:r w:rsidR="00FD68EB" w:rsidRPr="00B06BDB">
        <w:rPr>
          <w:rFonts w:cstheme="minorHAnsi"/>
          <w:sz w:val="20"/>
          <w:szCs w:val="20"/>
          <w:lang w:val="en-US"/>
        </w:rPr>
        <w:t>2017 and 2018</w:t>
      </w:r>
      <w:r w:rsidRPr="00B06BDB">
        <w:rPr>
          <w:rFonts w:cstheme="minorHAnsi"/>
          <w:sz w:val="20"/>
          <w:szCs w:val="20"/>
          <w:lang w:val="en-US"/>
        </w:rPr>
        <w:t>)</w:t>
      </w:r>
      <w:r w:rsidR="00FD68EB" w:rsidRPr="00B06BDB">
        <w:rPr>
          <w:rFonts w:cstheme="minorHAnsi"/>
          <w:sz w:val="20"/>
          <w:szCs w:val="20"/>
          <w:lang w:val="en-US"/>
        </w:rPr>
        <w:t xml:space="preserve"> </w:t>
      </w:r>
      <w:r w:rsidRPr="00B06BDB">
        <w:rPr>
          <w:rFonts w:cstheme="minorHAnsi"/>
          <w:sz w:val="20"/>
          <w:szCs w:val="20"/>
          <w:lang w:val="en-US"/>
        </w:rPr>
        <w:t>are discussed</w:t>
      </w:r>
      <w:r w:rsidR="00FD68EB" w:rsidRPr="00B06BDB">
        <w:rPr>
          <w:rFonts w:cstheme="minorHAnsi"/>
          <w:sz w:val="20"/>
          <w:szCs w:val="20"/>
          <w:lang w:val="en-US"/>
        </w:rPr>
        <w:t xml:space="preserve"> in relation to</w:t>
      </w:r>
      <w:r w:rsidRPr="00B06BDB">
        <w:rPr>
          <w:rFonts w:cstheme="minorHAnsi"/>
          <w:sz w:val="20"/>
          <w:szCs w:val="20"/>
          <w:lang w:val="en-US"/>
        </w:rPr>
        <w:t xml:space="preserve"> the ability to lead and govern:</w:t>
      </w:r>
    </w:p>
    <w:p w14:paraId="444D9BB8" w14:textId="1D6B53CA" w:rsidR="005C4184" w:rsidRPr="00B06BDB" w:rsidRDefault="00FD68EB" w:rsidP="006B71AB">
      <w:pPr>
        <w:spacing w:after="120" w:line="240" w:lineRule="auto"/>
        <w:ind w:left="720" w:firstLine="45"/>
        <w:jc w:val="both"/>
        <w:rPr>
          <w:rFonts w:cstheme="minorHAnsi"/>
          <w:sz w:val="20"/>
          <w:szCs w:val="20"/>
          <w:lang w:val="en-US"/>
        </w:rPr>
      </w:pPr>
      <w:r w:rsidRPr="00B06BDB">
        <w:rPr>
          <w:rFonts w:cstheme="minorHAnsi"/>
          <w:sz w:val="20"/>
          <w:szCs w:val="20"/>
          <w:lang w:val="en-US"/>
        </w:rPr>
        <w:t>‘Access to digital competence is central in order to manage the digital transformation in an ef</w:t>
      </w:r>
      <w:r w:rsidR="005C4184" w:rsidRPr="00B06BDB">
        <w:rPr>
          <w:rFonts w:cstheme="minorHAnsi"/>
          <w:sz w:val="20"/>
          <w:szCs w:val="20"/>
          <w:lang w:val="en-US"/>
        </w:rPr>
        <w:t>ficient way’ (2017, p. 102)</w:t>
      </w:r>
    </w:p>
    <w:p w14:paraId="1F279572" w14:textId="7D7C1424" w:rsidR="005C4184" w:rsidRPr="00B06BDB" w:rsidRDefault="00FD68EB" w:rsidP="006B71AB">
      <w:pPr>
        <w:spacing w:after="120" w:line="240" w:lineRule="auto"/>
        <w:ind w:left="720"/>
        <w:jc w:val="both"/>
        <w:rPr>
          <w:rFonts w:cstheme="minorHAnsi"/>
          <w:sz w:val="20"/>
          <w:szCs w:val="20"/>
          <w:lang w:val="en-US"/>
        </w:rPr>
      </w:pPr>
      <w:r w:rsidRPr="00B06BDB">
        <w:rPr>
          <w:rFonts w:cstheme="minorHAnsi"/>
          <w:sz w:val="20"/>
          <w:szCs w:val="20"/>
          <w:lang w:val="en-US"/>
        </w:rPr>
        <w:t xml:space="preserve">‘There is a continuing need to strengthen the ability to lead the digital development within governmental authorities, municipalities and counties’ (2018, p. 98) </w:t>
      </w:r>
    </w:p>
    <w:p w14:paraId="0A5D0ABB" w14:textId="77777777" w:rsidR="00525F0B" w:rsidRPr="00B06BDB" w:rsidRDefault="0085435A" w:rsidP="00722FDA">
      <w:pPr>
        <w:pStyle w:val="Heading3"/>
        <w:spacing w:before="0" w:after="120" w:line="240" w:lineRule="auto"/>
        <w:ind w:left="720" w:firstLine="720"/>
        <w:rPr>
          <w:color w:val="auto"/>
        </w:rPr>
      </w:pPr>
      <w:r w:rsidRPr="00B06BDB">
        <w:rPr>
          <w:color w:val="auto"/>
        </w:rPr>
        <w:t xml:space="preserve">New structures: </w:t>
      </w:r>
      <w:r w:rsidR="002D3BAC" w:rsidRPr="00B06BDB">
        <w:rPr>
          <w:color w:val="auto"/>
        </w:rPr>
        <w:t xml:space="preserve"> </w:t>
      </w:r>
    </w:p>
    <w:p w14:paraId="5FC1F256" w14:textId="4EDB2211" w:rsidR="005F6530" w:rsidRPr="00B06BDB" w:rsidRDefault="00D76D52" w:rsidP="006B71AB">
      <w:pPr>
        <w:spacing w:after="120" w:line="240" w:lineRule="auto"/>
        <w:jc w:val="both"/>
        <w:rPr>
          <w:rFonts w:cstheme="minorHAnsi"/>
          <w:sz w:val="20"/>
          <w:szCs w:val="20"/>
        </w:rPr>
      </w:pPr>
      <w:r w:rsidRPr="00B06BDB">
        <w:rPr>
          <w:rFonts w:cstheme="minorHAnsi"/>
          <w:i/>
          <w:sz w:val="20"/>
          <w:szCs w:val="20"/>
        </w:rPr>
        <w:t>UK:</w:t>
      </w:r>
      <w:r w:rsidRPr="00B06BDB">
        <w:rPr>
          <w:rFonts w:cstheme="minorHAnsi"/>
          <w:sz w:val="20"/>
          <w:szCs w:val="20"/>
        </w:rPr>
        <w:t xml:space="preserve"> </w:t>
      </w:r>
      <w:r w:rsidR="00D16ACC" w:rsidRPr="00B06BDB">
        <w:rPr>
          <w:rFonts w:cstheme="minorHAnsi"/>
          <w:sz w:val="20"/>
          <w:szCs w:val="20"/>
        </w:rPr>
        <w:t xml:space="preserve">Embarking upon a digital transformation the </w:t>
      </w:r>
      <w:r w:rsidR="0020095D" w:rsidRPr="00B06BDB">
        <w:rPr>
          <w:rFonts w:cstheme="minorHAnsi"/>
          <w:sz w:val="20"/>
          <w:szCs w:val="20"/>
        </w:rPr>
        <w:t xml:space="preserve">UK </w:t>
      </w:r>
      <w:r w:rsidR="00D16ACC" w:rsidRPr="00B06BDB">
        <w:rPr>
          <w:rFonts w:cstheme="minorHAnsi"/>
          <w:sz w:val="20"/>
          <w:szCs w:val="20"/>
        </w:rPr>
        <w:t xml:space="preserve">coalition government established the Government Digital Service (GDS), as a new central structure with the main objective to ‘provide user-focused, cost effective and maintainable digital services’ (2013: p.47). </w:t>
      </w:r>
      <w:r w:rsidR="002C2C04" w:rsidRPr="00B06BDB">
        <w:rPr>
          <w:rFonts w:cstheme="minorHAnsi"/>
          <w:sz w:val="20"/>
          <w:szCs w:val="20"/>
        </w:rPr>
        <w:t xml:space="preserve">They were tasked with transforming services and implementing the strategy supported by the following structures: </w:t>
      </w:r>
      <w:r w:rsidR="007532C5" w:rsidRPr="00B06BDB">
        <w:rPr>
          <w:rFonts w:cstheme="minorHAnsi"/>
          <w:sz w:val="20"/>
          <w:szCs w:val="20"/>
        </w:rPr>
        <w:t>‘</w:t>
      </w:r>
      <w:r w:rsidR="002C2C04" w:rsidRPr="00B06BDB">
        <w:rPr>
          <w:rFonts w:cstheme="minorHAnsi"/>
          <w:sz w:val="20"/>
          <w:szCs w:val="20"/>
        </w:rPr>
        <w:t xml:space="preserve">digital leaders’ network of senior civil servants, the Digital Advisory Board and the Government Communication </w:t>
      </w:r>
      <w:r w:rsidR="007532C5" w:rsidRPr="00B06BDB">
        <w:rPr>
          <w:rFonts w:cstheme="minorHAnsi"/>
          <w:sz w:val="20"/>
          <w:szCs w:val="20"/>
        </w:rPr>
        <w:t>Network’ (ibid.).</w:t>
      </w:r>
      <w:r w:rsidR="00825540" w:rsidRPr="00B06BDB">
        <w:rPr>
          <w:rFonts w:cstheme="minorHAnsi"/>
          <w:sz w:val="20"/>
          <w:szCs w:val="20"/>
        </w:rPr>
        <w:t xml:space="preserve"> T</w:t>
      </w:r>
      <w:r w:rsidR="008A7F61" w:rsidRPr="00B06BDB">
        <w:rPr>
          <w:rFonts w:cstheme="minorHAnsi"/>
          <w:sz w:val="20"/>
          <w:szCs w:val="20"/>
        </w:rPr>
        <w:t>he primary focus then was digit</w:t>
      </w:r>
      <w:r w:rsidR="00825540" w:rsidRPr="00B06BDB">
        <w:rPr>
          <w:rFonts w:cstheme="minorHAnsi"/>
          <w:sz w:val="20"/>
          <w:szCs w:val="20"/>
        </w:rPr>
        <w:t xml:space="preserve">ising services. In 2017 the GDS </w:t>
      </w:r>
      <w:r w:rsidR="00571052" w:rsidRPr="00B06BDB">
        <w:rPr>
          <w:rFonts w:cstheme="minorHAnsi"/>
          <w:sz w:val="20"/>
          <w:szCs w:val="20"/>
        </w:rPr>
        <w:t xml:space="preserve">was </w:t>
      </w:r>
      <w:r w:rsidR="005F6530" w:rsidRPr="00B06BDB">
        <w:rPr>
          <w:rFonts w:cstheme="minorHAnsi"/>
          <w:sz w:val="20"/>
          <w:szCs w:val="20"/>
        </w:rPr>
        <w:t>embedded permanently into government by becoming one of the 10 corporate functions, broadening the focus to include more than just services but everything digital: ‘to support, enable and assure go</w:t>
      </w:r>
      <w:r w:rsidR="00911404" w:rsidRPr="00B06BDB">
        <w:rPr>
          <w:rFonts w:cstheme="minorHAnsi"/>
          <w:sz w:val="20"/>
          <w:szCs w:val="20"/>
        </w:rPr>
        <w:t>vernment digital initiatives’ (p.65</w:t>
      </w:r>
      <w:r w:rsidR="005F6530" w:rsidRPr="00B06BDB">
        <w:rPr>
          <w:rFonts w:cstheme="minorHAnsi"/>
          <w:sz w:val="20"/>
          <w:szCs w:val="20"/>
        </w:rPr>
        <w:t xml:space="preserve">). </w:t>
      </w:r>
    </w:p>
    <w:p w14:paraId="2E7AB685" w14:textId="06581496" w:rsidR="00BF3257" w:rsidRPr="00B06BDB" w:rsidRDefault="00BF3257" w:rsidP="006B71AB">
      <w:pPr>
        <w:spacing w:after="120" w:line="240" w:lineRule="auto"/>
        <w:jc w:val="both"/>
        <w:rPr>
          <w:rFonts w:cstheme="minorHAnsi"/>
          <w:sz w:val="20"/>
          <w:szCs w:val="20"/>
        </w:rPr>
      </w:pPr>
      <w:r w:rsidRPr="00B06BDB">
        <w:rPr>
          <w:rFonts w:cstheme="minorHAnsi"/>
          <w:sz w:val="20"/>
          <w:szCs w:val="20"/>
        </w:rPr>
        <w:t xml:space="preserve">In addition to the GDS, the greater focus on data use and management led to the establishment of the Data Advisory Board in 2017 in order to ‘make best use of data across government’ </w:t>
      </w:r>
      <w:r w:rsidR="00013D2E" w:rsidRPr="00B06BDB">
        <w:rPr>
          <w:rFonts w:cstheme="minorHAnsi"/>
          <w:sz w:val="20"/>
          <w:szCs w:val="20"/>
        </w:rPr>
        <w:t xml:space="preserve">(p.10). </w:t>
      </w:r>
      <w:r w:rsidR="00D42432" w:rsidRPr="00B06BDB">
        <w:rPr>
          <w:rFonts w:cstheme="minorHAnsi"/>
          <w:sz w:val="20"/>
          <w:szCs w:val="20"/>
        </w:rPr>
        <w:t>Finally not only formal structures were being created to enact the digital transformations. In 2017</w:t>
      </w:r>
      <w:r w:rsidR="00464A00" w:rsidRPr="00B06BDB">
        <w:rPr>
          <w:rFonts w:cstheme="minorHAnsi"/>
          <w:sz w:val="20"/>
          <w:szCs w:val="20"/>
        </w:rPr>
        <w:t xml:space="preserve"> there was an indication for more informal structures</w:t>
      </w:r>
      <w:r w:rsidR="004C1F7E" w:rsidRPr="00B06BDB">
        <w:rPr>
          <w:rFonts w:cstheme="minorHAnsi"/>
          <w:sz w:val="20"/>
          <w:szCs w:val="20"/>
        </w:rPr>
        <w:t>, cross-government communities of practice,</w:t>
      </w:r>
      <w:r w:rsidR="00464A00" w:rsidRPr="00B06BDB">
        <w:rPr>
          <w:rFonts w:cstheme="minorHAnsi"/>
          <w:sz w:val="20"/>
          <w:szCs w:val="20"/>
        </w:rPr>
        <w:t xml:space="preserve"> benefit to foster capability across government in order to keep up with futur</w:t>
      </w:r>
      <w:r w:rsidR="00677BE4" w:rsidRPr="00B06BDB">
        <w:rPr>
          <w:rFonts w:cstheme="minorHAnsi"/>
          <w:sz w:val="20"/>
          <w:szCs w:val="20"/>
        </w:rPr>
        <w:t>e need and be agile in doing so.</w:t>
      </w:r>
    </w:p>
    <w:p w14:paraId="1CE69087" w14:textId="77777777" w:rsidR="00981E3A" w:rsidRPr="00B06BDB" w:rsidRDefault="00981E3A" w:rsidP="00981E3A">
      <w:pPr>
        <w:spacing w:after="120" w:line="240" w:lineRule="auto"/>
        <w:jc w:val="both"/>
        <w:rPr>
          <w:rFonts w:cstheme="minorHAnsi"/>
          <w:sz w:val="20"/>
          <w:szCs w:val="20"/>
        </w:rPr>
      </w:pPr>
      <w:r w:rsidRPr="00B06BDB">
        <w:rPr>
          <w:rFonts w:cstheme="minorHAnsi"/>
          <w:sz w:val="20"/>
          <w:szCs w:val="20"/>
        </w:rPr>
        <w:t>In 2017 the focus on collaborative and coordinated action across UK governmental structures was enabled through digital technology:</w:t>
      </w:r>
    </w:p>
    <w:p w14:paraId="54434F4D" w14:textId="77777777" w:rsidR="00981E3A" w:rsidRPr="00B06BDB" w:rsidRDefault="00981E3A" w:rsidP="00981E3A">
      <w:pPr>
        <w:spacing w:after="120" w:line="240" w:lineRule="auto"/>
        <w:ind w:left="720"/>
        <w:jc w:val="both"/>
        <w:rPr>
          <w:rFonts w:cstheme="minorHAnsi"/>
          <w:sz w:val="20"/>
          <w:szCs w:val="20"/>
        </w:rPr>
      </w:pPr>
      <w:r w:rsidRPr="00B06BDB">
        <w:rPr>
          <w:rFonts w:cstheme="minorHAnsi"/>
          <w:sz w:val="20"/>
          <w:szCs w:val="20"/>
        </w:rPr>
        <w:t xml:space="preserve">‘We have also taken promising first steps in moving towards a more fundamentally digital government - one where we share code, patterns, platforms, components and best practice for approaching common technological and design problems across government. Cross government platforms and cross-government services are the future. </w:t>
      </w:r>
    </w:p>
    <w:p w14:paraId="35462905" w14:textId="77777777" w:rsidR="00981E3A" w:rsidRPr="00B06BDB" w:rsidRDefault="00981E3A" w:rsidP="00981E3A">
      <w:pPr>
        <w:spacing w:after="120" w:line="240" w:lineRule="auto"/>
        <w:ind w:left="720"/>
        <w:jc w:val="both"/>
        <w:rPr>
          <w:rFonts w:cstheme="minorHAnsi"/>
          <w:sz w:val="20"/>
          <w:szCs w:val="20"/>
        </w:rPr>
      </w:pPr>
      <w:r w:rsidRPr="00B06BDB">
        <w:rPr>
          <w:rFonts w:cstheme="minorHAnsi"/>
          <w:sz w:val="20"/>
          <w:szCs w:val="20"/>
        </w:rPr>
        <w:lastRenderedPageBreak/>
        <w:t>We have built a number of shared components and platforms (such as GOV. UK Verify for online identity verification) but we also use commodity commercial products where these are supported by open standards.’ (p.53)</w:t>
      </w:r>
    </w:p>
    <w:p w14:paraId="5FA07BCE" w14:textId="77777777" w:rsidR="00981E3A" w:rsidRPr="00B06BDB" w:rsidRDefault="00981E3A" w:rsidP="00981E3A">
      <w:pPr>
        <w:spacing w:after="120" w:line="240" w:lineRule="auto"/>
        <w:jc w:val="both"/>
        <w:rPr>
          <w:rFonts w:cstheme="minorHAnsi"/>
          <w:sz w:val="20"/>
          <w:szCs w:val="20"/>
        </w:rPr>
      </w:pPr>
      <w:r w:rsidRPr="00B06BDB">
        <w:rPr>
          <w:rFonts w:cstheme="minorHAnsi"/>
          <w:sz w:val="20"/>
          <w:szCs w:val="20"/>
        </w:rPr>
        <w:t>Consequently new ways of working collaboratively are underpinned by those shared digital structures and tools and that is what is meant by digital government.</w:t>
      </w:r>
    </w:p>
    <w:p w14:paraId="513E4EEF" w14:textId="77777777" w:rsidR="00981E3A" w:rsidRPr="00B06BDB" w:rsidRDefault="00981E3A" w:rsidP="006B71AB">
      <w:pPr>
        <w:spacing w:after="120" w:line="240" w:lineRule="auto"/>
        <w:jc w:val="both"/>
        <w:rPr>
          <w:rFonts w:cstheme="minorHAnsi"/>
          <w:i/>
          <w:sz w:val="20"/>
          <w:szCs w:val="20"/>
          <w:lang w:val="en-US"/>
        </w:rPr>
      </w:pPr>
    </w:p>
    <w:p w14:paraId="3B975DB2" w14:textId="2ABA899E" w:rsidR="00D96F70" w:rsidRPr="00B06BDB" w:rsidRDefault="00D76D52" w:rsidP="006B71AB">
      <w:pPr>
        <w:spacing w:after="120" w:line="240" w:lineRule="auto"/>
        <w:jc w:val="both"/>
        <w:rPr>
          <w:rFonts w:cstheme="minorHAnsi"/>
          <w:sz w:val="20"/>
          <w:szCs w:val="20"/>
          <w:lang w:val="en-US"/>
        </w:rPr>
      </w:pPr>
      <w:r w:rsidRPr="00B06BDB">
        <w:rPr>
          <w:rFonts w:cstheme="minorHAnsi"/>
          <w:i/>
          <w:sz w:val="20"/>
          <w:szCs w:val="20"/>
          <w:lang w:val="en-US"/>
        </w:rPr>
        <w:t>Sweden:</w:t>
      </w:r>
      <w:r w:rsidRPr="00B06BDB">
        <w:rPr>
          <w:rFonts w:cstheme="minorHAnsi"/>
          <w:sz w:val="20"/>
          <w:szCs w:val="20"/>
          <w:lang w:val="en-US"/>
        </w:rPr>
        <w:t xml:space="preserve"> </w:t>
      </w:r>
      <w:r w:rsidR="00D96F70" w:rsidRPr="00B06BDB">
        <w:rPr>
          <w:rFonts w:cstheme="minorHAnsi"/>
          <w:sz w:val="20"/>
          <w:szCs w:val="20"/>
          <w:lang w:val="en-US"/>
        </w:rPr>
        <w:t>In 2012 agencies have been commissioned different tasks in terms of digitalization</w:t>
      </w:r>
      <w:r w:rsidR="0020095D" w:rsidRPr="00B06BDB">
        <w:rPr>
          <w:rFonts w:cstheme="minorHAnsi"/>
          <w:sz w:val="20"/>
          <w:szCs w:val="20"/>
          <w:lang w:val="en-US"/>
        </w:rPr>
        <w:t xml:space="preserve"> in Sweden</w:t>
      </w:r>
      <w:r w:rsidR="00D96F70" w:rsidRPr="00B06BDB">
        <w:rPr>
          <w:rFonts w:cstheme="minorHAnsi"/>
          <w:sz w:val="20"/>
          <w:szCs w:val="20"/>
          <w:lang w:val="en-US"/>
        </w:rPr>
        <w:t xml:space="preserve">. In addition, a coordination of e-identification has been reinforced by ‘the establishment of a committee for e-identification’ (p. 17). In 2017, the establishment of ‘an e-government: Digital first – a program for digital renewal of the public Sweden 2015-2018’ (p. 101) and ‘a council for the digitalization of the public Sweden’ (p. 101) display a centralization of the management of </w:t>
      </w:r>
      <w:proofErr w:type="spellStart"/>
      <w:r w:rsidR="00D96F70" w:rsidRPr="00B06BDB">
        <w:rPr>
          <w:rFonts w:cstheme="minorHAnsi"/>
          <w:sz w:val="20"/>
          <w:szCs w:val="20"/>
          <w:lang w:val="en-US"/>
        </w:rPr>
        <w:t>d</w:t>
      </w:r>
      <w:r w:rsidR="008A7F61" w:rsidRPr="00B06BDB">
        <w:rPr>
          <w:rFonts w:cstheme="minorHAnsi"/>
          <w:sz w:val="20"/>
          <w:szCs w:val="20"/>
          <w:lang w:val="en-US"/>
        </w:rPr>
        <w:t>igitalis</w:t>
      </w:r>
      <w:r w:rsidR="00D96F70" w:rsidRPr="00B06BDB">
        <w:rPr>
          <w:rFonts w:cstheme="minorHAnsi"/>
          <w:sz w:val="20"/>
          <w:szCs w:val="20"/>
          <w:lang w:val="en-US"/>
        </w:rPr>
        <w:t>ation</w:t>
      </w:r>
      <w:proofErr w:type="spellEnd"/>
      <w:r w:rsidR="00D96F70" w:rsidRPr="00B06BDB">
        <w:rPr>
          <w:rFonts w:cstheme="minorHAnsi"/>
          <w:sz w:val="20"/>
          <w:szCs w:val="20"/>
          <w:lang w:val="en-US"/>
        </w:rPr>
        <w:t xml:space="preserve"> of the public sector in Sweden. In 2018, ‘the government makes a long term investment in order to strengthen and make the coordination of the digitalization in the public sector more effective, e.g. through the establishment of a new agency with the task to coordinate and support the overall government digitalization’ (p. 98). The newly established structures in Sweden are thus not related to digitally transforming services but to internal processes and internal operations.  </w:t>
      </w:r>
    </w:p>
    <w:p w14:paraId="2FD072D7" w14:textId="77777777" w:rsidR="005E7B78" w:rsidRPr="00B06BDB" w:rsidRDefault="005E7B78" w:rsidP="00722FDA">
      <w:pPr>
        <w:pStyle w:val="Heading3"/>
        <w:spacing w:before="0" w:after="120" w:line="240" w:lineRule="auto"/>
        <w:ind w:left="720" w:firstLine="720"/>
        <w:rPr>
          <w:color w:val="auto"/>
        </w:rPr>
      </w:pPr>
      <w:r w:rsidRPr="00B06BDB">
        <w:rPr>
          <w:color w:val="auto"/>
        </w:rPr>
        <w:t>Tasks:</w:t>
      </w:r>
    </w:p>
    <w:p w14:paraId="6AD270C7" w14:textId="38DADF0E" w:rsidR="005E7B78" w:rsidRPr="00B06BDB" w:rsidRDefault="008A7F61" w:rsidP="006B71AB">
      <w:pPr>
        <w:spacing w:after="120" w:line="240" w:lineRule="auto"/>
        <w:jc w:val="both"/>
        <w:rPr>
          <w:rFonts w:cstheme="minorHAnsi"/>
          <w:sz w:val="20"/>
          <w:szCs w:val="20"/>
        </w:rPr>
      </w:pPr>
      <w:r w:rsidRPr="00B06BDB">
        <w:rPr>
          <w:rFonts w:cstheme="minorHAnsi"/>
          <w:sz w:val="20"/>
          <w:szCs w:val="20"/>
        </w:rPr>
        <w:t>In 2013 the UK g</w:t>
      </w:r>
      <w:r w:rsidR="005E7B78" w:rsidRPr="00B06BDB">
        <w:rPr>
          <w:rFonts w:cstheme="minorHAnsi"/>
          <w:sz w:val="20"/>
          <w:szCs w:val="20"/>
        </w:rPr>
        <w:t xml:space="preserve">overnment outlined 16 action points related to digitalising services </w:t>
      </w:r>
      <w:r w:rsidR="00BD7674" w:rsidRPr="00B06BDB">
        <w:rPr>
          <w:rFonts w:cstheme="minorHAnsi"/>
          <w:sz w:val="20"/>
          <w:szCs w:val="20"/>
        </w:rPr>
        <w:t xml:space="preserve">and establishing the structures, </w:t>
      </w:r>
      <w:r w:rsidR="005E7B78" w:rsidRPr="00B06BDB">
        <w:rPr>
          <w:rFonts w:cstheme="minorHAnsi"/>
          <w:sz w:val="20"/>
          <w:szCs w:val="20"/>
        </w:rPr>
        <w:t xml:space="preserve">roles </w:t>
      </w:r>
      <w:r w:rsidR="00BD7674" w:rsidRPr="00B06BDB">
        <w:rPr>
          <w:rFonts w:cstheme="minorHAnsi"/>
          <w:sz w:val="20"/>
          <w:szCs w:val="20"/>
        </w:rPr>
        <w:t xml:space="preserve">and skills </w:t>
      </w:r>
      <w:r w:rsidR="005E7B78" w:rsidRPr="00B06BDB">
        <w:rPr>
          <w:rFonts w:cstheme="minorHAnsi"/>
          <w:sz w:val="20"/>
          <w:szCs w:val="20"/>
        </w:rPr>
        <w:t xml:space="preserve">to enable </w:t>
      </w:r>
      <w:r w:rsidR="00BD7674" w:rsidRPr="00B06BDB">
        <w:rPr>
          <w:rFonts w:cstheme="minorHAnsi"/>
          <w:sz w:val="20"/>
          <w:szCs w:val="20"/>
        </w:rPr>
        <w:t>the digital transformation of services</w:t>
      </w:r>
      <w:r w:rsidR="005E7B78" w:rsidRPr="00B06BDB">
        <w:rPr>
          <w:rFonts w:cstheme="minorHAnsi"/>
          <w:sz w:val="20"/>
          <w:szCs w:val="20"/>
        </w:rPr>
        <w:t>.</w:t>
      </w:r>
      <w:r w:rsidR="00BD7674" w:rsidRPr="00B06BDB">
        <w:rPr>
          <w:rFonts w:cstheme="minorHAnsi"/>
          <w:sz w:val="20"/>
          <w:szCs w:val="20"/>
        </w:rPr>
        <w:t xml:space="preserve"> There is no action related to the internal or back-end processes whereas in 2017 the </w:t>
      </w:r>
      <w:r w:rsidR="00981E3A" w:rsidRPr="00B06BDB">
        <w:rPr>
          <w:rFonts w:cstheme="minorHAnsi"/>
          <w:sz w:val="20"/>
          <w:szCs w:val="20"/>
        </w:rPr>
        <w:t xml:space="preserve">five </w:t>
      </w:r>
      <w:r w:rsidR="00BD7674" w:rsidRPr="00B06BDB">
        <w:rPr>
          <w:rFonts w:cstheme="minorHAnsi"/>
          <w:sz w:val="20"/>
          <w:szCs w:val="20"/>
        </w:rPr>
        <w:t>objectives relate to activities that include internal processes and business transformation</w:t>
      </w:r>
      <w:r w:rsidR="00981E3A" w:rsidRPr="00B06BDB">
        <w:rPr>
          <w:rFonts w:cstheme="minorHAnsi"/>
          <w:sz w:val="20"/>
          <w:szCs w:val="20"/>
        </w:rPr>
        <w:t xml:space="preserve">. </w:t>
      </w:r>
      <w:r w:rsidR="00B344FD" w:rsidRPr="00B06BDB">
        <w:rPr>
          <w:rFonts w:cstheme="minorHAnsi"/>
          <w:sz w:val="20"/>
          <w:szCs w:val="20"/>
        </w:rPr>
        <w:t>The focus on services has decreased but the overall digital transformation is emphasised.</w:t>
      </w:r>
    </w:p>
    <w:p w14:paraId="3FABEDAF" w14:textId="728EAE1E" w:rsidR="00981E3A" w:rsidRPr="00B06BDB" w:rsidRDefault="00981E3A" w:rsidP="006B71AB">
      <w:pPr>
        <w:spacing w:after="120" w:line="240" w:lineRule="auto"/>
        <w:jc w:val="both"/>
        <w:rPr>
          <w:rFonts w:cstheme="minorHAnsi"/>
          <w:sz w:val="20"/>
          <w:szCs w:val="20"/>
        </w:rPr>
      </w:pPr>
      <w:r w:rsidRPr="00B06BDB">
        <w:rPr>
          <w:rFonts w:cstheme="minorHAnsi"/>
          <w:sz w:val="20"/>
          <w:szCs w:val="20"/>
        </w:rPr>
        <w:t>No specific tasks were explicitly identified in the Swedish documents.</w:t>
      </w:r>
    </w:p>
    <w:p w14:paraId="22865D2A" w14:textId="17B0D2C0" w:rsidR="00220B98" w:rsidRPr="00B06BDB" w:rsidRDefault="00220B98" w:rsidP="006B71AB">
      <w:pPr>
        <w:spacing w:after="120" w:line="240" w:lineRule="auto"/>
        <w:jc w:val="both"/>
        <w:rPr>
          <w:rFonts w:cstheme="minorHAnsi"/>
          <w:sz w:val="20"/>
          <w:szCs w:val="20"/>
        </w:rPr>
      </w:pPr>
    </w:p>
    <w:p w14:paraId="37D0F242" w14:textId="77777777" w:rsidR="00A86ACF" w:rsidRPr="00B06BDB" w:rsidRDefault="00A86ACF" w:rsidP="00722FDA">
      <w:pPr>
        <w:pStyle w:val="Heading2"/>
        <w:spacing w:before="0" w:after="120" w:line="240" w:lineRule="auto"/>
        <w:ind w:left="720"/>
        <w:rPr>
          <w:color w:val="auto"/>
        </w:rPr>
      </w:pPr>
      <w:r w:rsidRPr="00B06BDB">
        <w:rPr>
          <w:color w:val="auto"/>
        </w:rPr>
        <w:t>Direction of Digital Transformation</w:t>
      </w:r>
    </w:p>
    <w:p w14:paraId="65EAA9D6" w14:textId="77777777" w:rsidR="00221077" w:rsidRPr="00B06BDB" w:rsidRDefault="00221077" w:rsidP="00722FDA">
      <w:pPr>
        <w:pStyle w:val="Heading3"/>
        <w:spacing w:before="0" w:after="120" w:line="240" w:lineRule="auto"/>
        <w:ind w:left="720" w:firstLine="720"/>
        <w:rPr>
          <w:color w:val="auto"/>
        </w:rPr>
      </w:pPr>
      <w:r w:rsidRPr="00B06BDB">
        <w:rPr>
          <w:color w:val="auto"/>
        </w:rPr>
        <w:t>Top-down:</w:t>
      </w:r>
    </w:p>
    <w:p w14:paraId="76826B1A" w14:textId="76C9F968" w:rsidR="00221077" w:rsidRPr="00B06BDB" w:rsidRDefault="006D24A9" w:rsidP="006B71AB">
      <w:pPr>
        <w:spacing w:after="120" w:line="240" w:lineRule="auto"/>
        <w:jc w:val="both"/>
        <w:rPr>
          <w:rFonts w:cstheme="minorHAnsi"/>
          <w:sz w:val="20"/>
          <w:szCs w:val="20"/>
        </w:rPr>
      </w:pPr>
      <w:r w:rsidRPr="00B06BDB">
        <w:rPr>
          <w:rFonts w:cstheme="minorHAnsi"/>
          <w:i/>
          <w:sz w:val="20"/>
          <w:szCs w:val="20"/>
        </w:rPr>
        <w:t>UK:</w:t>
      </w:r>
      <w:r w:rsidR="00BF2FBD" w:rsidRPr="00B06BDB">
        <w:rPr>
          <w:rFonts w:cstheme="minorHAnsi"/>
          <w:b/>
          <w:sz w:val="20"/>
          <w:szCs w:val="20"/>
        </w:rPr>
        <w:t xml:space="preserve"> </w:t>
      </w:r>
      <w:r w:rsidR="00BF2FBD" w:rsidRPr="00B06BDB">
        <w:rPr>
          <w:rFonts w:cstheme="minorHAnsi"/>
          <w:sz w:val="20"/>
          <w:szCs w:val="20"/>
        </w:rPr>
        <w:t>In 2013 t</w:t>
      </w:r>
      <w:r w:rsidR="006125B0" w:rsidRPr="00B06BDB">
        <w:rPr>
          <w:rFonts w:cstheme="minorHAnsi"/>
          <w:sz w:val="20"/>
          <w:szCs w:val="20"/>
        </w:rPr>
        <w:t xml:space="preserve">he transformation </w:t>
      </w:r>
      <w:r w:rsidR="00BF2FBD" w:rsidRPr="00B06BDB">
        <w:rPr>
          <w:rFonts w:cstheme="minorHAnsi"/>
          <w:sz w:val="20"/>
          <w:szCs w:val="20"/>
        </w:rPr>
        <w:t>was</w:t>
      </w:r>
      <w:r w:rsidR="006125B0" w:rsidRPr="00B06BDB">
        <w:rPr>
          <w:rFonts w:cstheme="minorHAnsi"/>
          <w:sz w:val="20"/>
          <w:szCs w:val="20"/>
        </w:rPr>
        <w:t xml:space="preserve"> driven by </w:t>
      </w:r>
      <w:r w:rsidR="00DE2A38" w:rsidRPr="00B06BDB">
        <w:rPr>
          <w:rFonts w:cstheme="minorHAnsi"/>
          <w:sz w:val="20"/>
          <w:szCs w:val="20"/>
        </w:rPr>
        <w:t xml:space="preserve">the aim to catch up with </w:t>
      </w:r>
      <w:r w:rsidR="006125B0" w:rsidRPr="00B06BDB">
        <w:rPr>
          <w:rFonts w:cstheme="minorHAnsi"/>
          <w:sz w:val="20"/>
          <w:szCs w:val="20"/>
        </w:rPr>
        <w:t xml:space="preserve">the practices in the private sector </w:t>
      </w:r>
      <w:r w:rsidR="00DE2A38" w:rsidRPr="00B06BDB">
        <w:rPr>
          <w:rFonts w:cstheme="minorHAnsi"/>
          <w:sz w:val="20"/>
          <w:szCs w:val="20"/>
        </w:rPr>
        <w:t>as ‘use of digital public services lags far behind that of the private sector’ (p.2)</w:t>
      </w:r>
      <w:r w:rsidR="006125B0" w:rsidRPr="00B06BDB">
        <w:rPr>
          <w:rFonts w:cstheme="minorHAnsi"/>
          <w:sz w:val="20"/>
          <w:szCs w:val="20"/>
        </w:rPr>
        <w:t xml:space="preserve">. </w:t>
      </w:r>
      <w:r w:rsidR="00DE2A38" w:rsidRPr="00B06BDB">
        <w:rPr>
          <w:rFonts w:cstheme="minorHAnsi"/>
          <w:sz w:val="20"/>
          <w:szCs w:val="20"/>
        </w:rPr>
        <w:t xml:space="preserve">The idea </w:t>
      </w:r>
      <w:r w:rsidR="00702BC6" w:rsidRPr="00B06BDB">
        <w:rPr>
          <w:rFonts w:cstheme="minorHAnsi"/>
          <w:sz w:val="20"/>
          <w:szCs w:val="20"/>
        </w:rPr>
        <w:t xml:space="preserve">was </w:t>
      </w:r>
      <w:r w:rsidR="00DE2A38" w:rsidRPr="00B06BDB">
        <w:rPr>
          <w:rFonts w:cstheme="minorHAnsi"/>
          <w:sz w:val="20"/>
          <w:szCs w:val="20"/>
        </w:rPr>
        <w:t>that government need</w:t>
      </w:r>
      <w:r w:rsidR="008A7F61" w:rsidRPr="00B06BDB">
        <w:rPr>
          <w:rFonts w:cstheme="minorHAnsi"/>
          <w:sz w:val="20"/>
          <w:szCs w:val="20"/>
        </w:rPr>
        <w:t>ed</w:t>
      </w:r>
      <w:r w:rsidR="00DE2A38" w:rsidRPr="00B06BDB">
        <w:rPr>
          <w:rFonts w:cstheme="minorHAnsi"/>
          <w:sz w:val="20"/>
          <w:szCs w:val="20"/>
        </w:rPr>
        <w:t xml:space="preserve"> to move to ‘service culture’ as well as to comply with and excel at digital maturity as measured by the European Digital Capability Framework. Government set the ambition to reach level 5 </w:t>
      </w:r>
      <w:r w:rsidR="00702BC6" w:rsidRPr="00B06BDB">
        <w:rPr>
          <w:rFonts w:cstheme="minorHAnsi"/>
          <w:sz w:val="20"/>
          <w:szCs w:val="20"/>
        </w:rPr>
        <w:t xml:space="preserve">in this framework, </w:t>
      </w:r>
      <w:r w:rsidR="00DE2A38" w:rsidRPr="00B06BDB">
        <w:rPr>
          <w:rFonts w:cstheme="minorHAnsi"/>
          <w:sz w:val="20"/>
          <w:szCs w:val="20"/>
        </w:rPr>
        <w:t>making ‘progress in all departments towards the highest levels of strong, agile, responsive and, above all, user-centred digital service provision’</w:t>
      </w:r>
      <w:r w:rsidR="007E3FB9" w:rsidRPr="00B06BDB">
        <w:rPr>
          <w:rFonts w:cstheme="minorHAnsi"/>
          <w:sz w:val="20"/>
          <w:szCs w:val="20"/>
        </w:rPr>
        <w:t xml:space="preserve"> (p.21). </w:t>
      </w:r>
      <w:r w:rsidR="00BF2FBD" w:rsidRPr="00B06BDB">
        <w:rPr>
          <w:rFonts w:cstheme="minorHAnsi"/>
          <w:sz w:val="20"/>
          <w:szCs w:val="20"/>
        </w:rPr>
        <w:t xml:space="preserve">The </w:t>
      </w:r>
      <w:r w:rsidR="00747B5F" w:rsidRPr="00B06BDB">
        <w:rPr>
          <w:rFonts w:cstheme="minorHAnsi"/>
          <w:sz w:val="20"/>
          <w:szCs w:val="20"/>
        </w:rPr>
        <w:t>GDS as a central</w:t>
      </w:r>
      <w:r w:rsidR="00B152DE" w:rsidRPr="00B06BDB">
        <w:rPr>
          <w:rFonts w:cstheme="minorHAnsi"/>
          <w:sz w:val="20"/>
          <w:szCs w:val="20"/>
        </w:rPr>
        <w:t xml:space="preserve"> organisational</w:t>
      </w:r>
      <w:r w:rsidR="00747B5F" w:rsidRPr="00B06BDB">
        <w:rPr>
          <w:rFonts w:cstheme="minorHAnsi"/>
          <w:sz w:val="20"/>
          <w:szCs w:val="20"/>
        </w:rPr>
        <w:t xml:space="preserve"> structure </w:t>
      </w:r>
      <w:r w:rsidR="00BF2FBD" w:rsidRPr="00B06BDB">
        <w:rPr>
          <w:rFonts w:cstheme="minorHAnsi"/>
          <w:sz w:val="20"/>
          <w:szCs w:val="20"/>
        </w:rPr>
        <w:t>was set up to lead the transformation of services.</w:t>
      </w:r>
      <w:r w:rsidR="00747B5F" w:rsidRPr="00B06BDB">
        <w:rPr>
          <w:rFonts w:cstheme="minorHAnsi"/>
          <w:sz w:val="20"/>
          <w:szCs w:val="20"/>
        </w:rPr>
        <w:t xml:space="preserve"> In turn locally each department </w:t>
      </w:r>
      <w:r w:rsidR="00702BC6" w:rsidRPr="00B06BDB">
        <w:rPr>
          <w:rFonts w:cstheme="minorHAnsi"/>
          <w:sz w:val="20"/>
          <w:szCs w:val="20"/>
        </w:rPr>
        <w:t>was</w:t>
      </w:r>
      <w:r w:rsidR="00747B5F" w:rsidRPr="00B06BDB">
        <w:rPr>
          <w:rFonts w:cstheme="minorHAnsi"/>
          <w:sz w:val="20"/>
          <w:szCs w:val="20"/>
        </w:rPr>
        <w:t xml:space="preserve"> to employ a digital leader and service manager</w:t>
      </w:r>
      <w:r w:rsidR="00BF2FBD" w:rsidRPr="00B06BDB">
        <w:rPr>
          <w:rFonts w:cstheme="minorHAnsi"/>
          <w:sz w:val="20"/>
          <w:szCs w:val="20"/>
        </w:rPr>
        <w:t>s</w:t>
      </w:r>
      <w:r w:rsidR="00747B5F" w:rsidRPr="00B06BDB">
        <w:rPr>
          <w:rFonts w:cstheme="minorHAnsi"/>
          <w:sz w:val="20"/>
          <w:szCs w:val="20"/>
        </w:rPr>
        <w:t xml:space="preserve">. The direction </w:t>
      </w:r>
      <w:r w:rsidR="00BF2FBD" w:rsidRPr="00B06BDB">
        <w:rPr>
          <w:rFonts w:cstheme="minorHAnsi"/>
          <w:sz w:val="20"/>
          <w:szCs w:val="20"/>
        </w:rPr>
        <w:t>of alignment of technology and organisational structure is</w:t>
      </w:r>
      <w:r w:rsidR="00747B5F" w:rsidRPr="00B06BDB">
        <w:rPr>
          <w:rFonts w:cstheme="minorHAnsi"/>
          <w:sz w:val="20"/>
          <w:szCs w:val="20"/>
        </w:rPr>
        <w:t xml:space="preserve"> top</w:t>
      </w:r>
      <w:r w:rsidR="00BF2FBD" w:rsidRPr="00B06BDB">
        <w:rPr>
          <w:rFonts w:cstheme="minorHAnsi"/>
          <w:sz w:val="20"/>
          <w:szCs w:val="20"/>
        </w:rPr>
        <w:t>-down</w:t>
      </w:r>
      <w:r w:rsidR="001C09BE" w:rsidRPr="00B06BDB">
        <w:rPr>
          <w:rFonts w:cstheme="minorHAnsi"/>
          <w:sz w:val="20"/>
          <w:szCs w:val="20"/>
        </w:rPr>
        <w:t xml:space="preserve"> (see figure</w:t>
      </w:r>
      <w:r w:rsidR="00747B5F" w:rsidRPr="00B06BDB">
        <w:rPr>
          <w:rFonts w:cstheme="minorHAnsi"/>
          <w:sz w:val="20"/>
          <w:szCs w:val="20"/>
        </w:rPr>
        <w:t xml:space="preserve"> 1).</w:t>
      </w:r>
    </w:p>
    <w:p w14:paraId="30553272" w14:textId="2A1080C5" w:rsidR="00B64F84" w:rsidRPr="00B06BDB" w:rsidRDefault="00F90C48" w:rsidP="006B71AB">
      <w:pPr>
        <w:spacing w:after="120" w:line="240" w:lineRule="auto"/>
        <w:jc w:val="center"/>
        <w:rPr>
          <w:rFonts w:cstheme="minorHAnsi"/>
          <w:sz w:val="20"/>
          <w:szCs w:val="20"/>
        </w:rPr>
      </w:pPr>
      <w:r w:rsidRPr="00B06BDB">
        <w:rPr>
          <w:rFonts w:cstheme="minorHAnsi"/>
          <w:noProof/>
          <w:sz w:val="20"/>
          <w:szCs w:val="20"/>
          <w:lang w:eastAsia="en-GB"/>
        </w:rPr>
        <w:drawing>
          <wp:inline distT="0" distB="0" distL="0" distR="0" wp14:anchorId="05D68CE6" wp14:editId="18582C0A">
            <wp:extent cx="448627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1.jpg"/>
                    <pic:cNvPicPr/>
                  </pic:nvPicPr>
                  <pic:blipFill rotWithShape="1">
                    <a:blip r:embed="rId11">
                      <a:extLst>
                        <a:ext uri="{28A0092B-C50C-407E-A947-70E740481C1C}">
                          <a14:useLocalDpi xmlns:a14="http://schemas.microsoft.com/office/drawing/2010/main" val="0"/>
                        </a:ext>
                      </a:extLst>
                    </a:blip>
                    <a:srcRect l="8974" t="33682" r="12753" b="40909"/>
                    <a:stretch/>
                  </pic:blipFill>
                  <pic:spPr bwMode="auto">
                    <a:xfrm>
                      <a:off x="0" y="0"/>
                      <a:ext cx="4486275" cy="819150"/>
                    </a:xfrm>
                    <a:prstGeom prst="rect">
                      <a:avLst/>
                    </a:prstGeom>
                    <a:ln>
                      <a:noFill/>
                    </a:ln>
                    <a:extLst>
                      <a:ext uri="{53640926-AAD7-44D8-BBD7-CCE9431645EC}">
                        <a14:shadowObscured xmlns:a14="http://schemas.microsoft.com/office/drawing/2010/main"/>
                      </a:ext>
                    </a:extLst>
                  </pic:spPr>
                </pic:pic>
              </a:graphicData>
            </a:graphic>
          </wp:inline>
        </w:drawing>
      </w:r>
    </w:p>
    <w:p w14:paraId="67BAF915" w14:textId="215CC548" w:rsidR="0042264A" w:rsidRPr="00B06BDB" w:rsidRDefault="0042264A" w:rsidP="006B71AB">
      <w:pPr>
        <w:spacing w:after="120" w:line="240" w:lineRule="auto"/>
        <w:jc w:val="both"/>
        <w:rPr>
          <w:rFonts w:cstheme="minorHAnsi"/>
          <w:b/>
          <w:sz w:val="20"/>
          <w:szCs w:val="20"/>
        </w:rPr>
      </w:pPr>
      <w:r w:rsidRPr="00B06BDB">
        <w:rPr>
          <w:rFonts w:cstheme="minorHAnsi"/>
          <w:b/>
          <w:sz w:val="20"/>
          <w:szCs w:val="20"/>
        </w:rPr>
        <w:t>Figure 1</w:t>
      </w:r>
      <w:r w:rsidR="00377B76" w:rsidRPr="00B06BDB">
        <w:rPr>
          <w:rFonts w:cstheme="minorHAnsi"/>
          <w:b/>
          <w:sz w:val="20"/>
          <w:szCs w:val="20"/>
        </w:rPr>
        <w:t>:</w:t>
      </w:r>
      <w:r w:rsidRPr="00B06BDB">
        <w:rPr>
          <w:rFonts w:cstheme="minorHAnsi"/>
          <w:b/>
          <w:sz w:val="20"/>
          <w:szCs w:val="20"/>
        </w:rPr>
        <w:t xml:space="preserve"> </w:t>
      </w:r>
      <w:r w:rsidRPr="00B06BDB">
        <w:rPr>
          <w:rFonts w:cstheme="minorHAnsi"/>
          <w:sz w:val="20"/>
          <w:szCs w:val="20"/>
        </w:rPr>
        <w:t>Top down transformation of services (2013 UK)</w:t>
      </w:r>
    </w:p>
    <w:p w14:paraId="6C238D58" w14:textId="0A6DD88C" w:rsidR="00BD3476" w:rsidRPr="00B06BDB" w:rsidRDefault="00BF2FBD" w:rsidP="006B71AB">
      <w:pPr>
        <w:spacing w:after="120" w:line="240" w:lineRule="auto"/>
        <w:jc w:val="both"/>
        <w:rPr>
          <w:rFonts w:cstheme="minorHAnsi"/>
          <w:sz w:val="20"/>
          <w:szCs w:val="20"/>
        </w:rPr>
      </w:pPr>
      <w:r w:rsidRPr="00B06BDB">
        <w:rPr>
          <w:rFonts w:cstheme="minorHAnsi"/>
          <w:sz w:val="20"/>
          <w:szCs w:val="20"/>
        </w:rPr>
        <w:t>Comparatively i</w:t>
      </w:r>
      <w:r w:rsidR="007611C6" w:rsidRPr="00B06BDB">
        <w:rPr>
          <w:rFonts w:cstheme="minorHAnsi"/>
          <w:sz w:val="20"/>
          <w:szCs w:val="20"/>
        </w:rPr>
        <w:t xml:space="preserve">n 2017 there </w:t>
      </w:r>
      <w:r w:rsidR="000E17BD" w:rsidRPr="00B06BDB">
        <w:rPr>
          <w:rFonts w:cstheme="minorHAnsi"/>
          <w:sz w:val="20"/>
          <w:szCs w:val="20"/>
        </w:rPr>
        <w:t>were</w:t>
      </w:r>
      <w:r w:rsidR="007611C6" w:rsidRPr="00B06BDB">
        <w:rPr>
          <w:rFonts w:cstheme="minorHAnsi"/>
          <w:sz w:val="20"/>
          <w:szCs w:val="20"/>
        </w:rPr>
        <w:t xml:space="preserve"> </w:t>
      </w:r>
      <w:r w:rsidRPr="00B06BDB">
        <w:rPr>
          <w:rFonts w:cstheme="minorHAnsi"/>
          <w:sz w:val="20"/>
          <w:szCs w:val="20"/>
        </w:rPr>
        <w:t>very</w:t>
      </w:r>
      <w:r w:rsidR="007611C6" w:rsidRPr="00B06BDB">
        <w:rPr>
          <w:rFonts w:cstheme="minorHAnsi"/>
          <w:sz w:val="20"/>
          <w:szCs w:val="20"/>
        </w:rPr>
        <w:t xml:space="preserve"> few indicators to the same drivers for the top down transformation of government, </w:t>
      </w:r>
      <w:r w:rsidR="000D1CF8" w:rsidRPr="00B06BDB">
        <w:rPr>
          <w:rFonts w:cstheme="minorHAnsi"/>
          <w:sz w:val="20"/>
          <w:szCs w:val="20"/>
        </w:rPr>
        <w:t>only</w:t>
      </w:r>
      <w:r w:rsidR="007611C6" w:rsidRPr="00B06BDB">
        <w:rPr>
          <w:rFonts w:cstheme="minorHAnsi"/>
          <w:sz w:val="20"/>
          <w:szCs w:val="20"/>
        </w:rPr>
        <w:t xml:space="preserve"> keeping pace with the private </w:t>
      </w:r>
      <w:r w:rsidRPr="00B06BDB">
        <w:rPr>
          <w:rFonts w:cstheme="minorHAnsi"/>
          <w:sz w:val="20"/>
          <w:szCs w:val="20"/>
        </w:rPr>
        <w:t xml:space="preserve">sector and the service culture. </w:t>
      </w:r>
    </w:p>
    <w:p w14:paraId="78EDE952" w14:textId="540CF123" w:rsidR="008E273E" w:rsidRPr="00B06BDB" w:rsidRDefault="008E273E" w:rsidP="006B71AB">
      <w:pPr>
        <w:spacing w:after="120" w:line="240" w:lineRule="auto"/>
        <w:jc w:val="both"/>
        <w:rPr>
          <w:rFonts w:cstheme="minorHAnsi"/>
          <w:sz w:val="20"/>
          <w:szCs w:val="20"/>
          <w:lang w:val="en-US"/>
        </w:rPr>
      </w:pPr>
      <w:r w:rsidRPr="00B06BDB">
        <w:rPr>
          <w:rFonts w:cstheme="minorHAnsi"/>
          <w:i/>
          <w:sz w:val="20"/>
          <w:szCs w:val="20"/>
        </w:rPr>
        <w:t>Sweden:</w:t>
      </w:r>
      <w:r w:rsidRPr="00B06BDB">
        <w:rPr>
          <w:rFonts w:cstheme="minorHAnsi"/>
          <w:sz w:val="20"/>
          <w:szCs w:val="20"/>
        </w:rPr>
        <w:t xml:space="preserve"> </w:t>
      </w:r>
      <w:r w:rsidRPr="00B06BDB">
        <w:rPr>
          <w:rFonts w:cstheme="minorHAnsi"/>
          <w:sz w:val="20"/>
          <w:szCs w:val="20"/>
          <w:lang w:val="en-US"/>
        </w:rPr>
        <w:t>There are</w:t>
      </w:r>
      <w:r w:rsidR="00BF2FBD" w:rsidRPr="00B06BDB">
        <w:rPr>
          <w:rFonts w:cstheme="minorHAnsi"/>
          <w:sz w:val="20"/>
          <w:szCs w:val="20"/>
          <w:lang w:val="en-US"/>
        </w:rPr>
        <w:t xml:space="preserve"> very few</w:t>
      </w:r>
      <w:r w:rsidRPr="00B06BDB">
        <w:rPr>
          <w:rFonts w:cstheme="minorHAnsi"/>
          <w:sz w:val="20"/>
          <w:szCs w:val="20"/>
          <w:lang w:val="en-US"/>
        </w:rPr>
        <w:t xml:space="preserve"> sections where macrosocial forces are indicated. The drivers are mainly the ci</w:t>
      </w:r>
      <w:r w:rsidR="008A7F61" w:rsidRPr="00B06BDB">
        <w:rPr>
          <w:rFonts w:cstheme="minorHAnsi"/>
          <w:sz w:val="20"/>
          <w:szCs w:val="20"/>
          <w:lang w:val="en-US"/>
        </w:rPr>
        <w:t>tizens’ needs as ‘i</w:t>
      </w:r>
      <w:r w:rsidRPr="00B06BDB">
        <w:rPr>
          <w:rFonts w:cstheme="minorHAnsi"/>
          <w:sz w:val="20"/>
          <w:szCs w:val="20"/>
          <w:lang w:val="en-US"/>
        </w:rPr>
        <w:t>f we are to have a civil service that is up-to-date, that meets the citizens’ needs of simple and user friendly services, we must take advantage of the possibilities given by digitalization’ (2012, p. 3).</w:t>
      </w:r>
      <w:r w:rsidR="00702BC6" w:rsidRPr="00B06BDB">
        <w:rPr>
          <w:rFonts w:cstheme="minorHAnsi"/>
          <w:sz w:val="20"/>
          <w:szCs w:val="20"/>
          <w:lang w:val="en-US"/>
        </w:rPr>
        <w:t xml:space="preserve"> </w:t>
      </w:r>
      <w:r w:rsidRPr="00B06BDB">
        <w:rPr>
          <w:rFonts w:cstheme="minorHAnsi"/>
          <w:sz w:val="20"/>
          <w:szCs w:val="20"/>
          <w:lang w:val="en-US"/>
        </w:rPr>
        <w:t xml:space="preserve">In 2017, </w:t>
      </w:r>
      <w:r w:rsidRPr="00B06BDB">
        <w:rPr>
          <w:rFonts w:cstheme="minorHAnsi"/>
          <w:i/>
          <w:sz w:val="20"/>
          <w:szCs w:val="20"/>
          <w:lang w:val="en-US"/>
        </w:rPr>
        <w:t>societal challenges</w:t>
      </w:r>
      <w:r w:rsidRPr="00B06BDB">
        <w:rPr>
          <w:rFonts w:cstheme="minorHAnsi"/>
          <w:sz w:val="20"/>
          <w:szCs w:val="20"/>
          <w:lang w:val="en-US"/>
        </w:rPr>
        <w:t xml:space="preserve"> was indicated</w:t>
      </w:r>
      <w:r w:rsidR="00702BC6" w:rsidRPr="00B06BDB">
        <w:rPr>
          <w:rFonts w:cstheme="minorHAnsi"/>
          <w:sz w:val="20"/>
          <w:szCs w:val="20"/>
          <w:lang w:val="en-US"/>
        </w:rPr>
        <w:t xml:space="preserve"> as a macrosocial force</w:t>
      </w:r>
      <w:r w:rsidRPr="00B06BDB">
        <w:rPr>
          <w:rFonts w:cstheme="minorHAnsi"/>
          <w:sz w:val="20"/>
          <w:szCs w:val="20"/>
          <w:lang w:val="en-US"/>
        </w:rPr>
        <w:t>:</w:t>
      </w:r>
    </w:p>
    <w:p w14:paraId="5A1CE626" w14:textId="77777777" w:rsidR="008E273E" w:rsidRPr="00B06BDB" w:rsidRDefault="008E273E" w:rsidP="006B71AB">
      <w:pPr>
        <w:spacing w:after="120" w:line="240" w:lineRule="auto"/>
        <w:ind w:left="720"/>
        <w:jc w:val="both"/>
        <w:rPr>
          <w:rFonts w:cstheme="minorHAnsi"/>
          <w:sz w:val="20"/>
          <w:szCs w:val="20"/>
          <w:lang w:val="en-US"/>
        </w:rPr>
      </w:pPr>
      <w:r w:rsidRPr="00B06BDB">
        <w:rPr>
          <w:rFonts w:cstheme="minorHAnsi"/>
          <w:sz w:val="20"/>
          <w:szCs w:val="20"/>
          <w:lang w:val="en-US"/>
        </w:rPr>
        <w:t xml:space="preserve">‘The societal challenges that the public Sweden encounters demand that the possibilities of digitalization are handled in the best of ways’ (2017, p. 109) </w:t>
      </w:r>
    </w:p>
    <w:p w14:paraId="640DC913" w14:textId="0153E813" w:rsidR="008E273E" w:rsidRPr="00B06BDB" w:rsidRDefault="008E273E" w:rsidP="006B71AB">
      <w:pPr>
        <w:spacing w:after="120" w:line="240" w:lineRule="auto"/>
        <w:jc w:val="both"/>
        <w:rPr>
          <w:rFonts w:cstheme="minorHAnsi"/>
          <w:sz w:val="20"/>
          <w:szCs w:val="20"/>
        </w:rPr>
      </w:pPr>
      <w:r w:rsidRPr="00B06BDB">
        <w:rPr>
          <w:rFonts w:cstheme="minorHAnsi"/>
          <w:sz w:val="20"/>
          <w:szCs w:val="20"/>
          <w:lang w:val="en-US"/>
        </w:rPr>
        <w:lastRenderedPageBreak/>
        <w:t>Overall</w:t>
      </w:r>
      <w:r w:rsidR="00702BC6" w:rsidRPr="00B06BDB">
        <w:rPr>
          <w:rFonts w:cstheme="minorHAnsi"/>
          <w:sz w:val="20"/>
          <w:szCs w:val="20"/>
          <w:lang w:val="en-US"/>
        </w:rPr>
        <w:t xml:space="preserve"> </w:t>
      </w:r>
      <w:r w:rsidRPr="00B06BDB">
        <w:rPr>
          <w:rFonts w:cstheme="minorHAnsi"/>
          <w:sz w:val="20"/>
          <w:szCs w:val="20"/>
          <w:lang w:val="en-US"/>
        </w:rPr>
        <w:t xml:space="preserve">macrosocial forces </w:t>
      </w:r>
      <w:r w:rsidR="00702BC6" w:rsidRPr="00B06BDB">
        <w:rPr>
          <w:rFonts w:cstheme="minorHAnsi"/>
          <w:sz w:val="20"/>
          <w:szCs w:val="20"/>
          <w:lang w:val="en-US"/>
        </w:rPr>
        <w:t>w</w:t>
      </w:r>
      <w:r w:rsidR="00475CF1" w:rsidRPr="00B06BDB">
        <w:rPr>
          <w:rFonts w:cstheme="minorHAnsi"/>
          <w:sz w:val="20"/>
          <w:szCs w:val="20"/>
          <w:lang w:val="en-US"/>
        </w:rPr>
        <w:t>ere</w:t>
      </w:r>
      <w:r w:rsidRPr="00B06BDB">
        <w:rPr>
          <w:rFonts w:cstheme="minorHAnsi"/>
          <w:sz w:val="20"/>
          <w:szCs w:val="20"/>
          <w:lang w:val="en-US"/>
        </w:rPr>
        <w:t xml:space="preserve"> </w:t>
      </w:r>
      <w:r w:rsidR="00702BC6" w:rsidRPr="00B06BDB">
        <w:rPr>
          <w:rFonts w:cstheme="minorHAnsi"/>
          <w:sz w:val="20"/>
          <w:szCs w:val="20"/>
          <w:lang w:val="en-US"/>
        </w:rPr>
        <w:t>indicated</w:t>
      </w:r>
      <w:r w:rsidRPr="00B06BDB">
        <w:rPr>
          <w:rFonts w:cstheme="minorHAnsi"/>
          <w:sz w:val="20"/>
          <w:szCs w:val="20"/>
          <w:lang w:val="en-US"/>
        </w:rPr>
        <w:t xml:space="preserve"> in the Swedish context however there were no clearly indicated structures, roles </w:t>
      </w:r>
      <w:r w:rsidR="00702BC6" w:rsidRPr="00B06BDB">
        <w:rPr>
          <w:rFonts w:cstheme="minorHAnsi"/>
          <w:sz w:val="20"/>
          <w:szCs w:val="20"/>
          <w:lang w:val="en-US"/>
        </w:rPr>
        <w:t>or</w:t>
      </w:r>
      <w:r w:rsidRPr="00B06BDB">
        <w:rPr>
          <w:rFonts w:cstheme="minorHAnsi"/>
          <w:sz w:val="20"/>
          <w:szCs w:val="20"/>
          <w:lang w:val="en-US"/>
        </w:rPr>
        <w:t xml:space="preserve"> tasks associated with the top-down direction of transforming services.</w:t>
      </w:r>
    </w:p>
    <w:p w14:paraId="2AF24D4D" w14:textId="77777777" w:rsidR="00BD3476" w:rsidRPr="00B06BDB" w:rsidRDefault="00BD3476" w:rsidP="00722FDA">
      <w:pPr>
        <w:pStyle w:val="Heading3"/>
        <w:spacing w:before="0" w:after="120" w:line="240" w:lineRule="auto"/>
        <w:ind w:left="720" w:firstLine="720"/>
        <w:rPr>
          <w:color w:val="auto"/>
        </w:rPr>
      </w:pPr>
      <w:r w:rsidRPr="00B06BDB">
        <w:rPr>
          <w:color w:val="auto"/>
        </w:rPr>
        <w:t>Bottom-up:</w:t>
      </w:r>
    </w:p>
    <w:p w14:paraId="2C8C3ED8" w14:textId="70BA040E" w:rsidR="00BD3476" w:rsidRPr="00B06BDB" w:rsidRDefault="008E273E" w:rsidP="006B71AB">
      <w:pPr>
        <w:spacing w:after="120" w:line="240" w:lineRule="auto"/>
        <w:jc w:val="both"/>
        <w:rPr>
          <w:rFonts w:cstheme="minorHAnsi"/>
          <w:sz w:val="20"/>
          <w:szCs w:val="20"/>
        </w:rPr>
      </w:pPr>
      <w:r w:rsidRPr="00B06BDB">
        <w:rPr>
          <w:rFonts w:cstheme="minorHAnsi"/>
          <w:i/>
          <w:sz w:val="20"/>
          <w:szCs w:val="20"/>
        </w:rPr>
        <w:t>UK:</w:t>
      </w:r>
      <w:r w:rsidRPr="00B06BDB">
        <w:rPr>
          <w:rFonts w:cstheme="minorHAnsi"/>
          <w:sz w:val="20"/>
          <w:szCs w:val="20"/>
        </w:rPr>
        <w:t xml:space="preserve"> </w:t>
      </w:r>
      <w:r w:rsidR="00BE67F4" w:rsidRPr="00B06BDB">
        <w:rPr>
          <w:rFonts w:cstheme="minorHAnsi"/>
          <w:sz w:val="20"/>
          <w:szCs w:val="20"/>
        </w:rPr>
        <w:t>In 2013 the</w:t>
      </w:r>
      <w:r w:rsidR="008A7F61" w:rsidRPr="00B06BDB">
        <w:rPr>
          <w:rFonts w:cstheme="minorHAnsi"/>
          <w:sz w:val="20"/>
          <w:szCs w:val="20"/>
        </w:rPr>
        <w:t>re is only one aspect of bottom-</w:t>
      </w:r>
      <w:r w:rsidR="00BE67F4" w:rsidRPr="00B06BDB">
        <w:rPr>
          <w:rFonts w:cstheme="minorHAnsi"/>
          <w:sz w:val="20"/>
          <w:szCs w:val="20"/>
        </w:rPr>
        <w:t xml:space="preserve">up change that was indicated in the strategy which related to changing the policy making process: ‘digital also provides ways to improve the broader policy making process, through better engagement and consultation’ (p. </w:t>
      </w:r>
      <w:r w:rsidR="00650AE3" w:rsidRPr="00B06BDB">
        <w:rPr>
          <w:rFonts w:cstheme="minorHAnsi"/>
          <w:sz w:val="20"/>
          <w:szCs w:val="20"/>
        </w:rPr>
        <w:t>40).</w:t>
      </w:r>
      <w:r w:rsidR="002E6108" w:rsidRPr="00B06BDB">
        <w:rPr>
          <w:rFonts w:cstheme="minorHAnsi"/>
          <w:sz w:val="20"/>
          <w:szCs w:val="20"/>
        </w:rPr>
        <w:t xml:space="preserve"> However in 2017 there </w:t>
      </w:r>
      <w:r w:rsidR="005D3629" w:rsidRPr="00B06BDB">
        <w:rPr>
          <w:rFonts w:cstheme="minorHAnsi"/>
          <w:sz w:val="20"/>
          <w:szCs w:val="20"/>
        </w:rPr>
        <w:t>were</w:t>
      </w:r>
      <w:r w:rsidR="002E6108" w:rsidRPr="00B06BDB">
        <w:rPr>
          <w:rFonts w:cstheme="minorHAnsi"/>
          <w:sz w:val="20"/>
          <w:szCs w:val="20"/>
        </w:rPr>
        <w:t xml:space="preserve"> a lot of references to bottom</w:t>
      </w:r>
      <w:r w:rsidR="008A7F61" w:rsidRPr="00B06BDB">
        <w:rPr>
          <w:rFonts w:cstheme="minorHAnsi"/>
          <w:sz w:val="20"/>
          <w:szCs w:val="20"/>
        </w:rPr>
        <w:t>-</w:t>
      </w:r>
      <w:r w:rsidR="002E6108" w:rsidRPr="00B06BDB">
        <w:rPr>
          <w:rFonts w:cstheme="minorHAnsi"/>
          <w:sz w:val="20"/>
          <w:szCs w:val="20"/>
        </w:rPr>
        <w:t xml:space="preserve">up </w:t>
      </w:r>
      <w:r w:rsidR="00B152DE" w:rsidRPr="00B06BDB">
        <w:rPr>
          <w:rFonts w:cstheme="minorHAnsi"/>
          <w:sz w:val="20"/>
          <w:szCs w:val="20"/>
        </w:rPr>
        <w:t>digital transformation</w:t>
      </w:r>
      <w:r w:rsidR="002E6108" w:rsidRPr="00B06BDB">
        <w:rPr>
          <w:rFonts w:cstheme="minorHAnsi"/>
          <w:sz w:val="20"/>
          <w:szCs w:val="20"/>
        </w:rPr>
        <w:t xml:space="preserve"> which included oth</w:t>
      </w:r>
      <w:r w:rsidR="00FD6925" w:rsidRPr="00B06BDB">
        <w:rPr>
          <w:rFonts w:cstheme="minorHAnsi"/>
          <w:sz w:val="20"/>
          <w:szCs w:val="20"/>
        </w:rPr>
        <w:t>er aspects of the organisation:</w:t>
      </w:r>
    </w:p>
    <w:p w14:paraId="1B539CF8" w14:textId="77777777" w:rsidR="00427DA7" w:rsidRPr="00B06BDB" w:rsidRDefault="00427DA7" w:rsidP="006B71AB">
      <w:pPr>
        <w:spacing w:after="120" w:line="240" w:lineRule="auto"/>
        <w:ind w:left="720"/>
        <w:jc w:val="both"/>
        <w:rPr>
          <w:rFonts w:cstheme="minorHAnsi"/>
          <w:sz w:val="20"/>
          <w:szCs w:val="20"/>
        </w:rPr>
      </w:pPr>
      <w:r w:rsidRPr="00B06BDB">
        <w:rPr>
          <w:rFonts w:cstheme="minorHAnsi"/>
          <w:sz w:val="20"/>
          <w:szCs w:val="20"/>
        </w:rPr>
        <w:t>‘[Transformation] is in essence a change of working, of culture and of disposition - changes that are made possible by digital technology. That technology is not change itself; it enables the change that is so transformative… this strategy charts the direction of the total transformation of government - in how we work, how we organize ourselves and how we serve our citizens.’ (p.</w:t>
      </w:r>
      <w:r w:rsidR="00A151C5" w:rsidRPr="00B06BDB">
        <w:rPr>
          <w:rFonts w:cstheme="minorHAnsi"/>
          <w:sz w:val="20"/>
          <w:szCs w:val="20"/>
        </w:rPr>
        <w:t xml:space="preserve"> </w:t>
      </w:r>
      <w:r w:rsidRPr="00B06BDB">
        <w:rPr>
          <w:rFonts w:cstheme="minorHAnsi"/>
          <w:sz w:val="20"/>
          <w:szCs w:val="20"/>
        </w:rPr>
        <w:t>3)</w:t>
      </w:r>
    </w:p>
    <w:p w14:paraId="14927BA5" w14:textId="0A59BD4B" w:rsidR="00F63B38" w:rsidRPr="00B06BDB" w:rsidRDefault="005F6C6A" w:rsidP="006B71AB">
      <w:pPr>
        <w:spacing w:after="120" w:line="240" w:lineRule="auto"/>
        <w:jc w:val="both"/>
        <w:rPr>
          <w:rFonts w:cstheme="minorHAnsi"/>
          <w:sz w:val="20"/>
          <w:szCs w:val="20"/>
        </w:rPr>
      </w:pPr>
      <w:r w:rsidRPr="00B06BDB">
        <w:rPr>
          <w:rFonts w:cstheme="minorHAnsi"/>
          <w:sz w:val="20"/>
          <w:szCs w:val="20"/>
        </w:rPr>
        <w:t xml:space="preserve">The greater focus on data use and management </w:t>
      </w:r>
      <w:r w:rsidR="005D3629" w:rsidRPr="00B06BDB">
        <w:rPr>
          <w:rFonts w:cstheme="minorHAnsi"/>
          <w:sz w:val="20"/>
          <w:szCs w:val="20"/>
        </w:rPr>
        <w:t>in 2017</w:t>
      </w:r>
      <w:r w:rsidRPr="00B06BDB">
        <w:rPr>
          <w:rFonts w:cstheme="minorHAnsi"/>
          <w:sz w:val="20"/>
          <w:szCs w:val="20"/>
        </w:rPr>
        <w:t xml:space="preserve"> as pointed out earlier has led to the establishment of the Data Advisory Board in 2017 – a structure which clearly emerged bottom-up from the need to manage the data </w:t>
      </w:r>
      <w:r w:rsidR="005D3629" w:rsidRPr="00B06BDB">
        <w:rPr>
          <w:rFonts w:cstheme="minorHAnsi"/>
          <w:sz w:val="20"/>
          <w:szCs w:val="20"/>
        </w:rPr>
        <w:t>generated</w:t>
      </w:r>
      <w:r w:rsidRPr="00B06BDB">
        <w:rPr>
          <w:rFonts w:cstheme="minorHAnsi"/>
          <w:sz w:val="20"/>
          <w:szCs w:val="20"/>
        </w:rPr>
        <w:t xml:space="preserve"> by the newly digit</w:t>
      </w:r>
      <w:r w:rsidR="008A7F61" w:rsidRPr="00B06BDB">
        <w:rPr>
          <w:rFonts w:cstheme="minorHAnsi"/>
          <w:sz w:val="20"/>
          <w:szCs w:val="20"/>
        </w:rPr>
        <w:t>i</w:t>
      </w:r>
      <w:r w:rsidRPr="00B06BDB">
        <w:rPr>
          <w:rFonts w:cstheme="minorHAnsi"/>
          <w:sz w:val="20"/>
          <w:szCs w:val="20"/>
        </w:rPr>
        <w:t xml:space="preserve">sed services. </w:t>
      </w:r>
      <w:r w:rsidR="00440C87" w:rsidRPr="00B06BDB">
        <w:rPr>
          <w:rFonts w:cstheme="minorHAnsi"/>
          <w:sz w:val="20"/>
          <w:szCs w:val="20"/>
        </w:rPr>
        <w:t xml:space="preserve">Total transformation of government </w:t>
      </w:r>
      <w:r w:rsidR="00FD6925" w:rsidRPr="00B06BDB">
        <w:rPr>
          <w:rFonts w:cstheme="minorHAnsi"/>
          <w:sz w:val="20"/>
          <w:szCs w:val="20"/>
        </w:rPr>
        <w:t>include</w:t>
      </w:r>
      <w:r w:rsidR="000D1CF8" w:rsidRPr="00B06BDB">
        <w:rPr>
          <w:rFonts w:cstheme="minorHAnsi"/>
          <w:sz w:val="20"/>
          <w:szCs w:val="20"/>
        </w:rPr>
        <w:t>s</w:t>
      </w:r>
      <w:r w:rsidR="00FD6925" w:rsidRPr="00B06BDB">
        <w:rPr>
          <w:rFonts w:cstheme="minorHAnsi"/>
          <w:sz w:val="20"/>
          <w:szCs w:val="20"/>
        </w:rPr>
        <w:t xml:space="preserve"> bottom-up</w:t>
      </w:r>
      <w:r w:rsidR="00440C87" w:rsidRPr="00B06BDB">
        <w:rPr>
          <w:rFonts w:cstheme="minorHAnsi"/>
          <w:sz w:val="20"/>
          <w:szCs w:val="20"/>
        </w:rPr>
        <w:t xml:space="preserve"> change </w:t>
      </w:r>
      <w:r w:rsidR="001C09BE" w:rsidRPr="00B06BDB">
        <w:rPr>
          <w:rFonts w:cstheme="minorHAnsi"/>
          <w:sz w:val="20"/>
          <w:szCs w:val="20"/>
        </w:rPr>
        <w:t>(figure</w:t>
      </w:r>
      <w:r w:rsidR="00FD6925" w:rsidRPr="00B06BDB">
        <w:rPr>
          <w:rFonts w:cstheme="minorHAnsi"/>
          <w:sz w:val="20"/>
          <w:szCs w:val="20"/>
        </w:rPr>
        <w:t xml:space="preserve"> 2). </w:t>
      </w:r>
      <w:r w:rsidR="00F63B38" w:rsidRPr="00B06BDB">
        <w:rPr>
          <w:rFonts w:cstheme="minorHAnsi"/>
          <w:sz w:val="20"/>
          <w:szCs w:val="20"/>
        </w:rPr>
        <w:t>A fundamentally digital government</w:t>
      </w:r>
      <w:r w:rsidR="005D3629" w:rsidRPr="00B06BDB">
        <w:rPr>
          <w:rFonts w:cstheme="minorHAnsi"/>
          <w:sz w:val="20"/>
          <w:szCs w:val="20"/>
        </w:rPr>
        <w:t xml:space="preserve"> also</w:t>
      </w:r>
      <w:r w:rsidR="00F63B38" w:rsidRPr="00B06BDB">
        <w:rPr>
          <w:rFonts w:cstheme="minorHAnsi"/>
          <w:sz w:val="20"/>
          <w:szCs w:val="20"/>
        </w:rPr>
        <w:t xml:space="preserve"> includes the implementation and use of collaborative digital structures/platforms such as gov.uk. </w:t>
      </w:r>
    </w:p>
    <w:p w14:paraId="31C3A0DC" w14:textId="77777777" w:rsidR="00306591" w:rsidRPr="00B06BDB" w:rsidRDefault="00306591" w:rsidP="006B71AB">
      <w:pPr>
        <w:spacing w:after="120" w:line="240" w:lineRule="auto"/>
        <w:jc w:val="both"/>
        <w:rPr>
          <w:rFonts w:cstheme="minorHAnsi"/>
          <w:b/>
          <w:sz w:val="20"/>
          <w:szCs w:val="20"/>
        </w:rPr>
      </w:pPr>
    </w:p>
    <w:p w14:paraId="750E1710" w14:textId="1049EF20" w:rsidR="004E384C" w:rsidRPr="00B06BDB" w:rsidRDefault="00AA6CF0" w:rsidP="006B71AB">
      <w:pPr>
        <w:spacing w:after="120" w:line="240" w:lineRule="auto"/>
        <w:jc w:val="center"/>
        <w:rPr>
          <w:rFonts w:cstheme="minorHAnsi"/>
          <w:sz w:val="20"/>
          <w:szCs w:val="20"/>
        </w:rPr>
      </w:pPr>
      <w:bookmarkStart w:id="0" w:name="_GoBack"/>
      <w:r w:rsidRPr="00B06BDB">
        <w:rPr>
          <w:rFonts w:cstheme="minorHAnsi"/>
          <w:noProof/>
          <w:sz w:val="20"/>
          <w:szCs w:val="20"/>
          <w:lang w:eastAsia="en-GB"/>
        </w:rPr>
        <w:drawing>
          <wp:inline distT="0" distB="0" distL="0" distR="0" wp14:anchorId="7F674D27" wp14:editId="16B29DA1">
            <wp:extent cx="438150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2.jpg"/>
                    <pic:cNvPicPr/>
                  </pic:nvPicPr>
                  <pic:blipFill rotWithShape="1">
                    <a:blip r:embed="rId12">
                      <a:extLst>
                        <a:ext uri="{28A0092B-C50C-407E-A947-70E740481C1C}">
                          <a14:useLocalDpi xmlns:a14="http://schemas.microsoft.com/office/drawing/2010/main" val="0"/>
                        </a:ext>
                      </a:extLst>
                    </a:blip>
                    <a:srcRect l="11799" t="20386" r="11755" b="20524"/>
                    <a:stretch/>
                  </pic:blipFill>
                  <pic:spPr bwMode="auto">
                    <a:xfrm>
                      <a:off x="0" y="0"/>
                      <a:ext cx="4381500" cy="19050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069B7784" w14:textId="7F092F26" w:rsidR="0042264A" w:rsidRPr="00B06BDB" w:rsidRDefault="0042264A" w:rsidP="006B71AB">
      <w:pPr>
        <w:spacing w:after="120" w:line="240" w:lineRule="auto"/>
        <w:jc w:val="both"/>
        <w:rPr>
          <w:rFonts w:cstheme="minorHAnsi"/>
          <w:b/>
          <w:sz w:val="20"/>
          <w:szCs w:val="20"/>
        </w:rPr>
      </w:pPr>
      <w:r w:rsidRPr="00B06BDB">
        <w:rPr>
          <w:rFonts w:cstheme="minorHAnsi"/>
          <w:b/>
          <w:sz w:val="20"/>
          <w:szCs w:val="20"/>
        </w:rPr>
        <w:t>Figure 2</w:t>
      </w:r>
      <w:r w:rsidR="00377B76" w:rsidRPr="00B06BDB">
        <w:rPr>
          <w:rFonts w:cstheme="minorHAnsi"/>
          <w:b/>
          <w:sz w:val="20"/>
          <w:szCs w:val="20"/>
        </w:rPr>
        <w:t>:</w:t>
      </w:r>
      <w:r w:rsidRPr="00B06BDB">
        <w:rPr>
          <w:rFonts w:cstheme="minorHAnsi"/>
          <w:b/>
          <w:sz w:val="20"/>
          <w:szCs w:val="20"/>
        </w:rPr>
        <w:t xml:space="preserve"> </w:t>
      </w:r>
      <w:r w:rsidRPr="00B06BDB">
        <w:rPr>
          <w:rFonts w:cstheme="minorHAnsi"/>
          <w:sz w:val="20"/>
          <w:szCs w:val="20"/>
        </w:rPr>
        <w:t>Bottom up transformation of internal processes and operations (UK 2017)</w:t>
      </w:r>
    </w:p>
    <w:p w14:paraId="3FFBF7A2" w14:textId="1727FAB1" w:rsidR="00C954B3" w:rsidRPr="00B06BDB" w:rsidRDefault="00C954B3" w:rsidP="006B71AB">
      <w:pPr>
        <w:spacing w:after="120" w:line="240" w:lineRule="auto"/>
        <w:jc w:val="both"/>
        <w:rPr>
          <w:rFonts w:cstheme="minorHAnsi"/>
          <w:sz w:val="20"/>
          <w:szCs w:val="20"/>
          <w:lang w:val="en-US"/>
        </w:rPr>
      </w:pPr>
      <w:r w:rsidRPr="00B06BDB">
        <w:rPr>
          <w:rFonts w:cstheme="minorHAnsi"/>
          <w:i/>
          <w:sz w:val="20"/>
          <w:szCs w:val="20"/>
          <w:lang w:val="en-US"/>
        </w:rPr>
        <w:t>Sweden:</w:t>
      </w:r>
      <w:r w:rsidRPr="00B06BDB">
        <w:rPr>
          <w:rFonts w:cstheme="minorHAnsi"/>
          <w:sz w:val="20"/>
          <w:szCs w:val="20"/>
          <w:lang w:val="en-US"/>
        </w:rPr>
        <w:t xml:space="preserve"> Microsocial forces (bottom-up transformation) were indicated throughout all three documents. New structures emerge</w:t>
      </w:r>
      <w:r w:rsidR="007D7628" w:rsidRPr="00B06BDB">
        <w:rPr>
          <w:rFonts w:cstheme="minorHAnsi"/>
          <w:sz w:val="20"/>
          <w:szCs w:val="20"/>
          <w:lang w:val="en-US"/>
        </w:rPr>
        <w:t>d</w:t>
      </w:r>
      <w:r w:rsidRPr="00B06BDB">
        <w:rPr>
          <w:rFonts w:cstheme="minorHAnsi"/>
          <w:sz w:val="20"/>
          <w:szCs w:val="20"/>
          <w:lang w:val="en-US"/>
        </w:rPr>
        <w:t xml:space="preserve"> as a result of the need for coordination of digital</w:t>
      </w:r>
      <w:r w:rsidR="007403D4" w:rsidRPr="00B06BDB">
        <w:rPr>
          <w:rFonts w:cstheme="minorHAnsi"/>
          <w:sz w:val="20"/>
          <w:szCs w:val="20"/>
          <w:lang w:val="en-US"/>
        </w:rPr>
        <w:t xml:space="preserve"> services</w:t>
      </w:r>
      <w:r w:rsidRPr="00B06BDB">
        <w:rPr>
          <w:rFonts w:cstheme="minorHAnsi"/>
          <w:sz w:val="20"/>
          <w:szCs w:val="20"/>
          <w:lang w:val="en-US"/>
        </w:rPr>
        <w:t>:</w:t>
      </w:r>
    </w:p>
    <w:p w14:paraId="1BC5640A" w14:textId="76E9A3CE" w:rsidR="00C954B3" w:rsidRPr="00B06BDB" w:rsidRDefault="00C954B3" w:rsidP="006B71AB">
      <w:pPr>
        <w:spacing w:after="120" w:line="240" w:lineRule="auto"/>
        <w:ind w:left="720"/>
        <w:jc w:val="both"/>
        <w:rPr>
          <w:rFonts w:cstheme="minorHAnsi"/>
          <w:sz w:val="20"/>
          <w:szCs w:val="20"/>
          <w:lang w:val="en-US"/>
        </w:rPr>
      </w:pPr>
      <w:r w:rsidRPr="00B06BDB">
        <w:rPr>
          <w:rFonts w:cstheme="minorHAnsi"/>
          <w:sz w:val="20"/>
          <w:szCs w:val="20"/>
          <w:lang w:val="en-US"/>
        </w:rPr>
        <w:t xml:space="preserve">‘The government has reinforced the coordination of e-identifications by the establishment of a committee for e-identification’ (2012, p. 17). </w:t>
      </w:r>
    </w:p>
    <w:p w14:paraId="3DFE894B" w14:textId="68E0EC51" w:rsidR="003A7C87" w:rsidRPr="00B06BDB" w:rsidRDefault="00C954B3" w:rsidP="006B71AB">
      <w:pPr>
        <w:spacing w:after="120" w:line="240" w:lineRule="auto"/>
        <w:jc w:val="both"/>
        <w:rPr>
          <w:rFonts w:cstheme="minorHAnsi"/>
          <w:sz w:val="20"/>
          <w:szCs w:val="20"/>
          <w:lang w:val="en-US"/>
        </w:rPr>
      </w:pPr>
      <w:r w:rsidRPr="00B06BDB">
        <w:rPr>
          <w:rFonts w:cstheme="minorHAnsi"/>
          <w:sz w:val="20"/>
          <w:szCs w:val="20"/>
          <w:lang w:val="en-US"/>
        </w:rPr>
        <w:t xml:space="preserve">In addition the efficiencies that IT created in 2012 together with the opportunities for simplification indicate a microsocial force instigated by technology – bottom-up.  A council has been established in order to ‘coordinate the agency common services’ (p. 15).  In 2018 the need for ‘increased management and coordination and, in addition, a clear goal for the national digital infrastructure’ (p. 96) </w:t>
      </w:r>
      <w:r w:rsidR="003A7C87" w:rsidRPr="00B06BDB">
        <w:rPr>
          <w:rFonts w:cstheme="minorHAnsi"/>
          <w:sz w:val="20"/>
          <w:szCs w:val="20"/>
          <w:lang w:val="en-US"/>
        </w:rPr>
        <w:t xml:space="preserve">underpinned ‘the establishment of a new agency with the task to coordinate and support </w:t>
      </w:r>
      <w:r w:rsidR="0082551E" w:rsidRPr="00B06BDB">
        <w:rPr>
          <w:rFonts w:cstheme="minorHAnsi"/>
          <w:sz w:val="20"/>
          <w:szCs w:val="20"/>
          <w:lang w:val="en-US"/>
        </w:rPr>
        <w:t xml:space="preserve">the overall government </w:t>
      </w:r>
      <w:proofErr w:type="spellStart"/>
      <w:r w:rsidR="0082551E" w:rsidRPr="00B06BDB">
        <w:rPr>
          <w:rFonts w:cstheme="minorHAnsi"/>
          <w:sz w:val="20"/>
          <w:szCs w:val="20"/>
          <w:lang w:val="en-US"/>
        </w:rPr>
        <w:t>digitalis</w:t>
      </w:r>
      <w:r w:rsidR="003A7C87" w:rsidRPr="00B06BDB">
        <w:rPr>
          <w:rFonts w:cstheme="minorHAnsi"/>
          <w:sz w:val="20"/>
          <w:szCs w:val="20"/>
          <w:lang w:val="en-US"/>
        </w:rPr>
        <w:t>ation</w:t>
      </w:r>
      <w:proofErr w:type="spellEnd"/>
      <w:r w:rsidR="003A7C87" w:rsidRPr="00B06BDB">
        <w:rPr>
          <w:rFonts w:cstheme="minorHAnsi"/>
          <w:sz w:val="20"/>
          <w:szCs w:val="20"/>
          <w:lang w:val="en-US"/>
        </w:rPr>
        <w:t xml:space="preserve">’ (p. 98). The newly established </w:t>
      </w:r>
      <w:proofErr w:type="spellStart"/>
      <w:r w:rsidR="0082551E" w:rsidRPr="00B06BDB">
        <w:rPr>
          <w:rFonts w:cstheme="minorHAnsi"/>
          <w:sz w:val="20"/>
          <w:szCs w:val="20"/>
          <w:lang w:val="en-US"/>
        </w:rPr>
        <w:t>organis</w:t>
      </w:r>
      <w:r w:rsidR="00636E43" w:rsidRPr="00B06BDB">
        <w:rPr>
          <w:rFonts w:cstheme="minorHAnsi"/>
          <w:sz w:val="20"/>
          <w:szCs w:val="20"/>
          <w:lang w:val="en-US"/>
        </w:rPr>
        <w:t>ational</w:t>
      </w:r>
      <w:proofErr w:type="spellEnd"/>
      <w:r w:rsidR="00636E43" w:rsidRPr="00B06BDB">
        <w:rPr>
          <w:rFonts w:cstheme="minorHAnsi"/>
          <w:sz w:val="20"/>
          <w:szCs w:val="20"/>
          <w:lang w:val="en-US"/>
        </w:rPr>
        <w:t xml:space="preserve"> </w:t>
      </w:r>
      <w:r w:rsidR="003A7C87" w:rsidRPr="00B06BDB">
        <w:rPr>
          <w:rFonts w:cstheme="minorHAnsi"/>
          <w:sz w:val="20"/>
          <w:szCs w:val="20"/>
          <w:lang w:val="en-US"/>
        </w:rPr>
        <w:t xml:space="preserve">structures in Sweden </w:t>
      </w:r>
      <w:r w:rsidR="00EE24C2" w:rsidRPr="00B06BDB">
        <w:rPr>
          <w:rFonts w:cstheme="minorHAnsi"/>
          <w:sz w:val="20"/>
          <w:szCs w:val="20"/>
          <w:lang w:val="en-US"/>
        </w:rPr>
        <w:t>were established as a result of the need to coordinate specific digital services across government and t</w:t>
      </w:r>
      <w:r w:rsidR="0082551E" w:rsidRPr="00B06BDB">
        <w:rPr>
          <w:rFonts w:cstheme="minorHAnsi"/>
          <w:sz w:val="20"/>
          <w:szCs w:val="20"/>
          <w:lang w:val="en-US"/>
        </w:rPr>
        <w:t xml:space="preserve">he </w:t>
      </w:r>
      <w:proofErr w:type="spellStart"/>
      <w:r w:rsidR="0082551E" w:rsidRPr="00B06BDB">
        <w:rPr>
          <w:rFonts w:cstheme="minorHAnsi"/>
          <w:sz w:val="20"/>
          <w:szCs w:val="20"/>
          <w:lang w:val="en-US"/>
        </w:rPr>
        <w:t>digitalis</w:t>
      </w:r>
      <w:r w:rsidR="00EE24C2" w:rsidRPr="00B06BDB">
        <w:rPr>
          <w:rFonts w:cstheme="minorHAnsi"/>
          <w:sz w:val="20"/>
          <w:szCs w:val="20"/>
          <w:lang w:val="en-US"/>
        </w:rPr>
        <w:t>ation</w:t>
      </w:r>
      <w:proofErr w:type="spellEnd"/>
      <w:r w:rsidR="00EE24C2" w:rsidRPr="00B06BDB">
        <w:rPr>
          <w:rFonts w:cstheme="minorHAnsi"/>
          <w:sz w:val="20"/>
          <w:szCs w:val="20"/>
          <w:lang w:val="en-US"/>
        </w:rPr>
        <w:t xml:space="preserve"> of government as a whole</w:t>
      </w:r>
      <w:r w:rsidR="001C09BE" w:rsidRPr="00B06BDB">
        <w:rPr>
          <w:rFonts w:cstheme="minorHAnsi"/>
          <w:sz w:val="20"/>
          <w:szCs w:val="20"/>
          <w:lang w:val="en-US"/>
        </w:rPr>
        <w:t xml:space="preserve"> (figure 3)</w:t>
      </w:r>
      <w:r w:rsidR="003A7C87" w:rsidRPr="00B06BDB">
        <w:rPr>
          <w:rFonts w:cstheme="minorHAnsi"/>
          <w:sz w:val="20"/>
          <w:szCs w:val="20"/>
          <w:lang w:val="en-US"/>
        </w:rPr>
        <w:t xml:space="preserve">.  </w:t>
      </w:r>
    </w:p>
    <w:p w14:paraId="54C4F35D" w14:textId="60D053D6" w:rsidR="003A7C87" w:rsidRPr="00B06BDB" w:rsidRDefault="00AA6CF0" w:rsidP="006B71AB">
      <w:pPr>
        <w:spacing w:after="120" w:line="240" w:lineRule="auto"/>
        <w:jc w:val="center"/>
        <w:rPr>
          <w:rFonts w:cstheme="minorHAnsi"/>
          <w:sz w:val="20"/>
          <w:szCs w:val="20"/>
          <w:lang w:val="en-US"/>
        </w:rPr>
      </w:pPr>
      <w:r w:rsidRPr="00B06BDB">
        <w:rPr>
          <w:rFonts w:cstheme="minorHAnsi"/>
          <w:noProof/>
          <w:sz w:val="20"/>
          <w:szCs w:val="20"/>
          <w:lang w:eastAsia="en-GB"/>
        </w:rPr>
        <w:drawing>
          <wp:inline distT="0" distB="0" distL="0" distR="0" wp14:anchorId="332D21B8" wp14:editId="3D711583">
            <wp:extent cx="393382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3.jpg"/>
                    <pic:cNvPicPr/>
                  </pic:nvPicPr>
                  <pic:blipFill rotWithShape="1">
                    <a:blip r:embed="rId13">
                      <a:extLst>
                        <a:ext uri="{28A0092B-C50C-407E-A947-70E740481C1C}">
                          <a14:useLocalDpi xmlns:a14="http://schemas.microsoft.com/office/drawing/2010/main" val="0"/>
                        </a:ext>
                      </a:extLst>
                    </a:blip>
                    <a:srcRect l="16120" t="38999" r="15245" b="41206"/>
                    <a:stretch/>
                  </pic:blipFill>
                  <pic:spPr bwMode="auto">
                    <a:xfrm>
                      <a:off x="0" y="0"/>
                      <a:ext cx="3933825" cy="638175"/>
                    </a:xfrm>
                    <a:prstGeom prst="rect">
                      <a:avLst/>
                    </a:prstGeom>
                    <a:ln>
                      <a:noFill/>
                    </a:ln>
                    <a:extLst>
                      <a:ext uri="{53640926-AAD7-44D8-BBD7-CCE9431645EC}">
                        <a14:shadowObscured xmlns:a14="http://schemas.microsoft.com/office/drawing/2010/main"/>
                      </a:ext>
                    </a:extLst>
                  </pic:spPr>
                </pic:pic>
              </a:graphicData>
            </a:graphic>
          </wp:inline>
        </w:drawing>
      </w:r>
    </w:p>
    <w:p w14:paraId="3BF009B5" w14:textId="4BFC289E" w:rsidR="0042264A" w:rsidRPr="00B06BDB" w:rsidRDefault="0042264A" w:rsidP="006B71AB">
      <w:pPr>
        <w:spacing w:after="120" w:line="240" w:lineRule="auto"/>
        <w:rPr>
          <w:rFonts w:cstheme="minorHAnsi"/>
          <w:sz w:val="20"/>
          <w:szCs w:val="20"/>
          <w:lang w:val="en-US"/>
        </w:rPr>
      </w:pPr>
      <w:r w:rsidRPr="00B06BDB">
        <w:rPr>
          <w:rFonts w:cstheme="minorHAnsi"/>
          <w:b/>
          <w:sz w:val="20"/>
          <w:szCs w:val="20"/>
          <w:lang w:val="en-US"/>
        </w:rPr>
        <w:t>Figure 3</w:t>
      </w:r>
      <w:r w:rsidR="00377B76" w:rsidRPr="00B06BDB">
        <w:rPr>
          <w:rFonts w:cstheme="minorHAnsi"/>
          <w:b/>
          <w:sz w:val="20"/>
          <w:szCs w:val="20"/>
          <w:lang w:val="en-US"/>
        </w:rPr>
        <w:t>:</w:t>
      </w:r>
      <w:r w:rsidRPr="00B06BDB">
        <w:rPr>
          <w:rFonts w:cstheme="minorHAnsi"/>
          <w:b/>
          <w:sz w:val="20"/>
          <w:szCs w:val="20"/>
          <w:lang w:val="en-US"/>
        </w:rPr>
        <w:t xml:space="preserve"> </w:t>
      </w:r>
      <w:r w:rsidRPr="00B06BDB">
        <w:rPr>
          <w:rFonts w:cstheme="minorHAnsi"/>
          <w:sz w:val="20"/>
          <w:szCs w:val="20"/>
          <w:lang w:val="en-US"/>
        </w:rPr>
        <w:t>Bottom up transformation (Sweden 2012 &amp; 2017/18)</w:t>
      </w:r>
    </w:p>
    <w:p w14:paraId="64FADE9E" w14:textId="0781F25D" w:rsidR="00FA2DA8" w:rsidRPr="00B06BDB" w:rsidRDefault="00FA2DA8" w:rsidP="006B71AB">
      <w:pPr>
        <w:pStyle w:val="Heading1"/>
        <w:spacing w:before="0" w:after="120" w:line="240" w:lineRule="auto"/>
        <w:rPr>
          <w:color w:val="auto"/>
        </w:rPr>
      </w:pPr>
      <w:r w:rsidRPr="00B06BDB">
        <w:rPr>
          <w:color w:val="auto"/>
        </w:rPr>
        <w:t>Discussion</w:t>
      </w:r>
    </w:p>
    <w:p w14:paraId="073B47D7" w14:textId="363E9C67" w:rsidR="00FA2DA8" w:rsidRPr="00B06BDB" w:rsidRDefault="00FA2DA8" w:rsidP="006B71AB">
      <w:pPr>
        <w:spacing w:after="120" w:line="240" w:lineRule="auto"/>
        <w:jc w:val="both"/>
        <w:rPr>
          <w:rFonts w:cstheme="minorHAnsi"/>
          <w:sz w:val="20"/>
          <w:szCs w:val="20"/>
        </w:rPr>
      </w:pPr>
      <w:r w:rsidRPr="00B06BDB">
        <w:rPr>
          <w:rFonts w:cstheme="minorHAnsi"/>
          <w:sz w:val="20"/>
          <w:szCs w:val="20"/>
        </w:rPr>
        <w:t xml:space="preserve">The findings of this paper indicate that the focus of digital transformation was different in the UK and Sweden. Sweden’s </w:t>
      </w:r>
      <w:r w:rsidR="000E2BD1" w:rsidRPr="00B06BDB">
        <w:rPr>
          <w:rFonts w:cstheme="minorHAnsi"/>
          <w:sz w:val="20"/>
          <w:szCs w:val="20"/>
        </w:rPr>
        <w:t>digital transformation</w:t>
      </w:r>
      <w:r w:rsidRPr="00B06BDB">
        <w:rPr>
          <w:rFonts w:cstheme="minorHAnsi"/>
          <w:sz w:val="20"/>
          <w:szCs w:val="20"/>
        </w:rPr>
        <w:t xml:space="preserve"> focus in 2012 was already on internal processes and operations (back-end </w:t>
      </w:r>
      <w:r w:rsidRPr="00B06BDB">
        <w:rPr>
          <w:rFonts w:cstheme="minorHAnsi"/>
          <w:sz w:val="20"/>
          <w:szCs w:val="20"/>
        </w:rPr>
        <w:lastRenderedPageBreak/>
        <w:t>transformation) rather than on front</w:t>
      </w:r>
      <w:r w:rsidR="00F6519A" w:rsidRPr="00B06BDB">
        <w:rPr>
          <w:rFonts w:cstheme="minorHAnsi"/>
          <w:sz w:val="20"/>
          <w:szCs w:val="20"/>
        </w:rPr>
        <w:t>-end transformation – services as in the UK at that time</w:t>
      </w:r>
      <w:r w:rsidRPr="00B06BDB">
        <w:rPr>
          <w:rFonts w:cstheme="minorHAnsi"/>
          <w:sz w:val="20"/>
          <w:szCs w:val="20"/>
        </w:rPr>
        <w:t>. That can be explained with the different level of e</w:t>
      </w:r>
      <w:r w:rsidR="0082551E" w:rsidRPr="00B06BDB">
        <w:rPr>
          <w:rFonts w:cstheme="minorHAnsi"/>
          <w:sz w:val="20"/>
          <w:szCs w:val="20"/>
        </w:rPr>
        <w:t>-</w:t>
      </w:r>
      <w:proofErr w:type="spellStart"/>
      <w:r w:rsidRPr="00B06BDB">
        <w:rPr>
          <w:rFonts w:cstheme="minorHAnsi"/>
          <w:sz w:val="20"/>
          <w:szCs w:val="20"/>
        </w:rPr>
        <w:t>Governement</w:t>
      </w:r>
      <w:proofErr w:type="spellEnd"/>
      <w:r w:rsidRPr="00B06BDB">
        <w:rPr>
          <w:rFonts w:cstheme="minorHAnsi"/>
          <w:sz w:val="20"/>
          <w:szCs w:val="20"/>
        </w:rPr>
        <w:t xml:space="preserve"> maturity of both countries in 2012/2013 (</w:t>
      </w:r>
      <w:proofErr w:type="spellStart"/>
      <w:r w:rsidRPr="00B06BDB">
        <w:rPr>
          <w:rFonts w:cstheme="minorHAnsi"/>
          <w:sz w:val="20"/>
          <w:szCs w:val="20"/>
        </w:rPr>
        <w:t>Tinholt</w:t>
      </w:r>
      <w:proofErr w:type="spellEnd"/>
      <w:r w:rsidRPr="00B06BDB">
        <w:rPr>
          <w:rFonts w:cstheme="minorHAnsi"/>
          <w:sz w:val="20"/>
          <w:szCs w:val="20"/>
        </w:rPr>
        <w:t xml:space="preserve"> et al., 2016).</w:t>
      </w:r>
    </w:p>
    <w:p w14:paraId="369DF583" w14:textId="1093BC06" w:rsidR="00E97E32" w:rsidRPr="00B06BDB" w:rsidRDefault="000E2BD1" w:rsidP="00E97E32">
      <w:pPr>
        <w:spacing w:after="120" w:line="240" w:lineRule="auto"/>
        <w:jc w:val="both"/>
        <w:rPr>
          <w:rFonts w:cstheme="minorHAnsi"/>
          <w:sz w:val="20"/>
          <w:szCs w:val="20"/>
        </w:rPr>
      </w:pPr>
      <w:r w:rsidRPr="00B06BDB">
        <w:rPr>
          <w:rFonts w:cstheme="minorHAnsi"/>
          <w:sz w:val="20"/>
          <w:szCs w:val="20"/>
        </w:rPr>
        <w:t>There are two</w:t>
      </w:r>
      <w:r w:rsidR="003E7924" w:rsidRPr="00B06BDB">
        <w:rPr>
          <w:rFonts w:cstheme="minorHAnsi"/>
          <w:sz w:val="20"/>
          <w:szCs w:val="20"/>
        </w:rPr>
        <w:t xml:space="preserve"> clearly </w:t>
      </w:r>
      <w:r w:rsidRPr="00B06BDB">
        <w:rPr>
          <w:rFonts w:cstheme="minorHAnsi"/>
          <w:sz w:val="20"/>
          <w:szCs w:val="20"/>
        </w:rPr>
        <w:t>identified</w:t>
      </w:r>
      <w:r w:rsidR="003E7924" w:rsidRPr="00B06BDB">
        <w:rPr>
          <w:rFonts w:cstheme="minorHAnsi"/>
          <w:sz w:val="20"/>
          <w:szCs w:val="20"/>
        </w:rPr>
        <w:t xml:space="preserve"> phases</w:t>
      </w:r>
      <w:r w:rsidRPr="00B06BDB">
        <w:rPr>
          <w:rFonts w:cstheme="minorHAnsi"/>
          <w:sz w:val="20"/>
          <w:szCs w:val="20"/>
        </w:rPr>
        <w:t xml:space="preserve"> in the UK digital transformation of government</w:t>
      </w:r>
      <w:r w:rsidR="003E7924" w:rsidRPr="00B06BDB">
        <w:rPr>
          <w:rFonts w:cstheme="minorHAnsi"/>
          <w:sz w:val="20"/>
          <w:szCs w:val="20"/>
        </w:rPr>
        <w:t xml:space="preserve">. Phase 1 in 2012 focused on service </w:t>
      </w:r>
      <w:r w:rsidRPr="00B06BDB">
        <w:rPr>
          <w:rFonts w:cstheme="minorHAnsi"/>
          <w:sz w:val="20"/>
          <w:szCs w:val="20"/>
        </w:rPr>
        <w:t xml:space="preserve">digital </w:t>
      </w:r>
      <w:r w:rsidR="003E7924" w:rsidRPr="00B06BDB">
        <w:rPr>
          <w:rFonts w:cstheme="minorHAnsi"/>
          <w:sz w:val="20"/>
          <w:szCs w:val="20"/>
        </w:rPr>
        <w:t>re</w:t>
      </w:r>
      <w:r w:rsidRPr="00B06BDB">
        <w:rPr>
          <w:rFonts w:cstheme="minorHAnsi"/>
          <w:sz w:val="20"/>
          <w:szCs w:val="20"/>
        </w:rPr>
        <w:t>-</w:t>
      </w:r>
      <w:r w:rsidR="00E54D33" w:rsidRPr="00B06BDB">
        <w:rPr>
          <w:rFonts w:cstheme="minorHAnsi"/>
          <w:sz w:val="20"/>
          <w:szCs w:val="20"/>
        </w:rPr>
        <w:t>design and was shaped by macro</w:t>
      </w:r>
      <w:r w:rsidR="003E7924" w:rsidRPr="00B06BDB">
        <w:rPr>
          <w:rFonts w:cstheme="minorHAnsi"/>
          <w:sz w:val="20"/>
          <w:szCs w:val="20"/>
        </w:rPr>
        <w:t>social</w:t>
      </w:r>
      <w:r w:rsidR="006B1D9B" w:rsidRPr="00B06BDB">
        <w:rPr>
          <w:rFonts w:cstheme="minorHAnsi"/>
          <w:sz w:val="20"/>
          <w:szCs w:val="20"/>
        </w:rPr>
        <w:t xml:space="preserve"> forces</w:t>
      </w:r>
      <w:r w:rsidR="003E7924" w:rsidRPr="00B06BDB">
        <w:rPr>
          <w:rFonts w:cstheme="minorHAnsi"/>
          <w:sz w:val="20"/>
          <w:szCs w:val="20"/>
        </w:rPr>
        <w:t xml:space="preserve"> - </w:t>
      </w:r>
      <w:r w:rsidR="004E54D2" w:rsidRPr="00B06BDB">
        <w:rPr>
          <w:rFonts w:cstheme="minorHAnsi"/>
          <w:sz w:val="20"/>
          <w:szCs w:val="20"/>
        </w:rPr>
        <w:t>mimicking</w:t>
      </w:r>
      <w:r w:rsidR="00FA2DA8" w:rsidRPr="00B06BDB">
        <w:rPr>
          <w:rFonts w:cstheme="minorHAnsi"/>
          <w:sz w:val="20"/>
          <w:szCs w:val="20"/>
        </w:rPr>
        <w:t xml:space="preserve"> private sector, increasing digital maturity (EU framework) and developing a service culture. </w:t>
      </w:r>
      <w:r w:rsidR="002213F2" w:rsidRPr="00B06BDB">
        <w:rPr>
          <w:rFonts w:cstheme="minorHAnsi"/>
          <w:sz w:val="20"/>
          <w:szCs w:val="20"/>
        </w:rPr>
        <w:t>The findings</w:t>
      </w:r>
      <w:r w:rsidR="00F6519A" w:rsidRPr="00B06BDB">
        <w:rPr>
          <w:rFonts w:cstheme="minorHAnsi"/>
          <w:sz w:val="20"/>
          <w:szCs w:val="20"/>
        </w:rPr>
        <w:t xml:space="preserve"> support what was already established in the public sector reform literature (Andrews et al., 2012; Thom 2017;</w:t>
      </w:r>
      <w:r w:rsidR="00EB405C" w:rsidRPr="00B06BDB">
        <w:rPr>
          <w:rFonts w:cstheme="minorHAnsi"/>
          <w:sz w:val="20"/>
          <w:szCs w:val="20"/>
        </w:rPr>
        <w:t xml:space="preserve"> Wise,</w:t>
      </w:r>
      <w:r w:rsidR="002213F2" w:rsidRPr="00B06BDB">
        <w:rPr>
          <w:rFonts w:cstheme="minorHAnsi"/>
          <w:sz w:val="20"/>
          <w:szCs w:val="20"/>
        </w:rPr>
        <w:t xml:space="preserve"> </w:t>
      </w:r>
      <w:r w:rsidR="00EB405C" w:rsidRPr="00B06BDB">
        <w:rPr>
          <w:rFonts w:cstheme="minorHAnsi"/>
          <w:sz w:val="20"/>
          <w:szCs w:val="20"/>
        </w:rPr>
        <w:t>2002).</w:t>
      </w:r>
      <w:r w:rsidR="002213F2" w:rsidRPr="00B06BDB">
        <w:rPr>
          <w:rFonts w:cstheme="minorHAnsi"/>
          <w:sz w:val="20"/>
          <w:szCs w:val="20"/>
        </w:rPr>
        <w:t xml:space="preserve"> </w:t>
      </w:r>
      <w:r w:rsidR="00EB405C" w:rsidRPr="00B06BDB">
        <w:rPr>
          <w:rFonts w:cstheme="minorHAnsi"/>
          <w:sz w:val="20"/>
          <w:szCs w:val="20"/>
        </w:rPr>
        <w:t xml:space="preserve">Those discourses in the strategy documents align with the isomorphic mimicry, </w:t>
      </w:r>
      <w:r w:rsidR="002213F2" w:rsidRPr="00B06BDB">
        <w:rPr>
          <w:rFonts w:cstheme="minorHAnsi"/>
          <w:sz w:val="20"/>
          <w:szCs w:val="20"/>
        </w:rPr>
        <w:t>external</w:t>
      </w:r>
      <w:r w:rsidR="00EB405C" w:rsidRPr="00B06BDB">
        <w:rPr>
          <w:rFonts w:cstheme="minorHAnsi"/>
          <w:sz w:val="20"/>
          <w:szCs w:val="20"/>
        </w:rPr>
        <w:t xml:space="preserve"> pressures and the </w:t>
      </w:r>
      <w:r w:rsidR="00EB405C" w:rsidRPr="00B06BDB">
        <w:rPr>
          <w:rFonts w:ascii="Calibri" w:hAnsi="Calibri"/>
          <w:sz w:val="20"/>
          <w:szCs w:val="20"/>
        </w:rPr>
        <w:t>market-based values of NPM.</w:t>
      </w:r>
      <w:r w:rsidR="00F6519A" w:rsidRPr="00B06BDB">
        <w:rPr>
          <w:rFonts w:cstheme="minorHAnsi"/>
          <w:sz w:val="20"/>
          <w:szCs w:val="20"/>
        </w:rPr>
        <w:t xml:space="preserve"> </w:t>
      </w:r>
      <w:r w:rsidR="00C32854" w:rsidRPr="00B06BDB">
        <w:rPr>
          <w:rFonts w:cstheme="minorHAnsi"/>
          <w:sz w:val="20"/>
          <w:szCs w:val="20"/>
        </w:rPr>
        <w:t>New i</w:t>
      </w:r>
      <w:r w:rsidR="00FA2DA8" w:rsidRPr="00B06BDB">
        <w:rPr>
          <w:rFonts w:cstheme="minorHAnsi"/>
          <w:sz w:val="20"/>
          <w:szCs w:val="20"/>
        </w:rPr>
        <w:t>nstitutional arrangements, the GDS in this case, lead to roles</w:t>
      </w:r>
      <w:r w:rsidR="001F31C9" w:rsidRPr="00B06BDB">
        <w:rPr>
          <w:rFonts w:cstheme="minorHAnsi"/>
          <w:sz w:val="20"/>
          <w:szCs w:val="20"/>
        </w:rPr>
        <w:t xml:space="preserve"> and skills change which </w:t>
      </w:r>
      <w:r w:rsidR="00E54D33" w:rsidRPr="00B06BDB">
        <w:rPr>
          <w:rFonts w:cstheme="minorHAnsi"/>
          <w:sz w:val="20"/>
          <w:szCs w:val="20"/>
        </w:rPr>
        <w:t xml:space="preserve">in turn </w:t>
      </w:r>
      <w:r w:rsidR="001F31C9" w:rsidRPr="00B06BDB">
        <w:rPr>
          <w:rFonts w:cstheme="minorHAnsi"/>
          <w:sz w:val="20"/>
          <w:szCs w:val="20"/>
        </w:rPr>
        <w:t>changed</w:t>
      </w:r>
      <w:r w:rsidR="00FA2DA8" w:rsidRPr="00B06BDB">
        <w:rPr>
          <w:rFonts w:cstheme="minorHAnsi"/>
          <w:sz w:val="20"/>
          <w:szCs w:val="20"/>
        </w:rPr>
        <w:t xml:space="preserve"> the technology used in service provision – the digital transformation of services (figure 1</w:t>
      </w:r>
      <w:r w:rsidR="006B1D9B" w:rsidRPr="00B06BDB">
        <w:rPr>
          <w:rFonts w:cstheme="minorHAnsi"/>
          <w:sz w:val="20"/>
          <w:szCs w:val="20"/>
        </w:rPr>
        <w:t>).</w:t>
      </w:r>
      <w:r w:rsidR="00EB405C" w:rsidRPr="00B06BDB">
        <w:rPr>
          <w:rFonts w:cstheme="minorHAnsi"/>
          <w:sz w:val="20"/>
          <w:szCs w:val="20"/>
        </w:rPr>
        <w:t xml:space="preserve"> </w:t>
      </w:r>
      <w:r w:rsidR="006B1D9B" w:rsidRPr="00B06BDB">
        <w:rPr>
          <w:rFonts w:cstheme="minorHAnsi"/>
          <w:sz w:val="20"/>
          <w:szCs w:val="20"/>
        </w:rPr>
        <w:t xml:space="preserve">Phase 2 in 2017 focused on </w:t>
      </w:r>
      <w:r w:rsidR="00727770" w:rsidRPr="00B06BDB">
        <w:rPr>
          <w:rFonts w:cstheme="minorHAnsi"/>
          <w:sz w:val="20"/>
          <w:szCs w:val="20"/>
        </w:rPr>
        <w:t>transforming back-end op</w:t>
      </w:r>
      <w:r w:rsidR="00EB405C" w:rsidRPr="00B06BDB">
        <w:rPr>
          <w:rFonts w:cstheme="minorHAnsi"/>
          <w:sz w:val="20"/>
          <w:szCs w:val="20"/>
        </w:rPr>
        <w:t>erations and internal processes,</w:t>
      </w:r>
      <w:r w:rsidR="00727770" w:rsidRPr="00B06BDB">
        <w:rPr>
          <w:rFonts w:cstheme="minorHAnsi"/>
          <w:sz w:val="20"/>
          <w:szCs w:val="20"/>
        </w:rPr>
        <w:t xml:space="preserve"> driven by microsocial forces.</w:t>
      </w:r>
      <w:r w:rsidR="006B1D9B" w:rsidRPr="00B06BDB">
        <w:rPr>
          <w:rFonts w:cstheme="minorHAnsi"/>
          <w:sz w:val="20"/>
          <w:szCs w:val="20"/>
        </w:rPr>
        <w:t xml:space="preserve"> </w:t>
      </w:r>
      <w:r w:rsidR="00727770" w:rsidRPr="00B06BDB">
        <w:rPr>
          <w:rFonts w:cstheme="minorHAnsi"/>
          <w:sz w:val="20"/>
          <w:szCs w:val="20"/>
        </w:rPr>
        <w:t>W</w:t>
      </w:r>
      <w:r w:rsidR="00FA2DA8" w:rsidRPr="00B06BDB">
        <w:rPr>
          <w:rFonts w:cstheme="minorHAnsi"/>
          <w:sz w:val="20"/>
          <w:szCs w:val="20"/>
        </w:rPr>
        <w:t xml:space="preserve">e </w:t>
      </w:r>
      <w:r w:rsidR="00727770" w:rsidRPr="00B06BDB">
        <w:rPr>
          <w:rFonts w:cstheme="minorHAnsi"/>
          <w:sz w:val="20"/>
          <w:szCs w:val="20"/>
        </w:rPr>
        <w:t xml:space="preserve">therefore </w:t>
      </w:r>
      <w:r w:rsidR="00FA2DA8" w:rsidRPr="00B06BDB">
        <w:rPr>
          <w:rFonts w:cstheme="minorHAnsi"/>
          <w:sz w:val="20"/>
          <w:szCs w:val="20"/>
        </w:rPr>
        <w:t xml:space="preserve">agree with Barley (1990) that </w:t>
      </w:r>
      <w:r w:rsidR="00727770" w:rsidRPr="00B06BDB">
        <w:rPr>
          <w:rFonts w:cstheme="minorHAnsi"/>
          <w:sz w:val="20"/>
          <w:szCs w:val="20"/>
        </w:rPr>
        <w:t>both macro- and micro-social forces need to be considered in</w:t>
      </w:r>
      <w:r w:rsidR="00FA2DA8" w:rsidRPr="00B06BDB">
        <w:rPr>
          <w:rFonts w:cstheme="minorHAnsi"/>
          <w:sz w:val="20"/>
          <w:szCs w:val="20"/>
        </w:rPr>
        <w:t xml:space="preserve"> explicating alignment of technology and organisational structure.</w:t>
      </w:r>
      <w:r w:rsidR="00E05E86" w:rsidRPr="00B06BDB">
        <w:rPr>
          <w:rFonts w:cstheme="minorHAnsi"/>
          <w:sz w:val="20"/>
          <w:szCs w:val="20"/>
        </w:rPr>
        <w:t xml:space="preserve"> </w:t>
      </w:r>
      <w:r w:rsidR="00EB405C" w:rsidRPr="00B06BDB">
        <w:rPr>
          <w:rFonts w:cstheme="minorHAnsi"/>
          <w:sz w:val="20"/>
          <w:szCs w:val="20"/>
        </w:rPr>
        <w:t xml:space="preserve">This finding is contrary to </w:t>
      </w:r>
      <w:r w:rsidR="00EB405C" w:rsidRPr="00B06BDB">
        <w:rPr>
          <w:rFonts w:ascii="Calibri" w:hAnsi="Calibri"/>
          <w:sz w:val="20"/>
          <w:szCs w:val="20"/>
        </w:rPr>
        <w:t>Kraemer and King (2006) as digital technology and services have clearly affected organisational structure, roles and skills.</w:t>
      </w:r>
      <w:r w:rsidR="00E97E32" w:rsidRPr="00B06BDB">
        <w:rPr>
          <w:rFonts w:ascii="Calibri" w:hAnsi="Calibri"/>
          <w:sz w:val="20"/>
          <w:szCs w:val="20"/>
        </w:rPr>
        <w:t xml:space="preserve"> On the other hand the</w:t>
      </w:r>
      <w:r w:rsidR="00F93180" w:rsidRPr="00B06BDB">
        <w:rPr>
          <w:rFonts w:ascii="Calibri" w:hAnsi="Calibri"/>
          <w:sz w:val="20"/>
          <w:szCs w:val="20"/>
        </w:rPr>
        <w:t>se</w:t>
      </w:r>
      <w:r w:rsidR="00E97E32" w:rsidRPr="00B06BDB">
        <w:rPr>
          <w:rFonts w:ascii="Calibri" w:hAnsi="Calibri"/>
          <w:sz w:val="20"/>
          <w:szCs w:val="20"/>
        </w:rPr>
        <w:t xml:space="preserve"> strategy document findings support other public sector empirical studies where the impact of technology on organisational structures (Scholl, 2014) and roles (</w:t>
      </w:r>
      <w:proofErr w:type="spellStart"/>
      <w:r w:rsidR="00E97E32" w:rsidRPr="00B06BDB">
        <w:rPr>
          <w:rFonts w:ascii="Calibri" w:hAnsi="Calibri"/>
          <w:sz w:val="20"/>
          <w:szCs w:val="20"/>
        </w:rPr>
        <w:t>Giesbrecht</w:t>
      </w:r>
      <w:proofErr w:type="spellEnd"/>
      <w:r w:rsidR="00E97E32" w:rsidRPr="00B06BDB">
        <w:rPr>
          <w:rFonts w:ascii="Calibri" w:hAnsi="Calibri"/>
          <w:sz w:val="20"/>
          <w:szCs w:val="20"/>
        </w:rPr>
        <w:t xml:space="preserve"> et al., 2016</w:t>
      </w:r>
      <w:r w:rsidR="00E97E32" w:rsidRPr="00B06BDB">
        <w:rPr>
          <w:rFonts w:cstheme="minorHAnsi"/>
          <w:sz w:val="20"/>
          <w:szCs w:val="20"/>
        </w:rPr>
        <w:t>)</w:t>
      </w:r>
      <w:r w:rsidR="00E97E32" w:rsidRPr="00B06BDB">
        <w:rPr>
          <w:rFonts w:ascii="Calibri" w:hAnsi="Calibri"/>
          <w:sz w:val="20"/>
          <w:szCs w:val="20"/>
        </w:rPr>
        <w:t xml:space="preserve"> has recently been demonstrated. </w:t>
      </w:r>
    </w:p>
    <w:p w14:paraId="083FC0ED" w14:textId="54B5B100" w:rsidR="00FA2DA8" w:rsidRPr="00B06BDB" w:rsidRDefault="00E05E86" w:rsidP="006B71AB">
      <w:pPr>
        <w:spacing w:after="120" w:line="240" w:lineRule="auto"/>
        <w:jc w:val="both"/>
        <w:rPr>
          <w:rFonts w:cstheme="minorHAnsi"/>
          <w:sz w:val="20"/>
          <w:szCs w:val="20"/>
        </w:rPr>
      </w:pPr>
      <w:r w:rsidRPr="00B06BDB">
        <w:rPr>
          <w:rFonts w:cstheme="minorHAnsi"/>
          <w:sz w:val="20"/>
          <w:szCs w:val="20"/>
        </w:rPr>
        <w:t xml:space="preserve">We further extend Barley’s work and include another dimension </w:t>
      </w:r>
      <w:r w:rsidR="000E2BD1" w:rsidRPr="00B06BDB">
        <w:rPr>
          <w:rFonts w:cstheme="minorHAnsi"/>
          <w:sz w:val="20"/>
          <w:szCs w:val="20"/>
        </w:rPr>
        <w:t>t</w:t>
      </w:r>
      <w:r w:rsidRPr="00B06BDB">
        <w:rPr>
          <w:rFonts w:cstheme="minorHAnsi"/>
          <w:sz w:val="20"/>
          <w:szCs w:val="20"/>
        </w:rPr>
        <w:t xml:space="preserve">hat needs to be considered in organisational </w:t>
      </w:r>
      <w:r w:rsidR="00EB405C" w:rsidRPr="00B06BDB">
        <w:rPr>
          <w:rFonts w:cstheme="minorHAnsi"/>
          <w:sz w:val="20"/>
          <w:szCs w:val="20"/>
        </w:rPr>
        <w:t>structure</w:t>
      </w:r>
      <w:r w:rsidRPr="00B06BDB">
        <w:rPr>
          <w:rFonts w:cstheme="minorHAnsi"/>
          <w:sz w:val="20"/>
          <w:szCs w:val="20"/>
        </w:rPr>
        <w:t xml:space="preserve"> </w:t>
      </w:r>
      <w:r w:rsidR="00EB405C" w:rsidRPr="00B06BDB">
        <w:rPr>
          <w:rFonts w:cstheme="minorHAnsi"/>
          <w:sz w:val="20"/>
          <w:szCs w:val="20"/>
        </w:rPr>
        <w:t>and technology alignment studies</w:t>
      </w:r>
      <w:r w:rsidRPr="00B06BDB">
        <w:rPr>
          <w:rFonts w:cstheme="minorHAnsi"/>
          <w:sz w:val="20"/>
          <w:szCs w:val="20"/>
        </w:rPr>
        <w:t>. Apart from the top-down (macrosocial)</w:t>
      </w:r>
      <w:r w:rsidR="000E2BD1" w:rsidRPr="00B06BDB">
        <w:rPr>
          <w:rFonts w:cstheme="minorHAnsi"/>
          <w:sz w:val="20"/>
          <w:szCs w:val="20"/>
        </w:rPr>
        <w:t xml:space="preserve"> &amp; </w:t>
      </w:r>
      <w:r w:rsidRPr="00B06BDB">
        <w:rPr>
          <w:rFonts w:cstheme="minorHAnsi"/>
          <w:sz w:val="20"/>
          <w:szCs w:val="20"/>
        </w:rPr>
        <w:t>bottom-up</w:t>
      </w:r>
      <w:r w:rsidR="003D4243" w:rsidRPr="00B06BDB">
        <w:rPr>
          <w:rFonts w:cstheme="minorHAnsi"/>
          <w:sz w:val="20"/>
          <w:szCs w:val="20"/>
        </w:rPr>
        <w:t xml:space="preserve"> </w:t>
      </w:r>
      <w:r w:rsidRPr="00B06BDB">
        <w:rPr>
          <w:rFonts w:cstheme="minorHAnsi"/>
          <w:sz w:val="20"/>
          <w:szCs w:val="20"/>
        </w:rPr>
        <w:t xml:space="preserve">(microsocial) dimension we add </w:t>
      </w:r>
      <w:r w:rsidR="000E2BD1" w:rsidRPr="00B06BDB">
        <w:rPr>
          <w:rFonts w:cstheme="minorHAnsi"/>
          <w:sz w:val="20"/>
          <w:szCs w:val="20"/>
        </w:rPr>
        <w:t>‘</w:t>
      </w:r>
      <w:r w:rsidRPr="00B06BDB">
        <w:rPr>
          <w:rFonts w:cstheme="minorHAnsi"/>
          <w:sz w:val="20"/>
          <w:szCs w:val="20"/>
        </w:rPr>
        <w:t>focus of digital transformation</w:t>
      </w:r>
      <w:r w:rsidR="000E2BD1" w:rsidRPr="00B06BDB">
        <w:rPr>
          <w:rFonts w:cstheme="minorHAnsi"/>
          <w:sz w:val="20"/>
          <w:szCs w:val="20"/>
        </w:rPr>
        <w:t>’</w:t>
      </w:r>
      <w:r w:rsidRPr="00B06BDB">
        <w:rPr>
          <w:rFonts w:cstheme="minorHAnsi"/>
          <w:sz w:val="20"/>
          <w:szCs w:val="20"/>
        </w:rPr>
        <w:t xml:space="preserve"> as an</w:t>
      </w:r>
      <w:r w:rsidR="000E2BD1" w:rsidRPr="00B06BDB">
        <w:rPr>
          <w:rFonts w:cstheme="minorHAnsi"/>
          <w:sz w:val="20"/>
          <w:szCs w:val="20"/>
        </w:rPr>
        <w:t>other</w:t>
      </w:r>
      <w:r w:rsidRPr="00B06BDB">
        <w:rPr>
          <w:rFonts w:cstheme="minorHAnsi"/>
          <w:sz w:val="20"/>
          <w:szCs w:val="20"/>
        </w:rPr>
        <w:t xml:space="preserve"> important dimension </w:t>
      </w:r>
      <w:r w:rsidR="000E2BD1" w:rsidRPr="00B06BDB">
        <w:rPr>
          <w:rFonts w:cstheme="minorHAnsi"/>
          <w:sz w:val="20"/>
          <w:szCs w:val="20"/>
        </w:rPr>
        <w:t>which enhances our understanding of organisational</w:t>
      </w:r>
      <w:r w:rsidRPr="00B06BDB">
        <w:rPr>
          <w:rFonts w:cstheme="minorHAnsi"/>
          <w:sz w:val="20"/>
          <w:szCs w:val="20"/>
        </w:rPr>
        <w:t xml:space="preserve"> </w:t>
      </w:r>
      <w:r w:rsidR="000E2BD1" w:rsidRPr="00B06BDB">
        <w:rPr>
          <w:rFonts w:cstheme="minorHAnsi"/>
          <w:sz w:val="20"/>
          <w:szCs w:val="20"/>
        </w:rPr>
        <w:t xml:space="preserve">digital </w:t>
      </w:r>
      <w:r w:rsidRPr="00B06BDB">
        <w:rPr>
          <w:rFonts w:cstheme="minorHAnsi"/>
          <w:sz w:val="20"/>
          <w:szCs w:val="20"/>
        </w:rPr>
        <w:t>transformation</w:t>
      </w:r>
      <w:r w:rsidR="000E2BD1" w:rsidRPr="00B06BDB">
        <w:rPr>
          <w:rFonts w:cstheme="minorHAnsi"/>
          <w:sz w:val="20"/>
          <w:szCs w:val="20"/>
        </w:rPr>
        <w:t>s (figure 4)</w:t>
      </w:r>
      <w:r w:rsidRPr="00B06BDB">
        <w:rPr>
          <w:rFonts w:cstheme="minorHAnsi"/>
          <w:sz w:val="20"/>
          <w:szCs w:val="20"/>
        </w:rPr>
        <w:t>. This theoretical contribution can guide practice and empirical research in future</w:t>
      </w:r>
      <w:r w:rsidR="00EB405C" w:rsidRPr="00B06BDB">
        <w:rPr>
          <w:rFonts w:cstheme="minorHAnsi"/>
          <w:sz w:val="20"/>
          <w:szCs w:val="20"/>
        </w:rPr>
        <w:t xml:space="preserve"> digital transformation studies both in the public and private sector.</w:t>
      </w:r>
      <w:r w:rsidRPr="00B06BDB">
        <w:rPr>
          <w:rFonts w:cstheme="minorHAnsi"/>
          <w:sz w:val="20"/>
          <w:szCs w:val="20"/>
        </w:rPr>
        <w:t xml:space="preserve"> </w:t>
      </w:r>
      <w:r w:rsidR="00EB405C" w:rsidRPr="00B06BDB">
        <w:rPr>
          <w:rFonts w:cstheme="minorHAnsi"/>
          <w:sz w:val="20"/>
          <w:szCs w:val="20"/>
        </w:rPr>
        <w:t xml:space="preserve"> </w:t>
      </w:r>
    </w:p>
    <w:p w14:paraId="5ECC2BB9" w14:textId="43ADEA62" w:rsidR="00737DCF" w:rsidRPr="00B06BDB" w:rsidRDefault="002213F2" w:rsidP="006B71AB">
      <w:pPr>
        <w:spacing w:after="120" w:line="240" w:lineRule="auto"/>
        <w:jc w:val="both"/>
        <w:rPr>
          <w:rFonts w:cstheme="minorHAnsi"/>
          <w:sz w:val="20"/>
          <w:szCs w:val="20"/>
        </w:rPr>
      </w:pPr>
      <w:r w:rsidRPr="00B06BDB">
        <w:rPr>
          <w:rFonts w:cstheme="minorHAnsi"/>
          <w:noProof/>
          <w:sz w:val="20"/>
          <w:szCs w:val="20"/>
          <w:lang w:eastAsia="en-GB"/>
        </w:rPr>
        <w:drawing>
          <wp:anchor distT="0" distB="0" distL="114300" distR="114300" simplePos="0" relativeHeight="251658240" behindDoc="0" locked="0" layoutInCell="1" allowOverlap="1" wp14:anchorId="3360743D" wp14:editId="296728AE">
            <wp:simplePos x="0" y="0"/>
            <wp:positionH relativeFrom="margin">
              <wp:align>right</wp:align>
            </wp:positionH>
            <wp:positionV relativeFrom="paragraph">
              <wp:posOffset>1771650</wp:posOffset>
            </wp:positionV>
            <wp:extent cx="5731510" cy="322389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ion pic.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006B71AB" w:rsidRPr="00B06BDB">
        <w:rPr>
          <w:rFonts w:cstheme="minorHAnsi"/>
          <w:sz w:val="20"/>
          <w:szCs w:val="20"/>
        </w:rPr>
        <w:t>In the Swedish context digital transformation of services (Phase 1) was mostly completed prior to the issue of the 2012 strategy, hence macrosocial forces were indicated in the documents but no underpinning organisational structures, roles or tasks were clearly identified. It is possible that such organisational elements were created prior to that period and hence were out of the scope of th</w:t>
      </w:r>
      <w:r w:rsidR="00E54D33" w:rsidRPr="00B06BDB">
        <w:rPr>
          <w:rFonts w:cstheme="minorHAnsi"/>
          <w:sz w:val="20"/>
          <w:szCs w:val="20"/>
        </w:rPr>
        <w:t>is</w:t>
      </w:r>
      <w:r w:rsidR="006B71AB" w:rsidRPr="00B06BDB">
        <w:rPr>
          <w:rFonts w:cstheme="minorHAnsi"/>
          <w:sz w:val="20"/>
          <w:szCs w:val="20"/>
        </w:rPr>
        <w:t xml:space="preserve"> study. The higher level of maturity of digital government was reflected in the focus of the strategy documents – on processes and coordination (Phase 2). The emphasis was on the bottom-up direction of digital transformation. Organisational structures emerged as a result of microsocial forces</w:t>
      </w:r>
      <w:r w:rsidR="00B410FB" w:rsidRPr="00B06BDB">
        <w:rPr>
          <w:rFonts w:cstheme="minorHAnsi"/>
          <w:sz w:val="20"/>
          <w:szCs w:val="20"/>
        </w:rPr>
        <w:t xml:space="preserve"> (drivers)</w:t>
      </w:r>
      <w:r w:rsidR="006B71AB" w:rsidRPr="00B06BDB">
        <w:rPr>
          <w:rFonts w:cstheme="minorHAnsi"/>
          <w:sz w:val="20"/>
          <w:szCs w:val="20"/>
        </w:rPr>
        <w:t xml:space="preserve"> and their function was to coordinate processes. We can thus draw another theoretical insight from the data. Higher level of digital maturity </w:t>
      </w:r>
      <w:r w:rsidRPr="00B06BDB">
        <w:rPr>
          <w:rFonts w:cstheme="minorHAnsi"/>
          <w:sz w:val="20"/>
          <w:szCs w:val="20"/>
        </w:rPr>
        <w:t>is demonstrated in</w:t>
      </w:r>
      <w:r w:rsidR="006B71AB" w:rsidRPr="00B06BDB">
        <w:rPr>
          <w:rFonts w:cstheme="minorHAnsi"/>
          <w:sz w:val="20"/>
          <w:szCs w:val="20"/>
        </w:rPr>
        <w:t xml:space="preserve"> the dominance of microsocial </w:t>
      </w:r>
      <w:r w:rsidR="00B410FB" w:rsidRPr="00B06BDB">
        <w:rPr>
          <w:rFonts w:cstheme="minorHAnsi"/>
          <w:sz w:val="20"/>
          <w:szCs w:val="20"/>
        </w:rPr>
        <w:t>drivers</w:t>
      </w:r>
      <w:r w:rsidR="006B71AB" w:rsidRPr="00B06BDB">
        <w:rPr>
          <w:rFonts w:cstheme="minorHAnsi"/>
          <w:sz w:val="20"/>
          <w:szCs w:val="20"/>
        </w:rPr>
        <w:t xml:space="preserve">. </w:t>
      </w:r>
      <w:proofErr w:type="spellStart"/>
      <w:proofErr w:type="gramStart"/>
      <w:r w:rsidR="006B71AB" w:rsidRPr="00B06BDB">
        <w:rPr>
          <w:rFonts w:cstheme="minorHAnsi"/>
          <w:sz w:val="20"/>
          <w:szCs w:val="20"/>
        </w:rPr>
        <w:t>eGovernement</w:t>
      </w:r>
      <w:proofErr w:type="spellEnd"/>
      <w:proofErr w:type="gramEnd"/>
      <w:r w:rsidR="006B71AB" w:rsidRPr="00B06BDB">
        <w:rPr>
          <w:rFonts w:cstheme="minorHAnsi"/>
          <w:sz w:val="20"/>
          <w:szCs w:val="20"/>
        </w:rPr>
        <w:t xml:space="preserve"> maturity is underpinned by prevalence of bottom-up processes of digital transformation and microsocial </w:t>
      </w:r>
      <w:r w:rsidR="00B410FB" w:rsidRPr="00B06BDB">
        <w:rPr>
          <w:rFonts w:cstheme="minorHAnsi"/>
          <w:sz w:val="20"/>
          <w:szCs w:val="20"/>
        </w:rPr>
        <w:t>forces</w:t>
      </w:r>
      <w:r w:rsidR="006B71AB" w:rsidRPr="00B06BDB">
        <w:rPr>
          <w:rFonts w:cstheme="minorHAnsi"/>
          <w:sz w:val="20"/>
          <w:szCs w:val="20"/>
        </w:rPr>
        <w:t xml:space="preserve"> (technology) being the main drivers of technology and organisational structure alignment in digital transformation initiatives.</w:t>
      </w:r>
      <w:r w:rsidR="00737DCF" w:rsidRPr="00B06BDB">
        <w:rPr>
          <w:rFonts w:cstheme="minorHAnsi"/>
          <w:sz w:val="20"/>
          <w:szCs w:val="20"/>
        </w:rPr>
        <w:t xml:space="preserve"> </w:t>
      </w:r>
    </w:p>
    <w:p w14:paraId="68B2BA6C" w14:textId="0D826793" w:rsidR="00727770" w:rsidRPr="00B06BDB" w:rsidRDefault="00727770" w:rsidP="006B71AB">
      <w:pPr>
        <w:spacing w:after="120" w:line="240" w:lineRule="auto"/>
        <w:jc w:val="both"/>
        <w:rPr>
          <w:rFonts w:cstheme="minorHAnsi"/>
          <w:sz w:val="20"/>
          <w:szCs w:val="20"/>
        </w:rPr>
      </w:pPr>
      <w:r w:rsidRPr="00B06BDB">
        <w:rPr>
          <w:rFonts w:cstheme="minorHAnsi"/>
          <w:b/>
          <w:sz w:val="20"/>
          <w:szCs w:val="20"/>
        </w:rPr>
        <w:t xml:space="preserve">Figure 4: </w:t>
      </w:r>
      <w:r w:rsidR="00382D5C" w:rsidRPr="00B06BDB">
        <w:rPr>
          <w:rFonts w:cstheme="minorHAnsi"/>
          <w:sz w:val="20"/>
          <w:szCs w:val="20"/>
        </w:rPr>
        <w:t xml:space="preserve">Digital transformation </w:t>
      </w:r>
      <w:r w:rsidR="00D961D0" w:rsidRPr="00B06BDB">
        <w:rPr>
          <w:rFonts w:cstheme="minorHAnsi"/>
          <w:sz w:val="20"/>
          <w:szCs w:val="20"/>
        </w:rPr>
        <w:t>dimensions and phase</w:t>
      </w:r>
      <w:r w:rsidR="006008F6" w:rsidRPr="00B06BDB">
        <w:rPr>
          <w:rFonts w:cstheme="minorHAnsi"/>
          <w:sz w:val="20"/>
          <w:szCs w:val="20"/>
        </w:rPr>
        <w:t>s</w:t>
      </w:r>
      <w:r w:rsidR="00D961D0" w:rsidRPr="00B06BDB">
        <w:rPr>
          <w:rFonts w:cstheme="minorHAnsi"/>
          <w:sz w:val="20"/>
          <w:szCs w:val="20"/>
        </w:rPr>
        <w:t xml:space="preserve"> matrix</w:t>
      </w:r>
    </w:p>
    <w:p w14:paraId="0602707F" w14:textId="77777777" w:rsidR="00FA2DA8" w:rsidRPr="00B06BDB" w:rsidRDefault="00FA2DA8" w:rsidP="006B71AB">
      <w:pPr>
        <w:pStyle w:val="Heading1"/>
        <w:spacing w:before="0" w:after="120" w:line="240" w:lineRule="auto"/>
        <w:rPr>
          <w:color w:val="auto"/>
        </w:rPr>
      </w:pPr>
      <w:r w:rsidRPr="00B06BDB">
        <w:rPr>
          <w:color w:val="auto"/>
        </w:rPr>
        <w:lastRenderedPageBreak/>
        <w:t>Conclusion</w:t>
      </w:r>
    </w:p>
    <w:p w14:paraId="26A26A6A" w14:textId="1FF7C90E" w:rsidR="00FA2DA8" w:rsidRPr="00B06BDB" w:rsidRDefault="00235553" w:rsidP="00360347">
      <w:pPr>
        <w:spacing w:after="120" w:line="240" w:lineRule="auto"/>
        <w:jc w:val="both"/>
        <w:rPr>
          <w:rFonts w:cstheme="minorHAnsi"/>
          <w:sz w:val="20"/>
          <w:szCs w:val="20"/>
        </w:rPr>
      </w:pPr>
      <w:r w:rsidRPr="00B06BDB">
        <w:rPr>
          <w:rFonts w:cstheme="minorHAnsi"/>
          <w:sz w:val="20"/>
          <w:szCs w:val="20"/>
        </w:rPr>
        <w:t>We have demonstrated</w:t>
      </w:r>
      <w:r w:rsidR="00FA2DA8" w:rsidRPr="00B06BDB">
        <w:rPr>
          <w:rFonts w:cstheme="minorHAnsi"/>
          <w:sz w:val="20"/>
          <w:szCs w:val="20"/>
        </w:rPr>
        <w:t xml:space="preserve"> that higher </w:t>
      </w:r>
      <w:r w:rsidR="004E54D2" w:rsidRPr="00B06BDB">
        <w:rPr>
          <w:rFonts w:cstheme="minorHAnsi"/>
          <w:sz w:val="20"/>
          <w:szCs w:val="20"/>
        </w:rPr>
        <w:t xml:space="preserve">digital government </w:t>
      </w:r>
      <w:r w:rsidR="00FA2DA8" w:rsidRPr="00B06BDB">
        <w:rPr>
          <w:rFonts w:cstheme="minorHAnsi"/>
          <w:sz w:val="20"/>
          <w:szCs w:val="20"/>
        </w:rPr>
        <w:t xml:space="preserve">maturity </w:t>
      </w:r>
      <w:r w:rsidR="006008F6" w:rsidRPr="00B06BDB">
        <w:rPr>
          <w:rFonts w:cstheme="minorHAnsi"/>
          <w:sz w:val="20"/>
          <w:szCs w:val="20"/>
        </w:rPr>
        <w:t xml:space="preserve">(Sweden) </w:t>
      </w:r>
      <w:r w:rsidR="00FA2DA8" w:rsidRPr="00B06BDB">
        <w:rPr>
          <w:rFonts w:cstheme="minorHAnsi"/>
          <w:sz w:val="20"/>
          <w:szCs w:val="20"/>
        </w:rPr>
        <w:t xml:space="preserve">level is </w:t>
      </w:r>
      <w:r w:rsidRPr="00B06BDB">
        <w:rPr>
          <w:rFonts w:cstheme="minorHAnsi"/>
          <w:sz w:val="20"/>
          <w:szCs w:val="20"/>
        </w:rPr>
        <w:t>associated with</w:t>
      </w:r>
      <w:r w:rsidR="00FA2DA8" w:rsidRPr="00B06BDB">
        <w:rPr>
          <w:rFonts w:cstheme="minorHAnsi"/>
          <w:sz w:val="20"/>
          <w:szCs w:val="20"/>
        </w:rPr>
        <w:t xml:space="preserve"> microsocial forces </w:t>
      </w:r>
      <w:r w:rsidRPr="00B06BDB">
        <w:rPr>
          <w:rFonts w:cstheme="minorHAnsi"/>
          <w:sz w:val="20"/>
          <w:szCs w:val="20"/>
        </w:rPr>
        <w:t>as drivers of digital transformation whereas low digital maturity</w:t>
      </w:r>
      <w:r w:rsidR="006008F6" w:rsidRPr="00B06BDB">
        <w:rPr>
          <w:rFonts w:cstheme="minorHAnsi"/>
          <w:sz w:val="20"/>
          <w:szCs w:val="20"/>
        </w:rPr>
        <w:t xml:space="preserve"> (the UK)</w:t>
      </w:r>
      <w:r w:rsidRPr="00B06BDB">
        <w:rPr>
          <w:rFonts w:cstheme="minorHAnsi"/>
          <w:sz w:val="20"/>
          <w:szCs w:val="20"/>
        </w:rPr>
        <w:t xml:space="preserve"> </w:t>
      </w:r>
      <w:r w:rsidR="006008F6" w:rsidRPr="00B06BDB">
        <w:rPr>
          <w:rFonts w:cstheme="minorHAnsi"/>
          <w:sz w:val="20"/>
          <w:szCs w:val="20"/>
        </w:rPr>
        <w:t>is associated</w:t>
      </w:r>
      <w:r w:rsidRPr="00B06BDB">
        <w:rPr>
          <w:rFonts w:cstheme="minorHAnsi"/>
          <w:sz w:val="20"/>
          <w:szCs w:val="20"/>
        </w:rPr>
        <w:t xml:space="preserve"> to top-down digital transformation with macrosocial drivers for change</w:t>
      </w:r>
      <w:r w:rsidR="00FA2DA8" w:rsidRPr="00B06BDB">
        <w:rPr>
          <w:rFonts w:cstheme="minorHAnsi"/>
          <w:sz w:val="20"/>
          <w:szCs w:val="20"/>
        </w:rPr>
        <w:t xml:space="preserve">. </w:t>
      </w:r>
      <w:r w:rsidR="003D4243" w:rsidRPr="00B06BDB">
        <w:rPr>
          <w:rFonts w:cstheme="minorHAnsi"/>
          <w:sz w:val="20"/>
          <w:szCs w:val="20"/>
        </w:rPr>
        <w:t xml:space="preserve">The former is </w:t>
      </w:r>
      <w:r w:rsidR="008C4692" w:rsidRPr="00B06BDB">
        <w:rPr>
          <w:rFonts w:cstheme="minorHAnsi"/>
          <w:sz w:val="20"/>
          <w:szCs w:val="20"/>
        </w:rPr>
        <w:t>a characteristic</w:t>
      </w:r>
      <w:r w:rsidR="003D4243" w:rsidRPr="00B06BDB">
        <w:rPr>
          <w:rFonts w:cstheme="minorHAnsi"/>
          <w:sz w:val="20"/>
          <w:szCs w:val="20"/>
        </w:rPr>
        <w:t xml:space="preserve"> of the</w:t>
      </w:r>
      <w:r w:rsidR="008C4692" w:rsidRPr="00B06BDB">
        <w:rPr>
          <w:rFonts w:cstheme="minorHAnsi"/>
          <w:sz w:val="20"/>
          <w:szCs w:val="20"/>
        </w:rPr>
        <w:t xml:space="preserve"> second phase of an organisation’s </w:t>
      </w:r>
      <w:r w:rsidR="003D4243" w:rsidRPr="00B06BDB">
        <w:rPr>
          <w:rFonts w:cstheme="minorHAnsi"/>
          <w:sz w:val="20"/>
          <w:szCs w:val="20"/>
        </w:rPr>
        <w:t>digital transformation where focus is on changing and re-design</w:t>
      </w:r>
      <w:r w:rsidR="00E54D33" w:rsidRPr="00B06BDB">
        <w:rPr>
          <w:rFonts w:cstheme="minorHAnsi"/>
          <w:sz w:val="20"/>
          <w:szCs w:val="20"/>
        </w:rPr>
        <w:t xml:space="preserve"> of internal processes and back-</w:t>
      </w:r>
      <w:r w:rsidR="003D4243" w:rsidRPr="00B06BDB">
        <w:rPr>
          <w:rFonts w:cstheme="minorHAnsi"/>
          <w:sz w:val="20"/>
          <w:szCs w:val="20"/>
        </w:rPr>
        <w:t xml:space="preserve">end operations and the main drivers are microsocial (technology). In phase 1 the focus is on digitising services and the drivers are predominantly macrosocial. This led to the development of a horizontal scale related to the focus of the transformation (see figure 4) in addition to the </w:t>
      </w:r>
      <w:r w:rsidR="008C4692" w:rsidRPr="00B06BDB">
        <w:rPr>
          <w:rFonts w:cstheme="minorHAnsi"/>
          <w:sz w:val="20"/>
          <w:szCs w:val="20"/>
        </w:rPr>
        <w:t xml:space="preserve">vertical </w:t>
      </w:r>
      <w:r w:rsidR="002213F2" w:rsidRPr="00B06BDB">
        <w:rPr>
          <w:rFonts w:cstheme="minorHAnsi"/>
          <w:sz w:val="20"/>
          <w:szCs w:val="20"/>
        </w:rPr>
        <w:t>drivers</w:t>
      </w:r>
      <w:r w:rsidR="003D4243" w:rsidRPr="00B06BDB">
        <w:rPr>
          <w:rFonts w:cstheme="minorHAnsi"/>
          <w:sz w:val="20"/>
          <w:szCs w:val="20"/>
        </w:rPr>
        <w:t xml:space="preserve"> scale (Barley, 1990). This additional dimension contributes not only theoretically to the understanding of technology and organisational structure alignment, but also practically to management </w:t>
      </w:r>
      <w:r w:rsidR="00E54D33" w:rsidRPr="00B06BDB">
        <w:rPr>
          <w:rFonts w:cstheme="minorHAnsi"/>
          <w:sz w:val="20"/>
          <w:szCs w:val="20"/>
        </w:rPr>
        <w:t xml:space="preserve">of </w:t>
      </w:r>
      <w:r w:rsidR="003D4243" w:rsidRPr="00B06BDB">
        <w:rPr>
          <w:rFonts w:cstheme="minorHAnsi"/>
          <w:sz w:val="20"/>
          <w:szCs w:val="20"/>
        </w:rPr>
        <w:t xml:space="preserve">digital transformation initiatives in terms of aiding </w:t>
      </w:r>
      <w:r w:rsidR="002213F2" w:rsidRPr="00B06BDB">
        <w:rPr>
          <w:rFonts w:cstheme="minorHAnsi"/>
          <w:sz w:val="20"/>
          <w:szCs w:val="20"/>
        </w:rPr>
        <w:t xml:space="preserve">planning, </w:t>
      </w:r>
      <w:r w:rsidR="003D4243" w:rsidRPr="00B06BDB">
        <w:rPr>
          <w:rFonts w:cstheme="minorHAnsi"/>
          <w:sz w:val="20"/>
          <w:szCs w:val="20"/>
        </w:rPr>
        <w:t xml:space="preserve">assessment and evaluation. </w:t>
      </w:r>
      <w:r w:rsidR="00360347" w:rsidRPr="00B06BDB">
        <w:rPr>
          <w:rFonts w:cstheme="minorHAnsi"/>
          <w:sz w:val="20"/>
          <w:szCs w:val="20"/>
        </w:rPr>
        <w:t>The digital transformation journey is initiated by macrosocial forces and focus on the front-end operations of an organisation. There are two possible routes to Phase 2 – from the top-left to the top-right quadrant in the matrix or from top-left to bottom-left. Further empirical research on digital transformation is needed to investigate that transition (longitudinal ethnographic case studies approach) in the public and private sectors. Nevertheless this preliminary document-based study has enabled us to develop the theoretical insight related to the dimensions of digital transformation in terms of direction and scope. One of the limitations of this paper is the scope of the study which included strategy documents issued after 2010 by the two governments. This was necessary as the first digital transformation strategy policy document was issued in 2012/2013 in the UK. Yet the selected documents enabled the comparative analysis of government digital transformation across different maturity clusters.</w:t>
      </w:r>
    </w:p>
    <w:p w14:paraId="2FE03345" w14:textId="77777777" w:rsidR="006D7959" w:rsidRPr="00B06BDB" w:rsidRDefault="006D7959" w:rsidP="006B71AB">
      <w:pPr>
        <w:pStyle w:val="Heading1"/>
        <w:spacing w:before="0" w:after="120" w:line="240" w:lineRule="auto"/>
        <w:rPr>
          <w:color w:val="auto"/>
        </w:rPr>
      </w:pPr>
      <w:r w:rsidRPr="00B06BDB">
        <w:rPr>
          <w:color w:val="auto"/>
        </w:rPr>
        <w:t>References</w:t>
      </w:r>
    </w:p>
    <w:p w14:paraId="51DC6C1E" w14:textId="77777777" w:rsidR="00A209AF" w:rsidRPr="00B06BDB" w:rsidRDefault="00A209AF" w:rsidP="00A209AF">
      <w:pPr>
        <w:jc w:val="both"/>
        <w:rPr>
          <w:sz w:val="20"/>
          <w:szCs w:val="20"/>
        </w:rPr>
      </w:pPr>
      <w:r w:rsidRPr="00B06BDB">
        <w:rPr>
          <w:sz w:val="20"/>
          <w:szCs w:val="20"/>
        </w:rPr>
        <w:t xml:space="preserve">Andrews, M., Pritchett, L., &amp; </w:t>
      </w:r>
      <w:proofErr w:type="spellStart"/>
      <w:r w:rsidRPr="00B06BDB">
        <w:rPr>
          <w:sz w:val="20"/>
          <w:szCs w:val="20"/>
        </w:rPr>
        <w:t>Woolcock</w:t>
      </w:r>
      <w:proofErr w:type="spellEnd"/>
      <w:r w:rsidRPr="00B06BDB">
        <w:rPr>
          <w:sz w:val="20"/>
          <w:szCs w:val="20"/>
        </w:rPr>
        <w:t xml:space="preserve">, M. (2013) Escaping capability traps through problem driven iterative adaptation (PDIA), </w:t>
      </w:r>
      <w:r w:rsidRPr="00B06BDB">
        <w:rPr>
          <w:i/>
          <w:sz w:val="20"/>
          <w:szCs w:val="20"/>
        </w:rPr>
        <w:t>World Development</w:t>
      </w:r>
      <w:r w:rsidRPr="00B06BDB">
        <w:rPr>
          <w:sz w:val="20"/>
          <w:szCs w:val="20"/>
        </w:rPr>
        <w:t xml:space="preserve">, 51, 234-244. </w:t>
      </w:r>
    </w:p>
    <w:p w14:paraId="050547B4" w14:textId="1B6840FD"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proofErr w:type="spellStart"/>
      <w:r w:rsidRPr="00B06BDB">
        <w:rPr>
          <w:rFonts w:eastAsia="Times New Roman" w:cstheme="minorHAnsi"/>
          <w:sz w:val="20"/>
          <w:szCs w:val="20"/>
          <w:lang w:eastAsia="en-GB"/>
        </w:rPr>
        <w:t>A</w:t>
      </w:r>
      <w:r w:rsidR="003E4B32" w:rsidRPr="00B06BDB">
        <w:rPr>
          <w:rFonts w:eastAsia="Times New Roman" w:cstheme="minorHAnsi"/>
          <w:sz w:val="20"/>
          <w:szCs w:val="20"/>
          <w:lang w:eastAsia="en-GB"/>
        </w:rPr>
        <w:t>ndriole</w:t>
      </w:r>
      <w:proofErr w:type="spellEnd"/>
      <w:r w:rsidR="003E4B32" w:rsidRPr="00B06BDB">
        <w:rPr>
          <w:rFonts w:eastAsia="Times New Roman" w:cstheme="minorHAnsi"/>
          <w:sz w:val="20"/>
          <w:szCs w:val="20"/>
          <w:lang w:eastAsia="en-GB"/>
        </w:rPr>
        <w:t>, S.J.</w:t>
      </w:r>
      <w:r w:rsidRPr="00B06BDB">
        <w:rPr>
          <w:rFonts w:eastAsia="Times New Roman" w:cstheme="minorHAnsi"/>
          <w:sz w:val="20"/>
          <w:szCs w:val="20"/>
          <w:lang w:eastAsia="en-GB"/>
        </w:rPr>
        <w:t xml:space="preserve"> </w:t>
      </w:r>
      <w:r w:rsidR="003E4B32" w:rsidRPr="00B06BDB">
        <w:rPr>
          <w:rFonts w:eastAsia="Times New Roman" w:cstheme="minorHAnsi"/>
          <w:sz w:val="20"/>
          <w:szCs w:val="20"/>
          <w:lang w:eastAsia="en-GB"/>
        </w:rPr>
        <w:t>(2017)</w:t>
      </w:r>
      <w:r w:rsidRPr="00B06BDB">
        <w:rPr>
          <w:rFonts w:eastAsia="Times New Roman" w:cstheme="minorHAnsi"/>
          <w:sz w:val="20"/>
          <w:szCs w:val="20"/>
          <w:lang w:eastAsia="en-GB"/>
        </w:rPr>
        <w:t xml:space="preserve"> </w:t>
      </w:r>
      <w:r w:rsidR="003E4B32" w:rsidRPr="00B06BDB">
        <w:rPr>
          <w:rFonts w:eastAsia="Times New Roman" w:cstheme="minorHAnsi"/>
          <w:sz w:val="20"/>
          <w:szCs w:val="20"/>
          <w:lang w:eastAsia="en-GB"/>
        </w:rPr>
        <w:t>“</w:t>
      </w:r>
      <w:r w:rsidRPr="00B06BDB">
        <w:rPr>
          <w:rFonts w:eastAsia="Times New Roman" w:cstheme="minorHAnsi"/>
          <w:sz w:val="20"/>
          <w:szCs w:val="20"/>
          <w:lang w:eastAsia="en-GB"/>
        </w:rPr>
        <w:t>Five myths about digital transformation</w:t>
      </w:r>
      <w:r w:rsidR="003E4B32"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 xml:space="preserve">MIT </w:t>
      </w:r>
      <w:proofErr w:type="spellStart"/>
      <w:proofErr w:type="gramStart"/>
      <w:r w:rsidRPr="00B06BDB">
        <w:rPr>
          <w:rFonts w:eastAsia="Times New Roman" w:cstheme="minorHAnsi"/>
          <w:i/>
          <w:iCs/>
          <w:sz w:val="20"/>
          <w:szCs w:val="20"/>
          <w:lang w:eastAsia="en-GB"/>
        </w:rPr>
        <w:t>sloan</w:t>
      </w:r>
      <w:proofErr w:type="spellEnd"/>
      <w:proofErr w:type="gramEnd"/>
      <w:r w:rsidRPr="00B06BDB">
        <w:rPr>
          <w:rFonts w:eastAsia="Times New Roman" w:cstheme="minorHAnsi"/>
          <w:i/>
          <w:iCs/>
          <w:sz w:val="20"/>
          <w:szCs w:val="20"/>
          <w:lang w:eastAsia="en-GB"/>
        </w:rPr>
        <w:t xml:space="preserve"> management review, </w:t>
      </w:r>
      <w:r w:rsidR="003E4B32" w:rsidRPr="00B06BDB">
        <w:rPr>
          <w:rFonts w:eastAsia="Times New Roman" w:cstheme="minorHAnsi"/>
          <w:iCs/>
          <w:sz w:val="20"/>
          <w:szCs w:val="20"/>
          <w:lang w:eastAsia="en-GB"/>
        </w:rPr>
        <w:t xml:space="preserve">Vol </w:t>
      </w:r>
      <w:r w:rsidRPr="00B06BDB">
        <w:rPr>
          <w:rFonts w:eastAsia="Times New Roman" w:cstheme="minorHAnsi"/>
          <w:bCs/>
          <w:sz w:val="20"/>
          <w:szCs w:val="20"/>
          <w:lang w:eastAsia="en-GB"/>
        </w:rPr>
        <w:t>58</w:t>
      </w:r>
      <w:r w:rsidR="003E4B32" w:rsidRPr="00B06BDB">
        <w:rPr>
          <w:rFonts w:eastAsia="Times New Roman" w:cstheme="minorHAnsi"/>
          <w:sz w:val="20"/>
          <w:szCs w:val="20"/>
          <w:lang w:eastAsia="en-GB"/>
        </w:rPr>
        <w:t>, No. 3</w:t>
      </w:r>
      <w:r w:rsidRPr="00B06BDB">
        <w:rPr>
          <w:rFonts w:eastAsia="Times New Roman" w:cstheme="minorHAnsi"/>
          <w:sz w:val="20"/>
          <w:szCs w:val="20"/>
          <w:lang w:eastAsia="en-GB"/>
        </w:rPr>
        <w:t>,</w:t>
      </w:r>
      <w:r w:rsidR="003E4B32" w:rsidRPr="00B06BDB">
        <w:rPr>
          <w:rFonts w:eastAsia="Times New Roman" w:cstheme="minorHAnsi"/>
          <w:sz w:val="20"/>
          <w:szCs w:val="20"/>
          <w:lang w:eastAsia="en-GB"/>
        </w:rPr>
        <w:t xml:space="preserve"> pp</w:t>
      </w:r>
      <w:r w:rsidRPr="00B06BDB">
        <w:rPr>
          <w:rFonts w:eastAsia="Times New Roman" w:cstheme="minorHAnsi"/>
          <w:sz w:val="20"/>
          <w:szCs w:val="20"/>
          <w:lang w:eastAsia="en-GB"/>
        </w:rPr>
        <w:t xml:space="preserve"> 20-22.</w:t>
      </w:r>
    </w:p>
    <w:p w14:paraId="52F2CC14" w14:textId="5E4CC9BB" w:rsidR="00C2614D" w:rsidRPr="00B06BDB" w:rsidRDefault="00C2614D" w:rsidP="00A209AF">
      <w:pPr>
        <w:spacing w:after="120" w:line="240" w:lineRule="auto"/>
        <w:jc w:val="both"/>
        <w:rPr>
          <w:sz w:val="20"/>
          <w:szCs w:val="20"/>
          <w:lang w:val="en-US"/>
        </w:rPr>
      </w:pPr>
      <w:r w:rsidRPr="00B06BDB">
        <w:rPr>
          <w:sz w:val="20"/>
          <w:szCs w:val="20"/>
          <w:lang w:val="en-US"/>
        </w:rPr>
        <w:t xml:space="preserve">Bain, P. and Taylor, P. (2000) Entrapped by the ‘electronic </w:t>
      </w:r>
      <w:proofErr w:type="spellStart"/>
      <w:r w:rsidRPr="00B06BDB">
        <w:rPr>
          <w:sz w:val="20"/>
          <w:szCs w:val="20"/>
          <w:lang w:val="en-US"/>
        </w:rPr>
        <w:t>panopticon</w:t>
      </w:r>
      <w:proofErr w:type="spellEnd"/>
      <w:r w:rsidRPr="00B06BDB">
        <w:rPr>
          <w:sz w:val="20"/>
          <w:szCs w:val="20"/>
          <w:lang w:val="en-US"/>
        </w:rPr>
        <w:t xml:space="preserve">’? Worker resistance in the call </w:t>
      </w:r>
      <w:proofErr w:type="spellStart"/>
      <w:r w:rsidRPr="00B06BDB">
        <w:rPr>
          <w:sz w:val="20"/>
          <w:szCs w:val="20"/>
          <w:lang w:val="en-US"/>
        </w:rPr>
        <w:t>centre</w:t>
      </w:r>
      <w:proofErr w:type="spellEnd"/>
      <w:r w:rsidRPr="00B06BDB">
        <w:rPr>
          <w:sz w:val="20"/>
          <w:szCs w:val="20"/>
          <w:lang w:val="en-US"/>
        </w:rPr>
        <w:t>, </w:t>
      </w:r>
      <w:r w:rsidRPr="00B06BDB">
        <w:rPr>
          <w:i/>
          <w:iCs/>
          <w:sz w:val="20"/>
          <w:szCs w:val="20"/>
          <w:lang w:val="en-US"/>
        </w:rPr>
        <w:t xml:space="preserve">New Technology, Work and Employment, Vol </w:t>
      </w:r>
      <w:r w:rsidRPr="00B06BDB">
        <w:rPr>
          <w:sz w:val="20"/>
          <w:szCs w:val="20"/>
          <w:lang w:val="en-US"/>
        </w:rPr>
        <w:t>15, No. 1, pp 2-18.</w:t>
      </w:r>
    </w:p>
    <w:p w14:paraId="3DB7DB7D" w14:textId="77777777" w:rsidR="00C2614D" w:rsidRPr="00B06BDB" w:rsidRDefault="00C2614D"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 xml:space="preserve">Barley, S. (1990) “The Alignment of Technology and Structure through Roles and Networks”, </w:t>
      </w:r>
      <w:r w:rsidRPr="00B06BDB">
        <w:rPr>
          <w:rFonts w:eastAsia="Times New Roman" w:cstheme="minorHAnsi"/>
          <w:i/>
          <w:iCs/>
          <w:sz w:val="20"/>
          <w:szCs w:val="20"/>
          <w:lang w:eastAsia="en-GB"/>
        </w:rPr>
        <w:t xml:space="preserve">Administrative Science Quarterly, Vol </w:t>
      </w:r>
      <w:r w:rsidRPr="00B06BDB">
        <w:rPr>
          <w:rFonts w:eastAsia="Times New Roman" w:cstheme="minorHAnsi"/>
          <w:bCs/>
          <w:sz w:val="20"/>
          <w:szCs w:val="20"/>
          <w:lang w:eastAsia="en-GB"/>
        </w:rPr>
        <w:t xml:space="preserve">35, No. </w:t>
      </w:r>
      <w:r w:rsidRPr="00B06BDB">
        <w:rPr>
          <w:rFonts w:eastAsia="Times New Roman" w:cstheme="minorHAnsi"/>
          <w:sz w:val="20"/>
          <w:szCs w:val="20"/>
          <w:lang w:eastAsia="en-GB"/>
        </w:rPr>
        <w:t>1, pp 61-103.</w:t>
      </w:r>
    </w:p>
    <w:p w14:paraId="2C3F0ADB" w14:textId="356731EB" w:rsidR="00681B00" w:rsidRPr="00B06BDB" w:rsidRDefault="00681B00" w:rsidP="00A209AF">
      <w:pPr>
        <w:spacing w:after="120" w:line="240" w:lineRule="auto"/>
        <w:jc w:val="both"/>
        <w:rPr>
          <w:sz w:val="20"/>
          <w:szCs w:val="20"/>
          <w:lang w:val="en-US"/>
        </w:rPr>
      </w:pPr>
      <w:r w:rsidRPr="00B06BDB">
        <w:rPr>
          <w:rFonts w:eastAsia="Times New Roman" w:cstheme="minorHAnsi"/>
          <w:sz w:val="20"/>
          <w:szCs w:val="20"/>
          <w:lang w:eastAsia="en-GB"/>
        </w:rPr>
        <w:t>B</w:t>
      </w:r>
      <w:r w:rsidR="00E63D0F" w:rsidRPr="00B06BDB">
        <w:rPr>
          <w:rFonts w:eastAsia="Times New Roman" w:cstheme="minorHAnsi"/>
          <w:sz w:val="20"/>
          <w:szCs w:val="20"/>
          <w:lang w:eastAsia="en-GB"/>
        </w:rPr>
        <w:t>axter</w:t>
      </w:r>
      <w:r w:rsidRPr="00B06BDB">
        <w:rPr>
          <w:rFonts w:eastAsia="Times New Roman" w:cstheme="minorHAnsi"/>
          <w:sz w:val="20"/>
          <w:szCs w:val="20"/>
          <w:lang w:eastAsia="en-GB"/>
        </w:rPr>
        <w:t xml:space="preserve">, G. and </w:t>
      </w:r>
      <w:proofErr w:type="spellStart"/>
      <w:r w:rsidRPr="00B06BDB">
        <w:rPr>
          <w:rFonts w:eastAsia="Times New Roman" w:cstheme="minorHAnsi"/>
          <w:sz w:val="20"/>
          <w:szCs w:val="20"/>
          <w:lang w:eastAsia="en-GB"/>
        </w:rPr>
        <w:t>S</w:t>
      </w:r>
      <w:r w:rsidR="00E63D0F" w:rsidRPr="00B06BDB">
        <w:rPr>
          <w:rFonts w:eastAsia="Times New Roman" w:cstheme="minorHAnsi"/>
          <w:sz w:val="20"/>
          <w:szCs w:val="20"/>
          <w:lang w:eastAsia="en-GB"/>
        </w:rPr>
        <w:t>ommerville</w:t>
      </w:r>
      <w:proofErr w:type="spellEnd"/>
      <w:r w:rsidR="00E63D0F" w:rsidRPr="00B06BDB">
        <w:rPr>
          <w:rFonts w:eastAsia="Times New Roman" w:cstheme="minorHAnsi"/>
          <w:sz w:val="20"/>
          <w:szCs w:val="20"/>
          <w:lang w:eastAsia="en-GB"/>
        </w:rPr>
        <w:t>, I.</w:t>
      </w:r>
      <w:r w:rsidRPr="00B06BDB">
        <w:rPr>
          <w:rFonts w:eastAsia="Times New Roman" w:cstheme="minorHAnsi"/>
          <w:sz w:val="20"/>
          <w:szCs w:val="20"/>
          <w:lang w:eastAsia="en-GB"/>
        </w:rPr>
        <w:t xml:space="preserve"> </w:t>
      </w:r>
      <w:r w:rsidR="00E63D0F" w:rsidRPr="00B06BDB">
        <w:rPr>
          <w:rFonts w:eastAsia="Times New Roman" w:cstheme="minorHAnsi"/>
          <w:sz w:val="20"/>
          <w:szCs w:val="20"/>
          <w:lang w:eastAsia="en-GB"/>
        </w:rPr>
        <w:t>(2011)</w:t>
      </w:r>
      <w:r w:rsidRPr="00B06BDB">
        <w:rPr>
          <w:rFonts w:eastAsia="Times New Roman" w:cstheme="minorHAnsi"/>
          <w:sz w:val="20"/>
          <w:szCs w:val="20"/>
          <w:lang w:eastAsia="en-GB"/>
        </w:rPr>
        <w:t xml:space="preserve"> </w:t>
      </w:r>
      <w:r w:rsidR="00E63D0F" w:rsidRPr="00B06BDB">
        <w:rPr>
          <w:rFonts w:eastAsia="Times New Roman" w:cstheme="minorHAnsi"/>
          <w:sz w:val="20"/>
          <w:szCs w:val="20"/>
          <w:lang w:eastAsia="en-GB"/>
        </w:rPr>
        <w:t>“</w:t>
      </w:r>
      <w:r w:rsidRPr="00B06BDB">
        <w:rPr>
          <w:rFonts w:eastAsia="Times New Roman" w:cstheme="minorHAnsi"/>
          <w:sz w:val="20"/>
          <w:szCs w:val="20"/>
          <w:lang w:eastAsia="en-GB"/>
        </w:rPr>
        <w:t>Socio-technical systems: From design</w:t>
      </w:r>
      <w:r w:rsidR="00E63D0F" w:rsidRPr="00B06BDB">
        <w:rPr>
          <w:rFonts w:eastAsia="Times New Roman" w:cstheme="minorHAnsi"/>
          <w:sz w:val="20"/>
          <w:szCs w:val="20"/>
          <w:lang w:eastAsia="en-GB"/>
        </w:rPr>
        <w:t xml:space="preserve"> methods to systems engineering”,</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 xml:space="preserve">Interacting with Computers, </w:t>
      </w:r>
      <w:r w:rsidR="00E63D0F" w:rsidRPr="00B06BDB">
        <w:rPr>
          <w:rFonts w:eastAsia="Times New Roman" w:cstheme="minorHAnsi"/>
          <w:i/>
          <w:iCs/>
          <w:sz w:val="20"/>
          <w:szCs w:val="20"/>
          <w:lang w:eastAsia="en-GB"/>
        </w:rPr>
        <w:t xml:space="preserve">Vol </w:t>
      </w:r>
      <w:r w:rsidRPr="00B06BDB">
        <w:rPr>
          <w:rFonts w:eastAsia="Times New Roman" w:cstheme="minorHAnsi"/>
          <w:bCs/>
          <w:sz w:val="20"/>
          <w:szCs w:val="20"/>
          <w:lang w:eastAsia="en-GB"/>
        </w:rPr>
        <w:t>23</w:t>
      </w:r>
      <w:r w:rsidR="00E63D0F" w:rsidRPr="00B06BDB">
        <w:rPr>
          <w:rFonts w:eastAsia="Times New Roman" w:cstheme="minorHAnsi"/>
          <w:bCs/>
          <w:sz w:val="20"/>
          <w:szCs w:val="20"/>
          <w:lang w:eastAsia="en-GB"/>
        </w:rPr>
        <w:t xml:space="preserve">, No. </w:t>
      </w:r>
      <w:r w:rsidR="00E63D0F" w:rsidRPr="00B06BDB">
        <w:rPr>
          <w:rFonts w:eastAsia="Times New Roman" w:cstheme="minorHAnsi"/>
          <w:sz w:val="20"/>
          <w:szCs w:val="20"/>
          <w:lang w:eastAsia="en-GB"/>
        </w:rPr>
        <w:t>1</w:t>
      </w:r>
      <w:r w:rsidRPr="00B06BDB">
        <w:rPr>
          <w:rFonts w:eastAsia="Times New Roman" w:cstheme="minorHAnsi"/>
          <w:sz w:val="20"/>
          <w:szCs w:val="20"/>
          <w:lang w:eastAsia="en-GB"/>
        </w:rPr>
        <w:t>, pp 4-17.</w:t>
      </w:r>
    </w:p>
    <w:p w14:paraId="26E431CC" w14:textId="18FCAC37" w:rsidR="004A605D" w:rsidRPr="00B06BDB" w:rsidRDefault="004A605D" w:rsidP="00A209AF">
      <w:pPr>
        <w:shd w:val="clear" w:color="auto" w:fill="FFFFFF"/>
        <w:spacing w:after="120" w:line="240" w:lineRule="auto"/>
        <w:jc w:val="both"/>
        <w:rPr>
          <w:rFonts w:eastAsia="Times New Roman" w:cstheme="minorHAnsi"/>
          <w:sz w:val="20"/>
          <w:szCs w:val="20"/>
          <w:lang w:eastAsia="en-GB"/>
        </w:rPr>
      </w:pPr>
      <w:proofErr w:type="spellStart"/>
      <w:r w:rsidRPr="00B06BDB">
        <w:rPr>
          <w:rFonts w:eastAsia="Times New Roman" w:cstheme="minorHAnsi"/>
          <w:sz w:val="20"/>
          <w:szCs w:val="20"/>
          <w:lang w:eastAsia="en-GB"/>
        </w:rPr>
        <w:t>B</w:t>
      </w:r>
      <w:r w:rsidR="00A86FA8" w:rsidRPr="00B06BDB">
        <w:rPr>
          <w:rFonts w:eastAsia="Times New Roman" w:cstheme="minorHAnsi"/>
          <w:sz w:val="20"/>
          <w:szCs w:val="20"/>
          <w:lang w:eastAsia="en-GB"/>
        </w:rPr>
        <w:t>ijker</w:t>
      </w:r>
      <w:proofErr w:type="spellEnd"/>
      <w:r w:rsidRPr="00B06BDB">
        <w:rPr>
          <w:rFonts w:eastAsia="Times New Roman" w:cstheme="minorHAnsi"/>
          <w:sz w:val="20"/>
          <w:szCs w:val="20"/>
          <w:lang w:eastAsia="en-GB"/>
        </w:rPr>
        <w:t>, W.E., D</w:t>
      </w:r>
      <w:r w:rsidR="00A86FA8" w:rsidRPr="00B06BDB">
        <w:rPr>
          <w:rFonts w:eastAsia="Times New Roman" w:cstheme="minorHAnsi"/>
          <w:sz w:val="20"/>
          <w:szCs w:val="20"/>
          <w:lang w:eastAsia="en-GB"/>
        </w:rPr>
        <w:t>ouglas</w:t>
      </w:r>
      <w:r w:rsidRPr="00B06BDB">
        <w:rPr>
          <w:rFonts w:eastAsia="Times New Roman" w:cstheme="minorHAnsi"/>
          <w:sz w:val="20"/>
          <w:szCs w:val="20"/>
          <w:lang w:eastAsia="en-GB"/>
        </w:rPr>
        <w:t>, D.G., H</w:t>
      </w:r>
      <w:r w:rsidR="00A86FA8" w:rsidRPr="00B06BDB">
        <w:rPr>
          <w:rFonts w:eastAsia="Times New Roman" w:cstheme="minorHAnsi"/>
          <w:sz w:val="20"/>
          <w:szCs w:val="20"/>
          <w:lang w:eastAsia="en-GB"/>
        </w:rPr>
        <w:t>ughes</w:t>
      </w:r>
      <w:r w:rsidRPr="00B06BDB">
        <w:rPr>
          <w:rFonts w:eastAsia="Times New Roman" w:cstheme="minorHAnsi"/>
          <w:sz w:val="20"/>
          <w:szCs w:val="20"/>
          <w:lang w:eastAsia="en-GB"/>
        </w:rPr>
        <w:t>, T.P. and P</w:t>
      </w:r>
      <w:r w:rsidR="00A86FA8" w:rsidRPr="00B06BDB">
        <w:rPr>
          <w:rFonts w:eastAsia="Times New Roman" w:cstheme="minorHAnsi"/>
          <w:sz w:val="20"/>
          <w:szCs w:val="20"/>
          <w:lang w:eastAsia="en-GB"/>
        </w:rPr>
        <w:t>inch, T. (</w:t>
      </w:r>
      <w:r w:rsidRPr="00B06BDB">
        <w:rPr>
          <w:rFonts w:eastAsia="Times New Roman" w:cstheme="minorHAnsi"/>
          <w:sz w:val="20"/>
          <w:szCs w:val="20"/>
          <w:lang w:eastAsia="en-GB"/>
        </w:rPr>
        <w:t>2012</w:t>
      </w:r>
      <w:r w:rsidR="00A86FA8"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The Social Constr</w:t>
      </w:r>
      <w:r w:rsidR="00A86FA8" w:rsidRPr="00B06BDB">
        <w:rPr>
          <w:rFonts w:eastAsia="Times New Roman" w:cstheme="minorHAnsi"/>
          <w:i/>
          <w:iCs/>
          <w:sz w:val="20"/>
          <w:szCs w:val="20"/>
          <w:lang w:eastAsia="en-GB"/>
        </w:rPr>
        <w:t>uction of Technological Systems</w:t>
      </w:r>
      <w:r w:rsidR="006B24BC" w:rsidRPr="00B06BDB">
        <w:rPr>
          <w:rFonts w:eastAsia="Times New Roman" w:cstheme="minorHAnsi"/>
          <w:i/>
          <w:iCs/>
          <w:sz w:val="20"/>
          <w:szCs w:val="20"/>
          <w:lang w:eastAsia="en-GB"/>
        </w:rPr>
        <w:t xml:space="preserve">, </w:t>
      </w:r>
      <w:r w:rsidR="006B24BC" w:rsidRPr="00B06BDB">
        <w:rPr>
          <w:rFonts w:eastAsia="Times New Roman" w:cstheme="minorHAnsi"/>
          <w:sz w:val="20"/>
          <w:szCs w:val="20"/>
          <w:lang w:eastAsia="en-GB"/>
        </w:rPr>
        <w:t>MIT</w:t>
      </w:r>
      <w:r w:rsidRPr="00B06BDB">
        <w:rPr>
          <w:rFonts w:eastAsia="Times New Roman" w:cstheme="minorHAnsi"/>
          <w:sz w:val="20"/>
          <w:szCs w:val="20"/>
          <w:lang w:eastAsia="en-GB"/>
        </w:rPr>
        <w:t xml:space="preserve"> Press</w:t>
      </w:r>
      <w:r w:rsidR="00A86FA8" w:rsidRPr="00B06BDB">
        <w:rPr>
          <w:rFonts w:eastAsia="Times New Roman" w:cstheme="minorHAnsi"/>
          <w:sz w:val="20"/>
          <w:szCs w:val="20"/>
          <w:lang w:eastAsia="en-GB"/>
        </w:rPr>
        <w:t>, Cambridge</w:t>
      </w:r>
      <w:r w:rsidRPr="00B06BDB">
        <w:rPr>
          <w:rFonts w:eastAsia="Times New Roman" w:cstheme="minorHAnsi"/>
          <w:sz w:val="20"/>
          <w:szCs w:val="20"/>
          <w:lang w:eastAsia="en-GB"/>
        </w:rPr>
        <w:t>.</w:t>
      </w:r>
    </w:p>
    <w:p w14:paraId="0C156536" w14:textId="2D569CC9" w:rsidR="00A209AF" w:rsidRPr="00B06BDB" w:rsidRDefault="00A209AF" w:rsidP="00A209AF">
      <w:pPr>
        <w:jc w:val="both"/>
        <w:rPr>
          <w:sz w:val="20"/>
          <w:szCs w:val="20"/>
        </w:rPr>
      </w:pPr>
      <w:r w:rsidRPr="00B06BDB">
        <w:rPr>
          <w:sz w:val="20"/>
          <w:szCs w:val="20"/>
        </w:rPr>
        <w:t xml:space="preserve">Brinkerhoff, J. M. (2015) Agency in institutional reform: Creating the Ethiopia commodities exchange. </w:t>
      </w:r>
      <w:r w:rsidRPr="00B06BDB">
        <w:rPr>
          <w:i/>
          <w:sz w:val="20"/>
          <w:szCs w:val="20"/>
        </w:rPr>
        <w:t>Public Administration and Development</w:t>
      </w:r>
      <w:r w:rsidRPr="00B06BDB">
        <w:rPr>
          <w:sz w:val="20"/>
          <w:szCs w:val="20"/>
        </w:rPr>
        <w:t xml:space="preserve">, 35(4), 301-314. </w:t>
      </w:r>
    </w:p>
    <w:p w14:paraId="42497337" w14:textId="5F55F670"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D</w:t>
      </w:r>
      <w:r w:rsidR="009130F1" w:rsidRPr="00B06BDB">
        <w:rPr>
          <w:rFonts w:eastAsia="Times New Roman" w:cstheme="minorHAnsi"/>
          <w:sz w:val="20"/>
          <w:szCs w:val="20"/>
          <w:lang w:eastAsia="en-GB"/>
        </w:rPr>
        <w:t>oherty</w:t>
      </w:r>
      <w:r w:rsidRPr="00B06BDB">
        <w:rPr>
          <w:rFonts w:eastAsia="Times New Roman" w:cstheme="minorHAnsi"/>
          <w:sz w:val="20"/>
          <w:szCs w:val="20"/>
          <w:lang w:eastAsia="en-GB"/>
        </w:rPr>
        <w:t>, N.F., C</w:t>
      </w:r>
      <w:r w:rsidR="009130F1" w:rsidRPr="00B06BDB">
        <w:rPr>
          <w:rFonts w:eastAsia="Times New Roman" w:cstheme="minorHAnsi"/>
          <w:sz w:val="20"/>
          <w:szCs w:val="20"/>
          <w:lang w:eastAsia="en-GB"/>
        </w:rPr>
        <w:t>oombs</w:t>
      </w:r>
      <w:r w:rsidRPr="00B06BDB">
        <w:rPr>
          <w:rFonts w:eastAsia="Times New Roman" w:cstheme="minorHAnsi"/>
          <w:sz w:val="20"/>
          <w:szCs w:val="20"/>
          <w:lang w:eastAsia="en-GB"/>
        </w:rPr>
        <w:t>, C.R. and L</w:t>
      </w:r>
      <w:r w:rsidR="009130F1" w:rsidRPr="00B06BDB">
        <w:rPr>
          <w:rFonts w:eastAsia="Times New Roman" w:cstheme="minorHAnsi"/>
          <w:sz w:val="20"/>
          <w:szCs w:val="20"/>
          <w:lang w:eastAsia="en-GB"/>
        </w:rPr>
        <w:t>oan</w:t>
      </w:r>
      <w:r w:rsidRPr="00B06BDB">
        <w:rPr>
          <w:rFonts w:eastAsia="Times New Roman" w:cstheme="minorHAnsi"/>
          <w:sz w:val="20"/>
          <w:szCs w:val="20"/>
          <w:lang w:eastAsia="en-GB"/>
        </w:rPr>
        <w:t>-C</w:t>
      </w:r>
      <w:r w:rsidR="009130F1" w:rsidRPr="00B06BDB">
        <w:rPr>
          <w:rFonts w:eastAsia="Times New Roman" w:cstheme="minorHAnsi"/>
          <w:sz w:val="20"/>
          <w:szCs w:val="20"/>
          <w:lang w:eastAsia="en-GB"/>
        </w:rPr>
        <w:t>larke, J.</w:t>
      </w:r>
      <w:r w:rsidRPr="00B06BDB">
        <w:rPr>
          <w:rFonts w:eastAsia="Times New Roman" w:cstheme="minorHAnsi"/>
          <w:sz w:val="20"/>
          <w:szCs w:val="20"/>
          <w:lang w:eastAsia="en-GB"/>
        </w:rPr>
        <w:t xml:space="preserve"> </w:t>
      </w:r>
      <w:r w:rsidR="009130F1" w:rsidRPr="00B06BDB">
        <w:rPr>
          <w:rFonts w:eastAsia="Times New Roman" w:cstheme="minorHAnsi"/>
          <w:sz w:val="20"/>
          <w:szCs w:val="20"/>
          <w:lang w:eastAsia="en-GB"/>
        </w:rPr>
        <w:t>(</w:t>
      </w:r>
      <w:r w:rsidRPr="00B06BDB">
        <w:rPr>
          <w:rFonts w:eastAsia="Times New Roman" w:cstheme="minorHAnsi"/>
          <w:sz w:val="20"/>
          <w:szCs w:val="20"/>
          <w:lang w:eastAsia="en-GB"/>
        </w:rPr>
        <w:t>2006</w:t>
      </w:r>
      <w:r w:rsidR="009130F1" w:rsidRPr="00B06BDB">
        <w:rPr>
          <w:rFonts w:eastAsia="Times New Roman" w:cstheme="minorHAnsi"/>
          <w:sz w:val="20"/>
          <w:szCs w:val="20"/>
          <w:lang w:eastAsia="en-GB"/>
        </w:rPr>
        <w:t>)</w:t>
      </w:r>
      <w:r w:rsidRPr="00B06BDB">
        <w:rPr>
          <w:rFonts w:eastAsia="Times New Roman" w:cstheme="minorHAnsi"/>
          <w:sz w:val="20"/>
          <w:szCs w:val="20"/>
          <w:lang w:eastAsia="en-GB"/>
        </w:rPr>
        <w:t xml:space="preserve"> A re-conceptualization of the interpretive flexibility of information technologies: redressing the balance between the social </w:t>
      </w:r>
      <w:r w:rsidR="009130F1" w:rsidRPr="00B06BDB">
        <w:rPr>
          <w:rFonts w:eastAsia="Times New Roman" w:cstheme="minorHAnsi"/>
          <w:sz w:val="20"/>
          <w:szCs w:val="20"/>
          <w:lang w:eastAsia="en-GB"/>
        </w:rPr>
        <w:t>and the technical,</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 xml:space="preserve">European Journal of Information Systems, </w:t>
      </w:r>
      <w:r w:rsidR="009130F1" w:rsidRPr="00B06BDB">
        <w:rPr>
          <w:rFonts w:eastAsia="Times New Roman" w:cstheme="minorHAnsi"/>
          <w:i/>
          <w:iCs/>
          <w:sz w:val="20"/>
          <w:szCs w:val="20"/>
          <w:lang w:eastAsia="en-GB"/>
        </w:rPr>
        <w:t xml:space="preserve">Vol </w:t>
      </w:r>
      <w:r w:rsidRPr="00B06BDB">
        <w:rPr>
          <w:rFonts w:eastAsia="Times New Roman" w:cstheme="minorHAnsi"/>
          <w:bCs/>
          <w:sz w:val="20"/>
          <w:szCs w:val="20"/>
          <w:lang w:eastAsia="en-GB"/>
        </w:rPr>
        <w:t>15</w:t>
      </w:r>
      <w:r w:rsidR="009130F1" w:rsidRPr="00B06BDB">
        <w:rPr>
          <w:rFonts w:eastAsia="Times New Roman" w:cstheme="minorHAnsi"/>
          <w:bCs/>
          <w:sz w:val="20"/>
          <w:szCs w:val="20"/>
          <w:lang w:eastAsia="en-GB"/>
        </w:rPr>
        <w:t xml:space="preserve">, No. </w:t>
      </w:r>
      <w:r w:rsidRPr="00B06BDB">
        <w:rPr>
          <w:rFonts w:eastAsia="Times New Roman" w:cstheme="minorHAnsi"/>
          <w:sz w:val="20"/>
          <w:szCs w:val="20"/>
          <w:lang w:eastAsia="en-GB"/>
        </w:rPr>
        <w:t>6, pp 569-582.</w:t>
      </w:r>
    </w:p>
    <w:p w14:paraId="39BBE24C" w14:textId="32F4387D" w:rsidR="00A209AF" w:rsidRPr="00B06BDB" w:rsidRDefault="00A209AF" w:rsidP="00A209AF">
      <w:pPr>
        <w:jc w:val="both"/>
        <w:rPr>
          <w:sz w:val="20"/>
          <w:szCs w:val="20"/>
        </w:rPr>
      </w:pPr>
      <w:proofErr w:type="spellStart"/>
      <w:r w:rsidRPr="00B06BDB">
        <w:rPr>
          <w:sz w:val="20"/>
          <w:szCs w:val="20"/>
        </w:rPr>
        <w:t>Eakin</w:t>
      </w:r>
      <w:proofErr w:type="spellEnd"/>
      <w:r w:rsidRPr="00B06BDB">
        <w:rPr>
          <w:sz w:val="20"/>
          <w:szCs w:val="20"/>
        </w:rPr>
        <w:t xml:space="preserve">, H., </w:t>
      </w:r>
      <w:proofErr w:type="spellStart"/>
      <w:r w:rsidRPr="00B06BDB">
        <w:rPr>
          <w:sz w:val="20"/>
          <w:szCs w:val="20"/>
        </w:rPr>
        <w:t>Eriksen</w:t>
      </w:r>
      <w:proofErr w:type="spellEnd"/>
      <w:r w:rsidRPr="00B06BDB">
        <w:rPr>
          <w:sz w:val="20"/>
          <w:szCs w:val="20"/>
        </w:rPr>
        <w:t xml:space="preserve">, S., </w:t>
      </w:r>
      <w:proofErr w:type="spellStart"/>
      <w:r w:rsidRPr="00B06BDB">
        <w:rPr>
          <w:sz w:val="20"/>
          <w:szCs w:val="20"/>
        </w:rPr>
        <w:t>Eikeland</w:t>
      </w:r>
      <w:proofErr w:type="spellEnd"/>
      <w:r w:rsidRPr="00B06BDB">
        <w:rPr>
          <w:sz w:val="20"/>
          <w:szCs w:val="20"/>
        </w:rPr>
        <w:t xml:space="preserve">, P., &amp; </w:t>
      </w:r>
      <w:proofErr w:type="spellStart"/>
      <w:r w:rsidRPr="00B06BDB">
        <w:rPr>
          <w:sz w:val="20"/>
          <w:szCs w:val="20"/>
        </w:rPr>
        <w:t>Øyen</w:t>
      </w:r>
      <w:proofErr w:type="spellEnd"/>
      <w:r w:rsidRPr="00B06BDB">
        <w:rPr>
          <w:sz w:val="20"/>
          <w:szCs w:val="20"/>
        </w:rPr>
        <w:t xml:space="preserve">, C. (2011) Public sector reform and governance for adaptation: Implications of new public management for adaptive capacity in Mexico and Norway, </w:t>
      </w:r>
      <w:r w:rsidRPr="00B06BDB">
        <w:rPr>
          <w:i/>
          <w:sz w:val="20"/>
          <w:szCs w:val="20"/>
        </w:rPr>
        <w:t>Environmental Management</w:t>
      </w:r>
      <w:r w:rsidRPr="00B06BDB">
        <w:rPr>
          <w:sz w:val="20"/>
          <w:szCs w:val="20"/>
        </w:rPr>
        <w:t xml:space="preserve">, 47(3), 338-351. </w:t>
      </w:r>
    </w:p>
    <w:p w14:paraId="38D1AF72" w14:textId="77777777" w:rsidR="00A209AF" w:rsidRPr="00B06BDB" w:rsidRDefault="00A209AF" w:rsidP="00A209AF">
      <w:pPr>
        <w:jc w:val="both"/>
        <w:rPr>
          <w:sz w:val="20"/>
          <w:szCs w:val="20"/>
        </w:rPr>
      </w:pPr>
      <w:r w:rsidRPr="00B06BDB">
        <w:rPr>
          <w:sz w:val="20"/>
          <w:szCs w:val="20"/>
        </w:rPr>
        <w:t xml:space="preserve">Flinders, M., &amp; </w:t>
      </w:r>
      <w:proofErr w:type="spellStart"/>
      <w:r w:rsidRPr="00B06BDB">
        <w:rPr>
          <w:sz w:val="20"/>
          <w:szCs w:val="20"/>
        </w:rPr>
        <w:t>Tonkiss</w:t>
      </w:r>
      <w:proofErr w:type="spellEnd"/>
      <w:r w:rsidRPr="00B06BDB">
        <w:rPr>
          <w:sz w:val="20"/>
          <w:szCs w:val="20"/>
        </w:rPr>
        <w:t xml:space="preserve">, K. (2016) From ‘poor parenting’ to micro-management: Coalition governance and the sponsorship of arm’s-length bodies in the united kingdom, 2010–13, </w:t>
      </w:r>
      <w:r w:rsidRPr="00B06BDB">
        <w:rPr>
          <w:i/>
          <w:sz w:val="20"/>
          <w:szCs w:val="20"/>
        </w:rPr>
        <w:t>International Review of Administrative Sciences</w:t>
      </w:r>
      <w:r w:rsidRPr="00B06BDB">
        <w:rPr>
          <w:sz w:val="20"/>
          <w:szCs w:val="20"/>
        </w:rPr>
        <w:t xml:space="preserve">, 82(3), 490-515. </w:t>
      </w:r>
    </w:p>
    <w:p w14:paraId="2436E275" w14:textId="4FF6E298"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F</w:t>
      </w:r>
      <w:r w:rsidR="009130F1" w:rsidRPr="00B06BDB">
        <w:rPr>
          <w:rFonts w:eastAsia="Times New Roman" w:cstheme="minorHAnsi"/>
          <w:sz w:val="20"/>
          <w:szCs w:val="20"/>
          <w:lang w:eastAsia="en-GB"/>
        </w:rPr>
        <w:t>ountain, J.</w:t>
      </w:r>
      <w:r w:rsidRPr="00B06BDB">
        <w:rPr>
          <w:rFonts w:eastAsia="Times New Roman" w:cstheme="minorHAnsi"/>
          <w:sz w:val="20"/>
          <w:szCs w:val="20"/>
          <w:lang w:eastAsia="en-GB"/>
        </w:rPr>
        <w:t xml:space="preserve"> </w:t>
      </w:r>
      <w:r w:rsidR="009130F1" w:rsidRPr="00B06BDB">
        <w:rPr>
          <w:rFonts w:eastAsia="Times New Roman" w:cstheme="minorHAnsi"/>
          <w:sz w:val="20"/>
          <w:szCs w:val="20"/>
          <w:lang w:eastAsia="en-GB"/>
        </w:rPr>
        <w:t>(</w:t>
      </w:r>
      <w:r w:rsidRPr="00B06BDB">
        <w:rPr>
          <w:rFonts w:eastAsia="Times New Roman" w:cstheme="minorHAnsi"/>
          <w:sz w:val="20"/>
          <w:szCs w:val="20"/>
          <w:lang w:eastAsia="en-GB"/>
        </w:rPr>
        <w:t>2001</w:t>
      </w:r>
      <w:r w:rsidR="009130F1"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009130F1" w:rsidRPr="00B06BDB">
        <w:rPr>
          <w:rFonts w:eastAsia="Times New Roman" w:cstheme="minorHAnsi"/>
          <w:i/>
          <w:iCs/>
          <w:sz w:val="20"/>
          <w:szCs w:val="20"/>
          <w:lang w:eastAsia="en-GB"/>
        </w:rPr>
        <w:t>Building the virtual state,</w:t>
      </w:r>
      <w:r w:rsidRPr="00B06BDB">
        <w:rPr>
          <w:rFonts w:eastAsia="Times New Roman" w:cstheme="minorHAnsi"/>
          <w:sz w:val="20"/>
          <w:szCs w:val="20"/>
          <w:lang w:eastAsia="en-GB"/>
        </w:rPr>
        <w:t xml:space="preserve"> Brookings Inst. Press</w:t>
      </w:r>
      <w:r w:rsidR="009130F1" w:rsidRPr="00B06BDB">
        <w:rPr>
          <w:rFonts w:eastAsia="Times New Roman" w:cstheme="minorHAnsi"/>
          <w:sz w:val="20"/>
          <w:szCs w:val="20"/>
          <w:lang w:eastAsia="en-GB"/>
        </w:rPr>
        <w:t>, Washington, DC</w:t>
      </w:r>
      <w:r w:rsidRPr="00B06BDB">
        <w:rPr>
          <w:rFonts w:eastAsia="Times New Roman" w:cstheme="minorHAnsi"/>
          <w:sz w:val="20"/>
          <w:szCs w:val="20"/>
          <w:lang w:eastAsia="en-GB"/>
        </w:rPr>
        <w:t>.</w:t>
      </w:r>
    </w:p>
    <w:p w14:paraId="6BAC4AB9" w14:textId="77777777" w:rsidR="00A209AF" w:rsidRPr="00B06BDB" w:rsidRDefault="00A209AF" w:rsidP="00A209AF">
      <w:pPr>
        <w:jc w:val="both"/>
        <w:rPr>
          <w:sz w:val="20"/>
          <w:szCs w:val="20"/>
        </w:rPr>
      </w:pPr>
      <w:proofErr w:type="spellStart"/>
      <w:r w:rsidRPr="00B06BDB">
        <w:rPr>
          <w:sz w:val="20"/>
          <w:szCs w:val="20"/>
        </w:rPr>
        <w:t>Giesbrecht</w:t>
      </w:r>
      <w:proofErr w:type="spellEnd"/>
      <w:r w:rsidRPr="00B06BDB">
        <w:rPr>
          <w:sz w:val="20"/>
          <w:szCs w:val="20"/>
        </w:rPr>
        <w:t xml:space="preserve">, T., Scholl, H. J., &amp; </w:t>
      </w:r>
      <w:proofErr w:type="spellStart"/>
      <w:r w:rsidRPr="00B06BDB">
        <w:rPr>
          <w:sz w:val="20"/>
          <w:szCs w:val="20"/>
        </w:rPr>
        <w:t>Schwabe</w:t>
      </w:r>
      <w:proofErr w:type="spellEnd"/>
      <w:r w:rsidRPr="00B06BDB">
        <w:rPr>
          <w:sz w:val="20"/>
          <w:szCs w:val="20"/>
        </w:rPr>
        <w:t xml:space="preserve">, G. (2016) Smart advisors in the front office: Designing employee-empowering and citizen-centric services. </w:t>
      </w:r>
      <w:r w:rsidRPr="00B06BDB">
        <w:rPr>
          <w:i/>
          <w:sz w:val="20"/>
          <w:szCs w:val="20"/>
        </w:rPr>
        <w:t>Government Information Quarterly</w:t>
      </w:r>
      <w:r w:rsidRPr="00B06BDB">
        <w:rPr>
          <w:sz w:val="20"/>
          <w:szCs w:val="20"/>
        </w:rPr>
        <w:t xml:space="preserve">, 33(4), 669-684. </w:t>
      </w:r>
    </w:p>
    <w:p w14:paraId="3A399E10" w14:textId="279666EA" w:rsidR="00A209AF"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lastRenderedPageBreak/>
        <w:t>G</w:t>
      </w:r>
      <w:r w:rsidR="009130F1" w:rsidRPr="00B06BDB">
        <w:rPr>
          <w:rFonts w:eastAsia="Times New Roman" w:cstheme="minorHAnsi"/>
          <w:sz w:val="20"/>
          <w:szCs w:val="20"/>
          <w:lang w:eastAsia="en-GB"/>
        </w:rPr>
        <w:t>il</w:t>
      </w:r>
      <w:r w:rsidRPr="00B06BDB">
        <w:rPr>
          <w:rFonts w:eastAsia="Times New Roman" w:cstheme="minorHAnsi"/>
          <w:sz w:val="20"/>
          <w:szCs w:val="20"/>
          <w:lang w:eastAsia="en-GB"/>
        </w:rPr>
        <w:t>-G</w:t>
      </w:r>
      <w:r w:rsidR="009130F1" w:rsidRPr="00B06BDB">
        <w:rPr>
          <w:rFonts w:eastAsia="Times New Roman" w:cstheme="minorHAnsi"/>
          <w:sz w:val="20"/>
          <w:szCs w:val="20"/>
          <w:lang w:eastAsia="en-GB"/>
        </w:rPr>
        <w:t>arcia</w:t>
      </w:r>
      <w:r w:rsidRPr="00B06BDB">
        <w:rPr>
          <w:rFonts w:eastAsia="Times New Roman" w:cstheme="minorHAnsi"/>
          <w:sz w:val="20"/>
          <w:szCs w:val="20"/>
          <w:lang w:eastAsia="en-GB"/>
        </w:rPr>
        <w:t xml:space="preserve">, J.R. </w:t>
      </w:r>
      <w:r w:rsidR="009130F1" w:rsidRPr="00B06BDB">
        <w:rPr>
          <w:rFonts w:eastAsia="Times New Roman" w:cstheme="minorHAnsi"/>
          <w:sz w:val="20"/>
          <w:szCs w:val="20"/>
          <w:lang w:eastAsia="en-GB"/>
        </w:rPr>
        <w:t>(</w:t>
      </w:r>
      <w:r w:rsidRPr="00B06BDB">
        <w:rPr>
          <w:rFonts w:eastAsia="Times New Roman" w:cstheme="minorHAnsi"/>
          <w:sz w:val="20"/>
          <w:szCs w:val="20"/>
          <w:lang w:eastAsia="en-GB"/>
        </w:rPr>
        <w:t>2012</w:t>
      </w:r>
      <w:r w:rsidR="009130F1"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Enacting electronic government success</w:t>
      </w:r>
      <w:r w:rsidR="009130F1" w:rsidRPr="00B06BDB">
        <w:rPr>
          <w:rFonts w:eastAsia="Times New Roman" w:cstheme="minorHAnsi"/>
          <w:i/>
          <w:iCs/>
          <w:sz w:val="20"/>
          <w:szCs w:val="20"/>
          <w:lang w:eastAsia="en-GB"/>
        </w:rPr>
        <w:t>,</w:t>
      </w:r>
      <w:r w:rsidRPr="00B06BDB">
        <w:rPr>
          <w:rFonts w:eastAsia="Times New Roman" w:cstheme="minorHAnsi"/>
          <w:i/>
          <w:iCs/>
          <w:sz w:val="20"/>
          <w:szCs w:val="20"/>
          <w:lang w:eastAsia="en-GB"/>
        </w:rPr>
        <w:t xml:space="preserve"> </w:t>
      </w:r>
      <w:r w:rsidRPr="00B06BDB">
        <w:rPr>
          <w:rFonts w:eastAsia="Times New Roman" w:cstheme="minorHAnsi"/>
          <w:sz w:val="20"/>
          <w:szCs w:val="20"/>
          <w:lang w:eastAsia="en-GB"/>
        </w:rPr>
        <w:t>Springer</w:t>
      </w:r>
      <w:r w:rsidR="009130F1" w:rsidRPr="00B06BDB">
        <w:rPr>
          <w:rFonts w:eastAsia="Times New Roman" w:cstheme="minorHAnsi"/>
          <w:sz w:val="20"/>
          <w:szCs w:val="20"/>
          <w:lang w:eastAsia="en-GB"/>
        </w:rPr>
        <w:t>, New York, NY</w:t>
      </w:r>
      <w:r w:rsidRPr="00B06BDB">
        <w:rPr>
          <w:rFonts w:eastAsia="Times New Roman" w:cstheme="minorHAnsi"/>
          <w:sz w:val="20"/>
          <w:szCs w:val="20"/>
          <w:lang w:eastAsia="en-GB"/>
        </w:rPr>
        <w:t>.</w:t>
      </w:r>
    </w:p>
    <w:p w14:paraId="5F5DD5A0" w14:textId="77777777" w:rsidR="00CF52FC" w:rsidRPr="00B06BDB" w:rsidRDefault="00CF52FC" w:rsidP="00A209AF">
      <w:pPr>
        <w:spacing w:after="120" w:line="240" w:lineRule="auto"/>
        <w:jc w:val="both"/>
        <w:rPr>
          <w:sz w:val="20"/>
          <w:szCs w:val="20"/>
          <w:lang w:val="en-US"/>
        </w:rPr>
      </w:pPr>
      <w:proofErr w:type="spellStart"/>
      <w:r w:rsidRPr="00B06BDB">
        <w:rPr>
          <w:sz w:val="20"/>
          <w:szCs w:val="20"/>
        </w:rPr>
        <w:t>Grint</w:t>
      </w:r>
      <w:proofErr w:type="spellEnd"/>
      <w:r w:rsidRPr="00B06BDB">
        <w:rPr>
          <w:sz w:val="20"/>
          <w:szCs w:val="20"/>
        </w:rPr>
        <w:t xml:space="preserve">, K. and </w:t>
      </w:r>
      <w:proofErr w:type="spellStart"/>
      <w:r w:rsidRPr="00B06BDB">
        <w:rPr>
          <w:sz w:val="20"/>
          <w:szCs w:val="20"/>
        </w:rPr>
        <w:t>Woolgar</w:t>
      </w:r>
      <w:proofErr w:type="spellEnd"/>
      <w:r w:rsidRPr="00B06BDB">
        <w:rPr>
          <w:sz w:val="20"/>
          <w:szCs w:val="20"/>
        </w:rPr>
        <w:t xml:space="preserve">, S. (1997) </w:t>
      </w:r>
      <w:r w:rsidRPr="00B06BDB">
        <w:rPr>
          <w:i/>
          <w:iCs/>
          <w:sz w:val="20"/>
          <w:szCs w:val="20"/>
        </w:rPr>
        <w:t>The Machine at Work</w:t>
      </w:r>
      <w:r w:rsidRPr="00B06BDB">
        <w:rPr>
          <w:sz w:val="20"/>
          <w:szCs w:val="20"/>
        </w:rPr>
        <w:t xml:space="preserve">, Polity, </w:t>
      </w:r>
      <w:proofErr w:type="gramStart"/>
      <w:r w:rsidRPr="00B06BDB">
        <w:rPr>
          <w:sz w:val="20"/>
          <w:szCs w:val="20"/>
        </w:rPr>
        <w:t>Cambridge</w:t>
      </w:r>
      <w:proofErr w:type="gramEnd"/>
      <w:r w:rsidRPr="00B06BDB">
        <w:rPr>
          <w:sz w:val="20"/>
          <w:szCs w:val="20"/>
        </w:rPr>
        <w:t>.</w:t>
      </w:r>
    </w:p>
    <w:p w14:paraId="77C12708" w14:textId="7446F465" w:rsidR="004A605D" w:rsidRPr="00B06BDB" w:rsidRDefault="004A605D"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H</w:t>
      </w:r>
      <w:r w:rsidR="00CF13A4" w:rsidRPr="00B06BDB">
        <w:rPr>
          <w:rFonts w:eastAsia="Times New Roman" w:cstheme="minorHAnsi"/>
          <w:sz w:val="20"/>
          <w:szCs w:val="20"/>
          <w:lang w:eastAsia="en-GB"/>
        </w:rPr>
        <w:t>enderson</w:t>
      </w:r>
      <w:r w:rsidRPr="00B06BDB">
        <w:rPr>
          <w:rFonts w:eastAsia="Times New Roman" w:cstheme="minorHAnsi"/>
          <w:sz w:val="20"/>
          <w:szCs w:val="20"/>
          <w:lang w:eastAsia="en-GB"/>
        </w:rPr>
        <w:t xml:space="preserve">, J.C. and </w:t>
      </w:r>
      <w:proofErr w:type="spellStart"/>
      <w:r w:rsidRPr="00B06BDB">
        <w:rPr>
          <w:rFonts w:eastAsia="Times New Roman" w:cstheme="minorHAnsi"/>
          <w:sz w:val="20"/>
          <w:szCs w:val="20"/>
          <w:lang w:eastAsia="en-GB"/>
        </w:rPr>
        <w:t>V</w:t>
      </w:r>
      <w:r w:rsidR="00CF13A4" w:rsidRPr="00B06BDB">
        <w:rPr>
          <w:rFonts w:eastAsia="Times New Roman" w:cstheme="minorHAnsi"/>
          <w:sz w:val="20"/>
          <w:szCs w:val="20"/>
          <w:lang w:eastAsia="en-GB"/>
        </w:rPr>
        <w:t>enkatraman</w:t>
      </w:r>
      <w:proofErr w:type="spellEnd"/>
      <w:r w:rsidR="00CF13A4" w:rsidRPr="00B06BDB">
        <w:rPr>
          <w:rFonts w:eastAsia="Times New Roman" w:cstheme="minorHAnsi"/>
          <w:sz w:val="20"/>
          <w:szCs w:val="20"/>
          <w:lang w:eastAsia="en-GB"/>
        </w:rPr>
        <w:t>, H.</w:t>
      </w:r>
      <w:r w:rsidRPr="00B06BDB">
        <w:rPr>
          <w:rFonts w:eastAsia="Times New Roman" w:cstheme="minorHAnsi"/>
          <w:sz w:val="20"/>
          <w:szCs w:val="20"/>
          <w:lang w:eastAsia="en-GB"/>
        </w:rPr>
        <w:t xml:space="preserve"> </w:t>
      </w:r>
      <w:r w:rsidR="00CF13A4" w:rsidRPr="00B06BDB">
        <w:rPr>
          <w:rFonts w:eastAsia="Times New Roman" w:cstheme="minorHAnsi"/>
          <w:sz w:val="20"/>
          <w:szCs w:val="20"/>
          <w:lang w:eastAsia="en-GB"/>
        </w:rPr>
        <w:t>(</w:t>
      </w:r>
      <w:r w:rsidRPr="00B06BDB">
        <w:rPr>
          <w:rFonts w:eastAsia="Times New Roman" w:cstheme="minorHAnsi"/>
          <w:sz w:val="20"/>
          <w:szCs w:val="20"/>
          <w:lang w:eastAsia="en-GB"/>
        </w:rPr>
        <w:t>1999</w:t>
      </w:r>
      <w:r w:rsidR="00CF13A4" w:rsidRPr="00B06BDB">
        <w:rPr>
          <w:rFonts w:eastAsia="Times New Roman" w:cstheme="minorHAnsi"/>
          <w:sz w:val="20"/>
          <w:szCs w:val="20"/>
          <w:lang w:eastAsia="en-GB"/>
        </w:rPr>
        <w:t>)</w:t>
      </w:r>
      <w:r w:rsidRPr="00B06BDB">
        <w:rPr>
          <w:rFonts w:eastAsia="Times New Roman" w:cstheme="minorHAnsi"/>
          <w:sz w:val="20"/>
          <w:szCs w:val="20"/>
          <w:lang w:eastAsia="en-GB"/>
        </w:rPr>
        <w:t xml:space="preserve"> Strategic alignment: Leveraging information technology for transforming organizations</w:t>
      </w:r>
      <w:r w:rsidR="00CF13A4"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IBM Systems Journal,</w:t>
      </w:r>
      <w:r w:rsidR="00CF13A4" w:rsidRPr="00B06BDB">
        <w:rPr>
          <w:rFonts w:eastAsia="Times New Roman" w:cstheme="minorHAnsi"/>
          <w:i/>
          <w:iCs/>
          <w:sz w:val="20"/>
          <w:szCs w:val="20"/>
          <w:lang w:eastAsia="en-GB"/>
        </w:rPr>
        <w:t xml:space="preserve"> Vol</w:t>
      </w:r>
      <w:r w:rsidRPr="00B06BDB">
        <w:rPr>
          <w:rFonts w:eastAsia="Times New Roman" w:cstheme="minorHAnsi"/>
          <w:i/>
          <w:iCs/>
          <w:sz w:val="20"/>
          <w:szCs w:val="20"/>
          <w:lang w:eastAsia="en-GB"/>
        </w:rPr>
        <w:t xml:space="preserve"> </w:t>
      </w:r>
      <w:r w:rsidRPr="00B06BDB">
        <w:rPr>
          <w:rFonts w:eastAsia="Times New Roman" w:cstheme="minorHAnsi"/>
          <w:bCs/>
          <w:sz w:val="20"/>
          <w:szCs w:val="20"/>
          <w:lang w:eastAsia="en-GB"/>
        </w:rPr>
        <w:t>38</w:t>
      </w:r>
      <w:r w:rsidR="00CF13A4" w:rsidRPr="00B06BDB">
        <w:rPr>
          <w:rFonts w:eastAsia="Times New Roman" w:cstheme="minorHAnsi"/>
          <w:bCs/>
          <w:sz w:val="20"/>
          <w:szCs w:val="20"/>
          <w:lang w:eastAsia="en-GB"/>
        </w:rPr>
        <w:t>, No.</w:t>
      </w:r>
      <w:r w:rsidRPr="00B06BDB">
        <w:rPr>
          <w:rFonts w:eastAsia="Times New Roman" w:cstheme="minorHAnsi"/>
          <w:sz w:val="20"/>
          <w:szCs w:val="20"/>
          <w:lang w:eastAsia="en-GB"/>
        </w:rPr>
        <w:t>2/3</w:t>
      </w:r>
      <w:r w:rsidR="00CF13A4" w:rsidRPr="00B06BDB">
        <w:rPr>
          <w:rFonts w:eastAsia="Times New Roman" w:cstheme="minorHAnsi"/>
          <w:sz w:val="20"/>
          <w:szCs w:val="20"/>
          <w:lang w:eastAsia="en-GB"/>
        </w:rPr>
        <w:t>, p</w:t>
      </w:r>
      <w:r w:rsidRPr="00B06BDB">
        <w:rPr>
          <w:rFonts w:eastAsia="Times New Roman" w:cstheme="minorHAnsi"/>
          <w:sz w:val="20"/>
          <w:szCs w:val="20"/>
          <w:lang w:eastAsia="en-GB"/>
        </w:rPr>
        <w:t xml:space="preserve"> 472.</w:t>
      </w:r>
    </w:p>
    <w:p w14:paraId="3B97993B" w14:textId="6D7E38CC"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J</w:t>
      </w:r>
      <w:r w:rsidR="006A761F" w:rsidRPr="00B06BDB">
        <w:rPr>
          <w:rFonts w:eastAsia="Times New Roman" w:cstheme="minorHAnsi"/>
          <w:sz w:val="20"/>
          <w:szCs w:val="20"/>
          <w:lang w:eastAsia="en-GB"/>
        </w:rPr>
        <w:t>ackson</w:t>
      </w:r>
      <w:r w:rsidRPr="00B06BDB">
        <w:rPr>
          <w:rFonts w:eastAsia="Times New Roman" w:cstheme="minorHAnsi"/>
          <w:sz w:val="20"/>
          <w:szCs w:val="20"/>
          <w:lang w:eastAsia="en-GB"/>
        </w:rPr>
        <w:t>, M.H., P</w:t>
      </w:r>
      <w:r w:rsidR="006A761F" w:rsidRPr="00B06BDB">
        <w:rPr>
          <w:rFonts w:eastAsia="Times New Roman" w:cstheme="minorHAnsi"/>
          <w:sz w:val="20"/>
          <w:szCs w:val="20"/>
          <w:lang w:eastAsia="en-GB"/>
        </w:rPr>
        <w:t>oole</w:t>
      </w:r>
      <w:r w:rsidRPr="00B06BDB">
        <w:rPr>
          <w:rFonts w:eastAsia="Times New Roman" w:cstheme="minorHAnsi"/>
          <w:sz w:val="20"/>
          <w:szCs w:val="20"/>
          <w:lang w:eastAsia="en-GB"/>
        </w:rPr>
        <w:t>, M.S. and K</w:t>
      </w:r>
      <w:r w:rsidR="006A761F" w:rsidRPr="00B06BDB">
        <w:rPr>
          <w:rFonts w:eastAsia="Times New Roman" w:cstheme="minorHAnsi"/>
          <w:sz w:val="20"/>
          <w:szCs w:val="20"/>
          <w:lang w:eastAsia="en-GB"/>
        </w:rPr>
        <w:t>uhn, T.</w:t>
      </w:r>
      <w:r w:rsidRPr="00B06BDB">
        <w:rPr>
          <w:rFonts w:eastAsia="Times New Roman" w:cstheme="minorHAnsi"/>
          <w:sz w:val="20"/>
          <w:szCs w:val="20"/>
          <w:lang w:eastAsia="en-GB"/>
        </w:rPr>
        <w:t xml:space="preserve"> </w:t>
      </w:r>
      <w:r w:rsidR="006A761F" w:rsidRPr="00B06BDB">
        <w:rPr>
          <w:rFonts w:eastAsia="Times New Roman" w:cstheme="minorHAnsi"/>
          <w:sz w:val="20"/>
          <w:szCs w:val="20"/>
          <w:lang w:eastAsia="en-GB"/>
        </w:rPr>
        <w:t>(</w:t>
      </w:r>
      <w:r w:rsidRPr="00B06BDB">
        <w:rPr>
          <w:rFonts w:eastAsia="Times New Roman" w:cstheme="minorHAnsi"/>
          <w:sz w:val="20"/>
          <w:szCs w:val="20"/>
          <w:lang w:eastAsia="en-GB"/>
        </w:rPr>
        <w:t>2002</w:t>
      </w:r>
      <w:r w:rsidR="006A761F" w:rsidRPr="00B06BDB">
        <w:rPr>
          <w:rFonts w:eastAsia="Times New Roman" w:cstheme="minorHAnsi"/>
          <w:sz w:val="20"/>
          <w:szCs w:val="20"/>
          <w:lang w:eastAsia="en-GB"/>
        </w:rPr>
        <w:t>)</w:t>
      </w:r>
      <w:r w:rsidRPr="00B06BDB">
        <w:rPr>
          <w:rFonts w:eastAsia="Times New Roman" w:cstheme="minorHAnsi"/>
          <w:sz w:val="20"/>
          <w:szCs w:val="20"/>
          <w:lang w:eastAsia="en-GB"/>
        </w:rPr>
        <w:t xml:space="preserve"> The Social Construction of Technology in Studies of the Workplace</w:t>
      </w:r>
      <w:r w:rsidR="006A761F"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Handbook of New Media: Social S</w:t>
      </w:r>
      <w:r w:rsidR="006A761F" w:rsidRPr="00B06BDB">
        <w:rPr>
          <w:rFonts w:eastAsia="Times New Roman" w:cstheme="minorHAnsi"/>
          <w:i/>
          <w:iCs/>
          <w:sz w:val="20"/>
          <w:szCs w:val="20"/>
          <w:lang w:eastAsia="en-GB"/>
        </w:rPr>
        <w:t>haping and Consequences of ICTs</w:t>
      </w:r>
      <w:r w:rsidRPr="00B06BDB">
        <w:rPr>
          <w:rFonts w:eastAsia="Times New Roman" w:cstheme="minorHAnsi"/>
          <w:sz w:val="20"/>
          <w:szCs w:val="20"/>
          <w:lang w:eastAsia="en-GB"/>
        </w:rPr>
        <w:t>, pp 236-253</w:t>
      </w:r>
      <w:r w:rsidR="006A761F" w:rsidRPr="00B06BDB">
        <w:rPr>
          <w:rFonts w:eastAsia="Times New Roman" w:cstheme="minorHAnsi"/>
          <w:sz w:val="20"/>
          <w:szCs w:val="20"/>
          <w:lang w:eastAsia="en-GB"/>
        </w:rPr>
        <w:t>, SAGE Publications, London</w:t>
      </w:r>
      <w:r w:rsidRPr="00B06BDB">
        <w:rPr>
          <w:rFonts w:eastAsia="Times New Roman" w:cstheme="minorHAnsi"/>
          <w:sz w:val="20"/>
          <w:szCs w:val="20"/>
          <w:lang w:eastAsia="en-GB"/>
        </w:rPr>
        <w:t>.</w:t>
      </w:r>
    </w:p>
    <w:p w14:paraId="41DE4D17" w14:textId="761AEA57"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J</w:t>
      </w:r>
      <w:r w:rsidR="006A761F" w:rsidRPr="00B06BDB">
        <w:rPr>
          <w:rFonts w:eastAsia="Times New Roman" w:cstheme="minorHAnsi"/>
          <w:sz w:val="20"/>
          <w:szCs w:val="20"/>
          <w:lang w:eastAsia="en-GB"/>
        </w:rPr>
        <w:t>oseph</w:t>
      </w:r>
      <w:r w:rsidRPr="00B06BDB">
        <w:rPr>
          <w:rFonts w:eastAsia="Times New Roman" w:cstheme="minorHAnsi"/>
          <w:sz w:val="20"/>
          <w:szCs w:val="20"/>
          <w:lang w:eastAsia="en-GB"/>
        </w:rPr>
        <w:t xml:space="preserve">, S. and </w:t>
      </w:r>
      <w:proofErr w:type="spellStart"/>
      <w:r w:rsidRPr="00B06BDB">
        <w:rPr>
          <w:rFonts w:eastAsia="Times New Roman" w:cstheme="minorHAnsi"/>
          <w:sz w:val="20"/>
          <w:szCs w:val="20"/>
          <w:lang w:eastAsia="en-GB"/>
        </w:rPr>
        <w:t>A</w:t>
      </w:r>
      <w:r w:rsidR="006A761F" w:rsidRPr="00B06BDB">
        <w:rPr>
          <w:rFonts w:eastAsia="Times New Roman" w:cstheme="minorHAnsi"/>
          <w:sz w:val="20"/>
          <w:szCs w:val="20"/>
          <w:lang w:eastAsia="en-GB"/>
        </w:rPr>
        <w:t>vdic</w:t>
      </w:r>
      <w:proofErr w:type="spellEnd"/>
      <w:r w:rsidR="006A761F" w:rsidRPr="00B06BDB">
        <w:rPr>
          <w:rFonts w:eastAsia="Times New Roman" w:cstheme="minorHAnsi"/>
          <w:sz w:val="20"/>
          <w:szCs w:val="20"/>
          <w:lang w:eastAsia="en-GB"/>
        </w:rPr>
        <w:t>, A.</w:t>
      </w:r>
      <w:r w:rsidRPr="00B06BDB">
        <w:rPr>
          <w:rFonts w:eastAsia="Times New Roman" w:cstheme="minorHAnsi"/>
          <w:sz w:val="20"/>
          <w:szCs w:val="20"/>
          <w:lang w:eastAsia="en-GB"/>
        </w:rPr>
        <w:t xml:space="preserve"> </w:t>
      </w:r>
      <w:r w:rsidR="006A761F" w:rsidRPr="00B06BDB">
        <w:rPr>
          <w:rFonts w:eastAsia="Times New Roman" w:cstheme="minorHAnsi"/>
          <w:sz w:val="20"/>
          <w:szCs w:val="20"/>
          <w:lang w:eastAsia="en-GB"/>
        </w:rPr>
        <w:t>(</w:t>
      </w:r>
      <w:r w:rsidRPr="00B06BDB">
        <w:rPr>
          <w:rFonts w:eastAsia="Times New Roman" w:cstheme="minorHAnsi"/>
          <w:sz w:val="20"/>
          <w:szCs w:val="20"/>
          <w:lang w:eastAsia="en-GB"/>
        </w:rPr>
        <w:t>2016</w:t>
      </w:r>
      <w:r w:rsidR="006A761F" w:rsidRPr="00B06BDB">
        <w:rPr>
          <w:rFonts w:eastAsia="Times New Roman" w:cstheme="minorHAnsi"/>
          <w:sz w:val="20"/>
          <w:szCs w:val="20"/>
          <w:lang w:eastAsia="en-GB"/>
        </w:rPr>
        <w:t>)</w:t>
      </w:r>
      <w:r w:rsidRPr="00B06BDB">
        <w:rPr>
          <w:rFonts w:eastAsia="Times New Roman" w:cstheme="minorHAnsi"/>
          <w:sz w:val="20"/>
          <w:szCs w:val="20"/>
          <w:lang w:eastAsia="en-GB"/>
        </w:rPr>
        <w:t xml:space="preserve"> Where do e-Government strategies take the Nordic nations</w:t>
      </w:r>
      <w:proofErr w:type="gramStart"/>
      <w:r w:rsidRPr="00B06BDB">
        <w:rPr>
          <w:rFonts w:eastAsia="Times New Roman" w:cstheme="minorHAnsi"/>
          <w:sz w:val="20"/>
          <w:szCs w:val="20"/>
          <w:lang w:eastAsia="en-GB"/>
        </w:rPr>
        <w:t>?</w:t>
      </w:r>
      <w:r w:rsidR="006A761F" w:rsidRPr="00B06BDB">
        <w:rPr>
          <w:rFonts w:eastAsia="Times New Roman" w:cstheme="minorHAnsi"/>
          <w:sz w:val="20"/>
          <w:szCs w:val="20"/>
          <w:lang w:eastAsia="en-GB"/>
        </w:rPr>
        <w:t>,</w:t>
      </w:r>
      <w:proofErr w:type="gramEnd"/>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Electronic Journal of e-Government,</w:t>
      </w:r>
      <w:r w:rsidR="006A761F" w:rsidRPr="00B06BDB">
        <w:rPr>
          <w:rFonts w:eastAsia="Times New Roman" w:cstheme="minorHAnsi"/>
          <w:i/>
          <w:iCs/>
          <w:sz w:val="20"/>
          <w:szCs w:val="20"/>
          <w:lang w:eastAsia="en-GB"/>
        </w:rPr>
        <w:t xml:space="preserve"> Vol</w:t>
      </w:r>
      <w:r w:rsidRPr="00B06BDB">
        <w:rPr>
          <w:rFonts w:eastAsia="Times New Roman" w:cstheme="minorHAnsi"/>
          <w:i/>
          <w:iCs/>
          <w:sz w:val="20"/>
          <w:szCs w:val="20"/>
          <w:lang w:eastAsia="en-GB"/>
        </w:rPr>
        <w:t xml:space="preserve"> </w:t>
      </w:r>
      <w:r w:rsidRPr="00B06BDB">
        <w:rPr>
          <w:rFonts w:eastAsia="Times New Roman" w:cstheme="minorHAnsi"/>
          <w:bCs/>
          <w:sz w:val="20"/>
          <w:szCs w:val="20"/>
          <w:lang w:eastAsia="en-GB"/>
        </w:rPr>
        <w:t>14</w:t>
      </w:r>
      <w:r w:rsidR="006A761F" w:rsidRPr="00B06BDB">
        <w:rPr>
          <w:rFonts w:eastAsia="Times New Roman" w:cstheme="minorHAnsi"/>
          <w:bCs/>
          <w:sz w:val="20"/>
          <w:szCs w:val="20"/>
          <w:lang w:eastAsia="en-GB"/>
        </w:rPr>
        <w:t xml:space="preserve">, No. </w:t>
      </w:r>
      <w:r w:rsidRPr="00B06BDB">
        <w:rPr>
          <w:rFonts w:eastAsia="Times New Roman" w:cstheme="minorHAnsi"/>
          <w:sz w:val="20"/>
          <w:szCs w:val="20"/>
          <w:lang w:eastAsia="en-GB"/>
        </w:rPr>
        <w:t>1, p 2.</w:t>
      </w:r>
    </w:p>
    <w:p w14:paraId="7D12219A" w14:textId="77777777" w:rsidR="00A209AF" w:rsidRPr="00B06BDB" w:rsidRDefault="00A209AF" w:rsidP="00A209AF">
      <w:pPr>
        <w:jc w:val="both"/>
        <w:rPr>
          <w:sz w:val="20"/>
          <w:szCs w:val="20"/>
        </w:rPr>
      </w:pPr>
      <w:r w:rsidRPr="00B06BDB">
        <w:rPr>
          <w:sz w:val="20"/>
          <w:szCs w:val="20"/>
        </w:rPr>
        <w:t>Kraemer, K., &amp; King, J. (2006). Information technology and administrative reform: Will E-government be different</w:t>
      </w:r>
      <w:proofErr w:type="gramStart"/>
      <w:r w:rsidRPr="00B06BDB">
        <w:rPr>
          <w:sz w:val="20"/>
          <w:szCs w:val="20"/>
        </w:rPr>
        <w:t>?,</w:t>
      </w:r>
      <w:proofErr w:type="gramEnd"/>
      <w:r w:rsidRPr="00B06BDB">
        <w:rPr>
          <w:sz w:val="20"/>
          <w:szCs w:val="20"/>
        </w:rPr>
        <w:t xml:space="preserve"> </w:t>
      </w:r>
      <w:r w:rsidRPr="00B06BDB">
        <w:rPr>
          <w:i/>
          <w:sz w:val="20"/>
          <w:szCs w:val="20"/>
        </w:rPr>
        <w:t>International Journal of Electronic Government Research (IJEGR)</w:t>
      </w:r>
      <w:r w:rsidRPr="00B06BDB">
        <w:rPr>
          <w:sz w:val="20"/>
          <w:szCs w:val="20"/>
        </w:rPr>
        <w:t xml:space="preserve">, 2(1), 1-20. </w:t>
      </w:r>
    </w:p>
    <w:p w14:paraId="43CCC42B" w14:textId="042C79A3" w:rsidR="00E14C92" w:rsidRPr="00B06BDB" w:rsidRDefault="00E14C92"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 xml:space="preserve">Krause P. (2013) </w:t>
      </w:r>
      <w:proofErr w:type="gramStart"/>
      <w:r w:rsidRPr="00B06BDB">
        <w:rPr>
          <w:rFonts w:eastAsia="Times New Roman" w:cstheme="minorHAnsi"/>
          <w:i/>
          <w:sz w:val="20"/>
          <w:szCs w:val="20"/>
          <w:lang w:eastAsia="en-GB"/>
        </w:rPr>
        <w:t>Of</w:t>
      </w:r>
      <w:proofErr w:type="gramEnd"/>
      <w:r w:rsidRPr="00B06BDB">
        <w:rPr>
          <w:rFonts w:eastAsia="Times New Roman" w:cstheme="minorHAnsi"/>
          <w:i/>
          <w:sz w:val="20"/>
          <w:szCs w:val="20"/>
          <w:lang w:eastAsia="en-GB"/>
        </w:rPr>
        <w:t xml:space="preserve"> institutions and butterflies: is isomorphism in developing countries necessarily a bad thing? Background note</w:t>
      </w:r>
      <w:r w:rsidRPr="00B06BDB">
        <w:rPr>
          <w:rFonts w:eastAsia="Times New Roman" w:cstheme="minorHAnsi"/>
          <w:sz w:val="20"/>
          <w:szCs w:val="20"/>
          <w:lang w:eastAsia="en-GB"/>
        </w:rPr>
        <w:t>, Overseas Development Institute, London.</w:t>
      </w:r>
    </w:p>
    <w:p w14:paraId="5B1D3612" w14:textId="77777777" w:rsidR="00A209AF" w:rsidRPr="00B06BDB" w:rsidRDefault="00A209AF" w:rsidP="00A209AF">
      <w:pPr>
        <w:jc w:val="both"/>
        <w:rPr>
          <w:sz w:val="20"/>
          <w:szCs w:val="20"/>
        </w:rPr>
      </w:pPr>
      <w:proofErr w:type="spellStart"/>
      <w:r w:rsidRPr="00B06BDB">
        <w:rPr>
          <w:sz w:val="20"/>
          <w:szCs w:val="20"/>
        </w:rPr>
        <w:t>Mircea</w:t>
      </w:r>
      <w:proofErr w:type="spellEnd"/>
      <w:r w:rsidRPr="00B06BDB">
        <w:rPr>
          <w:sz w:val="20"/>
          <w:szCs w:val="20"/>
        </w:rPr>
        <w:t xml:space="preserve"> </w:t>
      </w:r>
      <w:proofErr w:type="spellStart"/>
      <w:r w:rsidRPr="00B06BDB">
        <w:rPr>
          <w:sz w:val="20"/>
          <w:szCs w:val="20"/>
        </w:rPr>
        <w:t>Aurel</w:t>
      </w:r>
      <w:proofErr w:type="spellEnd"/>
      <w:r w:rsidRPr="00B06BDB">
        <w:rPr>
          <w:sz w:val="20"/>
          <w:szCs w:val="20"/>
        </w:rPr>
        <w:t xml:space="preserve"> Nita. (2015) </w:t>
      </w:r>
      <w:proofErr w:type="gramStart"/>
      <w:r w:rsidRPr="00B06BDB">
        <w:rPr>
          <w:sz w:val="20"/>
          <w:szCs w:val="20"/>
        </w:rPr>
        <w:t>The</w:t>
      </w:r>
      <w:proofErr w:type="gramEnd"/>
      <w:r w:rsidRPr="00B06BDB">
        <w:rPr>
          <w:sz w:val="20"/>
          <w:szCs w:val="20"/>
        </w:rPr>
        <w:t xml:space="preserve"> new intelligence, the new leader and the organizational stress, </w:t>
      </w:r>
      <w:r w:rsidRPr="00B06BDB">
        <w:rPr>
          <w:i/>
          <w:sz w:val="20"/>
          <w:szCs w:val="20"/>
        </w:rPr>
        <w:t>Review of International Comparative Management</w:t>
      </w:r>
      <w:r w:rsidRPr="00B06BDB">
        <w:rPr>
          <w:sz w:val="20"/>
          <w:szCs w:val="20"/>
        </w:rPr>
        <w:t xml:space="preserve">, 16(3), 335. </w:t>
      </w:r>
    </w:p>
    <w:p w14:paraId="08405156" w14:textId="1A0E2EA7"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L</w:t>
      </w:r>
      <w:r w:rsidR="00540108" w:rsidRPr="00B06BDB">
        <w:rPr>
          <w:rFonts w:eastAsia="Times New Roman" w:cstheme="minorHAnsi"/>
          <w:sz w:val="20"/>
          <w:szCs w:val="20"/>
          <w:lang w:eastAsia="en-GB"/>
        </w:rPr>
        <w:t>ee</w:t>
      </w:r>
      <w:r w:rsidRPr="00B06BDB">
        <w:rPr>
          <w:rFonts w:eastAsia="Times New Roman" w:cstheme="minorHAnsi"/>
          <w:sz w:val="20"/>
          <w:szCs w:val="20"/>
          <w:lang w:eastAsia="en-GB"/>
        </w:rPr>
        <w:t>, S., T</w:t>
      </w:r>
      <w:r w:rsidR="00540108" w:rsidRPr="00B06BDB">
        <w:rPr>
          <w:rFonts w:eastAsia="Times New Roman" w:cstheme="minorHAnsi"/>
          <w:sz w:val="20"/>
          <w:szCs w:val="20"/>
          <w:lang w:eastAsia="en-GB"/>
        </w:rPr>
        <w:t>an</w:t>
      </w:r>
      <w:r w:rsidRPr="00B06BDB">
        <w:rPr>
          <w:rFonts w:eastAsia="Times New Roman" w:cstheme="minorHAnsi"/>
          <w:sz w:val="20"/>
          <w:szCs w:val="20"/>
          <w:lang w:eastAsia="en-GB"/>
        </w:rPr>
        <w:t xml:space="preserve">, X. and </w:t>
      </w:r>
      <w:proofErr w:type="spellStart"/>
      <w:r w:rsidRPr="00B06BDB">
        <w:rPr>
          <w:rFonts w:eastAsia="Times New Roman" w:cstheme="minorHAnsi"/>
          <w:sz w:val="20"/>
          <w:szCs w:val="20"/>
          <w:lang w:eastAsia="en-GB"/>
        </w:rPr>
        <w:t>T</w:t>
      </w:r>
      <w:r w:rsidR="00540108" w:rsidRPr="00B06BDB">
        <w:rPr>
          <w:rFonts w:eastAsia="Times New Roman" w:cstheme="minorHAnsi"/>
          <w:sz w:val="20"/>
          <w:szCs w:val="20"/>
          <w:lang w:eastAsia="en-GB"/>
        </w:rPr>
        <w:t>rimi</w:t>
      </w:r>
      <w:proofErr w:type="spellEnd"/>
      <w:r w:rsidRPr="00B06BDB">
        <w:rPr>
          <w:rFonts w:eastAsia="Times New Roman" w:cstheme="minorHAnsi"/>
          <w:sz w:val="20"/>
          <w:szCs w:val="20"/>
          <w:lang w:eastAsia="en-GB"/>
        </w:rPr>
        <w:t xml:space="preserve">, S. </w:t>
      </w:r>
      <w:r w:rsidR="00540108" w:rsidRPr="00B06BDB">
        <w:rPr>
          <w:rFonts w:eastAsia="Times New Roman" w:cstheme="minorHAnsi"/>
          <w:sz w:val="20"/>
          <w:szCs w:val="20"/>
          <w:lang w:eastAsia="en-GB"/>
        </w:rPr>
        <w:t>(</w:t>
      </w:r>
      <w:r w:rsidRPr="00B06BDB">
        <w:rPr>
          <w:rFonts w:eastAsia="Times New Roman" w:cstheme="minorHAnsi"/>
          <w:sz w:val="20"/>
          <w:szCs w:val="20"/>
          <w:lang w:eastAsia="en-GB"/>
        </w:rPr>
        <w:t>2005</w:t>
      </w:r>
      <w:r w:rsidR="00540108" w:rsidRPr="00B06BDB">
        <w:rPr>
          <w:rFonts w:eastAsia="Times New Roman" w:cstheme="minorHAnsi"/>
          <w:sz w:val="20"/>
          <w:szCs w:val="20"/>
          <w:lang w:eastAsia="en-GB"/>
        </w:rPr>
        <w:t>)</w:t>
      </w:r>
      <w:r w:rsidRPr="00B06BDB">
        <w:rPr>
          <w:rFonts w:eastAsia="Times New Roman" w:cstheme="minorHAnsi"/>
          <w:sz w:val="20"/>
          <w:szCs w:val="20"/>
          <w:lang w:eastAsia="en-GB"/>
        </w:rPr>
        <w:t xml:space="preserve"> Current practices of</w:t>
      </w:r>
      <w:r w:rsidR="00540108" w:rsidRPr="00B06BDB">
        <w:rPr>
          <w:rFonts w:eastAsia="Times New Roman" w:cstheme="minorHAnsi"/>
          <w:sz w:val="20"/>
          <w:szCs w:val="20"/>
          <w:lang w:eastAsia="en-GB"/>
        </w:rPr>
        <w:t xml:space="preserve"> leading e-government countries,</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Communications of the ACM,</w:t>
      </w:r>
      <w:r w:rsidR="00540108" w:rsidRPr="00B06BDB">
        <w:rPr>
          <w:rFonts w:eastAsia="Times New Roman" w:cstheme="minorHAnsi"/>
          <w:i/>
          <w:iCs/>
          <w:sz w:val="20"/>
          <w:szCs w:val="20"/>
          <w:lang w:eastAsia="en-GB"/>
        </w:rPr>
        <w:t xml:space="preserve"> Vol</w:t>
      </w:r>
      <w:r w:rsidRPr="00B06BDB">
        <w:rPr>
          <w:rFonts w:eastAsia="Times New Roman" w:cstheme="minorHAnsi"/>
          <w:i/>
          <w:iCs/>
          <w:sz w:val="20"/>
          <w:szCs w:val="20"/>
          <w:lang w:eastAsia="en-GB"/>
        </w:rPr>
        <w:t xml:space="preserve"> </w:t>
      </w:r>
      <w:r w:rsidRPr="00B06BDB">
        <w:rPr>
          <w:rFonts w:eastAsia="Times New Roman" w:cstheme="minorHAnsi"/>
          <w:bCs/>
          <w:sz w:val="20"/>
          <w:szCs w:val="20"/>
          <w:lang w:eastAsia="en-GB"/>
        </w:rPr>
        <w:t>48</w:t>
      </w:r>
      <w:r w:rsidR="00540108" w:rsidRPr="00B06BDB">
        <w:rPr>
          <w:rFonts w:eastAsia="Times New Roman" w:cstheme="minorHAnsi"/>
          <w:bCs/>
          <w:sz w:val="20"/>
          <w:szCs w:val="20"/>
          <w:lang w:eastAsia="en-GB"/>
        </w:rPr>
        <w:t xml:space="preserve">, No. </w:t>
      </w:r>
      <w:r w:rsidR="00540108" w:rsidRPr="00B06BDB">
        <w:rPr>
          <w:rFonts w:eastAsia="Times New Roman" w:cstheme="minorHAnsi"/>
          <w:sz w:val="20"/>
          <w:szCs w:val="20"/>
          <w:lang w:eastAsia="en-GB"/>
        </w:rPr>
        <w:t>10, pp</w:t>
      </w:r>
      <w:r w:rsidRPr="00B06BDB">
        <w:rPr>
          <w:rFonts w:eastAsia="Times New Roman" w:cstheme="minorHAnsi"/>
          <w:sz w:val="20"/>
          <w:szCs w:val="20"/>
          <w:lang w:eastAsia="en-GB"/>
        </w:rPr>
        <w:t xml:space="preserve"> 99-104.</w:t>
      </w:r>
    </w:p>
    <w:p w14:paraId="53C54738" w14:textId="77777777" w:rsidR="00C2614D" w:rsidRPr="00B06BDB" w:rsidRDefault="00C2614D" w:rsidP="00A209AF">
      <w:pPr>
        <w:spacing w:after="120" w:line="240" w:lineRule="auto"/>
        <w:jc w:val="both"/>
        <w:rPr>
          <w:sz w:val="20"/>
          <w:szCs w:val="20"/>
        </w:rPr>
      </w:pPr>
      <w:proofErr w:type="spellStart"/>
      <w:r w:rsidRPr="00B06BDB">
        <w:rPr>
          <w:sz w:val="20"/>
          <w:szCs w:val="20"/>
        </w:rPr>
        <w:t>Leonardi</w:t>
      </w:r>
      <w:proofErr w:type="spellEnd"/>
      <w:r w:rsidRPr="00B06BDB">
        <w:rPr>
          <w:sz w:val="20"/>
          <w:szCs w:val="20"/>
        </w:rPr>
        <w:t xml:space="preserve">, P.M. and Barley, S.R. (2010) </w:t>
      </w:r>
      <w:proofErr w:type="gramStart"/>
      <w:r w:rsidRPr="00B06BDB">
        <w:rPr>
          <w:sz w:val="20"/>
          <w:szCs w:val="20"/>
        </w:rPr>
        <w:t>What’s</w:t>
      </w:r>
      <w:proofErr w:type="gramEnd"/>
      <w:r w:rsidRPr="00B06BDB">
        <w:rPr>
          <w:sz w:val="20"/>
          <w:szCs w:val="20"/>
        </w:rPr>
        <w:t xml:space="preserve"> under construction here? Social action, materiality, and power in constructivist studies of technology and organizing, </w:t>
      </w:r>
      <w:r w:rsidRPr="00B06BDB">
        <w:rPr>
          <w:i/>
          <w:iCs/>
          <w:sz w:val="20"/>
          <w:szCs w:val="20"/>
        </w:rPr>
        <w:t>The Academy of Management Annals</w:t>
      </w:r>
      <w:r w:rsidRPr="00B06BDB">
        <w:rPr>
          <w:sz w:val="20"/>
          <w:szCs w:val="20"/>
        </w:rPr>
        <w:t>, Vol 4, No. 1, pp 1-51.</w:t>
      </w:r>
    </w:p>
    <w:p w14:paraId="267D0BE3" w14:textId="5FEDAEB3"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L</w:t>
      </w:r>
      <w:r w:rsidR="00F412B7" w:rsidRPr="00B06BDB">
        <w:rPr>
          <w:rFonts w:eastAsia="Times New Roman" w:cstheme="minorHAnsi"/>
          <w:sz w:val="20"/>
          <w:szCs w:val="20"/>
          <w:lang w:eastAsia="en-GB"/>
        </w:rPr>
        <w:t>una</w:t>
      </w:r>
      <w:r w:rsidRPr="00B06BDB">
        <w:rPr>
          <w:rFonts w:eastAsia="Times New Roman" w:cstheme="minorHAnsi"/>
          <w:sz w:val="20"/>
          <w:szCs w:val="20"/>
          <w:lang w:eastAsia="en-GB"/>
        </w:rPr>
        <w:t>-R</w:t>
      </w:r>
      <w:r w:rsidR="00F412B7" w:rsidRPr="00B06BDB">
        <w:rPr>
          <w:rFonts w:eastAsia="Times New Roman" w:cstheme="minorHAnsi"/>
          <w:sz w:val="20"/>
          <w:szCs w:val="20"/>
          <w:lang w:eastAsia="en-GB"/>
        </w:rPr>
        <w:t>eyes</w:t>
      </w:r>
      <w:r w:rsidRPr="00B06BDB">
        <w:rPr>
          <w:rFonts w:eastAsia="Times New Roman" w:cstheme="minorHAnsi"/>
          <w:sz w:val="20"/>
          <w:szCs w:val="20"/>
          <w:lang w:eastAsia="en-GB"/>
        </w:rPr>
        <w:t>, L.F. and G</w:t>
      </w:r>
      <w:r w:rsidR="00F412B7" w:rsidRPr="00B06BDB">
        <w:rPr>
          <w:rFonts w:eastAsia="Times New Roman" w:cstheme="minorHAnsi"/>
          <w:sz w:val="20"/>
          <w:szCs w:val="20"/>
          <w:lang w:eastAsia="en-GB"/>
        </w:rPr>
        <w:t>il</w:t>
      </w:r>
      <w:r w:rsidRPr="00B06BDB">
        <w:rPr>
          <w:rFonts w:eastAsia="Times New Roman" w:cstheme="minorHAnsi"/>
          <w:sz w:val="20"/>
          <w:szCs w:val="20"/>
          <w:lang w:eastAsia="en-GB"/>
        </w:rPr>
        <w:t>-G</w:t>
      </w:r>
      <w:r w:rsidR="00F412B7" w:rsidRPr="00B06BDB">
        <w:rPr>
          <w:rFonts w:eastAsia="Times New Roman" w:cstheme="minorHAnsi"/>
          <w:sz w:val="20"/>
          <w:szCs w:val="20"/>
          <w:lang w:eastAsia="en-GB"/>
        </w:rPr>
        <w:t>arcia</w:t>
      </w:r>
      <w:r w:rsidRPr="00B06BDB">
        <w:rPr>
          <w:rFonts w:eastAsia="Times New Roman" w:cstheme="minorHAnsi"/>
          <w:sz w:val="20"/>
          <w:szCs w:val="20"/>
          <w:lang w:eastAsia="en-GB"/>
        </w:rPr>
        <w:t xml:space="preserve">, J.R. </w:t>
      </w:r>
      <w:r w:rsidR="00F412B7" w:rsidRPr="00B06BDB">
        <w:rPr>
          <w:rFonts w:eastAsia="Times New Roman" w:cstheme="minorHAnsi"/>
          <w:sz w:val="20"/>
          <w:szCs w:val="20"/>
          <w:lang w:eastAsia="en-GB"/>
        </w:rPr>
        <w:t>(</w:t>
      </w:r>
      <w:r w:rsidRPr="00B06BDB">
        <w:rPr>
          <w:rFonts w:eastAsia="Times New Roman" w:cstheme="minorHAnsi"/>
          <w:sz w:val="20"/>
          <w:szCs w:val="20"/>
          <w:lang w:eastAsia="en-GB"/>
        </w:rPr>
        <w:t>2014</w:t>
      </w:r>
      <w:r w:rsidR="00F412B7" w:rsidRPr="00B06BDB">
        <w:rPr>
          <w:rFonts w:eastAsia="Times New Roman" w:cstheme="minorHAnsi"/>
          <w:sz w:val="20"/>
          <w:szCs w:val="20"/>
          <w:lang w:eastAsia="en-GB"/>
        </w:rPr>
        <w:t>)</w:t>
      </w:r>
      <w:r w:rsidRPr="00B06BDB">
        <w:rPr>
          <w:rFonts w:eastAsia="Times New Roman" w:cstheme="minorHAnsi"/>
          <w:sz w:val="20"/>
          <w:szCs w:val="20"/>
          <w:lang w:eastAsia="en-GB"/>
        </w:rPr>
        <w:t xml:space="preserve"> Digital government transformation and internet portals: The co-evolution of technology, organizations, and institutions</w:t>
      </w:r>
      <w:r w:rsidR="00F412B7"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 xml:space="preserve">Government Information Quarterly, </w:t>
      </w:r>
      <w:r w:rsidR="00F412B7" w:rsidRPr="00B06BDB">
        <w:rPr>
          <w:rFonts w:eastAsia="Times New Roman" w:cstheme="minorHAnsi"/>
          <w:i/>
          <w:iCs/>
          <w:sz w:val="20"/>
          <w:szCs w:val="20"/>
          <w:lang w:eastAsia="en-GB"/>
        </w:rPr>
        <w:t xml:space="preserve">Vol </w:t>
      </w:r>
      <w:r w:rsidRPr="00B06BDB">
        <w:rPr>
          <w:rFonts w:eastAsia="Times New Roman" w:cstheme="minorHAnsi"/>
          <w:bCs/>
          <w:sz w:val="20"/>
          <w:szCs w:val="20"/>
          <w:lang w:eastAsia="en-GB"/>
        </w:rPr>
        <w:t>31</w:t>
      </w:r>
      <w:r w:rsidR="00F412B7" w:rsidRPr="00B06BDB">
        <w:rPr>
          <w:rFonts w:eastAsia="Times New Roman" w:cstheme="minorHAnsi"/>
          <w:bCs/>
          <w:sz w:val="20"/>
          <w:szCs w:val="20"/>
          <w:lang w:eastAsia="en-GB"/>
        </w:rPr>
        <w:t xml:space="preserve">, No. </w:t>
      </w:r>
      <w:r w:rsidRPr="00B06BDB">
        <w:rPr>
          <w:rFonts w:eastAsia="Times New Roman" w:cstheme="minorHAnsi"/>
          <w:sz w:val="20"/>
          <w:szCs w:val="20"/>
          <w:lang w:eastAsia="en-GB"/>
        </w:rPr>
        <w:t>4, pp 545-555.</w:t>
      </w:r>
    </w:p>
    <w:p w14:paraId="263DCD6C" w14:textId="3EB1A61B"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L</w:t>
      </w:r>
      <w:r w:rsidR="00F412B7" w:rsidRPr="00B06BDB">
        <w:rPr>
          <w:rFonts w:eastAsia="Times New Roman" w:cstheme="minorHAnsi"/>
          <w:sz w:val="20"/>
          <w:szCs w:val="20"/>
          <w:lang w:eastAsia="en-GB"/>
        </w:rPr>
        <w:t>una</w:t>
      </w:r>
      <w:r w:rsidRPr="00B06BDB">
        <w:rPr>
          <w:rFonts w:eastAsia="Times New Roman" w:cstheme="minorHAnsi"/>
          <w:sz w:val="20"/>
          <w:szCs w:val="20"/>
          <w:lang w:eastAsia="en-GB"/>
        </w:rPr>
        <w:t>-R</w:t>
      </w:r>
      <w:r w:rsidR="00F412B7" w:rsidRPr="00B06BDB">
        <w:rPr>
          <w:rFonts w:eastAsia="Times New Roman" w:cstheme="minorHAnsi"/>
          <w:sz w:val="20"/>
          <w:szCs w:val="20"/>
          <w:lang w:eastAsia="en-GB"/>
        </w:rPr>
        <w:t>eyes</w:t>
      </w:r>
      <w:r w:rsidRPr="00B06BDB">
        <w:rPr>
          <w:rFonts w:eastAsia="Times New Roman" w:cstheme="minorHAnsi"/>
          <w:sz w:val="20"/>
          <w:szCs w:val="20"/>
          <w:lang w:eastAsia="en-GB"/>
        </w:rPr>
        <w:t>, L.F., Z</w:t>
      </w:r>
      <w:r w:rsidR="00F412B7" w:rsidRPr="00B06BDB">
        <w:rPr>
          <w:rFonts w:eastAsia="Times New Roman" w:cstheme="minorHAnsi"/>
          <w:sz w:val="20"/>
          <w:szCs w:val="20"/>
          <w:lang w:eastAsia="en-GB"/>
        </w:rPr>
        <w:t xml:space="preserve">hang, J., </w:t>
      </w:r>
      <w:r w:rsidRPr="00B06BDB">
        <w:rPr>
          <w:rFonts w:eastAsia="Times New Roman" w:cstheme="minorHAnsi"/>
          <w:sz w:val="20"/>
          <w:szCs w:val="20"/>
          <w:lang w:eastAsia="en-GB"/>
        </w:rPr>
        <w:t>G</w:t>
      </w:r>
      <w:r w:rsidR="00F412B7" w:rsidRPr="00B06BDB">
        <w:rPr>
          <w:rFonts w:eastAsia="Times New Roman" w:cstheme="minorHAnsi"/>
          <w:sz w:val="20"/>
          <w:szCs w:val="20"/>
          <w:lang w:eastAsia="en-GB"/>
        </w:rPr>
        <w:t>il</w:t>
      </w:r>
      <w:r w:rsidRPr="00B06BDB">
        <w:rPr>
          <w:rFonts w:eastAsia="Times New Roman" w:cstheme="minorHAnsi"/>
          <w:sz w:val="20"/>
          <w:szCs w:val="20"/>
          <w:lang w:eastAsia="en-GB"/>
        </w:rPr>
        <w:t>-G</w:t>
      </w:r>
      <w:r w:rsidR="00F412B7" w:rsidRPr="00B06BDB">
        <w:rPr>
          <w:rFonts w:eastAsia="Times New Roman" w:cstheme="minorHAnsi"/>
          <w:sz w:val="20"/>
          <w:szCs w:val="20"/>
          <w:lang w:eastAsia="en-GB"/>
        </w:rPr>
        <w:t>arcia</w:t>
      </w:r>
      <w:r w:rsidRPr="00B06BDB">
        <w:rPr>
          <w:rFonts w:eastAsia="Times New Roman" w:cstheme="minorHAnsi"/>
          <w:sz w:val="20"/>
          <w:szCs w:val="20"/>
          <w:lang w:eastAsia="en-GB"/>
        </w:rPr>
        <w:t>, J.</w:t>
      </w:r>
      <w:r w:rsidR="00F412B7" w:rsidRPr="00B06BDB">
        <w:rPr>
          <w:rFonts w:eastAsia="Times New Roman" w:cstheme="minorHAnsi"/>
          <w:sz w:val="20"/>
          <w:szCs w:val="20"/>
          <w:lang w:eastAsia="en-GB"/>
        </w:rPr>
        <w:t>R.</w:t>
      </w:r>
      <w:r w:rsidRPr="00B06BDB">
        <w:rPr>
          <w:rFonts w:eastAsia="Times New Roman" w:cstheme="minorHAnsi"/>
          <w:sz w:val="20"/>
          <w:szCs w:val="20"/>
          <w:lang w:eastAsia="en-GB"/>
        </w:rPr>
        <w:t xml:space="preserve"> and </w:t>
      </w:r>
      <w:proofErr w:type="spellStart"/>
      <w:r w:rsidRPr="00B06BDB">
        <w:rPr>
          <w:rFonts w:eastAsia="Times New Roman" w:cstheme="minorHAnsi"/>
          <w:sz w:val="20"/>
          <w:szCs w:val="20"/>
          <w:lang w:eastAsia="en-GB"/>
        </w:rPr>
        <w:t>C</w:t>
      </w:r>
      <w:r w:rsidR="00F412B7" w:rsidRPr="00B06BDB">
        <w:rPr>
          <w:rFonts w:eastAsia="Times New Roman" w:cstheme="minorHAnsi"/>
          <w:sz w:val="20"/>
          <w:szCs w:val="20"/>
          <w:lang w:eastAsia="en-GB"/>
        </w:rPr>
        <w:t>resswell</w:t>
      </w:r>
      <w:proofErr w:type="spellEnd"/>
      <w:r w:rsidRPr="00B06BDB">
        <w:rPr>
          <w:rFonts w:eastAsia="Times New Roman" w:cstheme="minorHAnsi"/>
          <w:sz w:val="20"/>
          <w:szCs w:val="20"/>
          <w:lang w:eastAsia="en-GB"/>
        </w:rPr>
        <w:t xml:space="preserve">, A.M. </w:t>
      </w:r>
      <w:r w:rsidR="00F412B7" w:rsidRPr="00B06BDB">
        <w:rPr>
          <w:rFonts w:eastAsia="Times New Roman" w:cstheme="minorHAnsi"/>
          <w:sz w:val="20"/>
          <w:szCs w:val="20"/>
          <w:lang w:eastAsia="en-GB"/>
        </w:rPr>
        <w:t>(</w:t>
      </w:r>
      <w:r w:rsidRPr="00B06BDB">
        <w:rPr>
          <w:rFonts w:eastAsia="Times New Roman" w:cstheme="minorHAnsi"/>
          <w:sz w:val="20"/>
          <w:szCs w:val="20"/>
          <w:lang w:eastAsia="en-GB"/>
        </w:rPr>
        <w:t>2005</w:t>
      </w:r>
      <w:r w:rsidR="00F412B7" w:rsidRPr="00B06BDB">
        <w:rPr>
          <w:rFonts w:eastAsia="Times New Roman" w:cstheme="minorHAnsi"/>
          <w:sz w:val="20"/>
          <w:szCs w:val="20"/>
          <w:lang w:eastAsia="en-GB"/>
        </w:rPr>
        <w:t>)</w:t>
      </w:r>
      <w:r w:rsidRPr="00B06BDB">
        <w:rPr>
          <w:rFonts w:eastAsia="Times New Roman" w:cstheme="minorHAnsi"/>
          <w:sz w:val="20"/>
          <w:szCs w:val="20"/>
          <w:lang w:eastAsia="en-GB"/>
        </w:rPr>
        <w:t xml:space="preserve"> Information systems development as emergent socio-technic</w:t>
      </w:r>
      <w:r w:rsidR="00F412B7" w:rsidRPr="00B06BDB">
        <w:rPr>
          <w:rFonts w:eastAsia="Times New Roman" w:cstheme="minorHAnsi"/>
          <w:sz w:val="20"/>
          <w:szCs w:val="20"/>
          <w:lang w:eastAsia="en-GB"/>
        </w:rPr>
        <w:t>al change: a practice approach,</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 xml:space="preserve">European Journal of Information Systems, </w:t>
      </w:r>
      <w:r w:rsidR="00F412B7" w:rsidRPr="00B06BDB">
        <w:rPr>
          <w:rFonts w:eastAsia="Times New Roman" w:cstheme="minorHAnsi"/>
          <w:i/>
          <w:iCs/>
          <w:sz w:val="20"/>
          <w:szCs w:val="20"/>
          <w:lang w:eastAsia="en-GB"/>
        </w:rPr>
        <w:t xml:space="preserve">Vol </w:t>
      </w:r>
      <w:r w:rsidRPr="00B06BDB">
        <w:rPr>
          <w:rFonts w:eastAsia="Times New Roman" w:cstheme="minorHAnsi"/>
          <w:bCs/>
          <w:sz w:val="20"/>
          <w:szCs w:val="20"/>
          <w:lang w:eastAsia="en-GB"/>
        </w:rPr>
        <w:t>14</w:t>
      </w:r>
      <w:r w:rsidR="00F412B7" w:rsidRPr="00B06BDB">
        <w:rPr>
          <w:rFonts w:eastAsia="Times New Roman" w:cstheme="minorHAnsi"/>
          <w:bCs/>
          <w:sz w:val="20"/>
          <w:szCs w:val="20"/>
          <w:lang w:eastAsia="en-GB"/>
        </w:rPr>
        <w:t xml:space="preserve">, No. </w:t>
      </w:r>
      <w:r w:rsidRPr="00B06BDB">
        <w:rPr>
          <w:rFonts w:eastAsia="Times New Roman" w:cstheme="minorHAnsi"/>
          <w:sz w:val="20"/>
          <w:szCs w:val="20"/>
          <w:lang w:eastAsia="en-GB"/>
        </w:rPr>
        <w:t>1, pp 93-105.</w:t>
      </w:r>
    </w:p>
    <w:p w14:paraId="3E5F1323" w14:textId="6F5E4493"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r w:rsidRPr="00B06BDB">
        <w:rPr>
          <w:rFonts w:eastAsia="Times New Roman" w:cstheme="minorHAnsi"/>
          <w:sz w:val="20"/>
          <w:szCs w:val="20"/>
          <w:lang w:eastAsia="en-GB"/>
        </w:rPr>
        <w:t>M</w:t>
      </w:r>
      <w:r w:rsidR="00051620" w:rsidRPr="00B06BDB">
        <w:rPr>
          <w:rFonts w:eastAsia="Times New Roman" w:cstheme="minorHAnsi"/>
          <w:sz w:val="20"/>
          <w:szCs w:val="20"/>
          <w:lang w:eastAsia="en-GB"/>
        </w:rPr>
        <w:t>att</w:t>
      </w:r>
      <w:r w:rsidRPr="00B06BDB">
        <w:rPr>
          <w:rFonts w:eastAsia="Times New Roman" w:cstheme="minorHAnsi"/>
          <w:sz w:val="20"/>
          <w:szCs w:val="20"/>
          <w:lang w:eastAsia="en-GB"/>
        </w:rPr>
        <w:t>, C., H</w:t>
      </w:r>
      <w:r w:rsidR="00051620" w:rsidRPr="00B06BDB">
        <w:rPr>
          <w:rFonts w:eastAsia="Times New Roman" w:cstheme="minorHAnsi"/>
          <w:sz w:val="20"/>
          <w:szCs w:val="20"/>
          <w:lang w:eastAsia="en-GB"/>
        </w:rPr>
        <w:t>ess</w:t>
      </w:r>
      <w:r w:rsidRPr="00B06BDB">
        <w:rPr>
          <w:rFonts w:eastAsia="Times New Roman" w:cstheme="minorHAnsi"/>
          <w:sz w:val="20"/>
          <w:szCs w:val="20"/>
          <w:lang w:eastAsia="en-GB"/>
        </w:rPr>
        <w:t xml:space="preserve">, T. and </w:t>
      </w:r>
      <w:proofErr w:type="spellStart"/>
      <w:r w:rsidRPr="00B06BDB">
        <w:rPr>
          <w:rFonts w:eastAsia="Times New Roman" w:cstheme="minorHAnsi"/>
          <w:sz w:val="20"/>
          <w:szCs w:val="20"/>
          <w:lang w:eastAsia="en-GB"/>
        </w:rPr>
        <w:t>B</w:t>
      </w:r>
      <w:r w:rsidR="00051620" w:rsidRPr="00B06BDB">
        <w:rPr>
          <w:rFonts w:eastAsia="Times New Roman" w:cstheme="minorHAnsi"/>
          <w:sz w:val="20"/>
          <w:szCs w:val="20"/>
          <w:lang w:eastAsia="en-GB"/>
        </w:rPr>
        <w:t>enlian</w:t>
      </w:r>
      <w:proofErr w:type="spellEnd"/>
      <w:r w:rsidR="00051620" w:rsidRPr="00B06BDB">
        <w:rPr>
          <w:rFonts w:eastAsia="Times New Roman" w:cstheme="minorHAnsi"/>
          <w:sz w:val="20"/>
          <w:szCs w:val="20"/>
          <w:lang w:eastAsia="en-GB"/>
        </w:rPr>
        <w:t>, A.</w:t>
      </w:r>
      <w:r w:rsidRPr="00B06BDB">
        <w:rPr>
          <w:rFonts w:eastAsia="Times New Roman" w:cstheme="minorHAnsi"/>
          <w:sz w:val="20"/>
          <w:szCs w:val="20"/>
          <w:lang w:eastAsia="en-GB"/>
        </w:rPr>
        <w:t xml:space="preserve"> </w:t>
      </w:r>
      <w:r w:rsidR="00051620" w:rsidRPr="00B06BDB">
        <w:rPr>
          <w:rFonts w:eastAsia="Times New Roman" w:cstheme="minorHAnsi"/>
          <w:sz w:val="20"/>
          <w:szCs w:val="20"/>
          <w:lang w:eastAsia="en-GB"/>
        </w:rPr>
        <w:t>(</w:t>
      </w:r>
      <w:r w:rsidRPr="00B06BDB">
        <w:rPr>
          <w:rFonts w:eastAsia="Times New Roman" w:cstheme="minorHAnsi"/>
          <w:sz w:val="20"/>
          <w:szCs w:val="20"/>
          <w:lang w:eastAsia="en-GB"/>
        </w:rPr>
        <w:t>2015</w:t>
      </w:r>
      <w:r w:rsidR="00051620" w:rsidRPr="00B06BDB">
        <w:rPr>
          <w:rFonts w:eastAsia="Times New Roman" w:cstheme="minorHAnsi"/>
          <w:sz w:val="20"/>
          <w:szCs w:val="20"/>
          <w:lang w:eastAsia="en-GB"/>
        </w:rPr>
        <w:t>)</w:t>
      </w:r>
      <w:r w:rsidRPr="00B06BDB">
        <w:rPr>
          <w:rFonts w:eastAsia="Times New Roman" w:cstheme="minorHAnsi"/>
          <w:sz w:val="20"/>
          <w:szCs w:val="20"/>
          <w:lang w:eastAsia="en-GB"/>
        </w:rPr>
        <w:t xml:space="preserve"> Digital Transformation Strategies. </w:t>
      </w:r>
      <w:r w:rsidRPr="00B06BDB">
        <w:rPr>
          <w:rFonts w:eastAsia="Times New Roman" w:cstheme="minorHAnsi"/>
          <w:i/>
          <w:iCs/>
          <w:sz w:val="20"/>
          <w:szCs w:val="20"/>
          <w:lang w:eastAsia="en-GB"/>
        </w:rPr>
        <w:t>Business &amp; Information Systems Engineering,</w:t>
      </w:r>
      <w:r w:rsidR="00051620" w:rsidRPr="00B06BDB">
        <w:rPr>
          <w:rFonts w:eastAsia="Times New Roman" w:cstheme="minorHAnsi"/>
          <w:i/>
          <w:iCs/>
          <w:sz w:val="20"/>
          <w:szCs w:val="20"/>
          <w:lang w:eastAsia="en-GB"/>
        </w:rPr>
        <w:t xml:space="preserve"> Vol</w:t>
      </w:r>
      <w:r w:rsidRPr="00B06BDB">
        <w:rPr>
          <w:rFonts w:eastAsia="Times New Roman" w:cstheme="minorHAnsi"/>
          <w:i/>
          <w:iCs/>
          <w:sz w:val="20"/>
          <w:szCs w:val="20"/>
          <w:lang w:eastAsia="en-GB"/>
        </w:rPr>
        <w:t xml:space="preserve"> </w:t>
      </w:r>
      <w:r w:rsidRPr="00B06BDB">
        <w:rPr>
          <w:rFonts w:eastAsia="Times New Roman" w:cstheme="minorHAnsi"/>
          <w:bCs/>
          <w:sz w:val="20"/>
          <w:szCs w:val="20"/>
          <w:lang w:eastAsia="en-GB"/>
        </w:rPr>
        <w:t>57</w:t>
      </w:r>
      <w:r w:rsidR="00051620" w:rsidRPr="00B06BDB">
        <w:rPr>
          <w:rFonts w:eastAsia="Times New Roman" w:cstheme="minorHAnsi"/>
          <w:bCs/>
          <w:sz w:val="20"/>
          <w:szCs w:val="20"/>
          <w:lang w:eastAsia="en-GB"/>
        </w:rPr>
        <w:t xml:space="preserve">, No. </w:t>
      </w:r>
      <w:r w:rsidR="00051620" w:rsidRPr="00B06BDB">
        <w:rPr>
          <w:rFonts w:eastAsia="Times New Roman" w:cstheme="minorHAnsi"/>
          <w:sz w:val="20"/>
          <w:szCs w:val="20"/>
          <w:lang w:eastAsia="en-GB"/>
        </w:rPr>
        <w:t>5, pp</w:t>
      </w:r>
      <w:r w:rsidRPr="00B06BDB">
        <w:rPr>
          <w:rFonts w:eastAsia="Times New Roman" w:cstheme="minorHAnsi"/>
          <w:sz w:val="20"/>
          <w:szCs w:val="20"/>
          <w:lang w:eastAsia="en-GB"/>
        </w:rPr>
        <w:t xml:space="preserve"> 339-343.</w:t>
      </w:r>
    </w:p>
    <w:p w14:paraId="62DF5535" w14:textId="5DCDDAB0"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proofErr w:type="spellStart"/>
      <w:r w:rsidRPr="00B06BDB">
        <w:rPr>
          <w:rFonts w:eastAsia="Times New Roman" w:cstheme="minorHAnsi"/>
          <w:sz w:val="20"/>
          <w:szCs w:val="20"/>
          <w:lang w:eastAsia="en-GB"/>
        </w:rPr>
        <w:t>O</w:t>
      </w:r>
      <w:r w:rsidR="00327527" w:rsidRPr="00B06BDB">
        <w:rPr>
          <w:rFonts w:eastAsia="Times New Roman" w:cstheme="minorHAnsi"/>
          <w:sz w:val="20"/>
          <w:szCs w:val="20"/>
          <w:lang w:eastAsia="en-GB"/>
        </w:rPr>
        <w:t>rlikowski</w:t>
      </w:r>
      <w:proofErr w:type="spellEnd"/>
      <w:r w:rsidR="00327527" w:rsidRPr="00B06BDB">
        <w:rPr>
          <w:rFonts w:eastAsia="Times New Roman" w:cstheme="minorHAnsi"/>
          <w:sz w:val="20"/>
          <w:szCs w:val="20"/>
          <w:lang w:eastAsia="en-GB"/>
        </w:rPr>
        <w:t>, W.J.</w:t>
      </w:r>
      <w:r w:rsidRPr="00B06BDB">
        <w:rPr>
          <w:rFonts w:eastAsia="Times New Roman" w:cstheme="minorHAnsi"/>
          <w:sz w:val="20"/>
          <w:szCs w:val="20"/>
          <w:lang w:eastAsia="en-GB"/>
        </w:rPr>
        <w:t xml:space="preserve"> </w:t>
      </w:r>
      <w:r w:rsidR="00327527" w:rsidRPr="00B06BDB">
        <w:rPr>
          <w:rFonts w:eastAsia="Times New Roman" w:cstheme="minorHAnsi"/>
          <w:sz w:val="20"/>
          <w:szCs w:val="20"/>
          <w:lang w:eastAsia="en-GB"/>
        </w:rPr>
        <w:t>(</w:t>
      </w:r>
      <w:r w:rsidRPr="00B06BDB">
        <w:rPr>
          <w:rFonts w:eastAsia="Times New Roman" w:cstheme="minorHAnsi"/>
          <w:sz w:val="20"/>
          <w:szCs w:val="20"/>
          <w:lang w:eastAsia="en-GB"/>
        </w:rPr>
        <w:t>1992</w:t>
      </w:r>
      <w:r w:rsidR="00327527" w:rsidRPr="00B06BDB">
        <w:rPr>
          <w:rFonts w:eastAsia="Times New Roman" w:cstheme="minorHAnsi"/>
          <w:sz w:val="20"/>
          <w:szCs w:val="20"/>
          <w:lang w:eastAsia="en-GB"/>
        </w:rPr>
        <w:t>)</w:t>
      </w:r>
      <w:r w:rsidR="008025AB" w:rsidRPr="00B06BDB">
        <w:rPr>
          <w:rFonts w:eastAsia="Times New Roman" w:cstheme="minorHAnsi"/>
          <w:sz w:val="20"/>
          <w:szCs w:val="20"/>
          <w:lang w:eastAsia="en-GB"/>
        </w:rPr>
        <w:t xml:space="preserve"> The duality of technology: Rethinking the c</w:t>
      </w:r>
      <w:r w:rsidRPr="00B06BDB">
        <w:rPr>
          <w:rFonts w:eastAsia="Times New Roman" w:cstheme="minorHAnsi"/>
          <w:sz w:val="20"/>
          <w:szCs w:val="20"/>
          <w:lang w:eastAsia="en-GB"/>
        </w:rPr>
        <w:t xml:space="preserve">oncept of </w:t>
      </w:r>
      <w:r w:rsidR="008025AB" w:rsidRPr="00B06BDB">
        <w:rPr>
          <w:rFonts w:eastAsia="Times New Roman" w:cstheme="minorHAnsi"/>
          <w:sz w:val="20"/>
          <w:szCs w:val="20"/>
          <w:lang w:eastAsia="en-GB"/>
        </w:rPr>
        <w:t>technology in o</w:t>
      </w:r>
      <w:r w:rsidRPr="00B06BDB">
        <w:rPr>
          <w:rFonts w:eastAsia="Times New Roman" w:cstheme="minorHAnsi"/>
          <w:sz w:val="20"/>
          <w:szCs w:val="20"/>
          <w:lang w:eastAsia="en-GB"/>
        </w:rPr>
        <w:t>rganizations</w:t>
      </w:r>
      <w:r w:rsidR="00327527"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Organization Science,</w:t>
      </w:r>
      <w:r w:rsidR="00327527" w:rsidRPr="00B06BDB">
        <w:rPr>
          <w:rFonts w:eastAsia="Times New Roman" w:cstheme="minorHAnsi"/>
          <w:i/>
          <w:iCs/>
          <w:sz w:val="20"/>
          <w:szCs w:val="20"/>
          <w:lang w:eastAsia="en-GB"/>
        </w:rPr>
        <w:t xml:space="preserve"> Vol</w:t>
      </w:r>
      <w:r w:rsidRPr="00B06BDB">
        <w:rPr>
          <w:rFonts w:eastAsia="Times New Roman" w:cstheme="minorHAnsi"/>
          <w:i/>
          <w:iCs/>
          <w:sz w:val="20"/>
          <w:szCs w:val="20"/>
          <w:lang w:eastAsia="en-GB"/>
        </w:rPr>
        <w:t xml:space="preserve"> </w:t>
      </w:r>
      <w:r w:rsidRPr="00B06BDB">
        <w:rPr>
          <w:rFonts w:eastAsia="Times New Roman" w:cstheme="minorHAnsi"/>
          <w:bCs/>
          <w:sz w:val="20"/>
          <w:szCs w:val="20"/>
          <w:lang w:eastAsia="en-GB"/>
        </w:rPr>
        <w:t>3</w:t>
      </w:r>
      <w:r w:rsidR="00327527" w:rsidRPr="00B06BDB">
        <w:rPr>
          <w:rFonts w:eastAsia="Times New Roman" w:cstheme="minorHAnsi"/>
          <w:sz w:val="20"/>
          <w:szCs w:val="20"/>
          <w:lang w:eastAsia="en-GB"/>
        </w:rPr>
        <w:t>, No. 3, pp</w:t>
      </w:r>
      <w:r w:rsidRPr="00B06BDB">
        <w:rPr>
          <w:rFonts w:eastAsia="Times New Roman" w:cstheme="minorHAnsi"/>
          <w:sz w:val="20"/>
          <w:szCs w:val="20"/>
          <w:lang w:eastAsia="en-GB"/>
        </w:rPr>
        <w:t xml:space="preserve"> 398-427.</w:t>
      </w:r>
    </w:p>
    <w:p w14:paraId="68FF3331" w14:textId="31D237EC" w:rsidR="004716EC" w:rsidRPr="00B06BDB" w:rsidRDefault="00327527" w:rsidP="00A209AF">
      <w:pPr>
        <w:shd w:val="clear" w:color="auto" w:fill="FFFFFF"/>
        <w:spacing w:after="120" w:line="240" w:lineRule="auto"/>
        <w:jc w:val="both"/>
        <w:rPr>
          <w:rFonts w:eastAsia="Times New Roman" w:cstheme="minorHAnsi"/>
          <w:sz w:val="20"/>
          <w:szCs w:val="20"/>
          <w:lang w:eastAsia="en-GB"/>
        </w:rPr>
      </w:pPr>
      <w:proofErr w:type="spellStart"/>
      <w:r w:rsidRPr="00B06BDB">
        <w:rPr>
          <w:rFonts w:eastAsia="Times New Roman" w:cstheme="minorHAnsi"/>
          <w:sz w:val="20"/>
          <w:szCs w:val="20"/>
          <w:lang w:eastAsia="en-GB"/>
        </w:rPr>
        <w:t>Orlikowski</w:t>
      </w:r>
      <w:proofErr w:type="spellEnd"/>
      <w:r w:rsidRPr="00B06BDB">
        <w:rPr>
          <w:rFonts w:eastAsia="Times New Roman" w:cstheme="minorHAnsi"/>
          <w:sz w:val="20"/>
          <w:szCs w:val="20"/>
          <w:lang w:eastAsia="en-GB"/>
        </w:rPr>
        <w:t>, W. (2000)</w:t>
      </w:r>
      <w:r w:rsidR="004716EC" w:rsidRPr="00B06BDB">
        <w:rPr>
          <w:rFonts w:eastAsia="Times New Roman" w:cstheme="minorHAnsi"/>
          <w:sz w:val="20"/>
          <w:szCs w:val="20"/>
          <w:lang w:eastAsia="en-GB"/>
        </w:rPr>
        <w:t xml:space="preserve"> Using technology and constituting structures: A practice lens for study</w:t>
      </w:r>
      <w:r w:rsidRPr="00B06BDB">
        <w:rPr>
          <w:rFonts w:eastAsia="Times New Roman" w:cstheme="minorHAnsi"/>
          <w:sz w:val="20"/>
          <w:szCs w:val="20"/>
          <w:lang w:eastAsia="en-GB"/>
        </w:rPr>
        <w:t>ing technology in organizations,</w:t>
      </w:r>
      <w:r w:rsidR="004716EC" w:rsidRPr="00B06BDB">
        <w:rPr>
          <w:rFonts w:eastAsia="Times New Roman" w:cstheme="minorHAnsi"/>
          <w:sz w:val="20"/>
          <w:szCs w:val="20"/>
          <w:lang w:eastAsia="en-GB"/>
        </w:rPr>
        <w:t xml:space="preserve"> </w:t>
      </w:r>
      <w:r w:rsidR="004716EC" w:rsidRPr="00B06BDB">
        <w:rPr>
          <w:rFonts w:eastAsia="Times New Roman" w:cstheme="minorHAnsi"/>
          <w:i/>
          <w:sz w:val="20"/>
          <w:szCs w:val="20"/>
          <w:lang w:eastAsia="en-GB"/>
        </w:rPr>
        <w:t>Organization Science</w:t>
      </w:r>
      <w:r w:rsidR="004716EC" w:rsidRPr="00B06BDB">
        <w:rPr>
          <w:rFonts w:eastAsia="Times New Roman" w:cstheme="minorHAnsi"/>
          <w:sz w:val="20"/>
          <w:szCs w:val="20"/>
          <w:lang w:eastAsia="en-GB"/>
        </w:rPr>
        <w:t xml:space="preserve">, </w:t>
      </w:r>
      <w:r w:rsidRPr="00B06BDB">
        <w:rPr>
          <w:rFonts w:eastAsia="Times New Roman" w:cstheme="minorHAnsi"/>
          <w:sz w:val="20"/>
          <w:szCs w:val="20"/>
          <w:lang w:eastAsia="en-GB"/>
        </w:rPr>
        <w:t xml:space="preserve">Vol. </w:t>
      </w:r>
      <w:r w:rsidR="004716EC" w:rsidRPr="00B06BDB">
        <w:rPr>
          <w:rFonts w:eastAsia="Times New Roman" w:cstheme="minorHAnsi"/>
          <w:sz w:val="20"/>
          <w:szCs w:val="20"/>
          <w:lang w:eastAsia="en-GB"/>
        </w:rPr>
        <w:t>11</w:t>
      </w:r>
      <w:r w:rsidRPr="00B06BDB">
        <w:rPr>
          <w:rFonts w:eastAsia="Times New Roman" w:cstheme="minorHAnsi"/>
          <w:sz w:val="20"/>
          <w:szCs w:val="20"/>
          <w:lang w:eastAsia="en-GB"/>
        </w:rPr>
        <w:t xml:space="preserve">, No. </w:t>
      </w:r>
      <w:r w:rsidR="004716EC" w:rsidRPr="00B06BDB">
        <w:rPr>
          <w:rFonts w:eastAsia="Times New Roman" w:cstheme="minorHAnsi"/>
          <w:sz w:val="20"/>
          <w:szCs w:val="20"/>
          <w:lang w:eastAsia="en-GB"/>
        </w:rPr>
        <w:t xml:space="preserve">4, </w:t>
      </w:r>
      <w:r w:rsidRPr="00B06BDB">
        <w:rPr>
          <w:rFonts w:eastAsia="Times New Roman" w:cstheme="minorHAnsi"/>
          <w:sz w:val="20"/>
          <w:szCs w:val="20"/>
          <w:lang w:eastAsia="en-GB"/>
        </w:rPr>
        <w:t xml:space="preserve">pp </w:t>
      </w:r>
      <w:r w:rsidR="004716EC" w:rsidRPr="00B06BDB">
        <w:rPr>
          <w:rFonts w:eastAsia="Times New Roman" w:cstheme="minorHAnsi"/>
          <w:sz w:val="20"/>
          <w:szCs w:val="20"/>
          <w:lang w:eastAsia="en-GB"/>
        </w:rPr>
        <w:t>404–428.</w:t>
      </w:r>
    </w:p>
    <w:p w14:paraId="78DB9839" w14:textId="77777777" w:rsidR="00A209AF" w:rsidRPr="00B06BDB" w:rsidRDefault="00A209AF" w:rsidP="00A209AF">
      <w:pPr>
        <w:jc w:val="both"/>
        <w:rPr>
          <w:sz w:val="20"/>
          <w:szCs w:val="20"/>
        </w:rPr>
      </w:pPr>
      <w:r w:rsidRPr="00B06BDB">
        <w:rPr>
          <w:sz w:val="20"/>
          <w:szCs w:val="20"/>
        </w:rPr>
        <w:t xml:space="preserve">Scholl, H. (2005a) E-government-induced business process change (BPC): An empirical study of current practices, </w:t>
      </w:r>
      <w:r w:rsidRPr="00B06BDB">
        <w:rPr>
          <w:i/>
          <w:sz w:val="20"/>
          <w:szCs w:val="20"/>
        </w:rPr>
        <w:t>International Journal of Electronic Government Research (IJEGR)</w:t>
      </w:r>
      <w:r w:rsidRPr="00B06BDB">
        <w:rPr>
          <w:sz w:val="20"/>
          <w:szCs w:val="20"/>
        </w:rPr>
        <w:t xml:space="preserve">, 1(2), 27-49. </w:t>
      </w:r>
    </w:p>
    <w:p w14:paraId="1B6BC83B" w14:textId="77777777" w:rsidR="00A209AF" w:rsidRPr="00B06BDB" w:rsidRDefault="00A209AF" w:rsidP="00A209AF">
      <w:pPr>
        <w:jc w:val="both"/>
        <w:rPr>
          <w:sz w:val="20"/>
          <w:szCs w:val="20"/>
        </w:rPr>
      </w:pPr>
      <w:r w:rsidRPr="00B06BDB">
        <w:rPr>
          <w:sz w:val="20"/>
          <w:szCs w:val="20"/>
        </w:rPr>
        <w:t xml:space="preserve">Scholl, H. (2005b) Motives, strategic approach, objectives &amp; focal areas in e-government-induced change, </w:t>
      </w:r>
      <w:r w:rsidRPr="00B06BDB">
        <w:rPr>
          <w:i/>
          <w:sz w:val="20"/>
          <w:szCs w:val="20"/>
        </w:rPr>
        <w:t>International Journal of Electronic Government Research (IJEGR)</w:t>
      </w:r>
      <w:r w:rsidRPr="00B06BDB">
        <w:rPr>
          <w:sz w:val="20"/>
          <w:szCs w:val="20"/>
        </w:rPr>
        <w:t xml:space="preserve">, 1(1), 59-78. </w:t>
      </w:r>
    </w:p>
    <w:p w14:paraId="10ED4D4A" w14:textId="77777777" w:rsidR="00A209AF" w:rsidRPr="00B06BDB" w:rsidRDefault="00A209AF" w:rsidP="00A209AF">
      <w:pPr>
        <w:jc w:val="both"/>
        <w:rPr>
          <w:sz w:val="20"/>
          <w:szCs w:val="20"/>
        </w:rPr>
      </w:pPr>
      <w:r w:rsidRPr="00B06BDB">
        <w:rPr>
          <w:sz w:val="20"/>
          <w:szCs w:val="20"/>
        </w:rPr>
        <w:t xml:space="preserve">Scholl, H. (2014) Mobile ICTs in government field operations: A socio-technical innovation project, </w:t>
      </w:r>
      <w:r w:rsidRPr="00B06BDB">
        <w:rPr>
          <w:i/>
          <w:sz w:val="20"/>
          <w:szCs w:val="20"/>
        </w:rPr>
        <w:t>International Journal of Electronic Government Research (IJEGR)</w:t>
      </w:r>
      <w:r w:rsidRPr="00B06BDB">
        <w:rPr>
          <w:sz w:val="20"/>
          <w:szCs w:val="20"/>
        </w:rPr>
        <w:t xml:space="preserve">, 10(2), 60-81. </w:t>
      </w:r>
    </w:p>
    <w:p w14:paraId="40E87067" w14:textId="00431FBD" w:rsidR="004A605D" w:rsidRPr="00B06BDB" w:rsidRDefault="004A605D" w:rsidP="00A209AF">
      <w:pPr>
        <w:shd w:val="clear" w:color="auto" w:fill="FFFFFF"/>
        <w:spacing w:after="120" w:line="240" w:lineRule="auto"/>
        <w:jc w:val="both"/>
        <w:rPr>
          <w:rFonts w:eastAsia="Times New Roman" w:cstheme="minorHAnsi"/>
          <w:iCs/>
          <w:sz w:val="20"/>
          <w:szCs w:val="20"/>
          <w:lang w:eastAsia="en-GB"/>
        </w:rPr>
      </w:pPr>
      <w:r w:rsidRPr="00B06BDB">
        <w:rPr>
          <w:rFonts w:eastAsia="Times New Roman" w:cstheme="minorHAnsi"/>
          <w:sz w:val="20"/>
          <w:szCs w:val="20"/>
          <w:lang w:eastAsia="en-GB"/>
        </w:rPr>
        <w:t>S</w:t>
      </w:r>
      <w:r w:rsidR="00C06B34" w:rsidRPr="00B06BDB">
        <w:rPr>
          <w:rFonts w:eastAsia="Times New Roman" w:cstheme="minorHAnsi"/>
          <w:sz w:val="20"/>
          <w:szCs w:val="20"/>
          <w:lang w:eastAsia="en-GB"/>
        </w:rPr>
        <w:t>mith</w:t>
      </w:r>
      <w:r w:rsidRPr="00B06BDB">
        <w:rPr>
          <w:rFonts w:eastAsia="Times New Roman" w:cstheme="minorHAnsi"/>
          <w:sz w:val="20"/>
          <w:szCs w:val="20"/>
          <w:lang w:eastAsia="en-GB"/>
        </w:rPr>
        <w:t>, M.R. and M</w:t>
      </w:r>
      <w:r w:rsidR="00C06B34" w:rsidRPr="00B06BDB">
        <w:rPr>
          <w:rFonts w:eastAsia="Times New Roman" w:cstheme="minorHAnsi"/>
          <w:sz w:val="20"/>
          <w:szCs w:val="20"/>
          <w:lang w:eastAsia="en-GB"/>
        </w:rPr>
        <w:t>arx, L.</w:t>
      </w:r>
      <w:r w:rsidRPr="00B06BDB">
        <w:rPr>
          <w:rFonts w:eastAsia="Times New Roman" w:cstheme="minorHAnsi"/>
          <w:sz w:val="20"/>
          <w:szCs w:val="20"/>
          <w:lang w:eastAsia="en-GB"/>
        </w:rPr>
        <w:t xml:space="preserve"> </w:t>
      </w:r>
      <w:r w:rsidR="00C06B34" w:rsidRPr="00B06BDB">
        <w:rPr>
          <w:rFonts w:eastAsia="Times New Roman" w:cstheme="minorHAnsi"/>
          <w:sz w:val="20"/>
          <w:szCs w:val="20"/>
          <w:lang w:eastAsia="en-GB"/>
        </w:rPr>
        <w:t>(</w:t>
      </w:r>
      <w:r w:rsidRPr="00B06BDB">
        <w:rPr>
          <w:rFonts w:eastAsia="Times New Roman" w:cstheme="minorHAnsi"/>
          <w:sz w:val="20"/>
          <w:szCs w:val="20"/>
          <w:lang w:eastAsia="en-GB"/>
        </w:rPr>
        <w:t>1994</w:t>
      </w:r>
      <w:r w:rsidR="00C06B34"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r w:rsidRPr="00B06BDB">
        <w:rPr>
          <w:rFonts w:eastAsia="Times New Roman" w:cstheme="minorHAnsi"/>
          <w:i/>
          <w:iCs/>
          <w:sz w:val="20"/>
          <w:szCs w:val="20"/>
          <w:lang w:eastAsia="en-GB"/>
        </w:rPr>
        <w:t>Does technology drive history</w:t>
      </w:r>
      <w:proofErr w:type="gramStart"/>
      <w:r w:rsidRPr="00B06BDB">
        <w:rPr>
          <w:rFonts w:eastAsia="Times New Roman" w:cstheme="minorHAnsi"/>
          <w:i/>
          <w:iCs/>
          <w:sz w:val="20"/>
          <w:szCs w:val="20"/>
          <w:lang w:eastAsia="en-GB"/>
        </w:rPr>
        <w:t>?:</w:t>
      </w:r>
      <w:proofErr w:type="gramEnd"/>
      <w:r w:rsidRPr="00B06BDB">
        <w:rPr>
          <w:rFonts w:eastAsia="Times New Roman" w:cstheme="minorHAnsi"/>
          <w:i/>
          <w:iCs/>
          <w:sz w:val="20"/>
          <w:szCs w:val="20"/>
          <w:lang w:eastAsia="en-GB"/>
        </w:rPr>
        <w:t xml:space="preserve"> the dilemma of t</w:t>
      </w:r>
      <w:r w:rsidR="00C06B34" w:rsidRPr="00B06BDB">
        <w:rPr>
          <w:rFonts w:eastAsia="Times New Roman" w:cstheme="minorHAnsi"/>
          <w:i/>
          <w:iCs/>
          <w:sz w:val="20"/>
          <w:szCs w:val="20"/>
          <w:lang w:eastAsia="en-GB"/>
        </w:rPr>
        <w:t>echnological determinism,</w:t>
      </w:r>
      <w:r w:rsidRPr="00B06BDB">
        <w:rPr>
          <w:rFonts w:eastAsia="Times New Roman" w:cstheme="minorHAnsi"/>
          <w:iCs/>
          <w:sz w:val="20"/>
          <w:szCs w:val="20"/>
          <w:lang w:eastAsia="en-GB"/>
        </w:rPr>
        <w:t xml:space="preserve"> MIT Press</w:t>
      </w:r>
      <w:r w:rsidR="00C06B34" w:rsidRPr="00B06BDB">
        <w:rPr>
          <w:rFonts w:eastAsia="Times New Roman" w:cstheme="minorHAnsi"/>
          <w:iCs/>
          <w:sz w:val="20"/>
          <w:szCs w:val="20"/>
          <w:lang w:eastAsia="en-GB"/>
        </w:rPr>
        <w:t>, Cambridge</w:t>
      </w:r>
      <w:r w:rsidRPr="00B06BDB">
        <w:rPr>
          <w:rFonts w:eastAsia="Times New Roman" w:cstheme="minorHAnsi"/>
          <w:iCs/>
          <w:sz w:val="20"/>
          <w:szCs w:val="20"/>
          <w:lang w:eastAsia="en-GB"/>
        </w:rPr>
        <w:t>.</w:t>
      </w:r>
    </w:p>
    <w:p w14:paraId="71EF86D8" w14:textId="68502454" w:rsidR="00C2614D" w:rsidRPr="00B06BDB" w:rsidRDefault="00C2614D" w:rsidP="00A209AF">
      <w:pPr>
        <w:spacing w:after="120" w:line="240" w:lineRule="auto"/>
        <w:jc w:val="both"/>
        <w:rPr>
          <w:sz w:val="20"/>
          <w:szCs w:val="20"/>
          <w:lang w:val="en-US"/>
        </w:rPr>
      </w:pPr>
      <w:r w:rsidRPr="00B06BDB">
        <w:rPr>
          <w:sz w:val="20"/>
          <w:szCs w:val="20"/>
          <w:lang w:val="en-US"/>
        </w:rPr>
        <w:t xml:space="preserve">Spell, C. (2001) </w:t>
      </w:r>
      <w:proofErr w:type="spellStart"/>
      <w:r w:rsidRPr="00B06BDB">
        <w:rPr>
          <w:sz w:val="20"/>
          <w:szCs w:val="20"/>
          <w:lang w:val="en-US"/>
        </w:rPr>
        <w:t>Organisational</w:t>
      </w:r>
      <w:proofErr w:type="spellEnd"/>
      <w:r w:rsidRPr="00B06BDB">
        <w:rPr>
          <w:sz w:val="20"/>
          <w:szCs w:val="20"/>
          <w:lang w:val="en-US"/>
        </w:rPr>
        <w:t xml:space="preserve"> technologies and human resource management, </w:t>
      </w:r>
      <w:r w:rsidRPr="00B06BDB">
        <w:rPr>
          <w:i/>
          <w:iCs/>
          <w:sz w:val="20"/>
          <w:szCs w:val="20"/>
          <w:lang w:val="en-US"/>
        </w:rPr>
        <w:t>Human Relations,</w:t>
      </w:r>
      <w:r w:rsidRPr="00B06BDB">
        <w:rPr>
          <w:sz w:val="20"/>
          <w:szCs w:val="20"/>
          <w:lang w:val="en-US"/>
        </w:rPr>
        <w:t xml:space="preserve"> Vol 54, No. 2, pp 193-213.</w:t>
      </w:r>
    </w:p>
    <w:p w14:paraId="28419FAE" w14:textId="77777777" w:rsidR="00A209AF" w:rsidRPr="00B06BDB" w:rsidRDefault="00A209AF" w:rsidP="00A209AF">
      <w:pPr>
        <w:jc w:val="both"/>
        <w:rPr>
          <w:sz w:val="20"/>
          <w:szCs w:val="20"/>
        </w:rPr>
      </w:pPr>
      <w:r w:rsidRPr="00B06BDB">
        <w:rPr>
          <w:sz w:val="20"/>
          <w:szCs w:val="20"/>
        </w:rPr>
        <w:t xml:space="preserve">Thom, M. (2017) </w:t>
      </w:r>
      <w:proofErr w:type="gramStart"/>
      <w:r w:rsidRPr="00B06BDB">
        <w:rPr>
          <w:sz w:val="20"/>
          <w:szCs w:val="20"/>
        </w:rPr>
        <w:t>The</w:t>
      </w:r>
      <w:proofErr w:type="gramEnd"/>
      <w:r w:rsidRPr="00B06BDB">
        <w:rPr>
          <w:sz w:val="20"/>
          <w:szCs w:val="20"/>
        </w:rPr>
        <w:t xml:space="preserve"> drivers of public sector pension reform across the U.S. states, </w:t>
      </w:r>
      <w:r w:rsidRPr="00B06BDB">
        <w:rPr>
          <w:i/>
          <w:sz w:val="20"/>
          <w:szCs w:val="20"/>
        </w:rPr>
        <w:t>The American Review of Public Administration</w:t>
      </w:r>
      <w:r w:rsidRPr="00B06BDB">
        <w:rPr>
          <w:sz w:val="20"/>
          <w:szCs w:val="20"/>
        </w:rPr>
        <w:t xml:space="preserve">, 47(4), 431-442. </w:t>
      </w:r>
    </w:p>
    <w:p w14:paraId="034FE21C" w14:textId="7245027E" w:rsidR="00681B00" w:rsidRPr="00B06BDB" w:rsidRDefault="00681B00" w:rsidP="00A209AF">
      <w:pPr>
        <w:shd w:val="clear" w:color="auto" w:fill="FFFFFF"/>
        <w:spacing w:after="120" w:line="240" w:lineRule="auto"/>
        <w:jc w:val="both"/>
        <w:rPr>
          <w:rFonts w:eastAsia="Times New Roman" w:cstheme="minorHAnsi"/>
          <w:sz w:val="20"/>
          <w:szCs w:val="20"/>
          <w:lang w:eastAsia="en-GB"/>
        </w:rPr>
      </w:pPr>
      <w:proofErr w:type="spellStart"/>
      <w:r w:rsidRPr="00B06BDB">
        <w:rPr>
          <w:rFonts w:eastAsia="Times New Roman" w:cstheme="minorHAnsi"/>
          <w:sz w:val="20"/>
          <w:szCs w:val="20"/>
          <w:lang w:eastAsia="en-GB"/>
        </w:rPr>
        <w:lastRenderedPageBreak/>
        <w:t>T</w:t>
      </w:r>
      <w:r w:rsidR="00C06B34" w:rsidRPr="00B06BDB">
        <w:rPr>
          <w:rFonts w:eastAsia="Times New Roman" w:cstheme="minorHAnsi"/>
          <w:sz w:val="20"/>
          <w:szCs w:val="20"/>
          <w:lang w:eastAsia="en-GB"/>
        </w:rPr>
        <w:t>inholt</w:t>
      </w:r>
      <w:proofErr w:type="spellEnd"/>
      <w:r w:rsidR="00C06B34" w:rsidRPr="00B06BDB">
        <w:rPr>
          <w:rFonts w:eastAsia="Times New Roman" w:cstheme="minorHAnsi"/>
          <w:sz w:val="20"/>
          <w:szCs w:val="20"/>
          <w:lang w:eastAsia="en-GB"/>
        </w:rPr>
        <w:t>, D., Van Der</w:t>
      </w:r>
      <w:r w:rsidRPr="00B06BDB">
        <w:rPr>
          <w:rFonts w:eastAsia="Times New Roman" w:cstheme="minorHAnsi"/>
          <w:sz w:val="20"/>
          <w:szCs w:val="20"/>
          <w:lang w:eastAsia="en-GB"/>
        </w:rPr>
        <w:t xml:space="preserve"> L</w:t>
      </w:r>
      <w:r w:rsidR="00C06B34" w:rsidRPr="00B06BDB">
        <w:rPr>
          <w:rFonts w:eastAsia="Times New Roman" w:cstheme="minorHAnsi"/>
          <w:sz w:val="20"/>
          <w:szCs w:val="20"/>
          <w:lang w:eastAsia="en-GB"/>
        </w:rPr>
        <w:t>inden</w:t>
      </w:r>
      <w:r w:rsidRPr="00B06BDB">
        <w:rPr>
          <w:rFonts w:eastAsia="Times New Roman" w:cstheme="minorHAnsi"/>
          <w:sz w:val="20"/>
          <w:szCs w:val="20"/>
          <w:lang w:eastAsia="en-GB"/>
        </w:rPr>
        <w:t xml:space="preserve">, N., </w:t>
      </w:r>
      <w:proofErr w:type="spellStart"/>
      <w:r w:rsidRPr="00B06BDB">
        <w:rPr>
          <w:rFonts w:eastAsia="Times New Roman" w:cstheme="minorHAnsi"/>
          <w:sz w:val="20"/>
          <w:szCs w:val="20"/>
          <w:lang w:eastAsia="en-GB"/>
        </w:rPr>
        <w:t>S</w:t>
      </w:r>
      <w:r w:rsidR="00C06B34" w:rsidRPr="00B06BDB">
        <w:rPr>
          <w:rFonts w:eastAsia="Times New Roman" w:cstheme="minorHAnsi"/>
          <w:sz w:val="20"/>
          <w:szCs w:val="20"/>
          <w:lang w:eastAsia="en-GB"/>
        </w:rPr>
        <w:t>chenkelaars</w:t>
      </w:r>
      <w:proofErr w:type="spellEnd"/>
      <w:r w:rsidRPr="00B06BDB">
        <w:rPr>
          <w:rFonts w:eastAsia="Times New Roman" w:cstheme="minorHAnsi"/>
          <w:sz w:val="20"/>
          <w:szCs w:val="20"/>
          <w:lang w:eastAsia="en-GB"/>
        </w:rPr>
        <w:t xml:space="preserve">, S., </w:t>
      </w:r>
      <w:proofErr w:type="spellStart"/>
      <w:r w:rsidRPr="00B06BDB">
        <w:rPr>
          <w:rFonts w:eastAsia="Times New Roman" w:cstheme="minorHAnsi"/>
          <w:sz w:val="20"/>
          <w:szCs w:val="20"/>
          <w:lang w:eastAsia="en-GB"/>
        </w:rPr>
        <w:t>E</w:t>
      </w:r>
      <w:r w:rsidR="00C06B34" w:rsidRPr="00B06BDB">
        <w:rPr>
          <w:rFonts w:eastAsia="Times New Roman" w:cstheme="minorHAnsi"/>
          <w:sz w:val="20"/>
          <w:szCs w:val="20"/>
          <w:lang w:eastAsia="en-GB"/>
        </w:rPr>
        <w:t>hrismann</w:t>
      </w:r>
      <w:proofErr w:type="spellEnd"/>
      <w:r w:rsidRPr="00B06BDB">
        <w:rPr>
          <w:rFonts w:eastAsia="Times New Roman" w:cstheme="minorHAnsi"/>
          <w:sz w:val="20"/>
          <w:szCs w:val="20"/>
          <w:lang w:eastAsia="en-GB"/>
        </w:rPr>
        <w:t>, M., D</w:t>
      </w:r>
      <w:r w:rsidR="00C06B34" w:rsidRPr="00B06BDB">
        <w:rPr>
          <w:rFonts w:eastAsia="Times New Roman" w:cstheme="minorHAnsi"/>
          <w:sz w:val="20"/>
          <w:szCs w:val="20"/>
          <w:lang w:eastAsia="en-GB"/>
        </w:rPr>
        <w:t>e</w:t>
      </w:r>
      <w:r w:rsidRPr="00B06BDB">
        <w:rPr>
          <w:rFonts w:eastAsia="Times New Roman" w:cstheme="minorHAnsi"/>
          <w:sz w:val="20"/>
          <w:szCs w:val="20"/>
          <w:lang w:eastAsia="en-GB"/>
        </w:rPr>
        <w:t xml:space="preserve"> </w:t>
      </w:r>
      <w:proofErr w:type="spellStart"/>
      <w:r w:rsidRPr="00B06BDB">
        <w:rPr>
          <w:rFonts w:eastAsia="Times New Roman" w:cstheme="minorHAnsi"/>
          <w:sz w:val="20"/>
          <w:szCs w:val="20"/>
          <w:lang w:eastAsia="en-GB"/>
        </w:rPr>
        <w:t>V</w:t>
      </w:r>
      <w:r w:rsidR="00C06B34" w:rsidRPr="00B06BDB">
        <w:rPr>
          <w:rFonts w:eastAsia="Times New Roman" w:cstheme="minorHAnsi"/>
          <w:sz w:val="20"/>
          <w:szCs w:val="20"/>
          <w:lang w:eastAsia="en-GB"/>
        </w:rPr>
        <w:t>ries</w:t>
      </w:r>
      <w:proofErr w:type="spellEnd"/>
      <w:r w:rsidRPr="00B06BDB">
        <w:rPr>
          <w:rFonts w:eastAsia="Times New Roman" w:cstheme="minorHAnsi"/>
          <w:sz w:val="20"/>
          <w:szCs w:val="20"/>
          <w:lang w:eastAsia="en-GB"/>
        </w:rPr>
        <w:t xml:space="preserve">, V., </w:t>
      </w:r>
      <w:proofErr w:type="spellStart"/>
      <w:r w:rsidRPr="00B06BDB">
        <w:rPr>
          <w:rFonts w:eastAsia="Times New Roman" w:cstheme="minorHAnsi"/>
          <w:sz w:val="20"/>
          <w:szCs w:val="20"/>
          <w:lang w:eastAsia="en-GB"/>
        </w:rPr>
        <w:t>C</w:t>
      </w:r>
      <w:r w:rsidR="00C06B34" w:rsidRPr="00B06BDB">
        <w:rPr>
          <w:rFonts w:eastAsia="Times New Roman" w:cstheme="minorHAnsi"/>
          <w:sz w:val="20"/>
          <w:szCs w:val="20"/>
          <w:lang w:eastAsia="en-GB"/>
        </w:rPr>
        <w:t>attaneo</w:t>
      </w:r>
      <w:proofErr w:type="spellEnd"/>
      <w:r w:rsidRPr="00B06BDB">
        <w:rPr>
          <w:rFonts w:eastAsia="Times New Roman" w:cstheme="minorHAnsi"/>
          <w:sz w:val="20"/>
          <w:szCs w:val="20"/>
          <w:lang w:eastAsia="en-GB"/>
        </w:rPr>
        <w:t xml:space="preserve">, G., </w:t>
      </w:r>
      <w:proofErr w:type="spellStart"/>
      <w:r w:rsidRPr="00B06BDB">
        <w:rPr>
          <w:rFonts w:eastAsia="Times New Roman" w:cstheme="minorHAnsi"/>
          <w:sz w:val="20"/>
          <w:szCs w:val="20"/>
          <w:lang w:eastAsia="en-GB"/>
        </w:rPr>
        <w:t>A</w:t>
      </w:r>
      <w:r w:rsidR="00C06B34" w:rsidRPr="00B06BDB">
        <w:rPr>
          <w:rFonts w:eastAsia="Times New Roman" w:cstheme="minorHAnsi"/>
          <w:sz w:val="20"/>
          <w:szCs w:val="20"/>
          <w:lang w:eastAsia="en-GB"/>
        </w:rPr>
        <w:t>guzzi</w:t>
      </w:r>
      <w:proofErr w:type="spellEnd"/>
      <w:r w:rsidRPr="00B06BDB">
        <w:rPr>
          <w:rFonts w:eastAsia="Times New Roman" w:cstheme="minorHAnsi"/>
          <w:sz w:val="20"/>
          <w:szCs w:val="20"/>
          <w:lang w:eastAsia="en-GB"/>
        </w:rPr>
        <w:t xml:space="preserve">, S., </w:t>
      </w:r>
      <w:proofErr w:type="spellStart"/>
      <w:r w:rsidRPr="00B06BDB">
        <w:rPr>
          <w:rFonts w:eastAsia="Times New Roman" w:cstheme="minorHAnsi"/>
          <w:sz w:val="20"/>
          <w:szCs w:val="20"/>
          <w:lang w:eastAsia="en-GB"/>
        </w:rPr>
        <w:t>J</w:t>
      </w:r>
      <w:r w:rsidR="00C06B34" w:rsidRPr="00B06BDB">
        <w:rPr>
          <w:rFonts w:eastAsia="Times New Roman" w:cstheme="minorHAnsi"/>
          <w:sz w:val="20"/>
          <w:szCs w:val="20"/>
          <w:lang w:eastAsia="en-GB"/>
        </w:rPr>
        <w:t>acquet</w:t>
      </w:r>
      <w:proofErr w:type="spellEnd"/>
      <w:r w:rsidRPr="00B06BDB">
        <w:rPr>
          <w:rFonts w:eastAsia="Times New Roman" w:cstheme="minorHAnsi"/>
          <w:sz w:val="20"/>
          <w:szCs w:val="20"/>
          <w:lang w:eastAsia="en-GB"/>
        </w:rPr>
        <w:t xml:space="preserve">, L., </w:t>
      </w:r>
      <w:proofErr w:type="spellStart"/>
      <w:r w:rsidRPr="00B06BDB">
        <w:rPr>
          <w:rFonts w:eastAsia="Times New Roman" w:cstheme="minorHAnsi"/>
          <w:sz w:val="20"/>
          <w:szCs w:val="20"/>
          <w:lang w:eastAsia="en-GB"/>
        </w:rPr>
        <w:t>V</w:t>
      </w:r>
      <w:r w:rsidR="00C06B34" w:rsidRPr="00B06BDB">
        <w:rPr>
          <w:rFonts w:eastAsia="Times New Roman" w:cstheme="minorHAnsi"/>
          <w:sz w:val="20"/>
          <w:szCs w:val="20"/>
          <w:lang w:eastAsia="en-GB"/>
        </w:rPr>
        <w:t>anmarcke</w:t>
      </w:r>
      <w:proofErr w:type="spellEnd"/>
      <w:r w:rsidRPr="00B06BDB">
        <w:rPr>
          <w:rFonts w:eastAsia="Times New Roman" w:cstheme="minorHAnsi"/>
          <w:sz w:val="20"/>
          <w:szCs w:val="20"/>
          <w:lang w:eastAsia="en-GB"/>
        </w:rPr>
        <w:t xml:space="preserve">, S., </w:t>
      </w:r>
      <w:proofErr w:type="spellStart"/>
      <w:r w:rsidRPr="00B06BDB">
        <w:rPr>
          <w:rFonts w:eastAsia="Times New Roman" w:cstheme="minorHAnsi"/>
          <w:sz w:val="20"/>
          <w:szCs w:val="20"/>
          <w:lang w:eastAsia="en-GB"/>
        </w:rPr>
        <w:t>N</w:t>
      </w:r>
      <w:r w:rsidR="00C06B34" w:rsidRPr="00B06BDB">
        <w:rPr>
          <w:rFonts w:eastAsia="Times New Roman" w:cstheme="minorHAnsi"/>
          <w:sz w:val="20"/>
          <w:szCs w:val="20"/>
          <w:lang w:eastAsia="en-GB"/>
        </w:rPr>
        <w:t>oci</w:t>
      </w:r>
      <w:proofErr w:type="spellEnd"/>
      <w:r w:rsidRPr="00B06BDB">
        <w:rPr>
          <w:rFonts w:eastAsia="Times New Roman" w:cstheme="minorHAnsi"/>
          <w:sz w:val="20"/>
          <w:szCs w:val="20"/>
          <w:lang w:eastAsia="en-GB"/>
        </w:rPr>
        <w:t>, G., B</w:t>
      </w:r>
      <w:r w:rsidR="00C06B34" w:rsidRPr="00B06BDB">
        <w:rPr>
          <w:rFonts w:eastAsia="Times New Roman" w:cstheme="minorHAnsi"/>
          <w:sz w:val="20"/>
          <w:szCs w:val="20"/>
          <w:lang w:eastAsia="en-GB"/>
        </w:rPr>
        <w:t>enedetti</w:t>
      </w:r>
      <w:r w:rsidRPr="00B06BDB">
        <w:rPr>
          <w:rFonts w:eastAsia="Times New Roman" w:cstheme="minorHAnsi"/>
          <w:sz w:val="20"/>
          <w:szCs w:val="20"/>
          <w:lang w:eastAsia="en-GB"/>
        </w:rPr>
        <w:t xml:space="preserve">, M. and </w:t>
      </w:r>
      <w:proofErr w:type="spellStart"/>
      <w:r w:rsidRPr="00B06BDB">
        <w:rPr>
          <w:rFonts w:eastAsia="Times New Roman" w:cstheme="minorHAnsi"/>
          <w:sz w:val="20"/>
          <w:szCs w:val="20"/>
          <w:lang w:eastAsia="en-GB"/>
        </w:rPr>
        <w:t>M</w:t>
      </w:r>
      <w:r w:rsidR="00C06B34" w:rsidRPr="00B06BDB">
        <w:rPr>
          <w:rFonts w:eastAsia="Times New Roman" w:cstheme="minorHAnsi"/>
          <w:sz w:val="20"/>
          <w:szCs w:val="20"/>
          <w:lang w:eastAsia="en-GB"/>
        </w:rPr>
        <w:t>archio</w:t>
      </w:r>
      <w:proofErr w:type="spellEnd"/>
      <w:r w:rsidRPr="00B06BDB">
        <w:rPr>
          <w:rFonts w:eastAsia="Times New Roman" w:cstheme="minorHAnsi"/>
          <w:sz w:val="20"/>
          <w:szCs w:val="20"/>
          <w:lang w:eastAsia="en-GB"/>
        </w:rPr>
        <w:t xml:space="preserve">, G., </w:t>
      </w:r>
      <w:r w:rsidR="008025AB" w:rsidRPr="00B06BDB">
        <w:rPr>
          <w:rFonts w:eastAsia="Times New Roman" w:cstheme="minorHAnsi"/>
          <w:sz w:val="20"/>
          <w:szCs w:val="20"/>
          <w:lang w:eastAsia="en-GB"/>
        </w:rPr>
        <w:t>(</w:t>
      </w:r>
      <w:r w:rsidRPr="00B06BDB">
        <w:rPr>
          <w:rFonts w:eastAsia="Times New Roman" w:cstheme="minorHAnsi"/>
          <w:sz w:val="20"/>
          <w:szCs w:val="20"/>
          <w:lang w:eastAsia="en-GB"/>
        </w:rPr>
        <w:t>2016</w:t>
      </w:r>
      <w:r w:rsidR="008025AB" w:rsidRPr="00B06BDB">
        <w:rPr>
          <w:rFonts w:eastAsia="Times New Roman" w:cstheme="minorHAnsi"/>
          <w:sz w:val="20"/>
          <w:szCs w:val="20"/>
          <w:lang w:eastAsia="en-GB"/>
        </w:rPr>
        <w:t>)</w:t>
      </w:r>
      <w:r w:rsidRPr="00B06BDB">
        <w:rPr>
          <w:rFonts w:eastAsia="Times New Roman" w:cstheme="minorHAnsi"/>
          <w:sz w:val="20"/>
          <w:szCs w:val="20"/>
          <w:lang w:eastAsia="en-GB"/>
        </w:rPr>
        <w:t xml:space="preserve">. </w:t>
      </w:r>
      <w:proofErr w:type="spellStart"/>
      <w:proofErr w:type="gramStart"/>
      <w:r w:rsidRPr="00B06BDB">
        <w:rPr>
          <w:rFonts w:eastAsia="Times New Roman" w:cstheme="minorHAnsi"/>
          <w:i/>
          <w:iCs/>
          <w:sz w:val="20"/>
          <w:szCs w:val="20"/>
          <w:lang w:eastAsia="en-GB"/>
        </w:rPr>
        <w:t>eGovernment</w:t>
      </w:r>
      <w:proofErr w:type="spellEnd"/>
      <w:proofErr w:type="gramEnd"/>
      <w:r w:rsidR="00C06B34" w:rsidRPr="00B06BDB">
        <w:rPr>
          <w:rFonts w:eastAsia="Times New Roman" w:cstheme="minorHAnsi"/>
          <w:i/>
          <w:iCs/>
          <w:sz w:val="20"/>
          <w:szCs w:val="20"/>
          <w:lang w:eastAsia="en-GB"/>
        </w:rPr>
        <w:t xml:space="preserve"> </w:t>
      </w:r>
      <w:r w:rsidRPr="00B06BDB">
        <w:rPr>
          <w:rFonts w:eastAsia="Times New Roman" w:cstheme="minorHAnsi"/>
          <w:i/>
          <w:iCs/>
          <w:sz w:val="20"/>
          <w:szCs w:val="20"/>
          <w:lang w:eastAsia="en-GB"/>
        </w:rPr>
        <w:t xml:space="preserve">Benchmark 2016: A turning point for </w:t>
      </w:r>
      <w:proofErr w:type="spellStart"/>
      <w:r w:rsidRPr="00B06BDB">
        <w:rPr>
          <w:rFonts w:eastAsia="Times New Roman" w:cstheme="minorHAnsi"/>
          <w:i/>
          <w:iCs/>
          <w:sz w:val="20"/>
          <w:szCs w:val="20"/>
          <w:lang w:eastAsia="en-GB"/>
        </w:rPr>
        <w:t>eGovernment</w:t>
      </w:r>
      <w:proofErr w:type="spellEnd"/>
      <w:r w:rsidR="004A605D" w:rsidRPr="00B06BDB">
        <w:rPr>
          <w:rFonts w:eastAsia="Times New Roman" w:cstheme="minorHAnsi"/>
          <w:i/>
          <w:iCs/>
          <w:sz w:val="20"/>
          <w:szCs w:val="20"/>
          <w:lang w:eastAsia="en-GB"/>
        </w:rPr>
        <w:t xml:space="preserve"> </w:t>
      </w:r>
      <w:r w:rsidRPr="00B06BDB">
        <w:rPr>
          <w:rFonts w:eastAsia="Times New Roman" w:cstheme="minorHAnsi"/>
          <w:i/>
          <w:iCs/>
          <w:sz w:val="20"/>
          <w:szCs w:val="20"/>
          <w:lang w:eastAsia="en-GB"/>
        </w:rPr>
        <w:t>development in Europe?</w:t>
      </w:r>
      <w:r w:rsidR="00C06B34" w:rsidRPr="00B06BDB">
        <w:rPr>
          <w:rFonts w:eastAsia="Times New Roman" w:cstheme="minorHAnsi"/>
          <w:i/>
          <w:iCs/>
          <w:sz w:val="20"/>
          <w:szCs w:val="20"/>
          <w:lang w:eastAsia="en-GB"/>
        </w:rPr>
        <w:t>,</w:t>
      </w:r>
      <w:r w:rsidRPr="00B06BDB">
        <w:rPr>
          <w:rFonts w:eastAsia="Times New Roman" w:cstheme="minorHAnsi"/>
          <w:sz w:val="20"/>
          <w:szCs w:val="20"/>
          <w:lang w:eastAsia="en-GB"/>
        </w:rPr>
        <w:t xml:space="preserve"> European Commission</w:t>
      </w:r>
      <w:r w:rsidR="00C06B34" w:rsidRPr="00B06BDB">
        <w:rPr>
          <w:rFonts w:eastAsia="Times New Roman" w:cstheme="minorHAnsi"/>
          <w:sz w:val="20"/>
          <w:szCs w:val="20"/>
          <w:lang w:eastAsia="en-GB"/>
        </w:rPr>
        <w:t xml:space="preserve">, </w:t>
      </w:r>
      <w:proofErr w:type="spellStart"/>
      <w:r w:rsidR="00C06B34" w:rsidRPr="00B06BDB">
        <w:rPr>
          <w:rFonts w:eastAsia="Times New Roman" w:cstheme="minorHAnsi"/>
          <w:sz w:val="20"/>
          <w:szCs w:val="20"/>
          <w:lang w:eastAsia="en-GB"/>
        </w:rPr>
        <w:t>Capgemini</w:t>
      </w:r>
      <w:proofErr w:type="spellEnd"/>
      <w:r w:rsidRPr="00B06BDB">
        <w:rPr>
          <w:rFonts w:eastAsia="Times New Roman" w:cstheme="minorHAnsi"/>
          <w:sz w:val="20"/>
          <w:szCs w:val="20"/>
          <w:lang w:eastAsia="en-GB"/>
        </w:rPr>
        <w:t>.</w:t>
      </w:r>
    </w:p>
    <w:p w14:paraId="17651CB6" w14:textId="6B3BD792" w:rsidR="000D389B" w:rsidRPr="00B06BDB" w:rsidRDefault="000D389B" w:rsidP="00A209AF">
      <w:pPr>
        <w:spacing w:after="120" w:line="240" w:lineRule="auto"/>
        <w:jc w:val="both"/>
        <w:rPr>
          <w:sz w:val="20"/>
          <w:szCs w:val="20"/>
          <w:lang w:val="en-US"/>
        </w:rPr>
      </w:pPr>
      <w:proofErr w:type="spellStart"/>
      <w:r w:rsidRPr="00B06BDB">
        <w:rPr>
          <w:sz w:val="20"/>
          <w:szCs w:val="20"/>
          <w:lang w:val="en-US"/>
        </w:rPr>
        <w:t>Whalley</w:t>
      </w:r>
      <w:proofErr w:type="spellEnd"/>
      <w:r w:rsidRPr="00B06BDB">
        <w:rPr>
          <w:sz w:val="20"/>
          <w:szCs w:val="20"/>
          <w:lang w:val="en-US"/>
        </w:rPr>
        <w:t>, P. (1984) Deskilling engineers? The labor process, labor markets, and labor segmentation, </w:t>
      </w:r>
      <w:r w:rsidRPr="00B06BDB">
        <w:rPr>
          <w:i/>
          <w:iCs/>
          <w:sz w:val="20"/>
          <w:szCs w:val="20"/>
          <w:lang w:val="en-US"/>
        </w:rPr>
        <w:t>Social Problems</w:t>
      </w:r>
      <w:r w:rsidRPr="00B06BDB">
        <w:rPr>
          <w:sz w:val="20"/>
          <w:szCs w:val="20"/>
          <w:lang w:val="en-US"/>
        </w:rPr>
        <w:t xml:space="preserve">, Vol 32, No. 2, pp 117-132. </w:t>
      </w:r>
    </w:p>
    <w:p w14:paraId="68555C84" w14:textId="77777777" w:rsidR="00A209AF" w:rsidRPr="00B06BDB" w:rsidRDefault="00A209AF" w:rsidP="00A209AF">
      <w:pPr>
        <w:jc w:val="both"/>
        <w:rPr>
          <w:sz w:val="20"/>
          <w:szCs w:val="20"/>
        </w:rPr>
      </w:pPr>
      <w:r w:rsidRPr="00B06BDB">
        <w:rPr>
          <w:sz w:val="20"/>
          <w:szCs w:val="20"/>
        </w:rPr>
        <w:t xml:space="preserve">Wise, L. R. (2002) Public management reform: Competing drivers of change, </w:t>
      </w:r>
      <w:r w:rsidRPr="00B06BDB">
        <w:rPr>
          <w:i/>
          <w:sz w:val="20"/>
          <w:szCs w:val="20"/>
        </w:rPr>
        <w:t>Public Administration Review</w:t>
      </w:r>
      <w:r w:rsidRPr="00B06BDB">
        <w:rPr>
          <w:sz w:val="20"/>
          <w:szCs w:val="20"/>
        </w:rPr>
        <w:t xml:space="preserve">, 62(5), 556-567. </w:t>
      </w:r>
    </w:p>
    <w:p w14:paraId="71C9DDF8" w14:textId="77777777" w:rsidR="00A209AF" w:rsidRPr="00B06BDB" w:rsidRDefault="00A209AF" w:rsidP="00220B98">
      <w:pPr>
        <w:spacing w:after="120" w:line="240" w:lineRule="auto"/>
        <w:jc w:val="both"/>
        <w:rPr>
          <w:sz w:val="20"/>
          <w:szCs w:val="20"/>
          <w:lang w:val="en-US"/>
        </w:rPr>
      </w:pPr>
    </w:p>
    <w:p w14:paraId="44A5359A" w14:textId="77777777" w:rsidR="008025AB" w:rsidRPr="00B06BDB" w:rsidRDefault="008025AB" w:rsidP="00220B98">
      <w:pPr>
        <w:spacing w:after="120" w:line="240" w:lineRule="auto"/>
        <w:jc w:val="both"/>
        <w:rPr>
          <w:rFonts w:cstheme="minorHAnsi"/>
          <w:sz w:val="20"/>
          <w:szCs w:val="20"/>
          <w:lang w:val="sv-SE"/>
        </w:rPr>
      </w:pPr>
    </w:p>
    <w:sectPr w:rsidR="008025AB" w:rsidRPr="00B06B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546A" w14:textId="77777777" w:rsidR="003E4827" w:rsidRDefault="003E4827" w:rsidP="00E56BCE">
      <w:pPr>
        <w:spacing w:after="0" w:line="240" w:lineRule="auto"/>
      </w:pPr>
      <w:r>
        <w:separator/>
      </w:r>
    </w:p>
  </w:endnote>
  <w:endnote w:type="continuationSeparator" w:id="0">
    <w:p w14:paraId="127BE04E" w14:textId="77777777" w:rsidR="003E4827" w:rsidRDefault="003E4827" w:rsidP="00E5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6ED47" w14:textId="77777777" w:rsidR="003E4827" w:rsidRDefault="003E4827" w:rsidP="00E56BCE">
      <w:pPr>
        <w:spacing w:after="0" w:line="240" w:lineRule="auto"/>
      </w:pPr>
      <w:r>
        <w:separator/>
      </w:r>
    </w:p>
  </w:footnote>
  <w:footnote w:type="continuationSeparator" w:id="0">
    <w:p w14:paraId="6E7EF1BC" w14:textId="77777777" w:rsidR="003E4827" w:rsidRDefault="003E4827" w:rsidP="00E56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1015"/>
    <w:multiLevelType w:val="hybridMultilevel"/>
    <w:tmpl w:val="4E0E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5562D"/>
    <w:multiLevelType w:val="hybridMultilevel"/>
    <w:tmpl w:val="FF28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93E51"/>
    <w:multiLevelType w:val="hybridMultilevel"/>
    <w:tmpl w:val="64B87490"/>
    <w:lvl w:ilvl="0" w:tplc="D958BD30">
      <w:start w:val="1"/>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73F0136A"/>
    <w:multiLevelType w:val="hybridMultilevel"/>
    <w:tmpl w:val="12D0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94D18"/>
    <w:multiLevelType w:val="hybridMultilevel"/>
    <w:tmpl w:val="8C3EB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AC"/>
    <w:rsid w:val="00004941"/>
    <w:rsid w:val="0001038E"/>
    <w:rsid w:val="00013D2E"/>
    <w:rsid w:val="0001412D"/>
    <w:rsid w:val="000215EA"/>
    <w:rsid w:val="00021F0B"/>
    <w:rsid w:val="00025504"/>
    <w:rsid w:val="00026011"/>
    <w:rsid w:val="00036EA1"/>
    <w:rsid w:val="00040F4A"/>
    <w:rsid w:val="00041B64"/>
    <w:rsid w:val="00051620"/>
    <w:rsid w:val="0005219B"/>
    <w:rsid w:val="00052BCB"/>
    <w:rsid w:val="00064A4B"/>
    <w:rsid w:val="00074059"/>
    <w:rsid w:val="00074169"/>
    <w:rsid w:val="000806AC"/>
    <w:rsid w:val="000815E6"/>
    <w:rsid w:val="00083245"/>
    <w:rsid w:val="00085495"/>
    <w:rsid w:val="00085764"/>
    <w:rsid w:val="0008731F"/>
    <w:rsid w:val="00090125"/>
    <w:rsid w:val="00093AAD"/>
    <w:rsid w:val="000A5280"/>
    <w:rsid w:val="000A7651"/>
    <w:rsid w:val="000C29F8"/>
    <w:rsid w:val="000D0B63"/>
    <w:rsid w:val="000D1CF8"/>
    <w:rsid w:val="000D389B"/>
    <w:rsid w:val="000D545A"/>
    <w:rsid w:val="000D6BA0"/>
    <w:rsid w:val="000E17BD"/>
    <w:rsid w:val="000E2BD1"/>
    <w:rsid w:val="000E4C11"/>
    <w:rsid w:val="000E6066"/>
    <w:rsid w:val="001056B9"/>
    <w:rsid w:val="00107C0B"/>
    <w:rsid w:val="001148DF"/>
    <w:rsid w:val="0012488C"/>
    <w:rsid w:val="00124AD0"/>
    <w:rsid w:val="00130A91"/>
    <w:rsid w:val="00131F21"/>
    <w:rsid w:val="00136D70"/>
    <w:rsid w:val="00143D77"/>
    <w:rsid w:val="001450A7"/>
    <w:rsid w:val="00145FFA"/>
    <w:rsid w:val="0015043C"/>
    <w:rsid w:val="00160C06"/>
    <w:rsid w:val="001703BB"/>
    <w:rsid w:val="001742E5"/>
    <w:rsid w:val="0017784E"/>
    <w:rsid w:val="001802E4"/>
    <w:rsid w:val="00181CCA"/>
    <w:rsid w:val="0019030A"/>
    <w:rsid w:val="001A3C0B"/>
    <w:rsid w:val="001A48E2"/>
    <w:rsid w:val="001B2C5A"/>
    <w:rsid w:val="001C0001"/>
    <w:rsid w:val="001C09BE"/>
    <w:rsid w:val="001C4CBE"/>
    <w:rsid w:val="001D03E5"/>
    <w:rsid w:val="001D6C7B"/>
    <w:rsid w:val="001E08DD"/>
    <w:rsid w:val="001E0958"/>
    <w:rsid w:val="001E37D0"/>
    <w:rsid w:val="001E52A6"/>
    <w:rsid w:val="001E5627"/>
    <w:rsid w:val="001E6207"/>
    <w:rsid w:val="001E6A7A"/>
    <w:rsid w:val="001F31C9"/>
    <w:rsid w:val="0020095D"/>
    <w:rsid w:val="00204BCA"/>
    <w:rsid w:val="00217708"/>
    <w:rsid w:val="00220B98"/>
    <w:rsid w:val="00221077"/>
    <w:rsid w:val="002213F2"/>
    <w:rsid w:val="002246DF"/>
    <w:rsid w:val="0022623D"/>
    <w:rsid w:val="00235553"/>
    <w:rsid w:val="002419D4"/>
    <w:rsid w:val="002427EE"/>
    <w:rsid w:val="0024333D"/>
    <w:rsid w:val="002458E2"/>
    <w:rsid w:val="002469B6"/>
    <w:rsid w:val="002507CF"/>
    <w:rsid w:val="002523C4"/>
    <w:rsid w:val="00252A66"/>
    <w:rsid w:val="00254D3F"/>
    <w:rsid w:val="00260838"/>
    <w:rsid w:val="00271D44"/>
    <w:rsid w:val="00273ABE"/>
    <w:rsid w:val="0027420D"/>
    <w:rsid w:val="00283AC7"/>
    <w:rsid w:val="00285C04"/>
    <w:rsid w:val="00291ACF"/>
    <w:rsid w:val="002963CB"/>
    <w:rsid w:val="002B6835"/>
    <w:rsid w:val="002C2C04"/>
    <w:rsid w:val="002C3657"/>
    <w:rsid w:val="002C6D9B"/>
    <w:rsid w:val="002D3BAC"/>
    <w:rsid w:val="002E6108"/>
    <w:rsid w:val="002F438E"/>
    <w:rsid w:val="003028BB"/>
    <w:rsid w:val="00302D0C"/>
    <w:rsid w:val="00303CCE"/>
    <w:rsid w:val="00304AB8"/>
    <w:rsid w:val="00306591"/>
    <w:rsid w:val="00313D4E"/>
    <w:rsid w:val="003172B1"/>
    <w:rsid w:val="003220AC"/>
    <w:rsid w:val="0032458B"/>
    <w:rsid w:val="00326891"/>
    <w:rsid w:val="003270DF"/>
    <w:rsid w:val="00327527"/>
    <w:rsid w:val="00337E34"/>
    <w:rsid w:val="003419F6"/>
    <w:rsid w:val="00341F6C"/>
    <w:rsid w:val="00353BFF"/>
    <w:rsid w:val="00360347"/>
    <w:rsid w:val="00366131"/>
    <w:rsid w:val="00377B76"/>
    <w:rsid w:val="00382D5C"/>
    <w:rsid w:val="00385013"/>
    <w:rsid w:val="00391F93"/>
    <w:rsid w:val="0039248B"/>
    <w:rsid w:val="003948DD"/>
    <w:rsid w:val="00395606"/>
    <w:rsid w:val="00395784"/>
    <w:rsid w:val="003A00A7"/>
    <w:rsid w:val="003A31EF"/>
    <w:rsid w:val="003A39A1"/>
    <w:rsid w:val="003A7C87"/>
    <w:rsid w:val="003B7EAB"/>
    <w:rsid w:val="003C2D66"/>
    <w:rsid w:val="003D4243"/>
    <w:rsid w:val="003E31A0"/>
    <w:rsid w:val="003E4827"/>
    <w:rsid w:val="003E4B32"/>
    <w:rsid w:val="003E7924"/>
    <w:rsid w:val="00400F6D"/>
    <w:rsid w:val="00404628"/>
    <w:rsid w:val="004055F7"/>
    <w:rsid w:val="0040791D"/>
    <w:rsid w:val="0041041B"/>
    <w:rsid w:val="00412A62"/>
    <w:rsid w:val="00416901"/>
    <w:rsid w:val="004216FC"/>
    <w:rsid w:val="0042264A"/>
    <w:rsid w:val="004239F4"/>
    <w:rsid w:val="0042514B"/>
    <w:rsid w:val="00426FF1"/>
    <w:rsid w:val="004274D5"/>
    <w:rsid w:val="00427DA7"/>
    <w:rsid w:val="004331CA"/>
    <w:rsid w:val="00436C26"/>
    <w:rsid w:val="00440C87"/>
    <w:rsid w:val="004606D3"/>
    <w:rsid w:val="00460D55"/>
    <w:rsid w:val="00460FBE"/>
    <w:rsid w:val="00464778"/>
    <w:rsid w:val="00464A00"/>
    <w:rsid w:val="004662BA"/>
    <w:rsid w:val="004716EC"/>
    <w:rsid w:val="0047273F"/>
    <w:rsid w:val="00475346"/>
    <w:rsid w:val="00475CF1"/>
    <w:rsid w:val="004771FF"/>
    <w:rsid w:val="004821BD"/>
    <w:rsid w:val="00487A4F"/>
    <w:rsid w:val="00490BDB"/>
    <w:rsid w:val="00493894"/>
    <w:rsid w:val="00494D10"/>
    <w:rsid w:val="00497255"/>
    <w:rsid w:val="004A2BC7"/>
    <w:rsid w:val="004A4238"/>
    <w:rsid w:val="004A605D"/>
    <w:rsid w:val="004B098D"/>
    <w:rsid w:val="004B2C07"/>
    <w:rsid w:val="004B3732"/>
    <w:rsid w:val="004B6710"/>
    <w:rsid w:val="004C1F7E"/>
    <w:rsid w:val="004C3A2F"/>
    <w:rsid w:val="004C6B8D"/>
    <w:rsid w:val="004C704A"/>
    <w:rsid w:val="004E384C"/>
    <w:rsid w:val="004E54D2"/>
    <w:rsid w:val="004F4726"/>
    <w:rsid w:val="00500F4E"/>
    <w:rsid w:val="00505311"/>
    <w:rsid w:val="00513975"/>
    <w:rsid w:val="00514FD4"/>
    <w:rsid w:val="00517718"/>
    <w:rsid w:val="00517B50"/>
    <w:rsid w:val="00522D5E"/>
    <w:rsid w:val="00524B86"/>
    <w:rsid w:val="00525F0B"/>
    <w:rsid w:val="00526BE7"/>
    <w:rsid w:val="00540108"/>
    <w:rsid w:val="00540988"/>
    <w:rsid w:val="00550806"/>
    <w:rsid w:val="005524CC"/>
    <w:rsid w:val="005547BE"/>
    <w:rsid w:val="005656BE"/>
    <w:rsid w:val="00571052"/>
    <w:rsid w:val="00571A64"/>
    <w:rsid w:val="00581F49"/>
    <w:rsid w:val="00596330"/>
    <w:rsid w:val="005A1BCD"/>
    <w:rsid w:val="005A43F8"/>
    <w:rsid w:val="005A56CB"/>
    <w:rsid w:val="005A577A"/>
    <w:rsid w:val="005B0243"/>
    <w:rsid w:val="005B26B0"/>
    <w:rsid w:val="005B2913"/>
    <w:rsid w:val="005C0F99"/>
    <w:rsid w:val="005C4184"/>
    <w:rsid w:val="005C631F"/>
    <w:rsid w:val="005D18D3"/>
    <w:rsid w:val="005D3629"/>
    <w:rsid w:val="005E4F48"/>
    <w:rsid w:val="005E7B78"/>
    <w:rsid w:val="005F18DC"/>
    <w:rsid w:val="005F6530"/>
    <w:rsid w:val="005F6C6A"/>
    <w:rsid w:val="006008F6"/>
    <w:rsid w:val="006019A5"/>
    <w:rsid w:val="00602720"/>
    <w:rsid w:val="00612412"/>
    <w:rsid w:val="006125B0"/>
    <w:rsid w:val="0061375A"/>
    <w:rsid w:val="00621A61"/>
    <w:rsid w:val="006270DD"/>
    <w:rsid w:val="00636E43"/>
    <w:rsid w:val="00640C01"/>
    <w:rsid w:val="00650AE3"/>
    <w:rsid w:val="00651E09"/>
    <w:rsid w:val="006532D1"/>
    <w:rsid w:val="00653E91"/>
    <w:rsid w:val="00660028"/>
    <w:rsid w:val="0066269C"/>
    <w:rsid w:val="00665D4A"/>
    <w:rsid w:val="00670EA6"/>
    <w:rsid w:val="00671CB4"/>
    <w:rsid w:val="006729CB"/>
    <w:rsid w:val="00675907"/>
    <w:rsid w:val="00677BE4"/>
    <w:rsid w:val="00681B00"/>
    <w:rsid w:val="00694F12"/>
    <w:rsid w:val="006A0FE4"/>
    <w:rsid w:val="006A7363"/>
    <w:rsid w:val="006A761F"/>
    <w:rsid w:val="006B17EC"/>
    <w:rsid w:val="006B1D9B"/>
    <w:rsid w:val="006B24BC"/>
    <w:rsid w:val="006B41F0"/>
    <w:rsid w:val="006B45E3"/>
    <w:rsid w:val="006B71AB"/>
    <w:rsid w:val="006B74F9"/>
    <w:rsid w:val="006B7511"/>
    <w:rsid w:val="006C66BB"/>
    <w:rsid w:val="006C7F6D"/>
    <w:rsid w:val="006D08B1"/>
    <w:rsid w:val="006D24A9"/>
    <w:rsid w:val="006D61FB"/>
    <w:rsid w:val="006D7959"/>
    <w:rsid w:val="006F0934"/>
    <w:rsid w:val="006F1BD7"/>
    <w:rsid w:val="006F3BBC"/>
    <w:rsid w:val="006F55D7"/>
    <w:rsid w:val="00701024"/>
    <w:rsid w:val="00702BC6"/>
    <w:rsid w:val="0070300F"/>
    <w:rsid w:val="007076AB"/>
    <w:rsid w:val="00711B36"/>
    <w:rsid w:val="007133DE"/>
    <w:rsid w:val="007134E3"/>
    <w:rsid w:val="00713BFB"/>
    <w:rsid w:val="00717D74"/>
    <w:rsid w:val="00722FDA"/>
    <w:rsid w:val="0072385B"/>
    <w:rsid w:val="00725429"/>
    <w:rsid w:val="00727770"/>
    <w:rsid w:val="00737766"/>
    <w:rsid w:val="00737DCF"/>
    <w:rsid w:val="007403D4"/>
    <w:rsid w:val="00742ECD"/>
    <w:rsid w:val="00747B5F"/>
    <w:rsid w:val="00751CD5"/>
    <w:rsid w:val="00751EEE"/>
    <w:rsid w:val="007532C5"/>
    <w:rsid w:val="007611C6"/>
    <w:rsid w:val="007661B0"/>
    <w:rsid w:val="00770083"/>
    <w:rsid w:val="0077216D"/>
    <w:rsid w:val="00774331"/>
    <w:rsid w:val="00775AC7"/>
    <w:rsid w:val="007777E6"/>
    <w:rsid w:val="00777E37"/>
    <w:rsid w:val="007806CE"/>
    <w:rsid w:val="00786773"/>
    <w:rsid w:val="007A268A"/>
    <w:rsid w:val="007A535E"/>
    <w:rsid w:val="007A5634"/>
    <w:rsid w:val="007A6DD8"/>
    <w:rsid w:val="007B560E"/>
    <w:rsid w:val="007C39D9"/>
    <w:rsid w:val="007C451F"/>
    <w:rsid w:val="007D7628"/>
    <w:rsid w:val="007D7A18"/>
    <w:rsid w:val="007E06B0"/>
    <w:rsid w:val="007E1027"/>
    <w:rsid w:val="007E1045"/>
    <w:rsid w:val="007E3FB9"/>
    <w:rsid w:val="007E4B57"/>
    <w:rsid w:val="007E63B8"/>
    <w:rsid w:val="007F2546"/>
    <w:rsid w:val="007F6175"/>
    <w:rsid w:val="008013C0"/>
    <w:rsid w:val="008025AB"/>
    <w:rsid w:val="008047D6"/>
    <w:rsid w:val="0082024E"/>
    <w:rsid w:val="008217A1"/>
    <w:rsid w:val="00821F4D"/>
    <w:rsid w:val="0082531C"/>
    <w:rsid w:val="0082551E"/>
    <w:rsid w:val="00825540"/>
    <w:rsid w:val="00825C6A"/>
    <w:rsid w:val="00830B48"/>
    <w:rsid w:val="008315AB"/>
    <w:rsid w:val="00833E9E"/>
    <w:rsid w:val="00835307"/>
    <w:rsid w:val="00840F16"/>
    <w:rsid w:val="008466ED"/>
    <w:rsid w:val="0085435A"/>
    <w:rsid w:val="00856183"/>
    <w:rsid w:val="00865E9D"/>
    <w:rsid w:val="00866CF0"/>
    <w:rsid w:val="008902A2"/>
    <w:rsid w:val="00896A0C"/>
    <w:rsid w:val="008A0ECC"/>
    <w:rsid w:val="008A4A42"/>
    <w:rsid w:val="008A6B90"/>
    <w:rsid w:val="008A7F61"/>
    <w:rsid w:val="008C28DA"/>
    <w:rsid w:val="008C4692"/>
    <w:rsid w:val="008C7A85"/>
    <w:rsid w:val="008D3B90"/>
    <w:rsid w:val="008D6AE0"/>
    <w:rsid w:val="008E00E2"/>
    <w:rsid w:val="008E11D4"/>
    <w:rsid w:val="008E273E"/>
    <w:rsid w:val="008E6CD2"/>
    <w:rsid w:val="008F1CA9"/>
    <w:rsid w:val="009006EE"/>
    <w:rsid w:val="00900A1E"/>
    <w:rsid w:val="00902487"/>
    <w:rsid w:val="009028FB"/>
    <w:rsid w:val="00903336"/>
    <w:rsid w:val="009039FC"/>
    <w:rsid w:val="009045DC"/>
    <w:rsid w:val="0091085B"/>
    <w:rsid w:val="00911404"/>
    <w:rsid w:val="009115F6"/>
    <w:rsid w:val="00912492"/>
    <w:rsid w:val="009130F1"/>
    <w:rsid w:val="009132BB"/>
    <w:rsid w:val="0091560F"/>
    <w:rsid w:val="00923D09"/>
    <w:rsid w:val="00941CF4"/>
    <w:rsid w:val="0094251C"/>
    <w:rsid w:val="0094693C"/>
    <w:rsid w:val="009629A1"/>
    <w:rsid w:val="00964085"/>
    <w:rsid w:val="00964A21"/>
    <w:rsid w:val="009657A6"/>
    <w:rsid w:val="00971BBD"/>
    <w:rsid w:val="00981E3A"/>
    <w:rsid w:val="00985D7C"/>
    <w:rsid w:val="00992EF9"/>
    <w:rsid w:val="00994509"/>
    <w:rsid w:val="009946D8"/>
    <w:rsid w:val="0099701F"/>
    <w:rsid w:val="009A7CBC"/>
    <w:rsid w:val="009B5EDE"/>
    <w:rsid w:val="009C669B"/>
    <w:rsid w:val="009D0403"/>
    <w:rsid w:val="009D651A"/>
    <w:rsid w:val="009E24CB"/>
    <w:rsid w:val="009E551D"/>
    <w:rsid w:val="009E59E2"/>
    <w:rsid w:val="009E6D6D"/>
    <w:rsid w:val="009F24F3"/>
    <w:rsid w:val="009F28C1"/>
    <w:rsid w:val="009F3FB1"/>
    <w:rsid w:val="00A12D8D"/>
    <w:rsid w:val="00A1489C"/>
    <w:rsid w:val="00A151C5"/>
    <w:rsid w:val="00A15D78"/>
    <w:rsid w:val="00A166C4"/>
    <w:rsid w:val="00A176C4"/>
    <w:rsid w:val="00A209AF"/>
    <w:rsid w:val="00A23052"/>
    <w:rsid w:val="00A24FA7"/>
    <w:rsid w:val="00A45443"/>
    <w:rsid w:val="00A463DC"/>
    <w:rsid w:val="00A47DD2"/>
    <w:rsid w:val="00A5304E"/>
    <w:rsid w:val="00A54B9A"/>
    <w:rsid w:val="00A61928"/>
    <w:rsid w:val="00A623C7"/>
    <w:rsid w:val="00A66358"/>
    <w:rsid w:val="00A6757B"/>
    <w:rsid w:val="00A70227"/>
    <w:rsid w:val="00A72C6F"/>
    <w:rsid w:val="00A81F7D"/>
    <w:rsid w:val="00A84BBB"/>
    <w:rsid w:val="00A85CA3"/>
    <w:rsid w:val="00A86ACF"/>
    <w:rsid w:val="00A86FA8"/>
    <w:rsid w:val="00A970FA"/>
    <w:rsid w:val="00AA6CF0"/>
    <w:rsid w:val="00AA7F39"/>
    <w:rsid w:val="00AB4A0F"/>
    <w:rsid w:val="00AB5FC7"/>
    <w:rsid w:val="00AC69A8"/>
    <w:rsid w:val="00AD2C0C"/>
    <w:rsid w:val="00AD75CA"/>
    <w:rsid w:val="00AF2C8A"/>
    <w:rsid w:val="00B01D45"/>
    <w:rsid w:val="00B0371E"/>
    <w:rsid w:val="00B06BDB"/>
    <w:rsid w:val="00B10309"/>
    <w:rsid w:val="00B10B35"/>
    <w:rsid w:val="00B10E11"/>
    <w:rsid w:val="00B148C6"/>
    <w:rsid w:val="00B152DE"/>
    <w:rsid w:val="00B2393C"/>
    <w:rsid w:val="00B25116"/>
    <w:rsid w:val="00B25DD6"/>
    <w:rsid w:val="00B319C1"/>
    <w:rsid w:val="00B34149"/>
    <w:rsid w:val="00B344FD"/>
    <w:rsid w:val="00B3554B"/>
    <w:rsid w:val="00B410FB"/>
    <w:rsid w:val="00B47F9D"/>
    <w:rsid w:val="00B51545"/>
    <w:rsid w:val="00B52841"/>
    <w:rsid w:val="00B54A81"/>
    <w:rsid w:val="00B5768D"/>
    <w:rsid w:val="00B64F84"/>
    <w:rsid w:val="00B719C5"/>
    <w:rsid w:val="00B720B3"/>
    <w:rsid w:val="00B75528"/>
    <w:rsid w:val="00B820EF"/>
    <w:rsid w:val="00B84E9E"/>
    <w:rsid w:val="00B93441"/>
    <w:rsid w:val="00B93C53"/>
    <w:rsid w:val="00BA6B5E"/>
    <w:rsid w:val="00BA6CB9"/>
    <w:rsid w:val="00BB299B"/>
    <w:rsid w:val="00BC3E8A"/>
    <w:rsid w:val="00BC3F0F"/>
    <w:rsid w:val="00BD0790"/>
    <w:rsid w:val="00BD3476"/>
    <w:rsid w:val="00BD5109"/>
    <w:rsid w:val="00BD7674"/>
    <w:rsid w:val="00BE0B77"/>
    <w:rsid w:val="00BE67F4"/>
    <w:rsid w:val="00BE6949"/>
    <w:rsid w:val="00BF2FBD"/>
    <w:rsid w:val="00BF3257"/>
    <w:rsid w:val="00BF60BA"/>
    <w:rsid w:val="00C05090"/>
    <w:rsid w:val="00C06444"/>
    <w:rsid w:val="00C06B34"/>
    <w:rsid w:val="00C07FC3"/>
    <w:rsid w:val="00C10044"/>
    <w:rsid w:val="00C228EC"/>
    <w:rsid w:val="00C23BFA"/>
    <w:rsid w:val="00C24752"/>
    <w:rsid w:val="00C25186"/>
    <w:rsid w:val="00C2614D"/>
    <w:rsid w:val="00C26B52"/>
    <w:rsid w:val="00C32854"/>
    <w:rsid w:val="00C32F21"/>
    <w:rsid w:val="00C45110"/>
    <w:rsid w:val="00C52C44"/>
    <w:rsid w:val="00C60A9F"/>
    <w:rsid w:val="00C7518D"/>
    <w:rsid w:val="00C84CD1"/>
    <w:rsid w:val="00C85AD6"/>
    <w:rsid w:val="00C90D3B"/>
    <w:rsid w:val="00C92145"/>
    <w:rsid w:val="00C954B3"/>
    <w:rsid w:val="00C9572C"/>
    <w:rsid w:val="00CA55EA"/>
    <w:rsid w:val="00CA63C0"/>
    <w:rsid w:val="00CB26FA"/>
    <w:rsid w:val="00CB4963"/>
    <w:rsid w:val="00CC664E"/>
    <w:rsid w:val="00CD0E56"/>
    <w:rsid w:val="00CD2993"/>
    <w:rsid w:val="00CD5701"/>
    <w:rsid w:val="00CE54A2"/>
    <w:rsid w:val="00CF13A4"/>
    <w:rsid w:val="00CF2AFF"/>
    <w:rsid w:val="00CF52FC"/>
    <w:rsid w:val="00CF7AF1"/>
    <w:rsid w:val="00D00728"/>
    <w:rsid w:val="00D10ED1"/>
    <w:rsid w:val="00D1182E"/>
    <w:rsid w:val="00D1526F"/>
    <w:rsid w:val="00D164A0"/>
    <w:rsid w:val="00D16ACC"/>
    <w:rsid w:val="00D32B80"/>
    <w:rsid w:val="00D3512B"/>
    <w:rsid w:val="00D37244"/>
    <w:rsid w:val="00D42247"/>
    <w:rsid w:val="00D42432"/>
    <w:rsid w:val="00D44585"/>
    <w:rsid w:val="00D50543"/>
    <w:rsid w:val="00D5785B"/>
    <w:rsid w:val="00D604FA"/>
    <w:rsid w:val="00D671C1"/>
    <w:rsid w:val="00D67405"/>
    <w:rsid w:val="00D71344"/>
    <w:rsid w:val="00D72A93"/>
    <w:rsid w:val="00D7541E"/>
    <w:rsid w:val="00D75785"/>
    <w:rsid w:val="00D76D52"/>
    <w:rsid w:val="00D87117"/>
    <w:rsid w:val="00D91AFA"/>
    <w:rsid w:val="00D92538"/>
    <w:rsid w:val="00D961D0"/>
    <w:rsid w:val="00D96F70"/>
    <w:rsid w:val="00DB600A"/>
    <w:rsid w:val="00DB7873"/>
    <w:rsid w:val="00DC2C55"/>
    <w:rsid w:val="00DC78A5"/>
    <w:rsid w:val="00DD41EF"/>
    <w:rsid w:val="00DD6EA7"/>
    <w:rsid w:val="00DE2A38"/>
    <w:rsid w:val="00DF5455"/>
    <w:rsid w:val="00E054FD"/>
    <w:rsid w:val="00E05E86"/>
    <w:rsid w:val="00E07E22"/>
    <w:rsid w:val="00E14C92"/>
    <w:rsid w:val="00E161D7"/>
    <w:rsid w:val="00E244B9"/>
    <w:rsid w:val="00E26883"/>
    <w:rsid w:val="00E30692"/>
    <w:rsid w:val="00E30866"/>
    <w:rsid w:val="00E30B45"/>
    <w:rsid w:val="00E31A11"/>
    <w:rsid w:val="00E4358B"/>
    <w:rsid w:val="00E478FA"/>
    <w:rsid w:val="00E5188E"/>
    <w:rsid w:val="00E532F4"/>
    <w:rsid w:val="00E54D33"/>
    <w:rsid w:val="00E56BCE"/>
    <w:rsid w:val="00E57F18"/>
    <w:rsid w:val="00E60643"/>
    <w:rsid w:val="00E63D0F"/>
    <w:rsid w:val="00E64C92"/>
    <w:rsid w:val="00E678FB"/>
    <w:rsid w:val="00E67F23"/>
    <w:rsid w:val="00E8239F"/>
    <w:rsid w:val="00E833F5"/>
    <w:rsid w:val="00E84039"/>
    <w:rsid w:val="00E85339"/>
    <w:rsid w:val="00E9064D"/>
    <w:rsid w:val="00E928F7"/>
    <w:rsid w:val="00E94589"/>
    <w:rsid w:val="00E97E32"/>
    <w:rsid w:val="00EA1879"/>
    <w:rsid w:val="00EB405C"/>
    <w:rsid w:val="00EB4A3B"/>
    <w:rsid w:val="00EC335D"/>
    <w:rsid w:val="00ED3DD8"/>
    <w:rsid w:val="00EE24C2"/>
    <w:rsid w:val="00EE2D73"/>
    <w:rsid w:val="00EF4C6B"/>
    <w:rsid w:val="00F0635D"/>
    <w:rsid w:val="00F11066"/>
    <w:rsid w:val="00F11CD2"/>
    <w:rsid w:val="00F15537"/>
    <w:rsid w:val="00F16A5E"/>
    <w:rsid w:val="00F36307"/>
    <w:rsid w:val="00F412B7"/>
    <w:rsid w:val="00F44DF8"/>
    <w:rsid w:val="00F52FBC"/>
    <w:rsid w:val="00F53083"/>
    <w:rsid w:val="00F55203"/>
    <w:rsid w:val="00F60545"/>
    <w:rsid w:val="00F60978"/>
    <w:rsid w:val="00F63B38"/>
    <w:rsid w:val="00F64AF0"/>
    <w:rsid w:val="00F6519A"/>
    <w:rsid w:val="00F653A6"/>
    <w:rsid w:val="00F67759"/>
    <w:rsid w:val="00F82EE4"/>
    <w:rsid w:val="00F90C48"/>
    <w:rsid w:val="00F921AF"/>
    <w:rsid w:val="00F93180"/>
    <w:rsid w:val="00F95F55"/>
    <w:rsid w:val="00FA2DA8"/>
    <w:rsid w:val="00FA3173"/>
    <w:rsid w:val="00FB06E6"/>
    <w:rsid w:val="00FB61CA"/>
    <w:rsid w:val="00FC0195"/>
    <w:rsid w:val="00FC29D2"/>
    <w:rsid w:val="00FD2DA8"/>
    <w:rsid w:val="00FD68EB"/>
    <w:rsid w:val="00FD6925"/>
    <w:rsid w:val="00FF05C0"/>
    <w:rsid w:val="00FF1D9C"/>
    <w:rsid w:val="00FF32A7"/>
    <w:rsid w:val="00FF517D"/>
    <w:rsid w:val="00FF6943"/>
    <w:rsid w:val="00FF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53C7"/>
  <w15:chartTrackingRefBased/>
  <w15:docId w15:val="{C72F3580-9729-49B2-AA34-934C09AF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D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12"/>
    <w:pPr>
      <w:ind w:left="720"/>
      <w:contextualSpacing/>
    </w:pPr>
  </w:style>
  <w:style w:type="table" w:styleId="TableGrid">
    <w:name w:val="Table Grid"/>
    <w:basedOn w:val="TableNormal"/>
    <w:uiPriority w:val="39"/>
    <w:rsid w:val="00D1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9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rsid w:val="00083245"/>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A2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A7"/>
    <w:rPr>
      <w:rFonts w:ascii="Segoe UI" w:hAnsi="Segoe UI" w:cs="Segoe UI"/>
      <w:sz w:val="18"/>
      <w:szCs w:val="18"/>
    </w:rPr>
  </w:style>
  <w:style w:type="character" w:styleId="CommentReference">
    <w:name w:val="annotation reference"/>
    <w:basedOn w:val="DefaultParagraphFont"/>
    <w:uiPriority w:val="99"/>
    <w:semiHidden/>
    <w:unhideWhenUsed/>
    <w:rsid w:val="008F1CA9"/>
    <w:rPr>
      <w:sz w:val="16"/>
      <w:szCs w:val="16"/>
    </w:rPr>
  </w:style>
  <w:style w:type="paragraph" w:styleId="CommentText">
    <w:name w:val="annotation text"/>
    <w:basedOn w:val="Normal"/>
    <w:link w:val="CommentTextChar"/>
    <w:uiPriority w:val="99"/>
    <w:semiHidden/>
    <w:unhideWhenUsed/>
    <w:rsid w:val="008F1CA9"/>
    <w:pPr>
      <w:spacing w:line="240" w:lineRule="auto"/>
    </w:pPr>
    <w:rPr>
      <w:sz w:val="20"/>
      <w:szCs w:val="20"/>
    </w:rPr>
  </w:style>
  <w:style w:type="character" w:customStyle="1" w:styleId="CommentTextChar">
    <w:name w:val="Comment Text Char"/>
    <w:basedOn w:val="DefaultParagraphFont"/>
    <w:link w:val="CommentText"/>
    <w:uiPriority w:val="99"/>
    <w:semiHidden/>
    <w:rsid w:val="008F1CA9"/>
    <w:rPr>
      <w:sz w:val="20"/>
      <w:szCs w:val="20"/>
    </w:rPr>
  </w:style>
  <w:style w:type="paragraph" w:styleId="CommentSubject">
    <w:name w:val="annotation subject"/>
    <w:basedOn w:val="CommentText"/>
    <w:next w:val="CommentText"/>
    <w:link w:val="CommentSubjectChar"/>
    <w:uiPriority w:val="99"/>
    <w:semiHidden/>
    <w:unhideWhenUsed/>
    <w:rsid w:val="008F1CA9"/>
    <w:rPr>
      <w:b/>
      <w:bCs/>
    </w:rPr>
  </w:style>
  <w:style w:type="character" w:customStyle="1" w:styleId="CommentSubjectChar">
    <w:name w:val="Comment Subject Char"/>
    <w:basedOn w:val="CommentTextChar"/>
    <w:link w:val="CommentSubject"/>
    <w:uiPriority w:val="99"/>
    <w:semiHidden/>
    <w:rsid w:val="008F1CA9"/>
    <w:rPr>
      <w:b/>
      <w:bCs/>
      <w:sz w:val="20"/>
      <w:szCs w:val="20"/>
    </w:rPr>
  </w:style>
  <w:style w:type="paragraph" w:styleId="Revision">
    <w:name w:val="Revision"/>
    <w:hidden/>
    <w:uiPriority w:val="99"/>
    <w:semiHidden/>
    <w:rsid w:val="00A15D78"/>
    <w:pPr>
      <w:spacing w:after="0" w:line="240" w:lineRule="auto"/>
    </w:pPr>
  </w:style>
  <w:style w:type="character" w:customStyle="1" w:styleId="Heading1Char">
    <w:name w:val="Heading 1 Char"/>
    <w:basedOn w:val="DefaultParagraphFont"/>
    <w:link w:val="Heading1"/>
    <w:uiPriority w:val="9"/>
    <w:rsid w:val="00ED3D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3D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E1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56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BCE"/>
  </w:style>
  <w:style w:type="paragraph" w:styleId="Footer">
    <w:name w:val="footer"/>
    <w:basedOn w:val="Normal"/>
    <w:link w:val="FooterChar"/>
    <w:uiPriority w:val="99"/>
    <w:unhideWhenUsed/>
    <w:rsid w:val="00E56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BCE"/>
  </w:style>
  <w:style w:type="paragraph" w:customStyle="1" w:styleId="Default">
    <w:name w:val="Default"/>
    <w:rsid w:val="00E56B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4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800">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sChild>
        <w:div w:id="1676110913">
          <w:marLeft w:val="360"/>
          <w:marRight w:val="0"/>
          <w:marTop w:val="120"/>
          <w:marBottom w:val="0"/>
          <w:divBdr>
            <w:top w:val="none" w:sz="0" w:space="0" w:color="auto"/>
            <w:left w:val="none" w:sz="0" w:space="0" w:color="auto"/>
            <w:bottom w:val="none" w:sz="0" w:space="0" w:color="auto"/>
            <w:right w:val="none" w:sz="0" w:space="0" w:color="auto"/>
          </w:divBdr>
        </w:div>
      </w:divsChild>
    </w:div>
    <w:div w:id="626277798">
      <w:bodyDiv w:val="1"/>
      <w:marLeft w:val="0"/>
      <w:marRight w:val="0"/>
      <w:marTop w:val="0"/>
      <w:marBottom w:val="0"/>
      <w:divBdr>
        <w:top w:val="none" w:sz="0" w:space="0" w:color="auto"/>
        <w:left w:val="none" w:sz="0" w:space="0" w:color="auto"/>
        <w:bottom w:val="none" w:sz="0" w:space="0" w:color="auto"/>
        <w:right w:val="none" w:sz="0" w:space="0" w:color="auto"/>
      </w:divBdr>
    </w:div>
    <w:div w:id="800462510">
      <w:bodyDiv w:val="1"/>
      <w:marLeft w:val="0"/>
      <w:marRight w:val="0"/>
      <w:marTop w:val="0"/>
      <w:marBottom w:val="0"/>
      <w:divBdr>
        <w:top w:val="none" w:sz="0" w:space="0" w:color="auto"/>
        <w:left w:val="none" w:sz="0" w:space="0" w:color="auto"/>
        <w:bottom w:val="none" w:sz="0" w:space="0" w:color="auto"/>
        <w:right w:val="none" w:sz="0" w:space="0" w:color="auto"/>
      </w:divBdr>
    </w:div>
    <w:div w:id="906263821">
      <w:bodyDiv w:val="1"/>
      <w:marLeft w:val="0"/>
      <w:marRight w:val="0"/>
      <w:marTop w:val="0"/>
      <w:marBottom w:val="0"/>
      <w:divBdr>
        <w:top w:val="none" w:sz="0" w:space="0" w:color="auto"/>
        <w:left w:val="none" w:sz="0" w:space="0" w:color="auto"/>
        <w:bottom w:val="none" w:sz="0" w:space="0" w:color="auto"/>
        <w:right w:val="none" w:sz="0" w:space="0" w:color="auto"/>
      </w:divBdr>
    </w:div>
    <w:div w:id="1029335310">
      <w:bodyDiv w:val="1"/>
      <w:marLeft w:val="0"/>
      <w:marRight w:val="0"/>
      <w:marTop w:val="0"/>
      <w:marBottom w:val="0"/>
      <w:divBdr>
        <w:top w:val="none" w:sz="0" w:space="0" w:color="auto"/>
        <w:left w:val="none" w:sz="0" w:space="0" w:color="auto"/>
        <w:bottom w:val="none" w:sz="0" w:space="0" w:color="auto"/>
        <w:right w:val="none" w:sz="0" w:space="0" w:color="auto"/>
      </w:divBdr>
    </w:div>
    <w:div w:id="1478298324">
      <w:bodyDiv w:val="1"/>
      <w:marLeft w:val="0"/>
      <w:marRight w:val="0"/>
      <w:marTop w:val="0"/>
      <w:marBottom w:val="0"/>
      <w:divBdr>
        <w:top w:val="none" w:sz="0" w:space="0" w:color="auto"/>
        <w:left w:val="none" w:sz="0" w:space="0" w:color="auto"/>
        <w:bottom w:val="none" w:sz="0" w:space="0" w:color="auto"/>
        <w:right w:val="none" w:sz="0" w:space="0" w:color="auto"/>
      </w:divBdr>
      <w:divsChild>
        <w:div w:id="634337473">
          <w:marLeft w:val="0"/>
          <w:marRight w:val="0"/>
          <w:marTop w:val="0"/>
          <w:marBottom w:val="0"/>
          <w:divBdr>
            <w:top w:val="none" w:sz="0" w:space="0" w:color="auto"/>
            <w:left w:val="none" w:sz="0" w:space="0" w:color="auto"/>
            <w:bottom w:val="none" w:sz="0" w:space="0" w:color="auto"/>
            <w:right w:val="none" w:sz="0" w:space="0" w:color="auto"/>
          </w:divBdr>
          <w:divsChild>
            <w:div w:id="1924489567">
              <w:marLeft w:val="0"/>
              <w:marRight w:val="0"/>
              <w:marTop w:val="0"/>
              <w:marBottom w:val="0"/>
              <w:divBdr>
                <w:top w:val="none" w:sz="0" w:space="0" w:color="auto"/>
                <w:left w:val="none" w:sz="0" w:space="0" w:color="auto"/>
                <w:bottom w:val="none" w:sz="0" w:space="0" w:color="auto"/>
                <w:right w:val="none" w:sz="0" w:space="0" w:color="auto"/>
              </w:divBdr>
              <w:divsChild>
                <w:div w:id="162010079">
                  <w:marLeft w:val="0"/>
                  <w:marRight w:val="0"/>
                  <w:marTop w:val="0"/>
                  <w:marBottom w:val="0"/>
                  <w:divBdr>
                    <w:top w:val="none" w:sz="0" w:space="0" w:color="auto"/>
                    <w:left w:val="none" w:sz="0" w:space="0" w:color="auto"/>
                    <w:bottom w:val="none" w:sz="0" w:space="0" w:color="auto"/>
                    <w:right w:val="none" w:sz="0" w:space="0" w:color="auto"/>
                  </w:divBdr>
                  <w:divsChild>
                    <w:div w:id="38676823">
                      <w:marLeft w:val="0"/>
                      <w:marRight w:val="0"/>
                      <w:marTop w:val="0"/>
                      <w:marBottom w:val="0"/>
                      <w:divBdr>
                        <w:top w:val="none" w:sz="0" w:space="0" w:color="auto"/>
                        <w:left w:val="none" w:sz="0" w:space="0" w:color="auto"/>
                        <w:bottom w:val="none" w:sz="0" w:space="0" w:color="auto"/>
                        <w:right w:val="none" w:sz="0" w:space="0" w:color="auto"/>
                      </w:divBdr>
                      <w:divsChild>
                        <w:div w:id="298922374">
                          <w:marLeft w:val="0"/>
                          <w:marRight w:val="0"/>
                          <w:marTop w:val="0"/>
                          <w:marBottom w:val="0"/>
                          <w:divBdr>
                            <w:top w:val="none" w:sz="0" w:space="0" w:color="auto"/>
                            <w:left w:val="none" w:sz="0" w:space="0" w:color="auto"/>
                            <w:bottom w:val="none" w:sz="0" w:space="0" w:color="auto"/>
                            <w:right w:val="none" w:sz="0" w:space="0" w:color="auto"/>
                          </w:divBdr>
                          <w:divsChild>
                            <w:div w:id="1354499223">
                              <w:marLeft w:val="0"/>
                              <w:marRight w:val="0"/>
                              <w:marTop w:val="0"/>
                              <w:marBottom w:val="0"/>
                              <w:divBdr>
                                <w:top w:val="none" w:sz="0" w:space="0" w:color="auto"/>
                                <w:left w:val="none" w:sz="0" w:space="0" w:color="auto"/>
                                <w:bottom w:val="none" w:sz="0" w:space="0" w:color="auto"/>
                                <w:right w:val="none" w:sz="0" w:space="0" w:color="auto"/>
                              </w:divBdr>
                              <w:divsChild>
                                <w:div w:id="1737699981">
                                  <w:marLeft w:val="0"/>
                                  <w:marRight w:val="0"/>
                                  <w:marTop w:val="0"/>
                                  <w:marBottom w:val="0"/>
                                  <w:divBdr>
                                    <w:top w:val="none" w:sz="0" w:space="0" w:color="auto"/>
                                    <w:left w:val="none" w:sz="0" w:space="0" w:color="auto"/>
                                    <w:bottom w:val="none" w:sz="0" w:space="0" w:color="auto"/>
                                    <w:right w:val="none" w:sz="0" w:space="0" w:color="auto"/>
                                  </w:divBdr>
                                  <w:divsChild>
                                    <w:div w:id="1016928320">
                                      <w:marLeft w:val="0"/>
                                      <w:marRight w:val="0"/>
                                      <w:marTop w:val="0"/>
                                      <w:marBottom w:val="0"/>
                                      <w:divBdr>
                                        <w:top w:val="none" w:sz="0" w:space="0" w:color="auto"/>
                                        <w:left w:val="none" w:sz="0" w:space="0" w:color="auto"/>
                                        <w:bottom w:val="none" w:sz="0" w:space="0" w:color="auto"/>
                                        <w:right w:val="none" w:sz="0" w:space="0" w:color="auto"/>
                                      </w:divBdr>
                                      <w:divsChild>
                                        <w:div w:id="1840195004">
                                          <w:marLeft w:val="0"/>
                                          <w:marRight w:val="0"/>
                                          <w:marTop w:val="0"/>
                                          <w:marBottom w:val="0"/>
                                          <w:divBdr>
                                            <w:top w:val="none" w:sz="0" w:space="0" w:color="auto"/>
                                            <w:left w:val="none" w:sz="0" w:space="0" w:color="auto"/>
                                            <w:bottom w:val="none" w:sz="0" w:space="0" w:color="auto"/>
                                            <w:right w:val="none" w:sz="0" w:space="0" w:color="auto"/>
                                          </w:divBdr>
                                          <w:divsChild>
                                            <w:div w:id="1073818466">
                                              <w:marLeft w:val="0"/>
                                              <w:marRight w:val="0"/>
                                              <w:marTop w:val="0"/>
                                              <w:marBottom w:val="0"/>
                                              <w:divBdr>
                                                <w:top w:val="single" w:sz="6" w:space="9" w:color="DAD9D6"/>
                                                <w:left w:val="single" w:sz="6" w:space="9" w:color="DAD9D6"/>
                                                <w:bottom w:val="single" w:sz="6" w:space="9" w:color="DAD9D6"/>
                                                <w:right w:val="single" w:sz="6" w:space="9" w:color="DAD9D6"/>
                                              </w:divBdr>
                                              <w:divsChild>
                                                <w:div w:id="464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064107">
      <w:bodyDiv w:val="1"/>
      <w:marLeft w:val="0"/>
      <w:marRight w:val="0"/>
      <w:marTop w:val="0"/>
      <w:marBottom w:val="0"/>
      <w:divBdr>
        <w:top w:val="none" w:sz="0" w:space="0" w:color="auto"/>
        <w:left w:val="none" w:sz="0" w:space="0" w:color="auto"/>
        <w:bottom w:val="none" w:sz="0" w:space="0" w:color="auto"/>
        <w:right w:val="none" w:sz="0" w:space="0" w:color="auto"/>
      </w:divBdr>
    </w:div>
    <w:div w:id="1755928242">
      <w:bodyDiv w:val="1"/>
      <w:marLeft w:val="0"/>
      <w:marRight w:val="0"/>
      <w:marTop w:val="0"/>
      <w:marBottom w:val="0"/>
      <w:divBdr>
        <w:top w:val="none" w:sz="0" w:space="0" w:color="auto"/>
        <w:left w:val="none" w:sz="0" w:space="0" w:color="auto"/>
        <w:bottom w:val="none" w:sz="0" w:space="0" w:color="auto"/>
        <w:right w:val="none" w:sz="0" w:space="0" w:color="auto"/>
      </w:divBdr>
      <w:divsChild>
        <w:div w:id="258567959">
          <w:marLeft w:val="360"/>
          <w:marRight w:val="0"/>
          <w:marTop w:val="120"/>
          <w:marBottom w:val="0"/>
          <w:divBdr>
            <w:top w:val="none" w:sz="0" w:space="0" w:color="auto"/>
            <w:left w:val="none" w:sz="0" w:space="0" w:color="auto"/>
            <w:bottom w:val="none" w:sz="0" w:space="0" w:color="auto"/>
            <w:right w:val="none" w:sz="0" w:space="0" w:color="auto"/>
          </w:divBdr>
        </w:div>
      </w:divsChild>
    </w:div>
    <w:div w:id="1870334073">
      <w:bodyDiv w:val="1"/>
      <w:marLeft w:val="0"/>
      <w:marRight w:val="0"/>
      <w:marTop w:val="0"/>
      <w:marBottom w:val="0"/>
      <w:divBdr>
        <w:top w:val="none" w:sz="0" w:space="0" w:color="auto"/>
        <w:left w:val="none" w:sz="0" w:space="0" w:color="auto"/>
        <w:bottom w:val="none" w:sz="0" w:space="0" w:color="auto"/>
        <w:right w:val="none" w:sz="0" w:space="0" w:color="auto"/>
      </w:divBdr>
      <w:divsChild>
        <w:div w:id="1938513959">
          <w:marLeft w:val="0"/>
          <w:marRight w:val="0"/>
          <w:marTop w:val="0"/>
          <w:marBottom w:val="0"/>
          <w:divBdr>
            <w:top w:val="none" w:sz="0" w:space="0" w:color="auto"/>
            <w:left w:val="none" w:sz="0" w:space="0" w:color="auto"/>
            <w:bottom w:val="none" w:sz="0" w:space="0" w:color="auto"/>
            <w:right w:val="none" w:sz="0" w:space="0" w:color="auto"/>
          </w:divBdr>
          <w:divsChild>
            <w:div w:id="46413834">
              <w:marLeft w:val="0"/>
              <w:marRight w:val="0"/>
              <w:marTop w:val="0"/>
              <w:marBottom w:val="0"/>
              <w:divBdr>
                <w:top w:val="none" w:sz="0" w:space="0" w:color="auto"/>
                <w:left w:val="none" w:sz="0" w:space="0" w:color="auto"/>
                <w:bottom w:val="none" w:sz="0" w:space="0" w:color="auto"/>
                <w:right w:val="none" w:sz="0" w:space="0" w:color="auto"/>
              </w:divBdr>
              <w:divsChild>
                <w:div w:id="1585871897">
                  <w:marLeft w:val="0"/>
                  <w:marRight w:val="0"/>
                  <w:marTop w:val="0"/>
                  <w:marBottom w:val="0"/>
                  <w:divBdr>
                    <w:top w:val="none" w:sz="0" w:space="0" w:color="auto"/>
                    <w:left w:val="none" w:sz="0" w:space="0" w:color="auto"/>
                    <w:bottom w:val="none" w:sz="0" w:space="0" w:color="auto"/>
                    <w:right w:val="none" w:sz="0" w:space="0" w:color="auto"/>
                  </w:divBdr>
                  <w:divsChild>
                    <w:div w:id="1784569271">
                      <w:marLeft w:val="0"/>
                      <w:marRight w:val="0"/>
                      <w:marTop w:val="0"/>
                      <w:marBottom w:val="0"/>
                      <w:divBdr>
                        <w:top w:val="none" w:sz="0" w:space="0" w:color="auto"/>
                        <w:left w:val="none" w:sz="0" w:space="0" w:color="auto"/>
                        <w:bottom w:val="none" w:sz="0" w:space="0" w:color="auto"/>
                        <w:right w:val="none" w:sz="0" w:space="0" w:color="auto"/>
                      </w:divBdr>
                      <w:divsChild>
                        <w:div w:id="1711107012">
                          <w:marLeft w:val="0"/>
                          <w:marRight w:val="0"/>
                          <w:marTop w:val="0"/>
                          <w:marBottom w:val="0"/>
                          <w:divBdr>
                            <w:top w:val="none" w:sz="0" w:space="0" w:color="auto"/>
                            <w:left w:val="none" w:sz="0" w:space="0" w:color="auto"/>
                            <w:bottom w:val="none" w:sz="0" w:space="0" w:color="auto"/>
                            <w:right w:val="none" w:sz="0" w:space="0" w:color="auto"/>
                          </w:divBdr>
                          <w:divsChild>
                            <w:div w:id="1928029357">
                              <w:marLeft w:val="0"/>
                              <w:marRight w:val="0"/>
                              <w:marTop w:val="0"/>
                              <w:marBottom w:val="0"/>
                              <w:divBdr>
                                <w:top w:val="none" w:sz="0" w:space="0" w:color="auto"/>
                                <w:left w:val="none" w:sz="0" w:space="0" w:color="auto"/>
                                <w:bottom w:val="none" w:sz="0" w:space="0" w:color="auto"/>
                                <w:right w:val="none" w:sz="0" w:space="0" w:color="auto"/>
                              </w:divBdr>
                              <w:divsChild>
                                <w:div w:id="341713255">
                                  <w:marLeft w:val="0"/>
                                  <w:marRight w:val="0"/>
                                  <w:marTop w:val="0"/>
                                  <w:marBottom w:val="0"/>
                                  <w:divBdr>
                                    <w:top w:val="none" w:sz="0" w:space="0" w:color="auto"/>
                                    <w:left w:val="none" w:sz="0" w:space="0" w:color="auto"/>
                                    <w:bottom w:val="none" w:sz="0" w:space="0" w:color="auto"/>
                                    <w:right w:val="none" w:sz="0" w:space="0" w:color="auto"/>
                                  </w:divBdr>
                                  <w:divsChild>
                                    <w:div w:id="667564583">
                                      <w:marLeft w:val="0"/>
                                      <w:marRight w:val="0"/>
                                      <w:marTop w:val="0"/>
                                      <w:marBottom w:val="0"/>
                                      <w:divBdr>
                                        <w:top w:val="none" w:sz="0" w:space="0" w:color="auto"/>
                                        <w:left w:val="none" w:sz="0" w:space="0" w:color="auto"/>
                                        <w:bottom w:val="none" w:sz="0" w:space="0" w:color="auto"/>
                                        <w:right w:val="none" w:sz="0" w:space="0" w:color="auto"/>
                                      </w:divBdr>
                                      <w:divsChild>
                                        <w:div w:id="1699045053">
                                          <w:marLeft w:val="0"/>
                                          <w:marRight w:val="0"/>
                                          <w:marTop w:val="0"/>
                                          <w:marBottom w:val="0"/>
                                          <w:divBdr>
                                            <w:top w:val="none" w:sz="0" w:space="0" w:color="auto"/>
                                            <w:left w:val="none" w:sz="0" w:space="0" w:color="auto"/>
                                            <w:bottom w:val="none" w:sz="0" w:space="0" w:color="auto"/>
                                            <w:right w:val="none" w:sz="0" w:space="0" w:color="auto"/>
                                          </w:divBdr>
                                          <w:divsChild>
                                            <w:div w:id="1599872612">
                                              <w:marLeft w:val="0"/>
                                              <w:marRight w:val="0"/>
                                              <w:marTop w:val="0"/>
                                              <w:marBottom w:val="0"/>
                                              <w:divBdr>
                                                <w:top w:val="single" w:sz="6" w:space="9" w:color="DAD9D6"/>
                                                <w:left w:val="single" w:sz="6" w:space="9" w:color="DAD9D6"/>
                                                <w:bottom w:val="single" w:sz="6" w:space="9" w:color="DAD9D6"/>
                                                <w:right w:val="single" w:sz="6" w:space="9" w:color="DAD9D6"/>
                                              </w:divBdr>
                                              <w:divsChild>
                                                <w:div w:id="15678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8228">
      <w:bodyDiv w:val="1"/>
      <w:marLeft w:val="0"/>
      <w:marRight w:val="0"/>
      <w:marTop w:val="0"/>
      <w:marBottom w:val="0"/>
      <w:divBdr>
        <w:top w:val="none" w:sz="0" w:space="0" w:color="auto"/>
        <w:left w:val="none" w:sz="0" w:space="0" w:color="auto"/>
        <w:bottom w:val="none" w:sz="0" w:space="0" w:color="auto"/>
        <w:right w:val="none" w:sz="0" w:space="0" w:color="auto"/>
      </w:divBdr>
    </w:div>
    <w:div w:id="1971083096">
      <w:bodyDiv w:val="1"/>
      <w:marLeft w:val="0"/>
      <w:marRight w:val="0"/>
      <w:marTop w:val="0"/>
      <w:marBottom w:val="0"/>
      <w:divBdr>
        <w:top w:val="none" w:sz="0" w:space="0" w:color="auto"/>
        <w:left w:val="none" w:sz="0" w:space="0" w:color="auto"/>
        <w:bottom w:val="none" w:sz="0" w:space="0" w:color="auto"/>
        <w:right w:val="none" w:sz="0" w:space="0" w:color="auto"/>
      </w:divBdr>
    </w:div>
    <w:div w:id="20862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popova@anglia.ac.uk"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uhlin@mdh.se" TargetMode="External"/><Relationship Id="rId4" Type="http://schemas.openxmlformats.org/officeDocument/2006/relationships/settings" Target="settings.xml"/><Relationship Id="rId9" Type="http://schemas.openxmlformats.org/officeDocument/2006/relationships/hyperlink" Target="mailto:chris.ivory@anglia.ac.uk"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F700-4231-4926-966B-0391ED9F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3466B095.dotm</Template>
  <TotalTime>1</TotalTime>
  <Pages>12</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 Irina</dc:creator>
  <cp:keywords/>
  <dc:description/>
  <cp:lastModifiedBy>Popova, Irina</cp:lastModifiedBy>
  <cp:revision>2</cp:revision>
  <cp:lastPrinted>2018-05-21T09:23:00Z</cp:lastPrinted>
  <dcterms:created xsi:type="dcterms:W3CDTF">2018-06-26T09:16:00Z</dcterms:created>
  <dcterms:modified xsi:type="dcterms:W3CDTF">2018-06-26T09:16:00Z</dcterms:modified>
</cp:coreProperties>
</file>