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3CF" w:rsidRPr="00CF1646" w:rsidRDefault="005B53CF" w:rsidP="005B53CF">
      <w:pPr>
        <w:spacing w:line="480" w:lineRule="auto"/>
        <w:rPr>
          <w:rFonts w:ascii="Garamond" w:hAnsi="Garamond"/>
          <w:b/>
          <w:sz w:val="20"/>
          <w:szCs w:val="20"/>
        </w:rPr>
      </w:pPr>
      <w:r w:rsidRPr="00CF1646">
        <w:rPr>
          <w:rFonts w:ascii="Garamond" w:hAnsi="Garamond"/>
          <w:b/>
          <w:sz w:val="20"/>
          <w:szCs w:val="20"/>
        </w:rPr>
        <w:t>Cover pages</w:t>
      </w:r>
    </w:p>
    <w:p w:rsidR="005B53CF" w:rsidRPr="00CF1646" w:rsidRDefault="005B53CF" w:rsidP="005B53CF">
      <w:pPr>
        <w:spacing w:line="480" w:lineRule="auto"/>
        <w:rPr>
          <w:rFonts w:ascii="Garamond" w:hAnsi="Garamond"/>
          <w:b/>
          <w:sz w:val="20"/>
          <w:szCs w:val="20"/>
        </w:rPr>
      </w:pPr>
      <w:r w:rsidRPr="00CF1646">
        <w:rPr>
          <w:rFonts w:ascii="Garamond" w:hAnsi="Garamond"/>
          <w:b/>
          <w:sz w:val="20"/>
          <w:szCs w:val="20"/>
        </w:rPr>
        <w:t>Author details:</w:t>
      </w:r>
    </w:p>
    <w:p w:rsidR="005B53CF" w:rsidRPr="00CF1646" w:rsidRDefault="005B53CF" w:rsidP="005B53CF">
      <w:pPr>
        <w:spacing w:line="480" w:lineRule="auto"/>
        <w:rPr>
          <w:rFonts w:ascii="Garamond" w:hAnsi="Garamond"/>
          <w:sz w:val="20"/>
          <w:szCs w:val="20"/>
        </w:rPr>
      </w:pPr>
      <w:r w:rsidRPr="00CF1646">
        <w:rPr>
          <w:rFonts w:ascii="Garamond" w:hAnsi="Garamond"/>
          <w:sz w:val="20"/>
          <w:szCs w:val="20"/>
        </w:rPr>
        <w:t>Author 1 Name: Seth I. Kirby*</w:t>
      </w:r>
    </w:p>
    <w:p w:rsidR="005B53CF" w:rsidRPr="00CF1646" w:rsidRDefault="005B53CF" w:rsidP="005B53CF">
      <w:pPr>
        <w:spacing w:line="480" w:lineRule="auto"/>
        <w:rPr>
          <w:rFonts w:ascii="Garamond" w:hAnsi="Garamond"/>
          <w:sz w:val="20"/>
          <w:szCs w:val="20"/>
        </w:rPr>
      </w:pPr>
      <w:r w:rsidRPr="00CF1646">
        <w:rPr>
          <w:rFonts w:ascii="Garamond" w:hAnsi="Garamond"/>
          <w:sz w:val="20"/>
          <w:szCs w:val="20"/>
        </w:rPr>
        <w:t>Department/Faculty: Lord Ashcroft International Business School</w:t>
      </w:r>
    </w:p>
    <w:p w:rsidR="005B53CF" w:rsidRPr="00CF1646" w:rsidRDefault="005B53CF" w:rsidP="005B53CF">
      <w:pPr>
        <w:spacing w:line="480" w:lineRule="auto"/>
        <w:rPr>
          <w:rFonts w:ascii="Garamond" w:hAnsi="Garamond"/>
          <w:sz w:val="20"/>
          <w:szCs w:val="20"/>
        </w:rPr>
      </w:pPr>
      <w:r w:rsidRPr="00CF1646">
        <w:rPr>
          <w:rFonts w:ascii="Garamond" w:hAnsi="Garamond"/>
          <w:sz w:val="20"/>
          <w:szCs w:val="20"/>
        </w:rPr>
        <w:t>University/Institution: Anglia Ruskin University</w:t>
      </w:r>
    </w:p>
    <w:p w:rsidR="005B53CF" w:rsidRPr="00CF1646" w:rsidRDefault="005B53CF" w:rsidP="005B53CF">
      <w:pPr>
        <w:spacing w:line="480" w:lineRule="auto"/>
        <w:rPr>
          <w:rFonts w:ascii="Garamond" w:hAnsi="Garamond"/>
          <w:sz w:val="20"/>
          <w:szCs w:val="20"/>
        </w:rPr>
      </w:pPr>
      <w:r w:rsidRPr="00CF1646">
        <w:rPr>
          <w:rFonts w:ascii="Garamond" w:hAnsi="Garamond"/>
          <w:sz w:val="20"/>
          <w:szCs w:val="20"/>
        </w:rPr>
        <w:t>Town/City: Cambridge</w:t>
      </w:r>
    </w:p>
    <w:p w:rsidR="005B53CF" w:rsidRPr="00CF1646" w:rsidRDefault="005B53CF" w:rsidP="005B53CF">
      <w:pPr>
        <w:spacing w:line="480" w:lineRule="auto"/>
        <w:rPr>
          <w:rFonts w:ascii="Garamond" w:hAnsi="Garamond"/>
          <w:sz w:val="20"/>
          <w:szCs w:val="20"/>
        </w:rPr>
      </w:pPr>
      <w:r w:rsidRPr="00CF1646">
        <w:rPr>
          <w:rFonts w:ascii="Garamond" w:hAnsi="Garamond"/>
          <w:sz w:val="20"/>
          <w:szCs w:val="20"/>
        </w:rPr>
        <w:t>Country: UK</w:t>
      </w:r>
    </w:p>
    <w:p w:rsidR="005B53CF" w:rsidRPr="00CF1646" w:rsidRDefault="005B53CF" w:rsidP="005B53CF">
      <w:pPr>
        <w:spacing w:line="480" w:lineRule="auto"/>
        <w:rPr>
          <w:rFonts w:ascii="Garamond" w:hAnsi="Garamond"/>
          <w:sz w:val="20"/>
          <w:szCs w:val="20"/>
        </w:rPr>
      </w:pPr>
      <w:r w:rsidRPr="00CF1646">
        <w:rPr>
          <w:rFonts w:ascii="Garamond" w:hAnsi="Garamond"/>
          <w:sz w:val="20"/>
          <w:szCs w:val="20"/>
        </w:rPr>
        <w:t>Author 2 Name: Michael B. Duignan</w:t>
      </w:r>
    </w:p>
    <w:p w:rsidR="005B53CF" w:rsidRPr="00CF1646" w:rsidRDefault="005B53CF" w:rsidP="005B53CF">
      <w:pPr>
        <w:spacing w:line="480" w:lineRule="auto"/>
        <w:rPr>
          <w:rFonts w:ascii="Garamond" w:hAnsi="Garamond"/>
          <w:sz w:val="20"/>
          <w:szCs w:val="20"/>
        </w:rPr>
      </w:pPr>
      <w:r w:rsidRPr="00CF1646">
        <w:rPr>
          <w:rFonts w:ascii="Garamond" w:hAnsi="Garamond"/>
          <w:sz w:val="20"/>
          <w:szCs w:val="20"/>
        </w:rPr>
        <w:t>Department/Faculty: School of Marketing and Management, Coventry Business School</w:t>
      </w:r>
    </w:p>
    <w:p w:rsidR="005B53CF" w:rsidRPr="00CF1646" w:rsidRDefault="005B53CF" w:rsidP="005B53CF">
      <w:pPr>
        <w:spacing w:line="480" w:lineRule="auto"/>
        <w:rPr>
          <w:rFonts w:ascii="Garamond" w:hAnsi="Garamond"/>
          <w:sz w:val="20"/>
          <w:szCs w:val="20"/>
        </w:rPr>
      </w:pPr>
      <w:r w:rsidRPr="00CF1646">
        <w:rPr>
          <w:rFonts w:ascii="Garamond" w:hAnsi="Garamond"/>
          <w:sz w:val="20"/>
          <w:szCs w:val="20"/>
        </w:rPr>
        <w:t>University/Institution: Coventry University</w:t>
      </w:r>
    </w:p>
    <w:p w:rsidR="005B53CF" w:rsidRPr="00CF1646" w:rsidRDefault="005B53CF" w:rsidP="005B53CF">
      <w:pPr>
        <w:spacing w:line="480" w:lineRule="auto"/>
        <w:rPr>
          <w:rFonts w:ascii="Garamond" w:hAnsi="Garamond"/>
          <w:sz w:val="20"/>
          <w:szCs w:val="20"/>
        </w:rPr>
      </w:pPr>
      <w:r w:rsidRPr="00CF1646">
        <w:rPr>
          <w:rFonts w:ascii="Garamond" w:hAnsi="Garamond"/>
          <w:sz w:val="20"/>
          <w:szCs w:val="20"/>
        </w:rPr>
        <w:t>Town/City: Coventry</w:t>
      </w:r>
    </w:p>
    <w:p w:rsidR="005B53CF" w:rsidRPr="00CF1646" w:rsidRDefault="005B53CF" w:rsidP="005B53CF">
      <w:pPr>
        <w:spacing w:line="480" w:lineRule="auto"/>
        <w:rPr>
          <w:rFonts w:ascii="Garamond" w:hAnsi="Garamond"/>
          <w:sz w:val="20"/>
          <w:szCs w:val="20"/>
        </w:rPr>
      </w:pPr>
      <w:r w:rsidRPr="00CF1646">
        <w:rPr>
          <w:rFonts w:ascii="Garamond" w:hAnsi="Garamond"/>
          <w:sz w:val="20"/>
          <w:szCs w:val="20"/>
        </w:rPr>
        <w:t>Country: UK</w:t>
      </w:r>
    </w:p>
    <w:p w:rsidR="005B53CF" w:rsidRPr="00CF1646" w:rsidRDefault="005B53CF" w:rsidP="005B53CF">
      <w:pPr>
        <w:spacing w:line="480" w:lineRule="auto"/>
        <w:rPr>
          <w:rFonts w:ascii="Garamond" w:hAnsi="Garamond"/>
          <w:sz w:val="20"/>
          <w:szCs w:val="20"/>
        </w:rPr>
      </w:pPr>
      <w:r w:rsidRPr="00CF1646">
        <w:rPr>
          <w:rFonts w:ascii="Garamond" w:hAnsi="Garamond"/>
          <w:b/>
          <w:sz w:val="20"/>
          <w:szCs w:val="20"/>
        </w:rPr>
        <w:t>*Corresponding author:</w:t>
      </w:r>
      <w:r w:rsidRPr="00CF1646">
        <w:rPr>
          <w:rFonts w:ascii="Garamond" w:hAnsi="Garamond"/>
          <w:sz w:val="20"/>
          <w:szCs w:val="20"/>
        </w:rPr>
        <w:t xml:space="preserve"> Seth I. Kirby</w:t>
      </w:r>
    </w:p>
    <w:p w:rsidR="005B53CF" w:rsidRPr="00CF1646" w:rsidRDefault="005B53CF" w:rsidP="005B53CF">
      <w:pPr>
        <w:spacing w:line="480" w:lineRule="auto"/>
        <w:rPr>
          <w:rFonts w:ascii="Garamond" w:hAnsi="Garamond"/>
          <w:sz w:val="20"/>
          <w:szCs w:val="20"/>
          <w:lang w:val="it-IT"/>
        </w:rPr>
      </w:pPr>
      <w:r w:rsidRPr="00CF1646">
        <w:rPr>
          <w:rFonts w:ascii="Garamond" w:hAnsi="Garamond"/>
          <w:sz w:val="20"/>
          <w:szCs w:val="20"/>
        </w:rPr>
        <w:t xml:space="preserve">Address correspondence to </w:t>
      </w:r>
      <w:r w:rsidRPr="005B53CF">
        <w:rPr>
          <w:rFonts w:ascii="Garamond" w:hAnsi="Garamond"/>
          <w:sz w:val="20"/>
          <w:szCs w:val="20"/>
        </w:rPr>
        <w:t>Seth I. Kirby, Doctoral Researcher and Associate Lecturer, Lord Ashcroft International Business School, Anglia Ruskin University, East Road,</w:t>
      </w:r>
      <w:r>
        <w:rPr>
          <w:rFonts w:ascii="Garamond" w:hAnsi="Garamond"/>
          <w:sz w:val="20"/>
          <w:szCs w:val="20"/>
        </w:rPr>
        <w:t xml:space="preserve"> Cambridge, CB1 1PT, UK.</w:t>
      </w:r>
      <w:r w:rsidRPr="00CF1646">
        <w:rPr>
          <w:rFonts w:ascii="Garamond" w:hAnsi="Garamond"/>
          <w:sz w:val="20"/>
          <w:szCs w:val="20"/>
        </w:rPr>
        <w:t xml:space="preserve"> </w:t>
      </w:r>
      <w:r w:rsidRPr="00CF1646">
        <w:rPr>
          <w:rFonts w:ascii="Garamond" w:hAnsi="Garamond"/>
          <w:sz w:val="20"/>
          <w:szCs w:val="20"/>
          <w:lang w:val="it-IT"/>
        </w:rPr>
        <w:t xml:space="preserve">E-mail: </w:t>
      </w:r>
      <w:hyperlink r:id="rId8" w:history="1">
        <w:r w:rsidRPr="00CF1646">
          <w:rPr>
            <w:rStyle w:val="Hyperlink"/>
            <w:rFonts w:ascii="Garamond" w:hAnsi="Garamond"/>
            <w:sz w:val="20"/>
            <w:szCs w:val="20"/>
            <w:lang w:val="it-IT"/>
          </w:rPr>
          <w:t>seth.kirby@anglia.ac.uk</w:t>
        </w:r>
      </w:hyperlink>
    </w:p>
    <w:p w:rsidR="005B53CF" w:rsidRPr="00CF1646" w:rsidRDefault="005B53CF" w:rsidP="005B53CF">
      <w:pPr>
        <w:spacing w:line="480" w:lineRule="auto"/>
        <w:rPr>
          <w:rFonts w:ascii="Garamond" w:hAnsi="Garamond"/>
          <w:b/>
          <w:sz w:val="20"/>
          <w:szCs w:val="20"/>
          <w:lang w:val="it-IT"/>
        </w:rPr>
      </w:pPr>
      <w:proofErr w:type="spellStart"/>
      <w:r w:rsidRPr="00CF1646">
        <w:rPr>
          <w:rFonts w:ascii="Garamond" w:hAnsi="Garamond"/>
          <w:b/>
          <w:sz w:val="20"/>
          <w:szCs w:val="20"/>
          <w:lang w:val="it-IT"/>
        </w:rPr>
        <w:t>Biographical</w:t>
      </w:r>
      <w:proofErr w:type="spellEnd"/>
      <w:r w:rsidRPr="00CF1646">
        <w:rPr>
          <w:rFonts w:ascii="Garamond" w:hAnsi="Garamond"/>
          <w:b/>
          <w:sz w:val="20"/>
          <w:szCs w:val="20"/>
          <w:lang w:val="it-IT"/>
        </w:rPr>
        <w:t xml:space="preserve"> note:</w:t>
      </w:r>
    </w:p>
    <w:p w:rsidR="005B53CF" w:rsidRPr="00CF1646" w:rsidRDefault="005B53CF" w:rsidP="005B53CF">
      <w:pPr>
        <w:spacing w:line="480" w:lineRule="auto"/>
        <w:rPr>
          <w:rFonts w:ascii="Garamond" w:hAnsi="Garamond"/>
          <w:sz w:val="20"/>
          <w:szCs w:val="20"/>
          <w:lang w:val="it-IT"/>
        </w:rPr>
      </w:pPr>
      <w:r w:rsidRPr="00CF1646">
        <w:rPr>
          <w:rFonts w:ascii="Garamond" w:hAnsi="Garamond"/>
          <w:sz w:val="20"/>
          <w:szCs w:val="20"/>
          <w:lang w:val="it-IT"/>
        </w:rPr>
        <w:t>Seth I. Kirby</w:t>
      </w:r>
    </w:p>
    <w:p w:rsidR="005B53CF" w:rsidRPr="00CF1646" w:rsidRDefault="005B53CF" w:rsidP="005B53CF">
      <w:pPr>
        <w:spacing w:line="480" w:lineRule="auto"/>
        <w:rPr>
          <w:rFonts w:ascii="Garamond" w:hAnsi="Garamond"/>
          <w:sz w:val="20"/>
          <w:szCs w:val="20"/>
        </w:rPr>
      </w:pPr>
      <w:r w:rsidRPr="00CF1646">
        <w:rPr>
          <w:rFonts w:ascii="Garamond" w:hAnsi="Garamond"/>
          <w:sz w:val="20"/>
          <w:szCs w:val="20"/>
        </w:rPr>
        <w:t xml:space="preserve">Seth I. Kirby is a Doctoral Researcher and Associate Lecturer in the Lord Ashcroft International Business School, Anglia Ruskin University, UK. His research interests are broad and include topics such as events, tourism, sports management, legacy, regeneration, leveraging and sustainability. Seth’s research activity is </w:t>
      </w:r>
      <w:r w:rsidRPr="00CF1646">
        <w:rPr>
          <w:rFonts w:ascii="Garamond" w:hAnsi="Garamond"/>
          <w:sz w:val="20"/>
          <w:szCs w:val="20"/>
        </w:rPr>
        <w:lastRenderedPageBreak/>
        <w:t>linked to exploring critical issues and perspectives in events, sports and tourism, with a particular focus on mega-sporting event hosting communities. Prior to entering academia, he was employed by a number of organisations in various marketing and communications positions. Recent roles include working for a sustainability membership association which represented UK higher and further education institutions.</w:t>
      </w:r>
    </w:p>
    <w:p w:rsidR="005B53CF" w:rsidRPr="00CF1646" w:rsidRDefault="005B53CF" w:rsidP="005B53CF">
      <w:pPr>
        <w:spacing w:line="480" w:lineRule="auto"/>
        <w:rPr>
          <w:rFonts w:ascii="Garamond" w:hAnsi="Garamond"/>
          <w:sz w:val="20"/>
          <w:szCs w:val="20"/>
        </w:rPr>
      </w:pPr>
      <w:r w:rsidRPr="00CF1646">
        <w:rPr>
          <w:rFonts w:ascii="Garamond" w:hAnsi="Garamond"/>
          <w:sz w:val="20"/>
          <w:szCs w:val="20"/>
        </w:rPr>
        <w:t xml:space="preserve">Email: </w:t>
      </w:r>
      <w:hyperlink r:id="rId9" w:history="1">
        <w:r w:rsidRPr="00CF1646">
          <w:rPr>
            <w:rStyle w:val="Hyperlink"/>
            <w:rFonts w:ascii="Garamond" w:hAnsi="Garamond"/>
            <w:sz w:val="20"/>
            <w:szCs w:val="20"/>
          </w:rPr>
          <w:t>seth.kirby@anglia.ac.uk</w:t>
        </w:r>
      </w:hyperlink>
    </w:p>
    <w:p w:rsidR="005B53CF" w:rsidRPr="00CF1646" w:rsidRDefault="005B53CF" w:rsidP="005B53CF">
      <w:pPr>
        <w:spacing w:line="480" w:lineRule="auto"/>
        <w:rPr>
          <w:rFonts w:ascii="Garamond" w:hAnsi="Garamond"/>
          <w:sz w:val="20"/>
          <w:szCs w:val="20"/>
        </w:rPr>
      </w:pPr>
      <w:r w:rsidRPr="00CF1646">
        <w:rPr>
          <w:rFonts w:ascii="Garamond" w:hAnsi="Garamond"/>
          <w:sz w:val="20"/>
          <w:szCs w:val="20"/>
        </w:rPr>
        <w:t>Dr Michael B. Duignan</w:t>
      </w:r>
    </w:p>
    <w:p w:rsidR="005B53CF" w:rsidRPr="00CF1646" w:rsidRDefault="005B53CF" w:rsidP="005B53CF">
      <w:pPr>
        <w:spacing w:line="480" w:lineRule="auto"/>
        <w:rPr>
          <w:rFonts w:ascii="Garamond" w:hAnsi="Garamond"/>
          <w:sz w:val="20"/>
          <w:szCs w:val="20"/>
        </w:rPr>
      </w:pPr>
      <w:r w:rsidRPr="00CF1646">
        <w:rPr>
          <w:rFonts w:ascii="Garamond" w:hAnsi="Garamond"/>
          <w:sz w:val="20"/>
          <w:szCs w:val="20"/>
        </w:rPr>
        <w:t xml:space="preserve">Dr Michael B. </w:t>
      </w:r>
      <w:proofErr w:type="gramStart"/>
      <w:r w:rsidRPr="00CF1646">
        <w:rPr>
          <w:rFonts w:ascii="Garamond" w:hAnsi="Garamond"/>
          <w:sz w:val="20"/>
          <w:szCs w:val="20"/>
        </w:rPr>
        <w:t>Duignan,</w:t>
      </w:r>
      <w:proofErr w:type="gramEnd"/>
      <w:r w:rsidRPr="00CF1646">
        <w:rPr>
          <w:rFonts w:ascii="Garamond" w:hAnsi="Garamond"/>
          <w:sz w:val="20"/>
          <w:szCs w:val="20"/>
        </w:rPr>
        <w:t xml:space="preserve"> is a Senior Lecturer in Management at Coventry Business School, Coventry University, UK. </w:t>
      </w:r>
      <w:r w:rsidRPr="00CF1646">
        <w:rPr>
          <w:rFonts w:ascii="Garamond" w:hAnsi="Garamond" w:cs="Arial"/>
          <w:sz w:val="20"/>
          <w:szCs w:val="20"/>
        </w:rPr>
        <w:t xml:space="preserve">Mike takes a strategic, management and organisational perspective on the practices of the visitor economy, field configuring events and festivals. He examines, conceptually and empirically, how these practices contribute to – and impact on - the short and longer-term planning and development of regions and urban communities, and specifically on entrepreneurs, micro and small business sustainability and survival. Mike has researched and published on a range of different cultural and sporting events, from the Olympics (London 2012, Rio 2016, </w:t>
      </w:r>
      <w:proofErr w:type="gramStart"/>
      <w:r w:rsidRPr="00CF1646">
        <w:rPr>
          <w:rFonts w:ascii="Garamond" w:hAnsi="Garamond" w:cs="Arial"/>
          <w:sz w:val="20"/>
          <w:szCs w:val="20"/>
        </w:rPr>
        <w:t>Tokyo</w:t>
      </w:r>
      <w:proofErr w:type="gramEnd"/>
      <w:r w:rsidRPr="00CF1646">
        <w:rPr>
          <w:rFonts w:ascii="Garamond" w:hAnsi="Garamond" w:cs="Arial"/>
          <w:sz w:val="20"/>
          <w:szCs w:val="20"/>
        </w:rPr>
        <w:t xml:space="preserve"> 2020), right through to regional sporting events like the Cambridge Half Marathon (2016, 2017, 2018) and cultural festivals (e.g. EAT Cambridge, e-</w:t>
      </w:r>
      <w:proofErr w:type="spellStart"/>
      <w:r w:rsidRPr="00CF1646">
        <w:rPr>
          <w:rFonts w:ascii="Garamond" w:hAnsi="Garamond" w:cs="Arial"/>
          <w:sz w:val="20"/>
          <w:szCs w:val="20"/>
        </w:rPr>
        <w:t>Luminate</w:t>
      </w:r>
      <w:proofErr w:type="spellEnd"/>
      <w:r w:rsidRPr="00CF1646">
        <w:rPr>
          <w:rFonts w:ascii="Garamond" w:hAnsi="Garamond" w:cs="Arial"/>
          <w:sz w:val="20"/>
          <w:szCs w:val="20"/>
        </w:rPr>
        <w:t xml:space="preserve"> Festival).</w:t>
      </w:r>
    </w:p>
    <w:p w:rsidR="005B53CF" w:rsidRPr="00CF1646" w:rsidRDefault="005B53CF" w:rsidP="005B53CF">
      <w:pPr>
        <w:spacing w:line="480" w:lineRule="auto"/>
        <w:rPr>
          <w:rFonts w:ascii="Garamond" w:hAnsi="Garamond"/>
          <w:sz w:val="20"/>
          <w:szCs w:val="20"/>
        </w:rPr>
      </w:pPr>
      <w:r w:rsidRPr="00CF1646">
        <w:rPr>
          <w:rFonts w:ascii="Garamond" w:hAnsi="Garamond"/>
          <w:sz w:val="20"/>
          <w:szCs w:val="20"/>
        </w:rPr>
        <w:t xml:space="preserve">Email: </w:t>
      </w:r>
      <w:hyperlink r:id="rId10" w:history="1">
        <w:r w:rsidRPr="00CF1646">
          <w:rPr>
            <w:rStyle w:val="Hyperlink"/>
            <w:rFonts w:ascii="Garamond" w:hAnsi="Garamond"/>
            <w:sz w:val="20"/>
            <w:szCs w:val="20"/>
          </w:rPr>
          <w:t>mike.duignan@coventry.ac.uk</w:t>
        </w:r>
      </w:hyperlink>
    </w:p>
    <w:p w:rsidR="005B53CF" w:rsidRPr="00CF1646" w:rsidRDefault="005B53CF" w:rsidP="005B53CF">
      <w:pPr>
        <w:spacing w:line="480" w:lineRule="auto"/>
        <w:rPr>
          <w:rFonts w:ascii="Garamond" w:hAnsi="Garamond"/>
          <w:sz w:val="20"/>
          <w:szCs w:val="20"/>
        </w:rPr>
      </w:pPr>
      <w:r w:rsidRPr="00CF1646">
        <w:rPr>
          <w:rFonts w:ascii="Garamond" w:hAnsi="Garamond"/>
          <w:sz w:val="20"/>
          <w:szCs w:val="20"/>
        </w:rPr>
        <w:t xml:space="preserve">Vlog: </w:t>
      </w:r>
      <w:hyperlink r:id="rId11" w:history="1">
        <w:r w:rsidR="00425F9F" w:rsidRPr="00425F9F">
          <w:rPr>
            <w:rStyle w:val="Hyperlink"/>
            <w:rFonts w:ascii="Garamond" w:hAnsi="Garamond"/>
            <w:sz w:val="20"/>
            <w:szCs w:val="20"/>
          </w:rPr>
          <w:t>www.michaelduignan.uk</w:t>
        </w:r>
      </w:hyperlink>
    </w:p>
    <w:p w:rsidR="005B53CF" w:rsidRDefault="005B53CF" w:rsidP="005B53CF">
      <w:pPr>
        <w:spacing w:line="480" w:lineRule="auto"/>
        <w:rPr>
          <w:rFonts w:ascii="Garamond" w:hAnsi="Garamond"/>
          <w:sz w:val="20"/>
          <w:szCs w:val="20"/>
        </w:rPr>
      </w:pPr>
    </w:p>
    <w:p w:rsidR="005B53CF" w:rsidRDefault="005B53CF" w:rsidP="005B53CF">
      <w:pPr>
        <w:spacing w:line="480" w:lineRule="auto"/>
        <w:rPr>
          <w:rFonts w:ascii="Garamond" w:hAnsi="Garamond"/>
          <w:sz w:val="20"/>
          <w:szCs w:val="20"/>
        </w:rPr>
      </w:pPr>
    </w:p>
    <w:p w:rsidR="005B53CF" w:rsidRDefault="005B53CF" w:rsidP="005B53CF">
      <w:pPr>
        <w:spacing w:line="480" w:lineRule="auto"/>
        <w:rPr>
          <w:rFonts w:ascii="Garamond" w:hAnsi="Garamond"/>
          <w:sz w:val="20"/>
          <w:szCs w:val="20"/>
        </w:rPr>
      </w:pPr>
    </w:p>
    <w:p w:rsidR="005B53CF" w:rsidRDefault="005B53CF" w:rsidP="005B53CF">
      <w:pPr>
        <w:spacing w:line="480" w:lineRule="auto"/>
        <w:rPr>
          <w:rFonts w:ascii="Garamond" w:hAnsi="Garamond"/>
          <w:sz w:val="20"/>
          <w:szCs w:val="20"/>
        </w:rPr>
      </w:pPr>
    </w:p>
    <w:p w:rsidR="005B53CF" w:rsidRDefault="005B53CF" w:rsidP="005B53CF">
      <w:pPr>
        <w:spacing w:line="480" w:lineRule="auto"/>
        <w:rPr>
          <w:rFonts w:ascii="Garamond" w:hAnsi="Garamond"/>
          <w:sz w:val="20"/>
          <w:szCs w:val="20"/>
        </w:rPr>
      </w:pPr>
    </w:p>
    <w:p w:rsidR="004A70FE" w:rsidRDefault="004A70FE" w:rsidP="005B53CF">
      <w:pPr>
        <w:spacing w:line="480" w:lineRule="auto"/>
        <w:rPr>
          <w:rFonts w:ascii="Garamond" w:hAnsi="Garamond"/>
          <w:sz w:val="20"/>
          <w:szCs w:val="20"/>
        </w:rPr>
      </w:pPr>
    </w:p>
    <w:p w:rsidR="005B53CF" w:rsidRDefault="005B53CF" w:rsidP="005B53CF">
      <w:pPr>
        <w:spacing w:line="480" w:lineRule="auto"/>
        <w:rPr>
          <w:rFonts w:ascii="Garamond" w:hAnsi="Garamond"/>
          <w:sz w:val="20"/>
          <w:szCs w:val="20"/>
        </w:rPr>
      </w:pPr>
    </w:p>
    <w:p w:rsidR="005B53CF" w:rsidRPr="00CF1646" w:rsidRDefault="005B53CF" w:rsidP="005B53CF">
      <w:pPr>
        <w:spacing w:line="480" w:lineRule="auto"/>
        <w:rPr>
          <w:rFonts w:ascii="Garamond" w:hAnsi="Garamond"/>
          <w:b/>
          <w:sz w:val="20"/>
          <w:szCs w:val="20"/>
        </w:rPr>
      </w:pPr>
      <w:r w:rsidRPr="00CF1646">
        <w:rPr>
          <w:rFonts w:ascii="Garamond" w:hAnsi="Garamond"/>
          <w:b/>
          <w:sz w:val="20"/>
          <w:szCs w:val="20"/>
        </w:rPr>
        <w:lastRenderedPageBreak/>
        <w:t>Searching for sites of liminality in ‘</w:t>
      </w:r>
      <w:proofErr w:type="spellStart"/>
      <w:r w:rsidRPr="00CF1646">
        <w:rPr>
          <w:rFonts w:ascii="Garamond" w:hAnsi="Garamond"/>
          <w:b/>
          <w:sz w:val="20"/>
          <w:szCs w:val="20"/>
        </w:rPr>
        <w:t>giga</w:t>
      </w:r>
      <w:proofErr w:type="spellEnd"/>
      <w:r w:rsidRPr="00CF1646">
        <w:rPr>
          <w:rFonts w:ascii="Garamond" w:hAnsi="Garamond"/>
          <w:b/>
          <w:sz w:val="20"/>
          <w:szCs w:val="20"/>
        </w:rPr>
        <w:t>’ events</w:t>
      </w:r>
    </w:p>
    <w:p w:rsidR="005B53CF" w:rsidRPr="00CF1646" w:rsidRDefault="005B53CF" w:rsidP="005B53CF">
      <w:pPr>
        <w:spacing w:line="480" w:lineRule="auto"/>
        <w:rPr>
          <w:rFonts w:ascii="Garamond" w:hAnsi="Garamond"/>
          <w:b/>
          <w:sz w:val="20"/>
          <w:szCs w:val="20"/>
        </w:rPr>
      </w:pPr>
      <w:r w:rsidRPr="00CF1646">
        <w:rPr>
          <w:rFonts w:ascii="Garamond" w:hAnsi="Garamond"/>
          <w:b/>
          <w:sz w:val="20"/>
          <w:szCs w:val="20"/>
        </w:rPr>
        <w:t xml:space="preserve">Abstract </w:t>
      </w:r>
    </w:p>
    <w:p w:rsidR="005B53CF" w:rsidRPr="00CF1646" w:rsidRDefault="005B53CF" w:rsidP="005B53CF">
      <w:pPr>
        <w:spacing w:line="480" w:lineRule="auto"/>
        <w:rPr>
          <w:rFonts w:ascii="Garamond" w:hAnsi="Garamond"/>
          <w:sz w:val="20"/>
          <w:szCs w:val="20"/>
        </w:rPr>
      </w:pPr>
      <w:r w:rsidRPr="00CF1646">
        <w:rPr>
          <w:rFonts w:ascii="Garamond" w:hAnsi="Garamond"/>
          <w:sz w:val="20"/>
          <w:szCs w:val="20"/>
        </w:rPr>
        <w:t xml:space="preserve">Giga-events disrupt urban communities and business environments rendering vulnerable social groups, particularly host communities of micro and small businesses, marginalised, invisible and unable to leverage certain economic benefits. We focus on one specific economic benefit occurring within a specific time period: opportunities and challenges associated with event visitor economies during the ‘live staging’ period between the Olympic Games Opening and Closing Ceremony. Giga-events are planned, organised and managed in such a way that they intentionally redirect visitor economic consumption away from small business communities and toward official sites of corporate consumption. These neoliberal outcomes </w:t>
      </w:r>
      <w:r w:rsidRPr="00CF1646">
        <w:rPr>
          <w:rFonts w:ascii="Garamond" w:hAnsi="Garamond"/>
          <w:i/>
          <w:sz w:val="20"/>
          <w:szCs w:val="20"/>
        </w:rPr>
        <w:t xml:space="preserve">must </w:t>
      </w:r>
      <w:r w:rsidRPr="00CF1646">
        <w:rPr>
          <w:rFonts w:ascii="Garamond" w:hAnsi="Garamond"/>
          <w:sz w:val="20"/>
          <w:szCs w:val="20"/>
        </w:rPr>
        <w:t xml:space="preserve">be combated and interrupted if more marginal social groups, like those residing in host communities, are to optimise the full economic potential of </w:t>
      </w:r>
      <w:proofErr w:type="spellStart"/>
      <w:r w:rsidRPr="00CF1646">
        <w:rPr>
          <w:rFonts w:ascii="Garamond" w:hAnsi="Garamond"/>
          <w:sz w:val="20"/>
          <w:szCs w:val="20"/>
        </w:rPr>
        <w:t>giga</w:t>
      </w:r>
      <w:proofErr w:type="spellEnd"/>
      <w:r w:rsidRPr="00CF1646">
        <w:rPr>
          <w:rFonts w:ascii="Garamond" w:hAnsi="Garamond"/>
          <w:sz w:val="20"/>
          <w:szCs w:val="20"/>
        </w:rPr>
        <w:t xml:space="preserve">-events. Using this latent, but increasingly politicised critique of large-scale events to approach this challenge, we draw on perspectives, practices and concepts related to the burgeoning accounts of liminality. Liminality, namely liminal thinking, liminal spaces and the creation of </w:t>
      </w:r>
      <w:proofErr w:type="spellStart"/>
      <w:r w:rsidRPr="00CF1646">
        <w:rPr>
          <w:rFonts w:ascii="Garamond" w:hAnsi="Garamond"/>
          <w:sz w:val="20"/>
          <w:szCs w:val="20"/>
        </w:rPr>
        <w:t>liminoidal</w:t>
      </w:r>
      <w:proofErr w:type="spellEnd"/>
      <w:r w:rsidRPr="00CF1646">
        <w:rPr>
          <w:rFonts w:ascii="Garamond" w:hAnsi="Garamond"/>
          <w:sz w:val="20"/>
          <w:szCs w:val="20"/>
        </w:rPr>
        <w:t xml:space="preserve"> event spaces, i</w:t>
      </w:r>
      <w:r w:rsidR="000D6218">
        <w:rPr>
          <w:rFonts w:ascii="Garamond" w:hAnsi="Garamond"/>
          <w:sz w:val="20"/>
          <w:szCs w:val="20"/>
        </w:rPr>
        <w:t>nherently refers to the development</w:t>
      </w:r>
      <w:r w:rsidRPr="00CF1646">
        <w:rPr>
          <w:rFonts w:ascii="Garamond" w:hAnsi="Garamond"/>
          <w:sz w:val="20"/>
          <w:szCs w:val="20"/>
        </w:rPr>
        <w:t xml:space="preserve"> of new creative spaces of disruption. As such, we frame such thinking as a way to disrupt and seek to provide a potential antidote to the neoliberal practices of </w:t>
      </w:r>
      <w:proofErr w:type="spellStart"/>
      <w:r w:rsidRPr="00CF1646">
        <w:rPr>
          <w:rFonts w:ascii="Garamond" w:hAnsi="Garamond"/>
          <w:sz w:val="20"/>
          <w:szCs w:val="20"/>
        </w:rPr>
        <w:t>giga</w:t>
      </w:r>
      <w:proofErr w:type="spellEnd"/>
      <w:r w:rsidRPr="00CF1646">
        <w:rPr>
          <w:rFonts w:ascii="Garamond" w:hAnsi="Garamond"/>
          <w:sz w:val="20"/>
          <w:szCs w:val="20"/>
        </w:rPr>
        <w:t>-events that inevitably lead to the over-riding of local interests, in favour of external, contingent global demands of more visible, powerful stakeholders in the melee of Olympic planning. By mapping out the different sites where liminality may be fostere</w:t>
      </w:r>
      <w:r>
        <w:rPr>
          <w:rFonts w:ascii="Garamond" w:hAnsi="Garamond"/>
          <w:sz w:val="20"/>
          <w:szCs w:val="20"/>
        </w:rPr>
        <w:t>d across host cities, we propose</w:t>
      </w:r>
      <w:r w:rsidRPr="00CF1646">
        <w:rPr>
          <w:rFonts w:ascii="Garamond" w:hAnsi="Garamond"/>
          <w:sz w:val="20"/>
          <w:szCs w:val="20"/>
        </w:rPr>
        <w:t xml:space="preserve"> the different conceptual and practical ways host communities, policy makers, event organisers and managers can open up new emancipatory spaces ‘betwixt and in-between’. Divergent forms of liminal space</w:t>
      </w:r>
      <w:r>
        <w:rPr>
          <w:rFonts w:ascii="Garamond" w:hAnsi="Garamond"/>
          <w:sz w:val="20"/>
          <w:szCs w:val="20"/>
        </w:rPr>
        <w:t xml:space="preserve"> have been overlaid across ‘Live S</w:t>
      </w:r>
      <w:r w:rsidRPr="00CF1646">
        <w:rPr>
          <w:rFonts w:ascii="Garamond" w:hAnsi="Garamond"/>
          <w:sz w:val="20"/>
          <w:szCs w:val="20"/>
        </w:rPr>
        <w:t>ites’ to illustrate the ways in which vulnerable social groups may be able to leverage opportunities related to event visitor economies.</w:t>
      </w:r>
    </w:p>
    <w:p w:rsidR="005B53CF" w:rsidRDefault="005B53CF" w:rsidP="005B53CF">
      <w:pPr>
        <w:spacing w:line="480" w:lineRule="auto"/>
        <w:rPr>
          <w:rFonts w:ascii="Garamond" w:hAnsi="Garamond"/>
          <w:sz w:val="20"/>
          <w:szCs w:val="20"/>
        </w:rPr>
      </w:pPr>
      <w:r w:rsidRPr="00CF1646">
        <w:rPr>
          <w:rFonts w:ascii="Garamond" w:hAnsi="Garamond"/>
          <w:b/>
          <w:sz w:val="20"/>
          <w:szCs w:val="20"/>
        </w:rPr>
        <w:t>Key words:</w:t>
      </w:r>
      <w:r w:rsidRPr="00CF1646">
        <w:rPr>
          <w:rFonts w:ascii="Garamond" w:hAnsi="Garamond"/>
          <w:sz w:val="20"/>
          <w:szCs w:val="20"/>
        </w:rPr>
        <w:t xml:space="preserve"> Giga-events; Liminality; </w:t>
      </w:r>
      <w:proofErr w:type="spellStart"/>
      <w:r w:rsidRPr="00CF1646">
        <w:rPr>
          <w:rFonts w:ascii="Garamond" w:hAnsi="Garamond"/>
          <w:sz w:val="20"/>
          <w:szCs w:val="20"/>
        </w:rPr>
        <w:t>Liminoi</w:t>
      </w:r>
      <w:r>
        <w:rPr>
          <w:rFonts w:ascii="Garamond" w:hAnsi="Garamond"/>
          <w:sz w:val="20"/>
          <w:szCs w:val="20"/>
        </w:rPr>
        <w:t>dal</w:t>
      </w:r>
      <w:proofErr w:type="spellEnd"/>
      <w:r>
        <w:rPr>
          <w:rFonts w:ascii="Garamond" w:hAnsi="Garamond"/>
          <w:sz w:val="20"/>
          <w:szCs w:val="20"/>
        </w:rPr>
        <w:t xml:space="preserve">; Visitor economy; </w:t>
      </w:r>
      <w:r w:rsidRPr="00CF1646">
        <w:rPr>
          <w:rFonts w:ascii="Garamond" w:hAnsi="Garamond"/>
          <w:sz w:val="20"/>
          <w:szCs w:val="20"/>
        </w:rPr>
        <w:t>Micro and small businesses; Festival-Event-Leverage Complex.</w:t>
      </w:r>
    </w:p>
    <w:p w:rsidR="005B53CF" w:rsidRDefault="005B53CF" w:rsidP="005B53CF">
      <w:pPr>
        <w:spacing w:line="480" w:lineRule="auto"/>
        <w:rPr>
          <w:rFonts w:ascii="Garamond" w:hAnsi="Garamond"/>
          <w:sz w:val="20"/>
          <w:szCs w:val="20"/>
        </w:rPr>
      </w:pPr>
    </w:p>
    <w:p w:rsidR="005B53CF" w:rsidRDefault="005B53CF" w:rsidP="005B53CF">
      <w:pPr>
        <w:spacing w:line="480" w:lineRule="auto"/>
        <w:rPr>
          <w:rFonts w:ascii="Garamond" w:hAnsi="Garamond"/>
          <w:sz w:val="20"/>
          <w:szCs w:val="20"/>
        </w:rPr>
      </w:pPr>
    </w:p>
    <w:p w:rsidR="005B53CF" w:rsidRPr="00CF1646" w:rsidRDefault="005B53CF" w:rsidP="005B53CF">
      <w:pPr>
        <w:spacing w:line="480" w:lineRule="auto"/>
        <w:rPr>
          <w:rFonts w:ascii="Garamond" w:hAnsi="Garamond"/>
          <w:sz w:val="20"/>
          <w:szCs w:val="20"/>
        </w:rPr>
      </w:pPr>
    </w:p>
    <w:p w:rsidR="005B53CF" w:rsidRPr="00CF1646" w:rsidRDefault="005B53CF" w:rsidP="005B53CF">
      <w:pPr>
        <w:spacing w:line="480" w:lineRule="auto"/>
        <w:rPr>
          <w:rFonts w:ascii="Garamond" w:hAnsi="Garamond"/>
          <w:b/>
          <w:sz w:val="20"/>
          <w:szCs w:val="20"/>
        </w:rPr>
      </w:pPr>
      <w:r w:rsidRPr="00CF1646">
        <w:rPr>
          <w:rFonts w:ascii="Garamond" w:hAnsi="Garamond"/>
          <w:b/>
          <w:sz w:val="20"/>
          <w:szCs w:val="20"/>
        </w:rPr>
        <w:lastRenderedPageBreak/>
        <w:t>Introduction</w:t>
      </w:r>
    </w:p>
    <w:p w:rsidR="005B53CF" w:rsidRDefault="005B53CF" w:rsidP="005B53CF">
      <w:pPr>
        <w:spacing w:line="480" w:lineRule="auto"/>
        <w:rPr>
          <w:rFonts w:ascii="Garamond" w:hAnsi="Garamond"/>
          <w:sz w:val="20"/>
          <w:szCs w:val="20"/>
        </w:rPr>
      </w:pPr>
      <w:r w:rsidRPr="00CF1646">
        <w:rPr>
          <w:rFonts w:ascii="Garamond" w:hAnsi="Garamond"/>
          <w:sz w:val="20"/>
          <w:szCs w:val="20"/>
        </w:rPr>
        <w:t>Giga-events</w:t>
      </w:r>
      <w:r>
        <w:rPr>
          <w:rFonts w:ascii="Garamond" w:hAnsi="Garamond"/>
          <w:sz w:val="20"/>
          <w:szCs w:val="20"/>
        </w:rPr>
        <w:t xml:space="preserve">, the archetype being the Summer Olympic Games, </w:t>
      </w:r>
      <w:r>
        <w:rPr>
          <w:rFonts w:ascii="Garamond" w:hAnsi="Garamond"/>
          <w:sz w:val="20"/>
          <w:szCs w:val="20"/>
        </w:rPr>
        <w:t>serve</w:t>
      </w:r>
      <w:r>
        <w:rPr>
          <w:rFonts w:ascii="Garamond" w:hAnsi="Garamond"/>
          <w:sz w:val="20"/>
          <w:szCs w:val="20"/>
        </w:rPr>
        <w:t xml:space="preserve"> to shock respective cities and local territories – either blessed or cursed to play ‘host’. Indeed, during the planning and delivery phases, </w:t>
      </w:r>
      <w:proofErr w:type="spellStart"/>
      <w:r>
        <w:rPr>
          <w:rFonts w:ascii="Garamond" w:hAnsi="Garamond"/>
          <w:sz w:val="20"/>
          <w:szCs w:val="20"/>
        </w:rPr>
        <w:t>giga</w:t>
      </w:r>
      <w:proofErr w:type="spellEnd"/>
      <w:r>
        <w:rPr>
          <w:rFonts w:ascii="Garamond" w:hAnsi="Garamond"/>
          <w:sz w:val="20"/>
          <w:szCs w:val="20"/>
        </w:rPr>
        <w:t xml:space="preserve"> events </w:t>
      </w:r>
      <w:r w:rsidR="003333F0" w:rsidRPr="003333F0">
        <w:rPr>
          <w:rFonts w:ascii="Garamond" w:hAnsi="Garamond"/>
          <w:sz w:val="20"/>
          <w:szCs w:val="20"/>
        </w:rPr>
        <w:t>grip and take hold of</w:t>
      </w:r>
      <w:r>
        <w:rPr>
          <w:rFonts w:ascii="Garamond" w:hAnsi="Garamond"/>
          <w:sz w:val="20"/>
          <w:szCs w:val="20"/>
        </w:rPr>
        <w:t xml:space="preserve"> urban spaces, whether that </w:t>
      </w:r>
      <w:proofErr w:type="gramStart"/>
      <w:r>
        <w:rPr>
          <w:rFonts w:ascii="Garamond" w:hAnsi="Garamond"/>
          <w:sz w:val="20"/>
          <w:szCs w:val="20"/>
        </w:rPr>
        <w:t>be</w:t>
      </w:r>
      <w:proofErr w:type="gramEnd"/>
      <w:r>
        <w:rPr>
          <w:rFonts w:ascii="Garamond" w:hAnsi="Garamond"/>
          <w:sz w:val="20"/>
          <w:szCs w:val="20"/>
        </w:rPr>
        <w:t xml:space="preserve"> infrastructural assets or geographies of community living. Here, we predominantly refer to the physical, telluric type of ‘shock’ – </w:t>
      </w:r>
      <w:r>
        <w:rPr>
          <w:rFonts w:ascii="Garamond" w:hAnsi="Garamond"/>
          <w:i/>
          <w:sz w:val="20"/>
          <w:szCs w:val="20"/>
        </w:rPr>
        <w:t xml:space="preserve">and – </w:t>
      </w:r>
      <w:r>
        <w:rPr>
          <w:rFonts w:ascii="Garamond" w:hAnsi="Garamond"/>
          <w:sz w:val="20"/>
          <w:szCs w:val="20"/>
        </w:rPr>
        <w:t>the economic as they require significant and exponentially increasing public-private financing schemes in comparison to let’s say a mega or</w:t>
      </w:r>
      <w:r w:rsidR="005D057B">
        <w:rPr>
          <w:rFonts w:ascii="Garamond" w:hAnsi="Garamond"/>
          <w:sz w:val="20"/>
          <w:szCs w:val="20"/>
        </w:rPr>
        <w:t xml:space="preserve"> major event (</w:t>
      </w:r>
      <w:r w:rsidR="005D057B" w:rsidRPr="00CF1646">
        <w:rPr>
          <w:rFonts w:ascii="Garamond" w:eastAsia="Georgia" w:hAnsi="Garamond" w:cs="Georgia"/>
          <w:sz w:val="20"/>
          <w:szCs w:val="20"/>
        </w:rPr>
        <w:t>Müller</w:t>
      </w:r>
      <w:r>
        <w:rPr>
          <w:rFonts w:ascii="Garamond" w:hAnsi="Garamond"/>
          <w:sz w:val="20"/>
          <w:szCs w:val="20"/>
        </w:rPr>
        <w:t>, 2015). The description ‘</w:t>
      </w:r>
      <w:proofErr w:type="spellStart"/>
      <w:r>
        <w:rPr>
          <w:rFonts w:ascii="Garamond" w:hAnsi="Garamond"/>
          <w:sz w:val="20"/>
          <w:szCs w:val="20"/>
        </w:rPr>
        <w:t>giga</w:t>
      </w:r>
      <w:proofErr w:type="spellEnd"/>
      <w:r>
        <w:rPr>
          <w:rFonts w:ascii="Garamond" w:hAnsi="Garamond"/>
          <w:sz w:val="20"/>
          <w:szCs w:val="20"/>
        </w:rPr>
        <w:t>’ is a fairly new introduction in to the large-scale sporting event literature, presented to illustrate the rising financial, time and energy costs, and the colossal impact(s) of mega-events. Albeit somewhat axiomatic, a host regions’ size, geographical location, social and cultural influences and overall urban make-up plays a critical role in influencing how the event takes form and imp</w:t>
      </w:r>
      <w:r>
        <w:rPr>
          <w:rFonts w:ascii="Garamond" w:hAnsi="Garamond"/>
          <w:sz w:val="20"/>
          <w:szCs w:val="20"/>
        </w:rPr>
        <w:t>acts the city and its citizens.</w:t>
      </w:r>
    </w:p>
    <w:p w:rsidR="005B53CF" w:rsidRDefault="005B53CF" w:rsidP="005B53CF">
      <w:pPr>
        <w:spacing w:line="480" w:lineRule="auto"/>
        <w:rPr>
          <w:rFonts w:ascii="Garamond" w:hAnsi="Garamond"/>
          <w:sz w:val="20"/>
          <w:szCs w:val="20"/>
        </w:rPr>
      </w:pPr>
      <w:r w:rsidRPr="00CF1646">
        <w:rPr>
          <w:rFonts w:ascii="Garamond" w:hAnsi="Garamond"/>
          <w:sz w:val="20"/>
          <w:szCs w:val="20"/>
        </w:rPr>
        <w:t xml:space="preserve">Policy and contractual bidding agreements are enacted in such a way to deploy wholesale, concentrated development projects adjoined to the hosting process. </w:t>
      </w:r>
      <w:r>
        <w:rPr>
          <w:rFonts w:ascii="Garamond" w:hAnsi="Garamond"/>
          <w:sz w:val="20"/>
          <w:szCs w:val="20"/>
        </w:rPr>
        <w:t xml:space="preserve">Indeed, the changes and the quotidian practices that occur and determine everyday living at the local-host community level are significant and by and large irreversible. </w:t>
      </w:r>
      <w:r w:rsidRPr="00CF1646">
        <w:rPr>
          <w:rFonts w:ascii="Garamond" w:hAnsi="Garamond"/>
          <w:sz w:val="20"/>
          <w:szCs w:val="20"/>
        </w:rPr>
        <w:t>Disruption, perhaps even creative destruction (Schumpeter, 1942)</w:t>
      </w:r>
      <w:r w:rsidR="004F46D6">
        <w:rPr>
          <w:rFonts w:ascii="Garamond" w:hAnsi="Garamond"/>
          <w:sz w:val="20"/>
          <w:szCs w:val="20"/>
        </w:rPr>
        <w:t xml:space="preserve"> causes</w:t>
      </w:r>
      <w:r w:rsidRPr="00CF1646">
        <w:rPr>
          <w:rFonts w:ascii="Garamond" w:hAnsi="Garamond"/>
          <w:sz w:val="20"/>
          <w:szCs w:val="20"/>
        </w:rPr>
        <w:t xml:space="preserve"> both temporary and permanent – often urban – change (</w:t>
      </w:r>
      <w:proofErr w:type="spellStart"/>
      <w:r w:rsidRPr="00CF1646">
        <w:rPr>
          <w:rFonts w:ascii="Garamond" w:hAnsi="Garamond"/>
          <w:sz w:val="20"/>
          <w:szCs w:val="20"/>
        </w:rPr>
        <w:t>Raco</w:t>
      </w:r>
      <w:proofErr w:type="spellEnd"/>
      <w:r w:rsidRPr="00CF1646">
        <w:rPr>
          <w:rFonts w:ascii="Garamond" w:hAnsi="Garamond"/>
          <w:sz w:val="20"/>
          <w:szCs w:val="20"/>
        </w:rPr>
        <w:t xml:space="preserve"> &amp; Tunney, 2010). </w:t>
      </w:r>
      <w:r>
        <w:rPr>
          <w:rFonts w:ascii="Garamond" w:hAnsi="Garamond"/>
          <w:sz w:val="20"/>
          <w:szCs w:val="20"/>
        </w:rPr>
        <w:t>Within</w:t>
      </w:r>
      <w:r w:rsidRPr="00CF1646">
        <w:rPr>
          <w:rFonts w:ascii="Garamond" w:hAnsi="Garamond"/>
          <w:sz w:val="20"/>
          <w:szCs w:val="20"/>
        </w:rPr>
        <w:t xml:space="preserve"> the melee of Olympic planning some vested interests are</w:t>
      </w:r>
      <w:r>
        <w:rPr>
          <w:rFonts w:ascii="Garamond" w:hAnsi="Garamond"/>
          <w:sz w:val="20"/>
          <w:szCs w:val="20"/>
        </w:rPr>
        <w:t xml:space="preserve"> mobilised (</w:t>
      </w:r>
      <w:proofErr w:type="spellStart"/>
      <w:r w:rsidRPr="00CF1646">
        <w:rPr>
          <w:rFonts w:ascii="Garamond" w:hAnsi="Garamond"/>
          <w:sz w:val="20"/>
          <w:szCs w:val="20"/>
        </w:rPr>
        <w:t>Flyvbjerg</w:t>
      </w:r>
      <w:proofErr w:type="spellEnd"/>
      <w:r w:rsidRPr="00CF1646">
        <w:rPr>
          <w:rFonts w:ascii="Garamond" w:hAnsi="Garamond"/>
          <w:sz w:val="20"/>
          <w:szCs w:val="20"/>
        </w:rPr>
        <w:t xml:space="preserve">, </w:t>
      </w:r>
      <w:proofErr w:type="spellStart"/>
      <w:r w:rsidRPr="00CF1646">
        <w:rPr>
          <w:rFonts w:ascii="Garamond" w:hAnsi="Garamond"/>
          <w:sz w:val="20"/>
          <w:szCs w:val="20"/>
        </w:rPr>
        <w:t>Bruzelius</w:t>
      </w:r>
      <w:proofErr w:type="spellEnd"/>
      <w:r w:rsidRPr="00CF1646">
        <w:rPr>
          <w:rFonts w:ascii="Garamond" w:hAnsi="Garamond"/>
          <w:sz w:val="20"/>
          <w:szCs w:val="20"/>
        </w:rPr>
        <w:t xml:space="preserve"> &amp; </w:t>
      </w:r>
      <w:proofErr w:type="spellStart"/>
      <w:r w:rsidRPr="00CF1646">
        <w:rPr>
          <w:rFonts w:ascii="Garamond" w:hAnsi="Garamond"/>
          <w:sz w:val="20"/>
          <w:szCs w:val="20"/>
        </w:rPr>
        <w:t>Rothengatter</w:t>
      </w:r>
      <w:proofErr w:type="spellEnd"/>
      <w:r w:rsidRPr="00CF1646">
        <w:rPr>
          <w:rFonts w:ascii="Garamond" w:hAnsi="Garamond"/>
          <w:sz w:val="20"/>
          <w:szCs w:val="20"/>
        </w:rPr>
        <w:t>, 2003)</w:t>
      </w:r>
      <w:r>
        <w:rPr>
          <w:rFonts w:ascii="Garamond" w:hAnsi="Garamond"/>
          <w:sz w:val="20"/>
          <w:szCs w:val="20"/>
        </w:rPr>
        <w:t>,</w:t>
      </w:r>
      <w:r w:rsidRPr="00CF1646">
        <w:rPr>
          <w:rFonts w:ascii="Garamond" w:hAnsi="Garamond"/>
          <w:sz w:val="20"/>
          <w:szCs w:val="20"/>
        </w:rPr>
        <w:t xml:space="preserve"> whilst others are rendered immobilised (</w:t>
      </w:r>
      <w:proofErr w:type="spellStart"/>
      <w:r w:rsidRPr="00CF1646">
        <w:rPr>
          <w:rFonts w:ascii="Garamond" w:hAnsi="Garamond"/>
          <w:sz w:val="20"/>
          <w:szCs w:val="20"/>
        </w:rPr>
        <w:t>Giulianotti</w:t>
      </w:r>
      <w:proofErr w:type="spellEnd"/>
      <w:r w:rsidRPr="00CF1646">
        <w:rPr>
          <w:rFonts w:ascii="Garamond" w:hAnsi="Garamond"/>
          <w:sz w:val="20"/>
          <w:szCs w:val="20"/>
        </w:rPr>
        <w:t>, Armstrong, Hales &amp; Hobbs, 2016) - leading to inclusionary outcomes for some, and</w:t>
      </w:r>
      <w:r>
        <w:rPr>
          <w:rFonts w:ascii="Garamond" w:hAnsi="Garamond"/>
          <w:sz w:val="20"/>
          <w:szCs w:val="20"/>
        </w:rPr>
        <w:t xml:space="preserve"> not </w:t>
      </w:r>
      <w:r>
        <w:rPr>
          <w:rFonts w:ascii="Garamond" w:hAnsi="Garamond"/>
          <w:sz w:val="20"/>
          <w:szCs w:val="20"/>
        </w:rPr>
        <w:t>for others.</w:t>
      </w:r>
    </w:p>
    <w:p w:rsidR="005B53CF" w:rsidRPr="00CF1646" w:rsidRDefault="005B53CF" w:rsidP="005B53CF">
      <w:pPr>
        <w:spacing w:line="480" w:lineRule="auto"/>
        <w:rPr>
          <w:rFonts w:ascii="Garamond" w:hAnsi="Garamond"/>
          <w:sz w:val="20"/>
          <w:szCs w:val="20"/>
        </w:rPr>
      </w:pPr>
      <w:r>
        <w:rPr>
          <w:rFonts w:ascii="Garamond" w:hAnsi="Garamond"/>
          <w:sz w:val="20"/>
          <w:szCs w:val="20"/>
        </w:rPr>
        <w:t xml:space="preserve">In this chapter we </w:t>
      </w:r>
      <w:r w:rsidRPr="00CF1646">
        <w:rPr>
          <w:rFonts w:ascii="Garamond" w:hAnsi="Garamond"/>
          <w:sz w:val="20"/>
          <w:szCs w:val="20"/>
        </w:rPr>
        <w:t xml:space="preserve">draw on a latent but burgeoning field of research that has conceptually and empirically positioned host communities, specifically micro and small businesses, as a marginalised stakeholder group – with neither the power nor influence </w:t>
      </w:r>
      <w:r>
        <w:rPr>
          <w:rFonts w:ascii="Garamond" w:hAnsi="Garamond"/>
          <w:sz w:val="20"/>
          <w:szCs w:val="20"/>
        </w:rPr>
        <w:t xml:space="preserve">during </w:t>
      </w:r>
      <w:r w:rsidRPr="00CF1646">
        <w:rPr>
          <w:rFonts w:ascii="Garamond" w:hAnsi="Garamond"/>
          <w:sz w:val="20"/>
          <w:szCs w:val="20"/>
        </w:rPr>
        <w:t xml:space="preserve">event planning and </w:t>
      </w:r>
      <w:r>
        <w:rPr>
          <w:rFonts w:ascii="Garamond" w:hAnsi="Garamond"/>
          <w:sz w:val="20"/>
          <w:szCs w:val="20"/>
        </w:rPr>
        <w:t xml:space="preserve">in </w:t>
      </w:r>
      <w:r w:rsidRPr="00CF1646">
        <w:rPr>
          <w:rFonts w:ascii="Garamond" w:hAnsi="Garamond"/>
          <w:sz w:val="20"/>
          <w:szCs w:val="20"/>
        </w:rPr>
        <w:t>amplify</w:t>
      </w:r>
      <w:r>
        <w:rPr>
          <w:rFonts w:ascii="Garamond" w:hAnsi="Garamond"/>
          <w:sz w:val="20"/>
          <w:szCs w:val="20"/>
        </w:rPr>
        <w:t>ing</w:t>
      </w:r>
      <w:r w:rsidRPr="00CF1646">
        <w:rPr>
          <w:rFonts w:ascii="Garamond" w:hAnsi="Garamond"/>
          <w:sz w:val="20"/>
          <w:szCs w:val="20"/>
        </w:rPr>
        <w:t xml:space="preserve"> positive </w:t>
      </w:r>
      <w:proofErr w:type="spellStart"/>
      <w:r w:rsidRPr="00CF1646">
        <w:rPr>
          <w:rFonts w:ascii="Garamond" w:hAnsi="Garamond"/>
          <w:sz w:val="20"/>
          <w:szCs w:val="20"/>
        </w:rPr>
        <w:t>leverageable</w:t>
      </w:r>
      <w:proofErr w:type="spellEnd"/>
      <w:r w:rsidRPr="00CF1646">
        <w:rPr>
          <w:rFonts w:ascii="Garamond" w:hAnsi="Garamond"/>
          <w:sz w:val="20"/>
          <w:szCs w:val="20"/>
        </w:rPr>
        <w:t xml:space="preserve"> business benefits (Armstrong, </w:t>
      </w:r>
      <w:proofErr w:type="spellStart"/>
      <w:r w:rsidRPr="00CF1646">
        <w:rPr>
          <w:rFonts w:ascii="Garamond" w:hAnsi="Garamond"/>
          <w:sz w:val="20"/>
          <w:szCs w:val="20"/>
        </w:rPr>
        <w:t>Giulianotti</w:t>
      </w:r>
      <w:proofErr w:type="spellEnd"/>
      <w:r w:rsidRPr="00CF1646">
        <w:rPr>
          <w:rFonts w:ascii="Garamond" w:hAnsi="Garamond"/>
          <w:sz w:val="20"/>
          <w:szCs w:val="20"/>
        </w:rPr>
        <w:t xml:space="preserve"> &amp; Hobbs, 2017; Clark, Kearns &amp; Cleland, 2016; </w:t>
      </w:r>
      <w:proofErr w:type="spellStart"/>
      <w:r w:rsidRPr="00CF1646">
        <w:rPr>
          <w:rFonts w:ascii="Garamond" w:hAnsi="Garamond"/>
          <w:sz w:val="20"/>
          <w:szCs w:val="20"/>
        </w:rPr>
        <w:t>Giulianotti</w:t>
      </w:r>
      <w:proofErr w:type="spellEnd"/>
      <w:r w:rsidRPr="00CF1646">
        <w:rPr>
          <w:rFonts w:ascii="Garamond" w:hAnsi="Garamond"/>
          <w:sz w:val="20"/>
          <w:szCs w:val="20"/>
        </w:rPr>
        <w:t xml:space="preserve">, et al., 2016; Kirby, Duignan &amp; McGillivray, 2018; </w:t>
      </w:r>
      <w:proofErr w:type="spellStart"/>
      <w:r w:rsidRPr="00CF1646">
        <w:rPr>
          <w:rFonts w:ascii="Garamond" w:hAnsi="Garamond"/>
          <w:sz w:val="20"/>
          <w:szCs w:val="20"/>
        </w:rPr>
        <w:t>Pappalepore</w:t>
      </w:r>
      <w:proofErr w:type="spellEnd"/>
      <w:r w:rsidRPr="00CF1646">
        <w:rPr>
          <w:rFonts w:ascii="Garamond" w:hAnsi="Garamond"/>
          <w:sz w:val="20"/>
          <w:szCs w:val="20"/>
        </w:rPr>
        <w:t xml:space="preserve"> &amp; Duignan, 2016; </w:t>
      </w:r>
      <w:proofErr w:type="spellStart"/>
      <w:r w:rsidRPr="00CF1646">
        <w:rPr>
          <w:rFonts w:ascii="Garamond" w:hAnsi="Garamond"/>
          <w:sz w:val="20"/>
          <w:szCs w:val="20"/>
        </w:rPr>
        <w:t>Raco</w:t>
      </w:r>
      <w:proofErr w:type="spellEnd"/>
      <w:r w:rsidRPr="00CF1646">
        <w:rPr>
          <w:rFonts w:ascii="Garamond" w:hAnsi="Garamond"/>
          <w:sz w:val="20"/>
          <w:szCs w:val="20"/>
        </w:rPr>
        <w:t xml:space="preserve"> &amp; Tunney, 2010; Vlachos, 2016). Yet, such large-scale projects are often argued on the ground</w:t>
      </w:r>
      <w:r w:rsidR="004F46D6">
        <w:rPr>
          <w:rFonts w:ascii="Garamond" w:hAnsi="Garamond"/>
          <w:sz w:val="20"/>
          <w:szCs w:val="20"/>
        </w:rPr>
        <w:t>s</w:t>
      </w:r>
      <w:r w:rsidRPr="00CF1646">
        <w:rPr>
          <w:rFonts w:ascii="Garamond" w:hAnsi="Garamond"/>
          <w:sz w:val="20"/>
          <w:szCs w:val="20"/>
        </w:rPr>
        <w:t xml:space="preserve"> of local inclusion (House of Lords, 2013).</w:t>
      </w:r>
    </w:p>
    <w:p w:rsidR="005B53CF" w:rsidRDefault="005B53CF" w:rsidP="005B53CF">
      <w:pPr>
        <w:spacing w:line="480" w:lineRule="auto"/>
        <w:rPr>
          <w:rFonts w:ascii="Garamond" w:hAnsi="Garamond"/>
          <w:sz w:val="20"/>
          <w:szCs w:val="20"/>
        </w:rPr>
      </w:pPr>
      <w:r>
        <w:rPr>
          <w:rFonts w:ascii="Garamond" w:hAnsi="Garamond"/>
          <w:sz w:val="20"/>
          <w:szCs w:val="20"/>
        </w:rPr>
        <w:t>W</w:t>
      </w:r>
      <w:r w:rsidRPr="00CF1646">
        <w:rPr>
          <w:rFonts w:ascii="Garamond" w:hAnsi="Garamond"/>
          <w:sz w:val="20"/>
          <w:szCs w:val="20"/>
        </w:rPr>
        <w:t>e have come to a critical juncture in the lifecycle and legitimisation of the Olympic movement – as noted by Zimbalist (2015). Never before have th</w:t>
      </w:r>
      <w:r>
        <w:rPr>
          <w:rFonts w:ascii="Garamond" w:hAnsi="Garamond"/>
          <w:sz w:val="20"/>
          <w:szCs w:val="20"/>
        </w:rPr>
        <w:t>ere been such accounts of</w:t>
      </w:r>
      <w:r w:rsidRPr="00CF1646">
        <w:rPr>
          <w:rFonts w:ascii="Garamond" w:hAnsi="Garamond"/>
          <w:sz w:val="20"/>
          <w:szCs w:val="20"/>
        </w:rPr>
        <w:t xml:space="preserve"> international, national and regional </w:t>
      </w:r>
      <w:r w:rsidRPr="00CF1646">
        <w:rPr>
          <w:rFonts w:ascii="Garamond" w:hAnsi="Garamond"/>
          <w:sz w:val="20"/>
          <w:szCs w:val="20"/>
        </w:rPr>
        <w:lastRenderedPageBreak/>
        <w:t xml:space="preserve">resistance, including </w:t>
      </w:r>
      <w:r>
        <w:rPr>
          <w:rFonts w:ascii="Garamond" w:hAnsi="Garamond"/>
          <w:sz w:val="20"/>
          <w:szCs w:val="20"/>
        </w:rPr>
        <w:t xml:space="preserve">reports by </w:t>
      </w:r>
      <w:r w:rsidRPr="00CF1646">
        <w:rPr>
          <w:rFonts w:ascii="Garamond" w:hAnsi="Garamond"/>
          <w:sz w:val="20"/>
          <w:szCs w:val="20"/>
        </w:rPr>
        <w:t xml:space="preserve">Around the Rings right through to </w:t>
      </w:r>
      <w:proofErr w:type="spellStart"/>
      <w:r w:rsidRPr="00CF1646">
        <w:rPr>
          <w:rFonts w:ascii="Garamond" w:hAnsi="Garamond"/>
          <w:sz w:val="20"/>
          <w:szCs w:val="20"/>
        </w:rPr>
        <w:t>GamesMonitor</w:t>
      </w:r>
      <w:proofErr w:type="spellEnd"/>
      <w:r w:rsidRPr="00CF1646">
        <w:rPr>
          <w:rFonts w:ascii="Garamond" w:hAnsi="Garamond"/>
          <w:sz w:val="20"/>
          <w:szCs w:val="20"/>
        </w:rPr>
        <w:t xml:space="preserve"> and Play the Game. On the ground efforts from locally-based pressure and campaigning groups like ‘</w:t>
      </w:r>
      <w:proofErr w:type="spellStart"/>
      <w:r w:rsidRPr="00CF1646">
        <w:rPr>
          <w:rFonts w:ascii="Garamond" w:hAnsi="Garamond"/>
          <w:sz w:val="20"/>
          <w:szCs w:val="20"/>
        </w:rPr>
        <w:t>RioOnWatch</w:t>
      </w:r>
      <w:proofErr w:type="spellEnd"/>
      <w:r w:rsidRPr="00CF1646">
        <w:rPr>
          <w:rFonts w:ascii="Garamond" w:hAnsi="Garamond"/>
          <w:sz w:val="20"/>
          <w:szCs w:val="20"/>
        </w:rPr>
        <w:t xml:space="preserve">’ and </w:t>
      </w:r>
      <w:proofErr w:type="spellStart"/>
      <w:r w:rsidRPr="00CF1646">
        <w:rPr>
          <w:rFonts w:ascii="Garamond" w:hAnsi="Garamond"/>
          <w:sz w:val="20"/>
          <w:szCs w:val="20"/>
        </w:rPr>
        <w:t>NOlympics</w:t>
      </w:r>
      <w:proofErr w:type="spellEnd"/>
      <w:r w:rsidRPr="00CF1646">
        <w:rPr>
          <w:rFonts w:ascii="Garamond" w:hAnsi="Garamond"/>
          <w:sz w:val="20"/>
          <w:szCs w:val="20"/>
        </w:rPr>
        <w:t xml:space="preserve"> LA have risen</w:t>
      </w:r>
      <w:r>
        <w:rPr>
          <w:rFonts w:ascii="Garamond" w:hAnsi="Garamond"/>
          <w:sz w:val="20"/>
          <w:szCs w:val="20"/>
        </w:rPr>
        <w:t xml:space="preserve"> up </w:t>
      </w:r>
      <w:r w:rsidRPr="003333F0">
        <w:rPr>
          <w:rFonts w:ascii="Garamond" w:hAnsi="Garamond"/>
          <w:sz w:val="20"/>
          <w:szCs w:val="20"/>
        </w:rPr>
        <w:t>magnifying</w:t>
      </w:r>
      <w:r w:rsidRPr="00CF1646">
        <w:rPr>
          <w:rFonts w:ascii="Garamond" w:hAnsi="Garamond"/>
          <w:sz w:val="20"/>
          <w:szCs w:val="20"/>
        </w:rPr>
        <w:t xml:space="preserve"> the urban struggles that precede and follow the occurrence of investments in flagship urban development agendas and programmes (</w:t>
      </w:r>
      <w:proofErr w:type="spellStart"/>
      <w:r w:rsidRPr="00CF1646">
        <w:rPr>
          <w:rFonts w:ascii="Garamond" w:hAnsi="Garamond"/>
          <w:sz w:val="20"/>
          <w:szCs w:val="20"/>
        </w:rPr>
        <w:t>Lauermann</w:t>
      </w:r>
      <w:proofErr w:type="spellEnd"/>
      <w:r w:rsidRPr="00CF1646">
        <w:rPr>
          <w:rFonts w:ascii="Garamond" w:hAnsi="Garamond"/>
          <w:sz w:val="20"/>
          <w:szCs w:val="20"/>
        </w:rPr>
        <w:t xml:space="preserve">, 2014). Beyond pressure groups, even large-scale funding bids have been commissioned to examine uneven development effects. For example, in 2018, Coventry University secured a </w:t>
      </w:r>
      <w:r>
        <w:rPr>
          <w:rFonts w:ascii="Garamond" w:hAnsi="Garamond"/>
          <w:sz w:val="20"/>
          <w:szCs w:val="20"/>
        </w:rPr>
        <w:t xml:space="preserve">Marie Curie </w:t>
      </w:r>
      <w:r>
        <w:rPr>
          <w:rFonts w:ascii="Garamond" w:hAnsi="Garamond"/>
          <w:sz w:val="20"/>
          <w:szCs w:val="20"/>
        </w:rPr>
        <w:t>grant entitled</w:t>
      </w:r>
      <w:r>
        <w:rPr>
          <w:rFonts w:ascii="Garamond" w:hAnsi="Garamond"/>
          <w:sz w:val="20"/>
          <w:szCs w:val="20"/>
        </w:rPr>
        <w:t xml:space="preserve"> ‘</w:t>
      </w:r>
      <w:proofErr w:type="spellStart"/>
      <w:r>
        <w:rPr>
          <w:rFonts w:ascii="Garamond" w:hAnsi="Garamond"/>
          <w:sz w:val="20"/>
          <w:szCs w:val="20"/>
        </w:rPr>
        <w:t>EventRights</w:t>
      </w:r>
      <w:proofErr w:type="spellEnd"/>
      <w:r>
        <w:rPr>
          <w:rFonts w:ascii="Garamond" w:hAnsi="Garamond"/>
          <w:sz w:val="20"/>
          <w:szCs w:val="20"/>
        </w:rPr>
        <w:t xml:space="preserve">’ to examine human rights issues within major sporting events. Similarly to this chapter, it emphasises the differential between </w:t>
      </w:r>
      <w:r w:rsidRPr="00CF1646">
        <w:rPr>
          <w:rFonts w:ascii="Garamond" w:hAnsi="Garamond"/>
          <w:sz w:val="20"/>
          <w:szCs w:val="20"/>
        </w:rPr>
        <w:t xml:space="preserve">Olympic planning rhetoric of inclusion (that feature </w:t>
      </w:r>
      <w:r>
        <w:rPr>
          <w:rFonts w:ascii="Garamond" w:hAnsi="Garamond"/>
          <w:sz w:val="20"/>
          <w:szCs w:val="20"/>
        </w:rPr>
        <w:t>across</w:t>
      </w:r>
      <w:r w:rsidRPr="00CF1646">
        <w:rPr>
          <w:rFonts w:ascii="Garamond" w:hAnsi="Garamond"/>
          <w:sz w:val="20"/>
          <w:szCs w:val="20"/>
        </w:rPr>
        <w:t xml:space="preserve"> host city candidature bid documents, like Rio 2016) – and – the realities of event exclusion </w:t>
      </w:r>
      <w:r>
        <w:rPr>
          <w:rFonts w:ascii="Garamond" w:hAnsi="Garamond"/>
          <w:sz w:val="20"/>
          <w:szCs w:val="20"/>
        </w:rPr>
        <w:t xml:space="preserve">for neighbouring host communities </w:t>
      </w:r>
      <w:r w:rsidRPr="00CF1646">
        <w:rPr>
          <w:rFonts w:ascii="Garamond" w:hAnsi="Garamond"/>
          <w:sz w:val="20"/>
          <w:szCs w:val="20"/>
        </w:rPr>
        <w:t xml:space="preserve">(Duignan, </w:t>
      </w:r>
      <w:proofErr w:type="spellStart"/>
      <w:r w:rsidRPr="00CF1646">
        <w:rPr>
          <w:rFonts w:ascii="Garamond" w:hAnsi="Garamond"/>
          <w:sz w:val="20"/>
          <w:szCs w:val="20"/>
        </w:rPr>
        <w:t>Pappalepore</w:t>
      </w:r>
      <w:proofErr w:type="spellEnd"/>
      <w:r w:rsidRPr="00CF1646">
        <w:rPr>
          <w:rFonts w:ascii="Garamond" w:hAnsi="Garamond"/>
          <w:sz w:val="20"/>
          <w:szCs w:val="20"/>
        </w:rPr>
        <w:t xml:space="preserve"> &amp; Everett, 2019).</w:t>
      </w:r>
    </w:p>
    <w:p w:rsidR="005B53CF" w:rsidRPr="00AF4D3B" w:rsidRDefault="005B53CF" w:rsidP="005B53CF">
      <w:pPr>
        <w:spacing w:line="480" w:lineRule="auto"/>
        <w:rPr>
          <w:rFonts w:ascii="Garamond" w:hAnsi="Garamond"/>
          <w:sz w:val="20"/>
          <w:szCs w:val="20"/>
        </w:rPr>
      </w:pPr>
      <w:r w:rsidRPr="00CF1646">
        <w:rPr>
          <w:rFonts w:ascii="Garamond" w:hAnsi="Garamond"/>
          <w:sz w:val="20"/>
          <w:szCs w:val="20"/>
        </w:rPr>
        <w:t>Although, O’Brien (2006) indicates that mega-sport events provide the ‘seed capital’ to be appropriately optimised by stakeholders themselves (whether that be at the macro-level by policy makers, to smal</w:t>
      </w:r>
      <w:r>
        <w:rPr>
          <w:rFonts w:ascii="Garamond" w:hAnsi="Garamond"/>
          <w:sz w:val="20"/>
          <w:szCs w:val="20"/>
        </w:rPr>
        <w:t>ler businesses and residents at</w:t>
      </w:r>
      <w:r w:rsidRPr="00CF1646">
        <w:rPr>
          <w:rFonts w:ascii="Garamond" w:hAnsi="Garamond"/>
          <w:sz w:val="20"/>
          <w:szCs w:val="20"/>
        </w:rPr>
        <w:t xml:space="preserve"> the micro-level), our critical introduction, reveals that not everyone has the ability and ‘right’ to access so-called event (business) benefits. Whereas some stakeholders have the permission to be included as beneficiaries, highly circumscribed environments created by the Olympic</w:t>
      </w:r>
      <w:r w:rsidR="004A257F">
        <w:rPr>
          <w:rFonts w:ascii="Garamond" w:hAnsi="Garamond"/>
          <w:sz w:val="20"/>
          <w:szCs w:val="20"/>
        </w:rPr>
        <w:t xml:space="preserve"> Games</w:t>
      </w:r>
      <w:r w:rsidRPr="00CF1646">
        <w:rPr>
          <w:rFonts w:ascii="Garamond" w:hAnsi="Garamond"/>
          <w:sz w:val="20"/>
          <w:szCs w:val="20"/>
        </w:rPr>
        <w:t xml:space="preserve"> often preclude individual and collective rights to leverage (</w:t>
      </w:r>
      <w:proofErr w:type="spellStart"/>
      <w:r w:rsidRPr="00CF1646">
        <w:rPr>
          <w:rFonts w:ascii="Garamond" w:hAnsi="Garamond"/>
          <w:sz w:val="20"/>
          <w:szCs w:val="20"/>
        </w:rPr>
        <w:t>Chalip</w:t>
      </w:r>
      <w:proofErr w:type="spellEnd"/>
      <w:r w:rsidRPr="00CF1646">
        <w:rPr>
          <w:rFonts w:ascii="Garamond" w:hAnsi="Garamond"/>
          <w:sz w:val="20"/>
          <w:szCs w:val="20"/>
        </w:rPr>
        <w:t xml:space="preserve">, 2017 – also see </w:t>
      </w:r>
      <w:proofErr w:type="spellStart"/>
      <w:r w:rsidRPr="00CF1646">
        <w:rPr>
          <w:rFonts w:ascii="Garamond" w:hAnsi="Garamond"/>
          <w:sz w:val="20"/>
          <w:szCs w:val="20"/>
        </w:rPr>
        <w:t>Zizek</w:t>
      </w:r>
      <w:proofErr w:type="spellEnd"/>
      <w:r w:rsidRPr="00CF1646">
        <w:rPr>
          <w:rFonts w:ascii="Garamond" w:hAnsi="Garamond"/>
          <w:sz w:val="20"/>
          <w:szCs w:val="20"/>
        </w:rPr>
        <w:t>, 2008 for a wider sociological debate between ‘permissions’ and ‘rights’). In order to sustain</w:t>
      </w:r>
      <w:r>
        <w:rPr>
          <w:rFonts w:ascii="Garamond" w:hAnsi="Garamond"/>
          <w:sz w:val="20"/>
          <w:szCs w:val="20"/>
        </w:rPr>
        <w:t xml:space="preserve"> some of</w:t>
      </w:r>
      <w:r w:rsidRPr="00CF1646">
        <w:rPr>
          <w:rFonts w:ascii="Garamond" w:hAnsi="Garamond"/>
          <w:sz w:val="20"/>
          <w:szCs w:val="20"/>
        </w:rPr>
        <w:t xml:space="preserve"> the positive social and economic outcomes of mega-sporting event culture and production (i.e. inspiring young social entrepreneurship – see IOC, 2018), </w:t>
      </w:r>
      <w:r>
        <w:rPr>
          <w:rFonts w:ascii="Garamond" w:hAnsi="Garamond"/>
          <w:sz w:val="20"/>
          <w:szCs w:val="20"/>
        </w:rPr>
        <w:t>we argue that ‘</w:t>
      </w:r>
      <w:proofErr w:type="spellStart"/>
      <w:r>
        <w:rPr>
          <w:rFonts w:ascii="Garamond" w:hAnsi="Garamond"/>
          <w:sz w:val="20"/>
          <w:szCs w:val="20"/>
        </w:rPr>
        <w:t>giga</w:t>
      </w:r>
      <w:proofErr w:type="spellEnd"/>
      <w:r>
        <w:rPr>
          <w:rFonts w:ascii="Garamond" w:hAnsi="Garamond"/>
          <w:sz w:val="20"/>
          <w:szCs w:val="20"/>
        </w:rPr>
        <w:t xml:space="preserve">’ – and indeed mega and major – sporting event organisers </w:t>
      </w:r>
      <w:r>
        <w:rPr>
          <w:rFonts w:ascii="Garamond" w:hAnsi="Garamond"/>
          <w:i/>
          <w:sz w:val="20"/>
          <w:szCs w:val="20"/>
        </w:rPr>
        <w:t>must</w:t>
      </w:r>
      <w:r>
        <w:rPr>
          <w:rFonts w:ascii="Garamond" w:hAnsi="Garamond"/>
          <w:sz w:val="20"/>
          <w:szCs w:val="20"/>
        </w:rPr>
        <w:t xml:space="preserve"> re-think </w:t>
      </w:r>
      <w:r w:rsidRPr="00CF1646">
        <w:rPr>
          <w:rFonts w:ascii="Garamond" w:hAnsi="Garamond"/>
          <w:sz w:val="20"/>
          <w:szCs w:val="20"/>
        </w:rPr>
        <w:t xml:space="preserve">the (neoliberal) economic logic that presides over the strategic and operational models and governance of the Olympics. As a result, we explore and map out both the conceptual and practical ways </w:t>
      </w:r>
      <w:proofErr w:type="spellStart"/>
      <w:r w:rsidRPr="00CF1646">
        <w:rPr>
          <w:rFonts w:ascii="Garamond" w:hAnsi="Garamond"/>
          <w:sz w:val="20"/>
          <w:szCs w:val="20"/>
        </w:rPr>
        <w:t>giga</w:t>
      </w:r>
      <w:proofErr w:type="spellEnd"/>
      <w:r w:rsidRPr="00CF1646">
        <w:rPr>
          <w:rFonts w:ascii="Garamond" w:hAnsi="Garamond"/>
          <w:sz w:val="20"/>
          <w:szCs w:val="20"/>
        </w:rPr>
        <w:t>-events, alongside other large-scale events, like major events) can be disrupted.</w:t>
      </w:r>
    </w:p>
    <w:p w:rsidR="005B53CF" w:rsidRPr="00CF1646" w:rsidRDefault="005B53CF" w:rsidP="005B53CF">
      <w:pPr>
        <w:spacing w:line="480" w:lineRule="auto"/>
        <w:rPr>
          <w:rFonts w:ascii="Garamond" w:hAnsi="Garamond"/>
          <w:sz w:val="20"/>
          <w:szCs w:val="20"/>
        </w:rPr>
      </w:pPr>
      <w:r>
        <w:rPr>
          <w:rFonts w:ascii="Garamond" w:hAnsi="Garamond"/>
          <w:sz w:val="20"/>
          <w:szCs w:val="20"/>
        </w:rPr>
        <w:t>With these issues in mind, w</w:t>
      </w:r>
      <w:r w:rsidRPr="00CF1646">
        <w:rPr>
          <w:rFonts w:ascii="Garamond" w:hAnsi="Garamond"/>
          <w:sz w:val="20"/>
          <w:szCs w:val="20"/>
        </w:rPr>
        <w:t>e</w:t>
      </w:r>
      <w:r>
        <w:rPr>
          <w:rFonts w:ascii="Garamond" w:hAnsi="Garamond"/>
          <w:sz w:val="20"/>
          <w:szCs w:val="20"/>
        </w:rPr>
        <w:t xml:space="preserve"> introduce and</w:t>
      </w:r>
      <w:r w:rsidRPr="00CF1646">
        <w:rPr>
          <w:rFonts w:ascii="Garamond" w:hAnsi="Garamond"/>
          <w:sz w:val="20"/>
          <w:szCs w:val="20"/>
        </w:rPr>
        <w:t xml:space="preserve"> discuss the concept of ‘liminality’: a concept inherently disruptive</w:t>
      </w:r>
      <w:r>
        <w:rPr>
          <w:rFonts w:ascii="Garamond" w:hAnsi="Garamond"/>
          <w:sz w:val="20"/>
          <w:szCs w:val="20"/>
        </w:rPr>
        <w:t>,</w:t>
      </w:r>
      <w:r w:rsidRPr="00CF1646">
        <w:rPr>
          <w:rFonts w:ascii="Garamond" w:hAnsi="Garamond"/>
          <w:sz w:val="20"/>
          <w:szCs w:val="20"/>
        </w:rPr>
        <w:t xml:space="preserve"> highly creative and abstract in nature. A key aim and objective of this chapter is to consider the different ways </w:t>
      </w:r>
      <w:proofErr w:type="spellStart"/>
      <w:r w:rsidRPr="00CF1646">
        <w:rPr>
          <w:rFonts w:ascii="Garamond" w:hAnsi="Garamond"/>
          <w:sz w:val="20"/>
          <w:szCs w:val="20"/>
        </w:rPr>
        <w:t>giga</w:t>
      </w:r>
      <w:proofErr w:type="spellEnd"/>
      <w:r w:rsidRPr="00CF1646">
        <w:rPr>
          <w:rFonts w:ascii="Garamond" w:hAnsi="Garamond"/>
          <w:sz w:val="20"/>
          <w:szCs w:val="20"/>
        </w:rPr>
        <w:t>-events can foster sites of liminality to transform the marginalised and invisible, to an included and visible stakeholder group, and more specifically, ensure event visitor economy benefits are evenly distributed across host communities for both external, global interests – and - internal, local interests. This is achieved by drawing on a multitude of historical case studies linked to large-</w:t>
      </w:r>
      <w:r w:rsidR="004A257F">
        <w:rPr>
          <w:rFonts w:ascii="Garamond" w:hAnsi="Garamond"/>
          <w:sz w:val="20"/>
          <w:szCs w:val="20"/>
        </w:rPr>
        <w:t>scale events like the Olympic Games</w:t>
      </w:r>
      <w:r w:rsidRPr="00CF1646">
        <w:rPr>
          <w:rFonts w:ascii="Garamond" w:hAnsi="Garamond"/>
          <w:sz w:val="20"/>
          <w:szCs w:val="20"/>
        </w:rPr>
        <w:t>, including major events right through to regional cultural and sporting festivals.</w:t>
      </w:r>
      <w:r w:rsidR="004F46D6">
        <w:rPr>
          <w:rFonts w:ascii="Garamond" w:hAnsi="Garamond"/>
          <w:sz w:val="20"/>
          <w:szCs w:val="20"/>
        </w:rPr>
        <w:t xml:space="preserve"> </w:t>
      </w:r>
      <w:r w:rsidR="004F46D6">
        <w:rPr>
          <w:rFonts w:ascii="Garamond" w:hAnsi="Garamond"/>
          <w:sz w:val="20"/>
          <w:szCs w:val="20"/>
        </w:rPr>
        <w:lastRenderedPageBreak/>
        <w:t>Moreover</w:t>
      </w:r>
      <w:r w:rsidRPr="00CF1646">
        <w:rPr>
          <w:rFonts w:ascii="Garamond" w:hAnsi="Garamond"/>
          <w:sz w:val="20"/>
          <w:szCs w:val="20"/>
        </w:rPr>
        <w:t xml:space="preserve">, engagement with other sources </w:t>
      </w:r>
      <w:r w:rsidR="004F46D6">
        <w:rPr>
          <w:rFonts w:ascii="Garamond" w:hAnsi="Garamond"/>
          <w:sz w:val="20"/>
          <w:szCs w:val="20"/>
        </w:rPr>
        <w:t>combines</w:t>
      </w:r>
      <w:r w:rsidRPr="00CF1646">
        <w:rPr>
          <w:rFonts w:ascii="Garamond" w:hAnsi="Garamond"/>
          <w:sz w:val="20"/>
          <w:szCs w:val="20"/>
        </w:rPr>
        <w:t xml:space="preserve"> official Olympic candidature, governing body policy and independent event-related reports. The authors’ perspectives are also captured using their own observational data: audio and visual data collected as part of the </w:t>
      </w:r>
      <w:proofErr w:type="spellStart"/>
      <w:r w:rsidRPr="00CF1646">
        <w:rPr>
          <w:rFonts w:ascii="Garamond" w:hAnsi="Garamond"/>
          <w:sz w:val="20"/>
          <w:szCs w:val="20"/>
        </w:rPr>
        <w:t>RioZones</w:t>
      </w:r>
      <w:proofErr w:type="spellEnd"/>
      <w:r w:rsidRPr="00CF1646">
        <w:rPr>
          <w:rFonts w:ascii="Garamond" w:hAnsi="Garamond"/>
          <w:sz w:val="20"/>
          <w:szCs w:val="20"/>
        </w:rPr>
        <w:t xml:space="preserve"> (2016) project (approx. 2500 photos, and over 5 ½ hours of recording) which examined the conditions, processes and spaces in and around official Host Event Zones (HEZs), Last Mile transit zones, and Live Site areas</w:t>
      </w:r>
      <w:r w:rsidR="004A257F">
        <w:rPr>
          <w:rFonts w:ascii="Garamond" w:hAnsi="Garamond"/>
          <w:sz w:val="20"/>
          <w:szCs w:val="20"/>
        </w:rPr>
        <w:t xml:space="preserve"> (see </w:t>
      </w:r>
      <w:r w:rsidR="004F46D6">
        <w:rPr>
          <w:rFonts w:ascii="Garamond" w:hAnsi="Garamond"/>
          <w:sz w:val="20"/>
          <w:szCs w:val="20"/>
        </w:rPr>
        <w:t>Cade, Everett &amp; Duignan, forthcoming</w:t>
      </w:r>
      <w:r w:rsidR="004F46D6">
        <w:rPr>
          <w:rFonts w:ascii="Garamond" w:hAnsi="Garamond"/>
          <w:sz w:val="20"/>
          <w:szCs w:val="20"/>
        </w:rPr>
        <w:t xml:space="preserve">; </w:t>
      </w:r>
      <w:r w:rsidR="004A257F">
        <w:rPr>
          <w:rFonts w:ascii="Garamond" w:hAnsi="Garamond"/>
          <w:sz w:val="20"/>
          <w:szCs w:val="20"/>
        </w:rPr>
        <w:t>Duignan &amp; McGillivray, forthcoming;</w:t>
      </w:r>
      <w:r>
        <w:rPr>
          <w:rFonts w:ascii="Garamond" w:hAnsi="Garamond"/>
          <w:sz w:val="20"/>
          <w:szCs w:val="20"/>
        </w:rPr>
        <w:t>)</w:t>
      </w:r>
      <w:r w:rsidRPr="00CF1646">
        <w:rPr>
          <w:rFonts w:ascii="Garamond" w:hAnsi="Garamond"/>
          <w:sz w:val="20"/>
          <w:szCs w:val="20"/>
        </w:rPr>
        <w:t>. This observational data was collected between 31 July – 8 August 2016, and research conducted post-Games. Here, photographs and digital vlog recordings enabled the researchers to understand and reflect upon their first-hand experiences and observations (Pink, 2013).</w:t>
      </w:r>
    </w:p>
    <w:p w:rsidR="005B53CF" w:rsidRPr="00CF1646" w:rsidRDefault="005B53CF" w:rsidP="005B53CF">
      <w:pPr>
        <w:spacing w:line="480" w:lineRule="auto"/>
        <w:rPr>
          <w:rFonts w:ascii="Garamond" w:hAnsi="Garamond"/>
          <w:sz w:val="20"/>
          <w:szCs w:val="20"/>
        </w:rPr>
      </w:pPr>
      <w:r w:rsidRPr="00CF1646">
        <w:rPr>
          <w:rFonts w:ascii="Garamond" w:hAnsi="Garamond"/>
          <w:sz w:val="20"/>
          <w:szCs w:val="20"/>
        </w:rPr>
        <w:t xml:space="preserve">Structurally, we outline the theoretical framework and affordances of liminality; specifically, liminal thinking, liminal spaces and the creation of </w:t>
      </w:r>
      <w:proofErr w:type="spellStart"/>
      <w:r w:rsidRPr="00CF1646">
        <w:rPr>
          <w:rFonts w:ascii="Garamond" w:hAnsi="Garamond"/>
          <w:sz w:val="20"/>
          <w:szCs w:val="20"/>
        </w:rPr>
        <w:t>liminoidal</w:t>
      </w:r>
      <w:proofErr w:type="spellEnd"/>
      <w:r w:rsidRPr="00CF1646">
        <w:rPr>
          <w:rFonts w:ascii="Garamond" w:hAnsi="Garamond"/>
          <w:sz w:val="20"/>
          <w:szCs w:val="20"/>
        </w:rPr>
        <w:t xml:space="preserve"> environments that engender </w:t>
      </w:r>
      <w:proofErr w:type="spellStart"/>
      <w:r w:rsidRPr="00CF1646">
        <w:rPr>
          <w:rFonts w:ascii="Garamond" w:hAnsi="Garamond"/>
          <w:sz w:val="20"/>
          <w:szCs w:val="20"/>
        </w:rPr>
        <w:t>communitas</w:t>
      </w:r>
      <w:proofErr w:type="spellEnd"/>
      <w:r w:rsidRPr="00CF1646">
        <w:rPr>
          <w:rFonts w:ascii="Garamond" w:hAnsi="Garamond"/>
          <w:sz w:val="20"/>
          <w:szCs w:val="20"/>
        </w:rPr>
        <w:t xml:space="preserve"> and the celebration of all things local. We then illustrate how such concepts can disrupt the flows and consumption patterns of Olympic visitor economies: a process we </w:t>
      </w:r>
      <w:r>
        <w:rPr>
          <w:rFonts w:ascii="Garamond" w:hAnsi="Garamond"/>
          <w:sz w:val="20"/>
          <w:szCs w:val="20"/>
        </w:rPr>
        <w:t>argue to be</w:t>
      </w:r>
      <w:r w:rsidRPr="00CF1646">
        <w:rPr>
          <w:rFonts w:ascii="Garamond" w:hAnsi="Garamond"/>
          <w:sz w:val="20"/>
          <w:szCs w:val="20"/>
        </w:rPr>
        <w:t xml:space="preserve"> the shift from ‘neoliberal consumption’ to ‘critical consumption’. We then introduce a new, but highly applicable framework by Duignan, Everett, Walsh and Cade (2017) dubbed the ‘Festival-Event-Leverage Complex’ (FELC) to illustrate how such event-led policies provide ideal physical and digital spaces for micro and small businesses to leverage. Our penultimate section proceeds to amalgamate our analysis of liminality, the need to shift consumption, and the affordances of the FELC – and extend</w:t>
      </w:r>
      <w:r w:rsidR="004A257F">
        <w:rPr>
          <w:rFonts w:ascii="Garamond" w:hAnsi="Garamond"/>
          <w:sz w:val="20"/>
          <w:szCs w:val="20"/>
        </w:rPr>
        <w:t>s</w:t>
      </w:r>
      <w:r w:rsidRPr="00CF1646">
        <w:rPr>
          <w:rFonts w:ascii="Garamond" w:hAnsi="Garamond"/>
          <w:sz w:val="20"/>
          <w:szCs w:val="20"/>
        </w:rPr>
        <w:t xml:space="preserve"> the complex by overlaying the different types of liminal spaces identified in the context of large-scale events, like </w:t>
      </w:r>
      <w:proofErr w:type="spellStart"/>
      <w:r w:rsidRPr="00CF1646">
        <w:rPr>
          <w:rFonts w:ascii="Garamond" w:hAnsi="Garamond"/>
          <w:sz w:val="20"/>
          <w:szCs w:val="20"/>
        </w:rPr>
        <w:t>giga</w:t>
      </w:r>
      <w:proofErr w:type="spellEnd"/>
      <w:r w:rsidRPr="00CF1646">
        <w:rPr>
          <w:rFonts w:ascii="Garamond" w:hAnsi="Garamond"/>
          <w:sz w:val="20"/>
          <w:szCs w:val="20"/>
        </w:rPr>
        <w:t xml:space="preserve">-events. Our conclusion presents a succinct conceptual and practical wrap of all key points and outlines a series of policy and managerial implications, followed by a call for future scholars and practitioners to embrace liminal thinking as </w:t>
      </w:r>
      <w:r w:rsidR="004A257F">
        <w:rPr>
          <w:rFonts w:ascii="Garamond" w:hAnsi="Garamond"/>
          <w:sz w:val="20"/>
          <w:szCs w:val="20"/>
        </w:rPr>
        <w:t xml:space="preserve">a </w:t>
      </w:r>
      <w:r w:rsidRPr="00CF1646">
        <w:rPr>
          <w:rFonts w:ascii="Garamond" w:hAnsi="Garamond"/>
          <w:sz w:val="20"/>
          <w:szCs w:val="20"/>
        </w:rPr>
        <w:t>way of democratising event outcomes.</w:t>
      </w:r>
    </w:p>
    <w:p w:rsidR="005B53CF" w:rsidRPr="00CF1646" w:rsidRDefault="005B53CF" w:rsidP="005B53CF">
      <w:pPr>
        <w:spacing w:line="480" w:lineRule="auto"/>
        <w:rPr>
          <w:rFonts w:ascii="Garamond" w:hAnsi="Garamond"/>
          <w:b/>
          <w:sz w:val="20"/>
          <w:szCs w:val="20"/>
        </w:rPr>
      </w:pPr>
      <w:r w:rsidRPr="00CF1646">
        <w:rPr>
          <w:rFonts w:ascii="Garamond" w:hAnsi="Garamond"/>
          <w:b/>
          <w:sz w:val="20"/>
          <w:szCs w:val="20"/>
        </w:rPr>
        <w:t xml:space="preserve">Liminality: Liminal thinking, liminal spaces and creating the </w:t>
      </w:r>
      <w:proofErr w:type="spellStart"/>
      <w:r w:rsidRPr="00CF1646">
        <w:rPr>
          <w:rFonts w:ascii="Garamond" w:hAnsi="Garamond"/>
          <w:b/>
          <w:sz w:val="20"/>
          <w:szCs w:val="20"/>
        </w:rPr>
        <w:t>liminoidal</w:t>
      </w:r>
      <w:proofErr w:type="spellEnd"/>
      <w:r w:rsidRPr="00CF1646">
        <w:rPr>
          <w:rFonts w:ascii="Garamond" w:hAnsi="Garamond"/>
          <w:b/>
          <w:sz w:val="20"/>
          <w:szCs w:val="20"/>
        </w:rPr>
        <w:t xml:space="preserve"> environment</w:t>
      </w:r>
    </w:p>
    <w:p w:rsidR="005B53CF" w:rsidRPr="00CF1646" w:rsidRDefault="005B53CF" w:rsidP="005B53CF">
      <w:pPr>
        <w:spacing w:line="480" w:lineRule="auto"/>
        <w:rPr>
          <w:rFonts w:ascii="Garamond" w:hAnsi="Garamond"/>
          <w:sz w:val="20"/>
          <w:szCs w:val="20"/>
        </w:rPr>
      </w:pPr>
      <w:r>
        <w:rPr>
          <w:rFonts w:ascii="Garamond" w:hAnsi="Garamond"/>
          <w:sz w:val="20"/>
          <w:szCs w:val="20"/>
        </w:rPr>
        <w:t>O</w:t>
      </w:r>
      <w:r w:rsidRPr="00CF1646">
        <w:rPr>
          <w:rFonts w:ascii="Garamond" w:hAnsi="Garamond"/>
          <w:sz w:val="20"/>
          <w:szCs w:val="20"/>
        </w:rPr>
        <w:t>ur earlier discussion provides a neat segue into our conceptual thinking and framework: the power of liminality, liminal thinking and the production of liminal spaces as a way to d</w:t>
      </w:r>
      <w:r w:rsidR="00C57C91">
        <w:rPr>
          <w:rFonts w:ascii="Garamond" w:hAnsi="Garamond"/>
          <w:sz w:val="20"/>
          <w:szCs w:val="20"/>
        </w:rPr>
        <w:t>isrupt and (re)configure the manner</w:t>
      </w:r>
      <w:r w:rsidRPr="00CF1646">
        <w:rPr>
          <w:rFonts w:ascii="Garamond" w:hAnsi="Garamond"/>
          <w:sz w:val="20"/>
          <w:szCs w:val="20"/>
        </w:rPr>
        <w:t xml:space="preserve"> in which mega-sport events are planned and delivered. We argue such thinking provides a unique opportunity for policy makers and managers to gain a new perspective on the way events can be (re)organis</w:t>
      </w:r>
      <w:r w:rsidR="00C57C91">
        <w:rPr>
          <w:rFonts w:ascii="Garamond" w:hAnsi="Garamond"/>
          <w:sz w:val="20"/>
          <w:szCs w:val="20"/>
        </w:rPr>
        <w:t>ed and (re)engineered in a system</w:t>
      </w:r>
      <w:r w:rsidRPr="00CF1646">
        <w:rPr>
          <w:rFonts w:ascii="Garamond" w:hAnsi="Garamond"/>
          <w:sz w:val="20"/>
          <w:szCs w:val="20"/>
        </w:rPr>
        <w:t xml:space="preserve"> that produces a more equitable outcome for internal, </w:t>
      </w:r>
      <w:r w:rsidRPr="00CF1646">
        <w:rPr>
          <w:rFonts w:ascii="Garamond" w:hAnsi="Garamond"/>
          <w:sz w:val="20"/>
          <w:szCs w:val="20"/>
        </w:rPr>
        <w:lastRenderedPageBreak/>
        <w:t>incumbent – and - external, contingent stakeholders of such projects. Yet, liminality in conjunction with the context of large-scale sporting events like the Olympics has received little consideration and analysis, despite its usage in other event contexts (</w:t>
      </w:r>
      <w:proofErr w:type="spellStart"/>
      <w:r w:rsidRPr="00CF1646">
        <w:rPr>
          <w:rFonts w:ascii="Garamond" w:hAnsi="Garamond"/>
          <w:sz w:val="20"/>
          <w:szCs w:val="20"/>
        </w:rPr>
        <w:t>Chalip</w:t>
      </w:r>
      <w:proofErr w:type="spellEnd"/>
      <w:r w:rsidRPr="00CF1646">
        <w:rPr>
          <w:rFonts w:ascii="Garamond" w:hAnsi="Garamond"/>
          <w:sz w:val="20"/>
          <w:szCs w:val="20"/>
        </w:rPr>
        <w:t xml:space="preserve">, 2006, 2014, 2017; O’Brien &amp; </w:t>
      </w:r>
      <w:proofErr w:type="spellStart"/>
      <w:r w:rsidRPr="00CF1646">
        <w:rPr>
          <w:rFonts w:ascii="Garamond" w:hAnsi="Garamond"/>
          <w:sz w:val="20"/>
          <w:szCs w:val="20"/>
        </w:rPr>
        <w:t>Chalip</w:t>
      </w:r>
      <w:proofErr w:type="spellEnd"/>
      <w:r w:rsidRPr="00CF1646">
        <w:rPr>
          <w:rFonts w:ascii="Garamond" w:hAnsi="Garamond"/>
          <w:sz w:val="20"/>
          <w:szCs w:val="20"/>
        </w:rPr>
        <w:t xml:space="preserve">, 2006). Neglected too is a particular focus on the conditions and processes that inhibit or foster liminality and </w:t>
      </w:r>
      <w:proofErr w:type="spellStart"/>
      <w:r w:rsidRPr="00CF1646">
        <w:rPr>
          <w:rFonts w:ascii="Garamond" w:hAnsi="Garamond"/>
          <w:sz w:val="20"/>
          <w:szCs w:val="20"/>
        </w:rPr>
        <w:t>communitas</w:t>
      </w:r>
      <w:proofErr w:type="spellEnd"/>
      <w:r w:rsidRPr="00CF1646">
        <w:rPr>
          <w:rFonts w:ascii="Garamond" w:hAnsi="Garamond"/>
          <w:sz w:val="20"/>
          <w:szCs w:val="20"/>
        </w:rPr>
        <w:t xml:space="preserve"> in a </w:t>
      </w:r>
      <w:proofErr w:type="spellStart"/>
      <w:r w:rsidRPr="00CF1646">
        <w:rPr>
          <w:rFonts w:ascii="Garamond" w:hAnsi="Garamond"/>
          <w:sz w:val="20"/>
          <w:szCs w:val="20"/>
        </w:rPr>
        <w:t>giga</w:t>
      </w:r>
      <w:proofErr w:type="spellEnd"/>
      <w:r w:rsidRPr="00CF1646">
        <w:rPr>
          <w:rFonts w:ascii="Garamond" w:hAnsi="Garamond"/>
          <w:sz w:val="20"/>
          <w:szCs w:val="20"/>
        </w:rPr>
        <w:t xml:space="preserve"> and mega-sporting event situation (</w:t>
      </w:r>
      <w:proofErr w:type="spellStart"/>
      <w:r w:rsidRPr="00CF1646">
        <w:rPr>
          <w:rFonts w:ascii="Garamond" w:hAnsi="Garamond"/>
          <w:sz w:val="20"/>
          <w:szCs w:val="20"/>
        </w:rPr>
        <w:t>Chalip</w:t>
      </w:r>
      <w:proofErr w:type="spellEnd"/>
      <w:r w:rsidRPr="00CF1646">
        <w:rPr>
          <w:rFonts w:ascii="Garamond" w:hAnsi="Garamond"/>
          <w:sz w:val="20"/>
          <w:szCs w:val="20"/>
        </w:rPr>
        <w:t>, 2017).</w:t>
      </w:r>
    </w:p>
    <w:p w:rsidR="005B53CF" w:rsidRPr="00CF1646" w:rsidRDefault="005B53CF" w:rsidP="005B53CF">
      <w:pPr>
        <w:spacing w:line="480" w:lineRule="auto"/>
        <w:rPr>
          <w:rFonts w:ascii="Garamond" w:hAnsi="Garamond"/>
          <w:sz w:val="20"/>
          <w:szCs w:val="20"/>
        </w:rPr>
      </w:pPr>
      <w:r w:rsidRPr="00CF1646">
        <w:rPr>
          <w:rFonts w:ascii="Garamond" w:hAnsi="Garamond"/>
          <w:sz w:val="20"/>
          <w:szCs w:val="20"/>
        </w:rPr>
        <w:t xml:space="preserve">Liminal thinking distinguishes a break from the instrumental rationality school of thought (see earlier work of the Frankfurt School of Critical Theory, namely </w:t>
      </w:r>
      <w:proofErr w:type="spellStart"/>
      <w:r w:rsidRPr="00CF1646">
        <w:rPr>
          <w:rFonts w:ascii="Garamond" w:hAnsi="Garamond"/>
          <w:sz w:val="20"/>
          <w:szCs w:val="20"/>
        </w:rPr>
        <w:t>Habermas</w:t>
      </w:r>
      <w:proofErr w:type="spellEnd"/>
      <w:r w:rsidRPr="00CF1646">
        <w:rPr>
          <w:rFonts w:ascii="Garamond" w:hAnsi="Garamond"/>
          <w:sz w:val="20"/>
          <w:szCs w:val="20"/>
        </w:rPr>
        <w:t>) that most certainly guides the organisation of mega-sport events. Stemming directly from the field of anthropology (</w:t>
      </w:r>
      <w:r w:rsidR="004A257F">
        <w:rPr>
          <w:rFonts w:ascii="Garamond" w:hAnsi="Garamond"/>
          <w:sz w:val="20"/>
          <w:szCs w:val="20"/>
        </w:rPr>
        <w:t xml:space="preserve">e.g. </w:t>
      </w:r>
      <w:r w:rsidRPr="00CF1646">
        <w:rPr>
          <w:rFonts w:ascii="Garamond" w:hAnsi="Garamond"/>
          <w:sz w:val="20"/>
          <w:szCs w:val="20"/>
        </w:rPr>
        <w:t xml:space="preserve">Turner, Harris &amp; Park, 1983; </w:t>
      </w:r>
      <w:proofErr w:type="spellStart"/>
      <w:r w:rsidRPr="00CF1646">
        <w:rPr>
          <w:rFonts w:ascii="Garamond" w:hAnsi="Garamond"/>
          <w:sz w:val="20"/>
          <w:szCs w:val="20"/>
        </w:rPr>
        <w:t>Ziakas</w:t>
      </w:r>
      <w:proofErr w:type="spellEnd"/>
      <w:r w:rsidRPr="00CF1646">
        <w:rPr>
          <w:rFonts w:ascii="Garamond" w:hAnsi="Garamond"/>
          <w:sz w:val="20"/>
          <w:szCs w:val="20"/>
        </w:rPr>
        <w:t xml:space="preserve"> &amp; </w:t>
      </w:r>
      <w:proofErr w:type="spellStart"/>
      <w:r w:rsidRPr="00CF1646">
        <w:rPr>
          <w:rFonts w:ascii="Garamond" w:hAnsi="Garamond"/>
          <w:sz w:val="20"/>
          <w:szCs w:val="20"/>
        </w:rPr>
        <w:t>Boukas</w:t>
      </w:r>
      <w:proofErr w:type="spellEnd"/>
      <w:r w:rsidRPr="00CF1646">
        <w:rPr>
          <w:rFonts w:ascii="Garamond" w:hAnsi="Garamond"/>
          <w:sz w:val="20"/>
          <w:szCs w:val="20"/>
        </w:rPr>
        <w:t>, 2013), it offers an abstract, but deeper explanatory framework to indicate why – and most importantly for this paper: how – mega-sport events can build inclusionary environments that balance a range of global and local interests. As such, this focus frames and fuels our search for the ‘how’: namely, the physical and digital sites where liminality may exist. This is critical for emphasis</w:t>
      </w:r>
      <w:r w:rsidR="00C57C91">
        <w:rPr>
          <w:rFonts w:ascii="Garamond" w:hAnsi="Garamond"/>
          <w:sz w:val="20"/>
          <w:szCs w:val="20"/>
        </w:rPr>
        <w:t xml:space="preserve">ing ways to secure </w:t>
      </w:r>
      <w:r w:rsidRPr="00CF1646">
        <w:rPr>
          <w:rFonts w:ascii="Garamond" w:hAnsi="Garamond"/>
          <w:sz w:val="20"/>
          <w:szCs w:val="20"/>
        </w:rPr>
        <w:t xml:space="preserve">micro and small business benefits and promote conditions for local forms of entrepreneurship to flourish. Yet, as noted by </w:t>
      </w:r>
      <w:proofErr w:type="spellStart"/>
      <w:r w:rsidRPr="00CF1646">
        <w:rPr>
          <w:rFonts w:ascii="Garamond" w:hAnsi="Garamond"/>
          <w:sz w:val="20"/>
          <w:szCs w:val="20"/>
        </w:rPr>
        <w:t>Giulianotti</w:t>
      </w:r>
      <w:proofErr w:type="spellEnd"/>
      <w:r w:rsidRPr="00CF1646">
        <w:rPr>
          <w:rFonts w:ascii="Garamond" w:hAnsi="Garamond"/>
          <w:sz w:val="20"/>
          <w:szCs w:val="20"/>
        </w:rPr>
        <w:t xml:space="preserve"> et al., (2016): </w:t>
      </w:r>
    </w:p>
    <w:p w:rsidR="005B53CF" w:rsidRPr="00CF1646" w:rsidRDefault="005B53CF" w:rsidP="005B53CF">
      <w:pPr>
        <w:spacing w:line="480" w:lineRule="auto"/>
        <w:ind w:left="720"/>
        <w:rPr>
          <w:rFonts w:ascii="Garamond" w:hAnsi="Garamond"/>
          <w:sz w:val="20"/>
          <w:szCs w:val="20"/>
        </w:rPr>
      </w:pPr>
      <w:r w:rsidRPr="00CF1646">
        <w:rPr>
          <w:rFonts w:ascii="Garamond" w:hAnsi="Garamond"/>
          <w:i/>
          <w:sz w:val="20"/>
          <w:szCs w:val="20"/>
        </w:rPr>
        <w:t>‘the system (organisation of mega-sports events) has notable negative effects on economic activity, specifically for local businesses’ (…) and that ‘local stakeholders indicate that at the everyday level major Olympic related economic opportunities tended to bypass politically marginalised social groups’ (…) resulting in a ‘stark division between global and local economies’</w:t>
      </w:r>
      <w:r w:rsidRPr="00CF1646">
        <w:rPr>
          <w:rFonts w:ascii="Garamond" w:hAnsi="Garamond"/>
          <w:sz w:val="20"/>
          <w:szCs w:val="20"/>
        </w:rPr>
        <w:t xml:space="preserve"> (p. 131).</w:t>
      </w:r>
    </w:p>
    <w:p w:rsidR="005B53CF" w:rsidRPr="00CF1646" w:rsidRDefault="005B53CF" w:rsidP="005B53CF">
      <w:pPr>
        <w:spacing w:line="480" w:lineRule="auto"/>
        <w:rPr>
          <w:rFonts w:ascii="Garamond" w:hAnsi="Garamond"/>
          <w:sz w:val="20"/>
          <w:szCs w:val="20"/>
        </w:rPr>
      </w:pPr>
      <w:r w:rsidRPr="00CF1646">
        <w:rPr>
          <w:rFonts w:ascii="Garamond" w:hAnsi="Garamond"/>
          <w:sz w:val="20"/>
          <w:szCs w:val="20"/>
        </w:rPr>
        <w:t xml:space="preserve">By examining the different ways mega-sporting events can be disrupted, attempts can be fashioned to transform negative effects to positive effects for local, micro and smaller businesses, to </w:t>
      </w:r>
      <w:proofErr w:type="spellStart"/>
      <w:r w:rsidRPr="00CF1646">
        <w:rPr>
          <w:rFonts w:ascii="Garamond" w:hAnsi="Garamond"/>
          <w:sz w:val="20"/>
          <w:szCs w:val="20"/>
        </w:rPr>
        <w:t>visibilise</w:t>
      </w:r>
      <w:proofErr w:type="spellEnd"/>
      <w:r w:rsidRPr="00CF1646">
        <w:rPr>
          <w:rFonts w:ascii="Garamond" w:hAnsi="Garamond"/>
          <w:sz w:val="20"/>
          <w:szCs w:val="20"/>
        </w:rPr>
        <w:t xml:space="preserve"> this often-marginal social group, and bridge the divide between a project for a few – to a project for the many. Indeed, we recognise this thinking may come across as rather utopian, yet this is in line with Turner’s (1992) writing before the turn of the 21</w:t>
      </w:r>
      <w:r w:rsidRPr="00CF1646">
        <w:rPr>
          <w:rFonts w:ascii="Garamond" w:hAnsi="Garamond"/>
          <w:sz w:val="20"/>
          <w:szCs w:val="20"/>
          <w:vertAlign w:val="superscript"/>
        </w:rPr>
        <w:t>st</w:t>
      </w:r>
      <w:r w:rsidRPr="00CF1646">
        <w:rPr>
          <w:rFonts w:ascii="Garamond" w:hAnsi="Garamond"/>
          <w:sz w:val="20"/>
          <w:szCs w:val="20"/>
        </w:rPr>
        <w:t xml:space="preserve"> century, where he suggests liminality is inherently, ‘plural, fragmentary and experimental’ (…) ‘subversive’ in nature (…) providing a ‘radical critique of central structures and proposes a utopian model’ (p. 57). In effect, the aim of this chapter is to </w:t>
      </w:r>
      <w:r w:rsidR="00C57C91" w:rsidRPr="00C57C91">
        <w:rPr>
          <w:rFonts w:ascii="Garamond" w:hAnsi="Garamond"/>
          <w:sz w:val="20"/>
          <w:szCs w:val="20"/>
        </w:rPr>
        <w:t>consider the practices</w:t>
      </w:r>
      <w:r w:rsidRPr="00ED3225">
        <w:rPr>
          <w:rFonts w:ascii="Garamond" w:hAnsi="Garamond"/>
          <w:b/>
          <w:sz w:val="20"/>
          <w:szCs w:val="20"/>
        </w:rPr>
        <w:t xml:space="preserve"> </w:t>
      </w:r>
      <w:r w:rsidRPr="00CF1646">
        <w:rPr>
          <w:rFonts w:ascii="Garamond" w:hAnsi="Garamond"/>
          <w:sz w:val="20"/>
          <w:szCs w:val="20"/>
        </w:rPr>
        <w:t xml:space="preserve">events may be increasing democratised, where host cities may reflect and celebrate multidimensional conceptions (Healey, 2002), mobilise and invite marginal communities, like micro and small businesses to the Olympic party. Daring to dream and to be disruptive reflects our positionality: an </w:t>
      </w:r>
      <w:r w:rsidRPr="00CF1646">
        <w:rPr>
          <w:rFonts w:ascii="Garamond" w:hAnsi="Garamond"/>
          <w:sz w:val="20"/>
          <w:szCs w:val="20"/>
        </w:rPr>
        <w:lastRenderedPageBreak/>
        <w:t xml:space="preserve">alignment with Turner’s optimistic take on (re)configuring and transforming social, economic and organisational processes. </w:t>
      </w:r>
    </w:p>
    <w:p w:rsidR="005B53CF" w:rsidRPr="00CF1646" w:rsidRDefault="005B53CF" w:rsidP="005B53CF">
      <w:pPr>
        <w:spacing w:line="480" w:lineRule="auto"/>
        <w:rPr>
          <w:rFonts w:ascii="Garamond" w:hAnsi="Garamond"/>
          <w:sz w:val="20"/>
          <w:szCs w:val="20"/>
        </w:rPr>
      </w:pPr>
      <w:r w:rsidRPr="00CF1646">
        <w:rPr>
          <w:rFonts w:ascii="Garamond" w:hAnsi="Garamond"/>
          <w:sz w:val="20"/>
          <w:szCs w:val="20"/>
        </w:rPr>
        <w:t>Going one step further, what we do know about Turner’s liminal thinking, is the power of coming together and of collective celebration to subvert naturalised social and economic practice in society i.e. practices that marginalise, that exclude – like those described in the conte</w:t>
      </w:r>
      <w:r w:rsidR="00ED3225">
        <w:rPr>
          <w:rFonts w:ascii="Garamond" w:hAnsi="Garamond"/>
          <w:sz w:val="20"/>
          <w:szCs w:val="20"/>
        </w:rPr>
        <w:t>xt of the Olympic Games</w:t>
      </w:r>
      <w:r w:rsidRPr="00CF1646">
        <w:rPr>
          <w:rFonts w:ascii="Garamond" w:hAnsi="Garamond"/>
          <w:sz w:val="20"/>
          <w:szCs w:val="20"/>
        </w:rPr>
        <w:t xml:space="preserve"> (O’Brien &amp; </w:t>
      </w:r>
      <w:proofErr w:type="spellStart"/>
      <w:r w:rsidRPr="00CF1646">
        <w:rPr>
          <w:rFonts w:ascii="Garamond" w:hAnsi="Garamond"/>
          <w:sz w:val="20"/>
          <w:szCs w:val="20"/>
        </w:rPr>
        <w:t>Chalip</w:t>
      </w:r>
      <w:proofErr w:type="spellEnd"/>
      <w:r w:rsidRPr="00CF1646">
        <w:rPr>
          <w:rFonts w:ascii="Garamond" w:hAnsi="Garamond"/>
          <w:sz w:val="20"/>
          <w:szCs w:val="20"/>
        </w:rPr>
        <w:t>, 2007; Turner, 19</w:t>
      </w:r>
      <w:r w:rsidR="00ED3225">
        <w:rPr>
          <w:rFonts w:ascii="Garamond" w:hAnsi="Garamond"/>
          <w:sz w:val="20"/>
          <w:szCs w:val="20"/>
        </w:rPr>
        <w:t xml:space="preserve">92). Indeed, event </w:t>
      </w:r>
      <w:r w:rsidRPr="00CF1646">
        <w:rPr>
          <w:rFonts w:ascii="Garamond" w:hAnsi="Garamond"/>
          <w:sz w:val="20"/>
          <w:szCs w:val="20"/>
        </w:rPr>
        <w:t xml:space="preserve">activity heighten a community’s sense of place as argued by </w:t>
      </w:r>
      <w:proofErr w:type="spellStart"/>
      <w:r w:rsidRPr="00CF1646">
        <w:rPr>
          <w:rFonts w:ascii="Garamond" w:hAnsi="Garamond"/>
          <w:sz w:val="20"/>
          <w:szCs w:val="20"/>
        </w:rPr>
        <w:t>Cresswell</w:t>
      </w:r>
      <w:proofErr w:type="spellEnd"/>
      <w:r w:rsidRPr="00CF1646">
        <w:rPr>
          <w:rFonts w:ascii="Garamond" w:hAnsi="Garamond"/>
          <w:sz w:val="20"/>
          <w:szCs w:val="20"/>
        </w:rPr>
        <w:t xml:space="preserve"> (2014), perhaps even sacred yet usually existing within secular environments (O’Brien &amp; </w:t>
      </w:r>
      <w:proofErr w:type="spellStart"/>
      <w:r w:rsidRPr="00CF1646">
        <w:rPr>
          <w:rFonts w:ascii="Garamond" w:hAnsi="Garamond"/>
          <w:sz w:val="20"/>
          <w:szCs w:val="20"/>
        </w:rPr>
        <w:t>Chalip</w:t>
      </w:r>
      <w:proofErr w:type="spellEnd"/>
      <w:r w:rsidRPr="00CF1646">
        <w:rPr>
          <w:rFonts w:ascii="Garamond" w:hAnsi="Garamond"/>
          <w:sz w:val="20"/>
          <w:szCs w:val="20"/>
        </w:rPr>
        <w:t xml:space="preserve">, 2007; </w:t>
      </w:r>
      <w:proofErr w:type="spellStart"/>
      <w:r w:rsidRPr="00CF1646">
        <w:rPr>
          <w:rFonts w:ascii="Garamond" w:hAnsi="Garamond"/>
          <w:sz w:val="20"/>
          <w:szCs w:val="20"/>
        </w:rPr>
        <w:t>Ziakas</w:t>
      </w:r>
      <w:proofErr w:type="spellEnd"/>
      <w:r w:rsidRPr="00CF1646">
        <w:rPr>
          <w:rFonts w:ascii="Garamond" w:hAnsi="Garamond"/>
          <w:sz w:val="20"/>
          <w:szCs w:val="20"/>
        </w:rPr>
        <w:t xml:space="preserve"> &amp; </w:t>
      </w:r>
      <w:proofErr w:type="spellStart"/>
      <w:r w:rsidRPr="00CF1646">
        <w:rPr>
          <w:rFonts w:ascii="Garamond" w:hAnsi="Garamond"/>
          <w:sz w:val="20"/>
          <w:szCs w:val="20"/>
        </w:rPr>
        <w:t>Boukas</w:t>
      </w:r>
      <w:proofErr w:type="spellEnd"/>
      <w:r w:rsidRPr="00CF1646">
        <w:rPr>
          <w:rFonts w:ascii="Garamond" w:hAnsi="Garamond"/>
          <w:sz w:val="20"/>
          <w:szCs w:val="20"/>
        </w:rPr>
        <w:t xml:space="preserve">, 2013). </w:t>
      </w:r>
      <w:r w:rsidR="00C57C91">
        <w:rPr>
          <w:rFonts w:ascii="Garamond" w:hAnsi="Garamond"/>
          <w:sz w:val="20"/>
          <w:szCs w:val="20"/>
        </w:rPr>
        <w:t>L</w:t>
      </w:r>
      <w:r w:rsidR="00ED3225">
        <w:rPr>
          <w:rFonts w:ascii="Garamond" w:hAnsi="Garamond"/>
          <w:sz w:val="20"/>
          <w:szCs w:val="20"/>
        </w:rPr>
        <w:t>iminal practices</w:t>
      </w:r>
      <w:r w:rsidR="00C57C91">
        <w:rPr>
          <w:rFonts w:ascii="Garamond" w:hAnsi="Garamond"/>
          <w:sz w:val="20"/>
          <w:szCs w:val="20"/>
        </w:rPr>
        <w:t xml:space="preserve"> in events</w:t>
      </w:r>
      <w:r w:rsidR="00ED3225">
        <w:rPr>
          <w:rFonts w:ascii="Garamond" w:hAnsi="Garamond"/>
          <w:sz w:val="20"/>
          <w:szCs w:val="20"/>
        </w:rPr>
        <w:t xml:space="preserve"> can be viewed as </w:t>
      </w:r>
      <w:r w:rsidRPr="00CF1646">
        <w:rPr>
          <w:rFonts w:ascii="Garamond" w:hAnsi="Garamond"/>
          <w:sz w:val="20"/>
          <w:szCs w:val="20"/>
        </w:rPr>
        <w:t>a way of creating memorable and meaningful visitor experiences through experiential elements and animation of, let’s say, a host community (</w:t>
      </w:r>
      <w:proofErr w:type="spellStart"/>
      <w:r w:rsidRPr="00CF1646">
        <w:rPr>
          <w:rFonts w:ascii="Garamond" w:hAnsi="Garamond"/>
          <w:sz w:val="20"/>
          <w:szCs w:val="20"/>
        </w:rPr>
        <w:t>Voase</w:t>
      </w:r>
      <w:proofErr w:type="spellEnd"/>
      <w:r w:rsidRPr="00CF1646">
        <w:rPr>
          <w:rFonts w:ascii="Garamond" w:hAnsi="Garamond"/>
          <w:sz w:val="20"/>
          <w:szCs w:val="20"/>
        </w:rPr>
        <w:t>, 2018). Here, a ‘feel good’ factor and the celebratory atmosphere is created and maintained across the lifecycle of the project, a sort-of social camaraderie (</w:t>
      </w:r>
      <w:proofErr w:type="spellStart"/>
      <w:r w:rsidRPr="00CF1646">
        <w:rPr>
          <w:rFonts w:ascii="Garamond" w:hAnsi="Garamond"/>
          <w:sz w:val="20"/>
          <w:szCs w:val="20"/>
        </w:rPr>
        <w:t>Balduck</w:t>
      </w:r>
      <w:proofErr w:type="spellEnd"/>
      <w:r w:rsidRPr="00CF1646">
        <w:rPr>
          <w:rFonts w:ascii="Garamond" w:hAnsi="Garamond"/>
          <w:sz w:val="20"/>
          <w:szCs w:val="20"/>
        </w:rPr>
        <w:t xml:space="preserve">, </w:t>
      </w:r>
      <w:proofErr w:type="spellStart"/>
      <w:r w:rsidRPr="00CF1646">
        <w:rPr>
          <w:rFonts w:ascii="Garamond" w:hAnsi="Garamond"/>
          <w:sz w:val="20"/>
          <w:szCs w:val="20"/>
        </w:rPr>
        <w:t>Maes</w:t>
      </w:r>
      <w:proofErr w:type="spellEnd"/>
      <w:r w:rsidRPr="00CF1646">
        <w:rPr>
          <w:rFonts w:ascii="Garamond" w:hAnsi="Garamond"/>
          <w:sz w:val="20"/>
          <w:szCs w:val="20"/>
        </w:rPr>
        <w:t xml:space="preserve"> &amp; </w:t>
      </w:r>
      <w:proofErr w:type="spellStart"/>
      <w:r w:rsidRPr="00CF1646">
        <w:rPr>
          <w:rFonts w:ascii="Garamond" w:hAnsi="Garamond"/>
          <w:sz w:val="20"/>
          <w:szCs w:val="20"/>
        </w:rPr>
        <w:t>Buelens</w:t>
      </w:r>
      <w:proofErr w:type="spellEnd"/>
      <w:r w:rsidRPr="00CF1646">
        <w:rPr>
          <w:rFonts w:ascii="Garamond" w:hAnsi="Garamond"/>
          <w:sz w:val="20"/>
          <w:szCs w:val="20"/>
        </w:rPr>
        <w:t xml:space="preserve">, 2011). These key dimensions that foster liminality, </w:t>
      </w:r>
      <w:proofErr w:type="spellStart"/>
      <w:r w:rsidRPr="00CF1646">
        <w:rPr>
          <w:rFonts w:ascii="Garamond" w:hAnsi="Garamond"/>
          <w:sz w:val="20"/>
          <w:szCs w:val="20"/>
        </w:rPr>
        <w:t>liminoidal</w:t>
      </w:r>
      <w:proofErr w:type="spellEnd"/>
      <w:r w:rsidRPr="00CF1646">
        <w:rPr>
          <w:rFonts w:ascii="Garamond" w:hAnsi="Garamond"/>
          <w:sz w:val="20"/>
          <w:szCs w:val="20"/>
        </w:rPr>
        <w:t xml:space="preserve"> and ‘</w:t>
      </w:r>
      <w:proofErr w:type="spellStart"/>
      <w:r w:rsidRPr="00CF1646">
        <w:rPr>
          <w:rFonts w:ascii="Garamond" w:hAnsi="Garamond"/>
          <w:sz w:val="20"/>
          <w:szCs w:val="20"/>
        </w:rPr>
        <w:t>communitas</w:t>
      </w:r>
      <w:proofErr w:type="spellEnd"/>
      <w:r w:rsidRPr="00CF1646">
        <w:rPr>
          <w:rFonts w:ascii="Garamond" w:hAnsi="Garamond"/>
          <w:sz w:val="20"/>
          <w:szCs w:val="20"/>
        </w:rPr>
        <w:t>’ (</w:t>
      </w:r>
      <w:proofErr w:type="spellStart"/>
      <w:r w:rsidRPr="00CF1646">
        <w:rPr>
          <w:rFonts w:ascii="Garamond" w:hAnsi="Garamond"/>
          <w:sz w:val="20"/>
          <w:szCs w:val="20"/>
        </w:rPr>
        <w:t>Chalip</w:t>
      </w:r>
      <w:proofErr w:type="spellEnd"/>
      <w:r w:rsidRPr="00CF1646">
        <w:rPr>
          <w:rFonts w:ascii="Garamond" w:hAnsi="Garamond"/>
          <w:sz w:val="20"/>
          <w:szCs w:val="20"/>
        </w:rPr>
        <w:t>, 2006) have been applied theoretically and sector-specific across both leisure studies and cultural policy (</w:t>
      </w:r>
      <w:proofErr w:type="spellStart"/>
      <w:r w:rsidRPr="00CF1646">
        <w:rPr>
          <w:rFonts w:ascii="Garamond" w:eastAsia="Georgia" w:hAnsi="Garamond" w:cs="Georgia"/>
          <w:sz w:val="20"/>
          <w:szCs w:val="20"/>
        </w:rPr>
        <w:t>Thomassen</w:t>
      </w:r>
      <w:proofErr w:type="spellEnd"/>
      <w:r w:rsidRPr="00CF1646">
        <w:rPr>
          <w:rFonts w:ascii="Garamond" w:hAnsi="Garamond"/>
          <w:sz w:val="20"/>
          <w:szCs w:val="20"/>
        </w:rPr>
        <w:t xml:space="preserve">, 2014). </w:t>
      </w:r>
      <w:proofErr w:type="spellStart"/>
      <w:proofErr w:type="gramStart"/>
      <w:r w:rsidRPr="00CF1646">
        <w:rPr>
          <w:rFonts w:ascii="Garamond" w:hAnsi="Garamond"/>
          <w:sz w:val="20"/>
          <w:szCs w:val="20"/>
        </w:rPr>
        <w:t>Communitas</w:t>
      </w:r>
      <w:proofErr w:type="spellEnd"/>
      <w:r w:rsidRPr="00CF1646">
        <w:rPr>
          <w:rFonts w:ascii="Garamond" w:hAnsi="Garamond"/>
          <w:sz w:val="20"/>
          <w:szCs w:val="20"/>
        </w:rPr>
        <w:t>,</w:t>
      </w:r>
      <w:proofErr w:type="gramEnd"/>
      <w:r w:rsidRPr="00CF1646">
        <w:rPr>
          <w:rFonts w:ascii="Garamond" w:hAnsi="Garamond"/>
          <w:sz w:val="20"/>
          <w:szCs w:val="20"/>
        </w:rPr>
        <w:t xml:space="preserve"> refers to a sense of belonging – and of connectedness to, with and among a community – helping to create relationships between the host city, citizens, entrepreneurs and the event itself (</w:t>
      </w:r>
      <w:proofErr w:type="spellStart"/>
      <w:r w:rsidRPr="00CF1646">
        <w:rPr>
          <w:rFonts w:ascii="Garamond" w:hAnsi="Garamond"/>
          <w:sz w:val="20"/>
          <w:szCs w:val="20"/>
        </w:rPr>
        <w:t>Chalip</w:t>
      </w:r>
      <w:proofErr w:type="spellEnd"/>
      <w:r w:rsidRPr="00CF1646">
        <w:rPr>
          <w:rFonts w:ascii="Garamond" w:hAnsi="Garamond"/>
          <w:sz w:val="20"/>
          <w:szCs w:val="20"/>
        </w:rPr>
        <w:t xml:space="preserve">, 2017). Turner (1969, 1979) emphasises the symbiotic relationship between the liminal, </w:t>
      </w:r>
      <w:proofErr w:type="spellStart"/>
      <w:r w:rsidRPr="00CF1646">
        <w:rPr>
          <w:rFonts w:ascii="Garamond" w:hAnsi="Garamond"/>
          <w:sz w:val="20"/>
          <w:szCs w:val="20"/>
        </w:rPr>
        <w:t>liminoidal</w:t>
      </w:r>
      <w:proofErr w:type="spellEnd"/>
      <w:r w:rsidRPr="00CF1646">
        <w:rPr>
          <w:rFonts w:ascii="Garamond" w:hAnsi="Garamond"/>
          <w:sz w:val="20"/>
          <w:szCs w:val="20"/>
        </w:rPr>
        <w:t xml:space="preserve"> and </w:t>
      </w:r>
      <w:proofErr w:type="spellStart"/>
      <w:r w:rsidRPr="00CF1646">
        <w:rPr>
          <w:rFonts w:ascii="Garamond" w:hAnsi="Garamond"/>
          <w:sz w:val="20"/>
          <w:szCs w:val="20"/>
        </w:rPr>
        <w:t>communitas</w:t>
      </w:r>
      <w:proofErr w:type="spellEnd"/>
      <w:r w:rsidRPr="00CF1646">
        <w:rPr>
          <w:rFonts w:ascii="Garamond" w:hAnsi="Garamond"/>
          <w:sz w:val="20"/>
          <w:szCs w:val="20"/>
        </w:rPr>
        <w:t>, and as formulated later in this cha</w:t>
      </w:r>
      <w:r w:rsidR="00ED3225">
        <w:rPr>
          <w:rFonts w:ascii="Garamond" w:hAnsi="Garamond"/>
          <w:sz w:val="20"/>
          <w:szCs w:val="20"/>
        </w:rPr>
        <w:t>pter, the notion of rituals enabling these events</w:t>
      </w:r>
      <w:r w:rsidRPr="00CF1646">
        <w:rPr>
          <w:rFonts w:ascii="Garamond" w:hAnsi="Garamond"/>
          <w:sz w:val="20"/>
          <w:szCs w:val="20"/>
        </w:rPr>
        <w:t xml:space="preserve"> to traverse or even penetrate</w:t>
      </w:r>
      <w:r w:rsidR="00ED3225">
        <w:rPr>
          <w:rFonts w:ascii="Garamond" w:hAnsi="Garamond"/>
          <w:sz w:val="20"/>
          <w:szCs w:val="20"/>
        </w:rPr>
        <w:t xml:space="preserve"> the </w:t>
      </w:r>
      <w:r w:rsidRPr="00CF1646">
        <w:rPr>
          <w:rFonts w:ascii="Garamond" w:hAnsi="Garamond"/>
          <w:sz w:val="20"/>
          <w:szCs w:val="20"/>
        </w:rPr>
        <w:t>cond</w:t>
      </w:r>
      <w:r w:rsidR="00ED3225">
        <w:rPr>
          <w:rFonts w:ascii="Garamond" w:hAnsi="Garamond"/>
          <w:sz w:val="20"/>
          <w:szCs w:val="20"/>
        </w:rPr>
        <w:t>itions for positive outcomes attached to</w:t>
      </w:r>
      <w:r w:rsidRPr="00CF1646">
        <w:rPr>
          <w:rFonts w:ascii="Garamond" w:hAnsi="Garamond"/>
          <w:sz w:val="20"/>
          <w:szCs w:val="20"/>
        </w:rPr>
        <w:t xml:space="preserve"> certain social groups (i.e. in our case, micro and small businesses). Here, such concepts, when juxtaposed against the social and economic dilemmas of local marginalisation, helps to open up new lines of </w:t>
      </w:r>
      <w:proofErr w:type="spellStart"/>
      <w:r w:rsidRPr="00CF1646">
        <w:rPr>
          <w:rFonts w:ascii="Garamond" w:hAnsi="Garamond"/>
          <w:sz w:val="20"/>
          <w:szCs w:val="20"/>
        </w:rPr>
        <w:t>rhizomatic</w:t>
      </w:r>
      <w:proofErr w:type="spellEnd"/>
      <w:r w:rsidRPr="00CF1646">
        <w:rPr>
          <w:rFonts w:ascii="Garamond" w:hAnsi="Garamond"/>
          <w:sz w:val="20"/>
          <w:szCs w:val="20"/>
        </w:rPr>
        <w:t xml:space="preserve"> thinking (</w:t>
      </w:r>
      <w:proofErr w:type="spellStart"/>
      <w:r w:rsidRPr="00CF1646">
        <w:rPr>
          <w:rFonts w:ascii="Garamond" w:hAnsi="Garamond"/>
          <w:sz w:val="20"/>
          <w:szCs w:val="20"/>
        </w:rPr>
        <w:t>Deleuze</w:t>
      </w:r>
      <w:proofErr w:type="spellEnd"/>
      <w:r w:rsidRPr="00CF1646">
        <w:rPr>
          <w:rFonts w:ascii="Garamond" w:hAnsi="Garamond"/>
          <w:sz w:val="20"/>
          <w:szCs w:val="20"/>
        </w:rPr>
        <w:t xml:space="preserve"> &amp; </w:t>
      </w:r>
      <w:proofErr w:type="spellStart"/>
      <w:r w:rsidRPr="00CF1646">
        <w:rPr>
          <w:rFonts w:ascii="Garamond" w:hAnsi="Garamond"/>
          <w:sz w:val="20"/>
          <w:szCs w:val="20"/>
        </w:rPr>
        <w:t>Guattari</w:t>
      </w:r>
      <w:proofErr w:type="spellEnd"/>
      <w:r w:rsidRPr="00CF1646">
        <w:rPr>
          <w:rFonts w:ascii="Garamond" w:hAnsi="Garamond"/>
          <w:sz w:val="20"/>
          <w:szCs w:val="20"/>
        </w:rPr>
        <w:t xml:space="preserve">, 1987), a mode of creative resistance central for potentially transforming the fortunes of those on the margins of </w:t>
      </w:r>
      <w:proofErr w:type="spellStart"/>
      <w:r w:rsidRPr="00CF1646">
        <w:rPr>
          <w:rFonts w:ascii="Garamond" w:hAnsi="Garamond"/>
          <w:sz w:val="20"/>
          <w:szCs w:val="20"/>
        </w:rPr>
        <w:t>gi</w:t>
      </w:r>
      <w:r w:rsidR="00ED3225">
        <w:rPr>
          <w:rFonts w:ascii="Garamond" w:hAnsi="Garamond"/>
          <w:sz w:val="20"/>
          <w:szCs w:val="20"/>
        </w:rPr>
        <w:t>ga</w:t>
      </w:r>
      <w:proofErr w:type="spellEnd"/>
      <w:r w:rsidR="00ED3225">
        <w:rPr>
          <w:rFonts w:ascii="Garamond" w:hAnsi="Garamond"/>
          <w:sz w:val="20"/>
          <w:szCs w:val="20"/>
        </w:rPr>
        <w:t>-event planning and delivery.</w:t>
      </w:r>
    </w:p>
    <w:p w:rsidR="005B53CF" w:rsidRPr="00CF1646" w:rsidRDefault="005B53CF" w:rsidP="005B53CF">
      <w:pPr>
        <w:spacing w:line="480" w:lineRule="auto"/>
        <w:rPr>
          <w:rFonts w:ascii="Garamond" w:hAnsi="Garamond"/>
          <w:sz w:val="20"/>
          <w:szCs w:val="20"/>
        </w:rPr>
      </w:pPr>
      <w:r w:rsidRPr="00CF1646">
        <w:rPr>
          <w:rFonts w:ascii="Garamond" w:hAnsi="Garamond"/>
          <w:sz w:val="20"/>
          <w:szCs w:val="20"/>
        </w:rPr>
        <w:t xml:space="preserve">Turner (1979) defined three different, sequential forms of </w:t>
      </w:r>
      <w:proofErr w:type="spellStart"/>
      <w:r w:rsidRPr="00CF1646">
        <w:rPr>
          <w:rFonts w:ascii="Garamond" w:hAnsi="Garamond"/>
          <w:sz w:val="20"/>
          <w:szCs w:val="20"/>
        </w:rPr>
        <w:t>communitas</w:t>
      </w:r>
      <w:proofErr w:type="spellEnd"/>
      <w:r w:rsidRPr="00CF1646">
        <w:rPr>
          <w:rFonts w:ascii="Garamond" w:hAnsi="Garamond"/>
          <w:sz w:val="20"/>
          <w:szCs w:val="20"/>
        </w:rPr>
        <w:t xml:space="preserve">: </w:t>
      </w:r>
      <w:proofErr w:type="spellStart"/>
      <w:r w:rsidRPr="00CF1646">
        <w:rPr>
          <w:rFonts w:ascii="Garamond" w:hAnsi="Garamond"/>
          <w:sz w:val="20"/>
          <w:szCs w:val="20"/>
        </w:rPr>
        <w:t>i</w:t>
      </w:r>
      <w:proofErr w:type="spellEnd"/>
      <w:r w:rsidRPr="00CF1646">
        <w:rPr>
          <w:rFonts w:ascii="Garamond" w:hAnsi="Garamond"/>
          <w:sz w:val="20"/>
          <w:szCs w:val="20"/>
        </w:rPr>
        <w:t xml:space="preserve">) spontaneous, ii) ideological, and iii) normative, defined as: </w:t>
      </w:r>
    </w:p>
    <w:p w:rsidR="005B53CF" w:rsidRPr="00CF1646" w:rsidRDefault="005B53CF" w:rsidP="005B53CF">
      <w:pPr>
        <w:pStyle w:val="ListParagraph"/>
        <w:numPr>
          <w:ilvl w:val="0"/>
          <w:numId w:val="4"/>
        </w:numPr>
        <w:spacing w:line="480" w:lineRule="auto"/>
        <w:rPr>
          <w:rFonts w:ascii="Garamond" w:hAnsi="Garamond"/>
          <w:sz w:val="20"/>
          <w:szCs w:val="20"/>
        </w:rPr>
      </w:pPr>
      <w:r w:rsidRPr="00CF1646">
        <w:rPr>
          <w:rFonts w:ascii="Garamond" w:hAnsi="Garamond"/>
          <w:i/>
          <w:sz w:val="20"/>
          <w:szCs w:val="20"/>
        </w:rPr>
        <w:t>Spontaneous</w:t>
      </w:r>
      <w:r w:rsidRPr="00CF1646">
        <w:rPr>
          <w:rFonts w:ascii="Garamond" w:hAnsi="Garamond"/>
          <w:sz w:val="20"/>
          <w:szCs w:val="20"/>
        </w:rPr>
        <w:t xml:space="preserve">: types of interactions and experiences engendered temporally. For example, during the course of an </w:t>
      </w:r>
      <w:proofErr w:type="spellStart"/>
      <w:r w:rsidR="00C57C91">
        <w:rPr>
          <w:rFonts w:ascii="Garamond" w:hAnsi="Garamond"/>
          <w:sz w:val="20"/>
          <w:szCs w:val="20"/>
        </w:rPr>
        <w:t>giga</w:t>
      </w:r>
      <w:proofErr w:type="spellEnd"/>
      <w:r w:rsidR="00C57C91">
        <w:rPr>
          <w:rFonts w:ascii="Garamond" w:hAnsi="Garamond"/>
          <w:sz w:val="20"/>
          <w:szCs w:val="20"/>
        </w:rPr>
        <w:t>-</w:t>
      </w:r>
      <w:r w:rsidRPr="00CF1646">
        <w:rPr>
          <w:rFonts w:ascii="Garamond" w:hAnsi="Garamond"/>
          <w:sz w:val="20"/>
          <w:szCs w:val="20"/>
        </w:rPr>
        <w:t>event life cycle like the ‘pre-event’ (i.e. bidding, planning, preparation), ‘live staging’ (i.e. execution), and ‘post-event’ phase (i.e. closure and hand-over);</w:t>
      </w:r>
    </w:p>
    <w:p w:rsidR="005B53CF" w:rsidRPr="00CF1646" w:rsidRDefault="005B53CF" w:rsidP="005B53CF">
      <w:pPr>
        <w:pStyle w:val="ListParagraph"/>
        <w:numPr>
          <w:ilvl w:val="0"/>
          <w:numId w:val="4"/>
        </w:numPr>
        <w:spacing w:line="480" w:lineRule="auto"/>
        <w:rPr>
          <w:rFonts w:ascii="Garamond" w:hAnsi="Garamond"/>
          <w:sz w:val="20"/>
          <w:szCs w:val="20"/>
        </w:rPr>
      </w:pPr>
      <w:r w:rsidRPr="00CF1646">
        <w:rPr>
          <w:rFonts w:ascii="Garamond" w:hAnsi="Garamond"/>
          <w:i/>
          <w:sz w:val="20"/>
          <w:szCs w:val="20"/>
        </w:rPr>
        <w:lastRenderedPageBreak/>
        <w:t>Ideological</w:t>
      </w:r>
      <w:r w:rsidRPr="00CF1646">
        <w:rPr>
          <w:rFonts w:ascii="Garamond" w:hAnsi="Garamond"/>
          <w:sz w:val="20"/>
          <w:szCs w:val="20"/>
        </w:rPr>
        <w:t xml:space="preserve">: concepts which describe the interactions of spontaneous </w:t>
      </w:r>
      <w:proofErr w:type="spellStart"/>
      <w:r w:rsidRPr="00CF1646">
        <w:rPr>
          <w:rFonts w:ascii="Garamond" w:hAnsi="Garamond"/>
          <w:sz w:val="20"/>
          <w:szCs w:val="20"/>
        </w:rPr>
        <w:t>communitas</w:t>
      </w:r>
      <w:proofErr w:type="spellEnd"/>
      <w:r w:rsidRPr="00CF1646">
        <w:rPr>
          <w:rFonts w:ascii="Garamond" w:hAnsi="Garamond"/>
          <w:sz w:val="20"/>
          <w:szCs w:val="20"/>
        </w:rPr>
        <w:t>. This can be linked to policy drivers, political involvement and relationships between key stakeholders in the host city or region;</w:t>
      </w:r>
    </w:p>
    <w:p w:rsidR="005B53CF" w:rsidRPr="00CF1646" w:rsidRDefault="005B53CF" w:rsidP="005B53CF">
      <w:pPr>
        <w:pStyle w:val="ListParagraph"/>
        <w:numPr>
          <w:ilvl w:val="0"/>
          <w:numId w:val="4"/>
        </w:numPr>
        <w:spacing w:line="480" w:lineRule="auto"/>
        <w:rPr>
          <w:rFonts w:ascii="Garamond" w:hAnsi="Garamond"/>
          <w:sz w:val="20"/>
          <w:szCs w:val="20"/>
        </w:rPr>
      </w:pPr>
      <w:r w:rsidRPr="00CF1646">
        <w:rPr>
          <w:rFonts w:ascii="Garamond" w:hAnsi="Garamond"/>
          <w:i/>
          <w:sz w:val="20"/>
          <w:szCs w:val="20"/>
        </w:rPr>
        <w:t>Normative</w:t>
      </w:r>
      <w:r w:rsidRPr="00CF1646">
        <w:rPr>
          <w:rFonts w:ascii="Garamond" w:hAnsi="Garamond"/>
          <w:sz w:val="20"/>
          <w:szCs w:val="20"/>
        </w:rPr>
        <w:t xml:space="preserve">: a group hoping to </w:t>
      </w:r>
      <w:r w:rsidR="00ED3225">
        <w:rPr>
          <w:rFonts w:ascii="Garamond" w:hAnsi="Garamond"/>
          <w:sz w:val="20"/>
          <w:szCs w:val="20"/>
        </w:rPr>
        <w:t xml:space="preserve">derive and </w:t>
      </w:r>
      <w:r w:rsidRPr="00CF1646">
        <w:rPr>
          <w:rFonts w:ascii="Garamond" w:hAnsi="Garamond"/>
          <w:sz w:val="20"/>
          <w:szCs w:val="20"/>
        </w:rPr>
        <w:t xml:space="preserve">maintain lasting spontaneous </w:t>
      </w:r>
      <w:proofErr w:type="spellStart"/>
      <w:r w:rsidRPr="00CF1646">
        <w:rPr>
          <w:rFonts w:ascii="Garamond" w:hAnsi="Garamond"/>
          <w:sz w:val="20"/>
          <w:szCs w:val="20"/>
        </w:rPr>
        <w:t>communitas</w:t>
      </w:r>
      <w:proofErr w:type="spellEnd"/>
      <w:r w:rsidRPr="00CF1646">
        <w:rPr>
          <w:rFonts w:ascii="Garamond" w:hAnsi="Garamond"/>
          <w:sz w:val="20"/>
          <w:szCs w:val="20"/>
        </w:rPr>
        <w:t xml:space="preserve"> and relationships, such as the local organising committee or authority.</w:t>
      </w:r>
    </w:p>
    <w:p w:rsidR="005B53CF" w:rsidRPr="00CF1646" w:rsidRDefault="005B53CF" w:rsidP="005B53CF">
      <w:pPr>
        <w:spacing w:line="480" w:lineRule="auto"/>
        <w:rPr>
          <w:rFonts w:ascii="Garamond" w:hAnsi="Garamond"/>
          <w:sz w:val="20"/>
          <w:szCs w:val="20"/>
        </w:rPr>
      </w:pPr>
      <w:r w:rsidRPr="00CF1646">
        <w:rPr>
          <w:rFonts w:ascii="Garamond" w:hAnsi="Garamond"/>
          <w:sz w:val="20"/>
          <w:szCs w:val="20"/>
        </w:rPr>
        <w:t xml:space="preserve">Extending Turner’s earlier work </w:t>
      </w:r>
      <w:proofErr w:type="spellStart"/>
      <w:r w:rsidRPr="00CF1646">
        <w:rPr>
          <w:rFonts w:ascii="Garamond" w:eastAsia="Georgia" w:hAnsi="Garamond" w:cs="Georgia"/>
          <w:sz w:val="20"/>
          <w:szCs w:val="20"/>
        </w:rPr>
        <w:t>Thomassen</w:t>
      </w:r>
      <w:proofErr w:type="spellEnd"/>
      <w:r w:rsidRPr="00CF1646">
        <w:rPr>
          <w:rFonts w:ascii="Garamond" w:hAnsi="Garamond"/>
          <w:sz w:val="20"/>
          <w:szCs w:val="20"/>
        </w:rPr>
        <w:t xml:space="preserve"> (2009) demarcated three different types of liminal experiences: </w:t>
      </w:r>
    </w:p>
    <w:p w:rsidR="005B53CF" w:rsidRPr="00CF1646" w:rsidRDefault="005B53CF" w:rsidP="005B53CF">
      <w:pPr>
        <w:pStyle w:val="ListParagraph"/>
        <w:numPr>
          <w:ilvl w:val="0"/>
          <w:numId w:val="5"/>
        </w:numPr>
        <w:spacing w:line="480" w:lineRule="auto"/>
        <w:rPr>
          <w:rFonts w:ascii="Garamond" w:hAnsi="Garamond"/>
          <w:sz w:val="20"/>
          <w:szCs w:val="20"/>
        </w:rPr>
      </w:pPr>
      <w:r w:rsidRPr="00CF1646">
        <w:rPr>
          <w:rFonts w:ascii="Garamond" w:hAnsi="Garamond"/>
          <w:i/>
          <w:sz w:val="20"/>
          <w:szCs w:val="20"/>
        </w:rPr>
        <w:t>Subject</w:t>
      </w:r>
      <w:r w:rsidRPr="00CF1646">
        <w:rPr>
          <w:rFonts w:ascii="Garamond" w:hAnsi="Garamond"/>
          <w:sz w:val="20"/>
          <w:szCs w:val="20"/>
        </w:rPr>
        <w:t>: associated with three types of subject - single individuals (e.g. local organising committee members), social groups (e.g. community organisations) and whole societies (e.g. city citizens and the wider national population);</w:t>
      </w:r>
    </w:p>
    <w:p w:rsidR="005B53CF" w:rsidRPr="00CF1646" w:rsidRDefault="005B53CF" w:rsidP="005B53CF">
      <w:pPr>
        <w:pStyle w:val="ListParagraph"/>
        <w:numPr>
          <w:ilvl w:val="0"/>
          <w:numId w:val="5"/>
        </w:numPr>
        <w:spacing w:line="480" w:lineRule="auto"/>
        <w:rPr>
          <w:rFonts w:ascii="Garamond" w:hAnsi="Garamond"/>
          <w:sz w:val="20"/>
          <w:szCs w:val="20"/>
        </w:rPr>
      </w:pPr>
      <w:r w:rsidRPr="00CF1646">
        <w:rPr>
          <w:rFonts w:ascii="Garamond" w:hAnsi="Garamond"/>
          <w:i/>
          <w:sz w:val="20"/>
          <w:szCs w:val="20"/>
        </w:rPr>
        <w:t>Space</w:t>
      </w:r>
      <w:r w:rsidRPr="00CF1646">
        <w:rPr>
          <w:rFonts w:ascii="Garamond" w:hAnsi="Garamond"/>
          <w:sz w:val="20"/>
          <w:szCs w:val="20"/>
        </w:rPr>
        <w:t xml:space="preserve">: spatial aspects of liminality leading to the emergence of liminal experiences connected to geographical and/or specific zones. Turner (1984, p. 21) refers to as ‘rituals of the second type’ in public places like city squares (i.e. the multitude of official </w:t>
      </w:r>
      <w:proofErr w:type="spellStart"/>
      <w:r w:rsidRPr="00CF1646">
        <w:rPr>
          <w:rFonts w:ascii="Garamond" w:hAnsi="Garamond"/>
          <w:sz w:val="20"/>
          <w:szCs w:val="20"/>
        </w:rPr>
        <w:t>giga</w:t>
      </w:r>
      <w:proofErr w:type="spellEnd"/>
      <w:r w:rsidRPr="00CF1646">
        <w:rPr>
          <w:rFonts w:ascii="Garamond" w:hAnsi="Garamond"/>
          <w:sz w:val="20"/>
          <w:szCs w:val="20"/>
        </w:rPr>
        <w:t>-event spaces, like venues, Last Mile and Live Site areas across the host city and HEZs);</w:t>
      </w:r>
    </w:p>
    <w:p w:rsidR="005B53CF" w:rsidRPr="00CF1646" w:rsidRDefault="005B53CF" w:rsidP="005B53CF">
      <w:pPr>
        <w:pStyle w:val="ListParagraph"/>
        <w:numPr>
          <w:ilvl w:val="0"/>
          <w:numId w:val="5"/>
        </w:numPr>
        <w:spacing w:line="480" w:lineRule="auto"/>
        <w:rPr>
          <w:rFonts w:ascii="Garamond" w:hAnsi="Garamond"/>
          <w:sz w:val="20"/>
          <w:szCs w:val="20"/>
        </w:rPr>
      </w:pPr>
      <w:r w:rsidRPr="00CF1646">
        <w:rPr>
          <w:rFonts w:ascii="Garamond" w:hAnsi="Garamond"/>
          <w:i/>
          <w:sz w:val="20"/>
          <w:szCs w:val="20"/>
        </w:rPr>
        <w:t>Time</w:t>
      </w:r>
      <w:r w:rsidRPr="00CF1646">
        <w:rPr>
          <w:rFonts w:ascii="Garamond" w:hAnsi="Garamond"/>
          <w:sz w:val="20"/>
          <w:szCs w:val="20"/>
        </w:rPr>
        <w:t xml:space="preserve">: temporal dimensions of liminality interspersed by moments: short-term, longer-term, and epochs. In this case, various project deliverables (i.e. </w:t>
      </w:r>
      <w:r w:rsidR="009430AB">
        <w:rPr>
          <w:rFonts w:ascii="Garamond" w:hAnsi="Garamond"/>
          <w:sz w:val="20"/>
          <w:szCs w:val="20"/>
        </w:rPr>
        <w:t xml:space="preserve">the </w:t>
      </w:r>
      <w:r w:rsidRPr="00CF1646">
        <w:rPr>
          <w:rFonts w:ascii="Garamond" w:hAnsi="Garamond"/>
          <w:sz w:val="20"/>
          <w:szCs w:val="20"/>
        </w:rPr>
        <w:t>planning of the Cultural Olympiad programme 4 years prior to the Games), the immediate live staging phase, through to the post-Games legacy intergenerational city or regional effects.</w:t>
      </w:r>
    </w:p>
    <w:p w:rsidR="005B53CF" w:rsidRPr="00CF1646" w:rsidRDefault="005B53CF" w:rsidP="005B53CF">
      <w:pPr>
        <w:spacing w:line="480" w:lineRule="auto"/>
        <w:rPr>
          <w:rFonts w:ascii="Garamond" w:hAnsi="Garamond"/>
          <w:sz w:val="20"/>
          <w:szCs w:val="20"/>
        </w:rPr>
      </w:pPr>
      <w:r w:rsidRPr="00CF1646">
        <w:rPr>
          <w:rFonts w:ascii="Garamond" w:hAnsi="Garamond"/>
          <w:sz w:val="20"/>
          <w:szCs w:val="20"/>
        </w:rPr>
        <w:t xml:space="preserve">It is within these liminal and </w:t>
      </w:r>
      <w:proofErr w:type="spellStart"/>
      <w:r w:rsidRPr="00CF1646">
        <w:rPr>
          <w:rFonts w:ascii="Garamond" w:hAnsi="Garamond"/>
          <w:sz w:val="20"/>
          <w:szCs w:val="20"/>
        </w:rPr>
        <w:t>liminoidal</w:t>
      </w:r>
      <w:proofErr w:type="spellEnd"/>
      <w:r w:rsidRPr="00CF1646">
        <w:rPr>
          <w:rFonts w:ascii="Garamond" w:hAnsi="Garamond"/>
          <w:sz w:val="20"/>
          <w:szCs w:val="20"/>
        </w:rPr>
        <w:t xml:space="preserve"> conditions that a sort-of ‘social limbo</w:t>
      </w:r>
      <w:r w:rsidR="009A70C7">
        <w:rPr>
          <w:rFonts w:ascii="Garamond" w:hAnsi="Garamond"/>
          <w:sz w:val="20"/>
          <w:szCs w:val="20"/>
        </w:rPr>
        <w:t>’ may be fostered with the force</w:t>
      </w:r>
      <w:r w:rsidRPr="00CF1646">
        <w:rPr>
          <w:rFonts w:ascii="Garamond" w:hAnsi="Garamond"/>
          <w:sz w:val="20"/>
          <w:szCs w:val="20"/>
        </w:rPr>
        <w:t xml:space="preserve"> to reconfigure social, economic, power and spatial relations (</w:t>
      </w:r>
      <w:proofErr w:type="spellStart"/>
      <w:r w:rsidRPr="00CF1646">
        <w:rPr>
          <w:rFonts w:ascii="Garamond" w:eastAsia="Georgia" w:hAnsi="Garamond" w:cs="Georgia"/>
          <w:sz w:val="20"/>
          <w:szCs w:val="20"/>
        </w:rPr>
        <w:t>Thomassen</w:t>
      </w:r>
      <w:proofErr w:type="spellEnd"/>
      <w:r w:rsidRPr="00CF1646">
        <w:rPr>
          <w:rFonts w:ascii="Garamond" w:hAnsi="Garamond"/>
          <w:sz w:val="20"/>
          <w:szCs w:val="20"/>
        </w:rPr>
        <w:t xml:space="preserve">, 2016) – as described earlier as a key justification for this conceptual frame. Here, rather paradoxically, events can be seen as both simultaneously producing and resisting modes of domination, whilst offering an opportunity to subvert naturalised hierarchy and dominant values that we have come to expect of neoliberal environments (Getz, 2005). As noted earlier, we purposively focus on the power of events – as liminal spaces – to promote non-dominant values in less rigid, highly circumscribed and prescriptive spaces (Caudwell &amp; Rinehart, 2014). Spaces free from the forces that determine action, offering freedom from the ties that control behaviour and typify the mundanity of everyday life (Shields, 1990), </w:t>
      </w:r>
      <w:r w:rsidR="009430AB">
        <w:rPr>
          <w:rFonts w:ascii="Garamond" w:hAnsi="Garamond"/>
          <w:sz w:val="20"/>
          <w:szCs w:val="20"/>
        </w:rPr>
        <w:t>t</w:t>
      </w:r>
      <w:r w:rsidRPr="00CF1646">
        <w:rPr>
          <w:rFonts w:ascii="Garamond" w:hAnsi="Garamond"/>
          <w:sz w:val="20"/>
          <w:szCs w:val="20"/>
        </w:rPr>
        <w:t>his complemented by the modification and transformation of existing behaviours that promote non-traditional behaviour (</w:t>
      </w:r>
      <w:r w:rsidR="009430AB">
        <w:rPr>
          <w:rFonts w:ascii="Garamond" w:hAnsi="Garamond"/>
          <w:sz w:val="20"/>
          <w:szCs w:val="20"/>
        </w:rPr>
        <w:t>Robinson, 2006).</w:t>
      </w:r>
    </w:p>
    <w:p w:rsidR="005B53CF" w:rsidRPr="00CF1646" w:rsidRDefault="005B53CF" w:rsidP="005B53CF">
      <w:pPr>
        <w:spacing w:line="480" w:lineRule="auto"/>
        <w:rPr>
          <w:rFonts w:ascii="Garamond" w:hAnsi="Garamond"/>
          <w:b/>
          <w:sz w:val="20"/>
          <w:szCs w:val="20"/>
        </w:rPr>
      </w:pPr>
      <w:r w:rsidRPr="00CF1646">
        <w:rPr>
          <w:rFonts w:ascii="Garamond" w:hAnsi="Garamond"/>
          <w:b/>
          <w:sz w:val="20"/>
          <w:szCs w:val="20"/>
        </w:rPr>
        <w:lastRenderedPageBreak/>
        <w:t xml:space="preserve">Disrupting ‘corporate </w:t>
      </w:r>
      <w:proofErr w:type="spellStart"/>
      <w:r w:rsidRPr="00CF1646">
        <w:rPr>
          <w:rFonts w:ascii="Garamond" w:hAnsi="Garamond"/>
          <w:b/>
          <w:sz w:val="20"/>
          <w:szCs w:val="20"/>
        </w:rPr>
        <w:t>kettling</w:t>
      </w:r>
      <w:proofErr w:type="spellEnd"/>
      <w:r w:rsidRPr="00CF1646">
        <w:rPr>
          <w:rFonts w:ascii="Garamond" w:hAnsi="Garamond"/>
          <w:b/>
          <w:sz w:val="20"/>
          <w:szCs w:val="20"/>
        </w:rPr>
        <w:t>’: ‘Neoliberal consumption’ to ‘critical consumption’</w:t>
      </w:r>
    </w:p>
    <w:p w:rsidR="005B53CF" w:rsidRPr="00CF1646" w:rsidRDefault="005B53CF" w:rsidP="005B53CF">
      <w:pPr>
        <w:spacing w:line="480" w:lineRule="auto"/>
        <w:rPr>
          <w:rFonts w:ascii="Garamond" w:hAnsi="Garamond"/>
          <w:sz w:val="20"/>
          <w:szCs w:val="20"/>
        </w:rPr>
      </w:pPr>
      <w:r w:rsidRPr="00CF1646">
        <w:rPr>
          <w:rFonts w:ascii="Garamond" w:hAnsi="Garamond"/>
          <w:sz w:val="20"/>
          <w:szCs w:val="20"/>
        </w:rPr>
        <w:t xml:space="preserve">Let’s take this one step further. What we are really talking about, beyond the abstractions, are the rather </w:t>
      </w:r>
      <w:r w:rsidRPr="00CF1646">
        <w:rPr>
          <w:rFonts w:ascii="Garamond" w:hAnsi="Garamond"/>
          <w:i/>
          <w:sz w:val="20"/>
          <w:szCs w:val="20"/>
        </w:rPr>
        <w:t>real</w:t>
      </w:r>
      <w:r w:rsidRPr="00CF1646">
        <w:rPr>
          <w:rFonts w:ascii="Garamond" w:hAnsi="Garamond"/>
          <w:sz w:val="20"/>
          <w:szCs w:val="20"/>
        </w:rPr>
        <w:t xml:space="preserve"> issues around where event visitor economies spend and consume. When we talk about the marginalisation of host communities, specifically micro and small businesses and local forms of entrepreneurship in the case of this chapter, we mean the specific ways flows and circulations of people – both residents, regular visitors and event tourists – are reconfigured to spend in non-local spaces (McGillivray &amp; Frew, 2015). By non-local spaces, we are concerned with diverting both the visitor gaze (</w:t>
      </w:r>
      <w:proofErr w:type="spellStart"/>
      <w:r w:rsidRPr="00CF1646">
        <w:rPr>
          <w:rFonts w:ascii="Garamond" w:hAnsi="Garamond"/>
          <w:sz w:val="20"/>
          <w:szCs w:val="20"/>
        </w:rPr>
        <w:t>Urry</w:t>
      </w:r>
      <w:proofErr w:type="spellEnd"/>
      <w:r w:rsidRPr="00CF1646">
        <w:rPr>
          <w:rFonts w:ascii="Garamond" w:hAnsi="Garamond"/>
          <w:sz w:val="20"/>
          <w:szCs w:val="20"/>
        </w:rPr>
        <w:t>, 2002) and consumption toward official Host Event Zones (HEZs) lined with official sponsors, supporters and suppliers. Unquestionably, the commodity of urban space, place and even other cultural attractions like renowned beaches (i.e. Copacabana, for Rio 2016 Olympic Games) and UNESCO World Heritage sites (i.e. Greenwich, for London 2012 Olympic Games) are transformed into sites of official sports, cultural and commercial activity – a costly endeavour (</w:t>
      </w:r>
      <w:r w:rsidRPr="00CF1646">
        <w:rPr>
          <w:rFonts w:ascii="Garamond" w:eastAsia="Georgia" w:hAnsi="Garamond" w:cs="Georgia"/>
          <w:sz w:val="20"/>
          <w:szCs w:val="20"/>
        </w:rPr>
        <w:t>Müller</w:t>
      </w:r>
      <w:r w:rsidRPr="00CF1646">
        <w:rPr>
          <w:rFonts w:ascii="Garamond" w:hAnsi="Garamond"/>
          <w:sz w:val="20"/>
          <w:szCs w:val="20"/>
        </w:rPr>
        <w:t xml:space="preserve">, 2015). Giga events not only take over central, touristic urban spaces but also dramatically impact residential neighbourhoods. </w:t>
      </w:r>
      <w:proofErr w:type="gramStart"/>
      <w:r w:rsidRPr="00CF1646">
        <w:rPr>
          <w:rFonts w:ascii="Garamond" w:hAnsi="Garamond"/>
          <w:sz w:val="20"/>
          <w:szCs w:val="20"/>
        </w:rPr>
        <w:t>Albeit</w:t>
      </w:r>
      <w:r w:rsidR="009A70C7">
        <w:rPr>
          <w:rFonts w:ascii="Garamond" w:hAnsi="Garamond"/>
          <w:sz w:val="20"/>
          <w:szCs w:val="20"/>
        </w:rPr>
        <w:t xml:space="preserve"> temporarily, they reshape</w:t>
      </w:r>
      <w:r w:rsidRPr="00CF1646">
        <w:rPr>
          <w:rFonts w:ascii="Garamond" w:hAnsi="Garamond"/>
          <w:sz w:val="20"/>
          <w:szCs w:val="20"/>
        </w:rPr>
        <w:t xml:space="preserve"> and disrupt the social, economic and spatial relations between stakeholders at both the national</w:t>
      </w:r>
      <w:r w:rsidR="00A80792">
        <w:rPr>
          <w:rFonts w:ascii="Garamond" w:hAnsi="Garamond"/>
          <w:sz w:val="20"/>
          <w:szCs w:val="20"/>
        </w:rPr>
        <w:t>, regional and community level.</w:t>
      </w:r>
      <w:proofErr w:type="gramEnd"/>
    </w:p>
    <w:p w:rsidR="005B53CF" w:rsidRPr="00CF1646" w:rsidRDefault="005B53CF" w:rsidP="005B53CF">
      <w:pPr>
        <w:spacing w:line="480" w:lineRule="auto"/>
        <w:rPr>
          <w:rFonts w:ascii="Garamond" w:hAnsi="Garamond"/>
          <w:sz w:val="20"/>
          <w:szCs w:val="20"/>
        </w:rPr>
      </w:pPr>
      <w:r w:rsidRPr="00CF1646">
        <w:rPr>
          <w:rFonts w:ascii="Garamond" w:hAnsi="Garamond"/>
          <w:sz w:val="20"/>
          <w:szCs w:val="20"/>
        </w:rPr>
        <w:t>Numerous authors, including Osborne and Smith (2016) describe commoditised and corporate urban spaces as ‘</w:t>
      </w:r>
      <w:proofErr w:type="spellStart"/>
      <w:r w:rsidRPr="00CF1646">
        <w:rPr>
          <w:rFonts w:ascii="Garamond" w:hAnsi="Garamond"/>
          <w:sz w:val="20"/>
          <w:szCs w:val="20"/>
        </w:rPr>
        <w:t>brandscapes</w:t>
      </w:r>
      <w:proofErr w:type="spellEnd"/>
      <w:r w:rsidRPr="00CF1646">
        <w:rPr>
          <w:rFonts w:ascii="Garamond" w:hAnsi="Garamond"/>
          <w:sz w:val="20"/>
          <w:szCs w:val="20"/>
        </w:rPr>
        <w:t xml:space="preserve">’ – where targeted urban spaces are dressed in the 5 Olympic rings regalia and littered with multinational global organisations and chains that pay for the ‘right’ to be there (McGillivray &amp; Frew, 2015). According to McGillivray and Frew, in the context of London 2012, the city was, ‘kneeling at the altar of the Olympic brand’ (2015, p. 2658). </w:t>
      </w:r>
      <w:proofErr w:type="spellStart"/>
      <w:r w:rsidRPr="00CF1646">
        <w:rPr>
          <w:rFonts w:ascii="Garamond" w:hAnsi="Garamond"/>
          <w:sz w:val="20"/>
          <w:szCs w:val="20"/>
        </w:rPr>
        <w:t>Giulianotti</w:t>
      </w:r>
      <w:proofErr w:type="spellEnd"/>
      <w:r w:rsidRPr="00CF1646">
        <w:rPr>
          <w:rFonts w:ascii="Garamond" w:hAnsi="Garamond"/>
          <w:sz w:val="20"/>
          <w:szCs w:val="20"/>
        </w:rPr>
        <w:t xml:space="preserve"> et </w:t>
      </w:r>
      <w:proofErr w:type="spellStart"/>
      <w:r w:rsidRPr="00CF1646">
        <w:rPr>
          <w:rFonts w:ascii="Garamond" w:hAnsi="Garamond"/>
          <w:sz w:val="20"/>
          <w:szCs w:val="20"/>
        </w:rPr>
        <w:t>al’s</w:t>
      </w:r>
      <w:proofErr w:type="spellEnd"/>
      <w:r w:rsidRPr="00CF1646">
        <w:rPr>
          <w:rFonts w:ascii="Garamond" w:hAnsi="Garamond"/>
          <w:sz w:val="20"/>
          <w:szCs w:val="20"/>
        </w:rPr>
        <w:t xml:space="preserve"> (2016) analysis go one step further, exemplifying how transit spaces are subject to ‘corporate </w:t>
      </w:r>
      <w:proofErr w:type="spellStart"/>
      <w:r w:rsidRPr="00CF1646">
        <w:rPr>
          <w:rFonts w:ascii="Garamond" w:hAnsi="Garamond"/>
          <w:sz w:val="20"/>
          <w:szCs w:val="20"/>
        </w:rPr>
        <w:t>kettling</w:t>
      </w:r>
      <w:proofErr w:type="spellEnd"/>
      <w:r w:rsidRPr="00CF1646">
        <w:rPr>
          <w:rFonts w:ascii="Garamond" w:hAnsi="Garamond"/>
          <w:sz w:val="20"/>
          <w:szCs w:val="20"/>
        </w:rPr>
        <w:t>’, detailing how routes to venues are crafted to maximise corporate spending. They note how for London, visitors were corralled through ‘Westfield’ shopping centre to and from the Queen Elizabeth Olympic Park, situated in Stratford, Newham – away from the old town centre: home to non-official, local interests (Armstrong et al., 2017). Often, this occurred across other geographies: Central Greenwich (Vlachos, 2016), Hackney (</w:t>
      </w:r>
      <w:proofErr w:type="spellStart"/>
      <w:r w:rsidRPr="00CF1646">
        <w:rPr>
          <w:rFonts w:ascii="Garamond" w:hAnsi="Garamond"/>
          <w:sz w:val="20"/>
          <w:szCs w:val="20"/>
        </w:rPr>
        <w:t>Pappalepore</w:t>
      </w:r>
      <w:proofErr w:type="spellEnd"/>
      <w:r w:rsidRPr="00CF1646">
        <w:rPr>
          <w:rFonts w:ascii="Garamond" w:hAnsi="Garamond"/>
          <w:sz w:val="20"/>
          <w:szCs w:val="20"/>
        </w:rPr>
        <w:t xml:space="preserve"> &amp; Duignan, 2016) – a challenge regularly featured by national and regional media outlets (e.g. Financial Times, 2012) and UK Government policy analysis too (e.g. Federation of Small Businesses, 2013; London Chamber of Commerce and Industry, 2012). However, the (re)diversion of visitor economies toward official sites of corporate consumption may well result in what is denoted as ‘economic leakage’ (Mills and </w:t>
      </w:r>
      <w:proofErr w:type="spellStart"/>
      <w:r w:rsidRPr="00CF1646">
        <w:rPr>
          <w:rFonts w:ascii="Garamond" w:hAnsi="Garamond"/>
          <w:sz w:val="20"/>
          <w:szCs w:val="20"/>
        </w:rPr>
        <w:t>Rosentraub</w:t>
      </w:r>
      <w:proofErr w:type="spellEnd"/>
      <w:r w:rsidRPr="00CF1646">
        <w:rPr>
          <w:rFonts w:ascii="Garamond" w:hAnsi="Garamond"/>
          <w:sz w:val="20"/>
          <w:szCs w:val="20"/>
        </w:rPr>
        <w:t xml:space="preserve">, </w:t>
      </w:r>
      <w:r w:rsidRPr="00CF1646">
        <w:rPr>
          <w:rFonts w:ascii="Garamond" w:hAnsi="Garamond"/>
          <w:sz w:val="20"/>
          <w:szCs w:val="20"/>
        </w:rPr>
        <w:lastRenderedPageBreak/>
        <w:t xml:space="preserve">2013). Effectively, economic leakage refers to the process whereby money spent – quite literally – leaks out of the local economy, and is not circulated in the locality and/or region. For example, this occurs when consumers opt to spend in global chains over local independent businesses. This is a particular challenge in the era of credit and the digitised economy, as revenue streams are directed toward centralised banking systems at international headquarters (i.e. Lausanne, Switzerland - headquarters of the International Olympic Committee, IOC), as opposed to </w:t>
      </w:r>
      <w:r w:rsidR="00A80792">
        <w:rPr>
          <w:rFonts w:ascii="Garamond" w:hAnsi="Garamond"/>
          <w:sz w:val="20"/>
          <w:szCs w:val="20"/>
        </w:rPr>
        <w:t>being retained</w:t>
      </w:r>
      <w:r w:rsidRPr="00CF1646">
        <w:rPr>
          <w:rFonts w:ascii="Garamond" w:hAnsi="Garamond"/>
          <w:sz w:val="20"/>
          <w:szCs w:val="20"/>
        </w:rPr>
        <w:t xml:space="preserve"> in the pockets of local people (Duignan et al., 2017). As a result, the economic benefits of consumption are diluted or lost: a frequent concern in the context of large-scale events</w:t>
      </w:r>
      <w:r w:rsidR="00A80792">
        <w:rPr>
          <w:rFonts w:ascii="Garamond" w:hAnsi="Garamond"/>
          <w:sz w:val="20"/>
          <w:szCs w:val="20"/>
        </w:rPr>
        <w:t xml:space="preserve"> (</w:t>
      </w:r>
      <w:r w:rsidRPr="00CF1646">
        <w:rPr>
          <w:rFonts w:ascii="Garamond" w:hAnsi="Garamond"/>
          <w:sz w:val="20"/>
          <w:szCs w:val="20"/>
        </w:rPr>
        <w:t>Osbourne &amp; Smith, 2016), primarily</w:t>
      </w:r>
      <w:r w:rsidR="00A80792">
        <w:rPr>
          <w:rFonts w:ascii="Garamond" w:hAnsi="Garamond"/>
          <w:sz w:val="20"/>
          <w:szCs w:val="20"/>
        </w:rPr>
        <w:t xml:space="preserve"> mega-sporting events (</w:t>
      </w:r>
      <w:r w:rsidRPr="00CF1646">
        <w:rPr>
          <w:rFonts w:ascii="Garamond" w:hAnsi="Garamond"/>
          <w:sz w:val="20"/>
          <w:szCs w:val="20"/>
        </w:rPr>
        <w:t xml:space="preserve">Armstrong et al., 2017; Vlachos, 2016). </w:t>
      </w:r>
      <w:proofErr w:type="spellStart"/>
      <w:r w:rsidRPr="00CF1646">
        <w:rPr>
          <w:rFonts w:ascii="Garamond" w:hAnsi="Garamond"/>
          <w:sz w:val="20"/>
          <w:szCs w:val="20"/>
        </w:rPr>
        <w:t>Chalip</w:t>
      </w:r>
      <w:proofErr w:type="spellEnd"/>
      <w:r w:rsidRPr="00CF1646">
        <w:rPr>
          <w:rFonts w:ascii="Garamond" w:hAnsi="Garamond"/>
          <w:sz w:val="20"/>
          <w:szCs w:val="20"/>
        </w:rPr>
        <w:t xml:space="preserve"> (2004) argues that in order to secure positive event-related benefits (direct, indirect and induced) for the host community, spectator consumption must remain and spread within the locality.</w:t>
      </w:r>
    </w:p>
    <w:p w:rsidR="005B53CF" w:rsidRPr="00CF1646" w:rsidRDefault="005B53CF" w:rsidP="005B53CF">
      <w:pPr>
        <w:spacing w:line="480" w:lineRule="auto"/>
        <w:rPr>
          <w:rFonts w:ascii="Garamond" w:hAnsi="Garamond"/>
          <w:b/>
          <w:sz w:val="20"/>
          <w:szCs w:val="20"/>
        </w:rPr>
      </w:pPr>
      <w:r w:rsidRPr="00CF1646">
        <w:rPr>
          <w:rFonts w:ascii="Garamond" w:hAnsi="Garamond"/>
          <w:b/>
          <w:sz w:val="20"/>
          <w:szCs w:val="20"/>
        </w:rPr>
        <w:t xml:space="preserve">Mapping sites of liminality and extending the ‘Festival-Event-Leverage Complex’ </w:t>
      </w:r>
    </w:p>
    <w:p w:rsidR="005B53CF" w:rsidRPr="00CF1646" w:rsidRDefault="005B53CF" w:rsidP="005B53CF">
      <w:pPr>
        <w:spacing w:line="480" w:lineRule="auto"/>
        <w:rPr>
          <w:rFonts w:ascii="Garamond" w:hAnsi="Garamond"/>
          <w:sz w:val="20"/>
          <w:szCs w:val="20"/>
        </w:rPr>
      </w:pPr>
      <w:r w:rsidRPr="00CF1646">
        <w:rPr>
          <w:rFonts w:ascii="Garamond" w:hAnsi="Garamond"/>
          <w:sz w:val="20"/>
          <w:szCs w:val="20"/>
        </w:rPr>
        <w:t>In search for sites of liminality, researchers may play close attention to networked relationships between stakeholders within the setting of large-scale events (</w:t>
      </w:r>
      <w:r w:rsidR="00A80792">
        <w:rPr>
          <w:rFonts w:ascii="Garamond" w:hAnsi="Garamond"/>
          <w:sz w:val="20"/>
          <w:szCs w:val="20"/>
        </w:rPr>
        <w:t>Duignan et al., 2017;</w:t>
      </w:r>
      <w:r w:rsidRPr="00CF1646">
        <w:rPr>
          <w:rFonts w:ascii="Garamond" w:hAnsi="Garamond"/>
          <w:sz w:val="20"/>
          <w:szCs w:val="20"/>
        </w:rPr>
        <w:t xml:space="preserve"> Peachey, Borland, </w:t>
      </w:r>
      <w:proofErr w:type="spellStart"/>
      <w:r w:rsidRPr="00CF1646">
        <w:rPr>
          <w:rFonts w:ascii="Garamond" w:hAnsi="Garamond"/>
          <w:sz w:val="20"/>
          <w:szCs w:val="20"/>
        </w:rPr>
        <w:t>Lobpries</w:t>
      </w:r>
      <w:proofErr w:type="spellEnd"/>
      <w:r w:rsidRPr="00CF1646">
        <w:rPr>
          <w:rFonts w:ascii="Garamond" w:hAnsi="Garamond"/>
          <w:sz w:val="20"/>
          <w:szCs w:val="20"/>
        </w:rPr>
        <w:t xml:space="preserve"> &amp; Cohen, 2015). </w:t>
      </w:r>
      <w:proofErr w:type="spellStart"/>
      <w:r w:rsidRPr="00CF1646">
        <w:rPr>
          <w:rFonts w:ascii="Garamond" w:hAnsi="Garamond"/>
          <w:sz w:val="20"/>
          <w:szCs w:val="20"/>
        </w:rPr>
        <w:t>Ziakas</w:t>
      </w:r>
      <w:proofErr w:type="spellEnd"/>
      <w:r w:rsidRPr="00CF1646">
        <w:rPr>
          <w:rFonts w:ascii="Garamond" w:hAnsi="Garamond"/>
          <w:sz w:val="20"/>
          <w:szCs w:val="20"/>
        </w:rPr>
        <w:t xml:space="preserve"> (2016) notes that event managers are to proactively structure and organize space in a way that fosters connectedness integral to the character and nature of liminal and </w:t>
      </w:r>
      <w:proofErr w:type="spellStart"/>
      <w:r w:rsidRPr="00CF1646">
        <w:rPr>
          <w:rFonts w:ascii="Garamond" w:hAnsi="Garamond"/>
          <w:sz w:val="20"/>
          <w:szCs w:val="20"/>
        </w:rPr>
        <w:t>liminoidal</w:t>
      </w:r>
      <w:proofErr w:type="spellEnd"/>
      <w:r w:rsidRPr="00CF1646">
        <w:rPr>
          <w:rFonts w:ascii="Garamond" w:hAnsi="Garamond"/>
          <w:sz w:val="20"/>
          <w:szCs w:val="20"/>
        </w:rPr>
        <w:t xml:space="preserve"> spaces. As well as, the </w:t>
      </w:r>
      <w:r w:rsidR="00A80792">
        <w:rPr>
          <w:rFonts w:ascii="Garamond" w:hAnsi="Garamond"/>
          <w:sz w:val="20"/>
          <w:szCs w:val="20"/>
        </w:rPr>
        <w:t>non-traditional behaviour enhanced</w:t>
      </w:r>
      <w:r w:rsidRPr="00CF1646">
        <w:rPr>
          <w:rFonts w:ascii="Garamond" w:hAnsi="Garamond"/>
          <w:sz w:val="20"/>
          <w:szCs w:val="20"/>
        </w:rPr>
        <w:t xml:space="preserve"> within these spaces (</w:t>
      </w:r>
      <w:proofErr w:type="spellStart"/>
      <w:r w:rsidRPr="00CF1646">
        <w:rPr>
          <w:rFonts w:ascii="Garamond" w:hAnsi="Garamond"/>
          <w:sz w:val="20"/>
          <w:szCs w:val="20"/>
        </w:rPr>
        <w:t>Yarnal</w:t>
      </w:r>
      <w:proofErr w:type="spellEnd"/>
      <w:r w:rsidRPr="00CF1646">
        <w:rPr>
          <w:rFonts w:ascii="Garamond" w:hAnsi="Garamond"/>
          <w:sz w:val="20"/>
          <w:szCs w:val="20"/>
        </w:rPr>
        <w:t xml:space="preserve"> &amp; </w:t>
      </w:r>
      <w:proofErr w:type="spellStart"/>
      <w:r w:rsidRPr="00CF1646">
        <w:rPr>
          <w:rFonts w:ascii="Garamond" w:hAnsi="Garamond"/>
          <w:sz w:val="20"/>
          <w:szCs w:val="20"/>
        </w:rPr>
        <w:t>Kersetter</w:t>
      </w:r>
      <w:proofErr w:type="spellEnd"/>
      <w:r w:rsidRPr="00CF1646">
        <w:rPr>
          <w:rFonts w:ascii="Garamond" w:hAnsi="Garamond"/>
          <w:sz w:val="20"/>
          <w:szCs w:val="20"/>
        </w:rPr>
        <w:t xml:space="preserve">, 2005). </w:t>
      </w:r>
      <w:proofErr w:type="spellStart"/>
      <w:r w:rsidRPr="00CF1646">
        <w:rPr>
          <w:rFonts w:ascii="Garamond" w:hAnsi="Garamond"/>
          <w:sz w:val="20"/>
          <w:szCs w:val="20"/>
        </w:rPr>
        <w:t>Chalip’s</w:t>
      </w:r>
      <w:proofErr w:type="spellEnd"/>
      <w:r w:rsidRPr="00CF1646">
        <w:rPr>
          <w:rFonts w:ascii="Garamond" w:hAnsi="Garamond"/>
          <w:sz w:val="20"/>
          <w:szCs w:val="20"/>
        </w:rPr>
        <w:t xml:space="preserve"> (2006) work, initially laid the foundation for consideri</w:t>
      </w:r>
      <w:r w:rsidR="00A80792">
        <w:rPr>
          <w:rFonts w:ascii="Garamond" w:hAnsi="Garamond"/>
          <w:sz w:val="20"/>
          <w:szCs w:val="20"/>
        </w:rPr>
        <w:t>ng the liminal in an</w:t>
      </w:r>
      <w:r w:rsidRPr="00CF1646">
        <w:rPr>
          <w:rFonts w:ascii="Garamond" w:hAnsi="Garamond"/>
          <w:sz w:val="20"/>
          <w:szCs w:val="20"/>
        </w:rPr>
        <w:t xml:space="preserve"> events</w:t>
      </w:r>
      <w:r w:rsidR="00A80792">
        <w:rPr>
          <w:rFonts w:ascii="Garamond" w:hAnsi="Garamond"/>
          <w:sz w:val="20"/>
          <w:szCs w:val="20"/>
        </w:rPr>
        <w:t xml:space="preserve"> setting</w:t>
      </w:r>
      <w:r w:rsidRPr="00CF1646">
        <w:rPr>
          <w:rFonts w:ascii="Garamond" w:hAnsi="Garamond"/>
          <w:sz w:val="20"/>
          <w:szCs w:val="20"/>
        </w:rPr>
        <w:t xml:space="preserve">, as we wish to extend in this chapter. He suggested incorporating strategies like creating event-related social events to enable visitor social interactions, ‘event theming’ and the development of ‘ancillary events’ – with the hope of generating interest and consumption within, for example, marginalised communities. </w:t>
      </w:r>
      <w:proofErr w:type="spellStart"/>
      <w:r w:rsidRPr="00CF1646">
        <w:rPr>
          <w:rFonts w:ascii="Garamond" w:hAnsi="Garamond"/>
          <w:sz w:val="20"/>
          <w:szCs w:val="20"/>
        </w:rPr>
        <w:t>Girginov</w:t>
      </w:r>
      <w:proofErr w:type="spellEnd"/>
      <w:r w:rsidRPr="00CF1646">
        <w:rPr>
          <w:rFonts w:ascii="Garamond" w:hAnsi="Garamond"/>
          <w:sz w:val="20"/>
          <w:szCs w:val="20"/>
        </w:rPr>
        <w:t xml:space="preserve"> (2016) further emphasises that liminality may be fostered through strategic (leveraging) linkages between, for example, community initiatives and institutional rules and conventions.  Here, an alignment between the objectives of the host community, the hosting city (at government and local authority level) and event itself emerged key (</w:t>
      </w:r>
      <w:proofErr w:type="spellStart"/>
      <w:r w:rsidRPr="00CF1646">
        <w:rPr>
          <w:rFonts w:ascii="Garamond" w:hAnsi="Garamond"/>
          <w:sz w:val="20"/>
          <w:szCs w:val="20"/>
        </w:rPr>
        <w:t>Ziakas</w:t>
      </w:r>
      <w:proofErr w:type="spellEnd"/>
      <w:r w:rsidRPr="00CF1646">
        <w:rPr>
          <w:rFonts w:ascii="Garamond" w:hAnsi="Garamond"/>
          <w:sz w:val="20"/>
          <w:szCs w:val="20"/>
        </w:rPr>
        <w:t xml:space="preserve"> &amp; </w:t>
      </w:r>
      <w:proofErr w:type="spellStart"/>
      <w:r w:rsidRPr="00CF1646">
        <w:rPr>
          <w:rFonts w:ascii="Garamond" w:hAnsi="Garamond"/>
          <w:sz w:val="20"/>
          <w:szCs w:val="20"/>
        </w:rPr>
        <w:t>Boukas</w:t>
      </w:r>
      <w:proofErr w:type="spellEnd"/>
      <w:r w:rsidRPr="00CF1646">
        <w:rPr>
          <w:rFonts w:ascii="Garamond" w:hAnsi="Garamond"/>
          <w:sz w:val="20"/>
          <w:szCs w:val="20"/>
        </w:rPr>
        <w:t xml:space="preserve">, 2013), alongside this, simultaneously planned social interactions between visitors and communities may well result </w:t>
      </w:r>
      <w:r w:rsidR="00A80792">
        <w:rPr>
          <w:rFonts w:ascii="Garamond" w:hAnsi="Garamond"/>
          <w:sz w:val="20"/>
          <w:szCs w:val="20"/>
        </w:rPr>
        <w:t>in contemporary</w:t>
      </w:r>
      <w:r w:rsidRPr="00CF1646">
        <w:rPr>
          <w:rFonts w:ascii="Garamond" w:hAnsi="Garamond"/>
          <w:sz w:val="20"/>
          <w:szCs w:val="20"/>
        </w:rPr>
        <w:t xml:space="preserve"> social and economic challenges being more openly debated(</w:t>
      </w:r>
      <w:proofErr w:type="spellStart"/>
      <w:r w:rsidRPr="00CF1646">
        <w:rPr>
          <w:rFonts w:ascii="Garamond" w:hAnsi="Garamond"/>
          <w:sz w:val="20"/>
          <w:szCs w:val="20"/>
        </w:rPr>
        <w:t>Ziakas</w:t>
      </w:r>
      <w:proofErr w:type="spellEnd"/>
      <w:r w:rsidRPr="00CF1646">
        <w:rPr>
          <w:rFonts w:ascii="Garamond" w:hAnsi="Garamond"/>
          <w:sz w:val="20"/>
          <w:szCs w:val="20"/>
        </w:rPr>
        <w:t>, 2016). For example, Duignan and McGillivray (2016) noted that communities across so-called transit routes and close to event venues in Rio for the 2016 Games, opted to enliven residential communities through Brazilian culture: samba music, danci</w:t>
      </w:r>
      <w:r w:rsidR="00A80792">
        <w:rPr>
          <w:rFonts w:ascii="Garamond" w:hAnsi="Garamond"/>
          <w:sz w:val="20"/>
          <w:szCs w:val="20"/>
        </w:rPr>
        <w:t>ng and a slow food offer – a means</w:t>
      </w:r>
      <w:r w:rsidRPr="00CF1646">
        <w:rPr>
          <w:rFonts w:ascii="Garamond" w:hAnsi="Garamond"/>
          <w:sz w:val="20"/>
          <w:szCs w:val="20"/>
        </w:rPr>
        <w:t xml:space="preserve"> to </w:t>
      </w:r>
      <w:r w:rsidRPr="00CF1646">
        <w:rPr>
          <w:rFonts w:ascii="Garamond" w:hAnsi="Garamond"/>
          <w:sz w:val="20"/>
          <w:szCs w:val="20"/>
        </w:rPr>
        <w:lastRenderedPageBreak/>
        <w:t xml:space="preserve">encourage visitors to ‘dwell’ and connect with local communities as opposed to solely with official sites of corporate consumption. </w:t>
      </w:r>
    </w:p>
    <w:p w:rsidR="005B53CF" w:rsidRPr="00CF1646" w:rsidRDefault="005B53CF" w:rsidP="005B53CF">
      <w:pPr>
        <w:spacing w:line="480" w:lineRule="auto"/>
        <w:rPr>
          <w:rFonts w:ascii="Garamond" w:hAnsi="Garamond"/>
          <w:sz w:val="20"/>
          <w:szCs w:val="20"/>
        </w:rPr>
      </w:pPr>
      <w:r w:rsidRPr="00CF1646">
        <w:rPr>
          <w:rFonts w:ascii="Garamond" w:hAnsi="Garamond"/>
          <w:sz w:val="20"/>
          <w:szCs w:val="20"/>
        </w:rPr>
        <w:t xml:space="preserve">As a consequence of our analysis, we build on a new theoretical framework devised by Duignan et al., (2017) called the ‘Festival-Event-Leverage Complex’ (see Figure 1). We extend the model by overlaying the mapped sites of liminality, to illustrate the complex physical and digital ways marginalised social groups (i.e. host communities, principally micro and small businesses) can </w:t>
      </w:r>
      <w:proofErr w:type="spellStart"/>
      <w:r w:rsidRPr="00CF1646">
        <w:rPr>
          <w:rFonts w:ascii="Garamond" w:hAnsi="Garamond"/>
          <w:sz w:val="20"/>
          <w:szCs w:val="20"/>
        </w:rPr>
        <w:t>visibilise</w:t>
      </w:r>
      <w:proofErr w:type="spellEnd"/>
      <w:r w:rsidRPr="00CF1646">
        <w:rPr>
          <w:rFonts w:ascii="Garamond" w:hAnsi="Garamond"/>
          <w:sz w:val="20"/>
          <w:szCs w:val="20"/>
        </w:rPr>
        <w:t xml:space="preserve"> themselves and/or engage in productive forms of ‘immediate leveraging’ in the context of </w:t>
      </w:r>
      <w:proofErr w:type="spellStart"/>
      <w:r w:rsidRPr="00CF1646">
        <w:rPr>
          <w:rFonts w:ascii="Garamond" w:hAnsi="Garamond"/>
          <w:sz w:val="20"/>
          <w:szCs w:val="20"/>
        </w:rPr>
        <w:t>giga</w:t>
      </w:r>
      <w:proofErr w:type="spellEnd"/>
      <w:r w:rsidRPr="00CF1646">
        <w:rPr>
          <w:rFonts w:ascii="Garamond" w:hAnsi="Garamond"/>
          <w:sz w:val="20"/>
          <w:szCs w:val="20"/>
        </w:rPr>
        <w:t xml:space="preserve">-events. In many ways, these identified sites also apply to </w:t>
      </w:r>
      <w:r w:rsidR="00DB6B5D">
        <w:rPr>
          <w:rFonts w:ascii="Garamond" w:hAnsi="Garamond"/>
          <w:sz w:val="20"/>
          <w:szCs w:val="20"/>
        </w:rPr>
        <w:t>other event environments</w:t>
      </w:r>
      <w:r w:rsidRPr="00CF1646">
        <w:rPr>
          <w:rFonts w:ascii="Garamond" w:hAnsi="Garamond"/>
          <w:sz w:val="20"/>
          <w:szCs w:val="20"/>
        </w:rPr>
        <w:t xml:space="preserve"> (e.g. mega and major events and other regional cultural and sporting events) that initially inspired Duignan et al., (2017) to develop the FELC. Essentially, sites of liminality identified represent potential spaces of disruption that can help promote a shift from ‘neoliberal consumption’ to ‘critical consumption’ during the live staging periods between the Olympic Games Opening and Closing Ceremony. Practices outlined can be considered by marginalised social groups themselves, and/or those responsible for constructing event environments and spaces required to stage official sporting, cultural and commercial activity. For those wishing to create socio-economically inclusive events, particularly micro and small businesses wishing to leverage visitor economies, we implore a range of stakeholders to integrate liminal space into the planning, design and creation of all kinds of events, top-down (i.e. </w:t>
      </w:r>
      <w:proofErr w:type="spellStart"/>
      <w:r w:rsidRPr="00CF1646">
        <w:rPr>
          <w:rFonts w:ascii="Garamond" w:hAnsi="Garamond"/>
          <w:sz w:val="20"/>
          <w:szCs w:val="20"/>
        </w:rPr>
        <w:t>giga</w:t>
      </w:r>
      <w:proofErr w:type="spellEnd"/>
      <w:r w:rsidRPr="00CF1646">
        <w:rPr>
          <w:rFonts w:ascii="Garamond" w:hAnsi="Garamond"/>
          <w:sz w:val="20"/>
          <w:szCs w:val="20"/>
        </w:rPr>
        <w:t xml:space="preserve"> events, mega-events) through to bottom-up, grassroots initiatives (e.g. local, regional cultural and sporting festivals). From National Organising Committee’s (NOCs) to delivery organisations, right through to local community groups, we encourage the development of co-created and co-curated Olympic spaces that celebrate and animate those at the local level to stimulate ‘</w:t>
      </w:r>
      <w:proofErr w:type="spellStart"/>
      <w:r w:rsidRPr="00CF1646">
        <w:rPr>
          <w:rFonts w:ascii="Garamond" w:hAnsi="Garamond"/>
          <w:sz w:val="20"/>
          <w:szCs w:val="20"/>
        </w:rPr>
        <w:t>communitas</w:t>
      </w:r>
      <w:proofErr w:type="spellEnd"/>
      <w:r w:rsidRPr="00CF1646">
        <w:rPr>
          <w:rFonts w:ascii="Garamond" w:hAnsi="Garamond"/>
          <w:sz w:val="20"/>
          <w:szCs w:val="20"/>
        </w:rPr>
        <w:t xml:space="preserve">’ indicative of </w:t>
      </w:r>
      <w:proofErr w:type="spellStart"/>
      <w:r w:rsidRPr="00CF1646">
        <w:rPr>
          <w:rFonts w:ascii="Garamond" w:hAnsi="Garamond"/>
          <w:sz w:val="20"/>
          <w:szCs w:val="20"/>
        </w:rPr>
        <w:t>liminoidal</w:t>
      </w:r>
      <w:proofErr w:type="spellEnd"/>
      <w:r w:rsidRPr="00CF1646">
        <w:rPr>
          <w:rFonts w:ascii="Garamond" w:hAnsi="Garamond"/>
          <w:sz w:val="20"/>
          <w:szCs w:val="20"/>
        </w:rPr>
        <w:t xml:space="preserve"> spaces (O’Brien &amp; </w:t>
      </w:r>
      <w:proofErr w:type="spellStart"/>
      <w:r w:rsidRPr="00CF1646">
        <w:rPr>
          <w:rFonts w:ascii="Garamond" w:hAnsi="Garamond"/>
          <w:sz w:val="20"/>
          <w:szCs w:val="20"/>
        </w:rPr>
        <w:t>Chalip</w:t>
      </w:r>
      <w:proofErr w:type="spellEnd"/>
      <w:r w:rsidRPr="00CF1646">
        <w:rPr>
          <w:rFonts w:ascii="Garamond" w:hAnsi="Garamond"/>
          <w:sz w:val="20"/>
          <w:szCs w:val="20"/>
        </w:rPr>
        <w:t>, 2006).</w:t>
      </w:r>
    </w:p>
    <w:p w:rsidR="005B53CF" w:rsidRPr="00CF1646" w:rsidRDefault="005B53CF" w:rsidP="005B53CF">
      <w:pPr>
        <w:spacing w:line="480" w:lineRule="auto"/>
        <w:rPr>
          <w:rFonts w:ascii="Garamond" w:hAnsi="Garamond"/>
          <w:sz w:val="20"/>
          <w:szCs w:val="20"/>
        </w:rPr>
      </w:pPr>
      <w:r w:rsidRPr="00CF1646">
        <w:rPr>
          <w:rFonts w:ascii="Garamond" w:hAnsi="Garamond"/>
          <w:b/>
          <w:sz w:val="20"/>
          <w:szCs w:val="20"/>
        </w:rPr>
        <w:t>Insert Figure 1 here: [Figure 1. Extended ‘Festival-Event-Leverage Complex’ (Adapted from Duignan, Everett, Walsh &amp; Cade, 2017)]</w:t>
      </w:r>
    </w:p>
    <w:p w:rsidR="005B53CF" w:rsidRPr="00CF1646" w:rsidRDefault="005B53CF" w:rsidP="005B53CF">
      <w:pPr>
        <w:spacing w:line="480" w:lineRule="auto"/>
        <w:rPr>
          <w:rFonts w:ascii="Garamond" w:hAnsi="Garamond"/>
          <w:b/>
          <w:sz w:val="20"/>
          <w:szCs w:val="20"/>
        </w:rPr>
      </w:pPr>
      <w:r w:rsidRPr="00CF1646">
        <w:rPr>
          <w:rFonts w:ascii="Garamond" w:hAnsi="Garamond"/>
          <w:b/>
          <w:sz w:val="20"/>
          <w:szCs w:val="20"/>
        </w:rPr>
        <w:t>Physical and digital (</w:t>
      </w:r>
      <w:proofErr w:type="spellStart"/>
      <w:r w:rsidRPr="00CF1646">
        <w:rPr>
          <w:rFonts w:ascii="Garamond" w:hAnsi="Garamond"/>
          <w:b/>
          <w:sz w:val="20"/>
          <w:szCs w:val="20"/>
        </w:rPr>
        <w:t>giga</w:t>
      </w:r>
      <w:proofErr w:type="spellEnd"/>
      <w:proofErr w:type="gramStart"/>
      <w:r w:rsidRPr="00CF1646">
        <w:rPr>
          <w:rFonts w:ascii="Garamond" w:hAnsi="Garamond"/>
          <w:b/>
          <w:sz w:val="20"/>
          <w:szCs w:val="20"/>
        </w:rPr>
        <w:t>)</w:t>
      </w:r>
      <w:proofErr w:type="spellStart"/>
      <w:r w:rsidRPr="00CF1646">
        <w:rPr>
          <w:rFonts w:ascii="Garamond" w:hAnsi="Garamond"/>
          <w:b/>
          <w:sz w:val="20"/>
          <w:szCs w:val="20"/>
        </w:rPr>
        <w:t>liminalscapes</w:t>
      </w:r>
      <w:proofErr w:type="spellEnd"/>
      <w:proofErr w:type="gramEnd"/>
    </w:p>
    <w:p w:rsidR="005B53CF" w:rsidRPr="00CF1646" w:rsidRDefault="005B53CF" w:rsidP="005B53CF">
      <w:pPr>
        <w:spacing w:line="480" w:lineRule="auto"/>
        <w:rPr>
          <w:rFonts w:ascii="Garamond" w:hAnsi="Garamond"/>
          <w:sz w:val="20"/>
          <w:szCs w:val="20"/>
        </w:rPr>
      </w:pPr>
      <w:r w:rsidRPr="00CF1646">
        <w:rPr>
          <w:rFonts w:ascii="Garamond" w:hAnsi="Garamond"/>
          <w:sz w:val="20"/>
          <w:szCs w:val="20"/>
        </w:rPr>
        <w:t xml:space="preserve">During the live staging period, host city venues and zones can be assembled to afford micro and </w:t>
      </w:r>
      <w:r w:rsidR="00DB6B5D">
        <w:rPr>
          <w:rFonts w:ascii="Garamond" w:hAnsi="Garamond"/>
          <w:sz w:val="20"/>
          <w:szCs w:val="20"/>
        </w:rPr>
        <w:t>small businesses to access</w:t>
      </w:r>
      <w:r w:rsidRPr="00CF1646">
        <w:rPr>
          <w:rFonts w:ascii="Garamond" w:hAnsi="Garamond"/>
          <w:sz w:val="20"/>
          <w:szCs w:val="20"/>
        </w:rPr>
        <w:t xml:space="preserve"> the event and overcome marginalisation. Practical digital and physical recommendations have been formulated to transfer greater levels of connectivity between the visitor economy and local host community. This corresponds to how </w:t>
      </w:r>
      <w:proofErr w:type="spellStart"/>
      <w:r w:rsidRPr="00CF1646">
        <w:rPr>
          <w:rFonts w:ascii="Garamond" w:hAnsi="Garamond"/>
          <w:sz w:val="20"/>
          <w:szCs w:val="20"/>
        </w:rPr>
        <w:t>giga</w:t>
      </w:r>
      <w:proofErr w:type="spellEnd"/>
      <w:r w:rsidRPr="00CF1646">
        <w:rPr>
          <w:rFonts w:ascii="Garamond" w:hAnsi="Garamond"/>
          <w:sz w:val="20"/>
          <w:szCs w:val="20"/>
        </w:rPr>
        <w:t xml:space="preserve">-event spaces are designed to foster </w:t>
      </w:r>
      <w:r w:rsidRPr="00CF1646">
        <w:rPr>
          <w:rFonts w:ascii="Garamond" w:hAnsi="Garamond"/>
          <w:sz w:val="20"/>
          <w:szCs w:val="20"/>
        </w:rPr>
        <w:lastRenderedPageBreak/>
        <w:t xml:space="preserve">connected, liminal spaces and local service delivery. Urban host public spaces prioritised to house ephemeral and enduring event-related infrastructure developments have the propensity to enter and engender different states of liminality, types of liminal experience and forms of </w:t>
      </w:r>
      <w:proofErr w:type="spellStart"/>
      <w:r w:rsidRPr="00CF1646">
        <w:rPr>
          <w:rFonts w:ascii="Garamond" w:hAnsi="Garamond"/>
          <w:sz w:val="20"/>
          <w:szCs w:val="20"/>
        </w:rPr>
        <w:t>communitas</w:t>
      </w:r>
      <w:proofErr w:type="spellEnd"/>
      <w:r w:rsidRPr="00CF1646">
        <w:rPr>
          <w:rFonts w:ascii="Garamond" w:hAnsi="Garamond"/>
          <w:sz w:val="20"/>
          <w:szCs w:val="20"/>
        </w:rPr>
        <w:t xml:space="preserve"> (Turner, 1979; </w:t>
      </w:r>
      <w:proofErr w:type="spellStart"/>
      <w:r w:rsidRPr="00CF1646">
        <w:rPr>
          <w:rFonts w:ascii="Garamond" w:hAnsi="Garamond"/>
          <w:sz w:val="20"/>
          <w:szCs w:val="20"/>
        </w:rPr>
        <w:t>Thomassen</w:t>
      </w:r>
      <w:proofErr w:type="spellEnd"/>
      <w:r w:rsidRPr="00CF1646">
        <w:rPr>
          <w:rFonts w:ascii="Garamond" w:hAnsi="Garamond"/>
          <w:sz w:val="20"/>
          <w:szCs w:val="20"/>
        </w:rPr>
        <w:t>, 2009). These temporary and permanent states of liminality</w:t>
      </w:r>
      <w:r w:rsidR="00DB6B5D">
        <w:rPr>
          <w:rFonts w:ascii="Garamond" w:hAnsi="Garamond"/>
          <w:sz w:val="20"/>
          <w:szCs w:val="20"/>
        </w:rPr>
        <w:t xml:space="preserve"> function in various </w:t>
      </w:r>
      <w:r w:rsidR="00DB6B5D" w:rsidRPr="00DB6B5D">
        <w:rPr>
          <w:rFonts w:ascii="Garamond" w:hAnsi="Garamond"/>
          <w:sz w:val="20"/>
          <w:szCs w:val="20"/>
        </w:rPr>
        <w:t>Host Event Zones (HEZs)</w:t>
      </w:r>
      <w:r w:rsidRPr="00CF1646">
        <w:rPr>
          <w:rFonts w:ascii="Garamond" w:hAnsi="Garamond"/>
          <w:sz w:val="20"/>
          <w:szCs w:val="20"/>
        </w:rPr>
        <w:t xml:space="preserve"> and other prominent spaces more commonly found outside of ‘official’ Games areas. For example, public and visitor viewing </w:t>
      </w:r>
      <w:r w:rsidR="003D1053" w:rsidRPr="00CF1646">
        <w:rPr>
          <w:rFonts w:ascii="Garamond" w:hAnsi="Garamond"/>
          <w:sz w:val="20"/>
          <w:szCs w:val="20"/>
        </w:rPr>
        <w:t>territories</w:t>
      </w:r>
      <w:r w:rsidRPr="00CF1646">
        <w:rPr>
          <w:rFonts w:ascii="Garamond" w:hAnsi="Garamond"/>
          <w:sz w:val="20"/>
          <w:szCs w:val="20"/>
        </w:rPr>
        <w:t xml:space="preserve"> </w:t>
      </w:r>
      <w:r w:rsidR="003D1053">
        <w:rPr>
          <w:rFonts w:ascii="Garamond" w:hAnsi="Garamond"/>
          <w:sz w:val="20"/>
          <w:szCs w:val="20"/>
        </w:rPr>
        <w:t xml:space="preserve">like assigned </w:t>
      </w:r>
      <w:r w:rsidRPr="00CF1646">
        <w:rPr>
          <w:rFonts w:ascii="Garamond" w:hAnsi="Garamond"/>
          <w:sz w:val="20"/>
          <w:szCs w:val="20"/>
        </w:rPr>
        <w:t>Live Sites</w:t>
      </w:r>
      <w:r w:rsidR="003D1053">
        <w:rPr>
          <w:rFonts w:ascii="Garamond" w:hAnsi="Garamond"/>
          <w:sz w:val="20"/>
          <w:szCs w:val="20"/>
        </w:rPr>
        <w:t xml:space="preserve"> or </w:t>
      </w:r>
      <w:r w:rsidRPr="00CF1646">
        <w:rPr>
          <w:rFonts w:ascii="Garamond" w:hAnsi="Garamond"/>
          <w:sz w:val="20"/>
          <w:szCs w:val="20"/>
        </w:rPr>
        <w:t xml:space="preserve">Fan Fests. Accessible design of spaces can infuse local </w:t>
      </w:r>
      <w:r w:rsidR="00DB6B5D">
        <w:rPr>
          <w:rFonts w:ascii="Garamond" w:hAnsi="Garamond"/>
          <w:sz w:val="20"/>
          <w:szCs w:val="20"/>
        </w:rPr>
        <w:t>individuality</w:t>
      </w:r>
      <w:r w:rsidRPr="00CF1646">
        <w:rPr>
          <w:rFonts w:ascii="Garamond" w:hAnsi="Garamond"/>
          <w:sz w:val="20"/>
          <w:szCs w:val="20"/>
        </w:rPr>
        <w:t xml:space="preserve"> and offer </w:t>
      </w:r>
      <w:r w:rsidR="003D1053">
        <w:rPr>
          <w:rFonts w:ascii="Garamond" w:hAnsi="Garamond"/>
          <w:sz w:val="20"/>
          <w:szCs w:val="20"/>
        </w:rPr>
        <w:t xml:space="preserve">a </w:t>
      </w:r>
      <w:r w:rsidRPr="00CF1646">
        <w:rPr>
          <w:rFonts w:ascii="Garamond" w:hAnsi="Garamond"/>
          <w:sz w:val="20"/>
          <w:szCs w:val="20"/>
        </w:rPr>
        <w:t>more balanced consumption in the area. The planning of event venues and fan zones dispersed across the city alter consumption patterns in and around ‘Live Sites’, and contribute to opportunities such as short-term enterprise and promotional activities. At Rio 2016, organisers envisaged that the host city’s</w:t>
      </w:r>
      <w:r w:rsidR="003D1053">
        <w:rPr>
          <w:rFonts w:ascii="Garamond" w:hAnsi="Garamond"/>
          <w:sz w:val="20"/>
          <w:szCs w:val="20"/>
        </w:rPr>
        <w:t xml:space="preserve"> ‘Live S</w:t>
      </w:r>
      <w:r w:rsidRPr="00CF1646">
        <w:rPr>
          <w:rFonts w:ascii="Garamond" w:hAnsi="Garamond"/>
          <w:sz w:val="20"/>
          <w:szCs w:val="20"/>
        </w:rPr>
        <w:t xml:space="preserve">ites’ could act as platforms to support wider objectives including activating landmarks (e.g. Museum of Tomorrow), </w:t>
      </w:r>
      <w:r w:rsidR="003D1053">
        <w:rPr>
          <w:rFonts w:ascii="Garamond" w:hAnsi="Garamond"/>
          <w:sz w:val="20"/>
          <w:szCs w:val="20"/>
        </w:rPr>
        <w:t xml:space="preserve">strengthening and </w:t>
      </w:r>
      <w:r w:rsidRPr="00CF1646">
        <w:rPr>
          <w:rFonts w:ascii="Garamond" w:hAnsi="Garamond"/>
          <w:sz w:val="20"/>
          <w:szCs w:val="20"/>
        </w:rPr>
        <w:t xml:space="preserve">enlivening </w:t>
      </w:r>
      <w:r w:rsidR="003D1053">
        <w:rPr>
          <w:rFonts w:ascii="Garamond" w:hAnsi="Garamond"/>
          <w:sz w:val="20"/>
          <w:szCs w:val="20"/>
        </w:rPr>
        <w:t xml:space="preserve">the planning and design of </w:t>
      </w:r>
      <w:r w:rsidRPr="00CF1646">
        <w:rPr>
          <w:rFonts w:ascii="Garamond" w:hAnsi="Garamond"/>
          <w:sz w:val="20"/>
          <w:szCs w:val="20"/>
        </w:rPr>
        <w:t xml:space="preserve">urban sites (such as Porto </w:t>
      </w:r>
      <w:proofErr w:type="spellStart"/>
      <w:r w:rsidRPr="00CF1646">
        <w:rPr>
          <w:rFonts w:ascii="Garamond" w:hAnsi="Garamond"/>
          <w:sz w:val="20"/>
          <w:szCs w:val="20"/>
        </w:rPr>
        <w:t>Maravilha</w:t>
      </w:r>
      <w:proofErr w:type="spellEnd"/>
      <w:r w:rsidRPr="00CF1646">
        <w:rPr>
          <w:rFonts w:ascii="Garamond" w:hAnsi="Garamond"/>
          <w:sz w:val="20"/>
          <w:szCs w:val="20"/>
        </w:rPr>
        <w:t>), and enhancing festivity and spectator experiences (Rio 2016, 2009a). There are significant factors which could influence the success of inner-city event spaces and venues</w:t>
      </w:r>
      <w:r w:rsidR="003D1053">
        <w:rPr>
          <w:rFonts w:ascii="Garamond" w:hAnsi="Garamond"/>
          <w:sz w:val="20"/>
          <w:szCs w:val="20"/>
        </w:rPr>
        <w:t>,</w:t>
      </w:r>
      <w:r w:rsidRPr="00CF1646">
        <w:rPr>
          <w:rFonts w:ascii="Garamond" w:hAnsi="Garamond"/>
          <w:sz w:val="20"/>
          <w:szCs w:val="20"/>
        </w:rPr>
        <w:t xml:space="preserve"> including the location choice for event</w:t>
      </w:r>
      <w:r w:rsidR="003D1053">
        <w:rPr>
          <w:rFonts w:ascii="Garamond" w:hAnsi="Garamond"/>
          <w:sz w:val="20"/>
          <w:szCs w:val="20"/>
        </w:rPr>
        <w:t xml:space="preserve"> spaces, </w:t>
      </w:r>
      <w:r w:rsidRPr="00CF1646">
        <w:rPr>
          <w:rFonts w:ascii="Garamond" w:hAnsi="Garamond"/>
          <w:sz w:val="20"/>
          <w:szCs w:val="20"/>
        </w:rPr>
        <w:t xml:space="preserve">careful placement of fan zones and selecting sites with sufficient land for employing and assembling temporary venues (ARUP, 2017; Gold &amp; Gold, 2018). Temporary and moveable facilities and the conversion of key central buildings may aid </w:t>
      </w:r>
      <w:r w:rsidR="003D1053">
        <w:rPr>
          <w:rFonts w:ascii="Garamond" w:hAnsi="Garamond"/>
          <w:sz w:val="20"/>
          <w:szCs w:val="20"/>
        </w:rPr>
        <w:t xml:space="preserve">micro and </w:t>
      </w:r>
      <w:r w:rsidRPr="00CF1646">
        <w:rPr>
          <w:rFonts w:ascii="Garamond" w:hAnsi="Garamond"/>
          <w:sz w:val="20"/>
          <w:szCs w:val="20"/>
        </w:rPr>
        <w:t xml:space="preserve">small business activity in urban city spaces. This is beneficial for stimulating the likes of food and drink stalls, pop-ups and permanent establishments (e.g. bars and restaurants), as well as transitioning public spatial changes and local trading levels from pre-Games, live staging to post-Games. </w:t>
      </w:r>
    </w:p>
    <w:p w:rsidR="005B53CF" w:rsidRPr="00CF1646" w:rsidRDefault="005B53CF" w:rsidP="005B53CF">
      <w:pPr>
        <w:spacing w:line="480" w:lineRule="auto"/>
        <w:rPr>
          <w:rFonts w:ascii="Garamond" w:hAnsi="Garamond"/>
          <w:sz w:val="20"/>
          <w:szCs w:val="20"/>
        </w:rPr>
      </w:pPr>
      <w:r w:rsidRPr="00CF1646">
        <w:rPr>
          <w:rFonts w:ascii="Garamond" w:hAnsi="Garamond"/>
          <w:sz w:val="20"/>
          <w:szCs w:val="20"/>
        </w:rPr>
        <w:t xml:space="preserve">Host city value can be derived by employing local community associations and small businesses to deliver services in HEZ’s and </w:t>
      </w:r>
      <w:r w:rsidR="00DB6B5D">
        <w:rPr>
          <w:rFonts w:ascii="Garamond" w:hAnsi="Garamond"/>
          <w:sz w:val="20"/>
          <w:szCs w:val="20"/>
        </w:rPr>
        <w:t xml:space="preserve">ancillary </w:t>
      </w:r>
      <w:r w:rsidRPr="00CF1646">
        <w:rPr>
          <w:rFonts w:ascii="Garamond" w:hAnsi="Garamond"/>
          <w:sz w:val="20"/>
          <w:szCs w:val="20"/>
        </w:rPr>
        <w:t xml:space="preserve">event spaces. Micro and small traders are often unable to access local entrepreneurial opportunities at the expense of larger corporations. Moreover, these traders may be unlikely to respond to demand, achieve more favourable sales and enhance their brand presence, compared to sponsors and international event partners. In order to realise potential gains, local organisations and small business need to possess the knowledge and skillset to sufficiently prepare for the event. Better cohesion between local groups and specific stakeholders (e.g. </w:t>
      </w:r>
      <w:r w:rsidR="003D1053">
        <w:rPr>
          <w:rFonts w:ascii="Garamond" w:hAnsi="Garamond"/>
          <w:sz w:val="20"/>
          <w:szCs w:val="20"/>
        </w:rPr>
        <w:t xml:space="preserve">key </w:t>
      </w:r>
      <w:r w:rsidRPr="00CF1646">
        <w:rPr>
          <w:rFonts w:ascii="Garamond" w:hAnsi="Garamond"/>
          <w:sz w:val="20"/>
          <w:szCs w:val="20"/>
        </w:rPr>
        <w:t>state actors and local organising committee) may help in imparting collective knowledge and expertise. This context-specific knowledge could be valuable in enabling the enhancement of outcomes for an eclectic range of event stakeholders (</w:t>
      </w:r>
      <w:proofErr w:type="spellStart"/>
      <w:r w:rsidRPr="00CF1646">
        <w:rPr>
          <w:rFonts w:ascii="Garamond" w:hAnsi="Garamond"/>
          <w:sz w:val="20"/>
          <w:szCs w:val="20"/>
        </w:rPr>
        <w:t>Hede</w:t>
      </w:r>
      <w:proofErr w:type="spellEnd"/>
      <w:r w:rsidRPr="00CF1646">
        <w:rPr>
          <w:rFonts w:ascii="Garamond" w:hAnsi="Garamond"/>
          <w:sz w:val="20"/>
          <w:szCs w:val="20"/>
        </w:rPr>
        <w:t xml:space="preserve">, 2007). A critical component for generating stronger impetus and benefits to smaller organisations </w:t>
      </w:r>
      <w:r w:rsidRPr="00CF1646">
        <w:rPr>
          <w:rFonts w:ascii="Garamond" w:hAnsi="Garamond"/>
          <w:sz w:val="20"/>
          <w:szCs w:val="20"/>
        </w:rPr>
        <w:lastRenderedPageBreak/>
        <w:t>relates to facilitating action at an</w:t>
      </w:r>
      <w:r w:rsidR="00891C3E">
        <w:rPr>
          <w:rFonts w:ascii="Garamond" w:hAnsi="Garamond"/>
          <w:sz w:val="20"/>
          <w:szCs w:val="20"/>
        </w:rPr>
        <w:t xml:space="preserve"> inter-city level. P</w:t>
      </w:r>
      <w:r w:rsidRPr="00CF1646">
        <w:rPr>
          <w:rFonts w:ascii="Garamond" w:hAnsi="Garamond"/>
          <w:sz w:val="20"/>
          <w:szCs w:val="20"/>
        </w:rPr>
        <w:t xml:space="preserve">ublic authorities </w:t>
      </w:r>
      <w:r w:rsidR="00891C3E">
        <w:rPr>
          <w:rFonts w:ascii="Garamond" w:hAnsi="Garamond"/>
          <w:sz w:val="20"/>
          <w:szCs w:val="20"/>
        </w:rPr>
        <w:t>could offer</w:t>
      </w:r>
      <w:r w:rsidRPr="00CF1646">
        <w:rPr>
          <w:rFonts w:ascii="Garamond" w:hAnsi="Garamond"/>
          <w:sz w:val="20"/>
          <w:szCs w:val="20"/>
        </w:rPr>
        <w:t xml:space="preserve"> incentives and access to local business support programmes, </w:t>
      </w:r>
      <w:r w:rsidR="00891C3E">
        <w:rPr>
          <w:rFonts w:ascii="Garamond" w:hAnsi="Garamond"/>
          <w:sz w:val="20"/>
          <w:szCs w:val="20"/>
        </w:rPr>
        <w:t xml:space="preserve">provide </w:t>
      </w:r>
      <w:r w:rsidRPr="00CF1646">
        <w:rPr>
          <w:rFonts w:ascii="Garamond" w:hAnsi="Garamond"/>
          <w:sz w:val="20"/>
          <w:szCs w:val="20"/>
        </w:rPr>
        <w:t>supp</w:t>
      </w:r>
      <w:r w:rsidR="00891C3E">
        <w:rPr>
          <w:rFonts w:ascii="Garamond" w:hAnsi="Garamond"/>
          <w:sz w:val="20"/>
          <w:szCs w:val="20"/>
        </w:rPr>
        <w:t>ort</w:t>
      </w:r>
      <w:r w:rsidR="00DB6B5D">
        <w:rPr>
          <w:rFonts w:ascii="Garamond" w:hAnsi="Garamond"/>
          <w:sz w:val="20"/>
          <w:szCs w:val="20"/>
        </w:rPr>
        <w:t xml:space="preserve"> e.g.</w:t>
      </w:r>
      <w:r w:rsidR="00891C3E">
        <w:rPr>
          <w:rFonts w:ascii="Garamond" w:hAnsi="Garamond"/>
          <w:sz w:val="20"/>
          <w:szCs w:val="20"/>
        </w:rPr>
        <w:t xml:space="preserve"> </w:t>
      </w:r>
      <w:r w:rsidR="00DB6B5D">
        <w:rPr>
          <w:rFonts w:ascii="Garamond" w:hAnsi="Garamond"/>
          <w:sz w:val="20"/>
          <w:szCs w:val="20"/>
        </w:rPr>
        <w:t xml:space="preserve">assisting in </w:t>
      </w:r>
      <w:r w:rsidR="00891C3E">
        <w:rPr>
          <w:rFonts w:ascii="Garamond" w:hAnsi="Garamond"/>
          <w:sz w:val="20"/>
          <w:szCs w:val="20"/>
        </w:rPr>
        <w:t>developing supply chain partnerships</w:t>
      </w:r>
      <w:r w:rsidR="00DB6B5D">
        <w:rPr>
          <w:rFonts w:ascii="Garamond" w:hAnsi="Garamond"/>
          <w:sz w:val="20"/>
          <w:szCs w:val="20"/>
        </w:rPr>
        <w:t xml:space="preserve"> and deals</w:t>
      </w:r>
      <w:r w:rsidRPr="00CF1646">
        <w:rPr>
          <w:rFonts w:ascii="Garamond" w:hAnsi="Garamond"/>
          <w:sz w:val="20"/>
          <w:szCs w:val="20"/>
        </w:rPr>
        <w:t xml:space="preserve">, and </w:t>
      </w:r>
      <w:r w:rsidR="00891C3E">
        <w:rPr>
          <w:rFonts w:ascii="Garamond" w:hAnsi="Garamond"/>
          <w:sz w:val="20"/>
          <w:szCs w:val="20"/>
        </w:rPr>
        <w:t>el</w:t>
      </w:r>
      <w:r w:rsidR="00DB6B5D">
        <w:rPr>
          <w:rFonts w:ascii="Garamond" w:hAnsi="Garamond"/>
          <w:sz w:val="20"/>
          <w:szCs w:val="20"/>
        </w:rPr>
        <w:t>icit</w:t>
      </w:r>
      <w:r w:rsidR="00891C3E">
        <w:rPr>
          <w:rFonts w:ascii="Garamond" w:hAnsi="Garamond"/>
          <w:sz w:val="20"/>
          <w:szCs w:val="20"/>
        </w:rPr>
        <w:t xml:space="preserve"> advice from </w:t>
      </w:r>
      <w:r w:rsidRPr="00CF1646">
        <w:rPr>
          <w:rFonts w:ascii="Garamond" w:hAnsi="Garamond"/>
          <w:sz w:val="20"/>
          <w:szCs w:val="20"/>
        </w:rPr>
        <w:t xml:space="preserve">trade and </w:t>
      </w:r>
      <w:r w:rsidR="00DB6B5D">
        <w:rPr>
          <w:rFonts w:ascii="Garamond" w:hAnsi="Garamond"/>
          <w:sz w:val="20"/>
          <w:szCs w:val="20"/>
        </w:rPr>
        <w:t xml:space="preserve">other </w:t>
      </w:r>
      <w:r w:rsidRPr="00CF1646">
        <w:rPr>
          <w:rFonts w:ascii="Garamond" w:hAnsi="Garamond"/>
          <w:sz w:val="20"/>
          <w:szCs w:val="20"/>
        </w:rPr>
        <w:t>business organisations</w:t>
      </w:r>
      <w:r w:rsidR="00891C3E">
        <w:rPr>
          <w:rFonts w:ascii="Garamond" w:hAnsi="Garamond"/>
          <w:sz w:val="20"/>
          <w:szCs w:val="20"/>
        </w:rPr>
        <w:t xml:space="preserve"> </w:t>
      </w:r>
      <w:r w:rsidRPr="00CF1646">
        <w:rPr>
          <w:rFonts w:ascii="Garamond" w:hAnsi="Garamond"/>
          <w:sz w:val="20"/>
          <w:szCs w:val="20"/>
        </w:rPr>
        <w:t xml:space="preserve">e.g. small business associations, trade associations and regional tourism boards. Activities driven from host community organisations and groups can be enacted to prolong long-term integrative event leveraging strategies, as opposed to piecemeal solutions engineered by the local organising committee. The presence of these networks and physical connections can be extended to enhance micro and small business resources, capabilities and foster spontaneous </w:t>
      </w:r>
      <w:proofErr w:type="spellStart"/>
      <w:r w:rsidRPr="00CF1646">
        <w:rPr>
          <w:rFonts w:ascii="Garamond" w:hAnsi="Garamond"/>
          <w:sz w:val="20"/>
          <w:szCs w:val="20"/>
        </w:rPr>
        <w:t>communitas</w:t>
      </w:r>
      <w:proofErr w:type="spellEnd"/>
      <w:r w:rsidRPr="00CF1646">
        <w:rPr>
          <w:rFonts w:ascii="Garamond" w:hAnsi="Garamond"/>
          <w:sz w:val="20"/>
          <w:szCs w:val="20"/>
        </w:rPr>
        <w:t xml:space="preserve"> (Turner, 1979).</w:t>
      </w:r>
      <w:r w:rsidR="00891C3E">
        <w:rPr>
          <w:rFonts w:ascii="Garamond" w:hAnsi="Garamond"/>
          <w:sz w:val="20"/>
          <w:szCs w:val="20"/>
        </w:rPr>
        <w:t xml:space="preserve"> </w:t>
      </w:r>
      <w:r w:rsidRPr="00CF1646">
        <w:rPr>
          <w:rFonts w:ascii="Garamond" w:hAnsi="Garamond"/>
          <w:sz w:val="20"/>
          <w:szCs w:val="20"/>
        </w:rPr>
        <w:t xml:space="preserve">The construction and production of Live Sites and attractions, whereby areas to and from event venues are </w:t>
      </w:r>
      <w:r w:rsidR="00891C3E">
        <w:rPr>
          <w:rFonts w:ascii="Garamond" w:hAnsi="Garamond"/>
          <w:sz w:val="20"/>
          <w:szCs w:val="20"/>
        </w:rPr>
        <w:t>specifically targeted to stimulate</w:t>
      </w:r>
      <w:r w:rsidR="00D71909">
        <w:rPr>
          <w:rFonts w:ascii="Garamond" w:hAnsi="Garamond"/>
          <w:sz w:val="20"/>
          <w:szCs w:val="20"/>
        </w:rPr>
        <w:t xml:space="preserve"> local demand</w:t>
      </w:r>
      <w:r w:rsidRPr="00CF1646">
        <w:rPr>
          <w:rFonts w:ascii="Garamond" w:hAnsi="Garamond"/>
          <w:sz w:val="20"/>
          <w:szCs w:val="20"/>
        </w:rPr>
        <w:t xml:space="preserve">, such as through opening-up green spaces and enforcing relaxed legislatorial powers for </w:t>
      </w:r>
      <w:r w:rsidR="00891C3E">
        <w:rPr>
          <w:rFonts w:ascii="Garamond" w:hAnsi="Garamond"/>
          <w:sz w:val="20"/>
          <w:szCs w:val="20"/>
        </w:rPr>
        <w:t xml:space="preserve">small </w:t>
      </w:r>
      <w:r w:rsidRPr="00CF1646">
        <w:rPr>
          <w:rFonts w:ascii="Garamond" w:hAnsi="Garamond"/>
          <w:sz w:val="20"/>
          <w:szCs w:val="20"/>
        </w:rPr>
        <w:t>business traders. This can be explicitly accomplished by earmarking walkways connecting key city infrastructure (e.g. transportation, accommodation) leading to event venues, often known as ‘Last Mile’ spaces e.g. at London 2012 (Commission for a Sustainable London 2012, 2012). In the run-up to Rio 2016, reforms were enacted</w:t>
      </w:r>
      <w:r w:rsidR="00891C3E">
        <w:rPr>
          <w:rFonts w:ascii="Garamond" w:hAnsi="Garamond"/>
          <w:sz w:val="20"/>
          <w:szCs w:val="20"/>
        </w:rPr>
        <w:t xml:space="preserve"> to increase the investment in</w:t>
      </w:r>
      <w:r w:rsidRPr="00CF1646">
        <w:rPr>
          <w:rFonts w:ascii="Garamond" w:hAnsi="Garamond"/>
          <w:sz w:val="20"/>
          <w:szCs w:val="20"/>
        </w:rPr>
        <w:t xml:space="preserve"> transport networks and routes such as the Bus Rapid Transit (BRT) and Light Rail Vehicle (VLT), predominantly directed towards </w:t>
      </w:r>
      <w:r w:rsidR="00D71909">
        <w:rPr>
          <w:rFonts w:ascii="Garamond" w:hAnsi="Garamond"/>
          <w:sz w:val="20"/>
          <w:szCs w:val="20"/>
        </w:rPr>
        <w:t xml:space="preserve">areas like </w:t>
      </w:r>
      <w:proofErr w:type="spellStart"/>
      <w:r w:rsidRPr="00CF1646">
        <w:rPr>
          <w:rFonts w:ascii="Garamond" w:hAnsi="Garamond"/>
          <w:sz w:val="20"/>
          <w:szCs w:val="20"/>
        </w:rPr>
        <w:t>Gamboa</w:t>
      </w:r>
      <w:proofErr w:type="spellEnd"/>
      <w:r w:rsidR="007954A5">
        <w:rPr>
          <w:rFonts w:ascii="Garamond" w:hAnsi="Garamond"/>
          <w:sz w:val="20"/>
          <w:szCs w:val="20"/>
        </w:rPr>
        <w:t xml:space="preserve"> and Santo Cristo i</w:t>
      </w:r>
      <w:r w:rsidR="007954A5" w:rsidRPr="00CF1646">
        <w:rPr>
          <w:rFonts w:ascii="Garamond" w:hAnsi="Garamond"/>
          <w:sz w:val="20"/>
          <w:szCs w:val="20"/>
        </w:rPr>
        <w:t>n the central dist</w:t>
      </w:r>
      <w:r w:rsidR="007954A5">
        <w:rPr>
          <w:rFonts w:ascii="Garamond" w:hAnsi="Garamond"/>
          <w:sz w:val="20"/>
          <w:szCs w:val="20"/>
        </w:rPr>
        <w:t>rict</w:t>
      </w:r>
      <w:r w:rsidR="007954A5">
        <w:rPr>
          <w:rFonts w:ascii="Garamond" w:hAnsi="Garamond"/>
          <w:sz w:val="20"/>
          <w:szCs w:val="20"/>
        </w:rPr>
        <w:t xml:space="preserve"> </w:t>
      </w:r>
      <w:r w:rsidR="00B76F98">
        <w:rPr>
          <w:rFonts w:ascii="Garamond" w:hAnsi="Garamond"/>
          <w:sz w:val="20"/>
          <w:szCs w:val="20"/>
        </w:rPr>
        <w:t>(</w:t>
      </w:r>
      <w:r w:rsidR="007954A5">
        <w:rPr>
          <w:rFonts w:ascii="Garamond" w:hAnsi="Garamond"/>
          <w:sz w:val="20"/>
          <w:szCs w:val="20"/>
        </w:rPr>
        <w:t xml:space="preserve">incorporating transit arrangements </w:t>
      </w:r>
      <w:r w:rsidR="007954A5">
        <w:rPr>
          <w:rFonts w:ascii="Garamond" w:hAnsi="Garamond"/>
          <w:sz w:val="20"/>
          <w:szCs w:val="20"/>
        </w:rPr>
        <w:t xml:space="preserve">such as the disputed </w:t>
      </w:r>
      <w:r w:rsidR="007954A5">
        <w:rPr>
          <w:rFonts w:ascii="Garamond" w:hAnsi="Garamond"/>
          <w:sz w:val="20"/>
          <w:szCs w:val="20"/>
        </w:rPr>
        <w:t xml:space="preserve">and no longer operational </w:t>
      </w:r>
      <w:proofErr w:type="spellStart"/>
      <w:r w:rsidR="007954A5" w:rsidRPr="007954A5">
        <w:rPr>
          <w:rFonts w:ascii="Garamond" w:hAnsi="Garamond"/>
          <w:sz w:val="20"/>
          <w:szCs w:val="20"/>
        </w:rPr>
        <w:t>Providência</w:t>
      </w:r>
      <w:proofErr w:type="spellEnd"/>
      <w:r w:rsidR="007954A5" w:rsidRPr="007954A5">
        <w:rPr>
          <w:rFonts w:ascii="Garamond" w:hAnsi="Garamond"/>
          <w:sz w:val="20"/>
          <w:szCs w:val="20"/>
        </w:rPr>
        <w:t xml:space="preserve"> cable car</w:t>
      </w:r>
      <w:r w:rsidR="00B76F98">
        <w:rPr>
          <w:rFonts w:ascii="Garamond" w:hAnsi="Garamond"/>
          <w:sz w:val="20"/>
          <w:szCs w:val="20"/>
        </w:rPr>
        <w:t>)</w:t>
      </w:r>
      <w:r w:rsidR="007954A5">
        <w:rPr>
          <w:rFonts w:ascii="Garamond" w:hAnsi="Garamond"/>
          <w:sz w:val="20"/>
          <w:szCs w:val="20"/>
        </w:rPr>
        <w:t>,</w:t>
      </w:r>
      <w:r w:rsidRPr="00CF1646">
        <w:rPr>
          <w:rFonts w:ascii="Garamond" w:hAnsi="Garamond"/>
          <w:sz w:val="20"/>
          <w:szCs w:val="20"/>
        </w:rPr>
        <w:t xml:space="preserve"> to </w:t>
      </w:r>
      <w:r w:rsidR="00333CC0">
        <w:rPr>
          <w:rFonts w:ascii="Garamond" w:hAnsi="Garamond"/>
          <w:sz w:val="20"/>
          <w:szCs w:val="20"/>
        </w:rPr>
        <w:t xml:space="preserve">the </w:t>
      </w:r>
      <w:r w:rsidRPr="00CF1646">
        <w:rPr>
          <w:rFonts w:ascii="Garamond" w:hAnsi="Garamond"/>
          <w:sz w:val="20"/>
          <w:szCs w:val="20"/>
        </w:rPr>
        <w:t xml:space="preserve">Santos Dumont terminal </w:t>
      </w:r>
      <w:r w:rsidR="00333CC0">
        <w:rPr>
          <w:rFonts w:ascii="Garamond" w:hAnsi="Garamond"/>
          <w:sz w:val="20"/>
          <w:szCs w:val="20"/>
        </w:rPr>
        <w:t xml:space="preserve">situated near </w:t>
      </w:r>
      <w:r w:rsidR="00333CC0" w:rsidRPr="00333CC0">
        <w:rPr>
          <w:rFonts w:ascii="Garamond" w:hAnsi="Garamond"/>
          <w:sz w:val="20"/>
          <w:szCs w:val="20"/>
        </w:rPr>
        <w:t>Guanabara Bay</w:t>
      </w:r>
      <w:r w:rsidR="00333CC0">
        <w:rPr>
          <w:rFonts w:ascii="Garamond" w:hAnsi="Garamond"/>
          <w:sz w:val="20"/>
          <w:szCs w:val="20"/>
        </w:rPr>
        <w:t xml:space="preserve"> - </w:t>
      </w:r>
      <w:r w:rsidR="002F4681">
        <w:rPr>
          <w:rFonts w:ascii="Garamond" w:hAnsi="Garamond"/>
          <w:sz w:val="20"/>
          <w:szCs w:val="20"/>
        </w:rPr>
        <w:t xml:space="preserve">the Bay </w:t>
      </w:r>
      <w:r w:rsidR="002F4681" w:rsidRPr="001D71A4">
        <w:rPr>
          <w:rFonts w:ascii="Garamond" w:hAnsi="Garamond"/>
          <w:sz w:val="20"/>
          <w:szCs w:val="20"/>
        </w:rPr>
        <w:t>(</w:t>
      </w:r>
      <w:r w:rsidR="001D71A4">
        <w:rPr>
          <w:rFonts w:ascii="Garamond" w:hAnsi="Garamond"/>
          <w:sz w:val="20"/>
          <w:szCs w:val="20"/>
        </w:rPr>
        <w:t xml:space="preserve">specifically </w:t>
      </w:r>
      <w:r w:rsidR="00B76F98" w:rsidRPr="00B76F98">
        <w:rPr>
          <w:rFonts w:ascii="Garamond" w:hAnsi="Garamond"/>
          <w:sz w:val="20"/>
          <w:szCs w:val="20"/>
        </w:rPr>
        <w:t xml:space="preserve">Marina da </w:t>
      </w:r>
      <w:proofErr w:type="spellStart"/>
      <w:r w:rsidR="00B76F98" w:rsidRPr="00B76F98">
        <w:rPr>
          <w:rFonts w:ascii="Garamond" w:hAnsi="Garamond"/>
          <w:sz w:val="20"/>
          <w:szCs w:val="20"/>
        </w:rPr>
        <w:t>Glória</w:t>
      </w:r>
      <w:proofErr w:type="spellEnd"/>
      <w:r w:rsidR="00D71909">
        <w:rPr>
          <w:rFonts w:ascii="Garamond" w:hAnsi="Garamond"/>
          <w:sz w:val="20"/>
          <w:szCs w:val="20"/>
        </w:rPr>
        <w:t xml:space="preserve"> </w:t>
      </w:r>
      <w:r w:rsidR="001D71A4">
        <w:rPr>
          <w:rFonts w:ascii="Garamond" w:hAnsi="Garamond"/>
          <w:sz w:val="20"/>
          <w:szCs w:val="20"/>
        </w:rPr>
        <w:t>formed part of the</w:t>
      </w:r>
      <w:r w:rsidR="002F4681" w:rsidRPr="001D71A4">
        <w:rPr>
          <w:rFonts w:ascii="Garamond" w:hAnsi="Garamond"/>
          <w:sz w:val="20"/>
          <w:szCs w:val="20"/>
        </w:rPr>
        <w:t xml:space="preserve"> </w:t>
      </w:r>
      <w:proofErr w:type="spellStart"/>
      <w:r w:rsidR="002F4681" w:rsidRPr="001D71A4">
        <w:rPr>
          <w:rFonts w:ascii="Garamond" w:hAnsi="Garamond"/>
          <w:sz w:val="20"/>
          <w:szCs w:val="20"/>
        </w:rPr>
        <w:t>Flamengo</w:t>
      </w:r>
      <w:proofErr w:type="spellEnd"/>
      <w:r w:rsidR="002F4681" w:rsidRPr="001D71A4">
        <w:rPr>
          <w:rFonts w:ascii="Garamond" w:hAnsi="Garamond"/>
          <w:sz w:val="20"/>
          <w:szCs w:val="20"/>
        </w:rPr>
        <w:t xml:space="preserve"> Park</w:t>
      </w:r>
      <w:r w:rsidR="001D71A4">
        <w:rPr>
          <w:rFonts w:ascii="Garamond" w:hAnsi="Garamond"/>
          <w:sz w:val="20"/>
          <w:szCs w:val="20"/>
        </w:rPr>
        <w:t xml:space="preserve"> cluster</w:t>
      </w:r>
      <w:r w:rsidR="002F4681" w:rsidRPr="001D71A4">
        <w:rPr>
          <w:rFonts w:ascii="Garamond" w:hAnsi="Garamond"/>
          <w:sz w:val="20"/>
          <w:szCs w:val="20"/>
        </w:rPr>
        <w:t xml:space="preserve">) </w:t>
      </w:r>
      <w:r w:rsidR="002F4681">
        <w:rPr>
          <w:rFonts w:ascii="Garamond" w:hAnsi="Garamond"/>
          <w:sz w:val="20"/>
          <w:szCs w:val="20"/>
        </w:rPr>
        <w:t xml:space="preserve">was deployed as the </w:t>
      </w:r>
      <w:r w:rsidR="001D71A4">
        <w:rPr>
          <w:rFonts w:ascii="Garamond" w:hAnsi="Garamond"/>
          <w:sz w:val="20"/>
          <w:szCs w:val="20"/>
        </w:rPr>
        <w:t xml:space="preserve">primary </w:t>
      </w:r>
      <w:r w:rsidR="002F4681">
        <w:rPr>
          <w:rFonts w:ascii="Garamond" w:hAnsi="Garamond"/>
          <w:sz w:val="20"/>
          <w:szCs w:val="20"/>
        </w:rPr>
        <w:t xml:space="preserve">sailing venue at Rio 2016 </w:t>
      </w:r>
      <w:r w:rsidRPr="001D71A4">
        <w:rPr>
          <w:rFonts w:ascii="Garamond" w:hAnsi="Garamond"/>
          <w:sz w:val="20"/>
          <w:szCs w:val="20"/>
        </w:rPr>
        <w:t>(</w:t>
      </w:r>
      <w:proofErr w:type="spellStart"/>
      <w:r w:rsidRPr="001D71A4">
        <w:rPr>
          <w:rFonts w:ascii="Garamond" w:hAnsi="Garamond"/>
          <w:sz w:val="20"/>
          <w:szCs w:val="20"/>
        </w:rPr>
        <w:t>Carvalho</w:t>
      </w:r>
      <w:proofErr w:type="spellEnd"/>
      <w:r w:rsidRPr="001D71A4">
        <w:rPr>
          <w:rFonts w:ascii="Garamond" w:hAnsi="Garamond"/>
          <w:sz w:val="20"/>
          <w:szCs w:val="20"/>
        </w:rPr>
        <w:t xml:space="preserve">, </w:t>
      </w:r>
      <w:proofErr w:type="spellStart"/>
      <w:r w:rsidRPr="001D71A4">
        <w:rPr>
          <w:rFonts w:ascii="Garamond" w:hAnsi="Garamond"/>
          <w:sz w:val="20"/>
          <w:szCs w:val="20"/>
        </w:rPr>
        <w:t>Cavalcanti</w:t>
      </w:r>
      <w:proofErr w:type="spellEnd"/>
      <w:r w:rsidRPr="001D71A4">
        <w:rPr>
          <w:rFonts w:ascii="Garamond" w:hAnsi="Garamond"/>
          <w:sz w:val="20"/>
          <w:szCs w:val="20"/>
        </w:rPr>
        <w:t xml:space="preserve"> &amp; </w:t>
      </w:r>
      <w:proofErr w:type="spellStart"/>
      <w:r w:rsidRPr="001D71A4">
        <w:rPr>
          <w:rFonts w:ascii="Garamond" w:hAnsi="Garamond"/>
          <w:sz w:val="20"/>
          <w:szCs w:val="20"/>
        </w:rPr>
        <w:t>Venuturupalli</w:t>
      </w:r>
      <w:proofErr w:type="spellEnd"/>
      <w:r w:rsidRPr="001D71A4">
        <w:rPr>
          <w:rFonts w:ascii="Garamond" w:hAnsi="Garamond"/>
          <w:sz w:val="20"/>
          <w:szCs w:val="20"/>
        </w:rPr>
        <w:t>, 2016; CDURP, 2016</w:t>
      </w:r>
      <w:r w:rsidR="00B76F98">
        <w:rPr>
          <w:rFonts w:ascii="Garamond" w:hAnsi="Garamond"/>
          <w:sz w:val="20"/>
          <w:szCs w:val="20"/>
        </w:rPr>
        <w:t xml:space="preserve">; </w:t>
      </w:r>
      <w:r w:rsidR="00B76F98" w:rsidRPr="00CF1646">
        <w:rPr>
          <w:rFonts w:ascii="Garamond" w:hAnsi="Garamond"/>
          <w:sz w:val="20"/>
          <w:szCs w:val="20"/>
        </w:rPr>
        <w:t>Rio 2016, 2009a</w:t>
      </w:r>
      <w:r w:rsidR="00B76F98">
        <w:rPr>
          <w:rFonts w:ascii="Garamond" w:hAnsi="Garamond"/>
          <w:sz w:val="20"/>
          <w:szCs w:val="20"/>
        </w:rPr>
        <w:t xml:space="preserve">; Zimbalist, </w:t>
      </w:r>
      <w:r w:rsidR="00B76F98" w:rsidRPr="00B76F98">
        <w:rPr>
          <w:rFonts w:ascii="Garamond" w:hAnsi="Garamond"/>
          <w:sz w:val="20"/>
          <w:szCs w:val="20"/>
        </w:rPr>
        <w:t>2017</w:t>
      </w:r>
      <w:r w:rsidRPr="001D71A4">
        <w:rPr>
          <w:rFonts w:ascii="Garamond" w:hAnsi="Garamond"/>
          <w:sz w:val="20"/>
          <w:szCs w:val="20"/>
        </w:rPr>
        <w:t xml:space="preserve">). </w:t>
      </w:r>
      <w:r w:rsidRPr="00CF1646">
        <w:rPr>
          <w:rFonts w:ascii="Garamond" w:hAnsi="Garamond"/>
          <w:sz w:val="20"/>
          <w:szCs w:val="20"/>
        </w:rPr>
        <w:t>Although, this planning and intervention failed to establish and solidify services and incorporate disparate key Olympic venues and facilities. To illustrate this, both locals a</w:t>
      </w:r>
      <w:r w:rsidR="00891C3E">
        <w:rPr>
          <w:rFonts w:ascii="Garamond" w:hAnsi="Garamond"/>
          <w:sz w:val="20"/>
          <w:szCs w:val="20"/>
        </w:rPr>
        <w:t>nd visitors struggled to move</w:t>
      </w:r>
      <w:r w:rsidRPr="00CF1646">
        <w:rPr>
          <w:rFonts w:ascii="Garamond" w:hAnsi="Garamond"/>
          <w:sz w:val="20"/>
          <w:szCs w:val="20"/>
        </w:rPr>
        <w:t xml:space="preserve"> </w:t>
      </w:r>
      <w:r w:rsidR="00891C3E">
        <w:rPr>
          <w:rFonts w:ascii="Garamond" w:hAnsi="Garamond"/>
          <w:sz w:val="20"/>
          <w:szCs w:val="20"/>
        </w:rPr>
        <w:t xml:space="preserve">quickly and </w:t>
      </w:r>
      <w:r w:rsidRPr="00CF1646">
        <w:rPr>
          <w:rFonts w:ascii="Garamond" w:hAnsi="Garamond"/>
          <w:sz w:val="20"/>
          <w:szCs w:val="20"/>
        </w:rPr>
        <w:t xml:space="preserve">efficiently between sites located across the city. For example, Porto </w:t>
      </w:r>
      <w:proofErr w:type="spellStart"/>
      <w:r w:rsidRPr="00CF1646">
        <w:rPr>
          <w:rFonts w:ascii="Garamond" w:hAnsi="Garamond"/>
          <w:sz w:val="20"/>
          <w:szCs w:val="20"/>
        </w:rPr>
        <w:t>Maravilha</w:t>
      </w:r>
      <w:proofErr w:type="spellEnd"/>
      <w:r w:rsidRPr="00CF1646">
        <w:rPr>
          <w:rFonts w:ascii="Garamond" w:hAnsi="Garamond"/>
          <w:sz w:val="20"/>
          <w:szCs w:val="20"/>
        </w:rPr>
        <w:t xml:space="preserve"> (and Olympic Boulevard), a</w:t>
      </w:r>
      <w:r w:rsidR="00B76F98">
        <w:rPr>
          <w:rFonts w:ascii="Garamond" w:hAnsi="Garamond"/>
          <w:sz w:val="20"/>
          <w:szCs w:val="20"/>
        </w:rPr>
        <w:t xml:space="preserve"> Live Site in the central area, </w:t>
      </w:r>
      <w:proofErr w:type="spellStart"/>
      <w:r w:rsidRPr="00CF1646">
        <w:rPr>
          <w:rFonts w:ascii="Garamond" w:hAnsi="Garamond"/>
          <w:sz w:val="20"/>
          <w:szCs w:val="20"/>
        </w:rPr>
        <w:t>Deodoro</w:t>
      </w:r>
      <w:proofErr w:type="spellEnd"/>
      <w:r w:rsidRPr="00CF1646">
        <w:rPr>
          <w:rFonts w:ascii="Garamond" w:hAnsi="Garamond"/>
          <w:sz w:val="20"/>
          <w:szCs w:val="20"/>
        </w:rPr>
        <w:t xml:space="preserve"> Park in the North Zone, Barra Olympic Park in the West Zone</w:t>
      </w:r>
      <w:r w:rsidR="00B76F98">
        <w:rPr>
          <w:rFonts w:ascii="Garamond" w:hAnsi="Garamond"/>
          <w:sz w:val="20"/>
          <w:szCs w:val="20"/>
        </w:rPr>
        <w:t xml:space="preserve">, </w:t>
      </w:r>
      <w:proofErr w:type="spellStart"/>
      <w:r w:rsidR="00B76F98">
        <w:rPr>
          <w:rFonts w:ascii="Garamond" w:hAnsi="Garamond"/>
          <w:sz w:val="20"/>
          <w:szCs w:val="20"/>
        </w:rPr>
        <w:t>Flamengo</w:t>
      </w:r>
      <w:proofErr w:type="spellEnd"/>
      <w:r w:rsidR="00B76F98">
        <w:rPr>
          <w:rFonts w:ascii="Garamond" w:hAnsi="Garamond"/>
          <w:sz w:val="20"/>
          <w:szCs w:val="20"/>
        </w:rPr>
        <w:t xml:space="preserve"> Park</w:t>
      </w:r>
      <w:r w:rsidR="00D71909">
        <w:rPr>
          <w:rFonts w:ascii="Garamond" w:hAnsi="Garamond"/>
          <w:sz w:val="20"/>
          <w:szCs w:val="20"/>
        </w:rPr>
        <w:t xml:space="preserve">, and </w:t>
      </w:r>
      <w:proofErr w:type="spellStart"/>
      <w:r w:rsidR="00D71909">
        <w:rPr>
          <w:rFonts w:ascii="Garamond" w:hAnsi="Garamond"/>
          <w:sz w:val="20"/>
          <w:szCs w:val="20"/>
        </w:rPr>
        <w:t>Lagoa</w:t>
      </w:r>
      <w:proofErr w:type="spellEnd"/>
      <w:r w:rsidR="00D71909">
        <w:rPr>
          <w:rFonts w:ascii="Garamond" w:hAnsi="Garamond"/>
          <w:sz w:val="20"/>
          <w:szCs w:val="20"/>
        </w:rPr>
        <w:t xml:space="preserve"> Stadium -</w:t>
      </w:r>
      <w:r w:rsidRPr="00CF1646">
        <w:rPr>
          <w:rFonts w:ascii="Garamond" w:hAnsi="Garamond"/>
          <w:sz w:val="20"/>
          <w:szCs w:val="20"/>
        </w:rPr>
        <w:t xml:space="preserve"> adjacent to Copacabana (South Zone), and home to the rowing and cano</w:t>
      </w:r>
      <w:r w:rsidR="00891C3E">
        <w:rPr>
          <w:rFonts w:ascii="Garamond" w:hAnsi="Garamond"/>
          <w:sz w:val="20"/>
          <w:szCs w:val="20"/>
        </w:rPr>
        <w:t>e</w:t>
      </w:r>
      <w:r w:rsidRPr="00CF1646">
        <w:rPr>
          <w:rFonts w:ascii="Garamond" w:hAnsi="Garamond"/>
          <w:sz w:val="20"/>
          <w:szCs w:val="20"/>
        </w:rPr>
        <w:t>ing competitions and international broadcasters during the Games (</w:t>
      </w:r>
      <w:proofErr w:type="spellStart"/>
      <w:r w:rsidRPr="00CF1646">
        <w:rPr>
          <w:rFonts w:ascii="Garamond" w:hAnsi="Garamond"/>
          <w:sz w:val="20"/>
          <w:szCs w:val="20"/>
        </w:rPr>
        <w:t>Carvalho</w:t>
      </w:r>
      <w:proofErr w:type="spellEnd"/>
      <w:r w:rsidRPr="00CF1646">
        <w:rPr>
          <w:rFonts w:ascii="Garamond" w:hAnsi="Garamond"/>
          <w:sz w:val="20"/>
          <w:szCs w:val="20"/>
        </w:rPr>
        <w:t xml:space="preserve">, </w:t>
      </w:r>
      <w:proofErr w:type="spellStart"/>
      <w:r w:rsidRPr="00CF1646">
        <w:rPr>
          <w:rFonts w:ascii="Garamond" w:hAnsi="Garamond"/>
          <w:sz w:val="20"/>
          <w:szCs w:val="20"/>
        </w:rPr>
        <w:t>Cavalcanti</w:t>
      </w:r>
      <w:proofErr w:type="spellEnd"/>
      <w:r w:rsidRPr="00CF1646">
        <w:rPr>
          <w:rFonts w:ascii="Garamond" w:hAnsi="Garamond"/>
          <w:sz w:val="20"/>
          <w:szCs w:val="20"/>
        </w:rPr>
        <w:t xml:space="preserve"> &amp; </w:t>
      </w:r>
      <w:proofErr w:type="spellStart"/>
      <w:r w:rsidRPr="00CF1646">
        <w:rPr>
          <w:rFonts w:ascii="Garamond" w:hAnsi="Garamond"/>
          <w:sz w:val="20"/>
          <w:szCs w:val="20"/>
        </w:rPr>
        <w:t>Venuturupalli</w:t>
      </w:r>
      <w:proofErr w:type="spellEnd"/>
      <w:r w:rsidRPr="00CF1646">
        <w:rPr>
          <w:rFonts w:ascii="Garamond" w:hAnsi="Garamond"/>
          <w:sz w:val="20"/>
          <w:szCs w:val="20"/>
        </w:rPr>
        <w:t>, 2016; IOC, 2016</w:t>
      </w:r>
      <w:r w:rsidR="00B76F98">
        <w:rPr>
          <w:rFonts w:ascii="Garamond" w:hAnsi="Garamond"/>
          <w:sz w:val="20"/>
          <w:szCs w:val="20"/>
        </w:rPr>
        <w:t xml:space="preserve">; </w:t>
      </w:r>
      <w:r w:rsidR="00B76F98" w:rsidRPr="00CF1646">
        <w:rPr>
          <w:rFonts w:ascii="Garamond" w:hAnsi="Garamond"/>
          <w:sz w:val="20"/>
          <w:szCs w:val="20"/>
        </w:rPr>
        <w:t>Rio 2016, 2009a</w:t>
      </w:r>
      <w:r w:rsidRPr="00CF1646">
        <w:rPr>
          <w:rFonts w:ascii="Garamond" w:hAnsi="Garamond"/>
          <w:sz w:val="20"/>
          <w:szCs w:val="20"/>
        </w:rPr>
        <w:t xml:space="preserve">). As such, urban locations are largely dependent on </w:t>
      </w:r>
      <w:proofErr w:type="spellStart"/>
      <w:r w:rsidRPr="00CF1646">
        <w:rPr>
          <w:rFonts w:ascii="Garamond" w:hAnsi="Garamond"/>
          <w:sz w:val="20"/>
          <w:szCs w:val="20"/>
        </w:rPr>
        <w:t>giga</w:t>
      </w:r>
      <w:proofErr w:type="spellEnd"/>
      <w:r w:rsidRPr="00CF1646">
        <w:rPr>
          <w:rFonts w:ascii="Garamond" w:hAnsi="Garamond"/>
          <w:sz w:val="20"/>
          <w:szCs w:val="20"/>
        </w:rPr>
        <w:t xml:space="preserve">-event planning, organisation and design which underpin these </w:t>
      </w:r>
      <w:r w:rsidR="00891C3E">
        <w:rPr>
          <w:rFonts w:ascii="Garamond" w:hAnsi="Garamond"/>
          <w:sz w:val="20"/>
          <w:szCs w:val="20"/>
        </w:rPr>
        <w:t>spaces</w:t>
      </w:r>
      <w:r w:rsidRPr="00CF1646">
        <w:rPr>
          <w:rFonts w:ascii="Garamond" w:hAnsi="Garamond"/>
          <w:sz w:val="20"/>
          <w:szCs w:val="20"/>
        </w:rPr>
        <w:t xml:space="preserve">. To capitalise on the co-creation of </w:t>
      </w:r>
      <w:proofErr w:type="spellStart"/>
      <w:r w:rsidRPr="00CF1646">
        <w:rPr>
          <w:rFonts w:ascii="Garamond" w:hAnsi="Garamond"/>
          <w:sz w:val="20"/>
          <w:szCs w:val="20"/>
        </w:rPr>
        <w:t>giga</w:t>
      </w:r>
      <w:proofErr w:type="spellEnd"/>
      <w:r w:rsidRPr="00CF1646">
        <w:rPr>
          <w:rFonts w:ascii="Garamond" w:hAnsi="Garamond"/>
          <w:sz w:val="20"/>
          <w:szCs w:val="20"/>
        </w:rPr>
        <w:t>-event spaces</w:t>
      </w:r>
      <w:r w:rsidR="00D71909">
        <w:rPr>
          <w:rFonts w:ascii="Garamond" w:hAnsi="Garamond"/>
          <w:sz w:val="20"/>
          <w:szCs w:val="20"/>
        </w:rPr>
        <w:t xml:space="preserve"> and visitor flows, </w:t>
      </w:r>
      <w:r w:rsidRPr="00CF1646">
        <w:rPr>
          <w:rFonts w:ascii="Garamond" w:hAnsi="Garamond"/>
          <w:sz w:val="20"/>
          <w:szCs w:val="20"/>
        </w:rPr>
        <w:t>HEZ’s</w:t>
      </w:r>
      <w:r w:rsidR="00D71909">
        <w:rPr>
          <w:rFonts w:ascii="Garamond" w:hAnsi="Garamond"/>
          <w:sz w:val="20"/>
          <w:szCs w:val="20"/>
        </w:rPr>
        <w:t xml:space="preserve"> </w:t>
      </w:r>
      <w:r w:rsidR="00D71909">
        <w:rPr>
          <w:rFonts w:ascii="Garamond" w:hAnsi="Garamond"/>
          <w:sz w:val="20"/>
          <w:szCs w:val="20"/>
        </w:rPr>
        <w:t>organisers</w:t>
      </w:r>
      <w:r w:rsidRPr="00CF1646">
        <w:rPr>
          <w:rFonts w:ascii="Garamond" w:hAnsi="Garamond"/>
          <w:sz w:val="20"/>
          <w:szCs w:val="20"/>
        </w:rPr>
        <w:t xml:space="preserve"> could take advantage of digital and online technology as a</w:t>
      </w:r>
      <w:r w:rsidR="00891C3E">
        <w:rPr>
          <w:rFonts w:ascii="Garamond" w:hAnsi="Garamond"/>
          <w:sz w:val="20"/>
          <w:szCs w:val="20"/>
        </w:rPr>
        <w:t>n</w:t>
      </w:r>
      <w:r w:rsidRPr="00CF1646">
        <w:rPr>
          <w:rFonts w:ascii="Garamond" w:hAnsi="Garamond"/>
          <w:sz w:val="20"/>
          <w:szCs w:val="20"/>
        </w:rPr>
        <w:t xml:space="preserve"> </w:t>
      </w:r>
      <w:r w:rsidR="00891C3E">
        <w:rPr>
          <w:rFonts w:ascii="Garamond" w:hAnsi="Garamond"/>
          <w:sz w:val="20"/>
          <w:szCs w:val="20"/>
        </w:rPr>
        <w:t xml:space="preserve">emerging </w:t>
      </w:r>
      <w:r w:rsidRPr="00CF1646">
        <w:rPr>
          <w:rFonts w:ascii="Garamond" w:hAnsi="Garamond"/>
          <w:sz w:val="20"/>
          <w:szCs w:val="20"/>
        </w:rPr>
        <w:t xml:space="preserve">resource. Innovations in smart and cloud enabled devices and tools unlock the possibilities of users to co-curate the role and format of these live event spaces. Digital and virtual technological </w:t>
      </w:r>
      <w:r w:rsidRPr="00CF1646">
        <w:rPr>
          <w:rFonts w:ascii="Garamond" w:hAnsi="Garamond"/>
          <w:sz w:val="20"/>
          <w:szCs w:val="20"/>
        </w:rPr>
        <w:lastRenderedPageBreak/>
        <w:t>platforms (e.g. augmented reality) have the potential to facilitate liminal space and enhance the liminal event experiences for visitors and attendees (Robertson, Yeoman, Smith &amp; McMahon-Beattie, 2015). As part of the live event hosting, digital communication upgrades can enable freer participation from micro and sma</w:t>
      </w:r>
      <w:r w:rsidR="00076F72">
        <w:rPr>
          <w:rFonts w:ascii="Garamond" w:hAnsi="Garamond"/>
          <w:sz w:val="20"/>
          <w:szCs w:val="20"/>
        </w:rPr>
        <w:t>ll businesses directly linked to</w:t>
      </w:r>
      <w:r w:rsidRPr="00CF1646">
        <w:rPr>
          <w:rFonts w:ascii="Garamond" w:hAnsi="Garamond"/>
          <w:sz w:val="20"/>
          <w:szCs w:val="20"/>
        </w:rPr>
        <w:t xml:space="preserve"> these digital interactions. Technology development and tapping into deeper levels of physical engagement between locals and visitors were stipulated to be at the core of the Rio 2016 host city plans. Additionally, virtual reality technology was used for the first time at the Rio 2016 Olympic Games (ARUP, 2017). Rio 2016 (2009b) expressed their intentions for supporting connectivity and peak, digital engagement in competition venues and Live Sites. At Casa </w:t>
      </w:r>
      <w:proofErr w:type="spellStart"/>
      <w:r w:rsidRPr="00CF1646">
        <w:rPr>
          <w:rFonts w:ascii="Garamond" w:hAnsi="Garamond"/>
          <w:sz w:val="20"/>
          <w:szCs w:val="20"/>
        </w:rPr>
        <w:t>Brasil</w:t>
      </w:r>
      <w:proofErr w:type="spellEnd"/>
      <w:r w:rsidRPr="00CF1646">
        <w:rPr>
          <w:rFonts w:ascii="Garamond" w:hAnsi="Garamond"/>
          <w:sz w:val="20"/>
          <w:szCs w:val="20"/>
        </w:rPr>
        <w:t xml:space="preserve">, a Porto </w:t>
      </w:r>
      <w:proofErr w:type="spellStart"/>
      <w:r w:rsidRPr="00CF1646">
        <w:rPr>
          <w:rFonts w:ascii="Garamond" w:hAnsi="Garamond"/>
          <w:sz w:val="20"/>
          <w:szCs w:val="20"/>
        </w:rPr>
        <w:t>Maravilha</w:t>
      </w:r>
      <w:proofErr w:type="spellEnd"/>
      <w:r w:rsidRPr="00CF1646">
        <w:rPr>
          <w:rFonts w:ascii="Garamond" w:hAnsi="Garamond"/>
          <w:sz w:val="20"/>
          <w:szCs w:val="20"/>
        </w:rPr>
        <w:t xml:space="preserve"> installation, state-of-the-art audio-visual technology and interactive spaces were integrated and exhibited for cultural events, seminars and workshops (Brazilian Ministry of Sport, 2016). Digital developments (e.g. an interactive port guide) and smart-based solutions in partnership with Cisco housed at the base of Porto </w:t>
      </w:r>
      <w:proofErr w:type="spellStart"/>
      <w:r w:rsidRPr="00CF1646">
        <w:rPr>
          <w:rFonts w:ascii="Garamond" w:hAnsi="Garamond"/>
          <w:sz w:val="20"/>
          <w:szCs w:val="20"/>
        </w:rPr>
        <w:t>Maravilha</w:t>
      </w:r>
      <w:proofErr w:type="spellEnd"/>
      <w:r w:rsidRPr="00CF1646">
        <w:rPr>
          <w:rFonts w:ascii="Garamond" w:hAnsi="Garamond"/>
          <w:sz w:val="20"/>
          <w:szCs w:val="20"/>
        </w:rPr>
        <w:t xml:space="preserve"> included an Urban Innovation Challenge and a connected urban platform unveiled in July 2016 (</w:t>
      </w:r>
      <w:proofErr w:type="spellStart"/>
      <w:r w:rsidRPr="00CF1646">
        <w:rPr>
          <w:rFonts w:ascii="Garamond" w:hAnsi="Garamond"/>
          <w:sz w:val="20"/>
          <w:szCs w:val="20"/>
        </w:rPr>
        <w:t>Uchoa</w:t>
      </w:r>
      <w:proofErr w:type="spellEnd"/>
      <w:r w:rsidRPr="00CF1646">
        <w:rPr>
          <w:rFonts w:ascii="Garamond" w:hAnsi="Garamond"/>
          <w:sz w:val="20"/>
          <w:szCs w:val="20"/>
        </w:rPr>
        <w:t xml:space="preserve"> &amp; Barros, 2017; </w:t>
      </w:r>
      <w:proofErr w:type="spellStart"/>
      <w:r w:rsidRPr="00CF1646">
        <w:rPr>
          <w:rFonts w:ascii="Garamond" w:hAnsi="Garamond"/>
          <w:sz w:val="20"/>
          <w:szCs w:val="20"/>
        </w:rPr>
        <w:t>Carino</w:t>
      </w:r>
      <w:proofErr w:type="spellEnd"/>
      <w:r w:rsidRPr="00CF1646">
        <w:rPr>
          <w:rFonts w:ascii="Garamond" w:hAnsi="Garamond"/>
          <w:sz w:val="20"/>
          <w:szCs w:val="20"/>
        </w:rPr>
        <w:t xml:space="preserve"> &amp; </w:t>
      </w:r>
      <w:proofErr w:type="spellStart"/>
      <w:r w:rsidRPr="00CF1646">
        <w:rPr>
          <w:rFonts w:ascii="Garamond" w:hAnsi="Garamond"/>
          <w:sz w:val="20"/>
          <w:szCs w:val="20"/>
        </w:rPr>
        <w:t>Dantas</w:t>
      </w:r>
      <w:proofErr w:type="spellEnd"/>
      <w:r w:rsidRPr="00CF1646">
        <w:rPr>
          <w:rFonts w:ascii="Garamond" w:hAnsi="Garamond"/>
          <w:sz w:val="20"/>
          <w:szCs w:val="20"/>
        </w:rPr>
        <w:t xml:space="preserve">, 2017). Growth and opportunities arise from coordinating ‘Live Site’ </w:t>
      </w:r>
      <w:proofErr w:type="spellStart"/>
      <w:r w:rsidRPr="00CF1646">
        <w:rPr>
          <w:rFonts w:ascii="Garamond" w:hAnsi="Garamond"/>
          <w:sz w:val="20"/>
          <w:szCs w:val="20"/>
        </w:rPr>
        <w:t>giga</w:t>
      </w:r>
      <w:proofErr w:type="spellEnd"/>
      <w:r w:rsidRPr="00CF1646">
        <w:rPr>
          <w:rFonts w:ascii="Garamond" w:hAnsi="Garamond"/>
          <w:sz w:val="20"/>
          <w:szCs w:val="20"/>
        </w:rPr>
        <w:t>-event digital, immersive environments to consequently increase spectator participation and visitor experiences, from the likes of virtual reality and hand-held devices (ARUP, 2017). Inaccessible host urban centres could be reprogrammed and initiated using digital platforms (e.g. Twitter and Facebook) to provide digital clues to harvest ‘</w:t>
      </w:r>
      <w:proofErr w:type="spellStart"/>
      <w:r w:rsidRPr="00CF1646">
        <w:rPr>
          <w:rFonts w:ascii="Garamond" w:hAnsi="Garamond"/>
          <w:sz w:val="20"/>
          <w:szCs w:val="20"/>
        </w:rPr>
        <w:t>liminoid</w:t>
      </w:r>
      <w:proofErr w:type="spellEnd"/>
      <w:r w:rsidRPr="00CF1646">
        <w:rPr>
          <w:rFonts w:ascii="Garamond" w:hAnsi="Garamond"/>
          <w:sz w:val="20"/>
          <w:szCs w:val="20"/>
        </w:rPr>
        <w:t xml:space="preserve"> spaces’ for local traders to engage consumers in critical consumption (Duignan et al., 2017). This attempts to </w:t>
      </w:r>
      <w:r w:rsidR="00076F72">
        <w:rPr>
          <w:rFonts w:ascii="Garamond" w:hAnsi="Garamond"/>
          <w:sz w:val="20"/>
          <w:szCs w:val="20"/>
        </w:rPr>
        <w:t xml:space="preserve">divert and </w:t>
      </w:r>
      <w:r w:rsidRPr="00CF1646">
        <w:rPr>
          <w:rFonts w:ascii="Garamond" w:hAnsi="Garamond"/>
          <w:sz w:val="20"/>
          <w:szCs w:val="20"/>
        </w:rPr>
        <w:t xml:space="preserve">overcome the ‘core’ traditional business, in exchange for the cultivation of active digital engagement. Hence, </w:t>
      </w:r>
      <w:proofErr w:type="spellStart"/>
      <w:r w:rsidRPr="00CF1646">
        <w:rPr>
          <w:rFonts w:ascii="Garamond" w:hAnsi="Garamond"/>
          <w:sz w:val="20"/>
          <w:szCs w:val="20"/>
        </w:rPr>
        <w:t>recompensating</w:t>
      </w:r>
      <w:proofErr w:type="spellEnd"/>
      <w:r w:rsidRPr="00CF1646">
        <w:rPr>
          <w:rFonts w:ascii="Garamond" w:hAnsi="Garamond"/>
          <w:sz w:val="20"/>
          <w:szCs w:val="20"/>
        </w:rPr>
        <w:t xml:space="preserve"> and shifting demand to the peripheral locality to heighten micro and </w:t>
      </w:r>
      <w:r w:rsidR="00076F72">
        <w:rPr>
          <w:rFonts w:ascii="Garamond" w:hAnsi="Garamond"/>
          <w:sz w:val="20"/>
          <w:szCs w:val="20"/>
        </w:rPr>
        <w:t>small business movements</w:t>
      </w:r>
      <w:r w:rsidRPr="00CF1646">
        <w:rPr>
          <w:rFonts w:ascii="Garamond" w:hAnsi="Garamond"/>
          <w:sz w:val="20"/>
          <w:szCs w:val="20"/>
        </w:rPr>
        <w:t xml:space="preserve">, interactions and desirable host community outcomes across </w:t>
      </w:r>
      <w:proofErr w:type="spellStart"/>
      <w:r w:rsidRPr="00CF1646">
        <w:rPr>
          <w:rFonts w:ascii="Garamond" w:hAnsi="Garamond"/>
          <w:sz w:val="20"/>
          <w:szCs w:val="20"/>
        </w:rPr>
        <w:t>giga</w:t>
      </w:r>
      <w:proofErr w:type="spellEnd"/>
      <w:r w:rsidRPr="00CF1646">
        <w:rPr>
          <w:rFonts w:ascii="Garamond" w:hAnsi="Garamond"/>
          <w:sz w:val="20"/>
          <w:szCs w:val="20"/>
        </w:rPr>
        <w:t>-event spaces.</w:t>
      </w:r>
    </w:p>
    <w:p w:rsidR="005B53CF" w:rsidRPr="00CF1646" w:rsidRDefault="005B53CF" w:rsidP="005B53CF">
      <w:pPr>
        <w:spacing w:line="480" w:lineRule="auto"/>
        <w:rPr>
          <w:rFonts w:ascii="Garamond" w:hAnsi="Garamond"/>
          <w:b/>
          <w:sz w:val="20"/>
          <w:szCs w:val="20"/>
        </w:rPr>
      </w:pPr>
      <w:r w:rsidRPr="00CF1646">
        <w:rPr>
          <w:rFonts w:ascii="Garamond" w:hAnsi="Garamond"/>
          <w:b/>
          <w:sz w:val="20"/>
          <w:szCs w:val="20"/>
        </w:rPr>
        <w:t>Conclusions</w:t>
      </w:r>
    </w:p>
    <w:p w:rsidR="005B53CF" w:rsidRPr="00CF1646" w:rsidRDefault="005B53CF" w:rsidP="005B53CF">
      <w:pPr>
        <w:spacing w:line="480" w:lineRule="auto"/>
        <w:rPr>
          <w:rFonts w:ascii="Garamond" w:hAnsi="Garamond"/>
          <w:sz w:val="20"/>
          <w:szCs w:val="20"/>
        </w:rPr>
      </w:pPr>
      <w:r w:rsidRPr="00CF1646">
        <w:rPr>
          <w:rFonts w:ascii="Garamond" w:hAnsi="Garamond"/>
          <w:sz w:val="20"/>
          <w:szCs w:val="20"/>
        </w:rPr>
        <w:t xml:space="preserve">In summary, our analysis indicates an array of liminal space attributes and informs and addresses a gap in knowledge examining the theoretical and applied works of liminality in the emerging </w:t>
      </w:r>
      <w:proofErr w:type="spellStart"/>
      <w:r w:rsidRPr="00CF1646">
        <w:rPr>
          <w:rFonts w:ascii="Garamond" w:hAnsi="Garamond"/>
          <w:sz w:val="20"/>
          <w:szCs w:val="20"/>
        </w:rPr>
        <w:t>giga</w:t>
      </w:r>
      <w:proofErr w:type="spellEnd"/>
      <w:r w:rsidRPr="00CF1646">
        <w:rPr>
          <w:rFonts w:ascii="Garamond" w:hAnsi="Garamond"/>
          <w:sz w:val="20"/>
          <w:szCs w:val="20"/>
        </w:rPr>
        <w:t xml:space="preserve">-events research domain. Conceptually, the chapter contributes to the types of liminal experiences that can occur in </w:t>
      </w:r>
      <w:proofErr w:type="spellStart"/>
      <w:r w:rsidRPr="00CF1646">
        <w:rPr>
          <w:rFonts w:ascii="Garamond" w:hAnsi="Garamond"/>
          <w:sz w:val="20"/>
          <w:szCs w:val="20"/>
        </w:rPr>
        <w:t>giga</w:t>
      </w:r>
      <w:proofErr w:type="spellEnd"/>
      <w:r w:rsidRPr="00CF1646">
        <w:rPr>
          <w:rFonts w:ascii="Garamond" w:hAnsi="Garamond"/>
          <w:sz w:val="20"/>
          <w:szCs w:val="20"/>
        </w:rPr>
        <w:t>-event contexts, principally the spatial and temporal dimensions of liminality (</w:t>
      </w:r>
      <w:proofErr w:type="spellStart"/>
      <w:r w:rsidRPr="00CF1646">
        <w:rPr>
          <w:rFonts w:ascii="Garamond" w:eastAsia="Georgia" w:hAnsi="Garamond" w:cs="Georgia"/>
          <w:sz w:val="20"/>
          <w:szCs w:val="20"/>
        </w:rPr>
        <w:t>Thomassen</w:t>
      </w:r>
      <w:proofErr w:type="spellEnd"/>
      <w:r w:rsidRPr="00CF1646">
        <w:rPr>
          <w:rFonts w:ascii="Garamond" w:hAnsi="Garamond"/>
          <w:sz w:val="20"/>
          <w:szCs w:val="20"/>
        </w:rPr>
        <w:t xml:space="preserve">, 2009). Although there has been a convergence between liminality and </w:t>
      </w:r>
      <w:proofErr w:type="spellStart"/>
      <w:r w:rsidRPr="00CF1646">
        <w:rPr>
          <w:rFonts w:ascii="Garamond" w:hAnsi="Garamond"/>
          <w:sz w:val="20"/>
          <w:szCs w:val="20"/>
        </w:rPr>
        <w:t>giga</w:t>
      </w:r>
      <w:proofErr w:type="spellEnd"/>
      <w:r w:rsidRPr="00CF1646">
        <w:rPr>
          <w:rFonts w:ascii="Garamond" w:hAnsi="Garamond"/>
          <w:sz w:val="20"/>
          <w:szCs w:val="20"/>
        </w:rPr>
        <w:t xml:space="preserve">-event research, the conceptual tenets are not well understood, and practically speaking, there is scant evidence to illustrate how liminal spaces can be effectively re-imagined for host community benefit in the long-term. From an event organiser and policy </w:t>
      </w:r>
      <w:r w:rsidRPr="00CF1646">
        <w:rPr>
          <w:rFonts w:ascii="Garamond" w:hAnsi="Garamond"/>
          <w:sz w:val="20"/>
          <w:szCs w:val="20"/>
        </w:rPr>
        <w:lastRenderedPageBreak/>
        <w:t xml:space="preserve">perspective, salient recommendations </w:t>
      </w:r>
      <w:r w:rsidR="00076F72">
        <w:rPr>
          <w:rFonts w:ascii="Garamond" w:hAnsi="Garamond"/>
          <w:sz w:val="20"/>
          <w:szCs w:val="20"/>
        </w:rPr>
        <w:t xml:space="preserve">proposed </w:t>
      </w:r>
      <w:r w:rsidRPr="00CF1646">
        <w:rPr>
          <w:rFonts w:ascii="Garamond" w:hAnsi="Garamond"/>
          <w:sz w:val="20"/>
          <w:szCs w:val="20"/>
        </w:rPr>
        <w:t>could be useful for designing and organising live event space,</w:t>
      </w:r>
      <w:r w:rsidR="00076F72">
        <w:rPr>
          <w:rFonts w:ascii="Garamond" w:hAnsi="Garamond"/>
          <w:sz w:val="20"/>
          <w:szCs w:val="20"/>
        </w:rPr>
        <w:t xml:space="preserve"> as well as s</w:t>
      </w:r>
      <w:r w:rsidRPr="00CF1646">
        <w:rPr>
          <w:rFonts w:ascii="Garamond" w:hAnsi="Garamond"/>
          <w:sz w:val="20"/>
          <w:szCs w:val="20"/>
        </w:rPr>
        <w:t xml:space="preserve">ecuring greater participation and creating tangible economic returns for micro and small businesses. </w:t>
      </w:r>
      <w:r w:rsidR="00D71909">
        <w:rPr>
          <w:rFonts w:ascii="Garamond" w:hAnsi="Garamond"/>
          <w:sz w:val="20"/>
          <w:szCs w:val="20"/>
        </w:rPr>
        <w:t xml:space="preserve">This is vital </w:t>
      </w:r>
      <w:r w:rsidRPr="00CF1646">
        <w:rPr>
          <w:rFonts w:ascii="Garamond" w:hAnsi="Garamond"/>
          <w:sz w:val="20"/>
          <w:szCs w:val="20"/>
        </w:rPr>
        <w:t>in an era of uncertainty and growing concerns tied to ho</w:t>
      </w:r>
      <w:r w:rsidR="00AA06AC">
        <w:rPr>
          <w:rFonts w:ascii="Garamond" w:hAnsi="Garamond"/>
          <w:sz w:val="20"/>
          <w:szCs w:val="20"/>
        </w:rPr>
        <w:t>w global bodies such as the IOC achieve</w:t>
      </w:r>
      <w:r w:rsidRPr="00CF1646">
        <w:rPr>
          <w:rFonts w:ascii="Garamond" w:hAnsi="Garamond"/>
          <w:sz w:val="20"/>
          <w:szCs w:val="20"/>
        </w:rPr>
        <w:t xml:space="preserve"> divergent multiple event stakeholder objectives.</w:t>
      </w:r>
    </w:p>
    <w:p w:rsidR="005B53CF" w:rsidRPr="00CF1646" w:rsidRDefault="005B53CF" w:rsidP="005B53CF">
      <w:pPr>
        <w:spacing w:line="480" w:lineRule="auto"/>
        <w:rPr>
          <w:rFonts w:ascii="Garamond" w:hAnsi="Garamond"/>
          <w:sz w:val="20"/>
          <w:szCs w:val="20"/>
        </w:rPr>
      </w:pPr>
      <w:r w:rsidRPr="00CF1646">
        <w:rPr>
          <w:rFonts w:ascii="Garamond" w:hAnsi="Garamond"/>
          <w:sz w:val="20"/>
          <w:szCs w:val="20"/>
        </w:rPr>
        <w:t>Using past Olympic Games hosts (e.g. Rio 2016)</w:t>
      </w:r>
      <w:proofErr w:type="gramStart"/>
      <w:r w:rsidRPr="00CF1646">
        <w:rPr>
          <w:rFonts w:ascii="Garamond" w:hAnsi="Garamond"/>
          <w:sz w:val="20"/>
          <w:szCs w:val="20"/>
        </w:rPr>
        <w:t>,</w:t>
      </w:r>
      <w:proofErr w:type="gramEnd"/>
      <w:r w:rsidRPr="00CF1646">
        <w:rPr>
          <w:rFonts w:ascii="Garamond" w:hAnsi="Garamond"/>
          <w:sz w:val="20"/>
          <w:szCs w:val="20"/>
        </w:rPr>
        <w:t xml:space="preserve"> prevalent issues concerning how to craft city physical, spatial and digital liminal spaces and experiences have been explore</w:t>
      </w:r>
      <w:r w:rsidR="00AA06AC">
        <w:rPr>
          <w:rFonts w:ascii="Garamond" w:hAnsi="Garamond"/>
          <w:sz w:val="20"/>
          <w:szCs w:val="20"/>
        </w:rPr>
        <w:t xml:space="preserve">d. Areas of enquiry relate to how </w:t>
      </w:r>
      <w:r w:rsidRPr="00CF1646">
        <w:rPr>
          <w:rFonts w:ascii="Garamond" w:hAnsi="Garamond"/>
          <w:sz w:val="20"/>
          <w:szCs w:val="20"/>
        </w:rPr>
        <w:t xml:space="preserve">liminality </w:t>
      </w:r>
      <w:r w:rsidR="00AA06AC">
        <w:rPr>
          <w:rFonts w:ascii="Garamond" w:hAnsi="Garamond"/>
          <w:sz w:val="20"/>
          <w:szCs w:val="20"/>
        </w:rPr>
        <w:t xml:space="preserve">can </w:t>
      </w:r>
      <w:r w:rsidRPr="00CF1646">
        <w:rPr>
          <w:rFonts w:ascii="Garamond" w:hAnsi="Garamond"/>
          <w:sz w:val="20"/>
          <w:szCs w:val="20"/>
        </w:rPr>
        <w:t xml:space="preserve">assist in explaining </w:t>
      </w:r>
      <w:r w:rsidR="00C04BBD">
        <w:rPr>
          <w:rFonts w:ascii="Garamond" w:hAnsi="Garamond"/>
          <w:sz w:val="20"/>
          <w:szCs w:val="20"/>
        </w:rPr>
        <w:t xml:space="preserve">live staging </w:t>
      </w:r>
      <w:r w:rsidR="00C04BBD" w:rsidRPr="00C04BBD">
        <w:rPr>
          <w:rFonts w:ascii="Garamond" w:hAnsi="Garamond"/>
          <w:sz w:val="20"/>
          <w:szCs w:val="20"/>
        </w:rPr>
        <w:t>Host Event Zones (HEZs)</w:t>
      </w:r>
      <w:r w:rsidRPr="00CF1646">
        <w:rPr>
          <w:rFonts w:ascii="Garamond" w:hAnsi="Garamond"/>
          <w:sz w:val="20"/>
          <w:szCs w:val="20"/>
        </w:rPr>
        <w:t>. This includes the significance of urban host city Live Site spaces and ancill</w:t>
      </w:r>
      <w:r w:rsidR="00AA06AC">
        <w:rPr>
          <w:rFonts w:ascii="Garamond" w:hAnsi="Garamond"/>
          <w:sz w:val="20"/>
          <w:szCs w:val="20"/>
        </w:rPr>
        <w:t>ary facilities</w:t>
      </w:r>
      <w:r w:rsidRPr="00CF1646">
        <w:rPr>
          <w:rFonts w:ascii="Garamond" w:hAnsi="Garamond"/>
          <w:sz w:val="20"/>
          <w:szCs w:val="20"/>
        </w:rPr>
        <w:t>, and how venues</w:t>
      </w:r>
      <w:r w:rsidR="00AA06AC">
        <w:rPr>
          <w:rFonts w:ascii="Garamond" w:hAnsi="Garamond"/>
          <w:sz w:val="20"/>
          <w:szCs w:val="20"/>
        </w:rPr>
        <w:t xml:space="preserve"> can be actively </w:t>
      </w:r>
      <w:r w:rsidRPr="00CF1646">
        <w:rPr>
          <w:rFonts w:ascii="Garamond" w:hAnsi="Garamond"/>
          <w:sz w:val="20"/>
          <w:szCs w:val="20"/>
        </w:rPr>
        <w:t xml:space="preserve">managed, integrating micro and small businesses to help disrupt spending and marginalisation. To amplify and synergise embryonic liminality we applied and extended the ‘Festival-Event-Leverage Complex’ model to demonstrate how it is possible to leverage liminal spaces for host community benefit. Digital and physical steps present and establish a vision for how </w:t>
      </w:r>
      <w:proofErr w:type="spellStart"/>
      <w:r w:rsidRPr="00CF1646">
        <w:rPr>
          <w:rFonts w:ascii="Garamond" w:hAnsi="Garamond"/>
          <w:sz w:val="20"/>
          <w:szCs w:val="20"/>
        </w:rPr>
        <w:t>giga</w:t>
      </w:r>
      <w:proofErr w:type="spellEnd"/>
      <w:r w:rsidRPr="00CF1646">
        <w:rPr>
          <w:rFonts w:ascii="Garamond" w:hAnsi="Garamond"/>
          <w:sz w:val="20"/>
          <w:szCs w:val="20"/>
        </w:rPr>
        <w:t xml:space="preserve">-event spaces can be realised to better coalesce with elements of liminality. In addition, our best practice examples and tactics endeavour to illustrate the interplay between prominent live </w:t>
      </w:r>
      <w:proofErr w:type="spellStart"/>
      <w:r w:rsidRPr="00CF1646">
        <w:rPr>
          <w:rFonts w:ascii="Garamond" w:hAnsi="Garamond"/>
          <w:sz w:val="20"/>
          <w:szCs w:val="20"/>
        </w:rPr>
        <w:t>giga</w:t>
      </w:r>
      <w:proofErr w:type="spellEnd"/>
      <w:r w:rsidRPr="00CF1646">
        <w:rPr>
          <w:rFonts w:ascii="Garamond" w:hAnsi="Garamond"/>
          <w:sz w:val="20"/>
          <w:szCs w:val="20"/>
        </w:rPr>
        <w:t xml:space="preserve">-event sites and liminal experiences for locals and tourists alike. The authors instigate a call for empirically driven event liminality research, not only geared towards other </w:t>
      </w:r>
      <w:proofErr w:type="spellStart"/>
      <w:r w:rsidRPr="00CF1646">
        <w:rPr>
          <w:rFonts w:ascii="Garamond" w:hAnsi="Garamond"/>
          <w:sz w:val="20"/>
          <w:szCs w:val="20"/>
        </w:rPr>
        <w:t>giga</w:t>
      </w:r>
      <w:proofErr w:type="spellEnd"/>
      <w:r w:rsidRPr="00CF1646">
        <w:rPr>
          <w:rFonts w:ascii="Garamond" w:hAnsi="Garamond"/>
          <w:sz w:val="20"/>
          <w:szCs w:val="20"/>
        </w:rPr>
        <w:t>-events but aligned to smaller-scale event categories (e.g. major sporting events)</w:t>
      </w:r>
      <w:r w:rsidR="00AA06AC">
        <w:rPr>
          <w:rFonts w:ascii="Garamond" w:hAnsi="Garamond"/>
          <w:sz w:val="20"/>
          <w:szCs w:val="20"/>
        </w:rPr>
        <w:t xml:space="preserve">, </w:t>
      </w:r>
      <w:r w:rsidRPr="00CF1646">
        <w:rPr>
          <w:rFonts w:ascii="Garamond" w:hAnsi="Garamond"/>
          <w:sz w:val="20"/>
          <w:szCs w:val="20"/>
        </w:rPr>
        <w:t xml:space="preserve">focusing on </w:t>
      </w:r>
      <w:r w:rsidR="00AA06AC" w:rsidRPr="00CF1646">
        <w:rPr>
          <w:rFonts w:ascii="Garamond" w:hAnsi="Garamond"/>
          <w:sz w:val="20"/>
          <w:szCs w:val="20"/>
        </w:rPr>
        <w:t>spec</w:t>
      </w:r>
      <w:r w:rsidR="00AA06AC">
        <w:rPr>
          <w:rFonts w:ascii="Garamond" w:hAnsi="Garamond"/>
          <w:sz w:val="20"/>
          <w:szCs w:val="20"/>
        </w:rPr>
        <w:t>tator interactions</w:t>
      </w:r>
      <w:r w:rsidR="00AA06AC" w:rsidRPr="00CF1646">
        <w:rPr>
          <w:rFonts w:ascii="Garamond" w:hAnsi="Garamond"/>
          <w:sz w:val="20"/>
          <w:szCs w:val="20"/>
        </w:rPr>
        <w:t xml:space="preserve"> </w:t>
      </w:r>
      <w:r w:rsidR="00AA06AC">
        <w:rPr>
          <w:rFonts w:ascii="Garamond" w:hAnsi="Garamond"/>
          <w:sz w:val="20"/>
          <w:szCs w:val="20"/>
        </w:rPr>
        <w:t xml:space="preserve">and </w:t>
      </w:r>
      <w:r w:rsidRPr="00CF1646">
        <w:rPr>
          <w:rFonts w:ascii="Garamond" w:hAnsi="Garamond"/>
          <w:sz w:val="20"/>
          <w:szCs w:val="20"/>
        </w:rPr>
        <w:t xml:space="preserve">small business </w:t>
      </w:r>
      <w:r w:rsidR="00AA06AC">
        <w:rPr>
          <w:rFonts w:ascii="Garamond" w:hAnsi="Garamond"/>
          <w:sz w:val="20"/>
          <w:szCs w:val="20"/>
        </w:rPr>
        <w:t>intentions and experiences</w:t>
      </w:r>
      <w:r w:rsidRPr="00CF1646">
        <w:rPr>
          <w:rFonts w:ascii="Garamond" w:hAnsi="Garamond"/>
          <w:sz w:val="20"/>
          <w:szCs w:val="20"/>
        </w:rPr>
        <w:t xml:space="preserve">. Future research is </w:t>
      </w:r>
      <w:r w:rsidR="003333F0">
        <w:rPr>
          <w:rFonts w:ascii="Garamond" w:hAnsi="Garamond"/>
          <w:sz w:val="20"/>
          <w:szCs w:val="20"/>
        </w:rPr>
        <w:t>posited</w:t>
      </w:r>
      <w:r w:rsidRPr="00CF1646">
        <w:rPr>
          <w:rFonts w:ascii="Garamond" w:hAnsi="Garamond"/>
          <w:sz w:val="20"/>
          <w:szCs w:val="20"/>
        </w:rPr>
        <w:t xml:space="preserve"> to assess the short and medium term </w:t>
      </w:r>
      <w:proofErr w:type="spellStart"/>
      <w:r w:rsidRPr="00CF1646">
        <w:rPr>
          <w:rFonts w:ascii="Garamond" w:hAnsi="Garamond"/>
          <w:sz w:val="20"/>
          <w:szCs w:val="20"/>
        </w:rPr>
        <w:t>giga</w:t>
      </w:r>
      <w:proofErr w:type="spellEnd"/>
      <w:r w:rsidRPr="00CF1646">
        <w:rPr>
          <w:rFonts w:ascii="Garamond" w:hAnsi="Garamond"/>
          <w:sz w:val="20"/>
          <w:szCs w:val="20"/>
        </w:rPr>
        <w:t xml:space="preserve">-event Live Sites - from HEZ location selection, design, implementation to conversion and/or removal, combined with longer-term assessments of spatial and temporal changes in </w:t>
      </w:r>
      <w:proofErr w:type="spellStart"/>
      <w:r w:rsidRPr="00CF1646">
        <w:rPr>
          <w:rFonts w:ascii="Garamond" w:hAnsi="Garamond"/>
          <w:sz w:val="20"/>
          <w:szCs w:val="20"/>
        </w:rPr>
        <w:t>giga</w:t>
      </w:r>
      <w:proofErr w:type="spellEnd"/>
      <w:r w:rsidRPr="00CF1646">
        <w:rPr>
          <w:rFonts w:ascii="Garamond" w:hAnsi="Garamond"/>
          <w:sz w:val="20"/>
          <w:szCs w:val="20"/>
        </w:rPr>
        <w:t>-event hosting territories.</w:t>
      </w:r>
    </w:p>
    <w:p w:rsidR="005B53CF" w:rsidRPr="00CF1646" w:rsidRDefault="005B53CF" w:rsidP="005B53CF">
      <w:pPr>
        <w:spacing w:line="480" w:lineRule="auto"/>
        <w:rPr>
          <w:rFonts w:ascii="Garamond" w:hAnsi="Garamond"/>
          <w:sz w:val="20"/>
          <w:szCs w:val="20"/>
        </w:rPr>
      </w:pPr>
    </w:p>
    <w:p w:rsidR="005B53CF" w:rsidRPr="00CF1646" w:rsidRDefault="005B53CF" w:rsidP="005B53CF">
      <w:pPr>
        <w:spacing w:line="480" w:lineRule="auto"/>
        <w:rPr>
          <w:rFonts w:ascii="Garamond" w:hAnsi="Garamond"/>
          <w:sz w:val="20"/>
          <w:szCs w:val="20"/>
        </w:rPr>
      </w:pPr>
    </w:p>
    <w:p w:rsidR="005B53CF" w:rsidRPr="00CF1646" w:rsidRDefault="005B53CF" w:rsidP="005B53CF">
      <w:pPr>
        <w:spacing w:line="480" w:lineRule="auto"/>
        <w:rPr>
          <w:rFonts w:ascii="Garamond" w:hAnsi="Garamond"/>
          <w:sz w:val="20"/>
          <w:szCs w:val="20"/>
        </w:rPr>
      </w:pPr>
    </w:p>
    <w:p w:rsidR="005B53CF" w:rsidRPr="00CF1646" w:rsidRDefault="005B53CF" w:rsidP="005B53CF">
      <w:pPr>
        <w:spacing w:line="480" w:lineRule="auto"/>
        <w:rPr>
          <w:rFonts w:ascii="Garamond" w:hAnsi="Garamond"/>
          <w:sz w:val="20"/>
          <w:szCs w:val="20"/>
        </w:rPr>
      </w:pPr>
    </w:p>
    <w:p w:rsidR="005B53CF" w:rsidRDefault="005B53CF" w:rsidP="005B53CF">
      <w:pPr>
        <w:spacing w:line="480" w:lineRule="auto"/>
        <w:rPr>
          <w:rFonts w:ascii="Garamond" w:hAnsi="Garamond"/>
          <w:sz w:val="20"/>
          <w:szCs w:val="20"/>
        </w:rPr>
      </w:pPr>
    </w:p>
    <w:p w:rsidR="005B53CF" w:rsidRPr="00CF1646" w:rsidRDefault="005B53CF" w:rsidP="005B53CF">
      <w:pPr>
        <w:spacing w:line="480" w:lineRule="auto"/>
        <w:rPr>
          <w:rFonts w:ascii="Garamond" w:hAnsi="Garamond"/>
          <w:sz w:val="20"/>
          <w:szCs w:val="20"/>
        </w:rPr>
      </w:pPr>
    </w:p>
    <w:p w:rsidR="005B53CF" w:rsidRPr="00CF1646" w:rsidRDefault="005B53CF" w:rsidP="005B53CF">
      <w:pPr>
        <w:spacing w:line="480" w:lineRule="auto"/>
        <w:rPr>
          <w:rFonts w:ascii="Garamond" w:hAnsi="Garamond"/>
          <w:b/>
          <w:sz w:val="20"/>
          <w:szCs w:val="20"/>
        </w:rPr>
      </w:pPr>
      <w:r w:rsidRPr="00CF1646">
        <w:rPr>
          <w:rFonts w:ascii="Garamond" w:eastAsia="Georgia" w:hAnsi="Garamond" w:cs="Georgia"/>
          <w:b/>
          <w:sz w:val="20"/>
          <w:szCs w:val="20"/>
        </w:rPr>
        <w:lastRenderedPageBreak/>
        <w:t>References</w:t>
      </w:r>
    </w:p>
    <w:p w:rsidR="005B53CF" w:rsidRPr="00CF1646" w:rsidRDefault="005B53CF" w:rsidP="005B53CF">
      <w:pPr>
        <w:spacing w:line="480" w:lineRule="auto"/>
        <w:rPr>
          <w:rFonts w:ascii="Garamond" w:hAnsi="Garamond"/>
          <w:sz w:val="20"/>
          <w:szCs w:val="20"/>
        </w:rPr>
      </w:pPr>
      <w:proofErr w:type="gramStart"/>
      <w:r w:rsidRPr="007B421C">
        <w:rPr>
          <w:rFonts w:ascii="Garamond" w:hAnsi="Garamond"/>
          <w:sz w:val="20"/>
          <w:szCs w:val="20"/>
        </w:rPr>
        <w:t xml:space="preserve">Armstrong, G., </w:t>
      </w:r>
      <w:proofErr w:type="spellStart"/>
      <w:r w:rsidRPr="007B421C">
        <w:rPr>
          <w:rFonts w:ascii="Garamond" w:hAnsi="Garamond"/>
          <w:sz w:val="20"/>
          <w:szCs w:val="20"/>
        </w:rPr>
        <w:t>Giulianotti</w:t>
      </w:r>
      <w:proofErr w:type="spellEnd"/>
      <w:r w:rsidRPr="007B421C">
        <w:rPr>
          <w:rFonts w:ascii="Garamond" w:hAnsi="Garamond"/>
          <w:sz w:val="20"/>
          <w:szCs w:val="20"/>
        </w:rPr>
        <w:t>, R., &amp; Hobbs, D. (2017).</w:t>
      </w:r>
      <w:proofErr w:type="gramEnd"/>
      <w:r w:rsidRPr="007B421C">
        <w:rPr>
          <w:rFonts w:ascii="Garamond" w:hAnsi="Garamond"/>
          <w:sz w:val="20"/>
          <w:szCs w:val="20"/>
        </w:rPr>
        <w:t xml:space="preserve"> </w:t>
      </w:r>
      <w:proofErr w:type="gramStart"/>
      <w:r w:rsidRPr="00CF1646">
        <w:rPr>
          <w:rFonts w:ascii="Garamond" w:hAnsi="Garamond"/>
          <w:i/>
          <w:sz w:val="20"/>
          <w:szCs w:val="20"/>
        </w:rPr>
        <w:t>Policing the London 2012 Olympics</w:t>
      </w:r>
      <w:r w:rsidRPr="00CF1646">
        <w:rPr>
          <w:rFonts w:ascii="Garamond" w:hAnsi="Garamond"/>
          <w:sz w:val="20"/>
          <w:szCs w:val="20"/>
        </w:rPr>
        <w:t>.</w:t>
      </w:r>
      <w:proofErr w:type="gramEnd"/>
      <w:r w:rsidRPr="00CF1646">
        <w:rPr>
          <w:rFonts w:ascii="Garamond" w:hAnsi="Garamond"/>
          <w:sz w:val="20"/>
          <w:szCs w:val="20"/>
        </w:rPr>
        <w:t xml:space="preserve"> London: Routledge.</w:t>
      </w:r>
    </w:p>
    <w:p w:rsidR="005B53CF" w:rsidRPr="00CF1646" w:rsidRDefault="005B53CF" w:rsidP="005B53CF">
      <w:pPr>
        <w:pStyle w:val="Normal1"/>
        <w:spacing w:line="480" w:lineRule="auto"/>
        <w:rPr>
          <w:rFonts w:ascii="Garamond" w:eastAsia="Georgia" w:hAnsi="Garamond" w:cs="Georgia"/>
          <w:sz w:val="20"/>
          <w:szCs w:val="20"/>
        </w:rPr>
      </w:pPr>
      <w:proofErr w:type="gramStart"/>
      <w:r w:rsidRPr="00CF1646">
        <w:rPr>
          <w:rFonts w:ascii="Garamond" w:eastAsia="Georgia" w:hAnsi="Garamond" w:cs="Georgia"/>
          <w:sz w:val="20"/>
          <w:szCs w:val="20"/>
        </w:rPr>
        <w:t>ARUP.</w:t>
      </w:r>
      <w:proofErr w:type="gramEnd"/>
      <w:r w:rsidRPr="00CF1646">
        <w:rPr>
          <w:rFonts w:ascii="Garamond" w:eastAsia="Georgia" w:hAnsi="Garamond" w:cs="Georgia"/>
          <w:sz w:val="20"/>
          <w:szCs w:val="20"/>
        </w:rPr>
        <w:t xml:space="preserve"> (2017). </w:t>
      </w:r>
      <w:r w:rsidRPr="00CF1646">
        <w:rPr>
          <w:rFonts w:ascii="Garamond" w:eastAsia="Georgia" w:hAnsi="Garamond" w:cs="Georgia"/>
          <w:i/>
          <w:sz w:val="20"/>
          <w:szCs w:val="20"/>
        </w:rPr>
        <w:t>Cities Alive: Rethinking legacy for host cities</w:t>
      </w:r>
      <w:r w:rsidRPr="00CF1646">
        <w:rPr>
          <w:rFonts w:ascii="Garamond" w:eastAsia="Georgia" w:hAnsi="Garamond" w:cs="Georgia"/>
          <w:sz w:val="20"/>
          <w:szCs w:val="20"/>
        </w:rPr>
        <w:t xml:space="preserve">. Retrieved from </w:t>
      </w:r>
      <w:hyperlink r:id="rId12" w:history="1">
        <w:r w:rsidRPr="00CF1646">
          <w:rPr>
            <w:rStyle w:val="Hyperlink"/>
            <w:rFonts w:ascii="Garamond" w:eastAsia="Georgia" w:hAnsi="Garamond" w:cs="Georgia"/>
            <w:sz w:val="20"/>
            <w:szCs w:val="20"/>
          </w:rPr>
          <w:t>https://www.arup.com/-/media/arup/files/publications/c/170407hclegacy-a5-v6.pdf</w:t>
        </w:r>
      </w:hyperlink>
    </w:p>
    <w:p w:rsidR="005B53CF" w:rsidRPr="00CF1646" w:rsidRDefault="005B53CF" w:rsidP="005B53CF">
      <w:pPr>
        <w:pStyle w:val="Normal1"/>
        <w:spacing w:line="480" w:lineRule="auto"/>
        <w:rPr>
          <w:rFonts w:ascii="Garamond" w:eastAsia="Georgia" w:hAnsi="Garamond" w:cs="Georgia"/>
          <w:sz w:val="20"/>
          <w:szCs w:val="20"/>
        </w:rPr>
      </w:pPr>
      <w:proofErr w:type="spellStart"/>
      <w:proofErr w:type="gramStart"/>
      <w:r w:rsidRPr="00CF1646">
        <w:rPr>
          <w:rFonts w:ascii="Garamond" w:eastAsia="Georgia" w:hAnsi="Garamond" w:cs="Georgia"/>
          <w:sz w:val="20"/>
          <w:szCs w:val="20"/>
        </w:rPr>
        <w:t>Balduck</w:t>
      </w:r>
      <w:proofErr w:type="spellEnd"/>
      <w:r w:rsidRPr="00CF1646">
        <w:rPr>
          <w:rFonts w:ascii="Garamond" w:eastAsia="Georgia" w:hAnsi="Garamond" w:cs="Georgia"/>
          <w:sz w:val="20"/>
          <w:szCs w:val="20"/>
        </w:rPr>
        <w:t xml:space="preserve">, A-L., </w:t>
      </w:r>
      <w:proofErr w:type="spellStart"/>
      <w:r w:rsidRPr="00CF1646">
        <w:rPr>
          <w:rFonts w:ascii="Garamond" w:eastAsia="Georgia" w:hAnsi="Garamond" w:cs="Georgia"/>
          <w:sz w:val="20"/>
          <w:szCs w:val="20"/>
        </w:rPr>
        <w:t>Maes</w:t>
      </w:r>
      <w:proofErr w:type="spellEnd"/>
      <w:r w:rsidRPr="00CF1646">
        <w:rPr>
          <w:rFonts w:ascii="Garamond" w:eastAsia="Georgia" w:hAnsi="Garamond" w:cs="Georgia"/>
          <w:sz w:val="20"/>
          <w:szCs w:val="20"/>
        </w:rPr>
        <w:t xml:space="preserve">, M., &amp; </w:t>
      </w:r>
      <w:proofErr w:type="spellStart"/>
      <w:r w:rsidRPr="00CF1646">
        <w:rPr>
          <w:rFonts w:ascii="Garamond" w:eastAsia="Georgia" w:hAnsi="Garamond" w:cs="Georgia"/>
          <w:sz w:val="20"/>
          <w:szCs w:val="20"/>
        </w:rPr>
        <w:t>Buelens</w:t>
      </w:r>
      <w:proofErr w:type="spellEnd"/>
      <w:r w:rsidRPr="00CF1646">
        <w:rPr>
          <w:rFonts w:ascii="Garamond" w:eastAsia="Georgia" w:hAnsi="Garamond" w:cs="Georgia"/>
          <w:sz w:val="20"/>
          <w:szCs w:val="20"/>
        </w:rPr>
        <w:t>, M. (2011).</w:t>
      </w:r>
      <w:proofErr w:type="gramEnd"/>
      <w:r w:rsidRPr="00CF1646">
        <w:rPr>
          <w:rFonts w:ascii="Garamond" w:eastAsia="Georgia" w:hAnsi="Garamond" w:cs="Georgia"/>
          <w:sz w:val="20"/>
          <w:szCs w:val="20"/>
        </w:rPr>
        <w:t xml:space="preserve"> The Social Impact of the Tour de France: Comparisons of Residents’ Pre- and Post-event Perceptions. </w:t>
      </w:r>
      <w:r w:rsidRPr="00CF1646">
        <w:rPr>
          <w:rFonts w:ascii="Garamond" w:eastAsia="Georgia" w:hAnsi="Garamond" w:cs="Georgia"/>
          <w:i/>
          <w:sz w:val="20"/>
          <w:szCs w:val="20"/>
        </w:rPr>
        <w:t>European Sport Management Quarterly</w:t>
      </w:r>
      <w:r w:rsidRPr="00CF1646">
        <w:rPr>
          <w:rFonts w:ascii="Garamond" w:eastAsia="Georgia" w:hAnsi="Garamond" w:cs="Georgia"/>
          <w:sz w:val="20"/>
          <w:szCs w:val="20"/>
        </w:rPr>
        <w:t>, 11(2), 91-113.</w:t>
      </w:r>
    </w:p>
    <w:p w:rsidR="005B53CF" w:rsidRPr="00CF1646" w:rsidRDefault="005B53CF" w:rsidP="005B53CF">
      <w:pPr>
        <w:pStyle w:val="Normal1"/>
        <w:spacing w:line="480" w:lineRule="auto"/>
        <w:rPr>
          <w:rFonts w:ascii="Garamond" w:eastAsia="Georgia" w:hAnsi="Garamond" w:cs="Georgia"/>
          <w:sz w:val="20"/>
          <w:szCs w:val="20"/>
        </w:rPr>
      </w:pPr>
      <w:proofErr w:type="gramStart"/>
      <w:r w:rsidRPr="00CF1646">
        <w:rPr>
          <w:rFonts w:ascii="Garamond" w:eastAsia="Georgia" w:hAnsi="Garamond" w:cs="Georgia"/>
          <w:sz w:val="20"/>
          <w:szCs w:val="20"/>
        </w:rPr>
        <w:t>Brazilian Ministry of Sport.</w:t>
      </w:r>
      <w:proofErr w:type="gramEnd"/>
      <w:r w:rsidRPr="00CF1646">
        <w:rPr>
          <w:rFonts w:ascii="Garamond" w:eastAsia="Georgia" w:hAnsi="Garamond" w:cs="Georgia"/>
          <w:sz w:val="20"/>
          <w:szCs w:val="20"/>
        </w:rPr>
        <w:t xml:space="preserve"> (2016). </w:t>
      </w:r>
      <w:r w:rsidRPr="00CF1646">
        <w:rPr>
          <w:rFonts w:ascii="Garamond" w:eastAsia="Georgia" w:hAnsi="Garamond" w:cs="Georgia"/>
          <w:i/>
          <w:sz w:val="20"/>
          <w:szCs w:val="20"/>
        </w:rPr>
        <w:t>Media Guide: Rio 2016 Olympic and Paralympic Games</w:t>
      </w:r>
      <w:r w:rsidRPr="00CF1646">
        <w:rPr>
          <w:rFonts w:ascii="Garamond" w:eastAsia="Georgia" w:hAnsi="Garamond" w:cs="Georgia"/>
          <w:sz w:val="20"/>
          <w:szCs w:val="20"/>
        </w:rPr>
        <w:t xml:space="preserve">. Retrieved from </w:t>
      </w:r>
      <w:hyperlink r:id="rId13" w:history="1">
        <w:r w:rsidRPr="00CF1646">
          <w:rPr>
            <w:rStyle w:val="Hyperlink"/>
            <w:rFonts w:ascii="Garamond" w:eastAsia="Georgia" w:hAnsi="Garamond" w:cs="Georgia"/>
            <w:sz w:val="20"/>
            <w:szCs w:val="20"/>
          </w:rPr>
          <w:t>http://www.brasil2016.gov.br/en/news/federal-government-launches-journalist-guide-for-the-rio-2016-olympic-and-paralympic-games/media-guide-rio-2016-olympic-and-paralympic-games-english</w:t>
        </w:r>
      </w:hyperlink>
    </w:p>
    <w:p w:rsidR="005B53CF" w:rsidRPr="00CF1646" w:rsidRDefault="00B76F98" w:rsidP="005B53CF">
      <w:pPr>
        <w:pStyle w:val="Normal1"/>
        <w:spacing w:line="480" w:lineRule="auto"/>
        <w:rPr>
          <w:rFonts w:ascii="Garamond" w:eastAsia="Georgia" w:hAnsi="Garamond" w:cs="Georgia"/>
          <w:sz w:val="20"/>
          <w:szCs w:val="20"/>
        </w:rPr>
      </w:pPr>
      <w:proofErr w:type="gramStart"/>
      <w:r>
        <w:rPr>
          <w:rFonts w:ascii="Garamond" w:eastAsia="Georgia" w:hAnsi="Garamond" w:cs="Georgia"/>
          <w:sz w:val="20"/>
          <w:szCs w:val="20"/>
        </w:rPr>
        <w:t>Cade, N., Everett, S., &amp;</w:t>
      </w:r>
      <w:r w:rsidR="005B53CF">
        <w:rPr>
          <w:rFonts w:ascii="Garamond" w:eastAsia="Georgia" w:hAnsi="Garamond" w:cs="Georgia"/>
          <w:sz w:val="20"/>
          <w:szCs w:val="20"/>
        </w:rPr>
        <w:t xml:space="preserve"> Duignan M.B. (forthcoming, 2019).</w:t>
      </w:r>
      <w:proofErr w:type="gramEnd"/>
      <w:r w:rsidR="005B53CF">
        <w:rPr>
          <w:rFonts w:ascii="Garamond" w:eastAsia="Georgia" w:hAnsi="Garamond" w:cs="Georgia"/>
          <w:sz w:val="20"/>
          <w:szCs w:val="20"/>
        </w:rPr>
        <w:t xml:space="preserve"> </w:t>
      </w:r>
      <w:r w:rsidR="005B53CF" w:rsidRPr="001B14EF">
        <w:rPr>
          <w:rFonts w:ascii="Garamond" w:eastAsia="Georgia" w:hAnsi="Garamond" w:cs="Georgia"/>
          <w:sz w:val="20"/>
          <w:szCs w:val="20"/>
        </w:rPr>
        <w:t>Leveraging digital and physical spaces to access high-risk favela communities</w:t>
      </w:r>
      <w:r w:rsidR="005B53CF">
        <w:rPr>
          <w:rFonts w:ascii="Garamond" w:eastAsia="Georgia" w:hAnsi="Garamond" w:cs="Georgia"/>
          <w:sz w:val="20"/>
          <w:szCs w:val="20"/>
        </w:rPr>
        <w:t xml:space="preserve">: </w:t>
      </w:r>
      <w:r w:rsidR="005B53CF" w:rsidRPr="001B14EF">
        <w:rPr>
          <w:rFonts w:ascii="Garamond" w:eastAsia="Georgia" w:hAnsi="Garamond" w:cs="Georgia"/>
          <w:sz w:val="20"/>
          <w:szCs w:val="20"/>
        </w:rPr>
        <w:t>Amplifying lost narratives in Rio’s mega-event city</w:t>
      </w:r>
      <w:r w:rsidR="005B53CF">
        <w:rPr>
          <w:rFonts w:ascii="Garamond" w:eastAsia="Georgia" w:hAnsi="Garamond" w:cs="Georgia"/>
          <w:sz w:val="20"/>
          <w:szCs w:val="20"/>
        </w:rPr>
        <w:t xml:space="preserve">. </w:t>
      </w:r>
      <w:proofErr w:type="gramStart"/>
      <w:r w:rsidR="005B53CF" w:rsidRPr="001B14EF">
        <w:rPr>
          <w:rFonts w:ascii="Garamond" w:eastAsia="Georgia" w:hAnsi="Garamond" w:cs="Georgia"/>
          <w:i/>
          <w:sz w:val="20"/>
          <w:szCs w:val="20"/>
        </w:rPr>
        <w:t>Tourism Geographies.</w:t>
      </w:r>
      <w:proofErr w:type="gramEnd"/>
      <w:r w:rsidR="005B53CF" w:rsidRPr="001B14EF">
        <w:rPr>
          <w:rFonts w:ascii="Garamond" w:eastAsia="Georgia" w:hAnsi="Garamond" w:cs="Georgia"/>
          <w:i/>
          <w:sz w:val="20"/>
          <w:szCs w:val="20"/>
        </w:rPr>
        <w:t xml:space="preserve"> </w:t>
      </w:r>
    </w:p>
    <w:p w:rsidR="005B53CF" w:rsidRPr="00CF1646" w:rsidRDefault="005B53CF" w:rsidP="005B53CF">
      <w:pPr>
        <w:pStyle w:val="Normal1"/>
        <w:spacing w:line="480" w:lineRule="auto"/>
        <w:rPr>
          <w:rFonts w:ascii="Garamond" w:eastAsia="Georgia" w:hAnsi="Garamond" w:cs="Georgia"/>
          <w:sz w:val="20"/>
          <w:szCs w:val="20"/>
        </w:rPr>
      </w:pPr>
      <w:proofErr w:type="spellStart"/>
      <w:proofErr w:type="gramStart"/>
      <w:r w:rsidRPr="007B421C">
        <w:rPr>
          <w:rFonts w:ascii="Garamond" w:eastAsia="Georgia" w:hAnsi="Garamond" w:cs="Georgia"/>
          <w:sz w:val="20"/>
          <w:szCs w:val="20"/>
        </w:rPr>
        <w:t>Carvalho</w:t>
      </w:r>
      <w:proofErr w:type="spellEnd"/>
      <w:r w:rsidRPr="007B421C">
        <w:rPr>
          <w:rFonts w:ascii="Garamond" w:eastAsia="Georgia" w:hAnsi="Garamond" w:cs="Georgia"/>
          <w:sz w:val="20"/>
          <w:szCs w:val="20"/>
        </w:rPr>
        <w:t xml:space="preserve">, B., </w:t>
      </w:r>
      <w:proofErr w:type="spellStart"/>
      <w:r w:rsidRPr="007B421C">
        <w:rPr>
          <w:rFonts w:ascii="Garamond" w:eastAsia="Georgia" w:hAnsi="Garamond" w:cs="Georgia"/>
          <w:sz w:val="20"/>
          <w:szCs w:val="20"/>
        </w:rPr>
        <w:t>Cavalcanti</w:t>
      </w:r>
      <w:proofErr w:type="spellEnd"/>
      <w:r w:rsidRPr="007B421C">
        <w:rPr>
          <w:rFonts w:ascii="Garamond" w:eastAsia="Georgia" w:hAnsi="Garamond" w:cs="Georgia"/>
          <w:sz w:val="20"/>
          <w:szCs w:val="20"/>
        </w:rPr>
        <w:t xml:space="preserve">, M., &amp; </w:t>
      </w:r>
      <w:proofErr w:type="spellStart"/>
      <w:r w:rsidRPr="007B421C">
        <w:rPr>
          <w:rFonts w:ascii="Garamond" w:eastAsia="Georgia" w:hAnsi="Garamond" w:cs="Georgia"/>
          <w:sz w:val="20"/>
          <w:szCs w:val="20"/>
        </w:rPr>
        <w:t>Venuturupalli</w:t>
      </w:r>
      <w:proofErr w:type="spellEnd"/>
      <w:r w:rsidRPr="007B421C">
        <w:rPr>
          <w:rFonts w:ascii="Garamond" w:eastAsia="Georgia" w:hAnsi="Garamond" w:cs="Georgia"/>
          <w:sz w:val="20"/>
          <w:szCs w:val="20"/>
        </w:rPr>
        <w:t>, V. R. (2016).</w:t>
      </w:r>
      <w:proofErr w:type="gramEnd"/>
      <w:r w:rsidRPr="007B421C">
        <w:rPr>
          <w:rFonts w:ascii="Garamond" w:eastAsia="Georgia" w:hAnsi="Garamond" w:cs="Georgia"/>
          <w:sz w:val="20"/>
          <w:szCs w:val="20"/>
        </w:rPr>
        <w:t xml:space="preserve"> </w:t>
      </w:r>
      <w:r w:rsidRPr="00CF1646">
        <w:rPr>
          <w:rFonts w:ascii="Garamond" w:eastAsia="Georgia" w:hAnsi="Garamond" w:cs="Georgia"/>
          <w:i/>
          <w:sz w:val="20"/>
          <w:szCs w:val="20"/>
        </w:rPr>
        <w:t>Occupy All Streets: Olympic Urbanism and Contested Futures in Rio de Janeiro</w:t>
      </w:r>
      <w:r w:rsidRPr="00CF1646">
        <w:rPr>
          <w:rFonts w:ascii="Garamond" w:eastAsia="Georgia" w:hAnsi="Garamond" w:cs="Georgia"/>
          <w:sz w:val="20"/>
          <w:szCs w:val="20"/>
        </w:rPr>
        <w:t xml:space="preserve">. New York: </w:t>
      </w:r>
      <w:proofErr w:type="spellStart"/>
      <w:r w:rsidRPr="00CF1646">
        <w:rPr>
          <w:rFonts w:ascii="Garamond" w:eastAsia="Georgia" w:hAnsi="Garamond" w:cs="Georgia"/>
          <w:sz w:val="20"/>
          <w:szCs w:val="20"/>
        </w:rPr>
        <w:t>Terreform</w:t>
      </w:r>
      <w:proofErr w:type="spellEnd"/>
      <w:r w:rsidRPr="00CF1646">
        <w:rPr>
          <w:rFonts w:ascii="Garamond" w:eastAsia="Georgia" w:hAnsi="Garamond" w:cs="Georgia"/>
          <w:sz w:val="20"/>
          <w:szCs w:val="20"/>
        </w:rPr>
        <w:t>.</w:t>
      </w:r>
    </w:p>
    <w:p w:rsidR="005B53CF" w:rsidRPr="00CF1646" w:rsidRDefault="005B53CF" w:rsidP="005B53CF">
      <w:pPr>
        <w:pStyle w:val="Normal1"/>
        <w:spacing w:line="480" w:lineRule="auto"/>
        <w:rPr>
          <w:rFonts w:ascii="Garamond" w:eastAsia="Georgia" w:hAnsi="Garamond" w:cs="Georgia"/>
          <w:sz w:val="20"/>
          <w:szCs w:val="20"/>
        </w:rPr>
      </w:pPr>
      <w:proofErr w:type="gramStart"/>
      <w:r w:rsidRPr="00CF1646">
        <w:rPr>
          <w:rFonts w:ascii="Garamond" w:eastAsia="Georgia" w:hAnsi="Garamond" w:cs="Georgia"/>
          <w:sz w:val="20"/>
          <w:szCs w:val="20"/>
        </w:rPr>
        <w:t>Caudwell, J., &amp; Rinehart, R. E. (2014).</w:t>
      </w:r>
      <w:proofErr w:type="gramEnd"/>
      <w:r w:rsidRPr="00CF1646">
        <w:rPr>
          <w:rFonts w:ascii="Garamond" w:eastAsia="Georgia" w:hAnsi="Garamond" w:cs="Georgia"/>
          <w:sz w:val="20"/>
          <w:szCs w:val="20"/>
        </w:rPr>
        <w:t xml:space="preserve"> </w:t>
      </w:r>
      <w:proofErr w:type="spellStart"/>
      <w:r w:rsidRPr="00CF1646">
        <w:rPr>
          <w:rFonts w:ascii="Garamond" w:eastAsia="Georgia" w:hAnsi="Garamond" w:cs="Georgia"/>
          <w:sz w:val="20"/>
          <w:szCs w:val="20"/>
        </w:rPr>
        <w:t>Liminoidal</w:t>
      </w:r>
      <w:proofErr w:type="spellEnd"/>
      <w:r w:rsidRPr="00CF1646">
        <w:rPr>
          <w:rFonts w:ascii="Garamond" w:eastAsia="Georgia" w:hAnsi="Garamond" w:cs="Georgia"/>
          <w:sz w:val="20"/>
          <w:szCs w:val="20"/>
        </w:rPr>
        <w:t xml:space="preserve"> spaces and the moving body: Emotional turns. Emotion, Space and Society, 12(1), 1-3.</w:t>
      </w:r>
    </w:p>
    <w:p w:rsidR="005B53CF" w:rsidRPr="00CF1646" w:rsidRDefault="005B53CF" w:rsidP="005B53CF">
      <w:pPr>
        <w:pStyle w:val="Normal1"/>
        <w:spacing w:line="480" w:lineRule="auto"/>
        <w:rPr>
          <w:rFonts w:ascii="Garamond" w:eastAsia="Georgia" w:hAnsi="Garamond" w:cs="Georgia"/>
          <w:sz w:val="20"/>
          <w:szCs w:val="20"/>
        </w:rPr>
      </w:pPr>
      <w:proofErr w:type="spellStart"/>
      <w:proofErr w:type="gramStart"/>
      <w:r w:rsidRPr="00CF1646">
        <w:rPr>
          <w:rFonts w:ascii="Garamond" w:eastAsia="Georgia" w:hAnsi="Garamond" w:cs="Georgia"/>
          <w:sz w:val="20"/>
          <w:szCs w:val="20"/>
        </w:rPr>
        <w:t>Carino</w:t>
      </w:r>
      <w:proofErr w:type="spellEnd"/>
      <w:r w:rsidRPr="00CF1646">
        <w:rPr>
          <w:rFonts w:ascii="Garamond" w:eastAsia="Georgia" w:hAnsi="Garamond" w:cs="Georgia"/>
          <w:sz w:val="20"/>
          <w:szCs w:val="20"/>
        </w:rPr>
        <w:t xml:space="preserve">, L., &amp; </w:t>
      </w:r>
      <w:proofErr w:type="spellStart"/>
      <w:r w:rsidRPr="00CF1646">
        <w:rPr>
          <w:rFonts w:ascii="Garamond" w:eastAsia="Georgia" w:hAnsi="Garamond" w:cs="Georgia"/>
          <w:sz w:val="20"/>
          <w:szCs w:val="20"/>
        </w:rPr>
        <w:t>Dantas</w:t>
      </w:r>
      <w:proofErr w:type="spellEnd"/>
      <w:r w:rsidRPr="00CF1646">
        <w:rPr>
          <w:rFonts w:ascii="Garamond" w:eastAsia="Georgia" w:hAnsi="Garamond" w:cs="Georgia"/>
          <w:sz w:val="20"/>
          <w:szCs w:val="20"/>
        </w:rPr>
        <w:t>, R. (2017).</w:t>
      </w:r>
      <w:proofErr w:type="gramEnd"/>
      <w:r w:rsidRPr="00CF1646">
        <w:rPr>
          <w:rFonts w:ascii="Garamond" w:eastAsia="Georgia" w:hAnsi="Garamond" w:cs="Georgia"/>
          <w:sz w:val="20"/>
          <w:szCs w:val="20"/>
        </w:rPr>
        <w:t xml:space="preserve"> The most connected Olympic Games of history. In L. J. </w:t>
      </w:r>
      <w:proofErr w:type="spellStart"/>
      <w:r w:rsidRPr="00CF1646">
        <w:rPr>
          <w:rFonts w:ascii="Garamond" w:eastAsia="Georgia" w:hAnsi="Garamond" w:cs="Georgia"/>
          <w:sz w:val="20"/>
          <w:szCs w:val="20"/>
        </w:rPr>
        <w:t>Mataruna</w:t>
      </w:r>
      <w:proofErr w:type="spellEnd"/>
      <w:r w:rsidRPr="00CF1646">
        <w:rPr>
          <w:rFonts w:ascii="Garamond" w:eastAsia="Georgia" w:hAnsi="Garamond" w:cs="Georgia"/>
          <w:sz w:val="20"/>
          <w:szCs w:val="20"/>
        </w:rPr>
        <w:t xml:space="preserve">-Dos-Santos &amp; B. G. Pena (Ed.), </w:t>
      </w:r>
      <w:r w:rsidRPr="00CF1646">
        <w:rPr>
          <w:rFonts w:ascii="Garamond" w:eastAsia="Georgia" w:hAnsi="Garamond" w:cs="Georgia"/>
          <w:i/>
          <w:sz w:val="20"/>
          <w:szCs w:val="20"/>
        </w:rPr>
        <w:t>Mega events footprints: past, present and future</w:t>
      </w:r>
      <w:r w:rsidRPr="00CF1646">
        <w:rPr>
          <w:rFonts w:ascii="Garamond" w:eastAsia="Georgia" w:hAnsi="Garamond" w:cs="Georgia"/>
          <w:sz w:val="20"/>
          <w:szCs w:val="20"/>
        </w:rPr>
        <w:t xml:space="preserve"> (pp. 1448-1459). Rio de Janeiro: </w:t>
      </w:r>
      <w:proofErr w:type="spellStart"/>
      <w:r w:rsidRPr="00CF1646">
        <w:rPr>
          <w:rFonts w:ascii="Garamond" w:eastAsia="Georgia" w:hAnsi="Garamond" w:cs="Georgia"/>
          <w:sz w:val="20"/>
          <w:szCs w:val="20"/>
        </w:rPr>
        <w:t>Engenho</w:t>
      </w:r>
      <w:proofErr w:type="spellEnd"/>
      <w:r w:rsidRPr="00CF1646">
        <w:rPr>
          <w:rFonts w:ascii="Garamond" w:eastAsia="Georgia" w:hAnsi="Garamond" w:cs="Georgia"/>
          <w:sz w:val="20"/>
          <w:szCs w:val="20"/>
        </w:rPr>
        <w:t>.</w:t>
      </w:r>
    </w:p>
    <w:p w:rsidR="005B53CF" w:rsidRPr="00CF1646" w:rsidRDefault="005B53CF" w:rsidP="005B53CF">
      <w:pPr>
        <w:pStyle w:val="Normal1"/>
        <w:spacing w:line="480" w:lineRule="auto"/>
        <w:rPr>
          <w:rFonts w:ascii="Garamond" w:eastAsia="Georgia" w:hAnsi="Garamond" w:cs="Georgia"/>
          <w:sz w:val="20"/>
          <w:szCs w:val="20"/>
        </w:rPr>
      </w:pPr>
      <w:proofErr w:type="gramStart"/>
      <w:r w:rsidRPr="00CF1646">
        <w:rPr>
          <w:rFonts w:ascii="Garamond" w:eastAsia="Georgia" w:hAnsi="Garamond" w:cs="Georgia"/>
          <w:sz w:val="20"/>
          <w:szCs w:val="20"/>
        </w:rPr>
        <w:t>CDURP.</w:t>
      </w:r>
      <w:proofErr w:type="gramEnd"/>
      <w:r w:rsidRPr="00CF1646">
        <w:rPr>
          <w:rFonts w:ascii="Garamond" w:eastAsia="Georgia" w:hAnsi="Garamond" w:cs="Georgia"/>
          <w:sz w:val="20"/>
          <w:szCs w:val="20"/>
        </w:rPr>
        <w:t xml:space="preserve"> (2016). </w:t>
      </w:r>
      <w:r w:rsidRPr="00CF1646">
        <w:rPr>
          <w:rFonts w:ascii="Garamond" w:eastAsia="Georgia" w:hAnsi="Garamond" w:cs="Georgia"/>
          <w:i/>
          <w:sz w:val="20"/>
          <w:szCs w:val="20"/>
        </w:rPr>
        <w:t xml:space="preserve">Urban Operation: Porto </w:t>
      </w:r>
      <w:proofErr w:type="spellStart"/>
      <w:r w:rsidRPr="00CF1646">
        <w:rPr>
          <w:rFonts w:ascii="Garamond" w:eastAsia="Georgia" w:hAnsi="Garamond" w:cs="Georgia"/>
          <w:i/>
          <w:sz w:val="20"/>
          <w:szCs w:val="20"/>
        </w:rPr>
        <w:t>Maravilha</w:t>
      </w:r>
      <w:proofErr w:type="spellEnd"/>
      <w:r w:rsidRPr="00CF1646">
        <w:rPr>
          <w:rFonts w:ascii="Garamond" w:eastAsia="Georgia" w:hAnsi="Garamond" w:cs="Georgia"/>
          <w:sz w:val="20"/>
          <w:szCs w:val="20"/>
        </w:rPr>
        <w:t xml:space="preserve">. Retrieved from </w:t>
      </w:r>
      <w:hyperlink r:id="rId14" w:history="1">
        <w:r w:rsidR="005D057B" w:rsidRPr="000B0A0C">
          <w:rPr>
            <w:rStyle w:val="Hyperlink"/>
            <w:rFonts w:ascii="Garamond" w:eastAsia="Georgia" w:hAnsi="Garamond" w:cs="Georgia"/>
            <w:sz w:val="20"/>
            <w:szCs w:val="20"/>
          </w:rPr>
          <w:t>http://www.portomaravilha.com.br/conteudo/imprensa/livreto_geral_INGLES_2016.pdf</w:t>
        </w:r>
      </w:hyperlink>
      <w:r w:rsidR="005D057B">
        <w:rPr>
          <w:rFonts w:ascii="Garamond" w:eastAsia="Georgia" w:hAnsi="Garamond" w:cs="Georgia"/>
          <w:sz w:val="20"/>
          <w:szCs w:val="20"/>
        </w:rPr>
        <w:t xml:space="preserve"> </w:t>
      </w:r>
    </w:p>
    <w:p w:rsidR="005B53CF" w:rsidRPr="00CF1646" w:rsidRDefault="005B53CF" w:rsidP="005B53CF">
      <w:pPr>
        <w:pStyle w:val="Normal1"/>
        <w:spacing w:line="480" w:lineRule="auto"/>
        <w:rPr>
          <w:rFonts w:ascii="Garamond" w:eastAsia="Georgia" w:hAnsi="Garamond" w:cs="Georgia"/>
          <w:sz w:val="20"/>
          <w:szCs w:val="20"/>
        </w:rPr>
      </w:pPr>
      <w:proofErr w:type="spellStart"/>
      <w:r w:rsidRPr="00CF1646">
        <w:rPr>
          <w:rFonts w:ascii="Garamond" w:eastAsia="Georgia" w:hAnsi="Garamond" w:cs="Georgia"/>
          <w:sz w:val="20"/>
          <w:szCs w:val="20"/>
        </w:rPr>
        <w:t>Chalip</w:t>
      </w:r>
      <w:proofErr w:type="spellEnd"/>
      <w:r w:rsidRPr="00CF1646">
        <w:rPr>
          <w:rFonts w:ascii="Garamond" w:eastAsia="Georgia" w:hAnsi="Garamond" w:cs="Georgia"/>
          <w:sz w:val="20"/>
          <w:szCs w:val="20"/>
        </w:rPr>
        <w:t xml:space="preserve">, L. (2004). Beyond impact: A general model for sport event leverage. In B. W., Ritchie &amp; D. Adair (Ed.), </w:t>
      </w:r>
      <w:r w:rsidRPr="00CF1646">
        <w:rPr>
          <w:rFonts w:ascii="Garamond" w:eastAsia="Georgia" w:hAnsi="Garamond" w:cs="Georgia"/>
          <w:i/>
          <w:sz w:val="20"/>
          <w:szCs w:val="20"/>
        </w:rPr>
        <w:t>Sport tourism: Interrelationships, impacts and issues</w:t>
      </w:r>
      <w:r w:rsidRPr="00CF1646">
        <w:rPr>
          <w:rFonts w:ascii="Garamond" w:eastAsia="Georgia" w:hAnsi="Garamond" w:cs="Georgia"/>
          <w:sz w:val="20"/>
          <w:szCs w:val="20"/>
        </w:rPr>
        <w:t xml:space="preserve"> (pp. 236-252). Clevedon: Channel View Publications.</w:t>
      </w:r>
    </w:p>
    <w:p w:rsidR="005B53CF" w:rsidRPr="00CF1646" w:rsidRDefault="005B53CF" w:rsidP="005B53CF">
      <w:pPr>
        <w:pStyle w:val="Normal1"/>
        <w:spacing w:line="480" w:lineRule="auto"/>
        <w:rPr>
          <w:rFonts w:ascii="Garamond" w:eastAsia="Georgia" w:hAnsi="Garamond" w:cs="Georgia"/>
          <w:sz w:val="20"/>
          <w:szCs w:val="20"/>
        </w:rPr>
      </w:pPr>
      <w:proofErr w:type="spellStart"/>
      <w:r w:rsidRPr="00CF1646">
        <w:rPr>
          <w:rFonts w:ascii="Garamond" w:eastAsia="Georgia" w:hAnsi="Garamond" w:cs="Georgia"/>
          <w:sz w:val="20"/>
          <w:szCs w:val="20"/>
        </w:rPr>
        <w:t>Chalip</w:t>
      </w:r>
      <w:proofErr w:type="spellEnd"/>
      <w:r w:rsidRPr="00CF1646">
        <w:rPr>
          <w:rFonts w:ascii="Garamond" w:eastAsia="Georgia" w:hAnsi="Garamond" w:cs="Georgia"/>
          <w:sz w:val="20"/>
          <w:szCs w:val="20"/>
        </w:rPr>
        <w:t xml:space="preserve">, L. (2006). </w:t>
      </w:r>
      <w:proofErr w:type="gramStart"/>
      <w:r w:rsidRPr="00CF1646">
        <w:rPr>
          <w:rFonts w:ascii="Garamond" w:eastAsia="Georgia" w:hAnsi="Garamond" w:cs="Georgia"/>
          <w:sz w:val="20"/>
          <w:szCs w:val="20"/>
        </w:rPr>
        <w:t>Towards social leverage of sport events.</w:t>
      </w:r>
      <w:proofErr w:type="gramEnd"/>
      <w:r w:rsidRPr="00CF1646">
        <w:rPr>
          <w:rFonts w:ascii="Garamond" w:eastAsia="Georgia" w:hAnsi="Garamond" w:cs="Georgia"/>
          <w:sz w:val="20"/>
          <w:szCs w:val="20"/>
        </w:rPr>
        <w:t xml:space="preserve"> </w:t>
      </w:r>
      <w:r w:rsidRPr="00CF1646">
        <w:rPr>
          <w:rFonts w:ascii="Garamond" w:eastAsia="Georgia" w:hAnsi="Garamond" w:cs="Georgia"/>
          <w:i/>
          <w:sz w:val="20"/>
          <w:szCs w:val="20"/>
        </w:rPr>
        <w:t>Journal of Sport and Tourism</w:t>
      </w:r>
      <w:r w:rsidRPr="00CF1646">
        <w:rPr>
          <w:rFonts w:ascii="Garamond" w:eastAsia="Georgia" w:hAnsi="Garamond" w:cs="Georgia"/>
          <w:sz w:val="20"/>
          <w:szCs w:val="20"/>
        </w:rPr>
        <w:t>, 11(2), 109-127.</w:t>
      </w:r>
    </w:p>
    <w:p w:rsidR="005B53CF" w:rsidRPr="00CF1646" w:rsidRDefault="005B53CF" w:rsidP="005B53CF">
      <w:pPr>
        <w:pStyle w:val="Normal1"/>
        <w:spacing w:line="480" w:lineRule="auto"/>
        <w:rPr>
          <w:rFonts w:ascii="Garamond" w:eastAsia="Georgia" w:hAnsi="Garamond" w:cs="Georgia"/>
          <w:sz w:val="20"/>
          <w:szCs w:val="20"/>
        </w:rPr>
      </w:pPr>
      <w:proofErr w:type="spellStart"/>
      <w:r w:rsidRPr="00CF1646">
        <w:rPr>
          <w:rFonts w:ascii="Garamond" w:eastAsia="Georgia" w:hAnsi="Garamond" w:cs="Georgia"/>
          <w:sz w:val="20"/>
          <w:szCs w:val="20"/>
        </w:rPr>
        <w:t>Chalip</w:t>
      </w:r>
      <w:proofErr w:type="spellEnd"/>
      <w:r w:rsidRPr="00CF1646">
        <w:rPr>
          <w:rFonts w:ascii="Garamond" w:eastAsia="Georgia" w:hAnsi="Garamond" w:cs="Georgia"/>
          <w:sz w:val="20"/>
          <w:szCs w:val="20"/>
        </w:rPr>
        <w:t xml:space="preserve">, L. (2014). </w:t>
      </w:r>
      <w:proofErr w:type="gramStart"/>
      <w:r w:rsidRPr="00CF1646">
        <w:rPr>
          <w:rFonts w:ascii="Garamond" w:eastAsia="Georgia" w:hAnsi="Garamond" w:cs="Georgia"/>
          <w:sz w:val="20"/>
          <w:szCs w:val="20"/>
        </w:rPr>
        <w:t>From Legacy to Leverage.</w:t>
      </w:r>
      <w:proofErr w:type="gramEnd"/>
      <w:r w:rsidRPr="00CF1646">
        <w:rPr>
          <w:rFonts w:ascii="Garamond" w:eastAsia="Georgia" w:hAnsi="Garamond" w:cs="Georgia"/>
          <w:sz w:val="20"/>
          <w:szCs w:val="20"/>
        </w:rPr>
        <w:t xml:space="preserve"> In J. </w:t>
      </w:r>
      <w:proofErr w:type="spellStart"/>
      <w:r w:rsidRPr="00CF1646">
        <w:rPr>
          <w:rFonts w:ascii="Garamond" w:eastAsia="Georgia" w:hAnsi="Garamond" w:cs="Georgia"/>
          <w:sz w:val="20"/>
          <w:szCs w:val="20"/>
        </w:rPr>
        <w:t>Grix</w:t>
      </w:r>
      <w:proofErr w:type="spellEnd"/>
      <w:r w:rsidRPr="00CF1646">
        <w:rPr>
          <w:rFonts w:ascii="Garamond" w:eastAsia="Georgia" w:hAnsi="Garamond" w:cs="Georgia"/>
          <w:sz w:val="20"/>
          <w:szCs w:val="20"/>
        </w:rPr>
        <w:t xml:space="preserve"> (Ed.), </w:t>
      </w:r>
      <w:r w:rsidRPr="00CF1646">
        <w:rPr>
          <w:rFonts w:ascii="Garamond" w:eastAsia="Georgia" w:hAnsi="Garamond" w:cs="Georgia"/>
          <w:i/>
          <w:sz w:val="20"/>
          <w:szCs w:val="20"/>
        </w:rPr>
        <w:t>Leveraging Legacies from Sports Mega-Events: Concepts and Cases</w:t>
      </w:r>
      <w:r w:rsidRPr="00CF1646">
        <w:rPr>
          <w:rFonts w:ascii="Garamond" w:eastAsia="Georgia" w:hAnsi="Garamond" w:cs="Georgia"/>
          <w:sz w:val="20"/>
          <w:szCs w:val="20"/>
        </w:rPr>
        <w:t xml:space="preserve"> (pp. 2-12). Basingstoke: Palgrave Macmillan.</w:t>
      </w:r>
    </w:p>
    <w:p w:rsidR="005B53CF" w:rsidRPr="00CF1646" w:rsidRDefault="005B53CF" w:rsidP="005B53CF">
      <w:pPr>
        <w:pStyle w:val="Normal1"/>
        <w:spacing w:line="480" w:lineRule="auto"/>
        <w:rPr>
          <w:rFonts w:ascii="Garamond" w:eastAsia="Georgia" w:hAnsi="Garamond" w:cs="Georgia"/>
          <w:sz w:val="20"/>
          <w:szCs w:val="20"/>
        </w:rPr>
      </w:pPr>
      <w:proofErr w:type="spellStart"/>
      <w:r w:rsidRPr="00CF1646">
        <w:rPr>
          <w:rFonts w:ascii="Garamond" w:eastAsia="Georgia" w:hAnsi="Garamond" w:cs="Georgia"/>
          <w:sz w:val="20"/>
          <w:szCs w:val="20"/>
        </w:rPr>
        <w:t>Chalip</w:t>
      </w:r>
      <w:proofErr w:type="spellEnd"/>
      <w:r w:rsidRPr="00CF1646">
        <w:rPr>
          <w:rFonts w:ascii="Garamond" w:eastAsia="Georgia" w:hAnsi="Garamond" w:cs="Georgia"/>
          <w:sz w:val="20"/>
          <w:szCs w:val="20"/>
        </w:rPr>
        <w:t xml:space="preserve">, L. (2017). </w:t>
      </w:r>
      <w:proofErr w:type="gramStart"/>
      <w:r w:rsidRPr="00CF1646">
        <w:rPr>
          <w:rFonts w:ascii="Garamond" w:eastAsia="Georgia" w:hAnsi="Garamond" w:cs="Georgia"/>
          <w:sz w:val="20"/>
          <w:szCs w:val="20"/>
        </w:rPr>
        <w:t>Trading legacy for leverage.</w:t>
      </w:r>
      <w:proofErr w:type="gramEnd"/>
      <w:r w:rsidRPr="00CF1646">
        <w:rPr>
          <w:rFonts w:ascii="Garamond" w:eastAsia="Georgia" w:hAnsi="Garamond" w:cs="Georgia"/>
          <w:sz w:val="20"/>
          <w:szCs w:val="20"/>
        </w:rPr>
        <w:t xml:space="preserve"> </w:t>
      </w:r>
      <w:proofErr w:type="gramStart"/>
      <w:r w:rsidRPr="00CF1646">
        <w:rPr>
          <w:rFonts w:ascii="Garamond" w:eastAsia="Georgia" w:hAnsi="Garamond" w:cs="Georgia"/>
          <w:sz w:val="20"/>
          <w:szCs w:val="20"/>
        </w:rPr>
        <w:t xml:space="preserve">In I. </w:t>
      </w:r>
      <w:proofErr w:type="spellStart"/>
      <w:r w:rsidRPr="00CF1646">
        <w:rPr>
          <w:rFonts w:ascii="Garamond" w:eastAsia="Georgia" w:hAnsi="Garamond" w:cs="Georgia"/>
          <w:sz w:val="20"/>
          <w:szCs w:val="20"/>
        </w:rPr>
        <w:t>Brittain</w:t>
      </w:r>
      <w:proofErr w:type="spellEnd"/>
      <w:r w:rsidRPr="00CF1646">
        <w:rPr>
          <w:rFonts w:ascii="Garamond" w:eastAsia="Georgia" w:hAnsi="Garamond" w:cs="Georgia"/>
          <w:sz w:val="20"/>
          <w:szCs w:val="20"/>
        </w:rPr>
        <w:t xml:space="preserve">, J. </w:t>
      </w:r>
      <w:proofErr w:type="spellStart"/>
      <w:r w:rsidRPr="00CF1646">
        <w:rPr>
          <w:rFonts w:ascii="Garamond" w:eastAsia="Georgia" w:hAnsi="Garamond" w:cs="Georgia"/>
          <w:sz w:val="20"/>
          <w:szCs w:val="20"/>
        </w:rPr>
        <w:t>Bocarro</w:t>
      </w:r>
      <w:proofErr w:type="spellEnd"/>
      <w:r w:rsidRPr="00CF1646">
        <w:rPr>
          <w:rFonts w:ascii="Garamond" w:eastAsia="Georgia" w:hAnsi="Garamond" w:cs="Georgia"/>
          <w:sz w:val="20"/>
          <w:szCs w:val="20"/>
        </w:rPr>
        <w:t xml:space="preserve">, T. Byers &amp; K. Swart (Ed.), </w:t>
      </w:r>
      <w:r w:rsidRPr="00CF1646">
        <w:rPr>
          <w:rFonts w:ascii="Garamond" w:eastAsia="Georgia" w:hAnsi="Garamond" w:cs="Georgia"/>
          <w:i/>
          <w:sz w:val="20"/>
          <w:szCs w:val="20"/>
        </w:rPr>
        <w:t>Legacies and Mega Events: Fact or Fairy Tales?</w:t>
      </w:r>
      <w:proofErr w:type="gramEnd"/>
      <w:r w:rsidRPr="00CF1646">
        <w:rPr>
          <w:rFonts w:ascii="Garamond" w:eastAsia="Georgia" w:hAnsi="Garamond" w:cs="Georgia"/>
          <w:sz w:val="20"/>
          <w:szCs w:val="20"/>
        </w:rPr>
        <w:t xml:space="preserve"> (pp. 25-42). London: Routledge.</w:t>
      </w:r>
    </w:p>
    <w:p w:rsidR="005B53CF" w:rsidRPr="00CF1646" w:rsidRDefault="005B53CF" w:rsidP="005B53CF">
      <w:pPr>
        <w:spacing w:line="480" w:lineRule="auto"/>
        <w:rPr>
          <w:rFonts w:ascii="Garamond" w:hAnsi="Garamond"/>
          <w:sz w:val="20"/>
          <w:szCs w:val="20"/>
        </w:rPr>
      </w:pPr>
      <w:proofErr w:type="gramStart"/>
      <w:r w:rsidRPr="00CF1646">
        <w:rPr>
          <w:rFonts w:ascii="Garamond" w:hAnsi="Garamond"/>
          <w:sz w:val="20"/>
          <w:szCs w:val="20"/>
        </w:rPr>
        <w:t>Clark, J., Kearns, A., &amp; Cleland, C. (2016).</w:t>
      </w:r>
      <w:proofErr w:type="gramEnd"/>
      <w:r w:rsidRPr="00CF1646">
        <w:rPr>
          <w:rFonts w:ascii="Garamond" w:hAnsi="Garamond"/>
          <w:sz w:val="20"/>
          <w:szCs w:val="20"/>
        </w:rPr>
        <w:t xml:space="preserve"> Spatial scale, time and process in mega-events: The complexity of host community perspectives on neighbourhood change. </w:t>
      </w:r>
      <w:r w:rsidRPr="00CF1646">
        <w:rPr>
          <w:rFonts w:ascii="Garamond" w:hAnsi="Garamond"/>
          <w:i/>
          <w:iCs/>
          <w:sz w:val="20"/>
          <w:szCs w:val="20"/>
        </w:rPr>
        <w:t>Cities</w:t>
      </w:r>
      <w:r w:rsidRPr="00CF1646">
        <w:rPr>
          <w:rFonts w:ascii="Garamond" w:hAnsi="Garamond"/>
          <w:sz w:val="20"/>
          <w:szCs w:val="20"/>
        </w:rPr>
        <w:t>, 53, 87-97.</w:t>
      </w:r>
    </w:p>
    <w:p w:rsidR="005B53CF" w:rsidRPr="00CF1646" w:rsidRDefault="005B53CF" w:rsidP="005B53CF">
      <w:pPr>
        <w:pStyle w:val="Normal1"/>
        <w:spacing w:line="480" w:lineRule="auto"/>
        <w:rPr>
          <w:rFonts w:ascii="Garamond" w:hAnsi="Garamond"/>
          <w:sz w:val="20"/>
          <w:szCs w:val="20"/>
        </w:rPr>
      </w:pPr>
      <w:proofErr w:type="gramStart"/>
      <w:r w:rsidRPr="00CF1646">
        <w:rPr>
          <w:rFonts w:ascii="Garamond" w:eastAsia="Georgia" w:hAnsi="Garamond" w:cs="Georgia"/>
          <w:sz w:val="20"/>
          <w:szCs w:val="20"/>
        </w:rPr>
        <w:lastRenderedPageBreak/>
        <w:t>Commission for a Sustainable London 2012.</w:t>
      </w:r>
      <w:proofErr w:type="gramEnd"/>
      <w:r w:rsidRPr="00CF1646">
        <w:rPr>
          <w:rFonts w:ascii="Garamond" w:eastAsia="Georgia" w:hAnsi="Garamond" w:cs="Georgia"/>
          <w:sz w:val="20"/>
          <w:szCs w:val="20"/>
        </w:rPr>
        <w:t xml:space="preserve"> (2012). </w:t>
      </w:r>
      <w:r w:rsidRPr="00CF1646">
        <w:rPr>
          <w:rFonts w:ascii="Garamond" w:eastAsia="Georgia" w:hAnsi="Garamond" w:cs="Georgia"/>
          <w:i/>
          <w:sz w:val="20"/>
          <w:szCs w:val="20"/>
        </w:rPr>
        <w:t>London 2012 – From vision to reality: Post-Games Report</w:t>
      </w:r>
      <w:r w:rsidRPr="00CF1646">
        <w:rPr>
          <w:rFonts w:ascii="Garamond" w:eastAsia="Georgia" w:hAnsi="Garamond" w:cs="Georgia"/>
          <w:sz w:val="20"/>
          <w:szCs w:val="20"/>
        </w:rPr>
        <w:t xml:space="preserve">. Retrieved from </w:t>
      </w:r>
      <w:hyperlink r:id="rId15" w:history="1">
        <w:r w:rsidRPr="00CF1646">
          <w:rPr>
            <w:rStyle w:val="Hyperlink"/>
            <w:rFonts w:ascii="Garamond" w:eastAsia="Georgia" w:hAnsi="Garamond" w:cs="Georgia"/>
            <w:sz w:val="20"/>
            <w:szCs w:val="20"/>
          </w:rPr>
          <w:t>http://cslondon.org/wp-content/uploads/downloads/2012/11/CSL_Post%20Games%20Report_Final.pdf</w:t>
        </w:r>
      </w:hyperlink>
    </w:p>
    <w:p w:rsidR="005B53CF" w:rsidRPr="00CF1646" w:rsidRDefault="005B53CF" w:rsidP="005B53CF">
      <w:pPr>
        <w:pStyle w:val="Normal1"/>
        <w:spacing w:line="480" w:lineRule="auto"/>
        <w:rPr>
          <w:rFonts w:ascii="Garamond" w:eastAsia="Georgia" w:hAnsi="Garamond" w:cs="Georgia"/>
          <w:sz w:val="20"/>
          <w:szCs w:val="20"/>
        </w:rPr>
      </w:pPr>
      <w:proofErr w:type="spellStart"/>
      <w:proofErr w:type="gramStart"/>
      <w:r w:rsidRPr="00CF1646">
        <w:rPr>
          <w:rFonts w:ascii="Garamond" w:eastAsia="Georgia" w:hAnsi="Garamond" w:cs="Georgia"/>
          <w:sz w:val="20"/>
          <w:szCs w:val="20"/>
        </w:rPr>
        <w:t>Cresswell</w:t>
      </w:r>
      <w:proofErr w:type="spellEnd"/>
      <w:r w:rsidRPr="00CF1646">
        <w:rPr>
          <w:rFonts w:ascii="Garamond" w:eastAsia="Georgia" w:hAnsi="Garamond" w:cs="Georgia"/>
          <w:sz w:val="20"/>
          <w:szCs w:val="20"/>
        </w:rPr>
        <w:t>, T. (2014).</w:t>
      </w:r>
      <w:proofErr w:type="gramEnd"/>
      <w:r w:rsidRPr="00CF1646">
        <w:rPr>
          <w:rFonts w:ascii="Garamond" w:eastAsia="Georgia" w:hAnsi="Garamond" w:cs="Georgia"/>
          <w:sz w:val="20"/>
          <w:szCs w:val="20"/>
        </w:rPr>
        <w:t xml:space="preserve"> </w:t>
      </w:r>
      <w:r w:rsidRPr="00CF1646">
        <w:rPr>
          <w:rFonts w:ascii="Garamond" w:eastAsia="Georgia" w:hAnsi="Garamond" w:cs="Georgia"/>
          <w:i/>
          <w:sz w:val="20"/>
          <w:szCs w:val="20"/>
        </w:rPr>
        <w:t>Place: An introduction</w:t>
      </w:r>
      <w:r w:rsidRPr="00CF1646">
        <w:rPr>
          <w:rFonts w:ascii="Garamond" w:eastAsia="Georgia" w:hAnsi="Garamond" w:cs="Georgia"/>
          <w:sz w:val="20"/>
          <w:szCs w:val="20"/>
        </w:rPr>
        <w:t xml:space="preserve"> (2nd </w:t>
      </w:r>
      <w:proofErr w:type="gramStart"/>
      <w:r w:rsidRPr="00CF1646">
        <w:rPr>
          <w:rFonts w:ascii="Garamond" w:eastAsia="Georgia" w:hAnsi="Garamond" w:cs="Georgia"/>
          <w:sz w:val="20"/>
          <w:szCs w:val="20"/>
        </w:rPr>
        <w:t>ed</w:t>
      </w:r>
      <w:proofErr w:type="gramEnd"/>
      <w:r w:rsidRPr="00CF1646">
        <w:rPr>
          <w:rFonts w:ascii="Garamond" w:eastAsia="Georgia" w:hAnsi="Garamond" w:cs="Georgia"/>
          <w:sz w:val="20"/>
          <w:szCs w:val="20"/>
        </w:rPr>
        <w:t>.). Oxford: Wiley-Blackwell.</w:t>
      </w:r>
    </w:p>
    <w:p w:rsidR="005B53CF" w:rsidRPr="00CF1646" w:rsidRDefault="005B53CF" w:rsidP="005B53CF">
      <w:pPr>
        <w:spacing w:line="480" w:lineRule="auto"/>
        <w:rPr>
          <w:rFonts w:ascii="Garamond" w:eastAsia="Georgia" w:hAnsi="Garamond" w:cs="Georgia"/>
          <w:sz w:val="20"/>
          <w:szCs w:val="20"/>
        </w:rPr>
      </w:pPr>
      <w:proofErr w:type="spellStart"/>
      <w:proofErr w:type="gramStart"/>
      <w:r w:rsidRPr="00CF1646">
        <w:rPr>
          <w:rFonts w:ascii="Garamond" w:eastAsia="Georgia" w:hAnsi="Garamond" w:cs="Georgia"/>
          <w:sz w:val="20"/>
          <w:szCs w:val="20"/>
        </w:rPr>
        <w:t>Deleuze</w:t>
      </w:r>
      <w:proofErr w:type="spellEnd"/>
      <w:r w:rsidRPr="00CF1646">
        <w:rPr>
          <w:rFonts w:ascii="Garamond" w:eastAsia="Georgia" w:hAnsi="Garamond" w:cs="Georgia"/>
          <w:sz w:val="20"/>
          <w:szCs w:val="20"/>
        </w:rPr>
        <w:t xml:space="preserve">, G., &amp; </w:t>
      </w:r>
      <w:proofErr w:type="spellStart"/>
      <w:r w:rsidRPr="00CF1646">
        <w:rPr>
          <w:rFonts w:ascii="Garamond" w:eastAsia="Georgia" w:hAnsi="Garamond" w:cs="Georgia"/>
          <w:sz w:val="20"/>
          <w:szCs w:val="20"/>
        </w:rPr>
        <w:t>Guattari</w:t>
      </w:r>
      <w:proofErr w:type="spellEnd"/>
      <w:r w:rsidRPr="00CF1646">
        <w:rPr>
          <w:rFonts w:ascii="Garamond" w:eastAsia="Georgia" w:hAnsi="Garamond" w:cs="Georgia"/>
          <w:sz w:val="20"/>
          <w:szCs w:val="20"/>
        </w:rPr>
        <w:t>, F. (1987).</w:t>
      </w:r>
      <w:proofErr w:type="gramEnd"/>
      <w:r w:rsidRPr="00CF1646">
        <w:rPr>
          <w:rFonts w:ascii="Garamond" w:eastAsia="Georgia" w:hAnsi="Garamond" w:cs="Georgia"/>
          <w:sz w:val="20"/>
          <w:szCs w:val="20"/>
        </w:rPr>
        <w:t xml:space="preserve"> </w:t>
      </w:r>
      <w:proofErr w:type="gramStart"/>
      <w:r w:rsidRPr="00CF1646">
        <w:rPr>
          <w:rFonts w:ascii="Garamond" w:eastAsia="Georgia" w:hAnsi="Garamond" w:cs="Georgia"/>
          <w:i/>
          <w:sz w:val="20"/>
          <w:szCs w:val="20"/>
        </w:rPr>
        <w:t>A Thousand Plateaus</w:t>
      </w:r>
      <w:r w:rsidRPr="00CF1646">
        <w:rPr>
          <w:rFonts w:ascii="Garamond" w:eastAsia="Georgia" w:hAnsi="Garamond" w:cs="Georgia"/>
          <w:sz w:val="20"/>
          <w:szCs w:val="20"/>
        </w:rPr>
        <w:t>.</w:t>
      </w:r>
      <w:proofErr w:type="gramEnd"/>
      <w:r w:rsidRPr="00CF1646">
        <w:rPr>
          <w:rFonts w:ascii="Garamond" w:eastAsia="Georgia" w:hAnsi="Garamond" w:cs="Georgia"/>
          <w:sz w:val="20"/>
          <w:szCs w:val="20"/>
        </w:rPr>
        <w:t xml:space="preserve"> Minneapolis: University of Minnesota Press.</w:t>
      </w:r>
    </w:p>
    <w:p w:rsidR="005B53CF" w:rsidRPr="00CF1646" w:rsidRDefault="005B53CF" w:rsidP="005B53CF">
      <w:pPr>
        <w:pStyle w:val="Normal1"/>
        <w:spacing w:line="480" w:lineRule="auto"/>
        <w:rPr>
          <w:rFonts w:ascii="Garamond" w:eastAsia="Georgia" w:hAnsi="Garamond" w:cs="Georgia"/>
          <w:sz w:val="20"/>
          <w:szCs w:val="20"/>
        </w:rPr>
      </w:pPr>
      <w:proofErr w:type="gramStart"/>
      <w:r w:rsidRPr="00CF1646">
        <w:rPr>
          <w:rFonts w:ascii="Garamond" w:eastAsia="Georgia" w:hAnsi="Garamond" w:cs="Georgia"/>
          <w:sz w:val="20"/>
          <w:szCs w:val="20"/>
        </w:rPr>
        <w:t>Duignan, M. B., Everett, S., Walsh, L., &amp; Cade, N. (2017).</w:t>
      </w:r>
      <w:proofErr w:type="gramEnd"/>
      <w:r w:rsidRPr="00CF1646">
        <w:rPr>
          <w:rFonts w:ascii="Garamond" w:eastAsia="Georgia" w:hAnsi="Garamond" w:cs="Georgia"/>
          <w:sz w:val="20"/>
          <w:szCs w:val="20"/>
        </w:rPr>
        <w:t xml:space="preserve"> Leveraging Physical and Digital </w:t>
      </w:r>
      <w:proofErr w:type="spellStart"/>
      <w:r w:rsidRPr="00CF1646">
        <w:rPr>
          <w:rFonts w:ascii="Garamond" w:eastAsia="Georgia" w:hAnsi="Garamond" w:cs="Georgia"/>
          <w:sz w:val="20"/>
          <w:szCs w:val="20"/>
        </w:rPr>
        <w:t>Liminoidal</w:t>
      </w:r>
      <w:proofErr w:type="spellEnd"/>
      <w:r w:rsidRPr="00CF1646">
        <w:rPr>
          <w:rFonts w:ascii="Garamond" w:eastAsia="Georgia" w:hAnsi="Garamond" w:cs="Georgia"/>
          <w:sz w:val="20"/>
          <w:szCs w:val="20"/>
        </w:rPr>
        <w:t xml:space="preserve"> Spaces: the Case of the #</w:t>
      </w:r>
      <w:proofErr w:type="spellStart"/>
      <w:r w:rsidRPr="00CF1646">
        <w:rPr>
          <w:rFonts w:ascii="Garamond" w:eastAsia="Georgia" w:hAnsi="Garamond" w:cs="Georgia"/>
          <w:sz w:val="20"/>
          <w:szCs w:val="20"/>
        </w:rPr>
        <w:t>EATCambridge</w:t>
      </w:r>
      <w:proofErr w:type="spellEnd"/>
      <w:r w:rsidRPr="00CF1646">
        <w:rPr>
          <w:rFonts w:ascii="Garamond" w:eastAsia="Georgia" w:hAnsi="Garamond" w:cs="Georgia"/>
          <w:sz w:val="20"/>
          <w:szCs w:val="20"/>
        </w:rPr>
        <w:t xml:space="preserve"> Festival. </w:t>
      </w:r>
      <w:r w:rsidRPr="00CF1646">
        <w:rPr>
          <w:rFonts w:ascii="Garamond" w:eastAsia="Georgia" w:hAnsi="Garamond" w:cs="Georgia"/>
          <w:i/>
          <w:sz w:val="20"/>
          <w:szCs w:val="20"/>
        </w:rPr>
        <w:t>Tourism Geographies</w:t>
      </w:r>
      <w:r w:rsidR="005D057B">
        <w:rPr>
          <w:rFonts w:ascii="Garamond" w:eastAsia="Georgia" w:hAnsi="Garamond" w:cs="Georgia"/>
          <w:sz w:val="20"/>
          <w:szCs w:val="20"/>
        </w:rPr>
        <w:t xml:space="preserve"> </w:t>
      </w:r>
      <w:r w:rsidR="005D057B" w:rsidRPr="005D057B">
        <w:rPr>
          <w:rFonts w:ascii="Garamond" w:eastAsia="Georgia" w:hAnsi="Garamond" w:cs="Georgia"/>
          <w:sz w:val="20"/>
          <w:szCs w:val="20"/>
        </w:rPr>
        <w:t>(accepted for publication October 2017).</w:t>
      </w:r>
    </w:p>
    <w:p w:rsidR="005B53CF" w:rsidRDefault="005B53CF" w:rsidP="005B53CF">
      <w:pPr>
        <w:pStyle w:val="Normal1"/>
        <w:spacing w:line="480" w:lineRule="auto"/>
        <w:rPr>
          <w:rStyle w:val="Hyperlink"/>
          <w:rFonts w:ascii="Garamond" w:eastAsia="Georgia" w:hAnsi="Garamond" w:cs="Georgia"/>
          <w:sz w:val="20"/>
          <w:szCs w:val="20"/>
        </w:rPr>
      </w:pPr>
      <w:proofErr w:type="gramStart"/>
      <w:r w:rsidRPr="00CF1646">
        <w:rPr>
          <w:rFonts w:ascii="Garamond" w:eastAsia="Georgia" w:hAnsi="Garamond" w:cs="Georgia"/>
          <w:sz w:val="20"/>
          <w:szCs w:val="20"/>
        </w:rPr>
        <w:t>Duignan, M. B., &amp; McGillivray, D. (2016).</w:t>
      </w:r>
      <w:proofErr w:type="gramEnd"/>
      <w:r w:rsidRPr="00CF1646">
        <w:rPr>
          <w:rFonts w:ascii="Garamond" w:eastAsia="Georgia" w:hAnsi="Garamond" w:cs="Georgia"/>
          <w:sz w:val="20"/>
          <w:szCs w:val="20"/>
        </w:rPr>
        <w:t xml:space="preserve"> </w:t>
      </w:r>
      <w:r w:rsidRPr="00CF1646">
        <w:rPr>
          <w:rFonts w:ascii="Garamond" w:eastAsia="Georgia" w:hAnsi="Garamond" w:cs="Georgia"/>
          <w:i/>
          <w:sz w:val="20"/>
          <w:szCs w:val="20"/>
        </w:rPr>
        <w:t>How Rio 2016 satisfied the sponsors while leaving room for the people</w:t>
      </w:r>
      <w:r w:rsidRPr="00CF1646">
        <w:rPr>
          <w:rFonts w:ascii="Garamond" w:eastAsia="Georgia" w:hAnsi="Garamond" w:cs="Georgia"/>
          <w:sz w:val="20"/>
          <w:szCs w:val="20"/>
        </w:rPr>
        <w:t xml:space="preserve">. Retrieved from </w:t>
      </w:r>
      <w:hyperlink r:id="rId16" w:history="1">
        <w:r w:rsidRPr="00CF1646">
          <w:rPr>
            <w:rStyle w:val="Hyperlink"/>
            <w:rFonts w:ascii="Garamond" w:eastAsia="Georgia" w:hAnsi="Garamond" w:cs="Georgia"/>
            <w:sz w:val="20"/>
            <w:szCs w:val="20"/>
          </w:rPr>
          <w:t>http://theconversation.com/how-rio-2016-satisfied-its-sponsors-while-leaving-room-for-the-people-64071</w:t>
        </w:r>
      </w:hyperlink>
    </w:p>
    <w:p w:rsidR="005B53CF" w:rsidRPr="00CF2DAE" w:rsidRDefault="005B53CF" w:rsidP="005B53CF">
      <w:pPr>
        <w:spacing w:line="480" w:lineRule="auto"/>
        <w:outlineLvl w:val="1"/>
        <w:rPr>
          <w:rFonts w:ascii="Garamond" w:hAnsi="Garamond"/>
          <w:b/>
          <w:i/>
          <w:color w:val="000000"/>
          <w:sz w:val="28"/>
        </w:rPr>
      </w:pPr>
      <w:proofErr w:type="gramStart"/>
      <w:r>
        <w:rPr>
          <w:rFonts w:ascii="Garamond" w:eastAsia="Georgia" w:hAnsi="Garamond" w:cs="Georgia"/>
          <w:sz w:val="20"/>
          <w:szCs w:val="20"/>
        </w:rPr>
        <w:t>Duignan, M.</w:t>
      </w:r>
      <w:r w:rsidR="005D057B">
        <w:rPr>
          <w:rFonts w:ascii="Garamond" w:eastAsia="Georgia" w:hAnsi="Garamond" w:cs="Georgia"/>
          <w:sz w:val="20"/>
          <w:szCs w:val="20"/>
        </w:rPr>
        <w:t xml:space="preserve"> B., &amp; </w:t>
      </w:r>
      <w:r>
        <w:rPr>
          <w:rFonts w:ascii="Garamond" w:eastAsia="Georgia" w:hAnsi="Garamond" w:cs="Georgia"/>
          <w:sz w:val="20"/>
          <w:szCs w:val="20"/>
        </w:rPr>
        <w:t>McGillivray, D. (forthcoming, 2019).</w:t>
      </w:r>
      <w:proofErr w:type="gramEnd"/>
      <w:r>
        <w:rPr>
          <w:rFonts w:ascii="Garamond" w:eastAsia="Georgia" w:hAnsi="Garamond" w:cs="Georgia"/>
          <w:sz w:val="20"/>
          <w:szCs w:val="20"/>
        </w:rPr>
        <w:t xml:space="preserve"> </w:t>
      </w:r>
      <w:r w:rsidRPr="00BF096F">
        <w:rPr>
          <w:rFonts w:ascii="Garamond" w:hAnsi="Garamond"/>
          <w:color w:val="000000"/>
          <w:sz w:val="20"/>
        </w:rPr>
        <w:t>Walking Methodologies, Digital Platforms and the Interrogation of Olympic Spaces: The ‘#</w:t>
      </w:r>
      <w:proofErr w:type="spellStart"/>
      <w:r w:rsidRPr="00BF096F">
        <w:rPr>
          <w:rFonts w:ascii="Garamond" w:hAnsi="Garamond"/>
          <w:color w:val="000000"/>
          <w:sz w:val="20"/>
        </w:rPr>
        <w:t>RioZones</w:t>
      </w:r>
      <w:proofErr w:type="spellEnd"/>
      <w:r w:rsidRPr="00BF096F">
        <w:rPr>
          <w:rFonts w:ascii="Garamond" w:hAnsi="Garamond"/>
          <w:color w:val="000000"/>
          <w:sz w:val="20"/>
        </w:rPr>
        <w:t>-Approach’</w:t>
      </w:r>
      <w:r>
        <w:rPr>
          <w:rFonts w:ascii="Garamond" w:hAnsi="Garamond"/>
          <w:color w:val="000000"/>
          <w:sz w:val="20"/>
        </w:rPr>
        <w:t xml:space="preserve">. </w:t>
      </w:r>
      <w:proofErr w:type="gramStart"/>
      <w:r>
        <w:rPr>
          <w:rFonts w:ascii="Garamond" w:hAnsi="Garamond"/>
          <w:i/>
          <w:color w:val="000000"/>
          <w:sz w:val="20"/>
        </w:rPr>
        <w:t>Tourism Geographies.</w:t>
      </w:r>
      <w:proofErr w:type="gramEnd"/>
      <w:r>
        <w:rPr>
          <w:rFonts w:ascii="Garamond" w:hAnsi="Garamond"/>
          <w:i/>
          <w:color w:val="000000"/>
          <w:sz w:val="20"/>
        </w:rPr>
        <w:t xml:space="preserve"> </w:t>
      </w:r>
    </w:p>
    <w:p w:rsidR="005B53CF" w:rsidRPr="00CF1646" w:rsidRDefault="005B53CF" w:rsidP="005B53CF">
      <w:pPr>
        <w:spacing w:line="480" w:lineRule="auto"/>
        <w:rPr>
          <w:rFonts w:ascii="Garamond" w:hAnsi="Garamond"/>
          <w:sz w:val="20"/>
          <w:szCs w:val="20"/>
        </w:rPr>
      </w:pPr>
      <w:r w:rsidRPr="00CF1646">
        <w:rPr>
          <w:rFonts w:ascii="Garamond" w:hAnsi="Garamond"/>
          <w:sz w:val="20"/>
          <w:szCs w:val="20"/>
        </w:rPr>
        <w:t xml:space="preserve">Duignan, M. B., </w:t>
      </w:r>
      <w:proofErr w:type="spellStart"/>
      <w:r w:rsidRPr="00CF1646">
        <w:rPr>
          <w:rFonts w:ascii="Garamond" w:hAnsi="Garamond"/>
          <w:sz w:val="20"/>
          <w:szCs w:val="20"/>
        </w:rPr>
        <w:t>Pappalepore</w:t>
      </w:r>
      <w:proofErr w:type="spellEnd"/>
      <w:r w:rsidRPr="00CF1646">
        <w:rPr>
          <w:rFonts w:ascii="Garamond" w:hAnsi="Garamond"/>
          <w:sz w:val="20"/>
          <w:szCs w:val="20"/>
        </w:rPr>
        <w:t xml:space="preserve">, I., &amp; Everett, S. (2019). The ‘summer of discontent’: Exclusion and communal resistance at the London 2012 Olympic Games. </w:t>
      </w:r>
      <w:r w:rsidRPr="00CF1646">
        <w:rPr>
          <w:rFonts w:ascii="Garamond" w:hAnsi="Garamond"/>
          <w:i/>
          <w:sz w:val="20"/>
          <w:szCs w:val="20"/>
        </w:rPr>
        <w:t>Tourism Management</w:t>
      </w:r>
      <w:r w:rsidRPr="00CF1646">
        <w:rPr>
          <w:rFonts w:ascii="Garamond" w:hAnsi="Garamond"/>
          <w:sz w:val="20"/>
          <w:szCs w:val="20"/>
        </w:rPr>
        <w:t xml:space="preserve"> </w:t>
      </w:r>
      <w:r w:rsidRPr="00CF1646">
        <w:rPr>
          <w:rFonts w:ascii="Garamond" w:eastAsia="Georgia" w:hAnsi="Garamond" w:cs="Georgia"/>
          <w:sz w:val="20"/>
          <w:szCs w:val="20"/>
        </w:rPr>
        <w:t>(accepted for publication August 2018).</w:t>
      </w:r>
    </w:p>
    <w:p w:rsidR="005B53CF" w:rsidRPr="00CF1646" w:rsidRDefault="005B53CF" w:rsidP="005B53CF">
      <w:pPr>
        <w:spacing w:line="480" w:lineRule="auto"/>
        <w:rPr>
          <w:rFonts w:ascii="Garamond" w:hAnsi="Garamond"/>
          <w:color w:val="000000"/>
          <w:sz w:val="20"/>
          <w:szCs w:val="20"/>
        </w:rPr>
      </w:pPr>
      <w:proofErr w:type="gramStart"/>
      <w:r w:rsidRPr="00CF1646">
        <w:rPr>
          <w:rFonts w:ascii="Garamond" w:hAnsi="Garamond"/>
          <w:color w:val="000000"/>
          <w:sz w:val="20"/>
          <w:szCs w:val="20"/>
        </w:rPr>
        <w:t>Federation of Small Businesses.</w:t>
      </w:r>
      <w:proofErr w:type="gramEnd"/>
      <w:r w:rsidRPr="00CF1646">
        <w:rPr>
          <w:rFonts w:ascii="Garamond" w:hAnsi="Garamond"/>
          <w:color w:val="000000"/>
          <w:sz w:val="20"/>
          <w:szCs w:val="20"/>
        </w:rPr>
        <w:t xml:space="preserve"> (2013). </w:t>
      </w:r>
      <w:proofErr w:type="gramStart"/>
      <w:r w:rsidRPr="00CF1646">
        <w:rPr>
          <w:rFonts w:ascii="Garamond" w:hAnsi="Garamond"/>
          <w:i/>
          <w:color w:val="000000"/>
          <w:sz w:val="20"/>
          <w:szCs w:val="20"/>
        </w:rPr>
        <w:t>Passing</w:t>
      </w:r>
      <w:proofErr w:type="gramEnd"/>
      <w:r w:rsidRPr="00CF1646">
        <w:rPr>
          <w:rFonts w:ascii="Garamond" w:hAnsi="Garamond"/>
          <w:i/>
          <w:color w:val="000000"/>
          <w:sz w:val="20"/>
          <w:szCs w:val="20"/>
        </w:rPr>
        <w:t xml:space="preserve"> the baton: How small business have been affected by the London 2012 Games</w:t>
      </w:r>
      <w:r w:rsidRPr="00CF1646">
        <w:rPr>
          <w:rFonts w:ascii="Garamond" w:hAnsi="Garamond"/>
          <w:color w:val="000000"/>
          <w:sz w:val="20"/>
          <w:szCs w:val="20"/>
        </w:rPr>
        <w:t xml:space="preserve">. </w:t>
      </w:r>
      <w:r w:rsidRPr="00CF1646">
        <w:rPr>
          <w:rFonts w:ascii="Garamond" w:eastAsia="Georgia" w:hAnsi="Garamond" w:cs="Georgia"/>
          <w:sz w:val="20"/>
          <w:szCs w:val="20"/>
        </w:rPr>
        <w:t>Retrieved from</w:t>
      </w:r>
      <w:r w:rsidRPr="00CF1646">
        <w:rPr>
          <w:rFonts w:ascii="Garamond" w:hAnsi="Garamond"/>
          <w:color w:val="000000"/>
          <w:sz w:val="20"/>
          <w:szCs w:val="20"/>
        </w:rPr>
        <w:t xml:space="preserve"> </w:t>
      </w:r>
      <w:hyperlink r:id="rId17" w:history="1">
        <w:r w:rsidRPr="00CF1646">
          <w:rPr>
            <w:rStyle w:val="Hyperlink"/>
            <w:rFonts w:ascii="Garamond" w:hAnsi="Garamond"/>
            <w:sz w:val="20"/>
            <w:szCs w:val="20"/>
          </w:rPr>
          <w:t>http://www.fsb.org.uk/policy/rpu/london/assets/passingthebaton_fsb_final.pdf</w:t>
        </w:r>
      </w:hyperlink>
    </w:p>
    <w:p w:rsidR="005B53CF" w:rsidRPr="00CF1646" w:rsidRDefault="005B53CF" w:rsidP="005B53CF">
      <w:pPr>
        <w:spacing w:line="480" w:lineRule="auto"/>
        <w:rPr>
          <w:rFonts w:ascii="Garamond" w:hAnsi="Garamond"/>
          <w:color w:val="000000"/>
          <w:sz w:val="20"/>
          <w:szCs w:val="20"/>
        </w:rPr>
      </w:pPr>
      <w:proofErr w:type="gramStart"/>
      <w:r w:rsidRPr="00CF1646">
        <w:rPr>
          <w:rFonts w:ascii="Garamond" w:hAnsi="Garamond"/>
          <w:color w:val="000000"/>
          <w:sz w:val="20"/>
          <w:szCs w:val="20"/>
        </w:rPr>
        <w:t>Financial Times.</w:t>
      </w:r>
      <w:proofErr w:type="gramEnd"/>
      <w:r w:rsidRPr="00CF1646">
        <w:rPr>
          <w:rFonts w:ascii="Garamond" w:hAnsi="Garamond"/>
          <w:color w:val="000000"/>
          <w:sz w:val="20"/>
          <w:szCs w:val="20"/>
        </w:rPr>
        <w:t xml:space="preserve"> (2012). </w:t>
      </w:r>
      <w:r w:rsidRPr="00CF1646">
        <w:rPr>
          <w:rFonts w:ascii="Garamond" w:hAnsi="Garamond"/>
          <w:i/>
          <w:color w:val="000000"/>
          <w:sz w:val="20"/>
          <w:szCs w:val="20"/>
        </w:rPr>
        <w:t>Businesses miss out on Olympics party</w:t>
      </w:r>
      <w:r w:rsidRPr="00CF1646">
        <w:rPr>
          <w:rFonts w:ascii="Garamond" w:hAnsi="Garamond"/>
          <w:color w:val="000000"/>
          <w:sz w:val="20"/>
          <w:szCs w:val="20"/>
        </w:rPr>
        <w:t xml:space="preserve"> [video online]. </w:t>
      </w:r>
      <w:r w:rsidRPr="00CF1646">
        <w:rPr>
          <w:rFonts w:ascii="Garamond" w:eastAsia="Georgia" w:hAnsi="Garamond" w:cs="Georgia"/>
          <w:sz w:val="20"/>
          <w:szCs w:val="20"/>
        </w:rPr>
        <w:t>Retrieved from</w:t>
      </w:r>
      <w:r w:rsidRPr="00CF1646">
        <w:rPr>
          <w:rFonts w:ascii="Garamond" w:hAnsi="Garamond"/>
          <w:color w:val="000000"/>
          <w:sz w:val="20"/>
          <w:szCs w:val="20"/>
        </w:rPr>
        <w:t xml:space="preserve"> </w:t>
      </w:r>
      <w:hyperlink r:id="rId18" w:history="1">
        <w:r w:rsidR="005D057B" w:rsidRPr="000B0A0C">
          <w:rPr>
            <w:rStyle w:val="Hyperlink"/>
            <w:rFonts w:ascii="Garamond" w:hAnsi="Garamond"/>
            <w:sz w:val="20"/>
            <w:szCs w:val="20"/>
          </w:rPr>
          <w:t>https://www.ft.com/video/e078c9e7-e4a6-3183-8880-311d51728d0c</w:t>
        </w:r>
      </w:hyperlink>
      <w:r w:rsidR="005D057B">
        <w:rPr>
          <w:rFonts w:ascii="Garamond" w:hAnsi="Garamond"/>
          <w:color w:val="000000"/>
          <w:sz w:val="20"/>
          <w:szCs w:val="20"/>
        </w:rPr>
        <w:t xml:space="preserve"> </w:t>
      </w:r>
    </w:p>
    <w:p w:rsidR="005B53CF" w:rsidRPr="00CF1646" w:rsidRDefault="005B53CF" w:rsidP="005B53CF">
      <w:pPr>
        <w:spacing w:line="480" w:lineRule="auto"/>
        <w:rPr>
          <w:rFonts w:ascii="Garamond" w:eastAsia="Arial" w:hAnsi="Garamond" w:cs="Arial"/>
          <w:sz w:val="20"/>
          <w:szCs w:val="20"/>
        </w:rPr>
      </w:pPr>
      <w:proofErr w:type="spellStart"/>
      <w:proofErr w:type="gramStart"/>
      <w:r w:rsidRPr="00CF1646">
        <w:rPr>
          <w:rFonts w:ascii="Garamond" w:eastAsia="Arial" w:hAnsi="Garamond" w:cs="Arial"/>
          <w:sz w:val="20"/>
          <w:szCs w:val="20"/>
        </w:rPr>
        <w:t>Flyvbjerg</w:t>
      </w:r>
      <w:proofErr w:type="spellEnd"/>
      <w:r w:rsidRPr="00CF1646">
        <w:rPr>
          <w:rFonts w:ascii="Garamond" w:eastAsia="Arial" w:hAnsi="Garamond" w:cs="Arial"/>
          <w:sz w:val="20"/>
          <w:szCs w:val="20"/>
        </w:rPr>
        <w:t xml:space="preserve">, B., </w:t>
      </w:r>
      <w:proofErr w:type="spellStart"/>
      <w:r w:rsidRPr="00CF1646">
        <w:rPr>
          <w:rFonts w:ascii="Garamond" w:eastAsia="Arial" w:hAnsi="Garamond" w:cs="Arial"/>
          <w:sz w:val="20"/>
          <w:szCs w:val="20"/>
        </w:rPr>
        <w:t>Bruzelius</w:t>
      </w:r>
      <w:proofErr w:type="spellEnd"/>
      <w:r w:rsidRPr="00CF1646">
        <w:rPr>
          <w:rFonts w:ascii="Garamond" w:eastAsia="Arial" w:hAnsi="Garamond" w:cs="Arial"/>
          <w:sz w:val="20"/>
          <w:szCs w:val="20"/>
        </w:rPr>
        <w:t xml:space="preserve">, N., &amp; </w:t>
      </w:r>
      <w:proofErr w:type="spellStart"/>
      <w:r w:rsidRPr="00CF1646">
        <w:rPr>
          <w:rFonts w:ascii="Garamond" w:eastAsia="Arial" w:hAnsi="Garamond" w:cs="Arial"/>
          <w:sz w:val="20"/>
          <w:szCs w:val="20"/>
        </w:rPr>
        <w:t>Rothengatter</w:t>
      </w:r>
      <w:proofErr w:type="spellEnd"/>
      <w:r w:rsidRPr="00CF1646">
        <w:rPr>
          <w:rFonts w:ascii="Garamond" w:eastAsia="Arial" w:hAnsi="Garamond" w:cs="Arial"/>
          <w:sz w:val="20"/>
          <w:szCs w:val="20"/>
        </w:rPr>
        <w:t>, W. (2003).</w:t>
      </w:r>
      <w:proofErr w:type="gramEnd"/>
      <w:r w:rsidRPr="00CF1646">
        <w:rPr>
          <w:rFonts w:ascii="Garamond" w:eastAsia="Arial" w:hAnsi="Garamond" w:cs="Arial"/>
          <w:sz w:val="20"/>
          <w:szCs w:val="20"/>
        </w:rPr>
        <w:t xml:space="preserve"> </w:t>
      </w:r>
      <w:r w:rsidRPr="00CF1646">
        <w:rPr>
          <w:rFonts w:ascii="Garamond" w:eastAsia="Arial" w:hAnsi="Garamond" w:cs="Arial"/>
          <w:i/>
          <w:sz w:val="20"/>
          <w:szCs w:val="20"/>
        </w:rPr>
        <w:t>Megaprojects and Risk: An Anatomy of Ambition</w:t>
      </w:r>
      <w:r w:rsidRPr="00CF1646">
        <w:rPr>
          <w:rFonts w:ascii="Garamond" w:eastAsia="Arial" w:hAnsi="Garamond" w:cs="Arial"/>
          <w:sz w:val="20"/>
          <w:szCs w:val="20"/>
        </w:rPr>
        <w:t>. Cambridge: Cambridge University Press.</w:t>
      </w:r>
    </w:p>
    <w:p w:rsidR="005B53CF" w:rsidRPr="00CF1646" w:rsidRDefault="005B53CF" w:rsidP="005B53CF">
      <w:pPr>
        <w:pStyle w:val="Normal1"/>
        <w:spacing w:line="480" w:lineRule="auto"/>
        <w:rPr>
          <w:rFonts w:ascii="Garamond" w:eastAsia="Georgia" w:hAnsi="Garamond" w:cs="Georgia"/>
          <w:sz w:val="20"/>
          <w:szCs w:val="20"/>
        </w:rPr>
      </w:pPr>
      <w:r w:rsidRPr="00CF1646">
        <w:rPr>
          <w:rFonts w:ascii="Garamond" w:eastAsia="Georgia" w:hAnsi="Garamond" w:cs="Georgia"/>
          <w:sz w:val="20"/>
          <w:szCs w:val="20"/>
        </w:rPr>
        <w:t xml:space="preserve">Getz, D. (2005). </w:t>
      </w:r>
      <w:r w:rsidRPr="00CF1646">
        <w:rPr>
          <w:rFonts w:ascii="Garamond" w:eastAsia="Georgia" w:hAnsi="Garamond" w:cs="Georgia"/>
          <w:i/>
          <w:sz w:val="20"/>
          <w:szCs w:val="20"/>
        </w:rPr>
        <w:t>Event management and event tourism</w:t>
      </w:r>
      <w:r w:rsidRPr="00CF1646">
        <w:rPr>
          <w:rFonts w:ascii="Garamond" w:eastAsia="Georgia" w:hAnsi="Garamond" w:cs="Georgia"/>
          <w:sz w:val="20"/>
          <w:szCs w:val="20"/>
        </w:rPr>
        <w:t xml:space="preserve"> (2nd </w:t>
      </w:r>
      <w:proofErr w:type="gramStart"/>
      <w:r w:rsidRPr="00CF1646">
        <w:rPr>
          <w:rFonts w:ascii="Garamond" w:eastAsia="Georgia" w:hAnsi="Garamond" w:cs="Georgia"/>
          <w:sz w:val="20"/>
          <w:szCs w:val="20"/>
        </w:rPr>
        <w:t>ed</w:t>
      </w:r>
      <w:proofErr w:type="gramEnd"/>
      <w:r w:rsidRPr="00CF1646">
        <w:rPr>
          <w:rFonts w:ascii="Garamond" w:eastAsia="Georgia" w:hAnsi="Garamond" w:cs="Georgia"/>
          <w:sz w:val="20"/>
          <w:szCs w:val="20"/>
        </w:rPr>
        <w:t xml:space="preserve">.). New York: </w:t>
      </w:r>
      <w:proofErr w:type="gramStart"/>
      <w:r w:rsidRPr="00CF1646">
        <w:rPr>
          <w:rFonts w:ascii="Garamond" w:eastAsia="Georgia" w:hAnsi="Garamond" w:cs="Georgia"/>
          <w:sz w:val="20"/>
          <w:szCs w:val="20"/>
        </w:rPr>
        <w:t>Cognizant</w:t>
      </w:r>
      <w:proofErr w:type="gramEnd"/>
      <w:r w:rsidRPr="00CF1646">
        <w:rPr>
          <w:rFonts w:ascii="Garamond" w:eastAsia="Georgia" w:hAnsi="Garamond" w:cs="Georgia"/>
          <w:sz w:val="20"/>
          <w:szCs w:val="20"/>
        </w:rPr>
        <w:t xml:space="preserve"> Communication Corporation.</w:t>
      </w:r>
    </w:p>
    <w:p w:rsidR="005B53CF" w:rsidRPr="00CF1646" w:rsidRDefault="005B53CF" w:rsidP="005B53CF">
      <w:pPr>
        <w:pStyle w:val="Normal1"/>
        <w:spacing w:line="480" w:lineRule="auto"/>
        <w:rPr>
          <w:rFonts w:ascii="Garamond" w:eastAsia="Georgia" w:hAnsi="Garamond" w:cs="Georgia"/>
          <w:sz w:val="20"/>
          <w:szCs w:val="20"/>
        </w:rPr>
      </w:pPr>
      <w:proofErr w:type="spellStart"/>
      <w:proofErr w:type="gramStart"/>
      <w:r w:rsidRPr="00CF1646">
        <w:rPr>
          <w:rFonts w:ascii="Garamond" w:eastAsia="Georgia" w:hAnsi="Garamond" w:cs="Georgia"/>
          <w:sz w:val="20"/>
          <w:szCs w:val="20"/>
        </w:rPr>
        <w:t>Girginov</w:t>
      </w:r>
      <w:proofErr w:type="spellEnd"/>
      <w:r w:rsidRPr="00CF1646">
        <w:rPr>
          <w:rFonts w:ascii="Garamond" w:eastAsia="Georgia" w:hAnsi="Garamond" w:cs="Georgia"/>
          <w:sz w:val="20"/>
          <w:szCs w:val="20"/>
        </w:rPr>
        <w:t>, V. (2016).</w:t>
      </w:r>
      <w:proofErr w:type="gramEnd"/>
      <w:r w:rsidRPr="00CF1646">
        <w:rPr>
          <w:rFonts w:ascii="Garamond" w:eastAsia="Georgia" w:hAnsi="Garamond" w:cs="Georgia"/>
          <w:sz w:val="20"/>
          <w:szCs w:val="20"/>
        </w:rPr>
        <w:t xml:space="preserve"> </w:t>
      </w:r>
      <w:proofErr w:type="gramStart"/>
      <w:r w:rsidRPr="00CF1646">
        <w:rPr>
          <w:rFonts w:ascii="Garamond" w:eastAsia="Georgia" w:hAnsi="Garamond" w:cs="Georgia"/>
          <w:sz w:val="20"/>
          <w:szCs w:val="20"/>
        </w:rPr>
        <w:t xml:space="preserve">Leveraging the Olympic Games Universal and local imaginaries and </w:t>
      </w:r>
      <w:proofErr w:type="spellStart"/>
      <w:r w:rsidRPr="00CF1646">
        <w:rPr>
          <w:rFonts w:ascii="Garamond" w:eastAsia="Georgia" w:hAnsi="Garamond" w:cs="Georgia"/>
          <w:sz w:val="20"/>
          <w:szCs w:val="20"/>
        </w:rPr>
        <w:t>mobilities</w:t>
      </w:r>
      <w:proofErr w:type="spellEnd"/>
      <w:r w:rsidRPr="00CF1646">
        <w:rPr>
          <w:rFonts w:ascii="Garamond" w:eastAsia="Georgia" w:hAnsi="Garamond" w:cs="Georgia"/>
          <w:sz w:val="20"/>
          <w:szCs w:val="20"/>
        </w:rPr>
        <w:t>.</w:t>
      </w:r>
      <w:proofErr w:type="gramEnd"/>
      <w:r w:rsidRPr="00CF1646">
        <w:rPr>
          <w:rFonts w:ascii="Garamond" w:eastAsia="Georgia" w:hAnsi="Garamond" w:cs="Georgia"/>
          <w:sz w:val="20"/>
          <w:szCs w:val="20"/>
        </w:rPr>
        <w:t xml:space="preserve"> In N. B. Salazar, C. Timmerman, J. Wets, L. G. </w:t>
      </w:r>
      <w:proofErr w:type="spellStart"/>
      <w:r w:rsidRPr="00CF1646">
        <w:rPr>
          <w:rFonts w:ascii="Garamond" w:eastAsia="Georgia" w:hAnsi="Garamond" w:cs="Georgia"/>
          <w:sz w:val="20"/>
          <w:szCs w:val="20"/>
        </w:rPr>
        <w:t>Gato</w:t>
      </w:r>
      <w:proofErr w:type="spellEnd"/>
      <w:r w:rsidRPr="00CF1646">
        <w:rPr>
          <w:rFonts w:ascii="Garamond" w:eastAsia="Georgia" w:hAnsi="Garamond" w:cs="Georgia"/>
          <w:sz w:val="20"/>
          <w:szCs w:val="20"/>
        </w:rPr>
        <w:t xml:space="preserve"> &amp; S. Van den </w:t>
      </w:r>
      <w:proofErr w:type="spellStart"/>
      <w:r w:rsidRPr="00CF1646">
        <w:rPr>
          <w:rFonts w:ascii="Garamond" w:eastAsia="Georgia" w:hAnsi="Garamond" w:cs="Georgia"/>
          <w:sz w:val="20"/>
          <w:szCs w:val="20"/>
        </w:rPr>
        <w:t>Broucke</w:t>
      </w:r>
      <w:proofErr w:type="spellEnd"/>
      <w:r w:rsidRPr="00CF1646">
        <w:rPr>
          <w:rFonts w:ascii="Garamond" w:eastAsia="Georgia" w:hAnsi="Garamond" w:cs="Georgia"/>
          <w:sz w:val="20"/>
          <w:szCs w:val="20"/>
        </w:rPr>
        <w:t xml:space="preserve"> (Ed.), </w:t>
      </w:r>
      <w:r w:rsidRPr="00CF1646">
        <w:rPr>
          <w:rFonts w:ascii="Garamond" w:eastAsia="Georgia" w:hAnsi="Garamond" w:cs="Georgia"/>
          <w:i/>
          <w:sz w:val="20"/>
          <w:szCs w:val="20"/>
        </w:rPr>
        <w:t xml:space="preserve">Mega-Event </w:t>
      </w:r>
      <w:proofErr w:type="spellStart"/>
      <w:r w:rsidRPr="00CF1646">
        <w:rPr>
          <w:rFonts w:ascii="Garamond" w:eastAsia="Georgia" w:hAnsi="Garamond" w:cs="Georgia"/>
          <w:i/>
          <w:sz w:val="20"/>
          <w:szCs w:val="20"/>
        </w:rPr>
        <w:t>Mobilities</w:t>
      </w:r>
      <w:proofErr w:type="spellEnd"/>
      <w:r w:rsidRPr="00CF1646">
        <w:rPr>
          <w:rFonts w:ascii="Garamond" w:eastAsia="Georgia" w:hAnsi="Garamond" w:cs="Georgia"/>
          <w:i/>
          <w:sz w:val="20"/>
          <w:szCs w:val="20"/>
        </w:rPr>
        <w:t>: A critical analysis</w:t>
      </w:r>
      <w:r w:rsidRPr="00CF1646">
        <w:rPr>
          <w:rFonts w:ascii="Garamond" w:eastAsia="Georgia" w:hAnsi="Garamond" w:cs="Georgia"/>
          <w:sz w:val="20"/>
          <w:szCs w:val="20"/>
        </w:rPr>
        <w:t xml:space="preserve"> (pp. 145-164). London: Routledge.</w:t>
      </w:r>
    </w:p>
    <w:p w:rsidR="005B53CF" w:rsidRPr="00CF1646" w:rsidRDefault="005B53CF" w:rsidP="005B53CF">
      <w:pPr>
        <w:pStyle w:val="Normal1"/>
        <w:spacing w:line="480" w:lineRule="auto"/>
        <w:rPr>
          <w:rFonts w:ascii="Garamond" w:eastAsia="Georgia" w:hAnsi="Garamond" w:cs="Georgia"/>
          <w:sz w:val="20"/>
          <w:szCs w:val="20"/>
        </w:rPr>
      </w:pPr>
      <w:proofErr w:type="spellStart"/>
      <w:proofErr w:type="gramStart"/>
      <w:r w:rsidRPr="00CF1646">
        <w:rPr>
          <w:rFonts w:ascii="Garamond" w:eastAsia="Georgia" w:hAnsi="Garamond" w:cs="Georgia"/>
          <w:sz w:val="20"/>
          <w:szCs w:val="20"/>
        </w:rPr>
        <w:lastRenderedPageBreak/>
        <w:t>Giulianotti</w:t>
      </w:r>
      <w:proofErr w:type="spellEnd"/>
      <w:r w:rsidRPr="00CF1646">
        <w:rPr>
          <w:rFonts w:ascii="Garamond" w:eastAsia="Georgia" w:hAnsi="Garamond" w:cs="Georgia"/>
          <w:sz w:val="20"/>
          <w:szCs w:val="20"/>
        </w:rPr>
        <w:t>, R., Armstrong, G., Hales, G., &amp; Hobbs, D. (2015).</w:t>
      </w:r>
      <w:proofErr w:type="gramEnd"/>
      <w:r w:rsidRPr="00CF1646">
        <w:rPr>
          <w:rFonts w:ascii="Garamond" w:eastAsia="Georgia" w:hAnsi="Garamond" w:cs="Georgia"/>
          <w:sz w:val="20"/>
          <w:szCs w:val="20"/>
        </w:rPr>
        <w:t xml:space="preserve"> Global sport mega-events and the politics of mobility: the case of the London 2012 Olympics. </w:t>
      </w:r>
      <w:r w:rsidRPr="00CF1646">
        <w:rPr>
          <w:rFonts w:ascii="Garamond" w:eastAsia="Georgia" w:hAnsi="Garamond" w:cs="Georgia"/>
          <w:i/>
          <w:sz w:val="20"/>
          <w:szCs w:val="20"/>
        </w:rPr>
        <w:t>The British Journal of Sociology</w:t>
      </w:r>
      <w:r w:rsidRPr="00CF1646">
        <w:rPr>
          <w:rFonts w:ascii="Garamond" w:eastAsia="Georgia" w:hAnsi="Garamond" w:cs="Georgia"/>
          <w:sz w:val="20"/>
          <w:szCs w:val="20"/>
        </w:rPr>
        <w:t>, 66(4), 118-140.</w:t>
      </w:r>
    </w:p>
    <w:p w:rsidR="005B53CF" w:rsidRPr="00CF1646" w:rsidRDefault="005B53CF" w:rsidP="005B53CF">
      <w:pPr>
        <w:pStyle w:val="Normal1"/>
        <w:spacing w:line="480" w:lineRule="auto"/>
        <w:rPr>
          <w:rFonts w:ascii="Garamond" w:eastAsia="Georgia" w:hAnsi="Garamond" w:cs="Georgia"/>
          <w:sz w:val="20"/>
          <w:szCs w:val="20"/>
        </w:rPr>
      </w:pPr>
      <w:proofErr w:type="gramStart"/>
      <w:r w:rsidRPr="00CF1646">
        <w:rPr>
          <w:rFonts w:ascii="Garamond" w:eastAsia="Georgia" w:hAnsi="Garamond" w:cs="Georgia"/>
          <w:sz w:val="20"/>
          <w:szCs w:val="20"/>
        </w:rPr>
        <w:t>Gold, J. R., &amp; Gold, M. M. (2018).</w:t>
      </w:r>
      <w:proofErr w:type="gramEnd"/>
      <w:r w:rsidRPr="00CF1646">
        <w:rPr>
          <w:rFonts w:ascii="Garamond" w:eastAsia="Georgia" w:hAnsi="Garamond" w:cs="Georgia"/>
          <w:sz w:val="20"/>
          <w:szCs w:val="20"/>
        </w:rPr>
        <w:t xml:space="preserve"> Urban Segments and Event Spaces: World’s Fairs and Olympic Sites. </w:t>
      </w:r>
      <w:proofErr w:type="gramStart"/>
      <w:r w:rsidRPr="00CF1646">
        <w:rPr>
          <w:rFonts w:ascii="Garamond" w:eastAsia="Georgia" w:hAnsi="Garamond" w:cs="Georgia"/>
          <w:sz w:val="20"/>
          <w:szCs w:val="20"/>
        </w:rPr>
        <w:t xml:space="preserve">In C. Hein (Ed.), </w:t>
      </w:r>
      <w:r w:rsidRPr="00CF1646">
        <w:rPr>
          <w:rFonts w:ascii="Garamond" w:eastAsia="Georgia" w:hAnsi="Garamond" w:cs="Georgia"/>
          <w:i/>
          <w:sz w:val="20"/>
          <w:szCs w:val="20"/>
        </w:rPr>
        <w:t>The Routledge Handbook of Planning History</w:t>
      </w:r>
      <w:r w:rsidRPr="00CF1646">
        <w:rPr>
          <w:rFonts w:ascii="Garamond" w:eastAsia="Georgia" w:hAnsi="Garamond" w:cs="Georgia"/>
          <w:sz w:val="20"/>
          <w:szCs w:val="20"/>
        </w:rPr>
        <w:t xml:space="preserve"> (pp. 348-363).</w:t>
      </w:r>
      <w:proofErr w:type="gramEnd"/>
      <w:r w:rsidRPr="00CF1646">
        <w:rPr>
          <w:rFonts w:ascii="Garamond" w:eastAsia="Georgia" w:hAnsi="Garamond" w:cs="Georgia"/>
          <w:sz w:val="20"/>
          <w:szCs w:val="20"/>
        </w:rPr>
        <w:t xml:space="preserve"> London: Routledge.</w:t>
      </w:r>
    </w:p>
    <w:p w:rsidR="005B53CF" w:rsidRPr="00CF1646" w:rsidRDefault="005B53CF" w:rsidP="005B53CF">
      <w:pPr>
        <w:pStyle w:val="Normal1"/>
        <w:spacing w:line="480" w:lineRule="auto"/>
        <w:rPr>
          <w:rFonts w:ascii="Garamond" w:eastAsia="Georgia" w:hAnsi="Garamond" w:cs="Georgia"/>
          <w:sz w:val="20"/>
          <w:szCs w:val="20"/>
        </w:rPr>
      </w:pPr>
      <w:r w:rsidRPr="00CF1646">
        <w:rPr>
          <w:rFonts w:ascii="Garamond" w:eastAsia="Georgia" w:hAnsi="Garamond" w:cs="Georgia"/>
          <w:sz w:val="20"/>
          <w:szCs w:val="20"/>
        </w:rPr>
        <w:t xml:space="preserve">Healey, P. (2002). </w:t>
      </w:r>
      <w:proofErr w:type="gramStart"/>
      <w:r w:rsidRPr="00CF1646">
        <w:rPr>
          <w:rFonts w:ascii="Garamond" w:eastAsia="Georgia" w:hAnsi="Garamond" w:cs="Georgia"/>
          <w:sz w:val="20"/>
          <w:szCs w:val="20"/>
        </w:rPr>
        <w:t>On Creating the ‘City’ as a Collective Resource.</w:t>
      </w:r>
      <w:proofErr w:type="gramEnd"/>
      <w:r w:rsidRPr="00CF1646">
        <w:rPr>
          <w:rFonts w:ascii="Garamond" w:eastAsia="Georgia" w:hAnsi="Garamond" w:cs="Georgia"/>
          <w:sz w:val="20"/>
          <w:szCs w:val="20"/>
        </w:rPr>
        <w:t xml:space="preserve"> </w:t>
      </w:r>
      <w:r w:rsidRPr="00CF1646">
        <w:rPr>
          <w:rFonts w:ascii="Garamond" w:eastAsia="Georgia" w:hAnsi="Garamond" w:cs="Georgia"/>
          <w:i/>
          <w:sz w:val="20"/>
          <w:szCs w:val="20"/>
        </w:rPr>
        <w:t>Urban Studies</w:t>
      </w:r>
      <w:r w:rsidRPr="00CF1646">
        <w:rPr>
          <w:rFonts w:ascii="Garamond" w:eastAsia="Georgia" w:hAnsi="Garamond" w:cs="Georgia"/>
          <w:sz w:val="20"/>
          <w:szCs w:val="20"/>
        </w:rPr>
        <w:t>, 39(10), 1777-1792.</w:t>
      </w:r>
    </w:p>
    <w:p w:rsidR="005B53CF" w:rsidRPr="00CF1646" w:rsidRDefault="005B53CF" w:rsidP="005B53CF">
      <w:pPr>
        <w:pStyle w:val="Normal1"/>
        <w:spacing w:line="480" w:lineRule="auto"/>
        <w:rPr>
          <w:rFonts w:ascii="Garamond" w:eastAsia="Georgia" w:hAnsi="Garamond" w:cs="Georgia"/>
          <w:sz w:val="20"/>
          <w:szCs w:val="20"/>
        </w:rPr>
      </w:pPr>
      <w:proofErr w:type="spellStart"/>
      <w:proofErr w:type="gramStart"/>
      <w:r w:rsidRPr="00CF1646">
        <w:rPr>
          <w:rFonts w:ascii="Garamond" w:eastAsia="Georgia" w:hAnsi="Garamond" w:cs="Georgia"/>
          <w:sz w:val="20"/>
          <w:szCs w:val="20"/>
        </w:rPr>
        <w:t>Hede</w:t>
      </w:r>
      <w:proofErr w:type="spellEnd"/>
      <w:r w:rsidRPr="00CF1646">
        <w:rPr>
          <w:rFonts w:ascii="Garamond" w:eastAsia="Georgia" w:hAnsi="Garamond" w:cs="Georgia"/>
          <w:sz w:val="20"/>
          <w:szCs w:val="20"/>
        </w:rPr>
        <w:t>, A-M.</w:t>
      </w:r>
      <w:proofErr w:type="gramEnd"/>
      <w:r w:rsidRPr="00CF1646">
        <w:rPr>
          <w:rFonts w:ascii="Garamond" w:eastAsia="Georgia" w:hAnsi="Garamond" w:cs="Georgia"/>
          <w:sz w:val="20"/>
          <w:szCs w:val="20"/>
        </w:rPr>
        <w:t xml:space="preserve"> (2007). Managing Special Events in the New Era of the Triple Bottom Line. </w:t>
      </w:r>
      <w:r w:rsidRPr="00CF1646">
        <w:rPr>
          <w:rFonts w:ascii="Garamond" w:eastAsia="Georgia" w:hAnsi="Garamond" w:cs="Georgia"/>
          <w:i/>
          <w:sz w:val="20"/>
          <w:szCs w:val="20"/>
        </w:rPr>
        <w:t>Event Management</w:t>
      </w:r>
      <w:r w:rsidRPr="00CF1646">
        <w:rPr>
          <w:rFonts w:ascii="Garamond" w:eastAsia="Georgia" w:hAnsi="Garamond" w:cs="Georgia"/>
          <w:sz w:val="20"/>
          <w:szCs w:val="20"/>
        </w:rPr>
        <w:t>, 11(1-2), 13-22.</w:t>
      </w:r>
    </w:p>
    <w:p w:rsidR="005B53CF" w:rsidRPr="00CF1646" w:rsidRDefault="005B53CF" w:rsidP="005B53CF">
      <w:pPr>
        <w:pStyle w:val="Normal1"/>
        <w:spacing w:line="480" w:lineRule="auto"/>
        <w:rPr>
          <w:rFonts w:ascii="Garamond" w:eastAsia="Georgia" w:hAnsi="Garamond" w:cs="Georgia"/>
          <w:sz w:val="20"/>
          <w:szCs w:val="20"/>
        </w:rPr>
      </w:pPr>
      <w:proofErr w:type="gramStart"/>
      <w:r w:rsidRPr="00CF1646">
        <w:rPr>
          <w:rFonts w:ascii="Garamond" w:eastAsia="Georgia" w:hAnsi="Garamond" w:cs="Georgia"/>
          <w:sz w:val="20"/>
          <w:szCs w:val="20"/>
        </w:rPr>
        <w:t>House of Lords.</w:t>
      </w:r>
      <w:proofErr w:type="gramEnd"/>
      <w:r w:rsidRPr="00CF1646">
        <w:rPr>
          <w:rFonts w:ascii="Garamond" w:eastAsia="Georgia" w:hAnsi="Garamond" w:cs="Georgia"/>
          <w:sz w:val="20"/>
          <w:szCs w:val="20"/>
        </w:rPr>
        <w:t xml:space="preserve"> (2013). </w:t>
      </w:r>
      <w:r w:rsidRPr="00CF1646">
        <w:rPr>
          <w:rFonts w:ascii="Garamond" w:eastAsia="Georgia" w:hAnsi="Garamond" w:cs="Georgia"/>
          <w:i/>
          <w:sz w:val="20"/>
          <w:szCs w:val="20"/>
        </w:rPr>
        <w:t>Keeping the Flame Alive: the Olympic and Paralympic Legacy</w:t>
      </w:r>
      <w:r w:rsidRPr="00CF1646">
        <w:rPr>
          <w:rFonts w:ascii="Garamond" w:eastAsia="Georgia" w:hAnsi="Garamond" w:cs="Georgia"/>
          <w:sz w:val="20"/>
          <w:szCs w:val="20"/>
        </w:rPr>
        <w:t xml:space="preserve">. Retrieved from </w:t>
      </w:r>
      <w:hyperlink r:id="rId19" w:history="1">
        <w:r w:rsidRPr="00CF1646">
          <w:rPr>
            <w:rStyle w:val="Hyperlink"/>
            <w:rFonts w:ascii="Garamond" w:eastAsia="Georgia" w:hAnsi="Garamond" w:cs="Georgia"/>
            <w:sz w:val="20"/>
            <w:szCs w:val="20"/>
          </w:rPr>
          <w:t>http://www.publications.parliament.uk/pa/ld201314/ldselect/ldolympic/78/78.pdf</w:t>
        </w:r>
      </w:hyperlink>
    </w:p>
    <w:p w:rsidR="005B53CF" w:rsidRPr="00CF1646" w:rsidRDefault="005B53CF" w:rsidP="005B53CF">
      <w:pPr>
        <w:spacing w:line="480" w:lineRule="auto"/>
        <w:rPr>
          <w:rFonts w:ascii="Garamond" w:eastAsia="Georgia" w:hAnsi="Garamond" w:cs="Georgia"/>
          <w:sz w:val="20"/>
          <w:szCs w:val="20"/>
        </w:rPr>
      </w:pPr>
      <w:proofErr w:type="gramStart"/>
      <w:r w:rsidRPr="00CF1646">
        <w:rPr>
          <w:rFonts w:ascii="Garamond" w:eastAsia="Georgia" w:hAnsi="Garamond" w:cs="Georgia"/>
          <w:sz w:val="20"/>
          <w:szCs w:val="20"/>
        </w:rPr>
        <w:t>IOC.</w:t>
      </w:r>
      <w:proofErr w:type="gramEnd"/>
      <w:r w:rsidRPr="00CF1646">
        <w:rPr>
          <w:rFonts w:ascii="Garamond" w:eastAsia="Georgia" w:hAnsi="Garamond" w:cs="Georgia"/>
          <w:sz w:val="20"/>
          <w:szCs w:val="20"/>
        </w:rPr>
        <w:t xml:space="preserve"> (2016). </w:t>
      </w:r>
      <w:r w:rsidRPr="005D057B">
        <w:rPr>
          <w:rFonts w:ascii="Garamond" w:eastAsia="Georgia" w:hAnsi="Garamond" w:cs="Georgia"/>
          <w:i/>
          <w:sz w:val="20"/>
          <w:szCs w:val="20"/>
        </w:rPr>
        <w:t>IOC Marketing: Media Guide - Olympic Games Rio 2016</w:t>
      </w:r>
      <w:r w:rsidRPr="00CF1646">
        <w:rPr>
          <w:rFonts w:ascii="Garamond" w:eastAsia="Georgia" w:hAnsi="Garamond" w:cs="Georgia"/>
          <w:sz w:val="20"/>
          <w:szCs w:val="20"/>
        </w:rPr>
        <w:t xml:space="preserve">. Retrieved from </w:t>
      </w:r>
      <w:hyperlink r:id="rId20" w:history="1">
        <w:r w:rsidR="005D057B" w:rsidRPr="000B0A0C">
          <w:rPr>
            <w:rStyle w:val="Hyperlink"/>
            <w:rFonts w:ascii="Garamond" w:eastAsia="Georgia" w:hAnsi="Garamond" w:cs="Georgia"/>
            <w:sz w:val="20"/>
            <w:szCs w:val="20"/>
          </w:rPr>
          <w:t>https://stillmed.olympic.org/media/Document%20Library/OlympicOrg/Games/Summer-Games/Games-Rio-2016-Olympic-Games/Media-Guide-for-Rio-2016/IOC-Marketing-Media-Guide-Rio-2016.pdf</w:t>
        </w:r>
      </w:hyperlink>
      <w:r w:rsidR="005D057B">
        <w:rPr>
          <w:rFonts w:ascii="Garamond" w:eastAsia="Georgia" w:hAnsi="Garamond" w:cs="Georgia"/>
          <w:sz w:val="20"/>
          <w:szCs w:val="20"/>
        </w:rPr>
        <w:t xml:space="preserve"> </w:t>
      </w:r>
    </w:p>
    <w:p w:rsidR="005B53CF" w:rsidRPr="00CF1646" w:rsidRDefault="005B53CF" w:rsidP="005B53CF">
      <w:pPr>
        <w:spacing w:line="480" w:lineRule="auto"/>
        <w:rPr>
          <w:rFonts w:ascii="Garamond" w:eastAsia="Georgia" w:hAnsi="Garamond" w:cs="Georgia"/>
          <w:sz w:val="20"/>
          <w:szCs w:val="20"/>
        </w:rPr>
      </w:pPr>
      <w:proofErr w:type="gramStart"/>
      <w:r w:rsidRPr="00CF1646">
        <w:rPr>
          <w:rFonts w:ascii="Garamond" w:eastAsia="Georgia" w:hAnsi="Garamond" w:cs="Georgia"/>
          <w:sz w:val="20"/>
          <w:szCs w:val="20"/>
        </w:rPr>
        <w:t>Kirby, S. I., Duignan, M. B., &amp; McGillivray, D. (2018).</w:t>
      </w:r>
      <w:proofErr w:type="gramEnd"/>
      <w:r w:rsidRPr="00CF1646">
        <w:rPr>
          <w:rFonts w:ascii="Garamond" w:eastAsia="Georgia" w:hAnsi="Garamond" w:cs="Georgia"/>
          <w:sz w:val="20"/>
          <w:szCs w:val="20"/>
        </w:rPr>
        <w:t xml:space="preserve"> Mega-sport Events, Micro and Small Business Leveraging: Introducing the “MSE-MSB Leverage Model”. </w:t>
      </w:r>
      <w:r w:rsidRPr="00CF1646">
        <w:rPr>
          <w:rFonts w:ascii="Garamond" w:eastAsia="Georgia" w:hAnsi="Garamond" w:cs="Georgia"/>
          <w:i/>
          <w:sz w:val="20"/>
          <w:szCs w:val="20"/>
        </w:rPr>
        <w:t>Event Management</w:t>
      </w:r>
      <w:r w:rsidRPr="00CF1646">
        <w:rPr>
          <w:rFonts w:ascii="Garamond" w:eastAsia="Georgia" w:hAnsi="Garamond" w:cs="Georgia"/>
          <w:sz w:val="20"/>
          <w:szCs w:val="20"/>
        </w:rPr>
        <w:t xml:space="preserve"> (accepted for publication May 2018).</w:t>
      </w:r>
    </w:p>
    <w:p w:rsidR="005B53CF" w:rsidRPr="00CF1646" w:rsidRDefault="005B53CF" w:rsidP="005B53CF">
      <w:pPr>
        <w:pStyle w:val="Normal1"/>
        <w:spacing w:line="480" w:lineRule="auto"/>
        <w:rPr>
          <w:rFonts w:ascii="Garamond" w:eastAsia="Georgia" w:hAnsi="Garamond" w:cs="Georgia"/>
          <w:sz w:val="20"/>
          <w:szCs w:val="20"/>
        </w:rPr>
      </w:pPr>
      <w:proofErr w:type="spellStart"/>
      <w:r w:rsidRPr="00CF1646">
        <w:rPr>
          <w:rFonts w:ascii="Garamond" w:eastAsia="Georgia" w:hAnsi="Garamond" w:cs="Georgia"/>
          <w:sz w:val="20"/>
          <w:szCs w:val="20"/>
        </w:rPr>
        <w:t>Lauermann</w:t>
      </w:r>
      <w:proofErr w:type="spellEnd"/>
      <w:r w:rsidRPr="00CF1646">
        <w:rPr>
          <w:rFonts w:ascii="Garamond" w:eastAsia="Georgia" w:hAnsi="Garamond" w:cs="Georgia"/>
          <w:sz w:val="20"/>
          <w:szCs w:val="20"/>
        </w:rPr>
        <w:t xml:space="preserve">, J. (2014). Competition through interurban policy making: bidding to host </w:t>
      </w:r>
      <w:proofErr w:type="spellStart"/>
      <w:r w:rsidRPr="00CF1646">
        <w:rPr>
          <w:rFonts w:ascii="Garamond" w:eastAsia="Georgia" w:hAnsi="Garamond" w:cs="Georgia"/>
          <w:sz w:val="20"/>
          <w:szCs w:val="20"/>
        </w:rPr>
        <w:t>megaevents</w:t>
      </w:r>
      <w:proofErr w:type="spellEnd"/>
      <w:r w:rsidRPr="00CF1646">
        <w:rPr>
          <w:rFonts w:ascii="Garamond" w:eastAsia="Georgia" w:hAnsi="Garamond" w:cs="Georgia"/>
          <w:sz w:val="20"/>
          <w:szCs w:val="20"/>
        </w:rPr>
        <w:t xml:space="preserve"> as entrepreneurial networking. </w:t>
      </w:r>
      <w:proofErr w:type="gramStart"/>
      <w:r w:rsidRPr="00CF1646">
        <w:rPr>
          <w:rFonts w:ascii="Garamond" w:eastAsia="Georgia" w:hAnsi="Garamond" w:cs="Georgia"/>
          <w:i/>
          <w:sz w:val="20"/>
          <w:szCs w:val="20"/>
        </w:rPr>
        <w:t>Environment and Planning A</w:t>
      </w:r>
      <w:r w:rsidRPr="00CF1646">
        <w:rPr>
          <w:rFonts w:ascii="Garamond" w:eastAsia="Georgia" w:hAnsi="Garamond" w:cs="Georgia"/>
          <w:sz w:val="20"/>
          <w:szCs w:val="20"/>
        </w:rPr>
        <w:t>, 46(11), 2638-2653.</w:t>
      </w:r>
      <w:proofErr w:type="gramEnd"/>
    </w:p>
    <w:p w:rsidR="005B53CF" w:rsidRPr="00CF1646" w:rsidRDefault="005B53CF" w:rsidP="005B53CF">
      <w:pPr>
        <w:pStyle w:val="Normal1"/>
        <w:spacing w:line="480" w:lineRule="auto"/>
        <w:rPr>
          <w:rFonts w:ascii="Garamond" w:eastAsia="Georgia" w:hAnsi="Garamond" w:cs="Georgia"/>
          <w:sz w:val="20"/>
          <w:szCs w:val="20"/>
        </w:rPr>
      </w:pPr>
      <w:proofErr w:type="gramStart"/>
      <w:r w:rsidRPr="00CF1646">
        <w:rPr>
          <w:rFonts w:ascii="Garamond" w:eastAsia="Georgia" w:hAnsi="Garamond" w:cs="Georgia"/>
          <w:sz w:val="20"/>
          <w:szCs w:val="20"/>
        </w:rPr>
        <w:t>London Chamber of Commerce and Industry.</w:t>
      </w:r>
      <w:proofErr w:type="gramEnd"/>
      <w:r w:rsidRPr="00CF1646">
        <w:rPr>
          <w:rFonts w:ascii="Garamond" w:eastAsia="Georgia" w:hAnsi="Garamond" w:cs="Georgia"/>
          <w:sz w:val="20"/>
          <w:szCs w:val="20"/>
        </w:rPr>
        <w:t xml:space="preserve"> (2012). </w:t>
      </w:r>
      <w:proofErr w:type="gramStart"/>
      <w:r w:rsidRPr="00CF1646">
        <w:rPr>
          <w:rFonts w:ascii="Garamond" w:eastAsia="Georgia" w:hAnsi="Garamond" w:cs="Georgia"/>
          <w:i/>
          <w:sz w:val="20"/>
          <w:szCs w:val="20"/>
        </w:rPr>
        <w:t>The</w:t>
      </w:r>
      <w:proofErr w:type="gramEnd"/>
      <w:r w:rsidRPr="00CF1646">
        <w:rPr>
          <w:rFonts w:ascii="Garamond" w:eastAsia="Georgia" w:hAnsi="Garamond" w:cs="Georgia"/>
          <w:i/>
          <w:sz w:val="20"/>
          <w:szCs w:val="20"/>
        </w:rPr>
        <w:t xml:space="preserve"> Final Hurdle: Securing a Business Legacy</w:t>
      </w:r>
      <w:r w:rsidRPr="00CF1646">
        <w:rPr>
          <w:rFonts w:ascii="Garamond" w:eastAsia="Georgia" w:hAnsi="Garamond" w:cs="Georgia"/>
          <w:sz w:val="20"/>
          <w:szCs w:val="20"/>
        </w:rPr>
        <w:t>. London: LCCI.</w:t>
      </w:r>
    </w:p>
    <w:p w:rsidR="005B53CF" w:rsidRPr="00CF1646" w:rsidRDefault="005B53CF" w:rsidP="005B53CF">
      <w:pPr>
        <w:pStyle w:val="Normal1"/>
        <w:spacing w:line="480" w:lineRule="auto"/>
        <w:rPr>
          <w:rFonts w:ascii="Garamond" w:eastAsia="Georgia" w:hAnsi="Garamond" w:cs="Georgia"/>
          <w:sz w:val="20"/>
          <w:szCs w:val="20"/>
        </w:rPr>
      </w:pPr>
      <w:proofErr w:type="gramStart"/>
      <w:r w:rsidRPr="00CF1646">
        <w:rPr>
          <w:rFonts w:ascii="Garamond" w:eastAsia="Georgia" w:hAnsi="Garamond" w:cs="Georgia"/>
          <w:sz w:val="20"/>
          <w:szCs w:val="20"/>
        </w:rPr>
        <w:t>McGillivray, D., &amp; Frew, M. (2015).</w:t>
      </w:r>
      <w:proofErr w:type="gramEnd"/>
      <w:r w:rsidRPr="00CF1646">
        <w:rPr>
          <w:rFonts w:ascii="Garamond" w:eastAsia="Georgia" w:hAnsi="Garamond" w:cs="Georgia"/>
          <w:sz w:val="20"/>
          <w:szCs w:val="20"/>
        </w:rPr>
        <w:t xml:space="preserve"> From Fan Parks to Live Sites: Mega events and the territorialisation of urban space. </w:t>
      </w:r>
      <w:r w:rsidRPr="00CF1646">
        <w:rPr>
          <w:rFonts w:ascii="Garamond" w:eastAsia="Georgia" w:hAnsi="Garamond" w:cs="Georgia"/>
          <w:i/>
          <w:sz w:val="20"/>
          <w:szCs w:val="20"/>
        </w:rPr>
        <w:t>Urban Studies</w:t>
      </w:r>
      <w:r w:rsidRPr="00CF1646">
        <w:rPr>
          <w:rFonts w:ascii="Garamond" w:eastAsia="Georgia" w:hAnsi="Garamond" w:cs="Georgia"/>
          <w:sz w:val="20"/>
          <w:szCs w:val="20"/>
        </w:rPr>
        <w:t>, 52(14), 2649-2663.</w:t>
      </w:r>
    </w:p>
    <w:p w:rsidR="005B53CF" w:rsidRPr="00CF1646" w:rsidRDefault="005B53CF" w:rsidP="005B53CF">
      <w:pPr>
        <w:pStyle w:val="Normal1"/>
        <w:spacing w:line="480" w:lineRule="auto"/>
        <w:rPr>
          <w:rFonts w:ascii="Garamond" w:eastAsia="Georgia" w:hAnsi="Garamond" w:cs="Georgia"/>
          <w:sz w:val="20"/>
          <w:szCs w:val="20"/>
        </w:rPr>
      </w:pPr>
      <w:r w:rsidRPr="00CF1646">
        <w:rPr>
          <w:rFonts w:ascii="Garamond" w:eastAsia="Georgia" w:hAnsi="Garamond" w:cs="Georgia"/>
          <w:sz w:val="20"/>
          <w:szCs w:val="20"/>
        </w:rPr>
        <w:t xml:space="preserve">Mills, B. M., &amp; </w:t>
      </w:r>
      <w:proofErr w:type="spellStart"/>
      <w:r w:rsidRPr="00CF1646">
        <w:rPr>
          <w:rFonts w:ascii="Garamond" w:eastAsia="Georgia" w:hAnsi="Garamond" w:cs="Georgia"/>
          <w:sz w:val="20"/>
          <w:szCs w:val="20"/>
        </w:rPr>
        <w:t>Rosentraub</w:t>
      </w:r>
      <w:proofErr w:type="spellEnd"/>
      <w:r w:rsidRPr="00CF1646">
        <w:rPr>
          <w:rFonts w:ascii="Garamond" w:eastAsia="Georgia" w:hAnsi="Garamond" w:cs="Georgia"/>
          <w:sz w:val="20"/>
          <w:szCs w:val="20"/>
        </w:rPr>
        <w:t xml:space="preserve">, M. S. (2013). </w:t>
      </w:r>
      <w:proofErr w:type="gramStart"/>
      <w:r w:rsidRPr="00CF1646">
        <w:rPr>
          <w:rFonts w:ascii="Garamond" w:eastAsia="Georgia" w:hAnsi="Garamond" w:cs="Georgia"/>
          <w:sz w:val="20"/>
          <w:szCs w:val="20"/>
        </w:rPr>
        <w:t>Hosting mega-events: A guide to the evaluation of development effects in integrated metropolitan regions.</w:t>
      </w:r>
      <w:proofErr w:type="gramEnd"/>
      <w:r w:rsidRPr="00CF1646">
        <w:rPr>
          <w:rFonts w:ascii="Garamond" w:eastAsia="Georgia" w:hAnsi="Garamond" w:cs="Georgia"/>
          <w:sz w:val="20"/>
          <w:szCs w:val="20"/>
        </w:rPr>
        <w:t xml:space="preserve"> </w:t>
      </w:r>
      <w:r w:rsidRPr="00CF1646">
        <w:rPr>
          <w:rFonts w:ascii="Garamond" w:eastAsia="Georgia" w:hAnsi="Garamond" w:cs="Georgia"/>
          <w:i/>
          <w:sz w:val="20"/>
          <w:szCs w:val="20"/>
        </w:rPr>
        <w:t>Tourism Management</w:t>
      </w:r>
      <w:r w:rsidRPr="00CF1646">
        <w:rPr>
          <w:rFonts w:ascii="Garamond" w:eastAsia="Georgia" w:hAnsi="Garamond" w:cs="Georgia"/>
          <w:sz w:val="20"/>
          <w:szCs w:val="20"/>
        </w:rPr>
        <w:t>, 34, 238-246.</w:t>
      </w:r>
    </w:p>
    <w:p w:rsidR="005B53CF" w:rsidRPr="00CF1646" w:rsidRDefault="005B53CF" w:rsidP="005B53CF">
      <w:pPr>
        <w:pStyle w:val="Normal1"/>
        <w:spacing w:line="480" w:lineRule="auto"/>
        <w:rPr>
          <w:rFonts w:ascii="Garamond" w:eastAsia="Georgia" w:hAnsi="Garamond" w:cs="Georgia"/>
          <w:sz w:val="20"/>
          <w:szCs w:val="20"/>
        </w:rPr>
      </w:pPr>
      <w:proofErr w:type="gramStart"/>
      <w:r w:rsidRPr="00CF1646">
        <w:rPr>
          <w:rFonts w:ascii="Garamond" w:eastAsia="Georgia" w:hAnsi="Garamond" w:cs="Georgia"/>
          <w:sz w:val="20"/>
          <w:szCs w:val="20"/>
        </w:rPr>
        <w:t>Müller, M. (2015).</w:t>
      </w:r>
      <w:proofErr w:type="gramEnd"/>
      <w:r w:rsidRPr="00CF1646">
        <w:rPr>
          <w:rFonts w:ascii="Garamond" w:eastAsia="Georgia" w:hAnsi="Garamond" w:cs="Georgia"/>
          <w:sz w:val="20"/>
          <w:szCs w:val="20"/>
        </w:rPr>
        <w:t xml:space="preserve"> What makes an event a mega-event? </w:t>
      </w:r>
      <w:proofErr w:type="gramStart"/>
      <w:r w:rsidRPr="00CF1646">
        <w:rPr>
          <w:rFonts w:ascii="Garamond" w:eastAsia="Georgia" w:hAnsi="Garamond" w:cs="Georgia"/>
          <w:sz w:val="20"/>
          <w:szCs w:val="20"/>
        </w:rPr>
        <w:t>Definitions and sizes.</w:t>
      </w:r>
      <w:proofErr w:type="gramEnd"/>
      <w:r w:rsidRPr="00CF1646">
        <w:rPr>
          <w:rFonts w:ascii="Garamond" w:eastAsia="Georgia" w:hAnsi="Garamond" w:cs="Georgia"/>
          <w:sz w:val="20"/>
          <w:szCs w:val="20"/>
        </w:rPr>
        <w:t xml:space="preserve"> </w:t>
      </w:r>
      <w:r w:rsidRPr="00CF1646">
        <w:rPr>
          <w:rFonts w:ascii="Garamond" w:eastAsia="Georgia" w:hAnsi="Garamond" w:cs="Georgia"/>
          <w:i/>
          <w:sz w:val="20"/>
          <w:szCs w:val="20"/>
        </w:rPr>
        <w:t>Leisure Studies</w:t>
      </w:r>
      <w:r w:rsidRPr="00CF1646">
        <w:rPr>
          <w:rFonts w:ascii="Garamond" w:eastAsia="Georgia" w:hAnsi="Garamond" w:cs="Georgia"/>
          <w:sz w:val="20"/>
          <w:szCs w:val="20"/>
        </w:rPr>
        <w:t>, 34(6), 627-642.</w:t>
      </w:r>
    </w:p>
    <w:p w:rsidR="005B53CF" w:rsidRPr="00CF1646" w:rsidRDefault="005B53CF" w:rsidP="005B53CF">
      <w:pPr>
        <w:pStyle w:val="Normal1"/>
        <w:spacing w:line="480" w:lineRule="auto"/>
        <w:rPr>
          <w:rFonts w:ascii="Garamond" w:eastAsia="Georgia" w:hAnsi="Garamond" w:cs="Georgia"/>
          <w:sz w:val="20"/>
          <w:szCs w:val="20"/>
        </w:rPr>
      </w:pPr>
      <w:r w:rsidRPr="00CF1646">
        <w:rPr>
          <w:rFonts w:ascii="Garamond" w:eastAsia="Georgia" w:hAnsi="Garamond" w:cs="Georgia"/>
          <w:sz w:val="20"/>
          <w:szCs w:val="20"/>
        </w:rPr>
        <w:t xml:space="preserve">O’Brien, D. (2006). Event Business Leveraging: The Sydney 2000 Olympic Games. </w:t>
      </w:r>
      <w:r w:rsidRPr="00CF1646">
        <w:rPr>
          <w:rFonts w:ascii="Garamond" w:eastAsia="Georgia" w:hAnsi="Garamond" w:cs="Georgia"/>
          <w:i/>
          <w:sz w:val="20"/>
          <w:szCs w:val="20"/>
        </w:rPr>
        <w:t>Annals of Tourism Research</w:t>
      </w:r>
      <w:r w:rsidRPr="00CF1646">
        <w:rPr>
          <w:rFonts w:ascii="Garamond" w:eastAsia="Georgia" w:hAnsi="Garamond" w:cs="Georgia"/>
          <w:sz w:val="20"/>
          <w:szCs w:val="20"/>
        </w:rPr>
        <w:t>, 33(1), 240-261.</w:t>
      </w:r>
    </w:p>
    <w:p w:rsidR="005B53CF" w:rsidRPr="00CF1646" w:rsidRDefault="005B53CF" w:rsidP="005B53CF">
      <w:pPr>
        <w:pStyle w:val="Normal1"/>
        <w:spacing w:line="480" w:lineRule="auto"/>
        <w:rPr>
          <w:rFonts w:ascii="Garamond" w:eastAsia="Georgia" w:hAnsi="Garamond" w:cs="Georgia"/>
          <w:sz w:val="20"/>
          <w:szCs w:val="20"/>
        </w:rPr>
      </w:pPr>
      <w:proofErr w:type="gramStart"/>
      <w:r w:rsidRPr="00CF1646">
        <w:rPr>
          <w:rFonts w:ascii="Garamond" w:eastAsia="Georgia" w:hAnsi="Garamond" w:cs="Georgia"/>
          <w:sz w:val="20"/>
          <w:szCs w:val="20"/>
        </w:rPr>
        <w:t xml:space="preserve">O’Brien, D., &amp; </w:t>
      </w:r>
      <w:proofErr w:type="spellStart"/>
      <w:r w:rsidRPr="00CF1646">
        <w:rPr>
          <w:rFonts w:ascii="Garamond" w:eastAsia="Georgia" w:hAnsi="Garamond" w:cs="Georgia"/>
          <w:sz w:val="20"/>
          <w:szCs w:val="20"/>
        </w:rPr>
        <w:t>Chalip</w:t>
      </w:r>
      <w:proofErr w:type="spellEnd"/>
      <w:r w:rsidRPr="00CF1646">
        <w:rPr>
          <w:rFonts w:ascii="Garamond" w:eastAsia="Georgia" w:hAnsi="Garamond" w:cs="Georgia"/>
          <w:sz w:val="20"/>
          <w:szCs w:val="20"/>
        </w:rPr>
        <w:t>, L. (2007).</w:t>
      </w:r>
      <w:proofErr w:type="gramEnd"/>
      <w:r w:rsidRPr="00CF1646">
        <w:rPr>
          <w:rFonts w:ascii="Garamond" w:eastAsia="Georgia" w:hAnsi="Garamond" w:cs="Georgia"/>
          <w:sz w:val="20"/>
          <w:szCs w:val="20"/>
        </w:rPr>
        <w:t xml:space="preserve"> </w:t>
      </w:r>
      <w:proofErr w:type="gramStart"/>
      <w:r w:rsidRPr="00CF1646">
        <w:rPr>
          <w:rFonts w:ascii="Garamond" w:eastAsia="Georgia" w:hAnsi="Garamond" w:cs="Georgia"/>
          <w:sz w:val="20"/>
          <w:szCs w:val="20"/>
        </w:rPr>
        <w:t>Executive training exercise in sport event leverage.</w:t>
      </w:r>
      <w:proofErr w:type="gramEnd"/>
      <w:r w:rsidRPr="00CF1646">
        <w:rPr>
          <w:rFonts w:ascii="Garamond" w:eastAsia="Georgia" w:hAnsi="Garamond" w:cs="Georgia"/>
          <w:sz w:val="20"/>
          <w:szCs w:val="20"/>
        </w:rPr>
        <w:t xml:space="preserve"> </w:t>
      </w:r>
      <w:r w:rsidRPr="00CF1646">
        <w:rPr>
          <w:rFonts w:ascii="Garamond" w:eastAsia="Georgia" w:hAnsi="Garamond" w:cs="Georgia"/>
          <w:i/>
          <w:sz w:val="20"/>
          <w:szCs w:val="20"/>
        </w:rPr>
        <w:t>International Journal of Culture, Tourism and Hospitality Research</w:t>
      </w:r>
      <w:r w:rsidRPr="00CF1646">
        <w:rPr>
          <w:rFonts w:ascii="Garamond" w:eastAsia="Georgia" w:hAnsi="Garamond" w:cs="Georgia"/>
          <w:sz w:val="20"/>
          <w:szCs w:val="20"/>
        </w:rPr>
        <w:t>, 1(4), 296-304.</w:t>
      </w:r>
    </w:p>
    <w:p w:rsidR="005B53CF" w:rsidRPr="00CF1646" w:rsidRDefault="005B53CF" w:rsidP="005B53CF">
      <w:pPr>
        <w:spacing w:line="480" w:lineRule="auto"/>
        <w:jc w:val="both"/>
        <w:rPr>
          <w:rFonts w:ascii="Garamond" w:hAnsi="Garamond"/>
          <w:color w:val="000000" w:themeColor="text1"/>
          <w:sz w:val="20"/>
          <w:szCs w:val="20"/>
        </w:rPr>
      </w:pPr>
      <w:proofErr w:type="gramStart"/>
      <w:r w:rsidRPr="00CF1646">
        <w:rPr>
          <w:rFonts w:ascii="Garamond" w:hAnsi="Garamond"/>
          <w:color w:val="000000" w:themeColor="text1"/>
          <w:sz w:val="20"/>
          <w:szCs w:val="20"/>
        </w:rPr>
        <w:lastRenderedPageBreak/>
        <w:t>Osborn, G., &amp; Smith, A. (2016).</w:t>
      </w:r>
      <w:proofErr w:type="gramEnd"/>
      <w:r w:rsidRPr="00CF1646">
        <w:rPr>
          <w:rFonts w:ascii="Garamond" w:hAnsi="Garamond"/>
          <w:color w:val="000000" w:themeColor="text1"/>
          <w:sz w:val="20"/>
          <w:szCs w:val="20"/>
        </w:rPr>
        <w:t xml:space="preserve"> </w:t>
      </w:r>
      <w:proofErr w:type="gramStart"/>
      <w:r w:rsidRPr="00CF1646">
        <w:rPr>
          <w:rFonts w:ascii="Garamond" w:hAnsi="Garamond"/>
          <w:color w:val="000000" w:themeColor="text1"/>
          <w:sz w:val="20"/>
          <w:szCs w:val="20"/>
        </w:rPr>
        <w:t xml:space="preserve">Olympic </w:t>
      </w:r>
      <w:proofErr w:type="spellStart"/>
      <w:r w:rsidRPr="00CF1646">
        <w:rPr>
          <w:rFonts w:ascii="Garamond" w:hAnsi="Garamond"/>
          <w:color w:val="000000" w:themeColor="text1"/>
          <w:sz w:val="20"/>
          <w:szCs w:val="20"/>
        </w:rPr>
        <w:t>Brandscapes</w:t>
      </w:r>
      <w:proofErr w:type="spellEnd"/>
      <w:r w:rsidRPr="00CF1646">
        <w:rPr>
          <w:rFonts w:ascii="Garamond" w:hAnsi="Garamond"/>
          <w:color w:val="000000" w:themeColor="text1"/>
          <w:sz w:val="20"/>
          <w:szCs w:val="20"/>
        </w:rPr>
        <w:t>.</w:t>
      </w:r>
      <w:proofErr w:type="gramEnd"/>
      <w:r w:rsidRPr="00CF1646">
        <w:rPr>
          <w:rFonts w:ascii="Garamond" w:hAnsi="Garamond"/>
          <w:color w:val="000000" w:themeColor="text1"/>
          <w:sz w:val="20"/>
          <w:szCs w:val="20"/>
        </w:rPr>
        <w:t xml:space="preserve"> </w:t>
      </w:r>
      <w:proofErr w:type="gramStart"/>
      <w:r w:rsidRPr="00CF1646">
        <w:rPr>
          <w:rFonts w:ascii="Garamond" w:hAnsi="Garamond"/>
          <w:color w:val="000000" w:themeColor="text1"/>
          <w:sz w:val="20"/>
          <w:szCs w:val="20"/>
        </w:rPr>
        <w:t>London 2012 and the seeping commercialisation of public space.</w:t>
      </w:r>
      <w:proofErr w:type="gramEnd"/>
      <w:r w:rsidRPr="00CF1646">
        <w:rPr>
          <w:rFonts w:ascii="Garamond" w:hAnsi="Garamond"/>
          <w:color w:val="000000" w:themeColor="text1"/>
          <w:sz w:val="20"/>
          <w:szCs w:val="20"/>
        </w:rPr>
        <w:t xml:space="preserve"> In G. Poynter, V. </w:t>
      </w:r>
      <w:proofErr w:type="spellStart"/>
      <w:r w:rsidRPr="00CF1646">
        <w:rPr>
          <w:rFonts w:ascii="Garamond" w:hAnsi="Garamond"/>
          <w:color w:val="000000" w:themeColor="text1"/>
          <w:sz w:val="20"/>
          <w:szCs w:val="20"/>
        </w:rPr>
        <w:t>Viehoff</w:t>
      </w:r>
      <w:proofErr w:type="spellEnd"/>
      <w:r w:rsidRPr="00CF1646">
        <w:rPr>
          <w:rFonts w:ascii="Garamond" w:hAnsi="Garamond"/>
          <w:color w:val="000000" w:themeColor="text1"/>
          <w:sz w:val="20"/>
          <w:szCs w:val="20"/>
        </w:rPr>
        <w:t xml:space="preserve"> &amp; Y. Li (Ed.), </w:t>
      </w:r>
      <w:proofErr w:type="gramStart"/>
      <w:r w:rsidRPr="00CF1646">
        <w:rPr>
          <w:rFonts w:ascii="Garamond" w:hAnsi="Garamond"/>
          <w:i/>
          <w:color w:val="000000" w:themeColor="text1"/>
          <w:sz w:val="20"/>
          <w:szCs w:val="20"/>
        </w:rPr>
        <w:t>The</w:t>
      </w:r>
      <w:proofErr w:type="gramEnd"/>
      <w:r w:rsidRPr="00CF1646">
        <w:rPr>
          <w:rFonts w:ascii="Garamond" w:hAnsi="Garamond"/>
          <w:i/>
          <w:color w:val="000000" w:themeColor="text1"/>
          <w:sz w:val="20"/>
          <w:szCs w:val="20"/>
        </w:rPr>
        <w:t xml:space="preserve"> London Olympics and Urban Development</w:t>
      </w:r>
      <w:r w:rsidRPr="00CF1646">
        <w:rPr>
          <w:rFonts w:ascii="Garamond" w:hAnsi="Garamond"/>
          <w:color w:val="000000" w:themeColor="text1"/>
          <w:sz w:val="20"/>
          <w:szCs w:val="20"/>
        </w:rPr>
        <w:t xml:space="preserve"> </w:t>
      </w:r>
      <w:r w:rsidRPr="00CF1646">
        <w:rPr>
          <w:rFonts w:ascii="Garamond" w:eastAsia="Georgia" w:hAnsi="Garamond" w:cs="Georgia"/>
          <w:sz w:val="20"/>
          <w:szCs w:val="20"/>
        </w:rPr>
        <w:t xml:space="preserve">(pp. </w:t>
      </w:r>
      <w:r w:rsidRPr="00CF1646">
        <w:rPr>
          <w:rFonts w:ascii="Garamond" w:hAnsi="Garamond"/>
          <w:color w:val="000000" w:themeColor="text1"/>
          <w:sz w:val="20"/>
          <w:szCs w:val="20"/>
        </w:rPr>
        <w:t>139-153</w:t>
      </w:r>
      <w:r w:rsidRPr="00CF1646">
        <w:rPr>
          <w:rFonts w:ascii="Garamond" w:eastAsia="Georgia" w:hAnsi="Garamond" w:cs="Georgia"/>
          <w:sz w:val="20"/>
          <w:szCs w:val="20"/>
        </w:rPr>
        <w:t>).</w:t>
      </w:r>
      <w:r w:rsidRPr="00CF1646">
        <w:rPr>
          <w:rFonts w:ascii="Garamond" w:hAnsi="Garamond"/>
          <w:color w:val="000000" w:themeColor="text1"/>
          <w:sz w:val="20"/>
          <w:szCs w:val="20"/>
        </w:rPr>
        <w:t xml:space="preserve"> Abingdon: Routledge.</w:t>
      </w:r>
    </w:p>
    <w:p w:rsidR="005B53CF" w:rsidRPr="00CF1646" w:rsidRDefault="005B53CF" w:rsidP="005B53CF">
      <w:pPr>
        <w:pStyle w:val="Normal1"/>
        <w:spacing w:line="480" w:lineRule="auto"/>
        <w:rPr>
          <w:rFonts w:ascii="Garamond" w:eastAsia="Georgia" w:hAnsi="Garamond" w:cs="Georgia"/>
          <w:sz w:val="20"/>
          <w:szCs w:val="20"/>
        </w:rPr>
      </w:pPr>
      <w:proofErr w:type="spellStart"/>
      <w:proofErr w:type="gramStart"/>
      <w:r w:rsidRPr="007B421C">
        <w:rPr>
          <w:rFonts w:ascii="Garamond" w:eastAsia="Georgia" w:hAnsi="Garamond" w:cs="Georgia"/>
          <w:sz w:val="20"/>
          <w:szCs w:val="20"/>
        </w:rPr>
        <w:t>Pappalepore</w:t>
      </w:r>
      <w:proofErr w:type="spellEnd"/>
      <w:r w:rsidRPr="007B421C">
        <w:rPr>
          <w:rFonts w:ascii="Garamond" w:eastAsia="Georgia" w:hAnsi="Garamond" w:cs="Georgia"/>
          <w:sz w:val="20"/>
          <w:szCs w:val="20"/>
        </w:rPr>
        <w:t>, I., &amp; Duignan, M. B. (2016).</w:t>
      </w:r>
      <w:proofErr w:type="gramEnd"/>
      <w:r w:rsidRPr="007B421C">
        <w:rPr>
          <w:rFonts w:ascii="Garamond" w:eastAsia="Georgia" w:hAnsi="Garamond" w:cs="Georgia"/>
          <w:sz w:val="20"/>
          <w:szCs w:val="20"/>
        </w:rPr>
        <w:t xml:space="preserve"> </w:t>
      </w:r>
      <w:r w:rsidRPr="00CF1646">
        <w:rPr>
          <w:rFonts w:ascii="Garamond" w:eastAsia="Georgia" w:hAnsi="Garamond" w:cs="Georgia"/>
          <w:sz w:val="20"/>
          <w:szCs w:val="20"/>
        </w:rPr>
        <w:t xml:space="preserve">The London 2012 Cultural Programme: a Consideration of Olympic Impacts and Legacies for Small Creative Organisations in East London. </w:t>
      </w:r>
      <w:r w:rsidRPr="00CF1646">
        <w:rPr>
          <w:rFonts w:ascii="Garamond" w:eastAsia="Georgia" w:hAnsi="Garamond" w:cs="Georgia"/>
          <w:i/>
          <w:sz w:val="20"/>
          <w:szCs w:val="20"/>
        </w:rPr>
        <w:t>Tourism Management</w:t>
      </w:r>
      <w:r w:rsidRPr="00CF1646">
        <w:rPr>
          <w:rFonts w:ascii="Garamond" w:eastAsia="Georgia" w:hAnsi="Garamond" w:cs="Georgia"/>
          <w:sz w:val="20"/>
          <w:szCs w:val="20"/>
        </w:rPr>
        <w:t>, 54, 344-355.</w:t>
      </w:r>
    </w:p>
    <w:p w:rsidR="005B53CF" w:rsidRPr="00CF1646" w:rsidRDefault="005B53CF" w:rsidP="005B53CF">
      <w:pPr>
        <w:pStyle w:val="Normal1"/>
        <w:spacing w:line="480" w:lineRule="auto"/>
        <w:rPr>
          <w:rFonts w:ascii="Garamond" w:eastAsia="Georgia" w:hAnsi="Garamond" w:cs="Georgia"/>
          <w:sz w:val="20"/>
          <w:szCs w:val="20"/>
        </w:rPr>
      </w:pPr>
      <w:proofErr w:type="gramStart"/>
      <w:r w:rsidRPr="00CF1646">
        <w:rPr>
          <w:rFonts w:ascii="Garamond" w:eastAsia="Georgia" w:hAnsi="Garamond" w:cs="Georgia"/>
          <w:sz w:val="20"/>
          <w:szCs w:val="20"/>
        </w:rPr>
        <w:t xml:space="preserve">Peachey, J. W., Borland, J., </w:t>
      </w:r>
      <w:proofErr w:type="spellStart"/>
      <w:r w:rsidRPr="00CF1646">
        <w:rPr>
          <w:rFonts w:ascii="Garamond" w:eastAsia="Georgia" w:hAnsi="Garamond" w:cs="Georgia"/>
          <w:sz w:val="20"/>
          <w:szCs w:val="20"/>
        </w:rPr>
        <w:t>Lobpries</w:t>
      </w:r>
      <w:proofErr w:type="spellEnd"/>
      <w:r w:rsidRPr="00CF1646">
        <w:rPr>
          <w:rFonts w:ascii="Garamond" w:eastAsia="Georgia" w:hAnsi="Garamond" w:cs="Georgia"/>
          <w:sz w:val="20"/>
          <w:szCs w:val="20"/>
        </w:rPr>
        <w:t>, J., &amp; Cohen, A. (2015).</w:t>
      </w:r>
      <w:proofErr w:type="gramEnd"/>
      <w:r w:rsidRPr="00CF1646">
        <w:rPr>
          <w:rFonts w:ascii="Garamond" w:eastAsia="Georgia" w:hAnsi="Garamond" w:cs="Georgia"/>
          <w:sz w:val="20"/>
          <w:szCs w:val="20"/>
        </w:rPr>
        <w:t xml:space="preserve"> Managing impact: Leveraging sacred spaces and community celebration to maximize social capital at a sport-for-development event. </w:t>
      </w:r>
      <w:r w:rsidRPr="00CF1646">
        <w:rPr>
          <w:rFonts w:ascii="Garamond" w:eastAsia="Georgia" w:hAnsi="Garamond" w:cs="Georgia"/>
          <w:i/>
          <w:sz w:val="20"/>
          <w:szCs w:val="20"/>
        </w:rPr>
        <w:t>Sport Management Review</w:t>
      </w:r>
      <w:r w:rsidRPr="00CF1646">
        <w:rPr>
          <w:rFonts w:ascii="Garamond" w:eastAsia="Georgia" w:hAnsi="Garamond" w:cs="Georgia"/>
          <w:sz w:val="20"/>
          <w:szCs w:val="20"/>
        </w:rPr>
        <w:t>, 18(1), 86-98.</w:t>
      </w:r>
    </w:p>
    <w:p w:rsidR="005B53CF" w:rsidRPr="00CF1646" w:rsidRDefault="005B53CF" w:rsidP="005B53CF">
      <w:pPr>
        <w:pStyle w:val="Normal1"/>
        <w:spacing w:line="480" w:lineRule="auto"/>
        <w:rPr>
          <w:rFonts w:ascii="Garamond" w:eastAsia="Georgia" w:hAnsi="Garamond" w:cs="Georgia"/>
          <w:sz w:val="20"/>
          <w:szCs w:val="20"/>
        </w:rPr>
      </w:pPr>
      <w:r w:rsidRPr="00CF1646">
        <w:rPr>
          <w:rFonts w:ascii="Garamond" w:eastAsia="Georgia" w:hAnsi="Garamond" w:cs="Georgia"/>
          <w:sz w:val="20"/>
          <w:szCs w:val="20"/>
        </w:rPr>
        <w:t xml:space="preserve">Pink, S. (2013). </w:t>
      </w:r>
      <w:r w:rsidRPr="00CF1646">
        <w:rPr>
          <w:rFonts w:ascii="Garamond" w:eastAsia="Georgia" w:hAnsi="Garamond" w:cs="Georgia"/>
          <w:i/>
          <w:sz w:val="20"/>
          <w:szCs w:val="20"/>
        </w:rPr>
        <w:t>Doing visual ethnography</w:t>
      </w:r>
      <w:r w:rsidRPr="00CF1646">
        <w:rPr>
          <w:rFonts w:ascii="Garamond" w:eastAsia="Georgia" w:hAnsi="Garamond" w:cs="Georgia"/>
          <w:sz w:val="20"/>
          <w:szCs w:val="20"/>
        </w:rPr>
        <w:t xml:space="preserve"> (3rd </w:t>
      </w:r>
      <w:proofErr w:type="gramStart"/>
      <w:r w:rsidRPr="00CF1646">
        <w:rPr>
          <w:rFonts w:ascii="Garamond" w:eastAsia="Georgia" w:hAnsi="Garamond" w:cs="Georgia"/>
          <w:sz w:val="20"/>
          <w:szCs w:val="20"/>
        </w:rPr>
        <w:t>ed</w:t>
      </w:r>
      <w:proofErr w:type="gramEnd"/>
      <w:r w:rsidRPr="00CF1646">
        <w:rPr>
          <w:rFonts w:ascii="Garamond" w:eastAsia="Georgia" w:hAnsi="Garamond" w:cs="Georgia"/>
          <w:sz w:val="20"/>
          <w:szCs w:val="20"/>
        </w:rPr>
        <w:t>.). Los Angeles: SAGE.</w:t>
      </w:r>
    </w:p>
    <w:p w:rsidR="005B53CF" w:rsidRPr="00CF1646" w:rsidRDefault="005B53CF" w:rsidP="005B53CF">
      <w:pPr>
        <w:pStyle w:val="Normal1"/>
        <w:spacing w:line="480" w:lineRule="auto"/>
        <w:rPr>
          <w:rFonts w:ascii="Garamond" w:eastAsia="Georgia" w:hAnsi="Garamond" w:cs="Georgia"/>
          <w:sz w:val="20"/>
          <w:szCs w:val="20"/>
        </w:rPr>
      </w:pPr>
      <w:proofErr w:type="spellStart"/>
      <w:proofErr w:type="gramStart"/>
      <w:r w:rsidRPr="00CF1646">
        <w:rPr>
          <w:rFonts w:ascii="Garamond" w:eastAsia="Georgia" w:hAnsi="Garamond" w:cs="Georgia"/>
          <w:sz w:val="20"/>
          <w:szCs w:val="20"/>
        </w:rPr>
        <w:t>Raco</w:t>
      </w:r>
      <w:proofErr w:type="spellEnd"/>
      <w:r w:rsidRPr="00CF1646">
        <w:rPr>
          <w:rFonts w:ascii="Garamond" w:eastAsia="Georgia" w:hAnsi="Garamond" w:cs="Georgia"/>
          <w:sz w:val="20"/>
          <w:szCs w:val="20"/>
        </w:rPr>
        <w:t>, M., &amp; Tunney, E. (2010).</w:t>
      </w:r>
      <w:proofErr w:type="gramEnd"/>
      <w:r w:rsidRPr="00CF1646">
        <w:rPr>
          <w:rFonts w:ascii="Garamond" w:eastAsia="Georgia" w:hAnsi="Garamond" w:cs="Georgia"/>
          <w:sz w:val="20"/>
          <w:szCs w:val="20"/>
        </w:rPr>
        <w:t xml:space="preserve"> Visibilities and Invisibilities in Urban Development: Small Business Communities and the London Olympics 2012. </w:t>
      </w:r>
      <w:r w:rsidRPr="00CF1646">
        <w:rPr>
          <w:rFonts w:ascii="Garamond" w:eastAsia="Georgia" w:hAnsi="Garamond" w:cs="Georgia"/>
          <w:i/>
          <w:sz w:val="20"/>
          <w:szCs w:val="20"/>
        </w:rPr>
        <w:t>Urban Studies</w:t>
      </w:r>
      <w:r w:rsidRPr="00CF1646">
        <w:rPr>
          <w:rFonts w:ascii="Garamond" w:eastAsia="Georgia" w:hAnsi="Garamond" w:cs="Georgia"/>
          <w:sz w:val="20"/>
          <w:szCs w:val="20"/>
        </w:rPr>
        <w:t>, 47(10), 2069-2091.</w:t>
      </w:r>
    </w:p>
    <w:p w:rsidR="005B53CF" w:rsidRPr="00CF1646" w:rsidRDefault="005B53CF" w:rsidP="005B53CF">
      <w:pPr>
        <w:pStyle w:val="Normal1"/>
        <w:spacing w:line="480" w:lineRule="auto"/>
        <w:rPr>
          <w:rFonts w:ascii="Garamond" w:eastAsia="Georgia" w:hAnsi="Garamond" w:cs="Georgia"/>
          <w:sz w:val="20"/>
          <w:szCs w:val="20"/>
        </w:rPr>
      </w:pPr>
      <w:proofErr w:type="gramStart"/>
      <w:r w:rsidRPr="00CF1646">
        <w:rPr>
          <w:rFonts w:ascii="Garamond" w:eastAsia="Georgia" w:hAnsi="Garamond" w:cs="Georgia"/>
          <w:sz w:val="20"/>
          <w:szCs w:val="20"/>
        </w:rPr>
        <w:t>Rio 2016.</w:t>
      </w:r>
      <w:proofErr w:type="gramEnd"/>
      <w:r w:rsidRPr="00CF1646">
        <w:rPr>
          <w:rFonts w:ascii="Garamond" w:eastAsia="Georgia" w:hAnsi="Garamond" w:cs="Georgia"/>
          <w:sz w:val="20"/>
          <w:szCs w:val="20"/>
        </w:rPr>
        <w:t xml:space="preserve"> </w:t>
      </w:r>
      <w:proofErr w:type="gramStart"/>
      <w:r w:rsidRPr="00CF1646">
        <w:rPr>
          <w:rFonts w:ascii="Garamond" w:eastAsia="Georgia" w:hAnsi="Garamond" w:cs="Georgia"/>
          <w:sz w:val="20"/>
          <w:szCs w:val="20"/>
        </w:rPr>
        <w:t xml:space="preserve">(2009a). </w:t>
      </w:r>
      <w:r w:rsidRPr="00CF1646">
        <w:rPr>
          <w:rFonts w:ascii="Garamond" w:eastAsia="Georgia" w:hAnsi="Garamond" w:cs="Georgia"/>
          <w:i/>
          <w:sz w:val="20"/>
          <w:szCs w:val="20"/>
        </w:rPr>
        <w:t>Candidature File for Rio de Janeiro to Host the 2016 Olympic and Paralympic Games, Volume 1</w:t>
      </w:r>
      <w:r w:rsidRPr="00CF1646">
        <w:rPr>
          <w:rFonts w:ascii="Garamond" w:eastAsia="Georgia" w:hAnsi="Garamond" w:cs="Georgia"/>
          <w:sz w:val="20"/>
          <w:szCs w:val="20"/>
        </w:rPr>
        <w:t>.</w:t>
      </w:r>
      <w:proofErr w:type="gramEnd"/>
      <w:r w:rsidRPr="00CF1646">
        <w:rPr>
          <w:rFonts w:ascii="Garamond" w:eastAsia="Georgia" w:hAnsi="Garamond" w:cs="Georgia"/>
          <w:sz w:val="20"/>
          <w:szCs w:val="20"/>
        </w:rPr>
        <w:t xml:space="preserve"> Rio de Janeiro: Rio 2016 Candidate City.</w:t>
      </w:r>
    </w:p>
    <w:p w:rsidR="005B53CF" w:rsidRPr="00CF1646" w:rsidRDefault="005B53CF" w:rsidP="005B53CF">
      <w:pPr>
        <w:pStyle w:val="Normal1"/>
        <w:spacing w:line="480" w:lineRule="auto"/>
        <w:rPr>
          <w:rFonts w:ascii="Garamond" w:eastAsia="Georgia" w:hAnsi="Garamond" w:cs="Georgia"/>
          <w:sz w:val="20"/>
          <w:szCs w:val="20"/>
        </w:rPr>
      </w:pPr>
      <w:proofErr w:type="gramStart"/>
      <w:r w:rsidRPr="00CF1646">
        <w:rPr>
          <w:rFonts w:ascii="Garamond" w:eastAsia="Georgia" w:hAnsi="Garamond" w:cs="Georgia"/>
          <w:sz w:val="20"/>
          <w:szCs w:val="20"/>
        </w:rPr>
        <w:t>Rio 2016.</w:t>
      </w:r>
      <w:proofErr w:type="gramEnd"/>
      <w:r w:rsidRPr="00CF1646">
        <w:rPr>
          <w:rFonts w:ascii="Garamond" w:eastAsia="Georgia" w:hAnsi="Garamond" w:cs="Georgia"/>
          <w:sz w:val="20"/>
          <w:szCs w:val="20"/>
        </w:rPr>
        <w:t xml:space="preserve"> </w:t>
      </w:r>
      <w:proofErr w:type="gramStart"/>
      <w:r w:rsidRPr="00CF1646">
        <w:rPr>
          <w:rFonts w:ascii="Garamond" w:eastAsia="Georgia" w:hAnsi="Garamond" w:cs="Georgia"/>
          <w:sz w:val="20"/>
          <w:szCs w:val="20"/>
        </w:rPr>
        <w:t xml:space="preserve">(2009b). </w:t>
      </w:r>
      <w:r w:rsidRPr="00CF1646">
        <w:rPr>
          <w:rFonts w:ascii="Garamond" w:eastAsia="Georgia" w:hAnsi="Garamond" w:cs="Georgia"/>
          <w:i/>
          <w:sz w:val="20"/>
          <w:szCs w:val="20"/>
        </w:rPr>
        <w:t>Candidature File for Rio de Janeiro to Host the 2016 Olympic and Paralympic Games, Volume 3</w:t>
      </w:r>
      <w:r w:rsidRPr="00CF1646">
        <w:rPr>
          <w:rFonts w:ascii="Garamond" w:eastAsia="Georgia" w:hAnsi="Garamond" w:cs="Georgia"/>
          <w:sz w:val="20"/>
          <w:szCs w:val="20"/>
        </w:rPr>
        <w:t>.</w:t>
      </w:r>
      <w:proofErr w:type="gramEnd"/>
      <w:r w:rsidRPr="00CF1646">
        <w:rPr>
          <w:rFonts w:ascii="Garamond" w:eastAsia="Georgia" w:hAnsi="Garamond" w:cs="Georgia"/>
          <w:sz w:val="20"/>
          <w:szCs w:val="20"/>
        </w:rPr>
        <w:t xml:space="preserve"> Rio de Janeiro: Rio 2016 Candidate City.</w:t>
      </w:r>
    </w:p>
    <w:p w:rsidR="005B53CF" w:rsidRPr="00CF1646" w:rsidRDefault="005B53CF" w:rsidP="005B53CF">
      <w:pPr>
        <w:pStyle w:val="Normal1"/>
        <w:spacing w:line="480" w:lineRule="auto"/>
        <w:rPr>
          <w:rFonts w:ascii="Garamond" w:eastAsia="Georgia" w:hAnsi="Garamond" w:cs="Georgia"/>
          <w:sz w:val="20"/>
          <w:szCs w:val="20"/>
        </w:rPr>
      </w:pPr>
      <w:proofErr w:type="spellStart"/>
      <w:proofErr w:type="gramStart"/>
      <w:r w:rsidRPr="00CF1646">
        <w:rPr>
          <w:rFonts w:ascii="Garamond" w:eastAsia="Georgia" w:hAnsi="Garamond" w:cs="Georgia"/>
          <w:sz w:val="20"/>
          <w:szCs w:val="20"/>
        </w:rPr>
        <w:t>RioZones</w:t>
      </w:r>
      <w:proofErr w:type="spellEnd"/>
      <w:r w:rsidRPr="00CF1646">
        <w:rPr>
          <w:rFonts w:ascii="Garamond" w:eastAsia="Georgia" w:hAnsi="Garamond" w:cs="Georgia"/>
          <w:sz w:val="20"/>
          <w:szCs w:val="20"/>
        </w:rPr>
        <w:t>.</w:t>
      </w:r>
      <w:proofErr w:type="gramEnd"/>
      <w:r w:rsidRPr="00CF1646">
        <w:rPr>
          <w:rFonts w:ascii="Garamond" w:eastAsia="Georgia" w:hAnsi="Garamond" w:cs="Georgia"/>
          <w:sz w:val="20"/>
          <w:szCs w:val="20"/>
        </w:rPr>
        <w:t xml:space="preserve"> </w:t>
      </w:r>
      <w:proofErr w:type="gramStart"/>
      <w:r w:rsidRPr="00CF1646">
        <w:rPr>
          <w:rFonts w:ascii="Garamond" w:eastAsia="Georgia" w:hAnsi="Garamond" w:cs="Georgia"/>
          <w:sz w:val="20"/>
          <w:szCs w:val="20"/>
        </w:rPr>
        <w:t xml:space="preserve">(2016). </w:t>
      </w:r>
      <w:r w:rsidRPr="00CF1646">
        <w:rPr>
          <w:rFonts w:ascii="Garamond" w:eastAsia="Georgia" w:hAnsi="Garamond" w:cs="Georgia"/>
          <w:i/>
          <w:sz w:val="20"/>
          <w:szCs w:val="20"/>
        </w:rPr>
        <w:t>#</w:t>
      </w:r>
      <w:proofErr w:type="spellStart"/>
      <w:r w:rsidRPr="00CF1646">
        <w:rPr>
          <w:rFonts w:ascii="Garamond" w:eastAsia="Georgia" w:hAnsi="Garamond" w:cs="Georgia"/>
          <w:i/>
          <w:sz w:val="20"/>
          <w:szCs w:val="20"/>
        </w:rPr>
        <w:t>RioZones</w:t>
      </w:r>
      <w:proofErr w:type="spellEnd"/>
      <w:r w:rsidRPr="00CF1646">
        <w:rPr>
          <w:rFonts w:ascii="Garamond" w:eastAsia="Georgia" w:hAnsi="Garamond" w:cs="Georgia"/>
          <w:i/>
          <w:sz w:val="20"/>
          <w:szCs w:val="20"/>
        </w:rPr>
        <w:t xml:space="preserve"> blog</w:t>
      </w:r>
      <w:r w:rsidRPr="00CF1646">
        <w:rPr>
          <w:rFonts w:ascii="Garamond" w:eastAsia="Georgia" w:hAnsi="Garamond" w:cs="Georgia"/>
          <w:sz w:val="20"/>
          <w:szCs w:val="20"/>
        </w:rPr>
        <w:t>.</w:t>
      </w:r>
      <w:proofErr w:type="gramEnd"/>
      <w:r w:rsidRPr="00CF1646">
        <w:rPr>
          <w:rFonts w:ascii="Garamond" w:eastAsia="Georgia" w:hAnsi="Garamond" w:cs="Georgia"/>
          <w:sz w:val="20"/>
          <w:szCs w:val="20"/>
        </w:rPr>
        <w:t xml:space="preserve"> Retrieved from </w:t>
      </w:r>
      <w:hyperlink r:id="rId21" w:history="1">
        <w:r w:rsidRPr="00CF1646">
          <w:rPr>
            <w:rStyle w:val="Hyperlink"/>
            <w:rFonts w:ascii="Garamond" w:eastAsia="Georgia" w:hAnsi="Garamond" w:cs="Georgia"/>
            <w:sz w:val="20"/>
            <w:szCs w:val="20"/>
          </w:rPr>
          <w:t>https://riozones.wordpress.com/</w:t>
        </w:r>
      </w:hyperlink>
    </w:p>
    <w:p w:rsidR="005B53CF" w:rsidRPr="00CF1646" w:rsidRDefault="005B53CF" w:rsidP="005B53CF">
      <w:pPr>
        <w:pStyle w:val="Normal1"/>
        <w:spacing w:line="480" w:lineRule="auto"/>
        <w:rPr>
          <w:rFonts w:ascii="Garamond" w:eastAsia="Georgia" w:hAnsi="Garamond" w:cs="Georgia"/>
          <w:sz w:val="20"/>
          <w:szCs w:val="20"/>
        </w:rPr>
      </w:pPr>
      <w:proofErr w:type="gramStart"/>
      <w:r w:rsidRPr="00CF1646">
        <w:rPr>
          <w:rFonts w:ascii="Garamond" w:eastAsia="Georgia" w:hAnsi="Garamond" w:cs="Georgia"/>
          <w:sz w:val="20"/>
          <w:szCs w:val="20"/>
        </w:rPr>
        <w:t>Robertson, M., Yeoman, I., Smith, K. A., &amp; McMahon-Beattie, U. (2015).</w:t>
      </w:r>
      <w:proofErr w:type="gramEnd"/>
      <w:r w:rsidRPr="00CF1646">
        <w:rPr>
          <w:rFonts w:ascii="Garamond" w:eastAsia="Georgia" w:hAnsi="Garamond" w:cs="Georgia"/>
          <w:sz w:val="20"/>
          <w:szCs w:val="20"/>
        </w:rPr>
        <w:t xml:space="preserve"> </w:t>
      </w:r>
      <w:proofErr w:type="gramStart"/>
      <w:r w:rsidRPr="00CF1646">
        <w:rPr>
          <w:rFonts w:ascii="Garamond" w:eastAsia="Georgia" w:hAnsi="Garamond" w:cs="Georgia"/>
          <w:sz w:val="20"/>
          <w:szCs w:val="20"/>
        </w:rPr>
        <w:t>Technology, society, and visioning the future of music festivals.</w:t>
      </w:r>
      <w:proofErr w:type="gramEnd"/>
      <w:r w:rsidRPr="00CF1646">
        <w:rPr>
          <w:rFonts w:ascii="Garamond" w:eastAsia="Georgia" w:hAnsi="Garamond" w:cs="Georgia"/>
          <w:sz w:val="20"/>
          <w:szCs w:val="20"/>
        </w:rPr>
        <w:t xml:space="preserve"> </w:t>
      </w:r>
      <w:r w:rsidRPr="00CF1646">
        <w:rPr>
          <w:rFonts w:ascii="Garamond" w:eastAsia="Georgia" w:hAnsi="Garamond" w:cs="Georgia"/>
          <w:i/>
          <w:sz w:val="20"/>
          <w:szCs w:val="20"/>
        </w:rPr>
        <w:t>Event Management</w:t>
      </w:r>
      <w:r w:rsidRPr="00CF1646">
        <w:rPr>
          <w:rFonts w:ascii="Garamond" w:eastAsia="Georgia" w:hAnsi="Garamond" w:cs="Georgia"/>
          <w:sz w:val="20"/>
          <w:szCs w:val="20"/>
        </w:rPr>
        <w:t>, 19(4), 567-587.</w:t>
      </w:r>
    </w:p>
    <w:p w:rsidR="005B53CF" w:rsidRPr="00CF1646" w:rsidRDefault="005B53CF" w:rsidP="005B53CF">
      <w:pPr>
        <w:spacing w:line="480" w:lineRule="auto"/>
        <w:rPr>
          <w:rFonts w:ascii="Garamond" w:hAnsi="Garamond"/>
          <w:sz w:val="20"/>
          <w:szCs w:val="20"/>
        </w:rPr>
      </w:pPr>
      <w:r w:rsidRPr="00CF1646">
        <w:rPr>
          <w:rFonts w:ascii="Garamond" w:hAnsi="Garamond"/>
          <w:sz w:val="20"/>
          <w:szCs w:val="20"/>
        </w:rPr>
        <w:t xml:space="preserve">Robinson, R. (2006). </w:t>
      </w:r>
      <w:r w:rsidRPr="00CF1646">
        <w:rPr>
          <w:rFonts w:ascii="Garamond" w:hAnsi="Garamond" w:cs="Arial"/>
          <w:bCs/>
          <w:color w:val="1C1D1E"/>
          <w:sz w:val="20"/>
          <w:szCs w:val="20"/>
        </w:rPr>
        <w:t>Nowhere, in particular: Kazuo Ishiguro</w:t>
      </w:r>
      <w:r w:rsidRPr="00CF1646">
        <w:rPr>
          <w:rFonts w:ascii="Garamond" w:eastAsia="Georgia" w:hAnsi="Garamond" w:cs="Georgia"/>
          <w:sz w:val="20"/>
          <w:szCs w:val="20"/>
        </w:rPr>
        <w:t>’</w:t>
      </w:r>
      <w:r w:rsidRPr="00CF1646">
        <w:rPr>
          <w:rFonts w:ascii="Garamond" w:hAnsi="Garamond" w:cs="Arial"/>
          <w:bCs/>
          <w:color w:val="1C1D1E"/>
          <w:sz w:val="20"/>
          <w:szCs w:val="20"/>
        </w:rPr>
        <w:t xml:space="preserve">s </w:t>
      </w:r>
      <w:r w:rsidRPr="00CF1646">
        <w:rPr>
          <w:rFonts w:ascii="Garamond" w:hAnsi="Garamond" w:cs="Arial"/>
          <w:bCs/>
          <w:i/>
          <w:iCs/>
          <w:color w:val="1C1D1E"/>
          <w:sz w:val="20"/>
          <w:szCs w:val="20"/>
        </w:rPr>
        <w:t xml:space="preserve">The </w:t>
      </w:r>
      <w:proofErr w:type="spellStart"/>
      <w:r w:rsidRPr="00CF1646">
        <w:rPr>
          <w:rFonts w:ascii="Garamond" w:hAnsi="Garamond" w:cs="Arial"/>
          <w:bCs/>
          <w:i/>
          <w:iCs/>
          <w:color w:val="1C1D1E"/>
          <w:sz w:val="20"/>
          <w:szCs w:val="20"/>
        </w:rPr>
        <w:t>Unconsoled</w:t>
      </w:r>
      <w:proofErr w:type="spellEnd"/>
      <w:r w:rsidRPr="00CF1646">
        <w:rPr>
          <w:rFonts w:ascii="Garamond" w:hAnsi="Garamond" w:cs="Arial"/>
          <w:bCs/>
          <w:color w:val="1C1D1E"/>
          <w:sz w:val="20"/>
          <w:szCs w:val="20"/>
        </w:rPr>
        <w:t xml:space="preserve"> and Central Europe. </w:t>
      </w:r>
      <w:r w:rsidRPr="00CF1646">
        <w:rPr>
          <w:rFonts w:ascii="Garamond" w:hAnsi="Garamond" w:cs="Arial"/>
          <w:bCs/>
          <w:i/>
          <w:color w:val="1C1D1E"/>
          <w:sz w:val="20"/>
          <w:szCs w:val="20"/>
        </w:rPr>
        <w:t>Critical Quarterly</w:t>
      </w:r>
      <w:r w:rsidRPr="00CF1646">
        <w:rPr>
          <w:rFonts w:ascii="Garamond" w:hAnsi="Garamond" w:cs="Arial"/>
          <w:bCs/>
          <w:color w:val="1C1D1E"/>
          <w:sz w:val="20"/>
          <w:szCs w:val="20"/>
        </w:rPr>
        <w:t xml:space="preserve">, </w:t>
      </w:r>
      <w:r w:rsidRPr="00CF1646">
        <w:rPr>
          <w:rFonts w:ascii="Garamond" w:hAnsi="Garamond" w:cs="Arial"/>
          <w:bCs/>
          <w:sz w:val="20"/>
          <w:szCs w:val="20"/>
        </w:rPr>
        <w:t xml:space="preserve">48(4), </w:t>
      </w:r>
      <w:r w:rsidRPr="00CF1646">
        <w:rPr>
          <w:rFonts w:ascii="Garamond" w:hAnsi="Garamond" w:cs="Arial"/>
          <w:sz w:val="20"/>
          <w:szCs w:val="20"/>
        </w:rPr>
        <w:t>107-130.</w:t>
      </w:r>
    </w:p>
    <w:p w:rsidR="005B53CF" w:rsidRPr="00CF1646" w:rsidRDefault="005B53CF" w:rsidP="005B53CF">
      <w:pPr>
        <w:pStyle w:val="Normal1"/>
        <w:spacing w:line="480" w:lineRule="auto"/>
        <w:rPr>
          <w:rFonts w:ascii="Garamond" w:eastAsia="Georgia" w:hAnsi="Garamond" w:cs="Georgia"/>
          <w:sz w:val="20"/>
          <w:szCs w:val="20"/>
        </w:rPr>
      </w:pPr>
      <w:r w:rsidRPr="00CF1646">
        <w:rPr>
          <w:rFonts w:ascii="Garamond" w:eastAsia="Georgia" w:hAnsi="Garamond" w:cs="Georgia"/>
          <w:sz w:val="20"/>
          <w:szCs w:val="20"/>
        </w:rPr>
        <w:t xml:space="preserve">Schumpeter, J. A. (1942). </w:t>
      </w:r>
      <w:proofErr w:type="gramStart"/>
      <w:r w:rsidRPr="00CF1646">
        <w:rPr>
          <w:rFonts w:ascii="Garamond" w:eastAsia="Georgia" w:hAnsi="Garamond" w:cs="Georgia"/>
          <w:i/>
          <w:sz w:val="20"/>
          <w:szCs w:val="20"/>
        </w:rPr>
        <w:t>Capitalism, socialism, and democracy</w:t>
      </w:r>
      <w:r w:rsidRPr="00CF1646">
        <w:rPr>
          <w:rFonts w:ascii="Garamond" w:eastAsia="Georgia" w:hAnsi="Garamond" w:cs="Georgia"/>
          <w:sz w:val="20"/>
          <w:szCs w:val="20"/>
        </w:rPr>
        <w:t>.</w:t>
      </w:r>
      <w:proofErr w:type="gramEnd"/>
      <w:r w:rsidRPr="00CF1646">
        <w:rPr>
          <w:rFonts w:ascii="Garamond" w:eastAsia="Georgia" w:hAnsi="Garamond" w:cs="Georgia"/>
          <w:sz w:val="20"/>
          <w:szCs w:val="20"/>
        </w:rPr>
        <w:t xml:space="preserve"> London: Harper &amp; Brothers.</w:t>
      </w:r>
    </w:p>
    <w:p w:rsidR="005B53CF" w:rsidRPr="00CF1646" w:rsidRDefault="005B53CF" w:rsidP="005B53CF">
      <w:pPr>
        <w:pStyle w:val="Normal1"/>
        <w:spacing w:line="480" w:lineRule="auto"/>
        <w:rPr>
          <w:rFonts w:ascii="Garamond" w:eastAsia="Georgia" w:hAnsi="Garamond" w:cs="Georgia"/>
          <w:sz w:val="20"/>
          <w:szCs w:val="20"/>
        </w:rPr>
      </w:pPr>
      <w:proofErr w:type="gramStart"/>
      <w:r w:rsidRPr="00CF1646">
        <w:rPr>
          <w:rFonts w:ascii="Garamond" w:eastAsia="Georgia" w:hAnsi="Garamond" w:cs="Georgia"/>
          <w:sz w:val="20"/>
          <w:szCs w:val="20"/>
        </w:rPr>
        <w:t>Shields, R. (1990).</w:t>
      </w:r>
      <w:proofErr w:type="gramEnd"/>
      <w:r w:rsidRPr="00CF1646">
        <w:rPr>
          <w:rFonts w:ascii="Garamond" w:eastAsia="Georgia" w:hAnsi="Garamond" w:cs="Georgia"/>
          <w:sz w:val="20"/>
          <w:szCs w:val="20"/>
        </w:rPr>
        <w:t xml:space="preserve"> The ‘system of pleasure’: liminality and the </w:t>
      </w:r>
      <w:proofErr w:type="spellStart"/>
      <w:r w:rsidRPr="00CF1646">
        <w:rPr>
          <w:rFonts w:ascii="Garamond" w:eastAsia="Georgia" w:hAnsi="Garamond" w:cs="Georgia"/>
          <w:sz w:val="20"/>
          <w:szCs w:val="20"/>
        </w:rPr>
        <w:t>carnivalesque</w:t>
      </w:r>
      <w:proofErr w:type="spellEnd"/>
      <w:r w:rsidRPr="00CF1646">
        <w:rPr>
          <w:rFonts w:ascii="Garamond" w:eastAsia="Georgia" w:hAnsi="Garamond" w:cs="Georgia"/>
          <w:sz w:val="20"/>
          <w:szCs w:val="20"/>
        </w:rPr>
        <w:t xml:space="preserve"> at Brighton. </w:t>
      </w:r>
      <w:r w:rsidRPr="00CF1646">
        <w:rPr>
          <w:rFonts w:ascii="Garamond" w:eastAsia="Georgia" w:hAnsi="Garamond" w:cs="Georgia"/>
          <w:i/>
          <w:sz w:val="20"/>
          <w:szCs w:val="20"/>
        </w:rPr>
        <w:t>Theory, Culture and Society</w:t>
      </w:r>
      <w:r w:rsidRPr="00CF1646">
        <w:rPr>
          <w:rFonts w:ascii="Garamond" w:eastAsia="Georgia" w:hAnsi="Garamond" w:cs="Georgia"/>
          <w:sz w:val="20"/>
          <w:szCs w:val="20"/>
        </w:rPr>
        <w:t>, 7(1), 39-72.</w:t>
      </w:r>
    </w:p>
    <w:p w:rsidR="005B53CF" w:rsidRPr="00CF1646" w:rsidRDefault="005B53CF" w:rsidP="005B53CF">
      <w:pPr>
        <w:pStyle w:val="Normal1"/>
        <w:spacing w:line="480" w:lineRule="auto"/>
        <w:rPr>
          <w:rFonts w:ascii="Garamond" w:eastAsia="Georgia" w:hAnsi="Garamond" w:cs="Georgia"/>
          <w:sz w:val="20"/>
          <w:szCs w:val="20"/>
        </w:rPr>
      </w:pPr>
      <w:proofErr w:type="spellStart"/>
      <w:r w:rsidRPr="00CF1646">
        <w:rPr>
          <w:rFonts w:ascii="Garamond" w:eastAsia="Georgia" w:hAnsi="Garamond" w:cs="Georgia"/>
          <w:sz w:val="20"/>
          <w:szCs w:val="20"/>
        </w:rPr>
        <w:t>Thomassen</w:t>
      </w:r>
      <w:proofErr w:type="spellEnd"/>
      <w:r w:rsidRPr="00CF1646">
        <w:rPr>
          <w:rFonts w:ascii="Garamond" w:eastAsia="Georgia" w:hAnsi="Garamond" w:cs="Georgia"/>
          <w:sz w:val="20"/>
          <w:szCs w:val="20"/>
        </w:rPr>
        <w:t xml:space="preserve">, B. (2009). </w:t>
      </w:r>
      <w:proofErr w:type="gramStart"/>
      <w:r w:rsidRPr="00CF1646">
        <w:rPr>
          <w:rFonts w:ascii="Garamond" w:eastAsia="Georgia" w:hAnsi="Garamond" w:cs="Georgia"/>
          <w:sz w:val="20"/>
          <w:szCs w:val="20"/>
        </w:rPr>
        <w:t>The Uses and Meaning of Liminality.</w:t>
      </w:r>
      <w:proofErr w:type="gramEnd"/>
      <w:r w:rsidRPr="00CF1646">
        <w:rPr>
          <w:rFonts w:ascii="Garamond" w:eastAsia="Georgia" w:hAnsi="Garamond" w:cs="Georgia"/>
          <w:sz w:val="20"/>
          <w:szCs w:val="20"/>
        </w:rPr>
        <w:t xml:space="preserve"> </w:t>
      </w:r>
      <w:r w:rsidRPr="00CF1646">
        <w:rPr>
          <w:rFonts w:ascii="Garamond" w:eastAsia="Georgia" w:hAnsi="Garamond" w:cs="Georgia"/>
          <w:i/>
          <w:sz w:val="20"/>
          <w:szCs w:val="20"/>
        </w:rPr>
        <w:t>International Political Anthropology</w:t>
      </w:r>
      <w:r w:rsidRPr="00CF1646">
        <w:rPr>
          <w:rFonts w:ascii="Garamond" w:eastAsia="Georgia" w:hAnsi="Garamond" w:cs="Georgia"/>
          <w:sz w:val="20"/>
          <w:szCs w:val="20"/>
        </w:rPr>
        <w:t>, 2(1), 5-28.</w:t>
      </w:r>
    </w:p>
    <w:p w:rsidR="005B53CF" w:rsidRPr="00CF1646" w:rsidRDefault="005B53CF" w:rsidP="005B53CF">
      <w:pPr>
        <w:pStyle w:val="Normal1"/>
        <w:spacing w:line="480" w:lineRule="auto"/>
        <w:rPr>
          <w:rFonts w:ascii="Garamond" w:eastAsia="Georgia" w:hAnsi="Garamond" w:cs="Georgia"/>
          <w:sz w:val="20"/>
          <w:szCs w:val="20"/>
        </w:rPr>
      </w:pPr>
      <w:proofErr w:type="spellStart"/>
      <w:r w:rsidRPr="00CF1646">
        <w:rPr>
          <w:rFonts w:ascii="Garamond" w:eastAsia="Georgia" w:hAnsi="Garamond" w:cs="Georgia"/>
          <w:sz w:val="20"/>
          <w:szCs w:val="20"/>
        </w:rPr>
        <w:t>Thomassen</w:t>
      </w:r>
      <w:proofErr w:type="spellEnd"/>
      <w:r w:rsidRPr="00CF1646">
        <w:rPr>
          <w:rFonts w:ascii="Garamond" w:eastAsia="Georgia" w:hAnsi="Garamond" w:cs="Georgia"/>
          <w:sz w:val="20"/>
          <w:szCs w:val="20"/>
        </w:rPr>
        <w:t xml:space="preserve">, B. (2016). </w:t>
      </w:r>
      <w:r w:rsidRPr="00CF1646">
        <w:rPr>
          <w:rFonts w:ascii="Garamond" w:eastAsia="Georgia" w:hAnsi="Garamond" w:cs="Georgia"/>
          <w:i/>
          <w:sz w:val="20"/>
          <w:szCs w:val="20"/>
        </w:rPr>
        <w:t>Liminality and the modern: Living through the in-between</w:t>
      </w:r>
      <w:r w:rsidRPr="00CF1646">
        <w:rPr>
          <w:rFonts w:ascii="Garamond" w:eastAsia="Georgia" w:hAnsi="Garamond" w:cs="Georgia"/>
          <w:sz w:val="20"/>
          <w:szCs w:val="20"/>
        </w:rPr>
        <w:t>. London: Routledge.</w:t>
      </w:r>
    </w:p>
    <w:p w:rsidR="005B53CF" w:rsidRPr="00CF1646" w:rsidRDefault="005B53CF" w:rsidP="005B53CF">
      <w:pPr>
        <w:pStyle w:val="Normal1"/>
        <w:spacing w:line="480" w:lineRule="auto"/>
        <w:rPr>
          <w:rFonts w:ascii="Garamond" w:eastAsia="Georgia" w:hAnsi="Garamond" w:cs="Georgia"/>
          <w:sz w:val="20"/>
          <w:szCs w:val="20"/>
        </w:rPr>
      </w:pPr>
      <w:r w:rsidRPr="00CF1646">
        <w:rPr>
          <w:rFonts w:ascii="Garamond" w:eastAsia="Georgia" w:hAnsi="Garamond" w:cs="Georgia"/>
          <w:sz w:val="20"/>
          <w:szCs w:val="20"/>
        </w:rPr>
        <w:t xml:space="preserve">Turner, V. W. (1969). </w:t>
      </w:r>
      <w:r w:rsidRPr="00CF1646">
        <w:rPr>
          <w:rFonts w:ascii="Garamond" w:eastAsia="Georgia" w:hAnsi="Garamond" w:cs="Georgia"/>
          <w:i/>
          <w:sz w:val="20"/>
          <w:szCs w:val="20"/>
        </w:rPr>
        <w:t>The Ritual Process: Structure and Anti-structure</w:t>
      </w:r>
      <w:r w:rsidRPr="00CF1646">
        <w:rPr>
          <w:rFonts w:ascii="Garamond" w:eastAsia="Georgia" w:hAnsi="Garamond" w:cs="Georgia"/>
          <w:sz w:val="20"/>
          <w:szCs w:val="20"/>
        </w:rPr>
        <w:t>. New York: Cornell University Press.</w:t>
      </w:r>
    </w:p>
    <w:p w:rsidR="005B53CF" w:rsidRPr="00CF1646" w:rsidRDefault="005B53CF" w:rsidP="005B53CF">
      <w:pPr>
        <w:pStyle w:val="Normal1"/>
        <w:spacing w:line="480" w:lineRule="auto"/>
        <w:rPr>
          <w:rFonts w:ascii="Garamond" w:eastAsia="Georgia" w:hAnsi="Garamond" w:cs="Georgia"/>
          <w:sz w:val="20"/>
          <w:szCs w:val="20"/>
        </w:rPr>
      </w:pPr>
      <w:r w:rsidRPr="00CF1646">
        <w:rPr>
          <w:rFonts w:ascii="Garamond" w:eastAsia="Georgia" w:hAnsi="Garamond" w:cs="Georgia"/>
          <w:sz w:val="20"/>
          <w:szCs w:val="20"/>
        </w:rPr>
        <w:t xml:space="preserve">Turner, V. W. (1979). Liminal to </w:t>
      </w:r>
      <w:proofErr w:type="spellStart"/>
      <w:r w:rsidRPr="00CF1646">
        <w:rPr>
          <w:rFonts w:ascii="Garamond" w:eastAsia="Georgia" w:hAnsi="Garamond" w:cs="Georgia"/>
          <w:sz w:val="20"/>
          <w:szCs w:val="20"/>
        </w:rPr>
        <w:t>liminoid</w:t>
      </w:r>
      <w:proofErr w:type="spellEnd"/>
      <w:r w:rsidRPr="00CF1646">
        <w:rPr>
          <w:rFonts w:ascii="Garamond" w:eastAsia="Georgia" w:hAnsi="Garamond" w:cs="Georgia"/>
          <w:sz w:val="20"/>
          <w:szCs w:val="20"/>
        </w:rPr>
        <w:t xml:space="preserve">, in play, flow, and ritual: An essay in comparative </w:t>
      </w:r>
      <w:proofErr w:type="spellStart"/>
      <w:r w:rsidRPr="00CF1646">
        <w:rPr>
          <w:rFonts w:ascii="Garamond" w:eastAsia="Georgia" w:hAnsi="Garamond" w:cs="Georgia"/>
          <w:sz w:val="20"/>
          <w:szCs w:val="20"/>
        </w:rPr>
        <w:t>symbology</w:t>
      </w:r>
      <w:proofErr w:type="spellEnd"/>
      <w:r w:rsidRPr="00CF1646">
        <w:rPr>
          <w:rFonts w:ascii="Garamond" w:eastAsia="Georgia" w:hAnsi="Garamond" w:cs="Georgia"/>
          <w:sz w:val="20"/>
          <w:szCs w:val="20"/>
        </w:rPr>
        <w:t xml:space="preserve">. </w:t>
      </w:r>
      <w:r w:rsidRPr="00CF1646">
        <w:rPr>
          <w:rFonts w:ascii="Garamond" w:eastAsia="Georgia" w:hAnsi="Garamond" w:cs="Georgia"/>
          <w:i/>
          <w:sz w:val="20"/>
          <w:szCs w:val="20"/>
        </w:rPr>
        <w:t>Rice University Studies</w:t>
      </w:r>
      <w:r w:rsidRPr="00CF1646">
        <w:rPr>
          <w:rFonts w:ascii="Garamond" w:eastAsia="Georgia" w:hAnsi="Garamond" w:cs="Georgia"/>
          <w:sz w:val="20"/>
          <w:szCs w:val="20"/>
        </w:rPr>
        <w:t>, 60(3), 53-92.</w:t>
      </w:r>
    </w:p>
    <w:p w:rsidR="005B53CF" w:rsidRPr="00CF1646" w:rsidRDefault="005B53CF" w:rsidP="005B53CF">
      <w:pPr>
        <w:spacing w:line="480" w:lineRule="auto"/>
        <w:rPr>
          <w:rFonts w:ascii="Garamond" w:hAnsi="Garamond"/>
          <w:color w:val="000000" w:themeColor="text1"/>
          <w:sz w:val="20"/>
          <w:szCs w:val="20"/>
        </w:rPr>
      </w:pPr>
      <w:proofErr w:type="gramStart"/>
      <w:r w:rsidRPr="00CF1646">
        <w:rPr>
          <w:rFonts w:ascii="Garamond" w:hAnsi="Garamond"/>
          <w:color w:val="000000" w:themeColor="text1"/>
          <w:sz w:val="20"/>
          <w:szCs w:val="20"/>
        </w:rPr>
        <w:lastRenderedPageBreak/>
        <w:t>Turner, V. W., Harris, J. C., &amp; Park, R. J. (1983).</w:t>
      </w:r>
      <w:proofErr w:type="gramEnd"/>
      <w:r w:rsidRPr="00CF1646">
        <w:rPr>
          <w:rFonts w:ascii="Garamond" w:hAnsi="Garamond"/>
          <w:color w:val="000000" w:themeColor="text1"/>
          <w:sz w:val="20"/>
          <w:szCs w:val="20"/>
        </w:rPr>
        <w:t xml:space="preserve"> Liminal to </w:t>
      </w:r>
      <w:proofErr w:type="spellStart"/>
      <w:r w:rsidRPr="00CF1646">
        <w:rPr>
          <w:rFonts w:ascii="Garamond" w:hAnsi="Garamond"/>
          <w:color w:val="000000" w:themeColor="text1"/>
          <w:sz w:val="20"/>
          <w:szCs w:val="20"/>
        </w:rPr>
        <w:t>liminoid</w:t>
      </w:r>
      <w:proofErr w:type="spellEnd"/>
      <w:r w:rsidRPr="00CF1646">
        <w:rPr>
          <w:rFonts w:ascii="Garamond" w:hAnsi="Garamond"/>
          <w:color w:val="000000" w:themeColor="text1"/>
          <w:sz w:val="20"/>
          <w:szCs w:val="20"/>
        </w:rPr>
        <w:t xml:space="preserve">, in play, flow, and ritual: An essay in comparative </w:t>
      </w:r>
      <w:proofErr w:type="spellStart"/>
      <w:r w:rsidRPr="00CF1646">
        <w:rPr>
          <w:rFonts w:ascii="Garamond" w:hAnsi="Garamond"/>
          <w:color w:val="000000" w:themeColor="text1"/>
          <w:sz w:val="20"/>
          <w:szCs w:val="20"/>
        </w:rPr>
        <w:t>symbology</w:t>
      </w:r>
      <w:proofErr w:type="spellEnd"/>
      <w:r w:rsidRPr="00CF1646">
        <w:rPr>
          <w:rFonts w:ascii="Garamond" w:hAnsi="Garamond"/>
          <w:color w:val="000000" w:themeColor="text1"/>
          <w:sz w:val="20"/>
          <w:szCs w:val="20"/>
        </w:rPr>
        <w:t xml:space="preserve">. </w:t>
      </w:r>
      <w:proofErr w:type="gramStart"/>
      <w:r w:rsidRPr="00CF1646">
        <w:rPr>
          <w:rFonts w:ascii="Garamond" w:hAnsi="Garamond"/>
          <w:color w:val="000000" w:themeColor="text1"/>
          <w:sz w:val="20"/>
          <w:szCs w:val="20"/>
        </w:rPr>
        <w:t xml:space="preserve">In J. C. Harris &amp; R. J. Park (Ed.), </w:t>
      </w:r>
      <w:r w:rsidRPr="00CF1646">
        <w:rPr>
          <w:rFonts w:ascii="Garamond" w:hAnsi="Garamond"/>
          <w:i/>
          <w:color w:val="000000" w:themeColor="text1"/>
          <w:sz w:val="20"/>
          <w:szCs w:val="20"/>
        </w:rPr>
        <w:t>Play, Games and Sports in Cultural Contexts</w:t>
      </w:r>
      <w:r w:rsidRPr="00CF1646">
        <w:rPr>
          <w:rFonts w:ascii="Garamond" w:hAnsi="Garamond"/>
          <w:color w:val="000000" w:themeColor="text1"/>
          <w:sz w:val="20"/>
          <w:szCs w:val="20"/>
        </w:rPr>
        <w:t xml:space="preserve"> </w:t>
      </w:r>
      <w:r w:rsidRPr="00CF1646">
        <w:rPr>
          <w:rFonts w:ascii="Garamond" w:eastAsia="Georgia" w:hAnsi="Garamond" w:cs="Georgia"/>
          <w:sz w:val="20"/>
          <w:szCs w:val="20"/>
        </w:rPr>
        <w:t xml:space="preserve">(pp. </w:t>
      </w:r>
      <w:r w:rsidRPr="00CF1646">
        <w:rPr>
          <w:rFonts w:ascii="Garamond" w:hAnsi="Garamond"/>
          <w:color w:val="000000" w:themeColor="text1"/>
          <w:sz w:val="20"/>
          <w:szCs w:val="20"/>
        </w:rPr>
        <w:t>123-164</w:t>
      </w:r>
      <w:r w:rsidRPr="00CF1646">
        <w:rPr>
          <w:rFonts w:ascii="Garamond" w:eastAsia="Georgia" w:hAnsi="Garamond" w:cs="Georgia"/>
          <w:sz w:val="20"/>
          <w:szCs w:val="20"/>
        </w:rPr>
        <w:t>).</w:t>
      </w:r>
      <w:proofErr w:type="gramEnd"/>
      <w:r w:rsidRPr="00CF1646">
        <w:rPr>
          <w:rFonts w:ascii="Garamond" w:hAnsi="Garamond"/>
          <w:color w:val="000000" w:themeColor="text1"/>
          <w:sz w:val="20"/>
          <w:szCs w:val="20"/>
        </w:rPr>
        <w:t xml:space="preserve"> Champaign: Human Kinetics Publishers.</w:t>
      </w:r>
    </w:p>
    <w:p w:rsidR="005B53CF" w:rsidRPr="00CF1646" w:rsidRDefault="005B53CF" w:rsidP="005B53CF">
      <w:pPr>
        <w:pStyle w:val="Normal1"/>
        <w:spacing w:line="480" w:lineRule="auto"/>
        <w:rPr>
          <w:rFonts w:ascii="Garamond" w:eastAsia="Georgia" w:hAnsi="Garamond" w:cs="Georgia"/>
          <w:sz w:val="20"/>
          <w:szCs w:val="20"/>
        </w:rPr>
      </w:pPr>
      <w:r w:rsidRPr="00CF1646">
        <w:rPr>
          <w:rFonts w:ascii="Garamond" w:eastAsia="Georgia" w:hAnsi="Garamond" w:cs="Georgia"/>
          <w:sz w:val="20"/>
          <w:szCs w:val="20"/>
        </w:rPr>
        <w:t xml:space="preserve">Turner, V. W. (1984). </w:t>
      </w:r>
      <w:proofErr w:type="gramStart"/>
      <w:r w:rsidRPr="00CF1646">
        <w:rPr>
          <w:rFonts w:ascii="Garamond" w:eastAsia="Georgia" w:hAnsi="Garamond" w:cs="Georgia"/>
          <w:sz w:val="20"/>
          <w:szCs w:val="20"/>
        </w:rPr>
        <w:t>Liminality and the performative genres.</w:t>
      </w:r>
      <w:proofErr w:type="gramEnd"/>
      <w:r w:rsidRPr="00CF1646">
        <w:rPr>
          <w:rFonts w:ascii="Garamond" w:eastAsia="Georgia" w:hAnsi="Garamond" w:cs="Georgia"/>
          <w:sz w:val="20"/>
          <w:szCs w:val="20"/>
        </w:rPr>
        <w:t xml:space="preserve"> In J. J. </w:t>
      </w:r>
      <w:proofErr w:type="spellStart"/>
      <w:r w:rsidRPr="00CF1646">
        <w:rPr>
          <w:rFonts w:ascii="Garamond" w:eastAsia="Georgia" w:hAnsi="Garamond" w:cs="Georgia"/>
          <w:sz w:val="20"/>
          <w:szCs w:val="20"/>
        </w:rPr>
        <w:t>MacAloon</w:t>
      </w:r>
      <w:proofErr w:type="spellEnd"/>
      <w:r w:rsidRPr="00CF1646">
        <w:rPr>
          <w:rFonts w:ascii="Garamond" w:eastAsia="Georgia" w:hAnsi="Garamond" w:cs="Georgia"/>
          <w:sz w:val="20"/>
          <w:szCs w:val="20"/>
        </w:rPr>
        <w:t xml:space="preserve"> (Ed.), </w:t>
      </w:r>
      <w:r w:rsidRPr="00CF1646">
        <w:rPr>
          <w:rFonts w:ascii="Garamond" w:eastAsia="Georgia" w:hAnsi="Garamond" w:cs="Georgia"/>
          <w:i/>
          <w:sz w:val="20"/>
          <w:szCs w:val="20"/>
        </w:rPr>
        <w:t>Rite, drama, festival, spectacle: Rehearsals toward a theory of cultural performance</w:t>
      </w:r>
      <w:r w:rsidRPr="00CF1646">
        <w:rPr>
          <w:rFonts w:ascii="Garamond" w:eastAsia="Georgia" w:hAnsi="Garamond" w:cs="Georgia"/>
          <w:sz w:val="20"/>
          <w:szCs w:val="20"/>
        </w:rPr>
        <w:t xml:space="preserve"> (pp. 19-41). Philadelphia: Institute for the Study of Human Issues.</w:t>
      </w:r>
    </w:p>
    <w:p w:rsidR="005B53CF" w:rsidRPr="00CF1646" w:rsidRDefault="005B53CF" w:rsidP="005B53CF">
      <w:pPr>
        <w:pStyle w:val="Normal1"/>
        <w:spacing w:line="480" w:lineRule="auto"/>
        <w:rPr>
          <w:rFonts w:ascii="Garamond" w:eastAsia="Georgia" w:hAnsi="Garamond" w:cs="Georgia"/>
          <w:sz w:val="20"/>
          <w:szCs w:val="20"/>
        </w:rPr>
      </w:pPr>
      <w:r w:rsidRPr="00CF1646">
        <w:rPr>
          <w:rFonts w:ascii="Garamond" w:eastAsia="Georgia" w:hAnsi="Garamond" w:cs="Georgia"/>
          <w:sz w:val="20"/>
          <w:szCs w:val="20"/>
        </w:rPr>
        <w:t xml:space="preserve">Turner, V. W. (1992). </w:t>
      </w:r>
      <w:r w:rsidRPr="00CF1646">
        <w:rPr>
          <w:rFonts w:ascii="Garamond" w:eastAsia="Georgia" w:hAnsi="Garamond" w:cs="Georgia"/>
          <w:i/>
          <w:sz w:val="20"/>
          <w:szCs w:val="20"/>
        </w:rPr>
        <w:t>Blazing the trail: way marks in the exploration of symbols</w:t>
      </w:r>
      <w:r w:rsidRPr="00CF1646">
        <w:rPr>
          <w:rFonts w:ascii="Garamond" w:eastAsia="Georgia" w:hAnsi="Garamond" w:cs="Georgia"/>
          <w:sz w:val="20"/>
          <w:szCs w:val="20"/>
        </w:rPr>
        <w:t>. Tucson: University of Arizona Press.</w:t>
      </w:r>
    </w:p>
    <w:p w:rsidR="005B53CF" w:rsidRPr="00CF1646" w:rsidRDefault="005B53CF" w:rsidP="005B53CF">
      <w:pPr>
        <w:pStyle w:val="Normal1"/>
        <w:spacing w:line="480" w:lineRule="auto"/>
        <w:rPr>
          <w:rFonts w:ascii="Garamond" w:eastAsia="Georgia" w:hAnsi="Garamond" w:cs="Georgia"/>
          <w:sz w:val="20"/>
          <w:szCs w:val="20"/>
        </w:rPr>
      </w:pPr>
      <w:proofErr w:type="spellStart"/>
      <w:proofErr w:type="gramStart"/>
      <w:r w:rsidRPr="00CF1646">
        <w:rPr>
          <w:rFonts w:ascii="Garamond" w:eastAsia="Georgia" w:hAnsi="Garamond" w:cs="Georgia"/>
          <w:sz w:val="20"/>
          <w:szCs w:val="20"/>
        </w:rPr>
        <w:t>Uchoa</w:t>
      </w:r>
      <w:proofErr w:type="spellEnd"/>
      <w:r w:rsidRPr="00CF1646">
        <w:rPr>
          <w:rFonts w:ascii="Garamond" w:eastAsia="Georgia" w:hAnsi="Garamond" w:cs="Georgia"/>
          <w:sz w:val="20"/>
          <w:szCs w:val="20"/>
        </w:rPr>
        <w:t>, R., &amp; Barros, G. B. (2017).</w:t>
      </w:r>
      <w:proofErr w:type="gramEnd"/>
      <w:r w:rsidRPr="00CF1646">
        <w:rPr>
          <w:rFonts w:ascii="Garamond" w:eastAsia="Georgia" w:hAnsi="Garamond" w:cs="Georgia"/>
          <w:sz w:val="20"/>
          <w:szCs w:val="20"/>
        </w:rPr>
        <w:t xml:space="preserve"> </w:t>
      </w:r>
      <w:proofErr w:type="gramStart"/>
      <w:r w:rsidRPr="00CF1646">
        <w:rPr>
          <w:rFonts w:ascii="Garamond" w:eastAsia="Georgia" w:hAnsi="Garamond" w:cs="Georgia"/>
          <w:sz w:val="20"/>
          <w:szCs w:val="20"/>
        </w:rPr>
        <w:t>Cisco social, urban and technological legacy for Rio 2016.</w:t>
      </w:r>
      <w:proofErr w:type="gramEnd"/>
      <w:r w:rsidRPr="00CF1646">
        <w:rPr>
          <w:rFonts w:ascii="Garamond" w:eastAsia="Georgia" w:hAnsi="Garamond" w:cs="Georgia"/>
          <w:sz w:val="20"/>
          <w:szCs w:val="20"/>
        </w:rPr>
        <w:t xml:space="preserve"> In L. J. </w:t>
      </w:r>
      <w:proofErr w:type="spellStart"/>
      <w:r w:rsidRPr="00CF1646">
        <w:rPr>
          <w:rFonts w:ascii="Garamond" w:eastAsia="Georgia" w:hAnsi="Garamond" w:cs="Georgia"/>
          <w:sz w:val="20"/>
          <w:szCs w:val="20"/>
        </w:rPr>
        <w:t>Mataruna</w:t>
      </w:r>
      <w:proofErr w:type="spellEnd"/>
      <w:r w:rsidRPr="00CF1646">
        <w:rPr>
          <w:rFonts w:ascii="Garamond" w:eastAsia="Georgia" w:hAnsi="Garamond" w:cs="Georgia"/>
          <w:sz w:val="20"/>
          <w:szCs w:val="20"/>
        </w:rPr>
        <w:t xml:space="preserve">-Dos-Santos &amp; B. G. Pena (Ed.), </w:t>
      </w:r>
      <w:r w:rsidRPr="00CF1646">
        <w:rPr>
          <w:rFonts w:ascii="Garamond" w:eastAsia="Georgia" w:hAnsi="Garamond" w:cs="Georgia"/>
          <w:i/>
          <w:sz w:val="20"/>
          <w:szCs w:val="20"/>
        </w:rPr>
        <w:t>Mega events footprints: past, present and future</w:t>
      </w:r>
      <w:r w:rsidRPr="00CF1646">
        <w:rPr>
          <w:rFonts w:ascii="Garamond" w:eastAsia="Georgia" w:hAnsi="Garamond" w:cs="Georgia"/>
          <w:sz w:val="20"/>
          <w:szCs w:val="20"/>
        </w:rPr>
        <w:t xml:space="preserve"> (pp. 1141-1155). Rio de Janeiro: </w:t>
      </w:r>
      <w:proofErr w:type="spellStart"/>
      <w:r w:rsidRPr="00CF1646">
        <w:rPr>
          <w:rFonts w:ascii="Garamond" w:eastAsia="Georgia" w:hAnsi="Garamond" w:cs="Georgia"/>
          <w:sz w:val="20"/>
          <w:szCs w:val="20"/>
        </w:rPr>
        <w:t>Engenho</w:t>
      </w:r>
      <w:proofErr w:type="spellEnd"/>
      <w:r w:rsidRPr="00CF1646">
        <w:rPr>
          <w:rFonts w:ascii="Garamond" w:eastAsia="Georgia" w:hAnsi="Garamond" w:cs="Georgia"/>
          <w:sz w:val="20"/>
          <w:szCs w:val="20"/>
        </w:rPr>
        <w:t>.</w:t>
      </w:r>
    </w:p>
    <w:p w:rsidR="005B53CF" w:rsidRPr="00CF1646" w:rsidRDefault="005B53CF" w:rsidP="005B53CF">
      <w:pPr>
        <w:pStyle w:val="Normal1"/>
        <w:spacing w:line="480" w:lineRule="auto"/>
        <w:rPr>
          <w:rFonts w:ascii="Garamond" w:eastAsia="Georgia" w:hAnsi="Garamond" w:cs="Georgia"/>
          <w:sz w:val="20"/>
          <w:szCs w:val="20"/>
        </w:rPr>
      </w:pPr>
      <w:proofErr w:type="spellStart"/>
      <w:proofErr w:type="gramStart"/>
      <w:r w:rsidRPr="00CF1646">
        <w:rPr>
          <w:rFonts w:ascii="Garamond" w:eastAsia="Georgia" w:hAnsi="Garamond" w:cs="Georgia"/>
          <w:sz w:val="20"/>
          <w:szCs w:val="20"/>
        </w:rPr>
        <w:t>Urry</w:t>
      </w:r>
      <w:proofErr w:type="spellEnd"/>
      <w:r w:rsidRPr="00CF1646">
        <w:rPr>
          <w:rFonts w:ascii="Garamond" w:eastAsia="Georgia" w:hAnsi="Garamond" w:cs="Georgia"/>
          <w:sz w:val="20"/>
          <w:szCs w:val="20"/>
        </w:rPr>
        <w:t>, J. (2002).</w:t>
      </w:r>
      <w:proofErr w:type="gramEnd"/>
      <w:r w:rsidRPr="00CF1646">
        <w:rPr>
          <w:rFonts w:ascii="Garamond" w:eastAsia="Georgia" w:hAnsi="Garamond" w:cs="Georgia"/>
          <w:sz w:val="20"/>
          <w:szCs w:val="20"/>
        </w:rPr>
        <w:t xml:space="preserve"> </w:t>
      </w:r>
      <w:r w:rsidRPr="00CF1646">
        <w:rPr>
          <w:rFonts w:ascii="Garamond" w:eastAsia="Georgia" w:hAnsi="Garamond" w:cs="Georgia"/>
          <w:i/>
          <w:sz w:val="20"/>
          <w:szCs w:val="20"/>
        </w:rPr>
        <w:t>The Tourist Gaze</w:t>
      </w:r>
      <w:r w:rsidRPr="00CF1646">
        <w:rPr>
          <w:rFonts w:ascii="Garamond" w:eastAsia="Georgia" w:hAnsi="Garamond" w:cs="Georgia"/>
          <w:sz w:val="20"/>
          <w:szCs w:val="20"/>
        </w:rPr>
        <w:t xml:space="preserve"> (2nd </w:t>
      </w:r>
      <w:proofErr w:type="gramStart"/>
      <w:r w:rsidRPr="00CF1646">
        <w:rPr>
          <w:rFonts w:ascii="Garamond" w:eastAsia="Georgia" w:hAnsi="Garamond" w:cs="Georgia"/>
          <w:sz w:val="20"/>
          <w:szCs w:val="20"/>
        </w:rPr>
        <w:t>ed</w:t>
      </w:r>
      <w:proofErr w:type="gramEnd"/>
      <w:r w:rsidRPr="00CF1646">
        <w:rPr>
          <w:rFonts w:ascii="Garamond" w:eastAsia="Georgia" w:hAnsi="Garamond" w:cs="Georgia"/>
          <w:sz w:val="20"/>
          <w:szCs w:val="20"/>
        </w:rPr>
        <w:t>.). London: SAGE.</w:t>
      </w:r>
    </w:p>
    <w:p w:rsidR="005B53CF" w:rsidRPr="00CF1646" w:rsidRDefault="005B53CF" w:rsidP="005B53CF">
      <w:pPr>
        <w:spacing w:line="480" w:lineRule="auto"/>
        <w:jc w:val="both"/>
        <w:rPr>
          <w:rFonts w:ascii="Garamond" w:hAnsi="Garamond"/>
          <w:color w:val="000000" w:themeColor="text1"/>
          <w:sz w:val="20"/>
          <w:szCs w:val="20"/>
        </w:rPr>
      </w:pPr>
      <w:r w:rsidRPr="00CF1646">
        <w:rPr>
          <w:rFonts w:ascii="Garamond" w:hAnsi="Garamond"/>
          <w:color w:val="000000" w:themeColor="text1"/>
          <w:sz w:val="20"/>
          <w:szCs w:val="20"/>
        </w:rPr>
        <w:t xml:space="preserve">Vlachos, P. (2016). The London 2012 Olympics and small local business: a 5-year longitudinal study of south-east London. In G. Poynter, V. </w:t>
      </w:r>
      <w:proofErr w:type="spellStart"/>
      <w:r w:rsidRPr="00CF1646">
        <w:rPr>
          <w:rFonts w:ascii="Garamond" w:hAnsi="Garamond"/>
          <w:color w:val="000000" w:themeColor="text1"/>
          <w:sz w:val="20"/>
          <w:szCs w:val="20"/>
        </w:rPr>
        <w:t>Viehoff</w:t>
      </w:r>
      <w:proofErr w:type="spellEnd"/>
      <w:r w:rsidRPr="00CF1646">
        <w:rPr>
          <w:rFonts w:ascii="Garamond" w:hAnsi="Garamond"/>
          <w:color w:val="000000" w:themeColor="text1"/>
          <w:sz w:val="20"/>
          <w:szCs w:val="20"/>
        </w:rPr>
        <w:t xml:space="preserve"> &amp; Y. Li (Ed.), </w:t>
      </w:r>
      <w:proofErr w:type="gramStart"/>
      <w:r w:rsidRPr="00CF1646">
        <w:rPr>
          <w:rFonts w:ascii="Garamond" w:hAnsi="Garamond"/>
          <w:i/>
          <w:color w:val="000000" w:themeColor="text1"/>
          <w:sz w:val="20"/>
          <w:szCs w:val="20"/>
        </w:rPr>
        <w:t>The</w:t>
      </w:r>
      <w:proofErr w:type="gramEnd"/>
      <w:r w:rsidRPr="00CF1646">
        <w:rPr>
          <w:rFonts w:ascii="Garamond" w:hAnsi="Garamond"/>
          <w:i/>
          <w:color w:val="000000" w:themeColor="text1"/>
          <w:sz w:val="20"/>
          <w:szCs w:val="20"/>
        </w:rPr>
        <w:t xml:space="preserve"> London Olympics and Urban Development</w:t>
      </w:r>
      <w:r w:rsidRPr="00CF1646">
        <w:rPr>
          <w:rFonts w:ascii="Garamond" w:hAnsi="Garamond"/>
          <w:color w:val="000000" w:themeColor="text1"/>
          <w:sz w:val="20"/>
          <w:szCs w:val="20"/>
        </w:rPr>
        <w:t xml:space="preserve"> </w:t>
      </w:r>
      <w:r w:rsidRPr="00CF1646">
        <w:rPr>
          <w:rFonts w:ascii="Garamond" w:eastAsia="Georgia" w:hAnsi="Garamond" w:cs="Georgia"/>
          <w:sz w:val="20"/>
          <w:szCs w:val="20"/>
        </w:rPr>
        <w:t xml:space="preserve">(pp. </w:t>
      </w:r>
      <w:r w:rsidRPr="00CF1646">
        <w:rPr>
          <w:rFonts w:ascii="Garamond" w:hAnsi="Garamond"/>
          <w:sz w:val="20"/>
          <w:szCs w:val="20"/>
        </w:rPr>
        <w:t>176-193</w:t>
      </w:r>
      <w:r w:rsidRPr="00CF1646">
        <w:rPr>
          <w:rFonts w:ascii="Garamond" w:eastAsia="Georgia" w:hAnsi="Garamond" w:cs="Georgia"/>
          <w:sz w:val="20"/>
          <w:szCs w:val="20"/>
        </w:rPr>
        <w:t>).</w:t>
      </w:r>
      <w:r w:rsidRPr="00CF1646">
        <w:rPr>
          <w:rFonts w:ascii="Garamond" w:hAnsi="Garamond"/>
          <w:color w:val="000000" w:themeColor="text1"/>
          <w:sz w:val="20"/>
          <w:szCs w:val="20"/>
        </w:rPr>
        <w:t xml:space="preserve"> Abingdon: Routledge.</w:t>
      </w:r>
    </w:p>
    <w:p w:rsidR="005B53CF" w:rsidRPr="00CF1646" w:rsidRDefault="005B53CF" w:rsidP="005B53CF">
      <w:pPr>
        <w:spacing w:line="480" w:lineRule="auto"/>
        <w:jc w:val="both"/>
        <w:rPr>
          <w:rFonts w:ascii="Garamond" w:hAnsi="Garamond"/>
          <w:color w:val="000000" w:themeColor="text1"/>
          <w:sz w:val="20"/>
          <w:szCs w:val="20"/>
        </w:rPr>
      </w:pPr>
      <w:proofErr w:type="spellStart"/>
      <w:r w:rsidRPr="00CF1646">
        <w:rPr>
          <w:rFonts w:ascii="Garamond" w:eastAsia="Georgia" w:hAnsi="Garamond" w:cs="Georgia"/>
          <w:sz w:val="20"/>
          <w:szCs w:val="20"/>
        </w:rPr>
        <w:t>Voase</w:t>
      </w:r>
      <w:proofErr w:type="spellEnd"/>
      <w:r w:rsidRPr="00CF1646">
        <w:rPr>
          <w:rFonts w:ascii="Garamond" w:eastAsia="Georgia" w:hAnsi="Garamond" w:cs="Georgia"/>
          <w:sz w:val="20"/>
          <w:szCs w:val="20"/>
        </w:rPr>
        <w:t xml:space="preserve">, R. (2018). Holidays under the hegemony of hyper-connectivity: getting away, but unable to escape? </w:t>
      </w:r>
      <w:proofErr w:type="gramStart"/>
      <w:r w:rsidRPr="00CF1646">
        <w:rPr>
          <w:rFonts w:ascii="Garamond" w:eastAsia="Georgia" w:hAnsi="Garamond" w:cs="Georgia"/>
          <w:i/>
          <w:sz w:val="20"/>
          <w:szCs w:val="20"/>
        </w:rPr>
        <w:t>Leisure Studies</w:t>
      </w:r>
      <w:r w:rsidRPr="00CF1646">
        <w:rPr>
          <w:rFonts w:ascii="Garamond" w:eastAsia="Georgia" w:hAnsi="Garamond" w:cs="Georgia"/>
          <w:sz w:val="20"/>
          <w:szCs w:val="20"/>
        </w:rPr>
        <w:t>.</w:t>
      </w:r>
      <w:proofErr w:type="gramEnd"/>
      <w:r w:rsidRPr="00CF1646">
        <w:rPr>
          <w:rFonts w:ascii="Garamond" w:eastAsia="Georgia" w:hAnsi="Garamond" w:cs="Georgia"/>
          <w:sz w:val="20"/>
          <w:szCs w:val="20"/>
        </w:rPr>
        <w:t xml:space="preserve"> 37(4), 384-395.</w:t>
      </w:r>
    </w:p>
    <w:p w:rsidR="005B53CF" w:rsidRPr="00CF1646" w:rsidRDefault="005B53CF" w:rsidP="005B53CF">
      <w:pPr>
        <w:pStyle w:val="Normal1"/>
        <w:spacing w:line="480" w:lineRule="auto"/>
        <w:rPr>
          <w:rFonts w:ascii="Garamond" w:eastAsia="Georgia" w:hAnsi="Garamond" w:cs="Georgia"/>
          <w:sz w:val="20"/>
          <w:szCs w:val="20"/>
        </w:rPr>
      </w:pPr>
      <w:proofErr w:type="spellStart"/>
      <w:r w:rsidRPr="005B53CF">
        <w:rPr>
          <w:rFonts w:ascii="Garamond" w:eastAsia="Georgia" w:hAnsi="Garamond" w:cs="Georgia"/>
          <w:sz w:val="20"/>
          <w:szCs w:val="20"/>
          <w:lang w:val="de-DE"/>
        </w:rPr>
        <w:t>Yarnal</w:t>
      </w:r>
      <w:proofErr w:type="spellEnd"/>
      <w:r w:rsidRPr="005B53CF">
        <w:rPr>
          <w:rFonts w:ascii="Garamond" w:eastAsia="Georgia" w:hAnsi="Garamond" w:cs="Georgia"/>
          <w:sz w:val="20"/>
          <w:szCs w:val="20"/>
          <w:lang w:val="de-DE"/>
        </w:rPr>
        <w:t xml:space="preserve">, C. M., &amp; </w:t>
      </w:r>
      <w:proofErr w:type="spellStart"/>
      <w:r w:rsidRPr="005B53CF">
        <w:rPr>
          <w:rFonts w:ascii="Garamond" w:eastAsia="Georgia" w:hAnsi="Garamond" w:cs="Georgia"/>
          <w:sz w:val="20"/>
          <w:szCs w:val="20"/>
          <w:lang w:val="de-DE"/>
        </w:rPr>
        <w:t>Kerstetter</w:t>
      </w:r>
      <w:proofErr w:type="spellEnd"/>
      <w:r w:rsidRPr="005B53CF">
        <w:rPr>
          <w:rFonts w:ascii="Garamond" w:eastAsia="Georgia" w:hAnsi="Garamond" w:cs="Georgia"/>
          <w:sz w:val="20"/>
          <w:szCs w:val="20"/>
          <w:lang w:val="de-DE"/>
        </w:rPr>
        <w:t xml:space="preserve">, D. (2005). </w:t>
      </w:r>
      <w:proofErr w:type="gramStart"/>
      <w:r w:rsidRPr="00CF1646">
        <w:rPr>
          <w:rFonts w:ascii="Garamond" w:eastAsia="Georgia" w:hAnsi="Garamond" w:cs="Georgia"/>
          <w:sz w:val="20"/>
          <w:szCs w:val="20"/>
        </w:rPr>
        <w:t xml:space="preserve">Casting Off: An Exploration of Cruise Ship Space, Group Tour </w:t>
      </w:r>
      <w:proofErr w:type="spellStart"/>
      <w:r w:rsidRPr="00CF1646">
        <w:rPr>
          <w:rFonts w:ascii="Garamond" w:eastAsia="Georgia" w:hAnsi="Garamond" w:cs="Georgia"/>
          <w:sz w:val="20"/>
          <w:szCs w:val="20"/>
        </w:rPr>
        <w:t>Behavior</w:t>
      </w:r>
      <w:proofErr w:type="spellEnd"/>
      <w:r w:rsidRPr="00CF1646">
        <w:rPr>
          <w:rFonts w:ascii="Garamond" w:eastAsia="Georgia" w:hAnsi="Garamond" w:cs="Georgia"/>
          <w:sz w:val="20"/>
          <w:szCs w:val="20"/>
        </w:rPr>
        <w:t>, and Social Interaction.</w:t>
      </w:r>
      <w:proofErr w:type="gramEnd"/>
      <w:r w:rsidRPr="00CF1646">
        <w:rPr>
          <w:rFonts w:ascii="Garamond" w:eastAsia="Georgia" w:hAnsi="Garamond" w:cs="Georgia"/>
          <w:sz w:val="20"/>
          <w:szCs w:val="20"/>
        </w:rPr>
        <w:t xml:space="preserve"> </w:t>
      </w:r>
      <w:r w:rsidRPr="00CF1646">
        <w:rPr>
          <w:rFonts w:ascii="Garamond" w:eastAsia="Georgia" w:hAnsi="Garamond" w:cs="Georgia"/>
          <w:i/>
          <w:sz w:val="20"/>
          <w:szCs w:val="20"/>
        </w:rPr>
        <w:t>Journal of Travel Research</w:t>
      </w:r>
      <w:r w:rsidRPr="00CF1646">
        <w:rPr>
          <w:rFonts w:ascii="Garamond" w:eastAsia="Georgia" w:hAnsi="Garamond" w:cs="Georgia"/>
          <w:sz w:val="20"/>
          <w:szCs w:val="20"/>
        </w:rPr>
        <w:t>, 43(4), 368-379.</w:t>
      </w:r>
    </w:p>
    <w:p w:rsidR="005B53CF" w:rsidRPr="00CF1646" w:rsidRDefault="005B53CF" w:rsidP="005B53CF">
      <w:pPr>
        <w:pStyle w:val="Normal1"/>
        <w:spacing w:line="480" w:lineRule="auto"/>
        <w:rPr>
          <w:rFonts w:ascii="Garamond" w:eastAsia="Georgia" w:hAnsi="Garamond" w:cs="Georgia"/>
          <w:sz w:val="20"/>
          <w:szCs w:val="20"/>
        </w:rPr>
      </w:pPr>
      <w:proofErr w:type="spellStart"/>
      <w:proofErr w:type="gramStart"/>
      <w:r w:rsidRPr="00CF1646">
        <w:rPr>
          <w:rFonts w:ascii="Garamond" w:eastAsia="Georgia" w:hAnsi="Garamond" w:cs="Georgia"/>
          <w:sz w:val="20"/>
          <w:szCs w:val="20"/>
        </w:rPr>
        <w:t>Ziakas</w:t>
      </w:r>
      <w:proofErr w:type="spellEnd"/>
      <w:r w:rsidRPr="00CF1646">
        <w:rPr>
          <w:rFonts w:ascii="Garamond" w:eastAsia="Georgia" w:hAnsi="Garamond" w:cs="Georgia"/>
          <w:sz w:val="20"/>
          <w:szCs w:val="20"/>
        </w:rPr>
        <w:t>, V. (2016).</w:t>
      </w:r>
      <w:proofErr w:type="gramEnd"/>
      <w:r w:rsidRPr="00CF1646">
        <w:rPr>
          <w:rFonts w:ascii="Garamond" w:eastAsia="Georgia" w:hAnsi="Garamond" w:cs="Georgia"/>
          <w:sz w:val="20"/>
          <w:szCs w:val="20"/>
        </w:rPr>
        <w:t xml:space="preserve"> </w:t>
      </w:r>
      <w:proofErr w:type="gramStart"/>
      <w:r w:rsidRPr="00CF1646">
        <w:rPr>
          <w:rFonts w:ascii="Garamond" w:eastAsia="Georgia" w:hAnsi="Garamond" w:cs="Georgia"/>
          <w:sz w:val="20"/>
          <w:szCs w:val="20"/>
        </w:rPr>
        <w:t>Fostering the social utility of events: an integrative framework for the strategic use of events in community development.</w:t>
      </w:r>
      <w:proofErr w:type="gramEnd"/>
      <w:r w:rsidRPr="00CF1646">
        <w:rPr>
          <w:rFonts w:ascii="Garamond" w:eastAsia="Georgia" w:hAnsi="Garamond" w:cs="Georgia"/>
          <w:sz w:val="20"/>
          <w:szCs w:val="20"/>
        </w:rPr>
        <w:t xml:space="preserve"> </w:t>
      </w:r>
      <w:r w:rsidRPr="00CF1646">
        <w:rPr>
          <w:rFonts w:ascii="Garamond" w:eastAsia="Georgia" w:hAnsi="Garamond" w:cs="Georgia"/>
          <w:i/>
          <w:sz w:val="20"/>
          <w:szCs w:val="20"/>
        </w:rPr>
        <w:t>Current Issues in Tourism</w:t>
      </w:r>
      <w:r w:rsidRPr="00CF1646">
        <w:rPr>
          <w:rFonts w:ascii="Garamond" w:eastAsia="Georgia" w:hAnsi="Garamond" w:cs="Georgia"/>
          <w:sz w:val="20"/>
          <w:szCs w:val="20"/>
        </w:rPr>
        <w:t>, 19(11), 1136-1157.</w:t>
      </w:r>
    </w:p>
    <w:p w:rsidR="005B53CF" w:rsidRPr="00CF1646" w:rsidRDefault="005B53CF" w:rsidP="005B53CF">
      <w:pPr>
        <w:pStyle w:val="Normal1"/>
        <w:spacing w:line="480" w:lineRule="auto"/>
        <w:rPr>
          <w:rFonts w:ascii="Garamond" w:eastAsia="Georgia" w:hAnsi="Garamond" w:cs="Georgia"/>
          <w:sz w:val="20"/>
          <w:szCs w:val="20"/>
        </w:rPr>
      </w:pPr>
      <w:proofErr w:type="spellStart"/>
      <w:proofErr w:type="gramStart"/>
      <w:r w:rsidRPr="00CF1646">
        <w:rPr>
          <w:rFonts w:ascii="Garamond" w:eastAsia="Georgia" w:hAnsi="Garamond" w:cs="Georgia"/>
          <w:sz w:val="20"/>
          <w:szCs w:val="20"/>
        </w:rPr>
        <w:t>Ziakas</w:t>
      </w:r>
      <w:proofErr w:type="spellEnd"/>
      <w:r w:rsidRPr="00CF1646">
        <w:rPr>
          <w:rFonts w:ascii="Garamond" w:eastAsia="Georgia" w:hAnsi="Garamond" w:cs="Georgia"/>
          <w:sz w:val="20"/>
          <w:szCs w:val="20"/>
        </w:rPr>
        <w:t xml:space="preserve">, V., &amp; </w:t>
      </w:r>
      <w:proofErr w:type="spellStart"/>
      <w:r w:rsidRPr="00CF1646">
        <w:rPr>
          <w:rFonts w:ascii="Garamond" w:eastAsia="Georgia" w:hAnsi="Garamond" w:cs="Georgia"/>
          <w:sz w:val="20"/>
          <w:szCs w:val="20"/>
        </w:rPr>
        <w:t>Boukas</w:t>
      </w:r>
      <w:proofErr w:type="spellEnd"/>
      <w:r w:rsidRPr="00CF1646">
        <w:rPr>
          <w:rFonts w:ascii="Garamond" w:eastAsia="Georgia" w:hAnsi="Garamond" w:cs="Georgia"/>
          <w:sz w:val="20"/>
          <w:szCs w:val="20"/>
        </w:rPr>
        <w:t>, N. (2013).</w:t>
      </w:r>
      <w:proofErr w:type="gramEnd"/>
      <w:r w:rsidRPr="00CF1646">
        <w:rPr>
          <w:rFonts w:ascii="Garamond" w:eastAsia="Georgia" w:hAnsi="Garamond" w:cs="Georgia"/>
          <w:sz w:val="20"/>
          <w:szCs w:val="20"/>
        </w:rPr>
        <w:t xml:space="preserve"> </w:t>
      </w:r>
      <w:proofErr w:type="gramStart"/>
      <w:r w:rsidRPr="00CF1646">
        <w:rPr>
          <w:rFonts w:ascii="Garamond" w:eastAsia="Georgia" w:hAnsi="Garamond" w:cs="Georgia"/>
          <w:sz w:val="20"/>
          <w:szCs w:val="20"/>
        </w:rPr>
        <w:t>Extra</w:t>
      </w:r>
      <w:bookmarkStart w:id="0" w:name="_GoBack"/>
      <w:bookmarkEnd w:id="0"/>
      <w:r w:rsidRPr="00CF1646">
        <w:rPr>
          <w:rFonts w:ascii="Garamond" w:eastAsia="Georgia" w:hAnsi="Garamond" w:cs="Georgia"/>
          <w:sz w:val="20"/>
          <w:szCs w:val="20"/>
        </w:rPr>
        <w:t>cting meanings of event tourist experiences: A phenomenological exploration of Limassol carnival.</w:t>
      </w:r>
      <w:proofErr w:type="gramEnd"/>
      <w:r w:rsidRPr="00CF1646">
        <w:rPr>
          <w:rFonts w:ascii="Garamond" w:eastAsia="Georgia" w:hAnsi="Garamond" w:cs="Georgia"/>
          <w:sz w:val="20"/>
          <w:szCs w:val="20"/>
        </w:rPr>
        <w:t xml:space="preserve"> </w:t>
      </w:r>
      <w:r w:rsidRPr="00CF1646">
        <w:rPr>
          <w:rFonts w:ascii="Garamond" w:eastAsia="Georgia" w:hAnsi="Garamond" w:cs="Georgia"/>
          <w:i/>
          <w:sz w:val="20"/>
          <w:szCs w:val="20"/>
        </w:rPr>
        <w:t>Journal of Destination Marketing and Management</w:t>
      </w:r>
      <w:r w:rsidRPr="00CF1646">
        <w:rPr>
          <w:rFonts w:ascii="Garamond" w:eastAsia="Georgia" w:hAnsi="Garamond" w:cs="Georgia"/>
          <w:sz w:val="20"/>
          <w:szCs w:val="20"/>
        </w:rPr>
        <w:t>, 2(2), 94-107.</w:t>
      </w:r>
    </w:p>
    <w:p w:rsidR="005B53CF" w:rsidRDefault="005B53CF" w:rsidP="005B53CF">
      <w:pPr>
        <w:pStyle w:val="Normal1"/>
        <w:spacing w:line="480" w:lineRule="auto"/>
        <w:rPr>
          <w:rFonts w:ascii="Garamond" w:eastAsia="Georgia" w:hAnsi="Garamond" w:cs="Georgia"/>
          <w:sz w:val="20"/>
          <w:szCs w:val="20"/>
        </w:rPr>
      </w:pPr>
      <w:r w:rsidRPr="00CF1646">
        <w:rPr>
          <w:rFonts w:ascii="Garamond" w:eastAsia="Georgia" w:hAnsi="Garamond" w:cs="Georgia"/>
          <w:sz w:val="20"/>
          <w:szCs w:val="20"/>
        </w:rPr>
        <w:t xml:space="preserve">Zimbalist, A. (2015). </w:t>
      </w:r>
      <w:r w:rsidRPr="00CF1646">
        <w:rPr>
          <w:rFonts w:ascii="Garamond" w:eastAsia="Georgia" w:hAnsi="Garamond" w:cs="Georgia"/>
          <w:i/>
          <w:sz w:val="20"/>
          <w:szCs w:val="20"/>
        </w:rPr>
        <w:t xml:space="preserve">Circus Maximus: The Economic Gamble </w:t>
      </w:r>
      <w:proofErr w:type="gramStart"/>
      <w:r w:rsidRPr="00CF1646">
        <w:rPr>
          <w:rFonts w:ascii="Garamond" w:eastAsia="Georgia" w:hAnsi="Garamond" w:cs="Georgia"/>
          <w:i/>
          <w:sz w:val="20"/>
          <w:szCs w:val="20"/>
        </w:rPr>
        <w:t>Behind</w:t>
      </w:r>
      <w:proofErr w:type="gramEnd"/>
      <w:r w:rsidRPr="00CF1646">
        <w:rPr>
          <w:rFonts w:ascii="Garamond" w:eastAsia="Georgia" w:hAnsi="Garamond" w:cs="Georgia"/>
          <w:i/>
          <w:sz w:val="20"/>
          <w:szCs w:val="20"/>
        </w:rPr>
        <w:t xml:space="preserve"> Hosting the Olympics and the World Cup</w:t>
      </w:r>
      <w:r w:rsidRPr="00CF1646">
        <w:rPr>
          <w:rFonts w:ascii="Garamond" w:eastAsia="Georgia" w:hAnsi="Garamond" w:cs="Georgia"/>
          <w:sz w:val="20"/>
          <w:szCs w:val="20"/>
        </w:rPr>
        <w:t>. Washington: Brookings Institution Press.</w:t>
      </w:r>
    </w:p>
    <w:p w:rsidR="00E60F6D" w:rsidRPr="00CF1646" w:rsidRDefault="00E60F6D" w:rsidP="005B53CF">
      <w:pPr>
        <w:pStyle w:val="Normal1"/>
        <w:spacing w:line="480" w:lineRule="auto"/>
        <w:rPr>
          <w:rFonts w:ascii="Garamond" w:eastAsia="Georgia" w:hAnsi="Garamond" w:cs="Georgia"/>
          <w:sz w:val="20"/>
          <w:szCs w:val="20"/>
        </w:rPr>
      </w:pPr>
      <w:r w:rsidRPr="00E60F6D">
        <w:rPr>
          <w:rFonts w:ascii="Garamond" w:eastAsia="Georgia" w:hAnsi="Garamond" w:cs="Georgia"/>
          <w:sz w:val="20"/>
          <w:szCs w:val="20"/>
        </w:rPr>
        <w:t xml:space="preserve">Zimbalist, A., (2017). </w:t>
      </w:r>
      <w:r w:rsidRPr="00E60F6D">
        <w:rPr>
          <w:rFonts w:ascii="Garamond" w:eastAsia="Georgia" w:hAnsi="Garamond" w:cs="Georgia"/>
          <w:i/>
          <w:sz w:val="20"/>
          <w:szCs w:val="20"/>
        </w:rPr>
        <w:t>Rio 2016: Olympic Myths, Hard Realities</w:t>
      </w:r>
      <w:r w:rsidRPr="00E60F6D">
        <w:rPr>
          <w:rFonts w:ascii="Garamond" w:eastAsia="Georgia" w:hAnsi="Garamond" w:cs="Georgia"/>
          <w:sz w:val="20"/>
          <w:szCs w:val="20"/>
        </w:rPr>
        <w:t>. Washington: Brookings Institution Press.</w:t>
      </w:r>
    </w:p>
    <w:p w:rsidR="005B53CF" w:rsidRPr="00CF1646" w:rsidRDefault="005B53CF" w:rsidP="005B53CF">
      <w:pPr>
        <w:pStyle w:val="Normal1"/>
        <w:spacing w:line="480" w:lineRule="auto"/>
        <w:rPr>
          <w:rFonts w:ascii="Garamond" w:eastAsia="Georgia" w:hAnsi="Garamond" w:cs="Georgia"/>
          <w:sz w:val="20"/>
          <w:szCs w:val="20"/>
        </w:rPr>
      </w:pPr>
      <w:proofErr w:type="spellStart"/>
      <w:proofErr w:type="gramStart"/>
      <w:r w:rsidRPr="00CF1646">
        <w:rPr>
          <w:rFonts w:ascii="Garamond" w:eastAsia="Georgia" w:hAnsi="Garamond" w:cs="Georgia"/>
          <w:sz w:val="20"/>
          <w:szCs w:val="20"/>
        </w:rPr>
        <w:t>Zizek</w:t>
      </w:r>
      <w:proofErr w:type="spellEnd"/>
      <w:r w:rsidRPr="00CF1646">
        <w:rPr>
          <w:rFonts w:ascii="Garamond" w:eastAsia="Georgia" w:hAnsi="Garamond" w:cs="Georgia"/>
          <w:sz w:val="20"/>
          <w:szCs w:val="20"/>
        </w:rPr>
        <w:t>, S. (2008).</w:t>
      </w:r>
      <w:proofErr w:type="gramEnd"/>
      <w:r w:rsidRPr="00CF1646">
        <w:rPr>
          <w:rFonts w:ascii="Garamond" w:eastAsia="Georgia" w:hAnsi="Garamond" w:cs="Georgia"/>
          <w:sz w:val="20"/>
          <w:szCs w:val="20"/>
        </w:rPr>
        <w:t xml:space="preserve"> </w:t>
      </w:r>
      <w:r w:rsidRPr="00CF1646">
        <w:rPr>
          <w:rFonts w:ascii="Garamond" w:eastAsia="Georgia" w:hAnsi="Garamond" w:cs="Georgia"/>
          <w:i/>
          <w:sz w:val="20"/>
          <w:szCs w:val="20"/>
        </w:rPr>
        <w:t>Violence: six sideways reflections</w:t>
      </w:r>
      <w:r w:rsidRPr="00CF1646">
        <w:rPr>
          <w:rFonts w:ascii="Garamond" w:eastAsia="Georgia" w:hAnsi="Garamond" w:cs="Georgia"/>
          <w:sz w:val="20"/>
          <w:szCs w:val="20"/>
        </w:rPr>
        <w:t>. London: Profile Books.</w:t>
      </w:r>
    </w:p>
    <w:p w:rsidR="005B53CF" w:rsidRPr="00CF1646" w:rsidRDefault="005B53CF" w:rsidP="005B53CF">
      <w:pPr>
        <w:pStyle w:val="Normal1"/>
        <w:spacing w:line="480" w:lineRule="auto"/>
        <w:rPr>
          <w:rFonts w:ascii="Garamond" w:eastAsia="Georgia" w:hAnsi="Garamond" w:cs="Georgia"/>
          <w:sz w:val="20"/>
          <w:szCs w:val="20"/>
        </w:rPr>
      </w:pPr>
    </w:p>
    <w:p w:rsidR="005B53CF" w:rsidRPr="00CF1646" w:rsidRDefault="005B53CF" w:rsidP="005B53CF">
      <w:pPr>
        <w:spacing w:line="480" w:lineRule="auto"/>
        <w:jc w:val="both"/>
        <w:rPr>
          <w:rFonts w:ascii="Garamond" w:hAnsi="Garamond" w:cs="Arial"/>
          <w:bCs/>
          <w:sz w:val="20"/>
          <w:szCs w:val="20"/>
        </w:rPr>
      </w:pPr>
      <w:r w:rsidRPr="00CF1646">
        <w:rPr>
          <w:rFonts w:ascii="Garamond" w:hAnsi="Garamond" w:cs="Arial"/>
          <w:b/>
          <w:bCs/>
          <w:sz w:val="20"/>
          <w:szCs w:val="20"/>
        </w:rPr>
        <w:lastRenderedPageBreak/>
        <w:t>Figures and Tables</w:t>
      </w:r>
    </w:p>
    <w:p w:rsidR="005B53CF" w:rsidRPr="00CF1646" w:rsidRDefault="005B53CF" w:rsidP="005B53CF">
      <w:pPr>
        <w:spacing w:line="480" w:lineRule="auto"/>
        <w:rPr>
          <w:rFonts w:ascii="Garamond" w:hAnsi="Garamond"/>
          <w:sz w:val="20"/>
          <w:szCs w:val="20"/>
        </w:rPr>
      </w:pPr>
      <w:proofErr w:type="gramStart"/>
      <w:r w:rsidRPr="00CF1646">
        <w:rPr>
          <w:rFonts w:ascii="Garamond" w:hAnsi="Garamond"/>
          <w:b/>
          <w:sz w:val="20"/>
          <w:szCs w:val="20"/>
        </w:rPr>
        <w:t>Figure 1.</w:t>
      </w:r>
      <w:proofErr w:type="gramEnd"/>
      <w:r w:rsidRPr="00CF1646">
        <w:rPr>
          <w:rFonts w:ascii="Garamond" w:hAnsi="Garamond"/>
          <w:b/>
          <w:sz w:val="20"/>
          <w:szCs w:val="20"/>
        </w:rPr>
        <w:t xml:space="preserve"> </w:t>
      </w:r>
      <w:r w:rsidRPr="00CF1646">
        <w:rPr>
          <w:rFonts w:ascii="Garamond" w:hAnsi="Garamond"/>
          <w:sz w:val="20"/>
          <w:szCs w:val="20"/>
        </w:rPr>
        <w:t>Extended ‘Festival-Event-Leverage Complex’ (Adapted from Duignan, Everett, Walsh &amp; Cade, 2017).</w:t>
      </w:r>
    </w:p>
    <w:p w:rsidR="005B53CF" w:rsidRPr="00CF1646" w:rsidRDefault="005B53CF" w:rsidP="005B53CF">
      <w:pPr>
        <w:spacing w:line="480" w:lineRule="auto"/>
        <w:rPr>
          <w:rFonts w:ascii="Garamond" w:hAnsi="Garamond"/>
          <w:sz w:val="20"/>
          <w:szCs w:val="20"/>
        </w:rPr>
      </w:pPr>
    </w:p>
    <w:p w:rsidR="005B53CF" w:rsidRPr="00CF1646" w:rsidRDefault="005B53CF" w:rsidP="005B53CF">
      <w:pPr>
        <w:spacing w:line="480" w:lineRule="auto"/>
        <w:rPr>
          <w:rFonts w:ascii="Garamond" w:hAnsi="Garamond"/>
          <w:sz w:val="20"/>
          <w:szCs w:val="20"/>
        </w:rPr>
        <w:sectPr w:rsidR="005B53CF" w:rsidRPr="00CF1646" w:rsidSect="00260E21">
          <w:footerReference w:type="default" r:id="rId22"/>
          <w:pgSz w:w="11906" w:h="16838"/>
          <w:pgMar w:top="1440" w:right="1797" w:bottom="1440" w:left="1797" w:header="709" w:footer="709" w:gutter="0"/>
          <w:cols w:space="708"/>
          <w:docGrid w:linePitch="360"/>
        </w:sectPr>
      </w:pPr>
    </w:p>
    <w:p w:rsidR="005B53CF" w:rsidRPr="00CF1646" w:rsidRDefault="005B53CF" w:rsidP="005B53CF">
      <w:pPr>
        <w:spacing w:line="480" w:lineRule="auto"/>
        <w:rPr>
          <w:rFonts w:ascii="Garamond" w:hAnsi="Garamond"/>
          <w:sz w:val="20"/>
          <w:szCs w:val="20"/>
        </w:rPr>
      </w:pPr>
      <w:r w:rsidRPr="00CF1646">
        <w:rPr>
          <w:rFonts w:ascii="Garamond" w:hAnsi="Garamond"/>
          <w:noProof/>
          <w:sz w:val="20"/>
          <w:szCs w:val="20"/>
        </w:rPr>
        <w:lastRenderedPageBreak/>
        <mc:AlternateContent>
          <mc:Choice Requires="wps">
            <w:drawing>
              <wp:anchor distT="0" distB="0" distL="114300" distR="114300" simplePos="0" relativeHeight="251670528" behindDoc="0" locked="0" layoutInCell="1" allowOverlap="1" wp14:anchorId="0523413F" wp14:editId="348AC26A">
                <wp:simplePos x="0" y="0"/>
                <wp:positionH relativeFrom="column">
                  <wp:posOffset>3831590</wp:posOffset>
                </wp:positionH>
                <wp:positionV relativeFrom="paragraph">
                  <wp:posOffset>-381635</wp:posOffset>
                </wp:positionV>
                <wp:extent cx="1200150" cy="1114425"/>
                <wp:effectExtent l="12065" t="8890" r="6985" b="1016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11442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B53CF" w:rsidRPr="00263B21" w:rsidRDefault="005B53CF" w:rsidP="005B53CF">
                            <w:pPr>
                              <w:pStyle w:val="NormalWeb"/>
                              <w:spacing w:after="0"/>
                              <w:jc w:val="center"/>
                              <w:rPr>
                                <w:b/>
                              </w:rPr>
                            </w:pPr>
                            <w:r>
                              <w:rPr>
                                <w:rFonts w:ascii="Arial" w:hAnsi="Arial" w:cs="Arial"/>
                                <w:color w:val="000000"/>
                                <w:kern w:val="24"/>
                              </w:rPr>
                              <w:t>Events produce ‘</w:t>
                            </w:r>
                            <w:proofErr w:type="spellStart"/>
                            <w:r>
                              <w:rPr>
                                <w:rFonts w:ascii="Arial" w:hAnsi="Arial" w:cs="Arial"/>
                                <w:color w:val="000000"/>
                                <w:kern w:val="24"/>
                              </w:rPr>
                              <w:t>liminoid</w:t>
                            </w:r>
                            <w:proofErr w:type="spellEnd"/>
                            <w:r>
                              <w:rPr>
                                <w:rFonts w:ascii="Arial" w:hAnsi="Arial" w:cs="Arial"/>
                                <w:color w:val="000000"/>
                                <w:kern w:val="24"/>
                              </w:rPr>
                              <w:t>’</w:t>
                            </w:r>
                            <w:r w:rsidRPr="001646C1">
                              <w:rPr>
                                <w:rFonts w:ascii="Arial" w:hAnsi="Arial" w:cs="Arial"/>
                                <w:color w:val="000000"/>
                                <w:kern w:val="24"/>
                              </w:rPr>
                              <w:t xml:space="preserve"> spaces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01.7pt;margin-top:-30.05pt;width:94.5pt;height:8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" filled="f" strokecolor="black [3213]" strokeweight="1pt">
                <v:textbox>
                  <w:txbxContent>
                    <w:p w:rsidR="005B53CF" w:rsidRPr="00263B21" w:rsidRDefault="005B53CF" w:rsidP="005B53CF">
                      <w:pPr>
                        <w:pStyle w:val="NormalWeb"/>
                        <w:spacing w:after="0"/>
                        <w:jc w:val="center"/>
                        <w:rPr>
                          <w:b/>
                        </w:rPr>
                      </w:pPr>
                      <w:r>
                        <w:rPr>
                          <w:rFonts w:ascii="Arial" w:hAnsi="Arial" w:cs="Arial"/>
                          <w:color w:val="000000"/>
                          <w:kern w:val="24"/>
                        </w:rPr>
                        <w:t>Events produce ‘</w:t>
                      </w:r>
                      <w:proofErr w:type="spellStart"/>
                      <w:r>
                        <w:rPr>
                          <w:rFonts w:ascii="Arial" w:hAnsi="Arial" w:cs="Arial"/>
                          <w:color w:val="000000"/>
                          <w:kern w:val="24"/>
                        </w:rPr>
                        <w:t>liminoid</w:t>
                      </w:r>
                      <w:proofErr w:type="spellEnd"/>
                      <w:r>
                        <w:rPr>
                          <w:rFonts w:ascii="Arial" w:hAnsi="Arial" w:cs="Arial"/>
                          <w:color w:val="000000"/>
                          <w:kern w:val="24"/>
                        </w:rPr>
                        <w:t>’</w:t>
                      </w:r>
                      <w:r w:rsidRPr="001646C1">
                        <w:rPr>
                          <w:rFonts w:ascii="Arial" w:hAnsi="Arial" w:cs="Arial"/>
                          <w:color w:val="000000"/>
                          <w:kern w:val="24"/>
                        </w:rPr>
                        <w:t xml:space="preserve"> spaces</w:t>
                      </w:r>
                    </w:p>
                  </w:txbxContent>
                </v:textbox>
              </v:rect>
            </w:pict>
          </mc:Fallback>
        </mc:AlternateContent>
      </w:r>
      <w:r w:rsidRPr="00CF1646">
        <w:rPr>
          <w:rFonts w:ascii="Garamond" w:hAnsi="Garamond"/>
          <w:noProof/>
          <w:sz w:val="20"/>
          <w:szCs w:val="20"/>
        </w:rPr>
        <mc:AlternateContent>
          <mc:Choice Requires="wps">
            <w:drawing>
              <wp:anchor distT="0" distB="0" distL="114300" distR="114300" simplePos="0" relativeHeight="251662336" behindDoc="0" locked="0" layoutInCell="1" allowOverlap="1" wp14:anchorId="4A511CA5" wp14:editId="24C4D25D">
                <wp:simplePos x="0" y="0"/>
                <wp:positionH relativeFrom="column">
                  <wp:posOffset>977265</wp:posOffset>
                </wp:positionH>
                <wp:positionV relativeFrom="paragraph">
                  <wp:posOffset>-381635</wp:posOffset>
                </wp:positionV>
                <wp:extent cx="2166620" cy="2105025"/>
                <wp:effectExtent l="15240" t="8890" r="8890" b="10160"/>
                <wp:wrapNone/>
                <wp:docPr id="15"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6620" cy="2105025"/>
                        </a:xfrm>
                        <a:prstGeom prst="ellipse">
                          <a:avLst/>
                        </a:prstGeom>
                        <a:solidFill>
                          <a:schemeClr val="bg1">
                            <a:lumMod val="100000"/>
                            <a:lumOff val="0"/>
                          </a:schemeClr>
                        </a:solidFill>
                        <a:ln w="12700">
                          <a:solidFill>
                            <a:schemeClr val="tx1">
                              <a:lumMod val="100000"/>
                              <a:lumOff val="0"/>
                            </a:schemeClr>
                          </a:solidFill>
                          <a:miter lim="800000"/>
                          <a:headEnd/>
                          <a:tailEnd/>
                        </a:ln>
                      </wps:spPr>
                      <wps:txbx>
                        <w:txbxContent>
                          <w:p w:rsidR="005B53CF" w:rsidRPr="00D55F1D" w:rsidRDefault="005B53CF" w:rsidP="005B53CF">
                            <w:pPr>
                              <w:pStyle w:val="NormalWeb"/>
                              <w:spacing w:after="0"/>
                              <w:jc w:val="center"/>
                              <w:rPr>
                                <w:color w:val="000000" w:themeColor="text1"/>
                                <w:sz w:val="48"/>
                                <w:szCs w:val="48"/>
                              </w:rPr>
                            </w:pPr>
                            <w:r>
                              <w:rPr>
                                <w:rFonts w:ascii="Arial" w:hAnsi="Arial" w:cs="Arial"/>
                                <w:color w:val="000000" w:themeColor="text1"/>
                                <w:kern w:val="24"/>
                                <w:sz w:val="48"/>
                                <w:szCs w:val="48"/>
                              </w:rPr>
                              <w:t>Giga-event</w:t>
                            </w:r>
                          </w:p>
                          <w:p w:rsidR="005B53CF" w:rsidRPr="00D55F1D" w:rsidRDefault="005B53CF" w:rsidP="005B53CF">
                            <w:pPr>
                              <w:pStyle w:val="NormalWeb"/>
                              <w:spacing w:after="0"/>
                              <w:jc w:val="center"/>
                              <w:rPr>
                                <w:rFonts w:ascii="Arial" w:hAnsi="Arial" w:cs="Arial"/>
                                <w:color w:val="000000" w:themeColor="text1"/>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7" style="position:absolute;margin-left:76.95pt;margin-top:-30.05pt;width:170.6pt;height:1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" fillcolor="white [3212]" strokecolor="black [3213]" strokeweight="1pt">
                <v:stroke joinstyle="miter"/>
                <v:textbox>
                  <w:txbxContent>
                    <w:p w:rsidR="005B53CF" w:rsidRPr="00D55F1D" w:rsidRDefault="005B53CF" w:rsidP="005B53CF">
                      <w:pPr>
                        <w:pStyle w:val="NormalWeb"/>
                        <w:spacing w:after="0"/>
                        <w:jc w:val="center"/>
                        <w:rPr>
                          <w:color w:val="000000" w:themeColor="text1"/>
                          <w:sz w:val="48"/>
                          <w:szCs w:val="48"/>
                        </w:rPr>
                      </w:pPr>
                      <w:r>
                        <w:rPr>
                          <w:rFonts w:ascii="Arial" w:hAnsi="Arial" w:cs="Arial"/>
                          <w:color w:val="000000" w:themeColor="text1"/>
                          <w:kern w:val="24"/>
                          <w:sz w:val="48"/>
                          <w:szCs w:val="48"/>
                        </w:rPr>
                        <w:t>Giga-event</w:t>
                      </w:r>
                    </w:p>
                    <w:p w:rsidR="005B53CF" w:rsidRPr="00D55F1D" w:rsidRDefault="005B53CF" w:rsidP="005B53CF">
                      <w:pPr>
                        <w:pStyle w:val="NormalWeb"/>
                        <w:spacing w:after="0"/>
                        <w:jc w:val="center"/>
                        <w:rPr>
                          <w:rFonts w:ascii="Arial" w:hAnsi="Arial" w:cs="Arial"/>
                          <w:color w:val="000000" w:themeColor="text1"/>
                          <w:sz w:val="20"/>
                          <w:szCs w:val="20"/>
                        </w:rPr>
                      </w:pPr>
                    </w:p>
                  </w:txbxContent>
                </v:textbox>
              </v:oval>
            </w:pict>
          </mc:Fallback>
        </mc:AlternateContent>
      </w:r>
      <w:r w:rsidRPr="00CF1646">
        <w:rPr>
          <w:rFonts w:ascii="Garamond" w:hAnsi="Garamond"/>
          <w:noProof/>
          <w:sz w:val="20"/>
          <w:szCs w:val="20"/>
        </w:rPr>
        <mc:AlternateContent>
          <mc:Choice Requires="wps">
            <w:drawing>
              <wp:anchor distT="0" distB="0" distL="114300" distR="114300" simplePos="0" relativeHeight="251661312" behindDoc="0" locked="0" layoutInCell="1" allowOverlap="1" wp14:anchorId="2DC70D42" wp14:editId="48545DCA">
                <wp:simplePos x="0" y="0"/>
                <wp:positionH relativeFrom="column">
                  <wp:posOffset>5674360</wp:posOffset>
                </wp:positionH>
                <wp:positionV relativeFrom="paragraph">
                  <wp:posOffset>-381635</wp:posOffset>
                </wp:positionV>
                <wp:extent cx="2253615" cy="2105025"/>
                <wp:effectExtent l="6985" t="8890" r="6350" b="10160"/>
                <wp:wrapNone/>
                <wp:docPr id="1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3615" cy="2105025"/>
                        </a:xfrm>
                        <a:prstGeom prst="ellipse">
                          <a:avLst/>
                        </a:prstGeom>
                        <a:solidFill>
                          <a:schemeClr val="bg1">
                            <a:lumMod val="100000"/>
                            <a:lumOff val="0"/>
                          </a:schemeClr>
                        </a:solidFill>
                        <a:ln w="12700">
                          <a:solidFill>
                            <a:schemeClr val="tx1">
                              <a:lumMod val="100000"/>
                              <a:lumOff val="0"/>
                            </a:schemeClr>
                          </a:solidFill>
                          <a:miter lim="800000"/>
                          <a:headEnd/>
                          <a:tailEnd/>
                        </a:ln>
                      </wps:spPr>
                      <wps:txbx>
                        <w:txbxContent>
                          <w:p w:rsidR="005B53CF" w:rsidRPr="00D55F1D" w:rsidRDefault="005B53CF" w:rsidP="005B53CF">
                            <w:pPr>
                              <w:pStyle w:val="NormalWeb"/>
                              <w:spacing w:after="0"/>
                              <w:jc w:val="center"/>
                              <w:rPr>
                                <w:color w:val="000000" w:themeColor="text1"/>
                                <w:sz w:val="40"/>
                                <w:szCs w:val="40"/>
                              </w:rPr>
                            </w:pPr>
                            <w:r>
                              <w:rPr>
                                <w:rFonts w:ascii="Arial" w:hAnsi="Arial" w:cs="Arial"/>
                                <w:color w:val="000000" w:themeColor="text1"/>
                                <w:kern w:val="24"/>
                                <w:sz w:val="40"/>
                                <w:szCs w:val="40"/>
                              </w:rPr>
                              <w:t>Physical and digital connections</w:t>
                            </w:r>
                          </w:p>
                          <w:p w:rsidR="005B53CF" w:rsidRPr="00224741" w:rsidRDefault="005B53CF" w:rsidP="005B53CF">
                            <w:pPr>
                              <w:pStyle w:val="NormalWeb"/>
                              <w:spacing w:after="0"/>
                              <w:jc w:val="center"/>
                              <w:rPr>
                                <w:rFonts w:ascii="Arial" w:hAnsi="Arial" w:cs="Arial"/>
                                <w:color w:val="000000" w:themeColor="text1"/>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8" style="position:absolute;margin-left:446.8pt;margin-top:-30.05pt;width:177.45pt;height:16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" fillcolor="white [3212]" strokecolor="black [3213]" strokeweight="1pt">
                <v:stroke joinstyle="miter"/>
                <v:textbox>
                  <w:txbxContent>
                    <w:p w:rsidR="005B53CF" w:rsidRPr="00D55F1D" w:rsidRDefault="005B53CF" w:rsidP="005B53CF">
                      <w:pPr>
                        <w:pStyle w:val="NormalWeb"/>
                        <w:spacing w:after="0"/>
                        <w:jc w:val="center"/>
                        <w:rPr>
                          <w:color w:val="000000" w:themeColor="text1"/>
                          <w:sz w:val="40"/>
                          <w:szCs w:val="40"/>
                        </w:rPr>
                      </w:pPr>
                      <w:r>
                        <w:rPr>
                          <w:rFonts w:ascii="Arial" w:hAnsi="Arial" w:cs="Arial"/>
                          <w:color w:val="000000" w:themeColor="text1"/>
                          <w:kern w:val="24"/>
                          <w:sz w:val="40"/>
                          <w:szCs w:val="40"/>
                        </w:rPr>
                        <w:t>Physical and digital connections</w:t>
                      </w:r>
                    </w:p>
                    <w:p w:rsidR="005B53CF" w:rsidRPr="00224741" w:rsidRDefault="005B53CF" w:rsidP="005B53CF">
                      <w:pPr>
                        <w:pStyle w:val="NormalWeb"/>
                        <w:spacing w:after="0"/>
                        <w:jc w:val="center"/>
                        <w:rPr>
                          <w:rFonts w:ascii="Arial" w:hAnsi="Arial" w:cs="Arial"/>
                          <w:color w:val="000000" w:themeColor="text1"/>
                        </w:rPr>
                      </w:pPr>
                    </w:p>
                  </w:txbxContent>
                </v:textbox>
              </v:oval>
            </w:pict>
          </mc:Fallback>
        </mc:AlternateContent>
      </w:r>
      <w:r w:rsidRPr="00CF1646">
        <w:rPr>
          <w:rFonts w:ascii="Garamond" w:hAnsi="Garamond"/>
          <w:noProof/>
          <w:sz w:val="20"/>
          <w:szCs w:val="20"/>
        </w:rPr>
        <mc:AlternateContent>
          <mc:Choice Requires="wps">
            <w:drawing>
              <wp:anchor distT="0" distB="0" distL="114300" distR="114300" simplePos="0" relativeHeight="251659264" behindDoc="0" locked="0" layoutInCell="1" allowOverlap="1" wp14:anchorId="679EECCA" wp14:editId="56EEFC7D">
                <wp:simplePos x="0" y="0"/>
                <wp:positionH relativeFrom="column">
                  <wp:posOffset>-237490</wp:posOffset>
                </wp:positionH>
                <wp:positionV relativeFrom="paragraph">
                  <wp:posOffset>-971550</wp:posOffset>
                </wp:positionV>
                <wp:extent cx="9134475" cy="501015"/>
                <wp:effectExtent l="635" t="0" r="0" b="1270"/>
                <wp:wrapNone/>
                <wp:docPr id="13"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34475"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3CF" w:rsidRPr="00F17EE7" w:rsidRDefault="005B53CF" w:rsidP="005B53CF">
                            <w:pPr>
                              <w:rPr>
                                <w:rFonts w:ascii="Garamond" w:hAnsi="Garamond"/>
                              </w:rPr>
                            </w:pPr>
                            <w:proofErr w:type="gramStart"/>
                            <w:r w:rsidRPr="00F17EE7">
                              <w:rPr>
                                <w:rFonts w:ascii="Garamond" w:hAnsi="Garamond" w:cs="Arial"/>
                                <w:b/>
                                <w:color w:val="000000" w:themeColor="text1"/>
                                <w:kern w:val="24"/>
                                <w:szCs w:val="24"/>
                                <w:lang w:val="en-US"/>
                              </w:rPr>
                              <w:t>Figure 1.</w:t>
                            </w:r>
                            <w:proofErr w:type="gramEnd"/>
                            <w:r w:rsidRPr="00F17EE7">
                              <w:rPr>
                                <w:rFonts w:ascii="Garamond" w:hAnsi="Garamond" w:cs="Arial"/>
                                <w:b/>
                                <w:color w:val="000000" w:themeColor="text1"/>
                                <w:kern w:val="24"/>
                                <w:szCs w:val="24"/>
                                <w:lang w:val="en-US"/>
                              </w:rPr>
                              <w:t xml:space="preserve"> </w:t>
                            </w:r>
                            <w:r w:rsidRPr="00F17EE7">
                              <w:rPr>
                                <w:rFonts w:ascii="Garamond" w:hAnsi="Garamond" w:cs="Arial"/>
                                <w:color w:val="000000" w:themeColor="text1"/>
                                <w:kern w:val="24"/>
                                <w:szCs w:val="24"/>
                                <w:lang w:val="en-US"/>
                              </w:rPr>
                              <w:t>Extended ‘Festival-Event-Leverage Complex’ (Adapted from Duignan,</w:t>
                            </w:r>
                            <w:r>
                              <w:rPr>
                                <w:rFonts w:ascii="Garamond" w:hAnsi="Garamond" w:cs="Arial"/>
                                <w:color w:val="000000" w:themeColor="text1"/>
                                <w:kern w:val="24"/>
                                <w:szCs w:val="24"/>
                                <w:lang w:val="en-US"/>
                              </w:rPr>
                              <w:t xml:space="preserve"> Everett, Walsh &amp;</w:t>
                            </w:r>
                            <w:r w:rsidRPr="00F17EE7">
                              <w:rPr>
                                <w:rFonts w:ascii="Garamond" w:hAnsi="Garamond" w:cs="Arial"/>
                                <w:color w:val="000000" w:themeColor="text1"/>
                                <w:kern w:val="24"/>
                                <w:szCs w:val="24"/>
                                <w:lang w:val="en-US"/>
                              </w:rPr>
                              <w:t xml:space="preserve"> Cade, 2017).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6" o:spid="_x0000_s1029" type="#_x0000_t202" style="position:absolute;margin-left:-18.7pt;margin-top:-76.5pt;width:719.25pt;height:3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2CqgIAAKw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" filled="f" stroked="f">
                <v:path arrowok="t"/>
                <v:textbox style="mso-fit-shape-to-text:t">
                  <w:txbxContent>
                    <w:p w:rsidR="005B53CF" w:rsidRPr="00F17EE7" w:rsidRDefault="005B53CF" w:rsidP="005B53CF">
                      <w:pPr>
                        <w:rPr>
                          <w:rFonts w:ascii="Garamond" w:hAnsi="Garamond"/>
                        </w:rPr>
                      </w:pPr>
                      <w:proofErr w:type="gramStart"/>
                      <w:r w:rsidRPr="00F17EE7">
                        <w:rPr>
                          <w:rFonts w:ascii="Garamond" w:hAnsi="Garamond" w:cs="Arial"/>
                          <w:b/>
                          <w:color w:val="000000" w:themeColor="text1"/>
                          <w:kern w:val="24"/>
                          <w:szCs w:val="24"/>
                          <w:lang w:val="en-US"/>
                        </w:rPr>
                        <w:t>Figure 1.</w:t>
                      </w:r>
                      <w:proofErr w:type="gramEnd"/>
                      <w:r w:rsidRPr="00F17EE7">
                        <w:rPr>
                          <w:rFonts w:ascii="Garamond" w:hAnsi="Garamond" w:cs="Arial"/>
                          <w:b/>
                          <w:color w:val="000000" w:themeColor="text1"/>
                          <w:kern w:val="24"/>
                          <w:szCs w:val="24"/>
                          <w:lang w:val="en-US"/>
                        </w:rPr>
                        <w:t xml:space="preserve"> </w:t>
                      </w:r>
                      <w:r w:rsidRPr="00F17EE7">
                        <w:rPr>
                          <w:rFonts w:ascii="Garamond" w:hAnsi="Garamond" w:cs="Arial"/>
                          <w:color w:val="000000" w:themeColor="text1"/>
                          <w:kern w:val="24"/>
                          <w:szCs w:val="24"/>
                          <w:lang w:val="en-US"/>
                        </w:rPr>
                        <w:t>Extended ‘Festival-Event-Leverage Complex’ (Adapted from Duignan,</w:t>
                      </w:r>
                      <w:r>
                        <w:rPr>
                          <w:rFonts w:ascii="Garamond" w:hAnsi="Garamond" w:cs="Arial"/>
                          <w:color w:val="000000" w:themeColor="text1"/>
                          <w:kern w:val="24"/>
                          <w:szCs w:val="24"/>
                          <w:lang w:val="en-US"/>
                        </w:rPr>
                        <w:t xml:space="preserve"> Everett, Walsh &amp;</w:t>
                      </w:r>
                      <w:r w:rsidRPr="00F17EE7">
                        <w:rPr>
                          <w:rFonts w:ascii="Garamond" w:hAnsi="Garamond" w:cs="Arial"/>
                          <w:color w:val="000000" w:themeColor="text1"/>
                          <w:kern w:val="24"/>
                          <w:szCs w:val="24"/>
                          <w:lang w:val="en-US"/>
                        </w:rPr>
                        <w:t xml:space="preserve"> Cade, 2017). </w:t>
                      </w:r>
                    </w:p>
                  </w:txbxContent>
                </v:textbox>
              </v:shape>
            </w:pict>
          </mc:Fallback>
        </mc:AlternateContent>
      </w:r>
    </w:p>
    <w:p w:rsidR="005B53CF" w:rsidRPr="00CF1646" w:rsidRDefault="005B53CF" w:rsidP="005B53CF">
      <w:pPr>
        <w:spacing w:line="480" w:lineRule="auto"/>
        <w:rPr>
          <w:rFonts w:ascii="Garamond" w:hAnsi="Garamond"/>
          <w:sz w:val="20"/>
          <w:szCs w:val="20"/>
        </w:rPr>
      </w:pPr>
      <w:r w:rsidRPr="00CF1646">
        <w:rPr>
          <w:rFonts w:ascii="Garamond" w:hAnsi="Garamond"/>
          <w:noProof/>
          <w:sz w:val="20"/>
          <w:szCs w:val="20"/>
        </w:rPr>
        <mc:AlternateContent>
          <mc:Choice Requires="wps">
            <w:drawing>
              <wp:anchor distT="0" distB="0" distL="114300" distR="114300" simplePos="0" relativeHeight="251660288" behindDoc="0" locked="0" layoutInCell="1" allowOverlap="1" wp14:anchorId="5DDE6915" wp14:editId="387225BE">
                <wp:simplePos x="0" y="0"/>
                <wp:positionH relativeFrom="column">
                  <wp:posOffset>3297555</wp:posOffset>
                </wp:positionH>
                <wp:positionV relativeFrom="paragraph">
                  <wp:posOffset>348615</wp:posOffset>
                </wp:positionV>
                <wp:extent cx="2263140" cy="0"/>
                <wp:effectExtent l="20955" t="53340" r="20955" b="6096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31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259.65pt;margin-top:27.45pt;width:178.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">
                <v:stroke startarrow="block" endarrow="block"/>
              </v:shape>
            </w:pict>
          </mc:Fallback>
        </mc:AlternateContent>
      </w:r>
    </w:p>
    <w:p w:rsidR="005B53CF" w:rsidRPr="00CF1646" w:rsidRDefault="005B53CF" w:rsidP="005B53CF">
      <w:pPr>
        <w:spacing w:line="480" w:lineRule="auto"/>
        <w:rPr>
          <w:rFonts w:ascii="Garamond" w:hAnsi="Garamond"/>
          <w:sz w:val="20"/>
          <w:szCs w:val="20"/>
        </w:rPr>
      </w:pPr>
    </w:p>
    <w:p w:rsidR="005B53CF" w:rsidRPr="00CF1646" w:rsidRDefault="005B53CF" w:rsidP="005B53CF">
      <w:pPr>
        <w:spacing w:line="480" w:lineRule="auto"/>
        <w:rPr>
          <w:rFonts w:ascii="Garamond" w:hAnsi="Garamond"/>
          <w:sz w:val="20"/>
          <w:szCs w:val="20"/>
        </w:rPr>
      </w:pPr>
      <w:r w:rsidRPr="00CF1646">
        <w:rPr>
          <w:rFonts w:ascii="Garamond" w:hAnsi="Garamond"/>
          <w:noProof/>
          <w:sz w:val="20"/>
          <w:szCs w:val="20"/>
        </w:rPr>
        <mc:AlternateContent>
          <mc:Choice Requires="wps">
            <w:drawing>
              <wp:anchor distT="0" distB="0" distL="114300" distR="114300" simplePos="0" relativeHeight="251674624" behindDoc="0" locked="0" layoutInCell="1" allowOverlap="1" wp14:anchorId="2498AEF2" wp14:editId="107C4D76">
                <wp:simplePos x="0" y="0"/>
                <wp:positionH relativeFrom="column">
                  <wp:posOffset>104140</wp:posOffset>
                </wp:positionH>
                <wp:positionV relativeFrom="paragraph">
                  <wp:posOffset>264160</wp:posOffset>
                </wp:positionV>
                <wp:extent cx="1545590" cy="838200"/>
                <wp:effectExtent l="8890" t="6985" r="7620" b="12065"/>
                <wp:wrapNone/>
                <wp:docPr id="11"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5590" cy="83820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B53CF" w:rsidRPr="001C1898" w:rsidRDefault="005B53CF" w:rsidP="005B53CF">
                            <w:pPr>
                              <w:pStyle w:val="NormalWeb"/>
                              <w:spacing w:after="0"/>
                              <w:jc w:val="center"/>
                            </w:pPr>
                            <w:r>
                              <w:rPr>
                                <w:rFonts w:ascii="Arial" w:hAnsi="Arial" w:cs="Arial"/>
                                <w:color w:val="000000"/>
                                <w:kern w:val="24"/>
                              </w:rPr>
                              <w:t xml:space="preserve">Exploitation of liminal spaces </w:t>
                            </w:r>
                            <w:r w:rsidRPr="00D92A8C">
                              <w:rPr>
                                <w:rFonts w:ascii="Arial" w:hAnsi="Arial" w:cs="Arial"/>
                                <w:color w:val="000000"/>
                                <w:kern w:val="24"/>
                              </w:rPr>
                              <w:t>by micro-entrepreneurs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30" style="position:absolute;margin-left:8.2pt;margin-top:20.8pt;width:121.7pt;height: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" filled="f" strokecolor="black [3213]" strokeweight="1pt">
                <v:textbox>
                  <w:txbxContent>
                    <w:p w:rsidR="005B53CF" w:rsidRPr="001C1898" w:rsidRDefault="005B53CF" w:rsidP="005B53CF">
                      <w:pPr>
                        <w:pStyle w:val="NormalWeb"/>
                        <w:spacing w:after="0"/>
                        <w:jc w:val="center"/>
                      </w:pPr>
                      <w:r>
                        <w:rPr>
                          <w:rFonts w:ascii="Arial" w:hAnsi="Arial" w:cs="Arial"/>
                          <w:color w:val="000000"/>
                          <w:kern w:val="24"/>
                        </w:rPr>
                        <w:t xml:space="preserve">Exploitation of liminal spaces </w:t>
                      </w:r>
                      <w:r w:rsidRPr="00D92A8C">
                        <w:rPr>
                          <w:rFonts w:ascii="Arial" w:hAnsi="Arial" w:cs="Arial"/>
                          <w:color w:val="000000"/>
                          <w:kern w:val="24"/>
                        </w:rPr>
                        <w:t>by micro-entrepreneurs</w:t>
                      </w:r>
                    </w:p>
                  </w:txbxContent>
                </v:textbox>
              </v:rect>
            </w:pict>
          </mc:Fallback>
        </mc:AlternateContent>
      </w:r>
      <w:r w:rsidRPr="00CF1646">
        <w:rPr>
          <w:rFonts w:ascii="Garamond" w:hAnsi="Garamond"/>
          <w:noProof/>
          <w:sz w:val="20"/>
          <w:szCs w:val="20"/>
        </w:rPr>
        <mc:AlternateContent>
          <mc:Choice Requires="wps">
            <w:drawing>
              <wp:anchor distT="0" distB="0" distL="114300" distR="114300" simplePos="0" relativeHeight="251672576" behindDoc="0" locked="0" layoutInCell="1" allowOverlap="1" wp14:anchorId="0BB46FA7" wp14:editId="242C0D98">
                <wp:simplePos x="0" y="0"/>
                <wp:positionH relativeFrom="column">
                  <wp:posOffset>2039620</wp:posOffset>
                </wp:positionH>
                <wp:positionV relativeFrom="paragraph">
                  <wp:posOffset>345440</wp:posOffset>
                </wp:positionV>
                <wp:extent cx="635" cy="1847850"/>
                <wp:effectExtent l="58420" t="21590" r="55245" b="16510"/>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78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60.6pt;margin-top:27.2pt;width:.05pt;height:1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">
                <v:stroke startarrow="block" endarrow="block"/>
              </v:shape>
            </w:pict>
          </mc:Fallback>
        </mc:AlternateContent>
      </w:r>
      <w:r w:rsidRPr="00CF1646">
        <w:rPr>
          <w:rFonts w:ascii="Garamond" w:hAnsi="Garamond"/>
          <w:noProof/>
          <w:sz w:val="20"/>
          <w:szCs w:val="20"/>
        </w:rPr>
        <mc:AlternateContent>
          <mc:Choice Requires="wps">
            <w:drawing>
              <wp:anchor distT="0" distB="0" distL="114300" distR="114300" simplePos="0" relativeHeight="251668480" behindDoc="0" locked="0" layoutInCell="1" allowOverlap="1" wp14:anchorId="49125556" wp14:editId="5F60AB44">
                <wp:simplePos x="0" y="0"/>
                <wp:positionH relativeFrom="column">
                  <wp:posOffset>6831330</wp:posOffset>
                </wp:positionH>
                <wp:positionV relativeFrom="paragraph">
                  <wp:posOffset>345440</wp:posOffset>
                </wp:positionV>
                <wp:extent cx="635" cy="1847850"/>
                <wp:effectExtent l="59055" t="21590" r="54610" b="16510"/>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78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537.9pt;margin-top:27.2pt;width:.05pt;height:1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">
                <v:stroke startarrow="block" endarrow="block"/>
              </v:shape>
            </w:pict>
          </mc:Fallback>
        </mc:AlternateContent>
      </w:r>
      <w:r w:rsidRPr="00CF1646">
        <w:rPr>
          <w:rFonts w:ascii="Garamond" w:hAnsi="Garamond"/>
          <w:noProof/>
          <w:sz w:val="20"/>
          <w:szCs w:val="20"/>
        </w:rPr>
        <mc:AlternateContent>
          <mc:Choice Requires="wps">
            <w:drawing>
              <wp:anchor distT="0" distB="0" distL="114300" distR="114300" simplePos="0" relativeHeight="251665408" behindDoc="0" locked="0" layoutInCell="1" allowOverlap="1" wp14:anchorId="1A97468B" wp14:editId="3879F91F">
                <wp:simplePos x="0" y="0"/>
                <wp:positionH relativeFrom="column">
                  <wp:posOffset>3297555</wp:posOffset>
                </wp:positionH>
                <wp:positionV relativeFrom="paragraph">
                  <wp:posOffset>264160</wp:posOffset>
                </wp:positionV>
                <wp:extent cx="2263140" cy="1733550"/>
                <wp:effectExtent l="11430" t="6985" r="11430" b="12065"/>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173355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B53CF" w:rsidRDefault="005B53CF" w:rsidP="005B53CF">
                            <w:pPr>
                              <w:pStyle w:val="NormalWeb"/>
                              <w:spacing w:after="0"/>
                              <w:jc w:val="center"/>
                            </w:pPr>
                            <w:r w:rsidRPr="00EB05DA">
                              <w:rPr>
                                <w:rFonts w:ascii="Arial" w:hAnsi="Arial" w:cs="Arial"/>
                              </w:rPr>
                              <w:t>Overcoming ‘core’ vs. ‘peripheral’ locality and stimulating small biz mov</w:t>
                            </w:r>
                            <w:r>
                              <w:rPr>
                                <w:rFonts w:ascii="Arial" w:hAnsi="Arial" w:cs="Arial"/>
                              </w:rPr>
                              <w:t>ements</w:t>
                            </w:r>
                            <w:r w:rsidRPr="00EB05DA">
                              <w:rPr>
                                <w:rFonts w:ascii="Arial" w:hAnsi="Arial" w:cs="Arial"/>
                              </w:rPr>
                              <w:t>’</w:t>
                            </w:r>
                            <w:r>
                              <w:rPr>
                                <w:rFonts w:ascii="Arial" w:hAnsi="Arial" w:cs="Arial"/>
                              </w:rPr>
                              <w:t xml:space="preserve"> and outcomes across </w:t>
                            </w:r>
                            <w:proofErr w:type="spellStart"/>
                            <w:r>
                              <w:rPr>
                                <w:rFonts w:ascii="Arial" w:hAnsi="Arial" w:cs="Arial"/>
                              </w:rPr>
                              <w:t>giga</w:t>
                            </w:r>
                            <w:proofErr w:type="spellEnd"/>
                            <w:r w:rsidRPr="00EB05DA">
                              <w:rPr>
                                <w:rFonts w:ascii="Arial" w:hAnsi="Arial" w:cs="Arial"/>
                              </w:rPr>
                              <w:t>-event spaces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1" style="position:absolute;margin-left:259.65pt;margin-top:20.8pt;width:178.2pt;height: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" filled="f" strokecolor="black [3213]" strokeweight="1pt">
                <v:textbox>
                  <w:txbxContent>
                    <w:p w:rsidR="005B53CF" w:rsidRDefault="005B53CF" w:rsidP="005B53CF">
                      <w:pPr>
                        <w:pStyle w:val="NormalWeb"/>
                        <w:spacing w:after="0"/>
                        <w:jc w:val="center"/>
                      </w:pPr>
                      <w:r w:rsidRPr="00EB05DA">
                        <w:rPr>
                          <w:rFonts w:ascii="Arial" w:hAnsi="Arial" w:cs="Arial"/>
                        </w:rPr>
                        <w:t>Overcoming ‘core’ vs. ‘peripheral’ locality and stimulating small biz mov</w:t>
                      </w:r>
                      <w:r>
                        <w:rPr>
                          <w:rFonts w:ascii="Arial" w:hAnsi="Arial" w:cs="Arial"/>
                        </w:rPr>
                        <w:t>ements</w:t>
                      </w:r>
                      <w:r w:rsidRPr="00EB05DA">
                        <w:rPr>
                          <w:rFonts w:ascii="Arial" w:hAnsi="Arial" w:cs="Arial"/>
                        </w:rPr>
                        <w:t>’</w:t>
                      </w:r>
                      <w:r>
                        <w:rPr>
                          <w:rFonts w:ascii="Arial" w:hAnsi="Arial" w:cs="Arial"/>
                        </w:rPr>
                        <w:t xml:space="preserve"> and outcomes across </w:t>
                      </w:r>
                      <w:proofErr w:type="spellStart"/>
                      <w:r>
                        <w:rPr>
                          <w:rFonts w:ascii="Arial" w:hAnsi="Arial" w:cs="Arial"/>
                        </w:rPr>
                        <w:t>giga</w:t>
                      </w:r>
                      <w:proofErr w:type="spellEnd"/>
                      <w:r w:rsidRPr="00EB05DA">
                        <w:rPr>
                          <w:rFonts w:ascii="Arial" w:hAnsi="Arial" w:cs="Arial"/>
                        </w:rPr>
                        <w:t>-event spaces</w:t>
                      </w:r>
                    </w:p>
                  </w:txbxContent>
                </v:textbox>
              </v:rect>
            </w:pict>
          </mc:Fallback>
        </mc:AlternateContent>
      </w:r>
    </w:p>
    <w:p w:rsidR="005B53CF" w:rsidRPr="00CF1646" w:rsidRDefault="005B53CF" w:rsidP="005B53CF">
      <w:pPr>
        <w:spacing w:line="480" w:lineRule="auto"/>
        <w:rPr>
          <w:rFonts w:ascii="Garamond" w:hAnsi="Garamond"/>
          <w:sz w:val="20"/>
          <w:szCs w:val="20"/>
        </w:rPr>
      </w:pPr>
      <w:r w:rsidRPr="00CF1646">
        <w:rPr>
          <w:rFonts w:ascii="Garamond" w:hAnsi="Garamond"/>
          <w:noProof/>
          <w:sz w:val="20"/>
          <w:szCs w:val="20"/>
        </w:rPr>
        <mc:AlternateContent>
          <mc:Choice Requires="wps">
            <w:drawing>
              <wp:anchor distT="0" distB="0" distL="114300" distR="114300" simplePos="0" relativeHeight="251667456" behindDoc="0" locked="0" layoutInCell="1" allowOverlap="1" wp14:anchorId="77E0A37A" wp14:editId="7FEC8297">
                <wp:simplePos x="0" y="0"/>
                <wp:positionH relativeFrom="column">
                  <wp:posOffset>7288530</wp:posOffset>
                </wp:positionH>
                <wp:positionV relativeFrom="paragraph">
                  <wp:posOffset>31115</wp:posOffset>
                </wp:positionV>
                <wp:extent cx="1704975" cy="1583055"/>
                <wp:effectExtent l="11430" t="12065" r="7620" b="14605"/>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58305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B53CF" w:rsidRPr="001C1898" w:rsidRDefault="005B53CF" w:rsidP="005B53CF">
                            <w:pPr>
                              <w:pStyle w:val="NormalWeb"/>
                              <w:spacing w:after="0"/>
                              <w:jc w:val="center"/>
                            </w:pPr>
                            <w:r w:rsidRPr="00EB05DA">
                              <w:rPr>
                                <w:rFonts w:ascii="Arial" w:hAnsi="Arial" w:cs="Arial"/>
                                <w:color w:val="000000"/>
                                <w:kern w:val="24"/>
                              </w:rPr>
                              <w:t>The presence of these connections can be extended to enhance micro and small business resources and capabilities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2" style="position:absolute;margin-left:573.9pt;margin-top:2.45pt;width:134.25pt;height:12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" filled="f" strokecolor="black [3213]" strokeweight="1pt">
                <v:textbox>
                  <w:txbxContent>
                    <w:p w:rsidR="005B53CF" w:rsidRPr="001C1898" w:rsidRDefault="005B53CF" w:rsidP="005B53CF">
                      <w:pPr>
                        <w:pStyle w:val="NormalWeb"/>
                        <w:spacing w:after="0"/>
                        <w:jc w:val="center"/>
                      </w:pPr>
                      <w:r w:rsidRPr="00EB05DA">
                        <w:rPr>
                          <w:rFonts w:ascii="Arial" w:hAnsi="Arial" w:cs="Arial"/>
                          <w:color w:val="000000"/>
                          <w:kern w:val="24"/>
                        </w:rPr>
                        <w:t>The presence of these connections can be extended to enhance micro and small business resources and capabilities</w:t>
                      </w:r>
                    </w:p>
                  </w:txbxContent>
                </v:textbox>
              </v:rect>
            </w:pict>
          </mc:Fallback>
        </mc:AlternateContent>
      </w:r>
    </w:p>
    <w:p w:rsidR="005B53CF" w:rsidRPr="00CF1646" w:rsidRDefault="005B53CF" w:rsidP="005B53CF">
      <w:pPr>
        <w:spacing w:line="480" w:lineRule="auto"/>
        <w:rPr>
          <w:rFonts w:ascii="Garamond" w:hAnsi="Garamond"/>
          <w:sz w:val="20"/>
          <w:szCs w:val="20"/>
        </w:rPr>
      </w:pPr>
      <w:r w:rsidRPr="00CF1646">
        <w:rPr>
          <w:rFonts w:ascii="Garamond" w:hAnsi="Garamond"/>
          <w:noProof/>
          <w:sz w:val="20"/>
          <w:szCs w:val="20"/>
        </w:rPr>
        <mc:AlternateContent>
          <mc:Choice Requires="wps">
            <w:drawing>
              <wp:anchor distT="0" distB="0" distL="114300" distR="114300" simplePos="0" relativeHeight="251673600" behindDoc="0" locked="0" layoutInCell="1" allowOverlap="1" wp14:anchorId="4CEB90AD" wp14:editId="041A2168">
                <wp:simplePos x="0" y="0"/>
                <wp:positionH relativeFrom="column">
                  <wp:posOffset>840105</wp:posOffset>
                </wp:positionH>
                <wp:positionV relativeFrom="paragraph">
                  <wp:posOffset>104775</wp:posOffset>
                </wp:positionV>
                <wp:extent cx="5715" cy="346710"/>
                <wp:effectExtent l="59055" t="19050" r="49530" b="5715"/>
                <wp:wrapNone/>
                <wp:docPr id="6"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 cy="34671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style="position:absolute;margin-left:66.15pt;margin-top:8.25pt;width:.45pt;height:27.3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" strokecolor="black [3213]" strokeweight=".5pt">
                <v:stroke endarrow="block" joinstyle="miter"/>
              </v:shape>
            </w:pict>
          </mc:Fallback>
        </mc:AlternateContent>
      </w:r>
    </w:p>
    <w:p w:rsidR="005B53CF" w:rsidRPr="00CF1646" w:rsidRDefault="005B53CF" w:rsidP="005B53CF">
      <w:pPr>
        <w:spacing w:line="480" w:lineRule="auto"/>
        <w:rPr>
          <w:rFonts w:ascii="Garamond" w:hAnsi="Garamond"/>
          <w:sz w:val="20"/>
          <w:szCs w:val="20"/>
        </w:rPr>
      </w:pPr>
      <w:r w:rsidRPr="00CF1646">
        <w:rPr>
          <w:rFonts w:ascii="Garamond" w:hAnsi="Garamond"/>
          <w:noProof/>
          <w:sz w:val="20"/>
          <w:szCs w:val="20"/>
        </w:rPr>
        <mc:AlternateContent>
          <mc:Choice Requires="wps">
            <w:drawing>
              <wp:anchor distT="0" distB="0" distL="114300" distR="114300" simplePos="0" relativeHeight="251664384" behindDoc="0" locked="0" layoutInCell="1" allowOverlap="1" wp14:anchorId="5A99F227" wp14:editId="5EEB9590">
                <wp:simplePos x="0" y="0"/>
                <wp:positionH relativeFrom="column">
                  <wp:posOffset>104140</wp:posOffset>
                </wp:positionH>
                <wp:positionV relativeFrom="paragraph">
                  <wp:posOffset>-2540</wp:posOffset>
                </wp:positionV>
                <wp:extent cx="1545590" cy="838200"/>
                <wp:effectExtent l="8890" t="6985" r="7620" b="12065"/>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5590" cy="83820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B53CF" w:rsidRPr="001C1898" w:rsidRDefault="005B53CF" w:rsidP="005B53CF">
                            <w:pPr>
                              <w:pStyle w:val="NormalWeb"/>
                              <w:spacing w:after="0"/>
                              <w:jc w:val="center"/>
                            </w:pPr>
                            <w:r>
                              <w:rPr>
                                <w:rFonts w:ascii="Arial" w:hAnsi="Arial" w:cs="Arial"/>
                                <w:color w:val="000000"/>
                                <w:kern w:val="24"/>
                              </w:rPr>
                              <w:t>Activation of events as series of ‘</w:t>
                            </w:r>
                            <w:proofErr w:type="spellStart"/>
                            <w:r>
                              <w:rPr>
                                <w:rFonts w:ascii="Arial" w:hAnsi="Arial" w:cs="Arial"/>
                                <w:color w:val="000000"/>
                                <w:kern w:val="24"/>
                              </w:rPr>
                              <w:t>leverageable</w:t>
                            </w:r>
                            <w:proofErr w:type="spellEnd"/>
                            <w:r>
                              <w:rPr>
                                <w:rFonts w:ascii="Arial" w:hAnsi="Arial" w:cs="Arial"/>
                                <w:color w:val="000000"/>
                                <w:kern w:val="24"/>
                              </w:rPr>
                              <w:t>’</w:t>
                            </w:r>
                            <w:r w:rsidRPr="001646C1">
                              <w:rPr>
                                <w:rFonts w:ascii="Arial" w:hAnsi="Arial" w:cs="Arial"/>
                                <w:color w:val="000000"/>
                                <w:kern w:val="24"/>
                              </w:rPr>
                              <w:t xml:space="preserve"> resources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3" style="position:absolute;margin-left:8.2pt;margin-top:-.2pt;width:121.7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" filled="f" strokecolor="black [3213]" strokeweight="1pt">
                <v:textbox>
                  <w:txbxContent>
                    <w:p w:rsidR="005B53CF" w:rsidRPr="001C1898" w:rsidRDefault="005B53CF" w:rsidP="005B53CF">
                      <w:pPr>
                        <w:pStyle w:val="NormalWeb"/>
                        <w:spacing w:after="0"/>
                        <w:jc w:val="center"/>
                      </w:pPr>
                      <w:r>
                        <w:rPr>
                          <w:rFonts w:ascii="Arial" w:hAnsi="Arial" w:cs="Arial"/>
                          <w:color w:val="000000"/>
                          <w:kern w:val="24"/>
                        </w:rPr>
                        <w:t>Activation of events as series of ‘</w:t>
                      </w:r>
                      <w:proofErr w:type="spellStart"/>
                      <w:r>
                        <w:rPr>
                          <w:rFonts w:ascii="Arial" w:hAnsi="Arial" w:cs="Arial"/>
                          <w:color w:val="000000"/>
                          <w:kern w:val="24"/>
                        </w:rPr>
                        <w:t>leverageable</w:t>
                      </w:r>
                      <w:proofErr w:type="spellEnd"/>
                      <w:r>
                        <w:rPr>
                          <w:rFonts w:ascii="Arial" w:hAnsi="Arial" w:cs="Arial"/>
                          <w:color w:val="000000"/>
                          <w:kern w:val="24"/>
                        </w:rPr>
                        <w:t>’</w:t>
                      </w:r>
                      <w:r w:rsidRPr="001646C1">
                        <w:rPr>
                          <w:rFonts w:ascii="Arial" w:hAnsi="Arial" w:cs="Arial"/>
                          <w:color w:val="000000"/>
                          <w:kern w:val="24"/>
                        </w:rPr>
                        <w:t xml:space="preserve"> resources</w:t>
                      </w:r>
                    </w:p>
                  </w:txbxContent>
                </v:textbox>
              </v:rect>
            </w:pict>
          </mc:Fallback>
        </mc:AlternateContent>
      </w:r>
    </w:p>
    <w:p w:rsidR="005B53CF" w:rsidRPr="00CF1646" w:rsidRDefault="005B53CF" w:rsidP="005B53CF">
      <w:pPr>
        <w:spacing w:line="480" w:lineRule="auto"/>
        <w:rPr>
          <w:rFonts w:ascii="Garamond" w:hAnsi="Garamond"/>
          <w:sz w:val="20"/>
          <w:szCs w:val="20"/>
        </w:rPr>
      </w:pPr>
      <w:r w:rsidRPr="00CF1646">
        <w:rPr>
          <w:rFonts w:ascii="Garamond" w:hAnsi="Garamond"/>
          <w:noProof/>
          <w:sz w:val="20"/>
          <w:szCs w:val="20"/>
        </w:rPr>
        <mc:AlternateContent>
          <mc:Choice Requires="wps">
            <w:drawing>
              <wp:anchor distT="0" distB="0" distL="114300" distR="114300" simplePos="0" relativeHeight="251666432" behindDoc="0" locked="0" layoutInCell="1" allowOverlap="1" wp14:anchorId="37593EF1" wp14:editId="75D06AA8">
                <wp:simplePos x="0" y="0"/>
                <wp:positionH relativeFrom="column">
                  <wp:posOffset>5871210</wp:posOffset>
                </wp:positionH>
                <wp:positionV relativeFrom="paragraph">
                  <wp:posOffset>336550</wp:posOffset>
                </wp:positionV>
                <wp:extent cx="2166620" cy="2105025"/>
                <wp:effectExtent l="13335" t="12700" r="10795" b="6350"/>
                <wp:wrapNone/>
                <wp:docPr id="4"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6620" cy="2105025"/>
                        </a:xfrm>
                        <a:prstGeom prst="ellipse">
                          <a:avLst/>
                        </a:prstGeom>
                        <a:solidFill>
                          <a:schemeClr val="bg1">
                            <a:lumMod val="100000"/>
                            <a:lumOff val="0"/>
                          </a:schemeClr>
                        </a:solidFill>
                        <a:ln w="12700">
                          <a:solidFill>
                            <a:schemeClr val="tx1">
                              <a:lumMod val="100000"/>
                              <a:lumOff val="0"/>
                            </a:schemeClr>
                          </a:solidFill>
                          <a:miter lim="800000"/>
                          <a:headEnd/>
                          <a:tailEnd/>
                        </a:ln>
                      </wps:spPr>
                      <wps:txbx>
                        <w:txbxContent>
                          <w:p w:rsidR="005B53CF" w:rsidRPr="00D55F1D" w:rsidRDefault="005B53CF" w:rsidP="005B53CF">
                            <w:pPr>
                              <w:pStyle w:val="NormalWeb"/>
                              <w:spacing w:after="0"/>
                              <w:jc w:val="center"/>
                              <w:rPr>
                                <w:color w:val="000000" w:themeColor="text1"/>
                                <w:sz w:val="40"/>
                                <w:szCs w:val="40"/>
                              </w:rPr>
                            </w:pPr>
                            <w:r w:rsidRPr="00EB05DA">
                              <w:rPr>
                                <w:rFonts w:ascii="Arial" w:hAnsi="Arial" w:cs="Arial"/>
                                <w:color w:val="000000" w:themeColor="text1"/>
                                <w:kern w:val="24"/>
                                <w:sz w:val="40"/>
                                <w:szCs w:val="40"/>
                              </w:rPr>
                              <w:t>Micro and small businesses</w:t>
                            </w:r>
                            <w:r>
                              <w:rPr>
                                <w:rFonts w:ascii="Arial" w:hAnsi="Arial" w:cs="Arial"/>
                                <w:color w:val="000000" w:themeColor="text1"/>
                                <w:kern w:val="24"/>
                                <w:sz w:val="40"/>
                                <w:szCs w:val="40"/>
                              </w:rPr>
                              <w:t xml:space="preserve"> </w:t>
                            </w:r>
                          </w:p>
                          <w:p w:rsidR="005B53CF" w:rsidRPr="00224741" w:rsidRDefault="005B53CF" w:rsidP="005B53CF">
                            <w:pPr>
                              <w:pStyle w:val="NormalWeb"/>
                              <w:spacing w:after="0"/>
                              <w:jc w:val="center"/>
                              <w:rPr>
                                <w:rFonts w:ascii="Arial" w:hAnsi="Arial" w:cs="Arial"/>
                                <w:color w:val="000000" w:themeColor="text1"/>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34" style="position:absolute;margin-left:462.3pt;margin-top:26.5pt;width:170.6pt;height:16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" fillcolor="white [3212]" strokecolor="black [3213]" strokeweight="1pt">
                <v:stroke joinstyle="miter"/>
                <v:textbox>
                  <w:txbxContent>
                    <w:p w:rsidR="005B53CF" w:rsidRPr="00D55F1D" w:rsidRDefault="005B53CF" w:rsidP="005B53CF">
                      <w:pPr>
                        <w:pStyle w:val="NormalWeb"/>
                        <w:spacing w:after="0"/>
                        <w:jc w:val="center"/>
                        <w:rPr>
                          <w:color w:val="000000" w:themeColor="text1"/>
                          <w:sz w:val="40"/>
                          <w:szCs w:val="40"/>
                        </w:rPr>
                      </w:pPr>
                      <w:r w:rsidRPr="00EB05DA">
                        <w:rPr>
                          <w:rFonts w:ascii="Arial" w:hAnsi="Arial" w:cs="Arial"/>
                          <w:color w:val="000000" w:themeColor="text1"/>
                          <w:kern w:val="24"/>
                          <w:sz w:val="40"/>
                          <w:szCs w:val="40"/>
                        </w:rPr>
                        <w:t>Micro and small businesses</w:t>
                      </w:r>
                      <w:r>
                        <w:rPr>
                          <w:rFonts w:ascii="Arial" w:hAnsi="Arial" w:cs="Arial"/>
                          <w:color w:val="000000" w:themeColor="text1"/>
                          <w:kern w:val="24"/>
                          <w:sz w:val="40"/>
                          <w:szCs w:val="40"/>
                        </w:rPr>
                        <w:t xml:space="preserve"> </w:t>
                      </w:r>
                    </w:p>
                    <w:p w:rsidR="005B53CF" w:rsidRPr="00224741" w:rsidRDefault="005B53CF" w:rsidP="005B53CF">
                      <w:pPr>
                        <w:pStyle w:val="NormalWeb"/>
                        <w:spacing w:after="0"/>
                        <w:jc w:val="center"/>
                        <w:rPr>
                          <w:rFonts w:ascii="Arial" w:hAnsi="Arial" w:cs="Arial"/>
                          <w:color w:val="000000" w:themeColor="text1"/>
                        </w:rPr>
                      </w:pPr>
                    </w:p>
                  </w:txbxContent>
                </v:textbox>
              </v:oval>
            </w:pict>
          </mc:Fallback>
        </mc:AlternateContent>
      </w:r>
      <w:r w:rsidRPr="00CF1646">
        <w:rPr>
          <w:rFonts w:ascii="Garamond" w:hAnsi="Garamond"/>
          <w:noProof/>
          <w:sz w:val="20"/>
          <w:szCs w:val="20"/>
        </w:rPr>
        <mc:AlternateContent>
          <mc:Choice Requires="wps">
            <w:drawing>
              <wp:anchor distT="0" distB="0" distL="114300" distR="114300" simplePos="0" relativeHeight="251663360" behindDoc="0" locked="0" layoutInCell="1" allowOverlap="1" wp14:anchorId="57989755" wp14:editId="13F26BBA">
                <wp:simplePos x="0" y="0"/>
                <wp:positionH relativeFrom="column">
                  <wp:posOffset>977265</wp:posOffset>
                </wp:positionH>
                <wp:positionV relativeFrom="paragraph">
                  <wp:posOffset>336550</wp:posOffset>
                </wp:positionV>
                <wp:extent cx="2166620" cy="2105025"/>
                <wp:effectExtent l="15240" t="12700" r="8890" b="6350"/>
                <wp:wrapNone/>
                <wp:docPr id="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6620" cy="2105025"/>
                        </a:xfrm>
                        <a:prstGeom prst="ellipse">
                          <a:avLst/>
                        </a:prstGeom>
                        <a:solidFill>
                          <a:schemeClr val="bg1">
                            <a:lumMod val="100000"/>
                            <a:lumOff val="0"/>
                          </a:schemeClr>
                        </a:solidFill>
                        <a:ln w="12700">
                          <a:solidFill>
                            <a:schemeClr val="tx1">
                              <a:lumMod val="100000"/>
                              <a:lumOff val="0"/>
                            </a:schemeClr>
                          </a:solidFill>
                          <a:miter lim="800000"/>
                          <a:headEnd/>
                          <a:tailEnd/>
                        </a:ln>
                      </wps:spPr>
                      <wps:txbx>
                        <w:txbxContent>
                          <w:p w:rsidR="005B53CF" w:rsidRPr="00D55F1D" w:rsidRDefault="005B53CF" w:rsidP="005B53CF">
                            <w:pPr>
                              <w:pStyle w:val="NormalWeb"/>
                              <w:spacing w:after="0"/>
                              <w:jc w:val="center"/>
                              <w:rPr>
                                <w:color w:val="000000" w:themeColor="text1"/>
                                <w:sz w:val="48"/>
                                <w:szCs w:val="48"/>
                              </w:rPr>
                            </w:pPr>
                            <w:r>
                              <w:rPr>
                                <w:rFonts w:ascii="Arial" w:hAnsi="Arial" w:cs="Arial"/>
                                <w:color w:val="000000" w:themeColor="text1"/>
                                <w:kern w:val="24"/>
                                <w:sz w:val="48"/>
                                <w:szCs w:val="48"/>
                              </w:rPr>
                              <w:t>‘Event leverage’</w:t>
                            </w:r>
                          </w:p>
                          <w:p w:rsidR="005B53CF" w:rsidRPr="00D55F1D" w:rsidRDefault="005B53CF" w:rsidP="005B53CF">
                            <w:pPr>
                              <w:pStyle w:val="NormalWeb"/>
                              <w:spacing w:after="0"/>
                              <w:jc w:val="center"/>
                              <w:rPr>
                                <w:rFonts w:ascii="Arial" w:hAnsi="Arial" w:cs="Arial"/>
                                <w:color w:val="000000" w:themeColor="text1"/>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35" style="position:absolute;margin-left:76.95pt;margin-top:26.5pt;width:170.6pt;height:16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" fillcolor="white [3212]" strokecolor="black [3213]" strokeweight="1pt">
                <v:stroke joinstyle="miter"/>
                <v:textbox>
                  <w:txbxContent>
                    <w:p w:rsidR="005B53CF" w:rsidRPr="00D55F1D" w:rsidRDefault="005B53CF" w:rsidP="005B53CF">
                      <w:pPr>
                        <w:pStyle w:val="NormalWeb"/>
                        <w:spacing w:after="0"/>
                        <w:jc w:val="center"/>
                        <w:rPr>
                          <w:color w:val="000000" w:themeColor="text1"/>
                          <w:sz w:val="48"/>
                          <w:szCs w:val="48"/>
                        </w:rPr>
                      </w:pPr>
                      <w:r>
                        <w:rPr>
                          <w:rFonts w:ascii="Arial" w:hAnsi="Arial" w:cs="Arial"/>
                          <w:color w:val="000000" w:themeColor="text1"/>
                          <w:kern w:val="24"/>
                          <w:sz w:val="48"/>
                          <w:szCs w:val="48"/>
                        </w:rPr>
                        <w:t>‘Event leverage’</w:t>
                      </w:r>
                    </w:p>
                    <w:p w:rsidR="005B53CF" w:rsidRPr="00D55F1D" w:rsidRDefault="005B53CF" w:rsidP="005B53CF">
                      <w:pPr>
                        <w:pStyle w:val="NormalWeb"/>
                        <w:spacing w:after="0"/>
                        <w:jc w:val="center"/>
                        <w:rPr>
                          <w:rFonts w:ascii="Arial" w:hAnsi="Arial" w:cs="Arial"/>
                          <w:color w:val="000000" w:themeColor="text1"/>
                          <w:sz w:val="20"/>
                          <w:szCs w:val="20"/>
                        </w:rPr>
                      </w:pPr>
                    </w:p>
                  </w:txbxContent>
                </v:textbox>
              </v:oval>
            </w:pict>
          </mc:Fallback>
        </mc:AlternateContent>
      </w:r>
    </w:p>
    <w:p w:rsidR="005B53CF" w:rsidRPr="00CF1646" w:rsidRDefault="005B53CF" w:rsidP="005B53CF">
      <w:pPr>
        <w:spacing w:line="480" w:lineRule="auto"/>
        <w:rPr>
          <w:rFonts w:ascii="Garamond" w:hAnsi="Garamond"/>
          <w:sz w:val="20"/>
          <w:szCs w:val="20"/>
        </w:rPr>
      </w:pPr>
    </w:p>
    <w:p w:rsidR="005B53CF" w:rsidRPr="00CF1646" w:rsidRDefault="005B53CF" w:rsidP="005B53CF">
      <w:pPr>
        <w:spacing w:line="480" w:lineRule="auto"/>
        <w:rPr>
          <w:rFonts w:ascii="Garamond" w:hAnsi="Garamond"/>
          <w:sz w:val="20"/>
          <w:szCs w:val="20"/>
        </w:rPr>
      </w:pPr>
      <w:r w:rsidRPr="00CF1646">
        <w:rPr>
          <w:rFonts w:ascii="Garamond" w:hAnsi="Garamond"/>
          <w:noProof/>
          <w:sz w:val="20"/>
          <w:szCs w:val="20"/>
        </w:rPr>
        <mc:AlternateContent>
          <mc:Choice Requires="wps">
            <w:drawing>
              <wp:anchor distT="0" distB="0" distL="114300" distR="114300" simplePos="0" relativeHeight="251669504" behindDoc="0" locked="0" layoutInCell="1" allowOverlap="1" wp14:anchorId="436D73E8" wp14:editId="590476BA">
                <wp:simplePos x="0" y="0"/>
                <wp:positionH relativeFrom="column">
                  <wp:posOffset>3507105</wp:posOffset>
                </wp:positionH>
                <wp:positionV relativeFrom="paragraph">
                  <wp:posOffset>415925</wp:posOffset>
                </wp:positionV>
                <wp:extent cx="1979295" cy="1200150"/>
                <wp:effectExtent l="11430" t="6350" r="9525" b="1270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295" cy="120015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B53CF" w:rsidRPr="001C1898" w:rsidRDefault="005B53CF" w:rsidP="005B53CF">
                            <w:pPr>
                              <w:pStyle w:val="NormalWeb"/>
                              <w:spacing w:after="0"/>
                              <w:jc w:val="center"/>
                            </w:pPr>
                            <w:r w:rsidRPr="00EB05DA">
                              <w:rPr>
                                <w:rFonts w:ascii="Arial" w:hAnsi="Arial" w:cs="Arial"/>
                                <w:color w:val="000000"/>
                                <w:kern w:val="24"/>
                              </w:rPr>
                              <w:t>Organisational activities, barriers (e.g. access) or producer ‘resistance’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6" style="position:absolute;margin-left:276.15pt;margin-top:32.75pt;width:155.85pt;height: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" filled="f" strokecolor="black [3213]" strokeweight="1pt">
                <v:textbox>
                  <w:txbxContent>
                    <w:p w:rsidR="005B53CF" w:rsidRPr="001C1898" w:rsidRDefault="005B53CF" w:rsidP="005B53CF">
                      <w:pPr>
                        <w:pStyle w:val="NormalWeb"/>
                        <w:spacing w:after="0"/>
                        <w:jc w:val="center"/>
                      </w:pPr>
                      <w:r w:rsidRPr="00EB05DA">
                        <w:rPr>
                          <w:rFonts w:ascii="Arial" w:hAnsi="Arial" w:cs="Arial"/>
                          <w:color w:val="000000"/>
                          <w:kern w:val="24"/>
                        </w:rPr>
                        <w:t>Organisational activities, barriers (e.g. access) or producer ‘resistance’</w:t>
                      </w:r>
                    </w:p>
                  </w:txbxContent>
                </v:textbox>
              </v:rect>
            </w:pict>
          </mc:Fallback>
        </mc:AlternateContent>
      </w:r>
      <w:r w:rsidRPr="00CF1646">
        <w:rPr>
          <w:rFonts w:ascii="Garamond" w:hAnsi="Garamond"/>
          <w:noProof/>
          <w:sz w:val="20"/>
          <w:szCs w:val="20"/>
        </w:rPr>
        <mc:AlternateContent>
          <mc:Choice Requires="wps">
            <w:drawing>
              <wp:anchor distT="0" distB="0" distL="114300" distR="114300" simplePos="0" relativeHeight="251671552" behindDoc="0" locked="0" layoutInCell="1" allowOverlap="1" wp14:anchorId="1B4BA98B" wp14:editId="40B40985">
                <wp:simplePos x="0" y="0"/>
                <wp:positionH relativeFrom="column">
                  <wp:posOffset>3411220</wp:posOffset>
                </wp:positionH>
                <wp:positionV relativeFrom="paragraph">
                  <wp:posOffset>82550</wp:posOffset>
                </wp:positionV>
                <wp:extent cx="2263140" cy="0"/>
                <wp:effectExtent l="20320" t="53975" r="21590" b="60325"/>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31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68.6pt;margin-top:6.5pt;width:178.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">
                <v:stroke startarrow="block" endarrow="block"/>
              </v:shape>
            </w:pict>
          </mc:Fallback>
        </mc:AlternateContent>
      </w:r>
    </w:p>
    <w:p w:rsidR="005B53CF" w:rsidRPr="00CF1646" w:rsidRDefault="005B53CF" w:rsidP="005B53CF">
      <w:pPr>
        <w:spacing w:line="480" w:lineRule="auto"/>
        <w:rPr>
          <w:rFonts w:ascii="Garamond" w:hAnsi="Garamond"/>
          <w:b/>
          <w:sz w:val="20"/>
          <w:szCs w:val="20"/>
        </w:rPr>
        <w:sectPr w:rsidR="005B53CF" w:rsidRPr="00CF1646" w:rsidSect="00D5769E">
          <w:pgSz w:w="16838" w:h="11906" w:orient="landscape"/>
          <w:pgMar w:top="1797" w:right="1440" w:bottom="1797" w:left="1440" w:header="709" w:footer="709" w:gutter="0"/>
          <w:cols w:space="708"/>
          <w:docGrid w:linePitch="360"/>
        </w:sectPr>
      </w:pPr>
    </w:p>
    <w:p w:rsidR="006E4474" w:rsidRDefault="006E4474"/>
    <w:sectPr w:rsidR="006E44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0FE" w:rsidRDefault="004A70FE" w:rsidP="004A70FE">
      <w:pPr>
        <w:spacing w:after="0" w:line="240" w:lineRule="auto"/>
      </w:pPr>
      <w:r>
        <w:separator/>
      </w:r>
    </w:p>
  </w:endnote>
  <w:endnote w:type="continuationSeparator" w:id="0">
    <w:p w:rsidR="004A70FE" w:rsidRDefault="004A70FE" w:rsidP="004A7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ao UI">
    <w:altName w:val="Segoe UI"/>
    <w:panose1 w:val="020B0502040204020203"/>
    <w:charset w:val="00"/>
    <w:family w:val="swiss"/>
    <w:pitch w:val="variable"/>
    <w:sig w:usb0="02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695881"/>
      <w:docPartObj>
        <w:docPartGallery w:val="Page Numbers (Bottom of Page)"/>
        <w:docPartUnique/>
      </w:docPartObj>
    </w:sdtPr>
    <w:sdtEndPr>
      <w:rPr>
        <w:rFonts w:ascii="Garamond" w:hAnsi="Garamond"/>
        <w:noProof/>
        <w:sz w:val="20"/>
        <w:szCs w:val="20"/>
      </w:rPr>
    </w:sdtEndPr>
    <w:sdtContent>
      <w:p w:rsidR="00BD399E" w:rsidRPr="004A70FE" w:rsidRDefault="00C04BBD">
        <w:pPr>
          <w:pStyle w:val="Footer"/>
          <w:jc w:val="right"/>
          <w:rPr>
            <w:rFonts w:ascii="Garamond" w:hAnsi="Garamond"/>
            <w:sz w:val="20"/>
            <w:szCs w:val="20"/>
          </w:rPr>
        </w:pPr>
        <w:r w:rsidRPr="004A70FE">
          <w:rPr>
            <w:rFonts w:ascii="Garamond" w:hAnsi="Garamond"/>
            <w:sz w:val="20"/>
            <w:szCs w:val="20"/>
          </w:rPr>
          <w:fldChar w:fldCharType="begin"/>
        </w:r>
        <w:r w:rsidRPr="004A70FE">
          <w:rPr>
            <w:rFonts w:ascii="Garamond" w:hAnsi="Garamond"/>
            <w:sz w:val="20"/>
            <w:szCs w:val="20"/>
          </w:rPr>
          <w:instrText xml:space="preserve"> PAGE   \* MERGEFORMAT </w:instrText>
        </w:r>
        <w:r w:rsidRPr="004A70FE">
          <w:rPr>
            <w:rFonts w:ascii="Garamond" w:hAnsi="Garamond"/>
            <w:sz w:val="20"/>
            <w:szCs w:val="20"/>
          </w:rPr>
          <w:fldChar w:fldCharType="separate"/>
        </w:r>
        <w:r>
          <w:rPr>
            <w:rFonts w:ascii="Garamond" w:hAnsi="Garamond"/>
            <w:noProof/>
            <w:sz w:val="20"/>
            <w:szCs w:val="20"/>
          </w:rPr>
          <w:t>1</w:t>
        </w:r>
        <w:r w:rsidRPr="004A70FE">
          <w:rPr>
            <w:rFonts w:ascii="Garamond" w:hAnsi="Garamond"/>
            <w:noProof/>
            <w:sz w:val="20"/>
            <w:szCs w:val="20"/>
          </w:rPr>
          <w:fldChar w:fldCharType="end"/>
        </w:r>
      </w:p>
    </w:sdtContent>
  </w:sdt>
  <w:p w:rsidR="00BD399E" w:rsidRDefault="00C04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0FE" w:rsidRDefault="004A70FE" w:rsidP="004A70FE">
      <w:pPr>
        <w:spacing w:after="0" w:line="240" w:lineRule="auto"/>
      </w:pPr>
      <w:r>
        <w:separator/>
      </w:r>
    </w:p>
  </w:footnote>
  <w:footnote w:type="continuationSeparator" w:id="0">
    <w:p w:rsidR="004A70FE" w:rsidRDefault="004A70FE" w:rsidP="004A70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2713A"/>
    <w:multiLevelType w:val="hybridMultilevel"/>
    <w:tmpl w:val="3982C1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6761CD"/>
    <w:multiLevelType w:val="hybridMultilevel"/>
    <w:tmpl w:val="DD5A5C5E"/>
    <w:lvl w:ilvl="0" w:tplc="2A02D9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6F3A87"/>
    <w:multiLevelType w:val="hybridMultilevel"/>
    <w:tmpl w:val="1B60A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FC322F"/>
    <w:multiLevelType w:val="hybridMultilevel"/>
    <w:tmpl w:val="F63A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D77A08"/>
    <w:multiLevelType w:val="hybridMultilevel"/>
    <w:tmpl w:val="D40C5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3CF"/>
    <w:rsid w:val="00076F72"/>
    <w:rsid w:val="000D6218"/>
    <w:rsid w:val="001D71A4"/>
    <w:rsid w:val="002F4681"/>
    <w:rsid w:val="003333F0"/>
    <w:rsid w:val="00333CC0"/>
    <w:rsid w:val="003D1053"/>
    <w:rsid w:val="00425F9F"/>
    <w:rsid w:val="004A257F"/>
    <w:rsid w:val="004A70FE"/>
    <w:rsid w:val="004F46D6"/>
    <w:rsid w:val="005B53CF"/>
    <w:rsid w:val="005D057B"/>
    <w:rsid w:val="006E4474"/>
    <w:rsid w:val="007954A5"/>
    <w:rsid w:val="00891C3E"/>
    <w:rsid w:val="009430AB"/>
    <w:rsid w:val="009A70C7"/>
    <w:rsid w:val="00A80792"/>
    <w:rsid w:val="00AA06AC"/>
    <w:rsid w:val="00B76F98"/>
    <w:rsid w:val="00BB0338"/>
    <w:rsid w:val="00C04BBD"/>
    <w:rsid w:val="00C57C91"/>
    <w:rsid w:val="00D71909"/>
    <w:rsid w:val="00DB6B5D"/>
    <w:rsid w:val="00E60F6D"/>
    <w:rsid w:val="00ED3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CF"/>
    <w:pPr>
      <w:spacing w:after="240" w:line="360" w:lineRule="auto"/>
    </w:pPr>
    <w:rPr>
      <w:rFonts w:eastAsia="Times New Roman" w:cs="Times New Roman"/>
      <w:szCs w:val="22"/>
      <w:lang w:eastAsia="en-GB"/>
    </w:rPr>
  </w:style>
  <w:style w:type="paragraph" w:styleId="Heading1">
    <w:name w:val="heading 1"/>
    <w:basedOn w:val="Normal"/>
    <w:next w:val="Normal"/>
    <w:link w:val="Heading1Char"/>
    <w:autoRedefine/>
    <w:qFormat/>
    <w:rsid w:val="005B53CF"/>
    <w:pPr>
      <w:keepNext/>
      <w:spacing w:before="240" w:after="60"/>
      <w:outlineLvl w:val="0"/>
    </w:pPr>
    <w:rPr>
      <w:rFonts w:cs="Arial"/>
      <w:b/>
      <w:bCs/>
      <w:color w:val="244061" w:themeColor="accent1" w:themeShade="80"/>
      <w:kern w:val="32"/>
      <w:sz w:val="36"/>
      <w:szCs w:val="32"/>
    </w:rPr>
  </w:style>
  <w:style w:type="paragraph" w:styleId="Heading2">
    <w:name w:val="heading 2"/>
    <w:basedOn w:val="Normal"/>
    <w:next w:val="Normal"/>
    <w:link w:val="Heading2Char"/>
    <w:autoRedefine/>
    <w:qFormat/>
    <w:rsid w:val="005B53CF"/>
    <w:pPr>
      <w:keepNext/>
      <w:spacing w:before="240" w:after="60"/>
      <w:outlineLvl w:val="1"/>
    </w:pPr>
    <w:rPr>
      <w:rFonts w:cs="Arial"/>
      <w:bCs/>
      <w:iCs/>
      <w:color w:val="244061" w:themeColor="accent1" w:themeShade="80"/>
      <w:sz w:val="32"/>
      <w:szCs w:val="28"/>
    </w:rPr>
  </w:style>
  <w:style w:type="paragraph" w:styleId="Heading3">
    <w:name w:val="heading 3"/>
    <w:basedOn w:val="Normal"/>
    <w:next w:val="Normal"/>
    <w:link w:val="Heading3Char"/>
    <w:autoRedefine/>
    <w:qFormat/>
    <w:rsid w:val="005B53CF"/>
    <w:pPr>
      <w:keepNext/>
      <w:spacing w:after="96"/>
      <w:outlineLvl w:val="2"/>
    </w:pPr>
    <w:rPr>
      <w:b/>
      <w:color w:val="244061" w:themeColor="accent1" w:themeShade="80"/>
      <w:spacing w:val="10"/>
      <w:sz w:val="25"/>
      <w:szCs w:val="20"/>
      <w:lang w:val="en-US"/>
    </w:rPr>
  </w:style>
  <w:style w:type="paragraph" w:styleId="Heading5">
    <w:name w:val="heading 5"/>
    <w:basedOn w:val="Normal"/>
    <w:next w:val="Normal"/>
    <w:link w:val="Heading5Char"/>
    <w:autoRedefine/>
    <w:qFormat/>
    <w:rsid w:val="005B53CF"/>
    <w:pPr>
      <w:spacing w:before="240" w:after="60"/>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53CF"/>
    <w:rPr>
      <w:rFonts w:eastAsia="Times New Roman"/>
      <w:b/>
      <w:bCs/>
      <w:color w:val="244061" w:themeColor="accent1" w:themeShade="80"/>
      <w:kern w:val="32"/>
      <w:sz w:val="36"/>
      <w:szCs w:val="32"/>
      <w:lang w:eastAsia="en-GB"/>
    </w:rPr>
  </w:style>
  <w:style w:type="character" w:customStyle="1" w:styleId="Heading2Char">
    <w:name w:val="Heading 2 Char"/>
    <w:basedOn w:val="DefaultParagraphFont"/>
    <w:link w:val="Heading2"/>
    <w:rsid w:val="005B53CF"/>
    <w:rPr>
      <w:rFonts w:eastAsia="Times New Roman"/>
      <w:bCs/>
      <w:iCs/>
      <w:color w:val="244061" w:themeColor="accent1" w:themeShade="80"/>
      <w:sz w:val="32"/>
      <w:szCs w:val="28"/>
      <w:lang w:eastAsia="en-GB"/>
    </w:rPr>
  </w:style>
  <w:style w:type="character" w:customStyle="1" w:styleId="Heading3Char">
    <w:name w:val="Heading 3 Char"/>
    <w:basedOn w:val="DefaultParagraphFont"/>
    <w:link w:val="Heading3"/>
    <w:rsid w:val="005B53CF"/>
    <w:rPr>
      <w:rFonts w:eastAsia="Times New Roman" w:cs="Times New Roman"/>
      <w:b/>
      <w:color w:val="244061" w:themeColor="accent1" w:themeShade="80"/>
      <w:spacing w:val="10"/>
      <w:sz w:val="25"/>
      <w:szCs w:val="20"/>
      <w:lang w:val="en-US" w:eastAsia="en-GB"/>
    </w:rPr>
  </w:style>
  <w:style w:type="character" w:customStyle="1" w:styleId="Heading5Char">
    <w:name w:val="Heading 5 Char"/>
    <w:basedOn w:val="DefaultParagraphFont"/>
    <w:link w:val="Heading5"/>
    <w:rsid w:val="005B53CF"/>
    <w:rPr>
      <w:rFonts w:eastAsia="Times New Roman" w:cs="Times New Roman"/>
      <w:b/>
      <w:bCs/>
      <w:i/>
      <w:iCs/>
      <w:szCs w:val="26"/>
      <w:lang w:eastAsia="en-GB"/>
    </w:rPr>
  </w:style>
  <w:style w:type="paragraph" w:styleId="Title">
    <w:name w:val="Title"/>
    <w:basedOn w:val="Normal"/>
    <w:next w:val="Normal"/>
    <w:link w:val="TitleChar"/>
    <w:autoRedefine/>
    <w:uiPriority w:val="10"/>
    <w:qFormat/>
    <w:rsid w:val="005B53CF"/>
    <w:pPr>
      <w:contextualSpacing/>
    </w:pPr>
    <w:rPr>
      <w:rFonts w:eastAsiaTheme="majorEastAsia" w:cs="Arial"/>
      <w:color w:val="244061" w:themeColor="accent1" w:themeShade="80"/>
      <w:spacing w:val="-10"/>
      <w:kern w:val="28"/>
      <w:sz w:val="56"/>
      <w:szCs w:val="56"/>
    </w:rPr>
  </w:style>
  <w:style w:type="character" w:customStyle="1" w:styleId="TitleChar">
    <w:name w:val="Title Char"/>
    <w:basedOn w:val="DefaultParagraphFont"/>
    <w:link w:val="Title"/>
    <w:uiPriority w:val="10"/>
    <w:rsid w:val="005B53CF"/>
    <w:rPr>
      <w:rFonts w:eastAsiaTheme="majorEastAsia"/>
      <w:color w:val="244061" w:themeColor="accent1" w:themeShade="80"/>
      <w:spacing w:val="-10"/>
      <w:kern w:val="28"/>
      <w:sz w:val="56"/>
      <w:szCs w:val="56"/>
      <w:lang w:eastAsia="en-GB"/>
    </w:rPr>
  </w:style>
  <w:style w:type="paragraph" w:styleId="Subtitle">
    <w:name w:val="Subtitle"/>
    <w:basedOn w:val="Normal"/>
    <w:next w:val="Normal"/>
    <w:link w:val="SubtitleChar"/>
    <w:autoRedefine/>
    <w:uiPriority w:val="11"/>
    <w:qFormat/>
    <w:rsid w:val="005B53CF"/>
    <w:pPr>
      <w:numPr>
        <w:ilvl w:val="1"/>
      </w:numPr>
      <w:spacing w:after="160"/>
    </w:pPr>
    <w:rPr>
      <w:rFonts w:eastAsiaTheme="minorEastAsia" w:cstheme="minorBidi"/>
      <w:color w:val="244061" w:themeColor="accent1" w:themeShade="80"/>
      <w:spacing w:val="15"/>
      <w:sz w:val="25"/>
    </w:rPr>
  </w:style>
  <w:style w:type="character" w:customStyle="1" w:styleId="SubtitleChar">
    <w:name w:val="Subtitle Char"/>
    <w:basedOn w:val="DefaultParagraphFont"/>
    <w:link w:val="Subtitle"/>
    <w:uiPriority w:val="11"/>
    <w:rsid w:val="005B53CF"/>
    <w:rPr>
      <w:rFonts w:eastAsiaTheme="minorEastAsia" w:cstheme="minorBidi"/>
      <w:color w:val="244061" w:themeColor="accent1" w:themeShade="80"/>
      <w:spacing w:val="15"/>
      <w:sz w:val="25"/>
      <w:szCs w:val="22"/>
      <w:lang w:eastAsia="en-GB"/>
    </w:rPr>
  </w:style>
  <w:style w:type="character" w:styleId="SubtleEmphasis">
    <w:name w:val="Subtle Emphasis"/>
    <w:basedOn w:val="DefaultParagraphFont"/>
    <w:uiPriority w:val="19"/>
    <w:qFormat/>
    <w:rsid w:val="005B53CF"/>
    <w:rPr>
      <w:rFonts w:ascii="Arial Rounded MT Bold" w:hAnsi="Arial Rounded MT Bold"/>
      <w:i w:val="0"/>
      <w:iCs/>
      <w:color w:val="244061" w:themeColor="accent1" w:themeShade="80"/>
      <w:sz w:val="25"/>
    </w:rPr>
  </w:style>
  <w:style w:type="paragraph" w:styleId="BalloonText">
    <w:name w:val="Balloon Text"/>
    <w:basedOn w:val="Normal"/>
    <w:link w:val="BalloonTextChar"/>
    <w:uiPriority w:val="99"/>
    <w:semiHidden/>
    <w:unhideWhenUsed/>
    <w:rsid w:val="005B53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3CF"/>
    <w:rPr>
      <w:rFonts w:ascii="Segoe UI" w:eastAsia="Times New Roman" w:hAnsi="Segoe UI" w:cs="Segoe UI"/>
      <w:sz w:val="18"/>
      <w:szCs w:val="18"/>
      <w:lang w:eastAsia="en-GB"/>
    </w:rPr>
  </w:style>
  <w:style w:type="paragraph" w:styleId="Header">
    <w:name w:val="header"/>
    <w:basedOn w:val="Normal"/>
    <w:link w:val="HeaderChar"/>
    <w:uiPriority w:val="99"/>
    <w:unhideWhenUsed/>
    <w:rsid w:val="005B53CF"/>
    <w:pPr>
      <w:tabs>
        <w:tab w:val="center" w:pos="4320"/>
        <w:tab w:val="right" w:pos="8640"/>
      </w:tabs>
    </w:pPr>
  </w:style>
  <w:style w:type="character" w:customStyle="1" w:styleId="HeaderChar">
    <w:name w:val="Header Char"/>
    <w:basedOn w:val="DefaultParagraphFont"/>
    <w:link w:val="Header"/>
    <w:uiPriority w:val="99"/>
    <w:rsid w:val="005B53CF"/>
    <w:rPr>
      <w:rFonts w:eastAsia="Times New Roman" w:cs="Times New Roman"/>
      <w:szCs w:val="22"/>
      <w:lang w:eastAsia="en-GB"/>
    </w:rPr>
  </w:style>
  <w:style w:type="paragraph" w:styleId="Footer">
    <w:name w:val="footer"/>
    <w:basedOn w:val="Normal"/>
    <w:link w:val="FooterChar"/>
    <w:uiPriority w:val="99"/>
    <w:unhideWhenUsed/>
    <w:rsid w:val="005B53CF"/>
    <w:pPr>
      <w:tabs>
        <w:tab w:val="center" w:pos="4320"/>
        <w:tab w:val="right" w:pos="8640"/>
      </w:tabs>
    </w:pPr>
  </w:style>
  <w:style w:type="character" w:customStyle="1" w:styleId="FooterChar">
    <w:name w:val="Footer Char"/>
    <w:basedOn w:val="DefaultParagraphFont"/>
    <w:link w:val="Footer"/>
    <w:uiPriority w:val="99"/>
    <w:rsid w:val="005B53CF"/>
    <w:rPr>
      <w:rFonts w:eastAsia="Times New Roman" w:cs="Times New Roman"/>
      <w:szCs w:val="22"/>
      <w:lang w:eastAsia="en-GB"/>
    </w:rPr>
  </w:style>
  <w:style w:type="paragraph" w:styleId="Caption">
    <w:name w:val="caption"/>
    <w:basedOn w:val="Normal"/>
    <w:next w:val="Normal"/>
    <w:uiPriority w:val="35"/>
    <w:unhideWhenUsed/>
    <w:qFormat/>
    <w:rsid w:val="005B53CF"/>
    <w:pPr>
      <w:spacing w:after="200" w:line="240" w:lineRule="auto"/>
      <w:jc w:val="center"/>
    </w:pPr>
    <w:rPr>
      <w:iCs/>
      <w:sz w:val="18"/>
      <w:szCs w:val="18"/>
    </w:rPr>
  </w:style>
  <w:style w:type="character" w:styleId="Hyperlink">
    <w:name w:val="Hyperlink"/>
    <w:basedOn w:val="DefaultParagraphFont"/>
    <w:uiPriority w:val="99"/>
    <w:unhideWhenUsed/>
    <w:rsid w:val="005B53CF"/>
    <w:rPr>
      <w:color w:val="0000FF" w:themeColor="hyperlink"/>
      <w:u w:val="single"/>
    </w:rPr>
  </w:style>
  <w:style w:type="paragraph" w:styleId="NormalWeb">
    <w:name w:val="Normal (Web)"/>
    <w:basedOn w:val="Normal"/>
    <w:uiPriority w:val="99"/>
    <w:unhideWhenUsed/>
    <w:rsid w:val="005B53CF"/>
    <w:pPr>
      <w:spacing w:after="420" w:line="240" w:lineRule="auto"/>
    </w:pPr>
    <w:rPr>
      <w:rFonts w:ascii="Times New Roman" w:hAnsi="Times New Roman"/>
      <w:szCs w:val="24"/>
    </w:rPr>
  </w:style>
  <w:style w:type="paragraph" w:styleId="ListParagraph">
    <w:name w:val="List Paragraph"/>
    <w:basedOn w:val="Normal"/>
    <w:uiPriority w:val="34"/>
    <w:qFormat/>
    <w:rsid w:val="005B53CF"/>
    <w:pPr>
      <w:ind w:left="720"/>
      <w:contextualSpacing/>
    </w:pPr>
  </w:style>
  <w:style w:type="table" w:styleId="TableGrid">
    <w:name w:val="Table Grid"/>
    <w:basedOn w:val="TableNormal"/>
    <w:uiPriority w:val="39"/>
    <w:rsid w:val="005B53C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5B53CF"/>
    <w:pPr>
      <w:spacing w:before="100" w:beforeAutospacing="1" w:after="100" w:afterAutospacing="1" w:line="240" w:lineRule="auto"/>
    </w:pPr>
    <w:rPr>
      <w:rFonts w:ascii="Times New Roman" w:hAnsi="Times New Roman"/>
      <w:szCs w:val="24"/>
    </w:rPr>
  </w:style>
  <w:style w:type="paragraph" w:styleId="PlainText">
    <w:name w:val="Plain Text"/>
    <w:basedOn w:val="Normal"/>
    <w:link w:val="PlainTextChar"/>
    <w:uiPriority w:val="99"/>
    <w:unhideWhenUsed/>
    <w:rsid w:val="005B53CF"/>
    <w:pPr>
      <w:spacing w:after="0" w:line="240" w:lineRule="auto"/>
    </w:pPr>
    <w:rPr>
      <w:rFonts w:ascii="Lao UI" w:eastAsiaTheme="minorHAnsi" w:hAnsi="Lao UI" w:cstheme="minorBidi"/>
      <w:sz w:val="20"/>
      <w:lang w:eastAsia="en-US"/>
    </w:rPr>
  </w:style>
  <w:style w:type="character" w:customStyle="1" w:styleId="PlainTextChar">
    <w:name w:val="Plain Text Char"/>
    <w:basedOn w:val="DefaultParagraphFont"/>
    <w:link w:val="PlainText"/>
    <w:uiPriority w:val="99"/>
    <w:rsid w:val="005B53CF"/>
    <w:rPr>
      <w:rFonts w:ascii="Lao UI" w:hAnsi="Lao UI" w:cstheme="minorBidi"/>
      <w:sz w:val="20"/>
      <w:szCs w:val="22"/>
    </w:rPr>
  </w:style>
  <w:style w:type="table" w:customStyle="1" w:styleId="GridTable1Light-Accent51">
    <w:name w:val="Grid Table 1 Light - Accent 51"/>
    <w:basedOn w:val="TableNormal"/>
    <w:uiPriority w:val="46"/>
    <w:rsid w:val="005B53CF"/>
    <w:pPr>
      <w:spacing w:after="0" w:line="240" w:lineRule="auto"/>
    </w:pPr>
    <w:rPr>
      <w:rFonts w:asciiTheme="minorHAnsi" w:hAnsiTheme="minorHAnsi" w:cstheme="minorBidi"/>
      <w:sz w:val="22"/>
      <w:szCs w:val="22"/>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Normal1">
    <w:name w:val="Normal1"/>
    <w:rsid w:val="005B53CF"/>
    <w:pPr>
      <w:spacing w:after="0"/>
    </w:pPr>
    <w:rPr>
      <w:rFonts w:eastAsia="Arial"/>
      <w:sz w:val="22"/>
      <w:szCs w:val="22"/>
      <w:lang w:eastAsia="en-GB"/>
    </w:rPr>
  </w:style>
  <w:style w:type="character" w:customStyle="1" w:styleId="UnresolvedMention1">
    <w:name w:val="Unresolved Mention1"/>
    <w:basedOn w:val="DefaultParagraphFont"/>
    <w:uiPriority w:val="99"/>
    <w:semiHidden/>
    <w:unhideWhenUsed/>
    <w:rsid w:val="005B53CF"/>
    <w:rPr>
      <w:color w:val="605E5C"/>
      <w:shd w:val="clear" w:color="auto" w:fill="E1DFDD"/>
    </w:rPr>
  </w:style>
  <w:style w:type="character" w:styleId="FollowedHyperlink">
    <w:name w:val="FollowedHyperlink"/>
    <w:basedOn w:val="DefaultParagraphFont"/>
    <w:uiPriority w:val="99"/>
    <w:semiHidden/>
    <w:unhideWhenUsed/>
    <w:rsid w:val="005B53CF"/>
    <w:rPr>
      <w:color w:val="800080" w:themeColor="followedHyperlink"/>
      <w:u w:val="single"/>
    </w:rPr>
  </w:style>
  <w:style w:type="character" w:customStyle="1" w:styleId="UnresolvedMention">
    <w:name w:val="Unresolved Mention"/>
    <w:basedOn w:val="DefaultParagraphFont"/>
    <w:uiPriority w:val="99"/>
    <w:semiHidden/>
    <w:unhideWhenUsed/>
    <w:rsid w:val="005B53CF"/>
    <w:rPr>
      <w:color w:val="605E5C"/>
      <w:shd w:val="clear" w:color="auto" w:fill="E1DFDD"/>
    </w:rPr>
  </w:style>
  <w:style w:type="character" w:styleId="CommentReference">
    <w:name w:val="annotation reference"/>
    <w:basedOn w:val="DefaultParagraphFont"/>
    <w:uiPriority w:val="99"/>
    <w:semiHidden/>
    <w:unhideWhenUsed/>
    <w:rsid w:val="005B53CF"/>
    <w:rPr>
      <w:sz w:val="16"/>
      <w:szCs w:val="16"/>
    </w:rPr>
  </w:style>
  <w:style w:type="paragraph" w:styleId="CommentText">
    <w:name w:val="annotation text"/>
    <w:basedOn w:val="Normal"/>
    <w:link w:val="CommentTextChar"/>
    <w:uiPriority w:val="99"/>
    <w:semiHidden/>
    <w:unhideWhenUsed/>
    <w:rsid w:val="005B53CF"/>
    <w:pPr>
      <w:spacing w:line="240" w:lineRule="auto"/>
    </w:pPr>
    <w:rPr>
      <w:sz w:val="20"/>
      <w:szCs w:val="20"/>
    </w:rPr>
  </w:style>
  <w:style w:type="character" w:customStyle="1" w:styleId="CommentTextChar">
    <w:name w:val="Comment Text Char"/>
    <w:basedOn w:val="DefaultParagraphFont"/>
    <w:link w:val="CommentText"/>
    <w:uiPriority w:val="99"/>
    <w:semiHidden/>
    <w:rsid w:val="005B53CF"/>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B53CF"/>
    <w:rPr>
      <w:b/>
      <w:bCs/>
    </w:rPr>
  </w:style>
  <w:style w:type="character" w:customStyle="1" w:styleId="CommentSubjectChar">
    <w:name w:val="Comment Subject Char"/>
    <w:basedOn w:val="CommentTextChar"/>
    <w:link w:val="CommentSubject"/>
    <w:uiPriority w:val="99"/>
    <w:semiHidden/>
    <w:rsid w:val="005B53CF"/>
    <w:rPr>
      <w:rFonts w:eastAsia="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CF"/>
    <w:pPr>
      <w:spacing w:after="240" w:line="360" w:lineRule="auto"/>
    </w:pPr>
    <w:rPr>
      <w:rFonts w:eastAsia="Times New Roman" w:cs="Times New Roman"/>
      <w:szCs w:val="22"/>
      <w:lang w:eastAsia="en-GB"/>
    </w:rPr>
  </w:style>
  <w:style w:type="paragraph" w:styleId="Heading1">
    <w:name w:val="heading 1"/>
    <w:basedOn w:val="Normal"/>
    <w:next w:val="Normal"/>
    <w:link w:val="Heading1Char"/>
    <w:autoRedefine/>
    <w:qFormat/>
    <w:rsid w:val="005B53CF"/>
    <w:pPr>
      <w:keepNext/>
      <w:spacing w:before="240" w:after="60"/>
      <w:outlineLvl w:val="0"/>
    </w:pPr>
    <w:rPr>
      <w:rFonts w:cs="Arial"/>
      <w:b/>
      <w:bCs/>
      <w:color w:val="244061" w:themeColor="accent1" w:themeShade="80"/>
      <w:kern w:val="32"/>
      <w:sz w:val="36"/>
      <w:szCs w:val="32"/>
    </w:rPr>
  </w:style>
  <w:style w:type="paragraph" w:styleId="Heading2">
    <w:name w:val="heading 2"/>
    <w:basedOn w:val="Normal"/>
    <w:next w:val="Normal"/>
    <w:link w:val="Heading2Char"/>
    <w:autoRedefine/>
    <w:qFormat/>
    <w:rsid w:val="005B53CF"/>
    <w:pPr>
      <w:keepNext/>
      <w:spacing w:before="240" w:after="60"/>
      <w:outlineLvl w:val="1"/>
    </w:pPr>
    <w:rPr>
      <w:rFonts w:cs="Arial"/>
      <w:bCs/>
      <w:iCs/>
      <w:color w:val="244061" w:themeColor="accent1" w:themeShade="80"/>
      <w:sz w:val="32"/>
      <w:szCs w:val="28"/>
    </w:rPr>
  </w:style>
  <w:style w:type="paragraph" w:styleId="Heading3">
    <w:name w:val="heading 3"/>
    <w:basedOn w:val="Normal"/>
    <w:next w:val="Normal"/>
    <w:link w:val="Heading3Char"/>
    <w:autoRedefine/>
    <w:qFormat/>
    <w:rsid w:val="005B53CF"/>
    <w:pPr>
      <w:keepNext/>
      <w:spacing w:after="96"/>
      <w:outlineLvl w:val="2"/>
    </w:pPr>
    <w:rPr>
      <w:b/>
      <w:color w:val="244061" w:themeColor="accent1" w:themeShade="80"/>
      <w:spacing w:val="10"/>
      <w:sz w:val="25"/>
      <w:szCs w:val="20"/>
      <w:lang w:val="en-US"/>
    </w:rPr>
  </w:style>
  <w:style w:type="paragraph" w:styleId="Heading5">
    <w:name w:val="heading 5"/>
    <w:basedOn w:val="Normal"/>
    <w:next w:val="Normal"/>
    <w:link w:val="Heading5Char"/>
    <w:autoRedefine/>
    <w:qFormat/>
    <w:rsid w:val="005B53CF"/>
    <w:pPr>
      <w:spacing w:before="240" w:after="60"/>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53CF"/>
    <w:rPr>
      <w:rFonts w:eastAsia="Times New Roman"/>
      <w:b/>
      <w:bCs/>
      <w:color w:val="244061" w:themeColor="accent1" w:themeShade="80"/>
      <w:kern w:val="32"/>
      <w:sz w:val="36"/>
      <w:szCs w:val="32"/>
      <w:lang w:eastAsia="en-GB"/>
    </w:rPr>
  </w:style>
  <w:style w:type="character" w:customStyle="1" w:styleId="Heading2Char">
    <w:name w:val="Heading 2 Char"/>
    <w:basedOn w:val="DefaultParagraphFont"/>
    <w:link w:val="Heading2"/>
    <w:rsid w:val="005B53CF"/>
    <w:rPr>
      <w:rFonts w:eastAsia="Times New Roman"/>
      <w:bCs/>
      <w:iCs/>
      <w:color w:val="244061" w:themeColor="accent1" w:themeShade="80"/>
      <w:sz w:val="32"/>
      <w:szCs w:val="28"/>
      <w:lang w:eastAsia="en-GB"/>
    </w:rPr>
  </w:style>
  <w:style w:type="character" w:customStyle="1" w:styleId="Heading3Char">
    <w:name w:val="Heading 3 Char"/>
    <w:basedOn w:val="DefaultParagraphFont"/>
    <w:link w:val="Heading3"/>
    <w:rsid w:val="005B53CF"/>
    <w:rPr>
      <w:rFonts w:eastAsia="Times New Roman" w:cs="Times New Roman"/>
      <w:b/>
      <w:color w:val="244061" w:themeColor="accent1" w:themeShade="80"/>
      <w:spacing w:val="10"/>
      <w:sz w:val="25"/>
      <w:szCs w:val="20"/>
      <w:lang w:val="en-US" w:eastAsia="en-GB"/>
    </w:rPr>
  </w:style>
  <w:style w:type="character" w:customStyle="1" w:styleId="Heading5Char">
    <w:name w:val="Heading 5 Char"/>
    <w:basedOn w:val="DefaultParagraphFont"/>
    <w:link w:val="Heading5"/>
    <w:rsid w:val="005B53CF"/>
    <w:rPr>
      <w:rFonts w:eastAsia="Times New Roman" w:cs="Times New Roman"/>
      <w:b/>
      <w:bCs/>
      <w:i/>
      <w:iCs/>
      <w:szCs w:val="26"/>
      <w:lang w:eastAsia="en-GB"/>
    </w:rPr>
  </w:style>
  <w:style w:type="paragraph" w:styleId="Title">
    <w:name w:val="Title"/>
    <w:basedOn w:val="Normal"/>
    <w:next w:val="Normal"/>
    <w:link w:val="TitleChar"/>
    <w:autoRedefine/>
    <w:uiPriority w:val="10"/>
    <w:qFormat/>
    <w:rsid w:val="005B53CF"/>
    <w:pPr>
      <w:contextualSpacing/>
    </w:pPr>
    <w:rPr>
      <w:rFonts w:eastAsiaTheme="majorEastAsia" w:cs="Arial"/>
      <w:color w:val="244061" w:themeColor="accent1" w:themeShade="80"/>
      <w:spacing w:val="-10"/>
      <w:kern w:val="28"/>
      <w:sz w:val="56"/>
      <w:szCs w:val="56"/>
    </w:rPr>
  </w:style>
  <w:style w:type="character" w:customStyle="1" w:styleId="TitleChar">
    <w:name w:val="Title Char"/>
    <w:basedOn w:val="DefaultParagraphFont"/>
    <w:link w:val="Title"/>
    <w:uiPriority w:val="10"/>
    <w:rsid w:val="005B53CF"/>
    <w:rPr>
      <w:rFonts w:eastAsiaTheme="majorEastAsia"/>
      <w:color w:val="244061" w:themeColor="accent1" w:themeShade="80"/>
      <w:spacing w:val="-10"/>
      <w:kern w:val="28"/>
      <w:sz w:val="56"/>
      <w:szCs w:val="56"/>
      <w:lang w:eastAsia="en-GB"/>
    </w:rPr>
  </w:style>
  <w:style w:type="paragraph" w:styleId="Subtitle">
    <w:name w:val="Subtitle"/>
    <w:basedOn w:val="Normal"/>
    <w:next w:val="Normal"/>
    <w:link w:val="SubtitleChar"/>
    <w:autoRedefine/>
    <w:uiPriority w:val="11"/>
    <w:qFormat/>
    <w:rsid w:val="005B53CF"/>
    <w:pPr>
      <w:numPr>
        <w:ilvl w:val="1"/>
      </w:numPr>
      <w:spacing w:after="160"/>
    </w:pPr>
    <w:rPr>
      <w:rFonts w:eastAsiaTheme="minorEastAsia" w:cstheme="minorBidi"/>
      <w:color w:val="244061" w:themeColor="accent1" w:themeShade="80"/>
      <w:spacing w:val="15"/>
      <w:sz w:val="25"/>
    </w:rPr>
  </w:style>
  <w:style w:type="character" w:customStyle="1" w:styleId="SubtitleChar">
    <w:name w:val="Subtitle Char"/>
    <w:basedOn w:val="DefaultParagraphFont"/>
    <w:link w:val="Subtitle"/>
    <w:uiPriority w:val="11"/>
    <w:rsid w:val="005B53CF"/>
    <w:rPr>
      <w:rFonts w:eastAsiaTheme="minorEastAsia" w:cstheme="minorBidi"/>
      <w:color w:val="244061" w:themeColor="accent1" w:themeShade="80"/>
      <w:spacing w:val="15"/>
      <w:sz w:val="25"/>
      <w:szCs w:val="22"/>
      <w:lang w:eastAsia="en-GB"/>
    </w:rPr>
  </w:style>
  <w:style w:type="character" w:styleId="SubtleEmphasis">
    <w:name w:val="Subtle Emphasis"/>
    <w:basedOn w:val="DefaultParagraphFont"/>
    <w:uiPriority w:val="19"/>
    <w:qFormat/>
    <w:rsid w:val="005B53CF"/>
    <w:rPr>
      <w:rFonts w:ascii="Arial Rounded MT Bold" w:hAnsi="Arial Rounded MT Bold"/>
      <w:i w:val="0"/>
      <w:iCs/>
      <w:color w:val="244061" w:themeColor="accent1" w:themeShade="80"/>
      <w:sz w:val="25"/>
    </w:rPr>
  </w:style>
  <w:style w:type="paragraph" w:styleId="BalloonText">
    <w:name w:val="Balloon Text"/>
    <w:basedOn w:val="Normal"/>
    <w:link w:val="BalloonTextChar"/>
    <w:uiPriority w:val="99"/>
    <w:semiHidden/>
    <w:unhideWhenUsed/>
    <w:rsid w:val="005B53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3CF"/>
    <w:rPr>
      <w:rFonts w:ascii="Segoe UI" w:eastAsia="Times New Roman" w:hAnsi="Segoe UI" w:cs="Segoe UI"/>
      <w:sz w:val="18"/>
      <w:szCs w:val="18"/>
      <w:lang w:eastAsia="en-GB"/>
    </w:rPr>
  </w:style>
  <w:style w:type="paragraph" w:styleId="Header">
    <w:name w:val="header"/>
    <w:basedOn w:val="Normal"/>
    <w:link w:val="HeaderChar"/>
    <w:uiPriority w:val="99"/>
    <w:unhideWhenUsed/>
    <w:rsid w:val="005B53CF"/>
    <w:pPr>
      <w:tabs>
        <w:tab w:val="center" w:pos="4320"/>
        <w:tab w:val="right" w:pos="8640"/>
      </w:tabs>
    </w:pPr>
  </w:style>
  <w:style w:type="character" w:customStyle="1" w:styleId="HeaderChar">
    <w:name w:val="Header Char"/>
    <w:basedOn w:val="DefaultParagraphFont"/>
    <w:link w:val="Header"/>
    <w:uiPriority w:val="99"/>
    <w:rsid w:val="005B53CF"/>
    <w:rPr>
      <w:rFonts w:eastAsia="Times New Roman" w:cs="Times New Roman"/>
      <w:szCs w:val="22"/>
      <w:lang w:eastAsia="en-GB"/>
    </w:rPr>
  </w:style>
  <w:style w:type="paragraph" w:styleId="Footer">
    <w:name w:val="footer"/>
    <w:basedOn w:val="Normal"/>
    <w:link w:val="FooterChar"/>
    <w:uiPriority w:val="99"/>
    <w:unhideWhenUsed/>
    <w:rsid w:val="005B53CF"/>
    <w:pPr>
      <w:tabs>
        <w:tab w:val="center" w:pos="4320"/>
        <w:tab w:val="right" w:pos="8640"/>
      </w:tabs>
    </w:pPr>
  </w:style>
  <w:style w:type="character" w:customStyle="1" w:styleId="FooterChar">
    <w:name w:val="Footer Char"/>
    <w:basedOn w:val="DefaultParagraphFont"/>
    <w:link w:val="Footer"/>
    <w:uiPriority w:val="99"/>
    <w:rsid w:val="005B53CF"/>
    <w:rPr>
      <w:rFonts w:eastAsia="Times New Roman" w:cs="Times New Roman"/>
      <w:szCs w:val="22"/>
      <w:lang w:eastAsia="en-GB"/>
    </w:rPr>
  </w:style>
  <w:style w:type="paragraph" w:styleId="Caption">
    <w:name w:val="caption"/>
    <w:basedOn w:val="Normal"/>
    <w:next w:val="Normal"/>
    <w:uiPriority w:val="35"/>
    <w:unhideWhenUsed/>
    <w:qFormat/>
    <w:rsid w:val="005B53CF"/>
    <w:pPr>
      <w:spacing w:after="200" w:line="240" w:lineRule="auto"/>
      <w:jc w:val="center"/>
    </w:pPr>
    <w:rPr>
      <w:iCs/>
      <w:sz w:val="18"/>
      <w:szCs w:val="18"/>
    </w:rPr>
  </w:style>
  <w:style w:type="character" w:styleId="Hyperlink">
    <w:name w:val="Hyperlink"/>
    <w:basedOn w:val="DefaultParagraphFont"/>
    <w:uiPriority w:val="99"/>
    <w:unhideWhenUsed/>
    <w:rsid w:val="005B53CF"/>
    <w:rPr>
      <w:color w:val="0000FF" w:themeColor="hyperlink"/>
      <w:u w:val="single"/>
    </w:rPr>
  </w:style>
  <w:style w:type="paragraph" w:styleId="NormalWeb">
    <w:name w:val="Normal (Web)"/>
    <w:basedOn w:val="Normal"/>
    <w:uiPriority w:val="99"/>
    <w:unhideWhenUsed/>
    <w:rsid w:val="005B53CF"/>
    <w:pPr>
      <w:spacing w:after="420" w:line="240" w:lineRule="auto"/>
    </w:pPr>
    <w:rPr>
      <w:rFonts w:ascii="Times New Roman" w:hAnsi="Times New Roman"/>
      <w:szCs w:val="24"/>
    </w:rPr>
  </w:style>
  <w:style w:type="paragraph" w:styleId="ListParagraph">
    <w:name w:val="List Paragraph"/>
    <w:basedOn w:val="Normal"/>
    <w:uiPriority w:val="34"/>
    <w:qFormat/>
    <w:rsid w:val="005B53CF"/>
    <w:pPr>
      <w:ind w:left="720"/>
      <w:contextualSpacing/>
    </w:pPr>
  </w:style>
  <w:style w:type="table" w:styleId="TableGrid">
    <w:name w:val="Table Grid"/>
    <w:basedOn w:val="TableNormal"/>
    <w:uiPriority w:val="39"/>
    <w:rsid w:val="005B53C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5B53CF"/>
    <w:pPr>
      <w:spacing w:before="100" w:beforeAutospacing="1" w:after="100" w:afterAutospacing="1" w:line="240" w:lineRule="auto"/>
    </w:pPr>
    <w:rPr>
      <w:rFonts w:ascii="Times New Roman" w:hAnsi="Times New Roman"/>
      <w:szCs w:val="24"/>
    </w:rPr>
  </w:style>
  <w:style w:type="paragraph" w:styleId="PlainText">
    <w:name w:val="Plain Text"/>
    <w:basedOn w:val="Normal"/>
    <w:link w:val="PlainTextChar"/>
    <w:uiPriority w:val="99"/>
    <w:unhideWhenUsed/>
    <w:rsid w:val="005B53CF"/>
    <w:pPr>
      <w:spacing w:after="0" w:line="240" w:lineRule="auto"/>
    </w:pPr>
    <w:rPr>
      <w:rFonts w:ascii="Lao UI" w:eastAsiaTheme="minorHAnsi" w:hAnsi="Lao UI" w:cstheme="minorBidi"/>
      <w:sz w:val="20"/>
      <w:lang w:eastAsia="en-US"/>
    </w:rPr>
  </w:style>
  <w:style w:type="character" w:customStyle="1" w:styleId="PlainTextChar">
    <w:name w:val="Plain Text Char"/>
    <w:basedOn w:val="DefaultParagraphFont"/>
    <w:link w:val="PlainText"/>
    <w:uiPriority w:val="99"/>
    <w:rsid w:val="005B53CF"/>
    <w:rPr>
      <w:rFonts w:ascii="Lao UI" w:hAnsi="Lao UI" w:cstheme="minorBidi"/>
      <w:sz w:val="20"/>
      <w:szCs w:val="22"/>
    </w:rPr>
  </w:style>
  <w:style w:type="table" w:customStyle="1" w:styleId="GridTable1Light-Accent51">
    <w:name w:val="Grid Table 1 Light - Accent 51"/>
    <w:basedOn w:val="TableNormal"/>
    <w:uiPriority w:val="46"/>
    <w:rsid w:val="005B53CF"/>
    <w:pPr>
      <w:spacing w:after="0" w:line="240" w:lineRule="auto"/>
    </w:pPr>
    <w:rPr>
      <w:rFonts w:asciiTheme="minorHAnsi" w:hAnsiTheme="minorHAnsi" w:cstheme="minorBidi"/>
      <w:sz w:val="22"/>
      <w:szCs w:val="22"/>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Normal1">
    <w:name w:val="Normal1"/>
    <w:rsid w:val="005B53CF"/>
    <w:pPr>
      <w:spacing w:after="0"/>
    </w:pPr>
    <w:rPr>
      <w:rFonts w:eastAsia="Arial"/>
      <w:sz w:val="22"/>
      <w:szCs w:val="22"/>
      <w:lang w:eastAsia="en-GB"/>
    </w:rPr>
  </w:style>
  <w:style w:type="character" w:customStyle="1" w:styleId="UnresolvedMention1">
    <w:name w:val="Unresolved Mention1"/>
    <w:basedOn w:val="DefaultParagraphFont"/>
    <w:uiPriority w:val="99"/>
    <w:semiHidden/>
    <w:unhideWhenUsed/>
    <w:rsid w:val="005B53CF"/>
    <w:rPr>
      <w:color w:val="605E5C"/>
      <w:shd w:val="clear" w:color="auto" w:fill="E1DFDD"/>
    </w:rPr>
  </w:style>
  <w:style w:type="character" w:styleId="FollowedHyperlink">
    <w:name w:val="FollowedHyperlink"/>
    <w:basedOn w:val="DefaultParagraphFont"/>
    <w:uiPriority w:val="99"/>
    <w:semiHidden/>
    <w:unhideWhenUsed/>
    <w:rsid w:val="005B53CF"/>
    <w:rPr>
      <w:color w:val="800080" w:themeColor="followedHyperlink"/>
      <w:u w:val="single"/>
    </w:rPr>
  </w:style>
  <w:style w:type="character" w:customStyle="1" w:styleId="UnresolvedMention">
    <w:name w:val="Unresolved Mention"/>
    <w:basedOn w:val="DefaultParagraphFont"/>
    <w:uiPriority w:val="99"/>
    <w:semiHidden/>
    <w:unhideWhenUsed/>
    <w:rsid w:val="005B53CF"/>
    <w:rPr>
      <w:color w:val="605E5C"/>
      <w:shd w:val="clear" w:color="auto" w:fill="E1DFDD"/>
    </w:rPr>
  </w:style>
  <w:style w:type="character" w:styleId="CommentReference">
    <w:name w:val="annotation reference"/>
    <w:basedOn w:val="DefaultParagraphFont"/>
    <w:uiPriority w:val="99"/>
    <w:semiHidden/>
    <w:unhideWhenUsed/>
    <w:rsid w:val="005B53CF"/>
    <w:rPr>
      <w:sz w:val="16"/>
      <w:szCs w:val="16"/>
    </w:rPr>
  </w:style>
  <w:style w:type="paragraph" w:styleId="CommentText">
    <w:name w:val="annotation text"/>
    <w:basedOn w:val="Normal"/>
    <w:link w:val="CommentTextChar"/>
    <w:uiPriority w:val="99"/>
    <w:semiHidden/>
    <w:unhideWhenUsed/>
    <w:rsid w:val="005B53CF"/>
    <w:pPr>
      <w:spacing w:line="240" w:lineRule="auto"/>
    </w:pPr>
    <w:rPr>
      <w:sz w:val="20"/>
      <w:szCs w:val="20"/>
    </w:rPr>
  </w:style>
  <w:style w:type="character" w:customStyle="1" w:styleId="CommentTextChar">
    <w:name w:val="Comment Text Char"/>
    <w:basedOn w:val="DefaultParagraphFont"/>
    <w:link w:val="CommentText"/>
    <w:uiPriority w:val="99"/>
    <w:semiHidden/>
    <w:rsid w:val="005B53CF"/>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B53CF"/>
    <w:rPr>
      <w:b/>
      <w:bCs/>
    </w:rPr>
  </w:style>
  <w:style w:type="character" w:customStyle="1" w:styleId="CommentSubjectChar">
    <w:name w:val="Comment Subject Char"/>
    <w:basedOn w:val="CommentTextChar"/>
    <w:link w:val="CommentSubject"/>
    <w:uiPriority w:val="99"/>
    <w:semiHidden/>
    <w:rsid w:val="005B53CF"/>
    <w:rPr>
      <w:rFonts w:eastAsia="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th.kirby@anglia.ac.uk" TargetMode="External"/><Relationship Id="rId13" Type="http://schemas.openxmlformats.org/officeDocument/2006/relationships/hyperlink" Target="http://www.brasil2016.gov.br/en/news/federal-government-launches-journalist-guide-for-the-rio-2016-olympic-and-paralympic-games/media-guide-rio-2016-olympic-and-paralympic-games-english" TargetMode="External"/><Relationship Id="rId18" Type="http://schemas.openxmlformats.org/officeDocument/2006/relationships/hyperlink" Target="https://www.ft.com/video/e078c9e7-e4a6-3183-8880-311d51728d0c" TargetMode="External"/><Relationship Id="rId3" Type="http://schemas.microsoft.com/office/2007/relationships/stylesWithEffects" Target="stylesWithEffects.xml"/><Relationship Id="rId21" Type="http://schemas.openxmlformats.org/officeDocument/2006/relationships/hyperlink" Target="https://riozones.wordpress.com/" TargetMode="External"/><Relationship Id="rId7" Type="http://schemas.openxmlformats.org/officeDocument/2006/relationships/endnotes" Target="endnotes.xml"/><Relationship Id="rId12" Type="http://schemas.openxmlformats.org/officeDocument/2006/relationships/hyperlink" Target="https://www.arup.com/-/media/arup/files/publications/c/170407hclegacy-a5-v6.pdf" TargetMode="External"/><Relationship Id="rId17" Type="http://schemas.openxmlformats.org/officeDocument/2006/relationships/hyperlink" Target="http://www.fsb.org.uk/policy/rpu/london/assets/passingthebaton_fsb_final.pdf" TargetMode="External"/><Relationship Id="rId2" Type="http://schemas.openxmlformats.org/officeDocument/2006/relationships/styles" Target="styles.xml"/><Relationship Id="rId16" Type="http://schemas.openxmlformats.org/officeDocument/2006/relationships/hyperlink" Target="http://theconversation.com/how-rio-2016-satisfied-its-sponsors-while-leaving-room-for-the-people-64071" TargetMode="External"/><Relationship Id="rId20" Type="http://schemas.openxmlformats.org/officeDocument/2006/relationships/hyperlink" Target="https://stillmed.olympic.org/media/Document%20Library/OlympicOrg/Games/Summer-Games/Games-Rio-2016-Olympic-Games/Media-Guide-for-Rio-2016/IOC-Marketing-Media-Guide-Rio-2016.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chaelduignan.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slondon.org/wp-content/uploads/downloads/2012/11/CSL_Post%20Games%20Report_Final.pdf" TargetMode="External"/><Relationship Id="rId23" Type="http://schemas.openxmlformats.org/officeDocument/2006/relationships/fontTable" Target="fontTable.xml"/><Relationship Id="rId10" Type="http://schemas.openxmlformats.org/officeDocument/2006/relationships/hyperlink" Target="mailto:mike.duignan@coventry.ac.uk" TargetMode="External"/><Relationship Id="rId19" Type="http://schemas.openxmlformats.org/officeDocument/2006/relationships/hyperlink" Target="http://www.publications.parliament.uk/pa/ld201314/ldselect/ldolympic/78/78.pdf" TargetMode="External"/><Relationship Id="rId4" Type="http://schemas.openxmlformats.org/officeDocument/2006/relationships/settings" Target="settings.xml"/><Relationship Id="rId9" Type="http://schemas.openxmlformats.org/officeDocument/2006/relationships/hyperlink" Target="mailto:seth.kirby@anglia.ac.uk" TargetMode="External"/><Relationship Id="rId14" Type="http://schemas.openxmlformats.org/officeDocument/2006/relationships/hyperlink" Target="http://www.portomaravilha.com.br/conteudo/imprensa/livreto_geral_INGLES_2016.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24</Pages>
  <Words>7901</Words>
  <Characters>45038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52834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Kirby</dc:creator>
  <cp:lastModifiedBy>Seth Kirby</cp:lastModifiedBy>
  <cp:revision>3</cp:revision>
  <dcterms:created xsi:type="dcterms:W3CDTF">2018-11-30T19:44:00Z</dcterms:created>
  <dcterms:modified xsi:type="dcterms:W3CDTF">2018-12-01T01:11:00Z</dcterms:modified>
</cp:coreProperties>
</file>