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5D66" w14:textId="74233F79" w:rsidR="00F36011" w:rsidRPr="00BF4B1D" w:rsidRDefault="00C76CC2" w:rsidP="00F45E80">
      <w:pPr>
        <w:spacing w:line="480" w:lineRule="auto"/>
        <w:rPr>
          <w:b/>
        </w:rPr>
      </w:pPr>
      <w:bookmarkStart w:id="0" w:name="_GoBack"/>
      <w:bookmarkEnd w:id="0"/>
      <w:r>
        <w:rPr>
          <w:b/>
        </w:rPr>
        <w:t>Leisure-time s</w:t>
      </w:r>
      <w:r w:rsidR="00F45E80" w:rsidRPr="00BF4B1D">
        <w:rPr>
          <w:b/>
        </w:rPr>
        <w:t>edentary be</w:t>
      </w:r>
      <w:r w:rsidR="009E5EC9" w:rsidRPr="00BF4B1D">
        <w:rPr>
          <w:b/>
        </w:rPr>
        <w:t>havior and obesity among 116,762</w:t>
      </w:r>
      <w:r w:rsidR="00F45E80" w:rsidRPr="00BF4B1D">
        <w:rPr>
          <w:b/>
        </w:rPr>
        <w:t xml:space="preserve"> ado</w:t>
      </w:r>
      <w:r w:rsidR="001C225A" w:rsidRPr="00BF4B1D">
        <w:rPr>
          <w:b/>
        </w:rPr>
        <w:t>lescents aged 12-15 years from 4</w:t>
      </w:r>
      <w:r w:rsidR="00F45E80" w:rsidRPr="00BF4B1D">
        <w:rPr>
          <w:b/>
        </w:rPr>
        <w:t xml:space="preserve">1 </w:t>
      </w:r>
      <w:r w:rsidR="001C225A" w:rsidRPr="00BF4B1D">
        <w:rPr>
          <w:b/>
        </w:rPr>
        <w:t>low- and middle-income countries</w:t>
      </w:r>
    </w:p>
    <w:p w14:paraId="5E6EA97A" w14:textId="56689698" w:rsidR="00DA57A4" w:rsidRDefault="00DA57A4" w:rsidP="00F45E80">
      <w:pPr>
        <w:spacing w:line="480" w:lineRule="auto"/>
      </w:pPr>
    </w:p>
    <w:p w14:paraId="62A5FC97" w14:textId="4F17F230" w:rsidR="002E38AB" w:rsidRDefault="002E38AB" w:rsidP="00BF4B1D">
      <w:pPr>
        <w:spacing w:line="480" w:lineRule="auto"/>
        <w:jc w:val="center"/>
        <w:rPr>
          <w:i/>
        </w:rPr>
      </w:pPr>
      <w:r w:rsidRPr="00BF4B1D">
        <w:rPr>
          <w:i/>
        </w:rPr>
        <w:t>Running title: Sedentary behavior and obesity in adolescents</w:t>
      </w:r>
    </w:p>
    <w:p w14:paraId="674CB399" w14:textId="40FCB907" w:rsidR="00296779" w:rsidRPr="003762AC" w:rsidRDefault="00296779" w:rsidP="00BF4B1D">
      <w:pPr>
        <w:spacing w:line="480" w:lineRule="auto"/>
        <w:jc w:val="center"/>
        <w:rPr>
          <w:b/>
        </w:rPr>
      </w:pPr>
      <w:r w:rsidRPr="003762AC">
        <w:rPr>
          <w:b/>
        </w:rPr>
        <w:t xml:space="preserve">Submission to </w:t>
      </w:r>
      <w:r w:rsidR="000461C0">
        <w:rPr>
          <w:b/>
        </w:rPr>
        <w:t>Obesity</w:t>
      </w:r>
    </w:p>
    <w:p w14:paraId="056626EE" w14:textId="1E57C77E" w:rsidR="00DA57A4" w:rsidRDefault="00DA57A4" w:rsidP="00F45E80">
      <w:pPr>
        <w:spacing w:line="480" w:lineRule="auto"/>
        <w:rPr>
          <w:vertAlign w:val="superscript"/>
        </w:rPr>
      </w:pPr>
      <w:r w:rsidRPr="003762AC">
        <w:t>Garcia Ashdown-Franks</w:t>
      </w:r>
      <w:r w:rsidR="00300355" w:rsidRPr="003762AC">
        <w:rPr>
          <w:vertAlign w:val="superscript"/>
        </w:rPr>
        <w:t>a,b,*</w:t>
      </w:r>
      <w:r w:rsidRPr="003762AC">
        <w:t>, Davy Vancampfort</w:t>
      </w:r>
      <w:r w:rsidR="00300355" w:rsidRPr="003762AC">
        <w:rPr>
          <w:vertAlign w:val="superscript"/>
        </w:rPr>
        <w:t>c,d</w:t>
      </w:r>
      <w:r w:rsidRPr="003762AC">
        <w:t>, Joseph Firth</w:t>
      </w:r>
      <w:r w:rsidR="00B87039" w:rsidRPr="003762AC">
        <w:rPr>
          <w:vertAlign w:val="superscript"/>
        </w:rPr>
        <w:t>e,f</w:t>
      </w:r>
      <w:r w:rsidR="00EC1CFE">
        <w:rPr>
          <w:vertAlign w:val="superscript"/>
        </w:rPr>
        <w:t>,g</w:t>
      </w:r>
      <w:r w:rsidRPr="003762AC">
        <w:t xml:space="preserve">, </w:t>
      </w:r>
      <w:r w:rsidR="00364D42" w:rsidRPr="003762AC">
        <w:t>Nicola Veronese</w:t>
      </w:r>
      <w:r w:rsidR="00B860AB">
        <w:rPr>
          <w:vertAlign w:val="superscript"/>
        </w:rPr>
        <w:t>h</w:t>
      </w:r>
      <w:r w:rsidR="003762AC" w:rsidRPr="00A2089B">
        <w:t>,</w:t>
      </w:r>
      <w:r w:rsidR="00364D42" w:rsidRPr="00006036">
        <w:rPr>
          <w:vertAlign w:val="superscript"/>
        </w:rPr>
        <w:t xml:space="preserve"> </w:t>
      </w:r>
      <w:r w:rsidR="00364D42" w:rsidRPr="00DD6DEE">
        <w:t xml:space="preserve">Sarah </w:t>
      </w:r>
      <w:r w:rsidR="00B860AB">
        <w:t xml:space="preserve">E. </w:t>
      </w:r>
      <w:r w:rsidR="00364D42" w:rsidRPr="00DD6DEE">
        <w:t>Jackson</w:t>
      </w:r>
      <w:r w:rsidR="00B860AB">
        <w:rPr>
          <w:vertAlign w:val="superscript"/>
        </w:rPr>
        <w:t>i</w:t>
      </w:r>
      <w:r w:rsidRPr="00623773">
        <w:t>, Lee Smith</w:t>
      </w:r>
      <w:r w:rsidR="00B860AB">
        <w:rPr>
          <w:vertAlign w:val="superscript"/>
        </w:rPr>
        <w:t>j</w:t>
      </w:r>
      <w:r w:rsidR="00115FBF" w:rsidRPr="00623773">
        <w:t xml:space="preserve"> </w:t>
      </w:r>
      <w:r w:rsidRPr="00623773">
        <w:t>, Brendon Stubbs</w:t>
      </w:r>
      <w:r w:rsidR="00115FBF" w:rsidRPr="00623773">
        <w:rPr>
          <w:vertAlign w:val="superscript"/>
        </w:rPr>
        <w:t>a,</w:t>
      </w:r>
      <w:r w:rsidR="00B860AB">
        <w:rPr>
          <w:vertAlign w:val="superscript"/>
        </w:rPr>
        <w:t>k</w:t>
      </w:r>
      <w:r w:rsidRPr="00623773">
        <w:t>, Ai Koyanagi</w:t>
      </w:r>
      <w:r w:rsidR="00115FBF" w:rsidRPr="00623773">
        <w:rPr>
          <w:vertAlign w:val="superscript"/>
        </w:rPr>
        <w:t>l</w:t>
      </w:r>
      <w:r w:rsidR="00B860AB">
        <w:rPr>
          <w:vertAlign w:val="superscript"/>
        </w:rPr>
        <w:t>,m</w:t>
      </w:r>
    </w:p>
    <w:p w14:paraId="49806FC4" w14:textId="77777777" w:rsidR="003762AC" w:rsidRPr="003762AC" w:rsidRDefault="003762AC" w:rsidP="00F45E80">
      <w:pPr>
        <w:spacing w:line="480" w:lineRule="auto"/>
        <w:rPr>
          <w:vertAlign w:val="superscript"/>
        </w:rPr>
      </w:pPr>
    </w:p>
    <w:p w14:paraId="6348DAAF" w14:textId="463E8F15" w:rsidR="00300355" w:rsidRPr="00556626" w:rsidRDefault="00300355" w:rsidP="00300355">
      <w:pPr>
        <w:pStyle w:val="ListParagraph"/>
        <w:numPr>
          <w:ilvl w:val="0"/>
          <w:numId w:val="2"/>
        </w:numPr>
        <w:spacing w:line="480" w:lineRule="auto"/>
        <w:jc w:val="both"/>
        <w:rPr>
          <w:rFonts w:cs="Arial"/>
        </w:rPr>
      </w:pPr>
      <w:r w:rsidRPr="00556626">
        <w:rPr>
          <w:rFonts w:cs="Arial"/>
          <w:lang w:val="en-GB"/>
        </w:rPr>
        <w:t>Department of Psychological Medicine, Institute of Psychiatry, Psychology and Neuroscience, King's College London, London, United Kingdom</w:t>
      </w:r>
    </w:p>
    <w:p w14:paraId="7CFA5166" w14:textId="77777777" w:rsidR="00300355" w:rsidRPr="00556626" w:rsidRDefault="00300355" w:rsidP="00300355">
      <w:pPr>
        <w:pStyle w:val="ListParagraph"/>
        <w:numPr>
          <w:ilvl w:val="0"/>
          <w:numId w:val="2"/>
        </w:numPr>
        <w:spacing w:line="480" w:lineRule="auto"/>
        <w:jc w:val="both"/>
        <w:rPr>
          <w:rFonts w:cs="Arial"/>
        </w:rPr>
      </w:pPr>
      <w:r w:rsidRPr="00556626">
        <w:rPr>
          <w:rFonts w:cs="Arial"/>
        </w:rPr>
        <w:t xml:space="preserve">Department of Exercise Sciences, University of Toronto, </w:t>
      </w:r>
      <w:r w:rsidRPr="00556626">
        <w:rPr>
          <w:rFonts w:cs="Arial"/>
          <w:bCs/>
        </w:rPr>
        <w:t>55 Harbord Street, Toronto, Ontario, Canada, M5S 2W6, Canada</w:t>
      </w:r>
    </w:p>
    <w:p w14:paraId="34E5E327" w14:textId="77777777" w:rsidR="00300355" w:rsidRPr="00556626" w:rsidRDefault="00300355" w:rsidP="00300355">
      <w:pPr>
        <w:pStyle w:val="ListParagraph"/>
        <w:numPr>
          <w:ilvl w:val="0"/>
          <w:numId w:val="2"/>
        </w:numPr>
        <w:spacing w:line="480" w:lineRule="auto"/>
        <w:rPr>
          <w:rFonts w:cs="Arial"/>
        </w:rPr>
      </w:pPr>
      <w:r w:rsidRPr="00556626">
        <w:rPr>
          <w:rFonts w:cs="Arial"/>
        </w:rPr>
        <w:t>KU Leuven Department of Rehabilitation Sciences, Tervuursevest 101, 3001 Leuven, Belgium</w:t>
      </w:r>
    </w:p>
    <w:p w14:paraId="72480F74" w14:textId="77777777" w:rsidR="00300355" w:rsidRPr="00556626" w:rsidRDefault="00300355" w:rsidP="00300355">
      <w:pPr>
        <w:pStyle w:val="ListParagraph"/>
        <w:numPr>
          <w:ilvl w:val="0"/>
          <w:numId w:val="2"/>
        </w:numPr>
        <w:spacing w:line="480" w:lineRule="auto"/>
        <w:rPr>
          <w:rFonts w:cs="Arial"/>
          <w:lang w:val="nl-BE"/>
        </w:rPr>
      </w:pPr>
      <w:r w:rsidRPr="00556626">
        <w:rPr>
          <w:rFonts w:cs="Arial"/>
          <w:lang w:val="nl-BE"/>
        </w:rPr>
        <w:t>KU Leuven, University Psychiatric Center KU Leuven, Leuvensesteenweg 517, 3070 Kortenberg, Belgium</w:t>
      </w:r>
    </w:p>
    <w:p w14:paraId="19FD0629" w14:textId="288CF17C" w:rsidR="00B87039" w:rsidRPr="00556626" w:rsidRDefault="00B87039" w:rsidP="00B87039">
      <w:pPr>
        <w:pStyle w:val="ListParagraph"/>
        <w:numPr>
          <w:ilvl w:val="0"/>
          <w:numId w:val="2"/>
        </w:numPr>
        <w:spacing w:line="480" w:lineRule="auto"/>
        <w:jc w:val="both"/>
        <w:outlineLvl w:val="0"/>
        <w:rPr>
          <w:rFonts w:cs="Arial"/>
          <w:lang w:val="en-GB"/>
        </w:rPr>
      </w:pPr>
      <w:r w:rsidRPr="00556626">
        <w:rPr>
          <w:rFonts w:cs="Arial"/>
          <w:color w:val="000000"/>
        </w:rPr>
        <w:t>NICM Health Research Institute, School of Science and Health, Western Sydney</w:t>
      </w:r>
      <w:r w:rsidR="00EC1CFE">
        <w:rPr>
          <w:rFonts w:cs="Arial"/>
          <w:color w:val="000000"/>
        </w:rPr>
        <w:t xml:space="preserve"> University</w:t>
      </w:r>
      <w:r w:rsidRPr="00556626">
        <w:rPr>
          <w:rFonts w:cs="Arial"/>
          <w:color w:val="000000"/>
        </w:rPr>
        <w:t>, Australia</w:t>
      </w:r>
    </w:p>
    <w:p w14:paraId="1AE21249" w14:textId="77777777" w:rsidR="00B87039" w:rsidRPr="00D05E53" w:rsidRDefault="00B87039" w:rsidP="00B87039">
      <w:pPr>
        <w:pStyle w:val="ListParagraph"/>
        <w:numPr>
          <w:ilvl w:val="0"/>
          <w:numId w:val="2"/>
        </w:numPr>
        <w:spacing w:line="480" w:lineRule="auto"/>
        <w:jc w:val="both"/>
        <w:outlineLvl w:val="0"/>
        <w:rPr>
          <w:rFonts w:cs="Arial"/>
          <w:lang w:val="en-GB"/>
        </w:rPr>
      </w:pPr>
      <w:r w:rsidRPr="00556626">
        <w:rPr>
          <w:rFonts w:cs="Arial"/>
          <w:color w:val="000000"/>
        </w:rPr>
        <w:t>Division of Psychology and Mental Health, Faculty of Biology, Medicine and Health, University of Manchester, United Kingdom</w:t>
      </w:r>
    </w:p>
    <w:p w14:paraId="220DA6FB" w14:textId="1F840035" w:rsidR="00EC1CFE" w:rsidRPr="00556626" w:rsidRDefault="00EC1CFE" w:rsidP="00B87039">
      <w:pPr>
        <w:pStyle w:val="ListParagraph"/>
        <w:numPr>
          <w:ilvl w:val="0"/>
          <w:numId w:val="2"/>
        </w:numPr>
        <w:spacing w:line="480" w:lineRule="auto"/>
        <w:jc w:val="both"/>
        <w:outlineLvl w:val="0"/>
        <w:rPr>
          <w:rFonts w:cs="Arial"/>
          <w:lang w:val="en-GB"/>
        </w:rPr>
      </w:pPr>
      <w:r>
        <w:rPr>
          <w:rFonts w:cs="Arial"/>
          <w:lang w:val="en-GB"/>
        </w:rPr>
        <w:t xml:space="preserve">Centre for Youth Mental Health, University of Melbourne, Melbourne, Australia. </w:t>
      </w:r>
    </w:p>
    <w:p w14:paraId="2AC40821" w14:textId="6903E9A0" w:rsidR="00364D42" w:rsidRPr="00556626" w:rsidRDefault="00364D42" w:rsidP="00364D42">
      <w:pPr>
        <w:pStyle w:val="ListParagraph"/>
        <w:numPr>
          <w:ilvl w:val="0"/>
          <w:numId w:val="2"/>
        </w:numPr>
        <w:spacing w:line="480" w:lineRule="auto"/>
        <w:jc w:val="both"/>
        <w:rPr>
          <w:rFonts w:cs="Arial"/>
        </w:rPr>
      </w:pPr>
      <w:r w:rsidRPr="00556626">
        <w:rPr>
          <w:rFonts w:cs="Arial"/>
        </w:rPr>
        <w:t>Aging Branch National Research Council, Neuroscience Institute, Padova, Italy</w:t>
      </w:r>
    </w:p>
    <w:p w14:paraId="6D70612C" w14:textId="4218EB2D" w:rsidR="00364D42" w:rsidRPr="00556626" w:rsidRDefault="00B860AB" w:rsidP="00364D42">
      <w:pPr>
        <w:pStyle w:val="ListParagraph"/>
        <w:numPr>
          <w:ilvl w:val="0"/>
          <w:numId w:val="2"/>
        </w:numPr>
        <w:spacing w:line="480" w:lineRule="auto"/>
        <w:jc w:val="both"/>
        <w:rPr>
          <w:rFonts w:cs="Arial"/>
        </w:rPr>
      </w:pPr>
      <w:r>
        <w:rPr>
          <w:rFonts w:cs="Arial"/>
        </w:rPr>
        <w:t>Department of Behavioural Science and Health</w:t>
      </w:r>
      <w:r w:rsidR="00364D42" w:rsidRPr="00556626">
        <w:rPr>
          <w:rFonts w:cs="Arial"/>
        </w:rPr>
        <w:t>, University College London</w:t>
      </w:r>
      <w:r>
        <w:rPr>
          <w:rFonts w:cs="Arial"/>
        </w:rPr>
        <w:t>, London, United Kingdom</w:t>
      </w:r>
      <w:r w:rsidR="00364D42" w:rsidRPr="00556626">
        <w:rPr>
          <w:rFonts w:cs="Arial"/>
        </w:rPr>
        <w:t xml:space="preserve"> </w:t>
      </w:r>
    </w:p>
    <w:p w14:paraId="1A5182BB" w14:textId="510301FA" w:rsidR="005C47D9" w:rsidRPr="00556626" w:rsidRDefault="005C47D9" w:rsidP="00364D42">
      <w:pPr>
        <w:pStyle w:val="ListParagraph"/>
        <w:numPr>
          <w:ilvl w:val="0"/>
          <w:numId w:val="2"/>
        </w:numPr>
        <w:spacing w:line="480" w:lineRule="auto"/>
        <w:jc w:val="both"/>
        <w:rPr>
          <w:rFonts w:cs="Arial"/>
        </w:rPr>
      </w:pPr>
      <w:r w:rsidRPr="00556626">
        <w:rPr>
          <w:rFonts w:cs="Arial"/>
        </w:rPr>
        <w:lastRenderedPageBreak/>
        <w:t xml:space="preserve">Cambridge Centre for Sport and Exercise Sciences, Anglia Ruskin University, </w:t>
      </w:r>
      <w:r w:rsidR="000B40E5" w:rsidRPr="00556626">
        <w:rPr>
          <w:rFonts w:cs="Arial"/>
        </w:rPr>
        <w:t xml:space="preserve">Cambridge, </w:t>
      </w:r>
      <w:r w:rsidRPr="00556626">
        <w:rPr>
          <w:rFonts w:cs="Arial"/>
        </w:rPr>
        <w:t xml:space="preserve">United Kingdom </w:t>
      </w:r>
    </w:p>
    <w:p w14:paraId="2A11B07D" w14:textId="77777777" w:rsidR="00300355" w:rsidRPr="00556626" w:rsidRDefault="00300355" w:rsidP="00300355">
      <w:pPr>
        <w:pStyle w:val="ListParagraph"/>
        <w:numPr>
          <w:ilvl w:val="0"/>
          <w:numId w:val="2"/>
        </w:numPr>
        <w:spacing w:line="480" w:lineRule="auto"/>
        <w:rPr>
          <w:rFonts w:cs="Arial"/>
        </w:rPr>
      </w:pPr>
      <w:r w:rsidRPr="00556626">
        <w:rPr>
          <w:rFonts w:cs="Arial"/>
        </w:rPr>
        <w:t>Physiotherapy Department, South London and Maudsley NHS Foundation Trust, Denmark Hill, London SE5 8AZ, United Kingdom</w:t>
      </w:r>
    </w:p>
    <w:p w14:paraId="03AC7DC3" w14:textId="77777777" w:rsidR="00300355" w:rsidRPr="00556626" w:rsidRDefault="00300355" w:rsidP="00300355">
      <w:pPr>
        <w:numPr>
          <w:ilvl w:val="0"/>
          <w:numId w:val="2"/>
        </w:numPr>
        <w:spacing w:line="480" w:lineRule="auto"/>
        <w:contextualSpacing/>
        <w:jc w:val="both"/>
        <w:rPr>
          <w:rFonts w:cs="Arial"/>
          <w:lang w:val="es-ES"/>
        </w:rPr>
      </w:pPr>
      <w:r w:rsidRPr="00556626">
        <w:rPr>
          <w:rFonts w:cs="Arial"/>
          <w:lang w:val="es-ES"/>
        </w:rPr>
        <w:t xml:space="preserve">Research and Development Unit, Parc Sanitari Sant Joan de Déu, Universitat de Barcelona, Fundació Sant Joan de Déu, Dr. Antoni Pujadas, 42, Sant Boi de Llobregat, Barcelona 08830, Spain </w:t>
      </w:r>
    </w:p>
    <w:p w14:paraId="0B6146DC" w14:textId="77777777" w:rsidR="00300355" w:rsidRPr="00556626" w:rsidRDefault="00300355" w:rsidP="00300355">
      <w:pPr>
        <w:numPr>
          <w:ilvl w:val="0"/>
          <w:numId w:val="2"/>
        </w:numPr>
        <w:spacing w:line="480" w:lineRule="auto"/>
        <w:contextualSpacing/>
        <w:jc w:val="both"/>
        <w:rPr>
          <w:rFonts w:cs="Arial"/>
          <w:lang w:val="es-ES"/>
        </w:rPr>
      </w:pPr>
      <w:r w:rsidRPr="00556626">
        <w:rPr>
          <w:rFonts w:cs="Arial"/>
          <w:lang w:val="es-ES"/>
        </w:rPr>
        <w:t>Instituto de Salud Carlos III, Centro de Investigación Biomédica en Red de Salud Mental, CIBERSAM, Monforte de Lemos 3-5 Pabellón 11, Madrid 28029, Spain</w:t>
      </w:r>
    </w:p>
    <w:p w14:paraId="3EA3EF47" w14:textId="77777777" w:rsidR="00300355" w:rsidRPr="00556626" w:rsidRDefault="00300355" w:rsidP="00300355">
      <w:pPr>
        <w:rPr>
          <w:rFonts w:cs="Arial"/>
          <w:lang w:val="nl-BE"/>
        </w:rPr>
      </w:pPr>
    </w:p>
    <w:p w14:paraId="4868F6E6" w14:textId="321F3DAD" w:rsidR="00296779" w:rsidRDefault="00300355" w:rsidP="00300355">
      <w:pPr>
        <w:spacing w:line="480" w:lineRule="auto"/>
        <w:rPr>
          <w:rFonts w:cs="Arial"/>
          <w:lang w:val="en-GB"/>
        </w:rPr>
      </w:pPr>
      <w:r w:rsidRPr="00556626">
        <w:rPr>
          <w:rFonts w:cs="Arial"/>
        </w:rPr>
        <w:t>*</w:t>
      </w:r>
      <w:r w:rsidRPr="00556626">
        <w:rPr>
          <w:rFonts w:cs="Arial"/>
          <w:b/>
        </w:rPr>
        <w:t>Corresponding author</w:t>
      </w:r>
      <w:r w:rsidRPr="00556626">
        <w:rPr>
          <w:rFonts w:cs="Arial"/>
        </w:rPr>
        <w:t>:</w:t>
      </w:r>
      <w:r w:rsidRPr="00556626">
        <w:rPr>
          <w:rFonts w:cs="Arial"/>
          <w:lang w:val="en-GB"/>
        </w:rPr>
        <w:t xml:space="preserve"> Garcia Ashdown-Franks, Institute of Psychiatry, Psychology and Neuroscience, Kings College London, De Crespigny Park, London, Box SE5 8AF, United Kingdom. Tel: 0044 208 3003100, fax 00442032282702, email: </w:t>
      </w:r>
      <w:hyperlink r:id="rId5" w:history="1">
        <w:r w:rsidRPr="00556626">
          <w:rPr>
            <w:rStyle w:val="Hyperlink"/>
            <w:rFonts w:cs="Arial"/>
            <w:lang w:val="en-GB"/>
          </w:rPr>
          <w:t>Garcia.ashdown_franks@kcl.ac.uk</w:t>
        </w:r>
      </w:hyperlink>
      <w:r w:rsidRPr="00556626">
        <w:rPr>
          <w:rFonts w:cs="Arial"/>
          <w:lang w:val="en-GB"/>
        </w:rPr>
        <w:t xml:space="preserve">  </w:t>
      </w:r>
    </w:p>
    <w:p w14:paraId="55865D0C" w14:textId="77777777" w:rsidR="00BF30D1" w:rsidRDefault="00BF30D1" w:rsidP="00300355">
      <w:pPr>
        <w:spacing w:line="480" w:lineRule="auto"/>
        <w:rPr>
          <w:rFonts w:cs="Arial"/>
          <w:lang w:val="en-GB"/>
        </w:rPr>
      </w:pPr>
    </w:p>
    <w:p w14:paraId="1EAC78CB" w14:textId="7A52A219" w:rsidR="00BF30D1" w:rsidRDefault="00BF30D1" w:rsidP="00300355">
      <w:pPr>
        <w:spacing w:line="480" w:lineRule="auto"/>
        <w:rPr>
          <w:rFonts w:cs="Arial"/>
          <w:lang w:val="en-GB"/>
        </w:rPr>
      </w:pPr>
      <w:r>
        <w:rPr>
          <w:rFonts w:cs="Arial"/>
          <w:lang w:val="en-GB"/>
        </w:rPr>
        <w:t>Word count:</w:t>
      </w:r>
      <w:r w:rsidR="00380A48">
        <w:rPr>
          <w:rFonts w:cs="Arial"/>
          <w:lang w:val="en-GB"/>
        </w:rPr>
        <w:t xml:space="preserve"> 3, 243</w:t>
      </w:r>
    </w:p>
    <w:p w14:paraId="29610429" w14:textId="77777777" w:rsidR="00261EB5" w:rsidRDefault="00261EB5" w:rsidP="00300355">
      <w:pPr>
        <w:spacing w:line="480" w:lineRule="auto"/>
        <w:rPr>
          <w:rFonts w:cs="Arial"/>
          <w:lang w:val="en-GB"/>
        </w:rPr>
      </w:pPr>
    </w:p>
    <w:p w14:paraId="16302868" w14:textId="49F9EF16" w:rsidR="00CF3955" w:rsidRDefault="00CF3955" w:rsidP="00300355">
      <w:pPr>
        <w:spacing w:line="480" w:lineRule="auto"/>
      </w:pPr>
      <w:r w:rsidRPr="00556626">
        <w:rPr>
          <w:b/>
        </w:rPr>
        <w:t>Key words</w:t>
      </w:r>
      <w:r>
        <w:t xml:space="preserve">: public health, physical inactivity, </w:t>
      </w:r>
      <w:r w:rsidR="00261EB5">
        <w:t>epidemiology, weight</w:t>
      </w:r>
    </w:p>
    <w:p w14:paraId="09E97270" w14:textId="77777777" w:rsidR="00261EB5" w:rsidRPr="00CF3955" w:rsidRDefault="00261EB5" w:rsidP="00300355">
      <w:pPr>
        <w:spacing w:line="480" w:lineRule="auto"/>
      </w:pPr>
    </w:p>
    <w:p w14:paraId="4E2E3FB5" w14:textId="77777777" w:rsidR="00E04946" w:rsidRDefault="00BF30D1" w:rsidP="00E04946">
      <w:pPr>
        <w:spacing w:line="480" w:lineRule="auto"/>
      </w:pPr>
      <w:r>
        <w:rPr>
          <w:rFonts w:cs="Arial"/>
          <w:lang w:val="en-GB"/>
        </w:rPr>
        <w:t>Funding:</w:t>
      </w:r>
      <w:r w:rsidR="00E04946">
        <w:rPr>
          <w:rFonts w:cs="Arial"/>
          <w:lang w:val="en-GB"/>
        </w:rPr>
        <w:t xml:space="preserve"> </w:t>
      </w:r>
      <w:r w:rsidR="00E04946" w:rsidRPr="00556626">
        <w:t>Ai Koyanagi's work was supported by the Miguel Servet contract financed by the CP13/00150 and PI15/00862 projects, integrated into the National R + D + I and funded by the ISCIII - General Branch Evaluation and Promotion of Health Research - and the European Regional Development Fund (ERDF-FEDER). </w:t>
      </w:r>
      <w:r w:rsidR="00E04946">
        <w:t>JF is supported by a Blackmores Institute Fellowship.</w:t>
      </w:r>
    </w:p>
    <w:p w14:paraId="529274EC" w14:textId="2F3CE51C" w:rsidR="00BF30D1" w:rsidRDefault="00BF30D1" w:rsidP="00300355">
      <w:pPr>
        <w:spacing w:line="480" w:lineRule="auto"/>
        <w:rPr>
          <w:rFonts w:cs="Arial"/>
          <w:lang w:val="en-GB"/>
        </w:rPr>
      </w:pPr>
    </w:p>
    <w:p w14:paraId="1036F337" w14:textId="43F255A0" w:rsidR="00380A48" w:rsidRDefault="00BF30D1" w:rsidP="00CB1B40">
      <w:pPr>
        <w:spacing w:line="480" w:lineRule="auto"/>
      </w:pPr>
      <w:r>
        <w:rPr>
          <w:rFonts w:cs="Arial"/>
          <w:lang w:val="en-GB"/>
        </w:rPr>
        <w:t xml:space="preserve">Disclosure: The authors declared no conflicts of interest. </w:t>
      </w:r>
      <w:r w:rsidR="007D6722">
        <w:br w:type="page"/>
      </w:r>
    </w:p>
    <w:p w14:paraId="1DF54118" w14:textId="61747786" w:rsidR="00380A48" w:rsidRPr="009427C2" w:rsidRDefault="00380A48" w:rsidP="005F4BAA">
      <w:pPr>
        <w:rPr>
          <w:b/>
          <w:u w:val="single"/>
        </w:rPr>
      </w:pPr>
      <w:r w:rsidRPr="00AB6983">
        <w:rPr>
          <w:b/>
          <w:u w:val="single"/>
        </w:rPr>
        <w:lastRenderedPageBreak/>
        <w:t>Study Importance Questions:</w:t>
      </w:r>
    </w:p>
    <w:p w14:paraId="2F9F2BEA" w14:textId="77777777" w:rsidR="00E9489F" w:rsidRDefault="00E9489F" w:rsidP="00380A48">
      <w:pPr>
        <w:rPr>
          <w:rFonts w:eastAsia="Times New Roman"/>
        </w:rPr>
      </w:pPr>
    </w:p>
    <w:p w14:paraId="681649BD" w14:textId="21F7C03B" w:rsidR="009C769F" w:rsidRDefault="00380A48" w:rsidP="00380A48">
      <w:pPr>
        <w:rPr>
          <w:rFonts w:eastAsia="Times New Roman"/>
        </w:rPr>
      </w:pPr>
      <w:r>
        <w:rPr>
          <w:rFonts w:eastAsia="Times New Roman"/>
        </w:rPr>
        <w:t>What is alr</w:t>
      </w:r>
      <w:r w:rsidR="009C769F">
        <w:rPr>
          <w:rFonts w:eastAsia="Times New Roman"/>
        </w:rPr>
        <w:t>eady known about this subject?</w:t>
      </w:r>
    </w:p>
    <w:p w14:paraId="3E681A7A" w14:textId="3A61F953" w:rsidR="009C769F" w:rsidRDefault="009427C2" w:rsidP="009C769F">
      <w:pPr>
        <w:pStyle w:val="ListParagraph"/>
        <w:numPr>
          <w:ilvl w:val="0"/>
          <w:numId w:val="3"/>
        </w:numPr>
        <w:rPr>
          <w:rFonts w:eastAsia="Times New Roman"/>
        </w:rPr>
      </w:pPr>
      <w:r>
        <w:rPr>
          <w:rFonts w:eastAsia="Times New Roman"/>
        </w:rPr>
        <w:t>Rates of obesity are rising steeply in low- and middle-income countries</w:t>
      </w:r>
    </w:p>
    <w:p w14:paraId="1675A5AF" w14:textId="196E9643" w:rsidR="009427C2" w:rsidRPr="009C769F" w:rsidRDefault="009427C2" w:rsidP="009C769F">
      <w:pPr>
        <w:pStyle w:val="ListParagraph"/>
        <w:numPr>
          <w:ilvl w:val="0"/>
          <w:numId w:val="3"/>
        </w:numPr>
        <w:rPr>
          <w:rFonts w:eastAsia="Times New Roman"/>
        </w:rPr>
      </w:pPr>
      <w:r>
        <w:rPr>
          <w:rFonts w:eastAsia="Times New Roman"/>
        </w:rPr>
        <w:t>Sedentary behavior is associated with various physical health conditions</w:t>
      </w:r>
    </w:p>
    <w:p w14:paraId="3ACC8F84" w14:textId="77777777" w:rsidR="009C769F" w:rsidRDefault="009C769F" w:rsidP="00380A48">
      <w:pPr>
        <w:rPr>
          <w:rFonts w:eastAsia="Times New Roman"/>
        </w:rPr>
      </w:pPr>
    </w:p>
    <w:p w14:paraId="54AA8295" w14:textId="77777777" w:rsidR="009C769F" w:rsidRDefault="009C769F" w:rsidP="00380A48">
      <w:pPr>
        <w:rPr>
          <w:rFonts w:eastAsia="Times New Roman"/>
        </w:rPr>
      </w:pPr>
    </w:p>
    <w:p w14:paraId="547A7E78" w14:textId="3A17CEDF" w:rsidR="00380A48" w:rsidRDefault="00380A48" w:rsidP="00380A48">
      <w:pPr>
        <w:rPr>
          <w:rFonts w:eastAsia="Times New Roman"/>
        </w:rPr>
      </w:pPr>
      <w:r>
        <w:rPr>
          <w:rFonts w:eastAsia="Times New Roman"/>
        </w:rPr>
        <w:t>What does your study add?</w:t>
      </w:r>
    </w:p>
    <w:p w14:paraId="3DD4990F" w14:textId="77777777" w:rsidR="009427C2" w:rsidRPr="009427C2" w:rsidRDefault="009427C2" w:rsidP="009427C2">
      <w:pPr>
        <w:pStyle w:val="ListParagraph"/>
        <w:numPr>
          <w:ilvl w:val="0"/>
          <w:numId w:val="4"/>
        </w:numPr>
        <w:rPr>
          <w:rFonts w:eastAsia="Times New Roman"/>
        </w:rPr>
      </w:pPr>
      <w:r>
        <w:rPr>
          <w:lang w:eastAsia="ja-JP"/>
        </w:rPr>
        <w:t>Sedentary behavior for</w:t>
      </w:r>
      <w:r w:rsidRPr="00A72B0A">
        <w:rPr>
          <w:lang w:eastAsia="ja-JP"/>
        </w:rPr>
        <w:t xml:space="preserve"> ≥3 hours/day was associated with higher odds for obesity in 32 of the 41 included countries.</w:t>
      </w:r>
    </w:p>
    <w:p w14:paraId="266D0E49" w14:textId="20009D5B" w:rsidR="009427C2" w:rsidRPr="00C71FF2" w:rsidRDefault="009427C2" w:rsidP="009427C2">
      <w:pPr>
        <w:pStyle w:val="ListParagraph"/>
        <w:numPr>
          <w:ilvl w:val="0"/>
          <w:numId w:val="4"/>
        </w:numPr>
        <w:rPr>
          <w:rFonts w:eastAsia="Times New Roman"/>
        </w:rPr>
      </w:pPr>
      <w:r>
        <w:rPr>
          <w:lang w:eastAsia="ja-JP"/>
        </w:rPr>
        <w:t xml:space="preserve"> This relationship was strongest among low-income countries.</w:t>
      </w:r>
    </w:p>
    <w:p w14:paraId="7B094430" w14:textId="65E1835A" w:rsidR="00C71FF2" w:rsidRPr="009427C2" w:rsidRDefault="00C71FF2" w:rsidP="009427C2">
      <w:pPr>
        <w:pStyle w:val="ListParagraph"/>
        <w:numPr>
          <w:ilvl w:val="0"/>
          <w:numId w:val="4"/>
        </w:numPr>
        <w:rPr>
          <w:rFonts w:eastAsia="Times New Roman"/>
        </w:rPr>
      </w:pPr>
      <w:r>
        <w:rPr>
          <w:lang w:eastAsia="ja-JP"/>
        </w:rPr>
        <w:t>These results were found among more than 115,000 adolescents from 41 countries</w:t>
      </w:r>
    </w:p>
    <w:p w14:paraId="52A17BC8" w14:textId="77777777" w:rsidR="009427C2" w:rsidRDefault="009427C2" w:rsidP="009427C2">
      <w:pPr>
        <w:pStyle w:val="ListParagraph"/>
        <w:rPr>
          <w:lang w:eastAsia="ja-JP"/>
        </w:rPr>
      </w:pPr>
    </w:p>
    <w:p w14:paraId="18168BB0" w14:textId="77777777" w:rsidR="009427C2" w:rsidRDefault="009427C2" w:rsidP="009427C2">
      <w:pPr>
        <w:pStyle w:val="ListParagraph"/>
        <w:rPr>
          <w:lang w:eastAsia="ja-JP"/>
        </w:rPr>
      </w:pPr>
    </w:p>
    <w:p w14:paraId="33F9A539" w14:textId="77777777" w:rsidR="009427C2" w:rsidRDefault="009427C2" w:rsidP="009427C2">
      <w:pPr>
        <w:pStyle w:val="ListParagraph"/>
        <w:rPr>
          <w:lang w:eastAsia="ja-JP"/>
        </w:rPr>
      </w:pPr>
    </w:p>
    <w:p w14:paraId="0B443DB9" w14:textId="77777777" w:rsidR="009427C2" w:rsidRDefault="009427C2" w:rsidP="009427C2">
      <w:pPr>
        <w:pStyle w:val="ListParagraph"/>
        <w:rPr>
          <w:lang w:eastAsia="ja-JP"/>
        </w:rPr>
      </w:pPr>
    </w:p>
    <w:p w14:paraId="540096A8" w14:textId="77777777" w:rsidR="009427C2" w:rsidRDefault="009427C2" w:rsidP="009427C2">
      <w:pPr>
        <w:pStyle w:val="ListParagraph"/>
        <w:rPr>
          <w:lang w:eastAsia="ja-JP"/>
        </w:rPr>
      </w:pPr>
    </w:p>
    <w:p w14:paraId="35A08A91" w14:textId="77777777" w:rsidR="009427C2" w:rsidRDefault="009427C2" w:rsidP="009427C2">
      <w:pPr>
        <w:pStyle w:val="ListParagraph"/>
        <w:rPr>
          <w:lang w:eastAsia="ja-JP"/>
        </w:rPr>
      </w:pPr>
    </w:p>
    <w:p w14:paraId="6AF0A6DA" w14:textId="77777777" w:rsidR="009427C2" w:rsidRDefault="009427C2" w:rsidP="009427C2">
      <w:pPr>
        <w:pStyle w:val="ListParagraph"/>
        <w:rPr>
          <w:lang w:eastAsia="ja-JP"/>
        </w:rPr>
      </w:pPr>
    </w:p>
    <w:p w14:paraId="2D3DF2A8" w14:textId="77777777" w:rsidR="009427C2" w:rsidRDefault="009427C2" w:rsidP="009427C2">
      <w:pPr>
        <w:pStyle w:val="ListParagraph"/>
        <w:rPr>
          <w:lang w:eastAsia="ja-JP"/>
        </w:rPr>
      </w:pPr>
    </w:p>
    <w:p w14:paraId="3C92DB71" w14:textId="77777777" w:rsidR="009427C2" w:rsidRDefault="009427C2" w:rsidP="009427C2">
      <w:pPr>
        <w:pStyle w:val="ListParagraph"/>
        <w:rPr>
          <w:lang w:eastAsia="ja-JP"/>
        </w:rPr>
      </w:pPr>
    </w:p>
    <w:p w14:paraId="68F951AB" w14:textId="77777777" w:rsidR="009427C2" w:rsidRDefault="009427C2" w:rsidP="009427C2">
      <w:pPr>
        <w:pStyle w:val="ListParagraph"/>
        <w:rPr>
          <w:lang w:eastAsia="ja-JP"/>
        </w:rPr>
      </w:pPr>
    </w:p>
    <w:p w14:paraId="3FBF023C" w14:textId="77777777" w:rsidR="009427C2" w:rsidRDefault="009427C2" w:rsidP="009427C2">
      <w:pPr>
        <w:pStyle w:val="ListParagraph"/>
        <w:rPr>
          <w:lang w:eastAsia="ja-JP"/>
        </w:rPr>
      </w:pPr>
    </w:p>
    <w:p w14:paraId="1DC58DF8" w14:textId="77777777" w:rsidR="009427C2" w:rsidRDefault="009427C2" w:rsidP="009427C2">
      <w:pPr>
        <w:pStyle w:val="ListParagraph"/>
        <w:rPr>
          <w:lang w:eastAsia="ja-JP"/>
        </w:rPr>
      </w:pPr>
    </w:p>
    <w:p w14:paraId="3EE41239" w14:textId="77777777" w:rsidR="009427C2" w:rsidRDefault="009427C2" w:rsidP="009427C2">
      <w:pPr>
        <w:pStyle w:val="ListParagraph"/>
        <w:rPr>
          <w:lang w:eastAsia="ja-JP"/>
        </w:rPr>
      </w:pPr>
    </w:p>
    <w:p w14:paraId="4E9BF836" w14:textId="77777777" w:rsidR="009427C2" w:rsidRDefault="009427C2" w:rsidP="009427C2">
      <w:pPr>
        <w:pStyle w:val="ListParagraph"/>
        <w:rPr>
          <w:lang w:eastAsia="ja-JP"/>
        </w:rPr>
      </w:pPr>
    </w:p>
    <w:p w14:paraId="508E11D9" w14:textId="77777777" w:rsidR="009427C2" w:rsidRDefault="009427C2" w:rsidP="009427C2">
      <w:pPr>
        <w:pStyle w:val="ListParagraph"/>
        <w:rPr>
          <w:lang w:eastAsia="ja-JP"/>
        </w:rPr>
      </w:pPr>
    </w:p>
    <w:p w14:paraId="754F90B0" w14:textId="77777777" w:rsidR="009427C2" w:rsidRDefault="009427C2" w:rsidP="009427C2">
      <w:pPr>
        <w:pStyle w:val="ListParagraph"/>
        <w:rPr>
          <w:lang w:eastAsia="ja-JP"/>
        </w:rPr>
      </w:pPr>
    </w:p>
    <w:p w14:paraId="086EAE7F" w14:textId="77777777" w:rsidR="009427C2" w:rsidRDefault="009427C2" w:rsidP="009427C2">
      <w:pPr>
        <w:pStyle w:val="ListParagraph"/>
        <w:rPr>
          <w:lang w:eastAsia="ja-JP"/>
        </w:rPr>
      </w:pPr>
    </w:p>
    <w:p w14:paraId="1928E9AC" w14:textId="77777777" w:rsidR="009427C2" w:rsidRDefault="009427C2" w:rsidP="009427C2">
      <w:pPr>
        <w:pStyle w:val="ListParagraph"/>
        <w:rPr>
          <w:lang w:eastAsia="ja-JP"/>
        </w:rPr>
      </w:pPr>
    </w:p>
    <w:p w14:paraId="5199336A" w14:textId="77777777" w:rsidR="009427C2" w:rsidRDefault="009427C2" w:rsidP="009427C2">
      <w:pPr>
        <w:pStyle w:val="ListParagraph"/>
        <w:rPr>
          <w:lang w:eastAsia="ja-JP"/>
        </w:rPr>
      </w:pPr>
    </w:p>
    <w:p w14:paraId="7D5651BB" w14:textId="77777777" w:rsidR="009427C2" w:rsidRDefault="009427C2" w:rsidP="009427C2">
      <w:pPr>
        <w:pStyle w:val="ListParagraph"/>
        <w:rPr>
          <w:lang w:eastAsia="ja-JP"/>
        </w:rPr>
      </w:pPr>
    </w:p>
    <w:p w14:paraId="738A662C" w14:textId="77777777" w:rsidR="009427C2" w:rsidRDefault="009427C2" w:rsidP="009427C2">
      <w:pPr>
        <w:pStyle w:val="ListParagraph"/>
        <w:rPr>
          <w:lang w:eastAsia="ja-JP"/>
        </w:rPr>
      </w:pPr>
    </w:p>
    <w:p w14:paraId="1F7E8DEA" w14:textId="77777777" w:rsidR="009427C2" w:rsidRDefault="009427C2" w:rsidP="009427C2">
      <w:pPr>
        <w:pStyle w:val="ListParagraph"/>
        <w:rPr>
          <w:lang w:eastAsia="ja-JP"/>
        </w:rPr>
      </w:pPr>
    </w:p>
    <w:p w14:paraId="5516FB16" w14:textId="77777777" w:rsidR="009427C2" w:rsidRDefault="009427C2" w:rsidP="009427C2">
      <w:pPr>
        <w:pStyle w:val="ListParagraph"/>
        <w:rPr>
          <w:lang w:eastAsia="ja-JP"/>
        </w:rPr>
      </w:pPr>
    </w:p>
    <w:p w14:paraId="6DAB53DB" w14:textId="77777777" w:rsidR="009427C2" w:rsidRDefault="009427C2" w:rsidP="009427C2">
      <w:pPr>
        <w:pStyle w:val="ListParagraph"/>
        <w:rPr>
          <w:lang w:eastAsia="ja-JP"/>
        </w:rPr>
      </w:pPr>
    </w:p>
    <w:p w14:paraId="60BCE2BB" w14:textId="77777777" w:rsidR="009427C2" w:rsidRDefault="009427C2" w:rsidP="009427C2">
      <w:pPr>
        <w:pStyle w:val="ListParagraph"/>
        <w:rPr>
          <w:lang w:eastAsia="ja-JP"/>
        </w:rPr>
      </w:pPr>
    </w:p>
    <w:p w14:paraId="4953089C" w14:textId="77777777" w:rsidR="009427C2" w:rsidRDefault="009427C2" w:rsidP="009427C2">
      <w:pPr>
        <w:pStyle w:val="ListParagraph"/>
        <w:rPr>
          <w:lang w:eastAsia="ja-JP"/>
        </w:rPr>
      </w:pPr>
    </w:p>
    <w:p w14:paraId="117E1900" w14:textId="77777777" w:rsidR="009427C2" w:rsidRDefault="009427C2" w:rsidP="009427C2">
      <w:pPr>
        <w:pStyle w:val="ListParagraph"/>
        <w:rPr>
          <w:lang w:eastAsia="ja-JP"/>
        </w:rPr>
      </w:pPr>
    </w:p>
    <w:p w14:paraId="2D91BDB0" w14:textId="77777777" w:rsidR="009427C2" w:rsidRPr="009427C2" w:rsidRDefault="009427C2" w:rsidP="009427C2">
      <w:pPr>
        <w:pStyle w:val="ListParagraph"/>
        <w:rPr>
          <w:rFonts w:eastAsia="Times New Roman"/>
        </w:rPr>
      </w:pPr>
    </w:p>
    <w:p w14:paraId="4C1A2865" w14:textId="77777777" w:rsidR="00380A48" w:rsidRDefault="00380A48" w:rsidP="005F4BAA"/>
    <w:p w14:paraId="64CF02D1" w14:textId="77777777" w:rsidR="00380A48" w:rsidRDefault="00380A48" w:rsidP="005F4BAA"/>
    <w:p w14:paraId="74AC089B" w14:textId="77777777" w:rsidR="00380A48" w:rsidRDefault="00380A48" w:rsidP="005F4BAA"/>
    <w:p w14:paraId="06D305BE" w14:textId="77777777" w:rsidR="00380A48" w:rsidRDefault="00380A48" w:rsidP="005F4BAA"/>
    <w:p w14:paraId="688FFEFF" w14:textId="77777777" w:rsidR="00380A48" w:rsidRDefault="00380A48" w:rsidP="005F4BAA"/>
    <w:p w14:paraId="77366695" w14:textId="77777777" w:rsidR="00380A48" w:rsidRDefault="00380A48" w:rsidP="005F4BAA"/>
    <w:p w14:paraId="7D0A5C2F" w14:textId="77777777" w:rsidR="00380A48" w:rsidRDefault="00380A48" w:rsidP="005F4BAA"/>
    <w:p w14:paraId="394AA920" w14:textId="77777777" w:rsidR="00CF3955" w:rsidRDefault="00CF3955" w:rsidP="005F4BAA"/>
    <w:p w14:paraId="39D70177" w14:textId="77777777" w:rsidR="00122B0D" w:rsidRDefault="00122B0D" w:rsidP="005F4BAA">
      <w:pPr>
        <w:rPr>
          <w:b/>
        </w:rPr>
      </w:pPr>
    </w:p>
    <w:p w14:paraId="08600614" w14:textId="77777777" w:rsidR="00122B0D" w:rsidRDefault="00122B0D" w:rsidP="005F4BAA">
      <w:pPr>
        <w:rPr>
          <w:b/>
        </w:rPr>
      </w:pPr>
    </w:p>
    <w:p w14:paraId="7463E889" w14:textId="3EF84725" w:rsidR="007D6722" w:rsidRDefault="005F4BAA" w:rsidP="005F4BAA">
      <w:pPr>
        <w:rPr>
          <w:b/>
        </w:rPr>
      </w:pPr>
      <w:r w:rsidRPr="005F4BAA">
        <w:rPr>
          <w:b/>
        </w:rPr>
        <w:lastRenderedPageBreak/>
        <w:t>Abstract</w:t>
      </w:r>
      <w:r w:rsidR="00997A78">
        <w:rPr>
          <w:b/>
        </w:rPr>
        <w:t xml:space="preserve"> </w:t>
      </w:r>
    </w:p>
    <w:p w14:paraId="4BEF2016" w14:textId="77777777" w:rsidR="005F4BAA" w:rsidRDefault="005F4BAA" w:rsidP="005F4BAA">
      <w:pPr>
        <w:rPr>
          <w:b/>
        </w:rPr>
      </w:pPr>
    </w:p>
    <w:p w14:paraId="70AED4BD" w14:textId="5AFCF6A8" w:rsidR="005B772B" w:rsidRPr="006B28B2" w:rsidRDefault="006B28B2" w:rsidP="003F3214">
      <w:pPr>
        <w:spacing w:line="480" w:lineRule="auto"/>
      </w:pPr>
      <w:r w:rsidRPr="006B28B2">
        <w:rPr>
          <w:b/>
        </w:rPr>
        <w:t>Objective:</w:t>
      </w:r>
      <w:r w:rsidRPr="006B28B2">
        <w:t xml:space="preserve"> Rates of adolescent obesity are increasing worldwide, with steeper increases being observed in low- and middle-income countries (LMICs). Sedentary behavior (SB), is associated with various physical and mental health conditions. Little is known about the association between SB and obesity among adolescents in LMICs. This cross-sectional study explored the associations between SB and obesity in adolescents from 41 LMICs. </w:t>
      </w:r>
      <w:r w:rsidRPr="006B28B2">
        <w:rPr>
          <w:b/>
        </w:rPr>
        <w:t>Methods:</w:t>
      </w:r>
      <w:r w:rsidRPr="006B28B2">
        <w:t xml:space="preserve"> Obesity was measured using BMI; SB was assessed through self-report and considered for all times except when at school or doing homework. </w:t>
      </w:r>
      <w:r w:rsidRPr="006B28B2">
        <w:rPr>
          <w:b/>
        </w:rPr>
        <w:t>Results:</w:t>
      </w:r>
      <w:r w:rsidRPr="006B28B2">
        <w:t xml:space="preserve"> Data from the Global school-based Student Health Survey were analyzed in 116,762 adolescents [mean (SD) age 13.8 (1.0) years; 48.6% female]. The overall prevalence of obesity was 4% and the prevalence of ≥3 hours/day of SB was 26%. The prevalence of obesity and SB were lowest in low-income countries and highest in upper middle-income countries. SB for ≥3 hours/day was associated with higher odds for obesity in 32 countries. This relationship was strongest among low-income countries. </w:t>
      </w:r>
      <w:r w:rsidRPr="006B28B2">
        <w:rPr>
          <w:b/>
        </w:rPr>
        <w:t>Conclusions:</w:t>
      </w:r>
      <w:r w:rsidRPr="006B28B2">
        <w:t xml:space="preserve"> Being sedentary for ≥3 hours/day is associated with increased odds of obesity in adolescence. Future longitudinal data are required to confirm these findings and to inform interventions targeting SB among adolescents in LMICs, thereby reduce the prevalence of obesity.</w:t>
      </w:r>
    </w:p>
    <w:p w14:paraId="7C7C5613" w14:textId="77777777" w:rsidR="005F4BAA" w:rsidRDefault="005F4BAA" w:rsidP="005F4BAA">
      <w:pPr>
        <w:rPr>
          <w:b/>
        </w:rPr>
      </w:pPr>
    </w:p>
    <w:p w14:paraId="48FF166E" w14:textId="77777777" w:rsidR="005F4BAA" w:rsidRDefault="005F4BAA" w:rsidP="005F4BAA">
      <w:pPr>
        <w:rPr>
          <w:b/>
        </w:rPr>
      </w:pPr>
    </w:p>
    <w:p w14:paraId="636DF76D" w14:textId="77777777" w:rsidR="005B772B" w:rsidRDefault="005B772B" w:rsidP="005F4BAA">
      <w:pPr>
        <w:rPr>
          <w:b/>
        </w:rPr>
        <w:sectPr w:rsidR="005B772B" w:rsidSect="00050FA4">
          <w:pgSz w:w="11900" w:h="16840"/>
          <w:pgMar w:top="1440" w:right="1440" w:bottom="1440" w:left="1440" w:header="720" w:footer="720" w:gutter="0"/>
          <w:cols w:space="720"/>
          <w:docGrid w:linePitch="360"/>
        </w:sectPr>
      </w:pPr>
    </w:p>
    <w:p w14:paraId="1BBC3BA1" w14:textId="36BE7B8B" w:rsidR="005F4BAA" w:rsidRDefault="005F4BAA" w:rsidP="005F4BAA">
      <w:pPr>
        <w:rPr>
          <w:b/>
        </w:rPr>
      </w:pPr>
      <w:r>
        <w:rPr>
          <w:b/>
        </w:rPr>
        <w:lastRenderedPageBreak/>
        <w:t>Introduction</w:t>
      </w:r>
    </w:p>
    <w:p w14:paraId="3E1D32F2" w14:textId="77777777" w:rsidR="00C20C08" w:rsidRDefault="00C20C08" w:rsidP="00FE13DB">
      <w:pPr>
        <w:spacing w:line="480" w:lineRule="auto"/>
        <w:rPr>
          <w:b/>
        </w:rPr>
      </w:pPr>
    </w:p>
    <w:p w14:paraId="345ADD39" w14:textId="0A9A1B6F" w:rsidR="002E38AB" w:rsidRDefault="00FE13DB" w:rsidP="00FE13DB">
      <w:pPr>
        <w:spacing w:line="480" w:lineRule="auto"/>
      </w:pPr>
      <w:r>
        <w:tab/>
      </w:r>
      <w:r w:rsidR="002E38AB">
        <w:t>There have been sustained concerns about o</w:t>
      </w:r>
      <w:r>
        <w:t xml:space="preserve">besity </w:t>
      </w:r>
      <w:r w:rsidR="002E38AB">
        <w:t xml:space="preserve">levels in youth </w:t>
      </w:r>
      <w:r>
        <w:t xml:space="preserve">in developed countries, however rates of obesity are also increasing in </w:t>
      </w:r>
      <w:r w:rsidR="007D3148">
        <w:t>l</w:t>
      </w:r>
      <w:r w:rsidR="00F03B70">
        <w:t>ow</w:t>
      </w:r>
      <w:r w:rsidR="007D3148">
        <w:t>-</w:t>
      </w:r>
      <w:r w:rsidR="00F03B70">
        <w:t xml:space="preserve"> and </w:t>
      </w:r>
      <w:r w:rsidR="003545A0">
        <w:t>m</w:t>
      </w:r>
      <w:r w:rsidR="00F03B70">
        <w:t>iddle-</w:t>
      </w:r>
      <w:r w:rsidR="007D3148">
        <w:t>i</w:t>
      </w:r>
      <w:r w:rsidR="002E38AB">
        <w:t xml:space="preserve">ncome </w:t>
      </w:r>
      <w:r>
        <w:t>countries</w:t>
      </w:r>
      <w:r w:rsidR="002E38AB">
        <w:t xml:space="preserve"> (LMIC</w:t>
      </w:r>
      <w:r w:rsidR="003E35D2">
        <w:t>s</w:t>
      </w:r>
      <w:r w:rsidR="002E38AB">
        <w:t>)</w:t>
      </w:r>
      <w:r>
        <w:t xml:space="preserve">. Indeed, </w:t>
      </w:r>
      <w:r w:rsidR="002E38AB">
        <w:t>LMICs</w:t>
      </w:r>
      <w:r>
        <w:t xml:space="preserve"> have </w:t>
      </w:r>
      <w:r w:rsidR="005850DE">
        <w:t xml:space="preserve">even </w:t>
      </w:r>
      <w:r>
        <w:t xml:space="preserve">seen a steeper increase in preschool </w:t>
      </w:r>
      <w:r w:rsidR="005C5609">
        <w:t xml:space="preserve">overweight and </w:t>
      </w:r>
      <w:r>
        <w:t>obesity levels from 1990-2010 compared to developed countries (</w:t>
      </w:r>
      <w:r w:rsidR="00546D74">
        <w:t>1</w:t>
      </w:r>
      <w:r>
        <w:t>).</w:t>
      </w:r>
      <w:r w:rsidR="00AE6555">
        <w:t xml:space="preserve"> Specifically,</w:t>
      </w:r>
      <w:r w:rsidR="002F4D78">
        <w:t xml:space="preserve"> </w:t>
      </w:r>
      <w:r w:rsidR="007D3148">
        <w:t>during</w:t>
      </w:r>
      <w:r w:rsidR="002F4D78">
        <w:t xml:space="preserve"> this time period, the relative percentage change in overweight and obesity in developing countries was 65%</w:t>
      </w:r>
      <w:r w:rsidR="007D3148">
        <w:t>,</w:t>
      </w:r>
      <w:r w:rsidR="002F4D78">
        <w:t xml:space="preserve"> wh</w:t>
      </w:r>
      <w:r w:rsidR="007D3148">
        <w:t>ereas</w:t>
      </w:r>
      <w:r w:rsidR="002F4D78">
        <w:t xml:space="preserve"> in developed countries</w:t>
      </w:r>
      <w:r w:rsidR="007D3148">
        <w:t>,</w:t>
      </w:r>
      <w:r w:rsidR="002F4D78">
        <w:t xml:space="preserve"> </w:t>
      </w:r>
      <w:r w:rsidR="007D3148">
        <w:t xml:space="preserve">it </w:t>
      </w:r>
      <w:r w:rsidR="002F4D78">
        <w:t>was 48%</w:t>
      </w:r>
      <w:r w:rsidR="00AE6555">
        <w:t xml:space="preserve"> (</w:t>
      </w:r>
      <w:r w:rsidR="00546D74">
        <w:t>2</w:t>
      </w:r>
      <w:r w:rsidR="00AE6555">
        <w:t>)</w:t>
      </w:r>
      <w:r w:rsidR="002F4D78">
        <w:t>.</w:t>
      </w:r>
      <w:r>
        <w:t xml:space="preserve"> Obesity can have detrimental effects on adolescents’ phys</w:t>
      </w:r>
      <w:r w:rsidR="00067771">
        <w:t>ical</w:t>
      </w:r>
      <w:r w:rsidR="007D3148">
        <w:t xml:space="preserve">, </w:t>
      </w:r>
      <w:r w:rsidR="00067771">
        <w:t>mental</w:t>
      </w:r>
      <w:r w:rsidR="007D3148">
        <w:t xml:space="preserve">, and </w:t>
      </w:r>
      <w:r w:rsidR="00067771">
        <w:t>psychosocial</w:t>
      </w:r>
      <w:r>
        <w:t xml:space="preserve"> health (</w:t>
      </w:r>
      <w:r w:rsidR="00546D74">
        <w:t>3,4,5</w:t>
      </w:r>
      <w:r>
        <w:t xml:space="preserve">). </w:t>
      </w:r>
      <w:r w:rsidR="00EC1CFE">
        <w:t>Since o</w:t>
      </w:r>
      <w:r w:rsidR="002E38AB">
        <w:t>besity in adolescence is a key predictor of obesity in adulthood</w:t>
      </w:r>
      <w:r w:rsidR="00EC1CFE">
        <w:t>, this timeframe</w:t>
      </w:r>
      <w:r w:rsidR="002E38AB">
        <w:t xml:space="preserve"> represents an essential window to prevent lifelong increase</w:t>
      </w:r>
      <w:r w:rsidR="00B417BC">
        <w:t>d</w:t>
      </w:r>
      <w:r w:rsidR="002E38AB">
        <w:t xml:space="preserve"> weight and the associated health issues</w:t>
      </w:r>
      <w:r w:rsidR="00B321E4">
        <w:t xml:space="preserve"> (</w:t>
      </w:r>
      <w:r w:rsidR="00546D74">
        <w:t>6</w:t>
      </w:r>
      <w:r w:rsidR="00B321E4">
        <w:t>)</w:t>
      </w:r>
      <w:r w:rsidR="002E38AB">
        <w:t xml:space="preserve">. Consequently, there is a global movement with accompanying </w:t>
      </w:r>
      <w:r w:rsidR="007D3148">
        <w:t>(</w:t>
      </w:r>
      <w:r w:rsidR="002E38AB">
        <w:t>inter</w:t>
      </w:r>
      <w:r w:rsidR="007D3148">
        <w:t>)</w:t>
      </w:r>
      <w:r w:rsidR="002E38AB">
        <w:t>national guidelines that stipulate the need to prevent and manage obesity in adolescents</w:t>
      </w:r>
      <w:r w:rsidR="00422407">
        <w:t xml:space="preserve"> </w:t>
      </w:r>
      <w:r w:rsidR="00422407" w:rsidRPr="006E5FCB">
        <w:t>(</w:t>
      </w:r>
      <w:r w:rsidR="006E5FCB" w:rsidRPr="006E5FCB">
        <w:t>7, 8</w:t>
      </w:r>
      <w:r w:rsidR="00D8576A" w:rsidRPr="006E5FCB">
        <w:t>).</w:t>
      </w:r>
      <w:r w:rsidR="00D8576A">
        <w:t xml:space="preserve"> </w:t>
      </w:r>
    </w:p>
    <w:p w14:paraId="60CA865B" w14:textId="1C0278EF" w:rsidR="00EC1CFE" w:rsidRDefault="005D4028" w:rsidP="005D4028">
      <w:pPr>
        <w:spacing w:line="480" w:lineRule="auto"/>
      </w:pPr>
      <w:r>
        <w:tab/>
        <w:t>Currently, t</w:t>
      </w:r>
      <w:r w:rsidR="002E38AB">
        <w:t xml:space="preserve">here is increasing recognition that </w:t>
      </w:r>
      <w:r w:rsidR="003545A0">
        <w:t>sedentary behavior (SB) is</w:t>
      </w:r>
      <w:r w:rsidR="007D3148">
        <w:t xml:space="preserve"> </w:t>
      </w:r>
      <w:r>
        <w:t>a risk factor for</w:t>
      </w:r>
      <w:r w:rsidR="00FE13DB">
        <w:t xml:space="preserve"> childhood weight gain, </w:t>
      </w:r>
      <w:r w:rsidR="00CB6D06">
        <w:t xml:space="preserve">although </w:t>
      </w:r>
      <w:r w:rsidR="002E38AB">
        <w:t xml:space="preserve">almost all of this research is derived from </w:t>
      </w:r>
      <w:r w:rsidR="00CB6D06">
        <w:t>high</w:t>
      </w:r>
      <w:r w:rsidR="007D3148">
        <w:t>-</w:t>
      </w:r>
      <w:r w:rsidR="00CB6D06">
        <w:t>income countries</w:t>
      </w:r>
      <w:r>
        <w:t xml:space="preserve"> (</w:t>
      </w:r>
      <w:r w:rsidR="006E5FCB">
        <w:t>9)</w:t>
      </w:r>
      <w:r>
        <w:t xml:space="preserve">. </w:t>
      </w:r>
      <w:r w:rsidR="00C7251A">
        <w:t>SB</w:t>
      </w:r>
      <w:r w:rsidR="00EC1CFE">
        <w:t xml:space="preserve"> is </w:t>
      </w:r>
      <w:r w:rsidR="00C87645">
        <w:t xml:space="preserve">usually </w:t>
      </w:r>
      <w:r w:rsidR="008F710D">
        <w:t>defined as</w:t>
      </w:r>
      <w:r w:rsidR="00B55C33">
        <w:t xml:space="preserve"> an</w:t>
      </w:r>
      <w:r w:rsidR="008F710D">
        <w:t xml:space="preserve"> </w:t>
      </w:r>
      <w:r w:rsidR="003A0470">
        <w:t xml:space="preserve">energy </w:t>
      </w:r>
      <w:r w:rsidR="003A0470" w:rsidRPr="00027A4C">
        <w:t>expenditure ≤1.5 metabolic equivalents of task (METs)</w:t>
      </w:r>
      <w:r w:rsidR="003A0470" w:rsidRPr="00182E6A">
        <w:t xml:space="preserve"> while</w:t>
      </w:r>
      <w:r w:rsidR="003A0470">
        <w:t xml:space="preserve"> in a sitting or reclining posture during waking hours</w:t>
      </w:r>
      <w:r w:rsidR="00511BEE">
        <w:t>. This</w:t>
      </w:r>
      <w:r w:rsidR="003A0470">
        <w:t xml:space="preserve"> </w:t>
      </w:r>
      <w:r w:rsidR="008F710D">
        <w:t xml:space="preserve">is now being considered as a </w:t>
      </w:r>
      <w:r w:rsidR="00B55C33">
        <w:t xml:space="preserve">contributing factor to </w:t>
      </w:r>
      <w:r w:rsidR="00C7251A">
        <w:t xml:space="preserve">unhealthy </w:t>
      </w:r>
      <w:r w:rsidR="008F710D">
        <w:t>weight gain</w:t>
      </w:r>
      <w:r w:rsidR="00C7251A">
        <w:t xml:space="preserve"> and obesity</w:t>
      </w:r>
      <w:r w:rsidR="00C4408A" w:rsidRPr="00D93446">
        <w:rPr>
          <w:b/>
        </w:rPr>
        <w:t xml:space="preserve"> (</w:t>
      </w:r>
      <w:r w:rsidR="006E5FCB" w:rsidRPr="006E5FCB">
        <w:t>10</w:t>
      </w:r>
      <w:r w:rsidR="00C4408A" w:rsidRPr="006E5FCB">
        <w:t>)</w:t>
      </w:r>
      <w:r w:rsidR="00FF0096" w:rsidRPr="006E5FCB">
        <w:t>,</w:t>
      </w:r>
      <w:r w:rsidR="00FF0096" w:rsidRPr="00D93446">
        <w:rPr>
          <w:b/>
        </w:rPr>
        <w:t xml:space="preserve"> </w:t>
      </w:r>
      <w:r w:rsidR="00FF0096">
        <w:t xml:space="preserve">potentially through increased obesogenic behaviors such as snacking, decreased energy expenditure and increase abdominal fat </w:t>
      </w:r>
      <w:r w:rsidR="00FF0096" w:rsidRPr="006C71B1">
        <w:t>(</w:t>
      </w:r>
      <w:r w:rsidR="006E5FCB" w:rsidRPr="006C71B1">
        <w:t>11-13</w:t>
      </w:r>
      <w:r w:rsidR="00FF0096" w:rsidRPr="006C71B1">
        <w:t>)</w:t>
      </w:r>
      <w:r w:rsidR="008F710D" w:rsidRPr="006C71B1">
        <w:t>.</w:t>
      </w:r>
      <w:r w:rsidR="00F62AAF" w:rsidRPr="00D93446">
        <w:rPr>
          <w:b/>
        </w:rPr>
        <w:t xml:space="preserve"> </w:t>
      </w:r>
      <w:r w:rsidR="005519FB" w:rsidRPr="00FF0096">
        <w:t>In a</w:t>
      </w:r>
      <w:r w:rsidR="005519FB">
        <w:t xml:space="preserve"> systematic review</w:t>
      </w:r>
      <w:r w:rsidR="00AF7344">
        <w:t xml:space="preserve"> </w:t>
      </w:r>
      <w:r w:rsidR="0025093A">
        <w:t>examining this relationship among children in developed countries,</w:t>
      </w:r>
      <w:r w:rsidR="00C7251A">
        <w:t xml:space="preserve"> </w:t>
      </w:r>
      <w:r w:rsidR="0086079F">
        <w:t xml:space="preserve">SB </w:t>
      </w:r>
      <w:r w:rsidR="00EC1CFE">
        <w:t xml:space="preserve">was </w:t>
      </w:r>
      <w:r w:rsidR="0086079F">
        <w:t>generally positively associated with weight status, though this relationship varied by gender for some studies (</w:t>
      </w:r>
      <w:r w:rsidR="006E5FCB">
        <w:t>9</w:t>
      </w:r>
      <w:r w:rsidR="0086079F">
        <w:t>)</w:t>
      </w:r>
      <w:r w:rsidR="00F24733">
        <w:t xml:space="preserve">. </w:t>
      </w:r>
    </w:p>
    <w:p w14:paraId="6C26F734" w14:textId="617195F5" w:rsidR="004706D9" w:rsidRDefault="00EC1CFE" w:rsidP="00BE7044">
      <w:pPr>
        <w:spacing w:line="480" w:lineRule="auto"/>
        <w:ind w:firstLine="720"/>
      </w:pPr>
      <w:r>
        <w:t xml:space="preserve">However, the review only examined the relationships of SB in the USA and other developed countries, and did not identify any relevant studies looking at health outcomes of SB in LMICs, showing a severe under-representation of literature for these regions. </w:t>
      </w:r>
      <w:r w:rsidR="00F24733">
        <w:t>As such, further research is warranted to examine how these relationships may differ in such countries</w:t>
      </w:r>
      <w:r w:rsidR="003E35D2">
        <w:t xml:space="preserve">, </w:t>
      </w:r>
      <w:r w:rsidR="003E35D2">
        <w:lastRenderedPageBreak/>
        <w:t xml:space="preserve">especially </w:t>
      </w:r>
      <w:r w:rsidR="00F906E1">
        <w:t xml:space="preserve">given </w:t>
      </w:r>
      <w:r w:rsidR="003E35D2">
        <w:t>that SB levels have been reported to be high among adolescents in L</w:t>
      </w:r>
      <w:r w:rsidR="003545A0">
        <w:t xml:space="preserve">MICs </w:t>
      </w:r>
      <w:r w:rsidR="00AB3D8E">
        <w:t>(14</w:t>
      </w:r>
      <w:r w:rsidR="00D93446">
        <w:t>)</w:t>
      </w:r>
      <w:r w:rsidR="003545A0">
        <w:t>, and childhood obesit</w:t>
      </w:r>
      <w:r w:rsidR="005850DE">
        <w:t>y is increasing in this setting</w:t>
      </w:r>
      <w:r w:rsidR="003545A0">
        <w:t>.</w:t>
      </w:r>
      <w:r w:rsidR="005D4028">
        <w:t xml:space="preserve"> E</w:t>
      </w:r>
      <w:r w:rsidR="00CA5FEF">
        <w:t>xploring the</w:t>
      </w:r>
      <w:r w:rsidR="003545A0">
        <w:t xml:space="preserve"> SB-obesity </w:t>
      </w:r>
      <w:r w:rsidR="005D4028">
        <w:t>association</w:t>
      </w:r>
      <w:r w:rsidR="00CA5FEF">
        <w:t xml:space="preserve"> in LMICs is </w:t>
      </w:r>
      <w:r w:rsidR="004021BF">
        <w:t xml:space="preserve">particularly </w:t>
      </w:r>
      <w:r w:rsidR="00CA5FEF">
        <w:t>important as there may be different sociocultural attitudes towards obesity</w:t>
      </w:r>
      <w:r w:rsidR="005D4028">
        <w:t xml:space="preserve"> (e.g., obesity may be viewed as a sign of wealth or beauty)</w:t>
      </w:r>
      <w:r w:rsidR="00904D5C">
        <w:t xml:space="preserve">, or different access to devices </w:t>
      </w:r>
      <w:r w:rsidR="003545A0">
        <w:t xml:space="preserve">(e.g., television, computers) </w:t>
      </w:r>
      <w:r w:rsidR="00904D5C">
        <w:t>associated with SB,</w:t>
      </w:r>
      <w:r w:rsidR="00CA5FEF">
        <w:t xml:space="preserve"> compared with high-income countries. </w:t>
      </w:r>
      <w:r w:rsidR="00904D5C">
        <w:t xml:space="preserve">Furthermore, most of the previous studies exploring the associations between SB and obesity </w:t>
      </w:r>
      <w:r w:rsidR="00CB6D06">
        <w:t xml:space="preserve">have not </w:t>
      </w:r>
      <w:r w:rsidR="00904D5C">
        <w:t>adjust</w:t>
      </w:r>
      <w:r w:rsidR="00CB6D06">
        <w:t>ed</w:t>
      </w:r>
      <w:r w:rsidR="00904D5C">
        <w:t xml:space="preserve"> for physical activity levels or nutrition, </w:t>
      </w:r>
      <w:r w:rsidR="00CB6D06">
        <w:t xml:space="preserve">despite the established influence of these factors on obesity </w:t>
      </w:r>
      <w:r w:rsidR="00AF7344" w:rsidRPr="00AF7344">
        <w:t>(</w:t>
      </w:r>
      <w:r w:rsidR="00546D74">
        <w:t>6</w:t>
      </w:r>
      <w:r w:rsidR="00CB6D06" w:rsidRPr="00AF7344">
        <w:t>).</w:t>
      </w:r>
      <w:r w:rsidR="00CB6D06">
        <w:t xml:space="preserve"> </w:t>
      </w:r>
      <w:r w:rsidR="00904D5C">
        <w:t xml:space="preserve">Finally, multinational studies exploring the associations </w:t>
      </w:r>
      <w:r w:rsidR="00CB6D06">
        <w:t xml:space="preserve">between SB and obesity </w:t>
      </w:r>
      <w:r w:rsidR="00904D5C">
        <w:t xml:space="preserve">in LMICs are </w:t>
      </w:r>
      <w:r w:rsidR="00CB6D06">
        <w:t xml:space="preserve">to the best of our knowledge </w:t>
      </w:r>
      <w:r w:rsidR="00904D5C">
        <w:t xml:space="preserve">absent. Multinational studies allow the associations between SB and obesity to be explored </w:t>
      </w:r>
      <w:r w:rsidR="00F05ED0">
        <w:t xml:space="preserve">independent </w:t>
      </w:r>
      <w:r w:rsidR="00904D5C">
        <w:t>of national policies and other possible contributing factors, while also allowing co</w:t>
      </w:r>
      <w:r w:rsidR="003433C5">
        <w:t xml:space="preserve">mparisons between countries </w:t>
      </w:r>
      <w:r w:rsidR="00904D5C">
        <w:t xml:space="preserve">to investigate the roles of these policies and factors in different countries. </w:t>
      </w:r>
    </w:p>
    <w:p w14:paraId="2DE66F3E" w14:textId="153884F0" w:rsidR="004706D9" w:rsidRDefault="00790A88" w:rsidP="00FE13DB">
      <w:pPr>
        <w:spacing w:line="480" w:lineRule="auto"/>
      </w:pPr>
      <w:r>
        <w:tab/>
      </w:r>
      <w:r w:rsidR="00627D36">
        <w:t xml:space="preserve">Given the current gaps in the literature, the aim of the current study was to assess whether higher levels of SB are associated with greater levels of obesity among adolescents in 41 LMICs. Given the previously reported links between SB and obesity </w:t>
      </w:r>
      <w:r w:rsidR="005D4028">
        <w:t xml:space="preserve">among adolescents </w:t>
      </w:r>
      <w:r w:rsidR="00627D36">
        <w:t xml:space="preserve">in developed countries, we hypothesized that greater time spent in SB would be associated with higher levels of obesity, </w:t>
      </w:r>
      <w:r w:rsidR="00CB6D06">
        <w:t xml:space="preserve">even after adjusting for physical activity and nutritional intake. </w:t>
      </w:r>
    </w:p>
    <w:p w14:paraId="703669FD" w14:textId="77777777" w:rsidR="00B04262" w:rsidRDefault="00B04262" w:rsidP="00F45E80">
      <w:pPr>
        <w:spacing w:line="480" w:lineRule="auto"/>
      </w:pPr>
    </w:p>
    <w:p w14:paraId="0CB1F589" w14:textId="51F2C601" w:rsidR="0005120C" w:rsidRPr="0005120C" w:rsidRDefault="0005120C" w:rsidP="00CB1B40">
      <w:pPr>
        <w:spacing w:line="480" w:lineRule="auto"/>
        <w:rPr>
          <w:b/>
        </w:rPr>
      </w:pPr>
      <w:r w:rsidRPr="0005120C">
        <w:rPr>
          <w:b/>
        </w:rPr>
        <w:t>Methods</w:t>
      </w:r>
    </w:p>
    <w:p w14:paraId="0480952C" w14:textId="77777777" w:rsidR="00A449FB" w:rsidRPr="008C30BC" w:rsidRDefault="00A449FB" w:rsidP="008332CA">
      <w:pPr>
        <w:spacing w:line="480" w:lineRule="auto"/>
        <w:rPr>
          <w:b/>
          <w:i/>
        </w:rPr>
      </w:pPr>
      <w:r w:rsidRPr="008C30BC">
        <w:rPr>
          <w:b/>
          <w:i/>
        </w:rPr>
        <w:t>The survey</w:t>
      </w:r>
    </w:p>
    <w:p w14:paraId="53E77261" w14:textId="55630AC6" w:rsidR="00A449FB" w:rsidRPr="00410A00" w:rsidRDefault="00A449FB" w:rsidP="00A449FB">
      <w:pPr>
        <w:spacing w:line="480" w:lineRule="auto"/>
        <w:rPr>
          <w:lang w:eastAsia="ja-JP"/>
        </w:rPr>
      </w:pPr>
      <w:r>
        <w:t>Publicly available d</w:t>
      </w:r>
      <w:r w:rsidRPr="004C13E2">
        <w:t>at</w:t>
      </w:r>
      <w:r>
        <w:t>a from GSHS</w:t>
      </w:r>
      <w:r w:rsidRPr="004C13E2">
        <w:t xml:space="preserve"> were analyzed. Details on this survey can be found at </w:t>
      </w:r>
      <w:r w:rsidRPr="004C13E2">
        <w:rPr>
          <w:color w:val="141413"/>
        </w:rPr>
        <w:t xml:space="preserve">http://www.who.int/chp/gshs and http://www.cdc.gov/gshs. </w:t>
      </w:r>
      <w:r>
        <w:rPr>
          <w:color w:val="141413"/>
        </w:rPr>
        <w:t xml:space="preserve">Briefly, the GSHS was jointly developed by the WHO and the US Centers for Disease Control and Prevention (CDC), and other UN allies. </w:t>
      </w:r>
      <w:r w:rsidRPr="000D5ACD">
        <w:t xml:space="preserve">The core aim of this survey was to assess and quantify risk and protective </w:t>
      </w:r>
      <w:r w:rsidRPr="000D5ACD">
        <w:lastRenderedPageBreak/>
        <w:t>factors of major non-communicable</w:t>
      </w:r>
      <w:r w:rsidRPr="000D5ACD">
        <w:rPr>
          <w:lang w:eastAsia="ja-JP"/>
        </w:rPr>
        <w:t xml:space="preserve"> </w:t>
      </w:r>
      <w:r w:rsidRPr="000D5ACD">
        <w:t>disease</w:t>
      </w:r>
      <w:r w:rsidRPr="000D5ACD">
        <w:rPr>
          <w:lang w:eastAsia="ja-JP"/>
        </w:rPr>
        <w:t xml:space="preserve">s. </w:t>
      </w:r>
      <w:r>
        <w:rPr>
          <w:lang w:eastAsia="ja-JP"/>
        </w:rPr>
        <w:t xml:space="preserve">The survey draws content from the CDC Youth Risk Behavior Survey (YRBS) for which test-retest reliability has been established </w:t>
      </w:r>
      <w:r>
        <w:rPr>
          <w:lang w:eastAsia="ja-JP"/>
        </w:rPr>
        <w:fldChar w:fldCharType="begin">
          <w:fldData xml:space="preserve">PEVuZE5vdGU+PENpdGU+PEF1dGhvcj5CcmVuZXI8L0F1dGhvcj48WWVhcj4xOTk1PC9ZZWFyPjxS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aW9sb2d5PC9hYmJyLTE+PC9hbHQtcGVyaW9kaWNhbD48cGFnZXM+NTc1LTgwPC9wYWdlcz48dm9s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</w:fldData>
        </w:fldChar>
      </w:r>
      <w:r w:rsidR="00037FB8">
        <w:rPr>
          <w:lang w:eastAsia="ja-JP"/>
        </w:rPr>
        <w:instrText xml:space="preserve"> ADDIN EN.CITE </w:instrText>
      </w:r>
      <w:r w:rsidR="00037FB8">
        <w:rPr>
          <w:lang w:eastAsia="ja-JP"/>
        </w:rPr>
        <w:fldChar w:fldCharType="begin">
          <w:fldData xml:space="preserve">PEVuZE5vdGU+PENpdGU+PEF1dGhvcj5CcmVuZXI8L0F1dGhvcj48WWVhcj4xOTk1PC9ZZWFyPjxS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aW9sb2d5PC9hYmJyLTE+PC9hbHQtcGVyaW9kaWNhbD48cGFnZXM+NTc1LTgwPC9wYWdlcz48dm9s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</w:fldData>
        </w:fldChar>
      </w:r>
      <w:r w:rsidR="00037FB8">
        <w:rPr>
          <w:lang w:eastAsia="ja-JP"/>
        </w:rPr>
        <w:instrText xml:space="preserve"> ADDIN EN.CITE.DATA </w:instrText>
      </w:r>
      <w:r w:rsidR="00037FB8">
        <w:rPr>
          <w:lang w:eastAsia="ja-JP"/>
        </w:rPr>
      </w:r>
      <w:r w:rsidR="00037FB8">
        <w:rPr>
          <w:lang w:eastAsia="ja-JP"/>
        </w:rPr>
        <w:fldChar w:fldCharType="end"/>
      </w:r>
      <w:r>
        <w:rPr>
          <w:lang w:eastAsia="ja-JP"/>
        </w:rPr>
      </w:r>
      <w:r>
        <w:rPr>
          <w:lang w:eastAsia="ja-JP"/>
        </w:rPr>
        <w:fldChar w:fldCharType="separate"/>
      </w:r>
      <w:r w:rsidR="00037FB8">
        <w:rPr>
          <w:noProof/>
          <w:lang w:eastAsia="ja-JP"/>
        </w:rPr>
        <w:t>(</w:t>
      </w:r>
      <w:r w:rsidR="006C71B1">
        <w:rPr>
          <w:noProof/>
          <w:lang w:eastAsia="ja-JP"/>
        </w:rPr>
        <w:t>15</w:t>
      </w:r>
      <w:r w:rsidR="00546D74">
        <w:rPr>
          <w:noProof/>
          <w:lang w:eastAsia="ja-JP"/>
        </w:rPr>
        <w:t>)</w:t>
      </w:r>
      <w:r>
        <w:rPr>
          <w:lang w:eastAsia="ja-JP"/>
        </w:rPr>
        <w:fldChar w:fldCharType="end"/>
      </w:r>
      <w:r>
        <w:rPr>
          <w:lang w:eastAsia="ja-JP"/>
        </w:rPr>
        <w:t xml:space="preserve">. The </w:t>
      </w:r>
      <w:r>
        <w:rPr>
          <w:color w:val="141413"/>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w:t>
      </w:r>
      <w:r w:rsidRPr="007A76FA">
        <w:rPr>
          <w:color w:val="141413"/>
        </w:rPr>
        <w:t xml:space="preserve">computer scannable sheets. </w:t>
      </w:r>
      <w:r w:rsidRPr="007A76FA">
        <w:rPr>
          <w:color w:val="000000"/>
        </w:rPr>
        <w:t xml:space="preserve">All GSHS surveys were approved, in each country, by both a national government administration (most often the Ministry of Health or Education) and an institutional review board or ethics committee. </w:t>
      </w:r>
      <w:r w:rsidRPr="007A76FA">
        <w:rPr>
          <w:color w:val="141413"/>
        </w:rPr>
        <w:t>Student privacy was protected through anonymous and voluntary participation, and informed consent was obtained as appropriate from the students, parents and/or school officials. Data were weighted for non-response and probability selection.</w:t>
      </w:r>
    </w:p>
    <w:p w14:paraId="711BD252" w14:textId="22959894" w:rsidR="00A449FB" w:rsidRDefault="00A449FB" w:rsidP="00A449FB">
      <w:pPr>
        <w:spacing w:line="480" w:lineRule="auto"/>
        <w:rPr>
          <w:color w:val="141413"/>
        </w:rPr>
      </w:pPr>
      <w:r w:rsidRPr="007A76FA">
        <w:rPr>
          <w:color w:val="141413"/>
        </w:rPr>
        <w:tab/>
        <w:t xml:space="preserve">From all publicly available data, we selected all </w:t>
      </w:r>
      <w:r>
        <w:rPr>
          <w:color w:val="141413"/>
        </w:rPr>
        <w:t xml:space="preserve">nationally representative </w:t>
      </w:r>
      <w:r w:rsidRPr="007A76FA">
        <w:rPr>
          <w:color w:val="141413"/>
        </w:rPr>
        <w:t>datasets that included the</w:t>
      </w:r>
      <w:r>
        <w:rPr>
          <w:color w:val="141413"/>
        </w:rPr>
        <w:t xml:space="preserve"> variables pertaining to this analysis</w:t>
      </w:r>
      <w:r w:rsidR="00147535">
        <w:rPr>
          <w:color w:val="141413"/>
        </w:rPr>
        <w:t>. H</w:t>
      </w:r>
      <w:r w:rsidR="00CE1E2F">
        <w:rPr>
          <w:color w:val="141413"/>
        </w:rPr>
        <w:t xml:space="preserve">igh-income countries were excluded to focus on LMICs. </w:t>
      </w:r>
      <w:r w:rsidR="007D42F2">
        <w:rPr>
          <w:color w:val="141413"/>
        </w:rPr>
        <w:t xml:space="preserve">We also excluded countries for which more than 20% of the data on </w:t>
      </w:r>
      <w:r w:rsidR="006E5F74">
        <w:rPr>
          <w:color w:val="141413"/>
        </w:rPr>
        <w:t>b</w:t>
      </w:r>
      <w:r w:rsidR="007D42F2">
        <w:rPr>
          <w:color w:val="141413"/>
        </w:rPr>
        <w:t xml:space="preserve">ody </w:t>
      </w:r>
      <w:r w:rsidR="006E5F74">
        <w:rPr>
          <w:color w:val="141413"/>
        </w:rPr>
        <w:t>m</w:t>
      </w:r>
      <w:r w:rsidR="007D42F2">
        <w:rPr>
          <w:color w:val="141413"/>
        </w:rPr>
        <w:t xml:space="preserve">ass </w:t>
      </w:r>
      <w:r w:rsidR="006E5F74">
        <w:rPr>
          <w:color w:val="141413"/>
        </w:rPr>
        <w:t>i</w:t>
      </w:r>
      <w:r w:rsidR="007D42F2">
        <w:rPr>
          <w:color w:val="141413"/>
        </w:rPr>
        <w:t xml:space="preserve">ndex (BMI) were missing. </w:t>
      </w:r>
      <w:r>
        <w:rPr>
          <w:color w:val="141413"/>
        </w:rPr>
        <w:t>If there were more than two datasets from the same country, we chose the mo</w:t>
      </w:r>
      <w:r w:rsidR="005E10DD">
        <w:rPr>
          <w:color w:val="141413"/>
        </w:rPr>
        <w:t xml:space="preserve">st recent dataset. </w:t>
      </w:r>
      <w:r w:rsidR="007D42F2">
        <w:rPr>
          <w:color w:val="141413"/>
        </w:rPr>
        <w:t>Thus, a</w:t>
      </w:r>
      <w:r w:rsidR="005E10DD">
        <w:rPr>
          <w:color w:val="141413"/>
        </w:rPr>
        <w:t xml:space="preserve"> total of 4</w:t>
      </w:r>
      <w:r w:rsidR="00E94B70">
        <w:rPr>
          <w:color w:val="141413"/>
        </w:rPr>
        <w:t>1</w:t>
      </w:r>
      <w:r>
        <w:rPr>
          <w:color w:val="141413"/>
        </w:rPr>
        <w:t xml:space="preserve"> </w:t>
      </w:r>
      <w:r w:rsidR="00E94B70">
        <w:rPr>
          <w:color w:val="141413"/>
        </w:rPr>
        <w:t xml:space="preserve">LMICs </w:t>
      </w:r>
      <w:r>
        <w:rPr>
          <w:color w:val="141413"/>
        </w:rPr>
        <w:t xml:space="preserve">were included in the current study. The characteristics of each country or survey are </w:t>
      </w:r>
      <w:r w:rsidRPr="00887945">
        <w:rPr>
          <w:color w:val="141413"/>
        </w:rPr>
        <w:t xml:space="preserve">provided in </w:t>
      </w:r>
      <w:r w:rsidRPr="00887945">
        <w:rPr>
          <w:b/>
          <w:color w:val="141413"/>
        </w:rPr>
        <w:t>Table 1</w:t>
      </w:r>
      <w:r w:rsidRPr="00887945">
        <w:rPr>
          <w:color w:val="141413"/>
        </w:rPr>
        <w:t>. For the included countries, the s</w:t>
      </w:r>
      <w:r>
        <w:rPr>
          <w:color w:val="141413"/>
        </w:rPr>
        <w:t>urvey was conducted between 2003</w:t>
      </w:r>
      <w:r w:rsidRPr="00887945">
        <w:rPr>
          <w:color w:val="141413"/>
        </w:rPr>
        <w:t xml:space="preserve"> and 2015, and consisted of </w:t>
      </w:r>
      <w:r w:rsidR="000120BD">
        <w:rPr>
          <w:color w:val="141413"/>
        </w:rPr>
        <w:t>5 low-income, 26 lower middle-income, and 10 upper middle-income countries based on the World Bank classific</w:t>
      </w:r>
      <w:r w:rsidR="00D43725">
        <w:rPr>
          <w:color w:val="141413"/>
        </w:rPr>
        <w:t xml:space="preserve">ation at the time of the survey for the respective countries. </w:t>
      </w:r>
    </w:p>
    <w:p w14:paraId="2641EC3E" w14:textId="77777777" w:rsidR="004E0B42" w:rsidRDefault="004E0B42" w:rsidP="004E0B42">
      <w:pPr>
        <w:spacing w:line="480" w:lineRule="auto"/>
        <w:rPr>
          <w:color w:val="141413"/>
        </w:rPr>
      </w:pPr>
    </w:p>
    <w:p w14:paraId="0AB8C5BF" w14:textId="0517A31E" w:rsidR="00A719AC" w:rsidRDefault="00E74F89" w:rsidP="004E0B42">
      <w:pPr>
        <w:spacing w:line="480" w:lineRule="auto"/>
        <w:rPr>
          <w:i/>
          <w:color w:val="141413"/>
        </w:rPr>
      </w:pPr>
      <w:r w:rsidRPr="00E74F89">
        <w:rPr>
          <w:b/>
          <w:i/>
          <w:color w:val="141413"/>
        </w:rPr>
        <w:lastRenderedPageBreak/>
        <w:t>Obesity</w:t>
      </w:r>
      <w:r w:rsidRPr="00E74F89">
        <w:rPr>
          <w:i/>
          <w:color w:val="141413"/>
        </w:rPr>
        <w:t xml:space="preserve"> (dependent variable)</w:t>
      </w:r>
    </w:p>
    <w:p w14:paraId="76D95E6E" w14:textId="400A12B3" w:rsidR="00E74F89" w:rsidRDefault="005D72DC" w:rsidP="004E0B42">
      <w:pPr>
        <w:spacing w:line="480" w:lineRule="auto"/>
        <w:rPr>
          <w:color w:val="141413"/>
        </w:rPr>
      </w:pPr>
      <w:r>
        <w:rPr>
          <w:color w:val="141413"/>
        </w:rPr>
        <w:t>Trained survey staff conducted measurement of weight and height</w:t>
      </w:r>
      <w:r w:rsidR="00A433E3">
        <w:rPr>
          <w:color w:val="141413"/>
        </w:rPr>
        <w:t xml:space="preserve">. BMI was calculated as weight in kilograms divided by height in meters squared. Obesity was defined as &gt;2 SDs above the </w:t>
      </w:r>
      <w:r w:rsidR="00BF3445">
        <w:rPr>
          <w:color w:val="141413"/>
        </w:rPr>
        <w:t xml:space="preserve">median for age and sex based on the 2007 WHO Child Growth reference </w:t>
      </w:r>
      <w:r w:rsidR="00037FB8">
        <w:rPr>
          <w:color w:val="141413"/>
        </w:rPr>
        <w:fldChar w:fldCharType="begin">
          <w:fldData xml:space="preserve">PEVuZE5vdGU+PENpdGU+PEF1dGhvcj5DYWxleWFjaGV0dHk8L0F1dGhvcj48WWVhcj4yMDE1PC9Z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JmFtcDsgZW5kb2NyaW5vbG9neTwvYWJici0xPjwvYWx0LXBlcmlvZGljYWw+PHBhZ2VzPjUzNS00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==
</w:fldData>
        </w:fldChar>
      </w:r>
      <w:r w:rsidR="00037FB8">
        <w:rPr>
          <w:color w:val="141413"/>
        </w:rPr>
        <w:instrText xml:space="preserve"> ADDIN EN.CITE </w:instrText>
      </w:r>
      <w:r w:rsidR="00037FB8">
        <w:rPr>
          <w:color w:val="141413"/>
        </w:rPr>
        <w:fldChar w:fldCharType="begin">
          <w:fldData xml:space="preserve">PEVuZE5vdGU+PENpdGU+PEF1dGhvcj5DYWxleWFjaGV0dHk8L0F1dGhvcj48WWVhcj4yMDE1PC9Z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JmFtcDsgZW5kb2NyaW5vbG9neTwvYWJici0xPjwvYWx0LXBlcmlvZGljYWw+PHBhZ2VzPjUzNS00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==
</w:fldData>
        </w:fldChar>
      </w:r>
      <w:r w:rsidR="00037FB8">
        <w:rPr>
          <w:color w:val="141413"/>
        </w:rPr>
        <w:instrText xml:space="preserve"> ADDIN EN.CITE.DATA </w:instrText>
      </w:r>
      <w:r w:rsidR="00037FB8">
        <w:rPr>
          <w:color w:val="141413"/>
        </w:rPr>
      </w:r>
      <w:r w:rsidR="00037FB8">
        <w:rPr>
          <w:color w:val="141413"/>
        </w:rPr>
        <w:fldChar w:fldCharType="end"/>
      </w:r>
      <w:r w:rsidR="00037FB8">
        <w:rPr>
          <w:color w:val="141413"/>
        </w:rPr>
      </w:r>
      <w:r w:rsidR="00037FB8">
        <w:rPr>
          <w:color w:val="141413"/>
        </w:rPr>
        <w:fldChar w:fldCharType="separate"/>
      </w:r>
      <w:r w:rsidR="00037FB8">
        <w:rPr>
          <w:noProof/>
          <w:color w:val="141413"/>
        </w:rPr>
        <w:t>(</w:t>
      </w:r>
      <w:r w:rsidR="006C71B1">
        <w:rPr>
          <w:noProof/>
          <w:color w:val="141413"/>
        </w:rPr>
        <w:t>16</w:t>
      </w:r>
      <w:r w:rsidR="00037FB8">
        <w:rPr>
          <w:noProof/>
          <w:color w:val="141413"/>
        </w:rPr>
        <w:t>)</w:t>
      </w:r>
      <w:r w:rsidR="00037FB8">
        <w:rPr>
          <w:color w:val="141413"/>
        </w:rPr>
        <w:fldChar w:fldCharType="end"/>
      </w:r>
      <w:r w:rsidR="00A433E3">
        <w:rPr>
          <w:color w:val="141413"/>
        </w:rPr>
        <w:t xml:space="preserve">. </w:t>
      </w:r>
    </w:p>
    <w:p w14:paraId="0C08AC6F" w14:textId="77777777" w:rsidR="00E74F89" w:rsidRPr="00E74F89" w:rsidRDefault="00E74F89" w:rsidP="004E0B42">
      <w:pPr>
        <w:spacing w:line="480" w:lineRule="auto"/>
        <w:rPr>
          <w:color w:val="141413"/>
        </w:rPr>
      </w:pPr>
    </w:p>
    <w:p w14:paraId="4A10D19A" w14:textId="1C3AB5FE" w:rsidR="004E0B42" w:rsidRDefault="004E0B42" w:rsidP="004E0B42">
      <w:pPr>
        <w:spacing w:line="480" w:lineRule="auto"/>
        <w:rPr>
          <w:i/>
          <w:color w:val="141413"/>
        </w:rPr>
      </w:pPr>
      <w:r w:rsidRPr="001E1B32">
        <w:rPr>
          <w:b/>
          <w:i/>
          <w:color w:val="141413"/>
        </w:rPr>
        <w:t>Sedentary behavior</w:t>
      </w:r>
      <w:r w:rsidR="005850DE">
        <w:rPr>
          <w:b/>
          <w:i/>
          <w:color w:val="141413"/>
        </w:rPr>
        <w:t xml:space="preserve"> (SB)</w:t>
      </w:r>
      <w:r>
        <w:rPr>
          <w:b/>
          <w:i/>
          <w:color w:val="141413"/>
        </w:rPr>
        <w:t xml:space="preserve"> </w:t>
      </w:r>
      <w:r>
        <w:rPr>
          <w:i/>
          <w:color w:val="141413"/>
        </w:rPr>
        <w:t>(</w:t>
      </w:r>
      <w:r w:rsidR="00A719AC">
        <w:rPr>
          <w:i/>
          <w:color w:val="141413"/>
        </w:rPr>
        <w:t>in</w:t>
      </w:r>
      <w:r>
        <w:rPr>
          <w:i/>
          <w:color w:val="141413"/>
        </w:rPr>
        <w:t>dependent variable)</w:t>
      </w:r>
    </w:p>
    <w:p w14:paraId="0245DAF0" w14:textId="716E7B7B" w:rsidR="004E0B42" w:rsidRDefault="005850DE" w:rsidP="004E0B42">
      <w:pPr>
        <w:spacing w:line="480" w:lineRule="auto"/>
        <w:rPr>
          <w:color w:val="141413"/>
        </w:rPr>
      </w:pPr>
      <w:r>
        <w:rPr>
          <w:color w:val="141413"/>
        </w:rPr>
        <w:t>SB</w:t>
      </w:r>
      <w:r w:rsidR="004E0B42">
        <w:rPr>
          <w:color w:val="141413"/>
        </w:rPr>
        <w:t xml:space="preserve"> was assessed with the question “How much time do you spend during a typical or usual day sitting and watching television, playing computer games, talking with friends, or doing other sitting activities?” with six </w:t>
      </w:r>
      <w:r w:rsidR="006E5F74">
        <w:rPr>
          <w:color w:val="141413"/>
        </w:rPr>
        <w:t xml:space="preserve">response </w:t>
      </w:r>
      <w:r w:rsidR="004E0B42">
        <w:rPr>
          <w:color w:val="141413"/>
        </w:rPr>
        <w:t>options: &lt;1, 1-2, 3-4, 5-6, 7-8, and &gt;8 hours/day. This excluded time at school and when doing homework. This variable was used as a five-category variable (5-6 and 7-8 hours/day were merged as the proportion of those who replied 7-8 hours/day was small) or a dichotomized variable (≥3 hours/day or not</w:t>
      </w:r>
      <w:r w:rsidR="00D93446">
        <w:rPr>
          <w:color w:val="141413"/>
        </w:rPr>
        <w:t>) (</w:t>
      </w:r>
      <w:r w:rsidR="006C71B1">
        <w:rPr>
          <w:color w:val="141413"/>
        </w:rPr>
        <w:t>17</w:t>
      </w:r>
      <w:r w:rsidR="00546D74">
        <w:rPr>
          <w:color w:val="141413"/>
        </w:rPr>
        <w:t xml:space="preserve">). </w:t>
      </w:r>
      <w:r w:rsidR="004E0B42">
        <w:rPr>
          <w:color w:val="141413"/>
        </w:rPr>
        <w:t>This question was based on the National Health And Nutrition Examination Survey (NHANES) questionnaire from 1999-2000, and modified for use in children.</w:t>
      </w:r>
      <w:r w:rsidR="00BF2456">
        <w:rPr>
          <w:color w:val="141413"/>
        </w:rPr>
        <w:t xml:space="preserve"> This measure of SB has been used in multiple published papers (i.e. 14). </w:t>
      </w:r>
    </w:p>
    <w:p w14:paraId="0ECAAA5C" w14:textId="77777777" w:rsidR="00293B88" w:rsidRDefault="00293B88" w:rsidP="004E0B42">
      <w:pPr>
        <w:spacing w:line="480" w:lineRule="auto"/>
        <w:rPr>
          <w:color w:val="141413"/>
        </w:rPr>
      </w:pPr>
    </w:p>
    <w:p w14:paraId="36B78D7A" w14:textId="77777777" w:rsidR="004E0B42" w:rsidRPr="008B4E7C" w:rsidRDefault="004E0B42" w:rsidP="004E0B42">
      <w:pPr>
        <w:spacing w:line="480" w:lineRule="auto"/>
        <w:rPr>
          <w:b/>
          <w:i/>
          <w:color w:val="141413"/>
        </w:rPr>
      </w:pPr>
      <w:r w:rsidRPr="008B4E7C">
        <w:rPr>
          <w:b/>
          <w:i/>
          <w:color w:val="141413"/>
        </w:rPr>
        <w:t xml:space="preserve">Control variables </w:t>
      </w:r>
    </w:p>
    <w:p w14:paraId="3ABB40EF" w14:textId="29BAA7DB" w:rsidR="004E0B42" w:rsidRDefault="004E0B42" w:rsidP="004E0B42">
      <w:pPr>
        <w:spacing w:line="480" w:lineRule="auto"/>
        <w:rPr>
          <w:color w:val="141413"/>
        </w:rPr>
      </w:pPr>
      <w:r w:rsidRPr="00F05423">
        <w:rPr>
          <w:color w:val="141413"/>
        </w:rPr>
        <w:t xml:space="preserve">These included age, sex, </w:t>
      </w:r>
      <w:r w:rsidR="00F05423" w:rsidRPr="00F05423">
        <w:t xml:space="preserve">food insecurity (proxy of socioeconomic status), physical activity, </w:t>
      </w:r>
      <w:r w:rsidR="00C436DC">
        <w:t xml:space="preserve">and </w:t>
      </w:r>
      <w:r w:rsidR="00F05423" w:rsidRPr="00F05423">
        <w:t xml:space="preserve">low </w:t>
      </w:r>
      <w:r w:rsidR="00C436DC">
        <w:t>fruit/</w:t>
      </w:r>
      <w:r w:rsidR="00F05423" w:rsidRPr="00F05423">
        <w:t>vegetable consumption</w:t>
      </w:r>
      <w:r w:rsidR="00F05423">
        <w:t xml:space="preserve">. </w:t>
      </w:r>
      <w:r>
        <w:rPr>
          <w:color w:val="141413"/>
        </w:rPr>
        <w:t xml:space="preserve">As in a previous GSHS study, food insecurity was used as a proxy for socioeconomic status as there were no variables on socioeconomic status in the GSHS </w:t>
      </w:r>
      <w:r>
        <w:rPr>
          <w:color w:val="141413"/>
        </w:rPr>
        <w:fldChar w:fldCharType="begin">
          <w:fldData xml:space="preserve">PEVuZE5vdGU+PENpdGU+PEF1dGhvcj5CYWxvZ3VuPC9BdXRob3I+PFllYXI+MjAxNDwvWWVhcj48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==
</w:fldData>
        </w:fldChar>
      </w:r>
      <w:r w:rsidR="00037FB8">
        <w:rPr>
          <w:color w:val="141413"/>
        </w:rPr>
        <w:instrText xml:space="preserve"> ADDIN EN.CITE </w:instrText>
      </w:r>
      <w:r w:rsidR="00037FB8">
        <w:rPr>
          <w:color w:val="141413"/>
        </w:rPr>
        <w:fldChar w:fldCharType="begin">
          <w:fldData xml:space="preserve">PEVuZE5vdGU+PENpdGU+PEF1dGhvcj5CYWxvZ3VuPC9BdXRob3I+PFllYXI+MjAxNDwvWWVhcj48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==
</w:fldData>
        </w:fldChar>
      </w:r>
      <w:r w:rsidR="00037FB8">
        <w:rPr>
          <w:color w:val="141413"/>
        </w:rPr>
        <w:instrText xml:space="preserve"> ADDIN EN.CITE.DATA </w:instrText>
      </w:r>
      <w:r w:rsidR="00037FB8">
        <w:rPr>
          <w:color w:val="141413"/>
        </w:rPr>
      </w:r>
      <w:r w:rsidR="00037FB8">
        <w:rPr>
          <w:color w:val="141413"/>
        </w:rPr>
        <w:fldChar w:fldCharType="end"/>
      </w:r>
      <w:r>
        <w:rPr>
          <w:color w:val="141413"/>
        </w:rPr>
      </w:r>
      <w:r>
        <w:rPr>
          <w:color w:val="141413"/>
        </w:rPr>
        <w:fldChar w:fldCharType="separate"/>
      </w:r>
      <w:r w:rsidR="00037FB8">
        <w:rPr>
          <w:noProof/>
          <w:color w:val="141413"/>
        </w:rPr>
        <w:t>(</w:t>
      </w:r>
      <w:r w:rsidR="006C71B1">
        <w:rPr>
          <w:noProof/>
          <w:color w:val="141413"/>
        </w:rPr>
        <w:t>18</w:t>
      </w:r>
      <w:r w:rsidR="00037FB8">
        <w:rPr>
          <w:noProof/>
          <w:color w:val="141413"/>
        </w:rPr>
        <w:t>)</w:t>
      </w:r>
      <w:r>
        <w:rPr>
          <w:color w:val="141413"/>
        </w:rPr>
        <w:fldChar w:fldCharType="end"/>
      </w:r>
      <w:r>
        <w:rPr>
          <w:color w:val="141413"/>
        </w:rPr>
        <w:t xml:space="preserve">. Specifically, this was assessed by the question “During the past 30 days, how often did you go hungry because there was not enough food in your home?” Answer options were categorized as ‘never’, ‘rarely/sometimes’, and ‘most of the time/always’ </w:t>
      </w:r>
      <w:r w:rsidR="00D93446">
        <w:rPr>
          <w:color w:val="141413"/>
        </w:rPr>
        <w:t>(</w:t>
      </w:r>
      <w:r w:rsidR="006C71B1">
        <w:rPr>
          <w:color w:val="141413"/>
        </w:rPr>
        <w:t>19</w:t>
      </w:r>
      <w:r w:rsidR="00546D74">
        <w:rPr>
          <w:color w:val="141413"/>
        </w:rPr>
        <w:t xml:space="preserve">). </w:t>
      </w:r>
      <w:r>
        <w:rPr>
          <w:color w:val="141413"/>
        </w:rPr>
        <w:t xml:space="preserve">To assess levels of physical activity, questions that represented the PACE+ Adolescent Physical Activity Measure </w:t>
      </w:r>
      <w:r>
        <w:rPr>
          <w:color w:val="141413"/>
        </w:rPr>
        <w:fldChar w:fldCharType="begin"/>
      </w:r>
      <w:r w:rsidR="00037FB8">
        <w:rPr>
          <w:color w:val="141413"/>
        </w:rPr>
        <w:instrText xml:space="preserve"> ADDIN EN.CITE &lt;EndNote&gt;&lt;Cite&gt;&lt;Author&gt;Prochaska&lt;/Author&gt;&lt;Year&gt;2001&lt;/Year&gt;&lt;RecNum&gt;7657&lt;/RecNum&gt;&lt;DisplayText&gt;(Prochaska&lt;style face="italic"&gt; et al.&lt;/style&gt;,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Pr>
          <w:color w:val="141413"/>
        </w:rPr>
        <w:fldChar w:fldCharType="separate"/>
      </w:r>
      <w:r w:rsidR="00D93446">
        <w:rPr>
          <w:noProof/>
          <w:color w:val="141413"/>
        </w:rPr>
        <w:t>(</w:t>
      </w:r>
      <w:r w:rsidR="006C71B1">
        <w:rPr>
          <w:noProof/>
          <w:color w:val="141413"/>
        </w:rPr>
        <w:t>20</w:t>
      </w:r>
      <w:r w:rsidR="00037FB8">
        <w:rPr>
          <w:noProof/>
          <w:color w:val="141413"/>
        </w:rPr>
        <w:t>)</w:t>
      </w:r>
      <w:r>
        <w:rPr>
          <w:color w:val="141413"/>
        </w:rPr>
        <w:fldChar w:fldCharType="end"/>
      </w:r>
      <w:r>
        <w:rPr>
          <w:color w:val="141413"/>
        </w:rPr>
        <w:t xml:space="preserve"> were asked. This measure has been tested for validity and reliability </w:t>
      </w:r>
      <w:r>
        <w:rPr>
          <w:color w:val="141413"/>
        </w:rPr>
        <w:lastRenderedPageBreak/>
        <w:fldChar w:fldCharType="begin"/>
      </w:r>
      <w:r w:rsidR="00037FB8">
        <w:rPr>
          <w:color w:val="141413"/>
        </w:rPr>
        <w:instrText xml:space="preserve"> ADDIN EN.CITE &lt;EndNote&gt;&lt;Cite&gt;&lt;Author&gt;Prochaska&lt;/Author&gt;&lt;Year&gt;2001&lt;/Year&gt;&lt;RecNum&gt;7657&lt;/RecNum&gt;&lt;DisplayText&gt;(Prochaska&lt;style face="italic"&gt; et al.&lt;/style&gt;,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Pr>
          <w:color w:val="141413"/>
        </w:rPr>
        <w:fldChar w:fldCharType="separate"/>
      </w:r>
      <w:r w:rsidR="00D93446">
        <w:rPr>
          <w:noProof/>
          <w:color w:val="141413"/>
        </w:rPr>
        <w:t>(</w:t>
      </w:r>
      <w:r w:rsidR="006C71B1">
        <w:rPr>
          <w:noProof/>
          <w:color w:val="141413"/>
        </w:rPr>
        <w:t>20</w:t>
      </w:r>
      <w:r w:rsidR="00037FB8">
        <w:rPr>
          <w:noProof/>
          <w:color w:val="141413"/>
        </w:rPr>
        <w:t>)</w:t>
      </w:r>
      <w:r>
        <w:rPr>
          <w:color w:val="141413"/>
        </w:rPr>
        <w:fldChar w:fldCharType="end"/>
      </w:r>
      <w:r>
        <w:rPr>
          <w:color w:val="141413"/>
        </w:rPr>
        <w:t xml:space="preserve">. The questions asked about the number of days with physical activity of at least 60 minutes during the past 7 days. This did not include physical activity during physical education or gym classes. </w:t>
      </w:r>
      <w:r w:rsidR="005D72DC">
        <w:rPr>
          <w:color w:val="141413"/>
        </w:rPr>
        <w:t>T</w:t>
      </w:r>
      <w:r>
        <w:rPr>
          <w:color w:val="141413"/>
        </w:rPr>
        <w:t xml:space="preserve">hose who engaged in </w:t>
      </w:r>
      <w:r>
        <w:rPr>
          <w:color w:val="141413"/>
          <w:lang w:eastAsia="ja-JP"/>
        </w:rPr>
        <w:t>≥</w:t>
      </w:r>
      <w:r>
        <w:rPr>
          <w:color w:val="141413"/>
        </w:rPr>
        <w:t xml:space="preserve">5 days of at least 60 minutes of physical activity in a week were considered to have a sufficient amount of </w:t>
      </w:r>
      <w:r w:rsidRPr="00C436DC">
        <w:rPr>
          <w:color w:val="141413"/>
        </w:rPr>
        <w:t xml:space="preserve">physical activity </w:t>
      </w:r>
      <w:r w:rsidR="006C71B1" w:rsidRPr="00FA1BC4">
        <w:rPr>
          <w:color w:val="141413"/>
        </w:rPr>
        <w:t>(17</w:t>
      </w:r>
      <w:r w:rsidR="00546D74" w:rsidRPr="00FA1BC4">
        <w:rPr>
          <w:color w:val="141413"/>
        </w:rPr>
        <w:t xml:space="preserve">). </w:t>
      </w:r>
      <w:r w:rsidR="00C436DC" w:rsidRPr="00FA1BC4">
        <w:rPr>
          <w:color w:val="000000"/>
        </w:rPr>
        <w:t xml:space="preserve">Low fruit and vegetable intake was defined as intake of fruit and vegetables less than five times per day (&lt; 400g of fruits and vegetables/day) during the past 30 days </w:t>
      </w:r>
      <w:r w:rsidR="00037FB8" w:rsidRPr="00FA1BC4">
        <w:rPr>
          <w:color w:val="000000"/>
        </w:rPr>
        <w:fldChar w:fldCharType="begin">
          <w:fldData xml:space="preserve">PEVuZE5vdGU+PENpdGU+PEF1dGhvcj5DYWxleWFjaGV0dHk8L0F1dGhvcj48WWVhcj4yMDE1PC9Z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JmFtcDsgZW5kb2NyaW5vbG9neTwvYWJici0xPjwvYWx0LXBlcmlvZGljYWw+PHBhZ2VzPjUzNS00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==
</w:fldData>
        </w:fldChar>
      </w:r>
      <w:r w:rsidR="00037FB8" w:rsidRPr="00FA1BC4">
        <w:rPr>
          <w:color w:val="000000"/>
        </w:rPr>
        <w:instrText xml:space="preserve"> ADDIN EN.CITE </w:instrText>
      </w:r>
      <w:r w:rsidR="00037FB8" w:rsidRPr="00FA1BC4">
        <w:rPr>
          <w:color w:val="000000"/>
        </w:rPr>
        <w:fldChar w:fldCharType="begin">
          <w:fldData xml:space="preserve">PEVuZE5vdGU+PENpdGU+PEF1dGhvcj5DYWxleWFjaGV0dHk8L0F1dGhvcj48WWVhcj4yMDE1PC9Z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JmFtcDsgZW5kb2NyaW5vbG9neTwvYWJici0xPjwvYWx0LXBlcmlvZGljYWw+PHBhZ2VzPjUzNS00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==
</w:fldData>
        </w:fldChar>
      </w:r>
      <w:r w:rsidR="00037FB8" w:rsidRPr="00FA1BC4">
        <w:rPr>
          <w:color w:val="000000"/>
        </w:rPr>
        <w:instrText xml:space="preserve"> ADDIN EN.CITE.DATA </w:instrText>
      </w:r>
      <w:r w:rsidR="00037FB8" w:rsidRPr="00FA1BC4">
        <w:rPr>
          <w:color w:val="000000"/>
        </w:rPr>
      </w:r>
      <w:r w:rsidR="00037FB8" w:rsidRPr="00FA1BC4">
        <w:rPr>
          <w:color w:val="000000"/>
        </w:rPr>
        <w:fldChar w:fldCharType="end"/>
      </w:r>
      <w:r w:rsidR="00037FB8" w:rsidRPr="00FA1BC4">
        <w:rPr>
          <w:color w:val="000000"/>
        </w:rPr>
      </w:r>
      <w:r w:rsidR="00037FB8" w:rsidRPr="00FA1BC4">
        <w:rPr>
          <w:color w:val="000000"/>
        </w:rPr>
        <w:fldChar w:fldCharType="separate"/>
      </w:r>
      <w:r w:rsidR="00037FB8" w:rsidRPr="00FA1BC4">
        <w:rPr>
          <w:noProof/>
          <w:color w:val="000000"/>
        </w:rPr>
        <w:t>(</w:t>
      </w:r>
      <w:r w:rsidR="006C71B1" w:rsidRPr="00FA1BC4">
        <w:rPr>
          <w:noProof/>
          <w:color w:val="000000"/>
        </w:rPr>
        <w:t>16</w:t>
      </w:r>
      <w:r w:rsidR="00EE14DA" w:rsidRPr="00FA1BC4">
        <w:rPr>
          <w:noProof/>
          <w:color w:val="000000"/>
        </w:rPr>
        <w:t>)</w:t>
      </w:r>
      <w:r w:rsidR="00037FB8" w:rsidRPr="00FA1BC4">
        <w:rPr>
          <w:color w:val="000000"/>
        </w:rPr>
        <w:fldChar w:fldCharType="end"/>
      </w:r>
      <w:r w:rsidR="00C436DC" w:rsidRPr="00FA1BC4">
        <w:rPr>
          <w:color w:val="000000"/>
        </w:rPr>
        <w:t>.</w:t>
      </w:r>
    </w:p>
    <w:p w14:paraId="3CB6F2D5" w14:textId="77777777" w:rsidR="004E0B42" w:rsidRDefault="004E0B42" w:rsidP="004E0B42">
      <w:pPr>
        <w:spacing w:line="480" w:lineRule="auto"/>
        <w:rPr>
          <w:color w:val="141413"/>
        </w:rPr>
      </w:pPr>
    </w:p>
    <w:p w14:paraId="518E9F55" w14:textId="77777777" w:rsidR="004E0B42" w:rsidRDefault="004E0B42" w:rsidP="004E0B42">
      <w:pPr>
        <w:spacing w:line="480" w:lineRule="auto"/>
        <w:rPr>
          <w:b/>
          <w:i/>
          <w:color w:val="141413"/>
        </w:rPr>
      </w:pPr>
      <w:r w:rsidRPr="00425D39">
        <w:rPr>
          <w:b/>
          <w:i/>
          <w:color w:val="141413"/>
        </w:rPr>
        <w:t>Statistical analysis</w:t>
      </w:r>
    </w:p>
    <w:p w14:paraId="6783646E" w14:textId="506B7C93" w:rsidR="004E0B42" w:rsidRDefault="004E0B42" w:rsidP="004E0B42">
      <w:pPr>
        <w:spacing w:line="480" w:lineRule="auto"/>
      </w:pPr>
      <w:r w:rsidRPr="005C51FD">
        <w:t xml:space="preserve">Statistical analyses were performed with Stata 14.1 (Stata Corp LP, College station, Texas). </w:t>
      </w:r>
      <w:r w:rsidR="005C51FD" w:rsidRPr="00BA0D07">
        <w:t>As in previous studies using the same dataset</w:t>
      </w:r>
      <w:r w:rsidR="006C71B1">
        <w:t xml:space="preserve"> (16</w:t>
      </w:r>
      <w:r w:rsidR="00FA1BC4">
        <w:t>, 21</w:t>
      </w:r>
      <w:r w:rsidR="00297438">
        <w:t>)</w:t>
      </w:r>
      <w:r w:rsidR="005C51FD" w:rsidRPr="00BA0D07">
        <w:t>,</w:t>
      </w:r>
      <w:r w:rsidR="00297438" w:rsidRPr="00BA0D07">
        <w:t xml:space="preserve"> </w:t>
      </w:r>
      <w:r w:rsidR="00297438">
        <w:t>w</w:t>
      </w:r>
      <w:r w:rsidR="005C51FD" w:rsidRPr="00BA0D07">
        <w:t>e restricted the analysis to those aged 12-15 years as most students were within this age range and data on the exact age out of this age range was not provided</w:t>
      </w:r>
      <w:r w:rsidRPr="005C51FD">
        <w:t xml:space="preserve">. </w:t>
      </w:r>
      <w:r w:rsidRPr="005C51FD">
        <w:rPr>
          <w:color w:val="141413"/>
        </w:rPr>
        <w:t>We used</w:t>
      </w:r>
      <w:r w:rsidRPr="003B25B3">
        <w:rPr>
          <w:color w:val="141413"/>
        </w:rPr>
        <w:t xml:space="preserve"> </w:t>
      </w:r>
      <w:r>
        <w:rPr>
          <w:color w:val="141413"/>
        </w:rPr>
        <w:t xml:space="preserve">multivariable </w:t>
      </w:r>
      <w:r w:rsidRPr="003B25B3">
        <w:rPr>
          <w:color w:val="141413"/>
        </w:rPr>
        <w:t xml:space="preserve">logistic regression </w:t>
      </w:r>
      <w:r>
        <w:rPr>
          <w:color w:val="141413"/>
        </w:rPr>
        <w:t xml:space="preserve">analysis </w:t>
      </w:r>
      <w:r w:rsidRPr="003B25B3">
        <w:t xml:space="preserve">to estimate </w:t>
      </w:r>
      <w:r>
        <w:t xml:space="preserve">the association between </w:t>
      </w:r>
      <w:r w:rsidR="005850DE">
        <w:t>SB</w:t>
      </w:r>
      <w:r w:rsidR="00C72AB6">
        <w:t xml:space="preserve"> </w:t>
      </w:r>
      <w:r w:rsidRPr="003B25B3">
        <w:t xml:space="preserve">(independent </w:t>
      </w:r>
      <w:r>
        <w:t xml:space="preserve">variable) and </w:t>
      </w:r>
      <w:r w:rsidR="00AD1FD3">
        <w:t xml:space="preserve">obesity </w:t>
      </w:r>
      <w:r w:rsidRPr="003B25B3">
        <w:t>(dependent variable)</w:t>
      </w:r>
      <w:r w:rsidR="00A41516">
        <w:t xml:space="preserve"> using the overall and country-wise samples. </w:t>
      </w:r>
      <w:r>
        <w:t xml:space="preserve">The exposure variable was the five-category </w:t>
      </w:r>
      <w:r w:rsidR="005850DE">
        <w:t>SB</w:t>
      </w:r>
      <w:r>
        <w:t xml:space="preserve"> variable when the overall </w:t>
      </w:r>
      <w:r w:rsidR="00A41516">
        <w:t>sample was</w:t>
      </w:r>
      <w:r>
        <w:t xml:space="preserve"> used. However, for country-wise analyses, we used the dichotomized </w:t>
      </w:r>
      <w:r w:rsidR="005850DE">
        <w:t>SB</w:t>
      </w:r>
      <w:r>
        <w:t xml:space="preserve"> variable to obtain stable estimates, as the sample size in each country was small. In order to assess between-country heterogeneity in the association between </w:t>
      </w:r>
      <w:r w:rsidR="00B75829">
        <w:t>SB</w:t>
      </w:r>
      <w:r w:rsidR="00A41516">
        <w:t xml:space="preserve"> and obesity</w:t>
      </w:r>
      <w:r>
        <w:t>, we calculated the Higgin’s</w:t>
      </w:r>
      <w:r w:rsidRPr="006D51F9">
        <w:t xml:space="preserve"> </w:t>
      </w:r>
      <w:r w:rsidRPr="00041BBC">
        <w:rPr>
          <w:i/>
        </w:rPr>
        <w:t>I</w:t>
      </w:r>
      <w:r w:rsidRPr="006D51F9">
        <w:rPr>
          <w:vertAlign w:val="superscript"/>
        </w:rPr>
        <w:t xml:space="preserve">2 </w:t>
      </w:r>
      <w:r>
        <w:t xml:space="preserve">which </w:t>
      </w:r>
      <w:r w:rsidRPr="006D51F9">
        <w:t>represents the degree of heterogeneity that is not explained by sampling error with a value of &lt;</w:t>
      </w:r>
      <w:r w:rsidR="00832ECB">
        <w:t>25</w:t>
      </w:r>
      <w:r w:rsidRPr="006D51F9">
        <w:t>%</w:t>
      </w:r>
      <w:r w:rsidR="00832ECB">
        <w:t>, 25-50%</w:t>
      </w:r>
      <w:r w:rsidR="006670F6">
        <w:t>,</w:t>
      </w:r>
      <w:r w:rsidR="00832ECB">
        <w:t xml:space="preserve"> and over 50%</w:t>
      </w:r>
      <w:r w:rsidRPr="006D51F9">
        <w:t xml:space="preserve"> considered </w:t>
      </w:r>
      <w:r w:rsidR="00832ECB">
        <w:t xml:space="preserve">as small, </w:t>
      </w:r>
      <w:r w:rsidRPr="006D51F9">
        <w:t xml:space="preserve">moderate </w:t>
      </w:r>
      <w:r w:rsidR="00832ECB">
        <w:t xml:space="preserve">and high </w:t>
      </w:r>
      <w:r w:rsidRPr="006D51F9">
        <w:t>heterogeneity</w:t>
      </w:r>
      <w:r w:rsidR="0083778B">
        <w:t>,</w:t>
      </w:r>
      <w:r w:rsidR="00832ECB">
        <w:t xml:space="preserve"> respectively</w:t>
      </w:r>
      <w:r w:rsidR="007D3DA3">
        <w:t xml:space="preserve"> (</w:t>
      </w:r>
      <w:r w:rsidR="00FA1BC4">
        <w:t>22</w:t>
      </w:r>
      <w:r w:rsidR="00297438">
        <w:t>)</w:t>
      </w:r>
      <w:r w:rsidRPr="006D51F9">
        <w:t>.</w:t>
      </w:r>
      <w:r>
        <w:t xml:space="preserve"> </w:t>
      </w:r>
      <w:r w:rsidRPr="00B35B5C">
        <w:t>A pooled estimate was obtained by combining the estimate</w:t>
      </w:r>
      <w:r>
        <w:t>s for each country into a fixed effect meta-analysis (overall and by country-income level).</w:t>
      </w:r>
      <w:r w:rsidR="0030024C">
        <w:t xml:space="preserve"> </w:t>
      </w:r>
      <w:r w:rsidR="005D3A15">
        <w:t xml:space="preserve">Heterogeneity between groups was tested by Cochran’s Q tests. </w:t>
      </w:r>
      <w:r w:rsidR="0030024C">
        <w:t xml:space="preserve">We also tested for interaction by sex by including the product term of sex X </w:t>
      </w:r>
      <w:r w:rsidR="00B75829">
        <w:t>SB</w:t>
      </w:r>
      <w:r w:rsidR="0030024C">
        <w:t xml:space="preserve"> in the model using the overall sample.</w:t>
      </w:r>
    </w:p>
    <w:p w14:paraId="185E6206" w14:textId="02B4F4B6" w:rsidR="007A62F2" w:rsidRDefault="004E0B42" w:rsidP="004E0B42">
      <w:pPr>
        <w:spacing w:line="480" w:lineRule="auto"/>
      </w:pPr>
      <w:r>
        <w:lastRenderedPageBreak/>
        <w:tab/>
        <w:t xml:space="preserve">All regression analyses were adjusted for </w:t>
      </w:r>
      <w:r w:rsidR="00C26720" w:rsidRPr="00F05423">
        <w:rPr>
          <w:color w:val="141413"/>
        </w:rPr>
        <w:t xml:space="preserve">age, sex, </w:t>
      </w:r>
      <w:r w:rsidR="00C26720" w:rsidRPr="00F05423">
        <w:t xml:space="preserve">food insecurity (proxy of socioeconomic status), physical activity, </w:t>
      </w:r>
      <w:r w:rsidR="00C26720">
        <w:t xml:space="preserve">and </w:t>
      </w:r>
      <w:r w:rsidR="00C26720" w:rsidRPr="00F05423">
        <w:t xml:space="preserve">low </w:t>
      </w:r>
      <w:r w:rsidR="00C26720">
        <w:t>fruit/</w:t>
      </w:r>
      <w:r w:rsidR="00C26720" w:rsidRPr="00F05423">
        <w:t>vegetable consumption</w:t>
      </w:r>
      <w:r w:rsidR="00C26720">
        <w:t xml:space="preserve">. The analysis using the overall sample additionally adjusted for country by </w:t>
      </w:r>
      <w:r>
        <w:t xml:space="preserve">using fixed effects models as in a previous GSHS study </w:t>
      </w:r>
      <w:r w:rsidR="00D93446">
        <w:t>(</w:t>
      </w:r>
      <w:r w:rsidR="00FA1BC4">
        <w:t>19</w:t>
      </w:r>
      <w:r w:rsidR="00546D74">
        <w:t xml:space="preserve">). </w:t>
      </w:r>
      <w:r w:rsidRPr="009D134B">
        <w:rPr>
          <w:rFonts w:eastAsia="MS Mincho"/>
          <w:lang w:eastAsia="ja-JP"/>
        </w:rPr>
        <w:t xml:space="preserve">All variables were included in the </w:t>
      </w:r>
      <w:r>
        <w:rPr>
          <w:rFonts w:eastAsia="MS Mincho"/>
          <w:lang w:eastAsia="ja-JP"/>
        </w:rPr>
        <w:t xml:space="preserve">regression </w:t>
      </w:r>
      <w:r w:rsidRPr="009D134B">
        <w:rPr>
          <w:rFonts w:eastAsia="MS Mincho"/>
          <w:lang w:eastAsia="ja-JP"/>
        </w:rPr>
        <w:t>analysis as categorical vari</w:t>
      </w:r>
      <w:r>
        <w:rPr>
          <w:rFonts w:eastAsia="MS Mincho"/>
          <w:lang w:eastAsia="ja-JP"/>
        </w:rPr>
        <w:t xml:space="preserve">ables with the exception of age (continuous variable). </w:t>
      </w:r>
      <w:r w:rsidR="007A62F2">
        <w:rPr>
          <w:rFonts w:eastAsia="MS Mincho"/>
          <w:lang w:eastAsia="ja-JP"/>
        </w:rPr>
        <w:t xml:space="preserve">Under 1.7% of the data were missing for the variables included in the study with the exception of BMI (7.3%). Complete case analysis was done. </w:t>
      </w:r>
      <w:r>
        <w:t xml:space="preserve">Sampling weights and the clustered sampling design of the surveys were taken into account to obtain nationally representative estimates. </w:t>
      </w:r>
      <w:r w:rsidRPr="009D134B">
        <w:t>Results from the logistic regression analyses are presented as odds ratios (ORs) with 95% confidence intervals (CIs). The level of statistical significance was set at p&lt;0.05.</w:t>
      </w:r>
    </w:p>
    <w:p w14:paraId="36CFFCB5" w14:textId="77777777" w:rsidR="004E0B42" w:rsidRDefault="004E0B42" w:rsidP="004E0B42">
      <w:pPr>
        <w:spacing w:line="480" w:lineRule="auto"/>
      </w:pPr>
    </w:p>
    <w:p w14:paraId="293EB536" w14:textId="77777777" w:rsidR="007D6722" w:rsidRDefault="007D6722">
      <w:pPr>
        <w:rPr>
          <w:b/>
        </w:rPr>
      </w:pPr>
      <w:r>
        <w:rPr>
          <w:b/>
        </w:rPr>
        <w:br w:type="page"/>
      </w:r>
    </w:p>
    <w:p w14:paraId="641E8930" w14:textId="728D13D5" w:rsidR="004E0B42" w:rsidRPr="002C65AA" w:rsidRDefault="004E0B42" w:rsidP="004E0B42">
      <w:pPr>
        <w:spacing w:line="480" w:lineRule="auto"/>
        <w:rPr>
          <w:b/>
        </w:rPr>
      </w:pPr>
      <w:r w:rsidRPr="002C65AA">
        <w:rPr>
          <w:b/>
        </w:rPr>
        <w:lastRenderedPageBreak/>
        <w:t>Results</w:t>
      </w:r>
    </w:p>
    <w:p w14:paraId="7652FEE0" w14:textId="1F703FFE" w:rsidR="000C279C" w:rsidRDefault="004E0B42" w:rsidP="004E0B42">
      <w:pPr>
        <w:spacing w:line="480" w:lineRule="auto"/>
        <w:rPr>
          <w:lang w:eastAsia="ja-JP"/>
        </w:rPr>
      </w:pPr>
      <w:r>
        <w:rPr>
          <w:lang w:eastAsia="ja-JP"/>
        </w:rPr>
        <w:t xml:space="preserve">The final sample comprised </w:t>
      </w:r>
      <w:r w:rsidR="00AD1FD3">
        <w:rPr>
          <w:lang w:eastAsia="ja-JP"/>
        </w:rPr>
        <w:t>116,762</w:t>
      </w:r>
      <w:r>
        <w:rPr>
          <w:lang w:eastAsia="ja-JP"/>
        </w:rPr>
        <w:t xml:space="preserve"> adolescents aged 12-15 years [mean (SD) age </w:t>
      </w:r>
      <w:r w:rsidR="00CD02A2">
        <w:rPr>
          <w:lang w:eastAsia="ja-JP"/>
        </w:rPr>
        <w:t>13.8 (1.0</w:t>
      </w:r>
      <w:r w:rsidRPr="00181DDF">
        <w:rPr>
          <w:lang w:eastAsia="ja-JP"/>
        </w:rPr>
        <w:t>)</w:t>
      </w:r>
      <w:r w:rsidR="00CD02A2">
        <w:rPr>
          <w:lang w:eastAsia="ja-JP"/>
        </w:rPr>
        <w:t xml:space="preserve"> years; 48.6</w:t>
      </w:r>
      <w:r>
        <w:rPr>
          <w:lang w:eastAsia="ja-JP"/>
        </w:rPr>
        <w:t xml:space="preserve">% female]. </w:t>
      </w:r>
      <w:r w:rsidR="00057B0D">
        <w:rPr>
          <w:lang w:eastAsia="ja-JP"/>
        </w:rPr>
        <w:t xml:space="preserve">The overall prevalence of obesity was </w:t>
      </w:r>
      <w:r w:rsidR="00F1584D">
        <w:rPr>
          <w:lang w:eastAsia="ja-JP"/>
        </w:rPr>
        <w:t>4.0% [r</w:t>
      </w:r>
      <w:r w:rsidR="0061660D">
        <w:rPr>
          <w:lang w:eastAsia="ja-JP"/>
        </w:rPr>
        <w:t xml:space="preserve">ange </w:t>
      </w:r>
      <w:r w:rsidR="00F1584D">
        <w:rPr>
          <w:lang w:eastAsia="ja-JP"/>
        </w:rPr>
        <w:t>0.4</w:t>
      </w:r>
      <w:r w:rsidR="00687930">
        <w:rPr>
          <w:lang w:eastAsia="ja-JP"/>
        </w:rPr>
        <w:t xml:space="preserve">% (Cambodia) to 21.9% (Tonga)], while the corresponding figure for ≥3 hours/day of </w:t>
      </w:r>
      <w:r w:rsidR="005850DE">
        <w:rPr>
          <w:lang w:eastAsia="ja-JP"/>
        </w:rPr>
        <w:t>SB</w:t>
      </w:r>
      <w:r w:rsidR="00687930">
        <w:rPr>
          <w:lang w:eastAsia="ja-JP"/>
        </w:rPr>
        <w:t xml:space="preserve"> was 26.2% [range 8.2% (Pakistan) to 50.7% (Thailand)] (</w:t>
      </w:r>
      <w:r w:rsidR="00687930" w:rsidRPr="00687930">
        <w:rPr>
          <w:b/>
          <w:lang w:eastAsia="ja-JP"/>
        </w:rPr>
        <w:t xml:space="preserve">Table </w:t>
      </w:r>
      <w:r w:rsidR="00687930" w:rsidRPr="00253DBB">
        <w:rPr>
          <w:b/>
          <w:lang w:eastAsia="ja-JP"/>
        </w:rPr>
        <w:t>1</w:t>
      </w:r>
      <w:r w:rsidR="00687930" w:rsidRPr="00253DBB">
        <w:rPr>
          <w:lang w:eastAsia="ja-JP"/>
        </w:rPr>
        <w:t xml:space="preserve">). </w:t>
      </w:r>
      <w:r w:rsidR="00EE2E48" w:rsidRPr="00253DBB">
        <w:rPr>
          <w:lang w:eastAsia="ja-JP"/>
        </w:rPr>
        <w:t>The</w:t>
      </w:r>
      <w:r w:rsidR="00EE2E48" w:rsidRPr="00A72B0A">
        <w:rPr>
          <w:lang w:eastAsia="ja-JP"/>
        </w:rPr>
        <w:t xml:space="preserve"> prevalence of ob</w:t>
      </w:r>
      <w:r w:rsidR="005850DE">
        <w:rPr>
          <w:lang w:eastAsia="ja-JP"/>
        </w:rPr>
        <w:t>esity and SB</w:t>
      </w:r>
      <w:r w:rsidR="00A15211" w:rsidRPr="00A72B0A">
        <w:rPr>
          <w:lang w:eastAsia="ja-JP"/>
        </w:rPr>
        <w:t xml:space="preserve"> were</w:t>
      </w:r>
      <w:r w:rsidR="00EE2E48" w:rsidRPr="00A72B0A">
        <w:rPr>
          <w:lang w:eastAsia="ja-JP"/>
        </w:rPr>
        <w:t xml:space="preserve"> lowest in low-income countries and highest in upper middle-income countries. </w:t>
      </w:r>
      <w:r w:rsidR="00057B0D" w:rsidRPr="00A72B0A">
        <w:rPr>
          <w:lang w:eastAsia="ja-JP"/>
        </w:rPr>
        <w:t xml:space="preserve">The prevalence of </w:t>
      </w:r>
      <w:r w:rsidR="00B75829">
        <w:rPr>
          <w:lang w:eastAsia="ja-JP"/>
        </w:rPr>
        <w:t>SB</w:t>
      </w:r>
      <w:r w:rsidR="00057B0D" w:rsidRPr="00A72B0A">
        <w:rPr>
          <w:lang w:eastAsia="ja-JP"/>
        </w:rPr>
        <w:t xml:space="preserve"> </w:t>
      </w:r>
      <w:r w:rsidR="00B90BCF">
        <w:rPr>
          <w:lang w:eastAsia="ja-JP"/>
        </w:rPr>
        <w:t>was</w:t>
      </w:r>
      <w:r w:rsidR="00057B0D" w:rsidRPr="00A72B0A">
        <w:rPr>
          <w:lang w:eastAsia="ja-JP"/>
        </w:rPr>
        <w:t>: &lt;1 hour/day 38.4%; 1-2 hours/day 35.4%; 3-4 hours/day 15.6%; 5-8 hours/day 7.3%; and &gt;8 hours/day 3.4%.</w:t>
      </w:r>
      <w:r w:rsidR="00EE2E48" w:rsidRPr="00A72B0A">
        <w:rPr>
          <w:lang w:eastAsia="ja-JP"/>
        </w:rPr>
        <w:t xml:space="preserve"> </w:t>
      </w:r>
      <w:r w:rsidR="002A3C12" w:rsidRPr="00A72B0A">
        <w:rPr>
          <w:lang w:eastAsia="ja-JP"/>
        </w:rPr>
        <w:t>The prevalence of obesity increased with greater ti</w:t>
      </w:r>
      <w:r w:rsidR="00A15211" w:rsidRPr="00A72B0A">
        <w:rPr>
          <w:lang w:eastAsia="ja-JP"/>
        </w:rPr>
        <w:t>me spent sedentary per day</w:t>
      </w:r>
      <w:r w:rsidR="002F20E3">
        <w:rPr>
          <w:lang w:eastAsia="ja-JP"/>
        </w:rPr>
        <w:t>,</w:t>
      </w:r>
      <w:r w:rsidR="00A15211" w:rsidRPr="00A72B0A">
        <w:rPr>
          <w:lang w:eastAsia="ja-JP"/>
        </w:rPr>
        <w:t xml:space="preserve"> </w:t>
      </w:r>
      <w:r w:rsidR="006149C5" w:rsidRPr="00A72B0A">
        <w:rPr>
          <w:lang w:eastAsia="ja-JP"/>
        </w:rPr>
        <w:t>from 3.5% in &lt;1 hour/day to 5.5% in &gt;8 hours/day (</w:t>
      </w:r>
      <w:r w:rsidR="006149C5" w:rsidRPr="00A72B0A">
        <w:rPr>
          <w:b/>
          <w:lang w:eastAsia="ja-JP"/>
        </w:rPr>
        <w:t>Figure 1</w:t>
      </w:r>
      <w:r w:rsidR="006149C5" w:rsidRPr="00A72B0A">
        <w:rPr>
          <w:lang w:eastAsia="ja-JP"/>
        </w:rPr>
        <w:t xml:space="preserve">). This was also confirmed in the multivariable logistic regression analysis where &gt;8 hours/day of </w:t>
      </w:r>
      <w:r w:rsidR="005850DE">
        <w:rPr>
          <w:lang w:eastAsia="ja-JP"/>
        </w:rPr>
        <w:t>SB</w:t>
      </w:r>
      <w:r w:rsidR="006149C5" w:rsidRPr="00A72B0A">
        <w:rPr>
          <w:lang w:eastAsia="ja-JP"/>
        </w:rPr>
        <w:t xml:space="preserve"> was associated with 1.40 (95%CI=1.06-1.86) times higher odds </w:t>
      </w:r>
      <w:r w:rsidR="002F20E3">
        <w:rPr>
          <w:lang w:eastAsia="ja-JP"/>
        </w:rPr>
        <w:t>of</w:t>
      </w:r>
      <w:r w:rsidR="002F20E3" w:rsidRPr="00A72B0A">
        <w:rPr>
          <w:lang w:eastAsia="ja-JP"/>
        </w:rPr>
        <w:t xml:space="preserve"> </w:t>
      </w:r>
      <w:r w:rsidR="00CB6D06">
        <w:rPr>
          <w:lang w:eastAsia="ja-JP"/>
        </w:rPr>
        <w:t>obesity</w:t>
      </w:r>
      <w:r w:rsidR="006149C5" w:rsidRPr="00A72B0A">
        <w:rPr>
          <w:lang w:eastAsia="ja-JP"/>
        </w:rPr>
        <w:t xml:space="preserve"> compared to &lt;1 hour/day (</w:t>
      </w:r>
      <w:r w:rsidR="006149C5" w:rsidRPr="00A72B0A">
        <w:rPr>
          <w:b/>
          <w:lang w:eastAsia="ja-JP"/>
        </w:rPr>
        <w:t>Figure 2</w:t>
      </w:r>
      <w:r w:rsidR="006149C5" w:rsidRPr="00A72B0A">
        <w:rPr>
          <w:lang w:eastAsia="ja-JP"/>
        </w:rPr>
        <w:t xml:space="preserve">). A significant interaction by sex in this association was not found. The country-wise associations between ≥3 hours/day of </w:t>
      </w:r>
      <w:r w:rsidR="005850DE">
        <w:rPr>
          <w:lang w:eastAsia="ja-JP"/>
        </w:rPr>
        <w:t>SB</w:t>
      </w:r>
      <w:r w:rsidR="006149C5" w:rsidRPr="00A72B0A">
        <w:rPr>
          <w:lang w:eastAsia="ja-JP"/>
        </w:rPr>
        <w:t xml:space="preserve"> and obesity based on multivariable logistic regression are shown in </w:t>
      </w:r>
      <w:r w:rsidR="006149C5" w:rsidRPr="00A72B0A">
        <w:rPr>
          <w:b/>
          <w:lang w:eastAsia="ja-JP"/>
        </w:rPr>
        <w:t>Figure 3</w:t>
      </w:r>
      <w:r w:rsidR="006149C5" w:rsidRPr="00A72B0A">
        <w:rPr>
          <w:lang w:eastAsia="ja-JP"/>
        </w:rPr>
        <w:t xml:space="preserve">. </w:t>
      </w:r>
      <w:r w:rsidR="005850DE">
        <w:rPr>
          <w:lang w:eastAsia="ja-JP"/>
        </w:rPr>
        <w:t>SB</w:t>
      </w:r>
      <w:r w:rsidR="00995ACD" w:rsidRPr="00A72B0A">
        <w:rPr>
          <w:lang w:eastAsia="ja-JP"/>
        </w:rPr>
        <w:t xml:space="preserve"> of ≥3 hours/day was associated with </w:t>
      </w:r>
      <w:r w:rsidR="002F20E3">
        <w:rPr>
          <w:lang w:eastAsia="ja-JP"/>
        </w:rPr>
        <w:t>increased</w:t>
      </w:r>
      <w:r w:rsidR="002F20E3" w:rsidRPr="00A72B0A">
        <w:rPr>
          <w:lang w:eastAsia="ja-JP"/>
        </w:rPr>
        <w:t xml:space="preserve"> </w:t>
      </w:r>
      <w:r w:rsidR="00995ACD" w:rsidRPr="00A72B0A">
        <w:rPr>
          <w:lang w:eastAsia="ja-JP"/>
        </w:rPr>
        <w:t xml:space="preserve">odds </w:t>
      </w:r>
      <w:r w:rsidR="002F20E3">
        <w:rPr>
          <w:lang w:eastAsia="ja-JP"/>
        </w:rPr>
        <w:t>of</w:t>
      </w:r>
      <w:r w:rsidR="002F20E3" w:rsidRPr="00A72B0A">
        <w:rPr>
          <w:lang w:eastAsia="ja-JP"/>
        </w:rPr>
        <w:t xml:space="preserve"> </w:t>
      </w:r>
      <w:r w:rsidR="00995ACD" w:rsidRPr="00A72B0A">
        <w:rPr>
          <w:lang w:eastAsia="ja-JP"/>
        </w:rPr>
        <w:t>obesi</w:t>
      </w:r>
      <w:r w:rsidR="003B1C8B">
        <w:rPr>
          <w:lang w:eastAsia="ja-JP"/>
        </w:rPr>
        <w:t xml:space="preserve">ty </w:t>
      </w:r>
      <w:r w:rsidR="002F20E3">
        <w:rPr>
          <w:lang w:eastAsia="ja-JP"/>
        </w:rPr>
        <w:t xml:space="preserve">relative to &lt;3 hours/day </w:t>
      </w:r>
      <w:r w:rsidR="00995ACD" w:rsidRPr="00A72B0A">
        <w:rPr>
          <w:lang w:eastAsia="ja-JP"/>
        </w:rPr>
        <w:t>in 32 of the 41 included countries.</w:t>
      </w:r>
      <w:r w:rsidR="00995ACD">
        <w:rPr>
          <w:lang w:eastAsia="ja-JP"/>
        </w:rPr>
        <w:t xml:space="preserve"> </w:t>
      </w:r>
      <w:r w:rsidR="00B23635">
        <w:rPr>
          <w:lang w:eastAsia="ja-JP"/>
        </w:rPr>
        <w:t>Strong significant associations</w:t>
      </w:r>
      <w:r w:rsidR="003A31C2">
        <w:rPr>
          <w:lang w:eastAsia="ja-JP"/>
        </w:rPr>
        <w:t xml:space="preserve"> between obesity and SB</w:t>
      </w:r>
      <w:r w:rsidR="00B23635">
        <w:rPr>
          <w:lang w:eastAsia="ja-JP"/>
        </w:rPr>
        <w:t xml:space="preserve"> were observed in countries such as Solomon Islands (OR=3.45; 95%CI=1.69-7.04), Laos (OR=3.07; 95%CI=1.33-7.08), and Namibia (OR=2.08; 95%CI=1.17-3.69). </w:t>
      </w:r>
      <w:r w:rsidR="00995ACD">
        <w:rPr>
          <w:lang w:eastAsia="ja-JP"/>
        </w:rPr>
        <w:t>The pooled estimate was 1.18 (95%CI=1.10-1.25) with a moderate level of heterogeneity (</w:t>
      </w:r>
      <w:r w:rsidR="00995ACD" w:rsidRPr="00995ACD">
        <w:rPr>
          <w:i/>
          <w:lang w:eastAsia="ja-JP"/>
        </w:rPr>
        <w:t>I</w:t>
      </w:r>
      <w:r w:rsidR="00995ACD" w:rsidRPr="00995ACD">
        <w:rPr>
          <w:i/>
          <w:vertAlign w:val="superscript"/>
          <w:lang w:eastAsia="ja-JP"/>
        </w:rPr>
        <w:t>2</w:t>
      </w:r>
      <w:r w:rsidR="00995ACD">
        <w:rPr>
          <w:lang w:eastAsia="ja-JP"/>
        </w:rPr>
        <w:t xml:space="preserve">=40.3%). </w:t>
      </w:r>
      <w:r w:rsidR="00CD40DC" w:rsidRPr="00A72B0A">
        <w:rPr>
          <w:lang w:eastAsia="ja-JP"/>
        </w:rPr>
        <w:t>The association was strongest in low-income countries (pooled OR=1.87; 95%CI=1.08-3.25), followed by lower middle-income countries (OR=1.28; 95%CI=1.17-1.41), and upper middle-income countries (OR=1.08; 95%CI=0.99-1.18). This between group heterogeneity was statistically significant (P=0.008).</w:t>
      </w:r>
      <w:r w:rsidR="00CD40DC">
        <w:rPr>
          <w:lang w:eastAsia="ja-JP"/>
        </w:rPr>
        <w:t xml:space="preserve"> </w:t>
      </w:r>
    </w:p>
    <w:p w14:paraId="4A49A0D1" w14:textId="77777777" w:rsidR="006149C5" w:rsidRDefault="006149C5" w:rsidP="004E0B42">
      <w:pPr>
        <w:spacing w:line="480" w:lineRule="auto"/>
        <w:rPr>
          <w:lang w:eastAsia="ja-JP"/>
        </w:rPr>
      </w:pPr>
    </w:p>
    <w:p w14:paraId="43FB9F98" w14:textId="77777777" w:rsidR="007D6722" w:rsidRDefault="007D6722">
      <w:pPr>
        <w:rPr>
          <w:b/>
          <w:lang w:eastAsia="ja-JP"/>
        </w:rPr>
      </w:pPr>
      <w:r>
        <w:rPr>
          <w:b/>
          <w:lang w:eastAsia="ja-JP"/>
        </w:rPr>
        <w:br w:type="page"/>
      </w:r>
    </w:p>
    <w:p w14:paraId="05AB416E" w14:textId="65BAA292" w:rsidR="006149C5" w:rsidRPr="006149C5" w:rsidRDefault="006149C5" w:rsidP="004E0B42">
      <w:pPr>
        <w:spacing w:line="480" w:lineRule="auto"/>
        <w:rPr>
          <w:b/>
          <w:lang w:eastAsia="ja-JP"/>
        </w:rPr>
      </w:pPr>
      <w:r w:rsidRPr="006149C5">
        <w:rPr>
          <w:b/>
          <w:lang w:eastAsia="ja-JP"/>
        </w:rPr>
        <w:lastRenderedPageBreak/>
        <w:t>Discussion</w:t>
      </w:r>
    </w:p>
    <w:p w14:paraId="3CEC088B" w14:textId="55677E95" w:rsidR="009C7C2E" w:rsidRDefault="00457040" w:rsidP="00B925CE">
      <w:pPr>
        <w:spacing w:line="480" w:lineRule="auto"/>
      </w:pPr>
      <w:r>
        <w:tab/>
      </w:r>
      <w:r w:rsidR="00CF5E33">
        <w:t xml:space="preserve">To the best of our knowledge, this is the first multinational LMIC study to investigate the relationship between SB and obesity in adolescence. </w:t>
      </w:r>
      <w:r w:rsidR="009C7C2E">
        <w:t xml:space="preserve">We found consistent evidence that </w:t>
      </w:r>
      <w:r w:rsidR="002F20E3">
        <w:t xml:space="preserve">adolescents who </w:t>
      </w:r>
      <w:r w:rsidR="009C7C2E">
        <w:t>engag</w:t>
      </w:r>
      <w:r w:rsidR="002F20E3">
        <w:t>ed</w:t>
      </w:r>
      <w:r w:rsidR="009C7C2E">
        <w:t xml:space="preserve"> in </w:t>
      </w:r>
      <w:r w:rsidR="00DC07B4">
        <w:t>SB</w:t>
      </w:r>
      <w:r w:rsidR="0006199C">
        <w:t>,</w:t>
      </w:r>
      <w:r w:rsidR="00DC07B4">
        <w:t xml:space="preserve"> excluding time at school and when doing homework</w:t>
      </w:r>
      <w:r w:rsidR="0006199C">
        <w:t xml:space="preserve">, for 3 or more </w:t>
      </w:r>
      <w:r w:rsidR="009C7C2E">
        <w:t>hours a day</w:t>
      </w:r>
      <w:r w:rsidR="0006199C">
        <w:t>,</w:t>
      </w:r>
      <w:r w:rsidR="009C7C2E">
        <w:t xml:space="preserve"> </w:t>
      </w:r>
      <w:r w:rsidR="002F20E3">
        <w:t>were more likely to be obese</w:t>
      </w:r>
      <w:r w:rsidR="0006199C">
        <w:t xml:space="preserve">. </w:t>
      </w:r>
      <w:r w:rsidR="009C7C2E">
        <w:t xml:space="preserve">We also found some evidence to suggest </w:t>
      </w:r>
      <w:r w:rsidR="00DE0467">
        <w:t xml:space="preserve">a dose-dependent association between </w:t>
      </w:r>
      <w:r w:rsidR="009F45AE">
        <w:t>SB and obesity where compared to those who were sedentary for &lt;1 hour/day, individuals who were sedentary for &gt;8 hours/day</w:t>
      </w:r>
      <w:r w:rsidR="0006199C">
        <w:t xml:space="preserve"> (excluding time at school and when doing homework)</w:t>
      </w:r>
      <w:r w:rsidR="009F45AE">
        <w:t xml:space="preserve"> were 1.40 times more likely to be obese. </w:t>
      </w:r>
      <w:r w:rsidR="009C7C2E">
        <w:t xml:space="preserve">The results remained evident even after adjusting for physical activity.  </w:t>
      </w:r>
    </w:p>
    <w:p w14:paraId="686B07EC" w14:textId="59C0CA94" w:rsidR="00462830" w:rsidRDefault="00A23E18" w:rsidP="00556626">
      <w:pPr>
        <w:spacing w:line="480" w:lineRule="auto"/>
        <w:ind w:firstLine="720"/>
      </w:pPr>
      <w:r>
        <w:t>The overall prevalence of obesity in our sample was 4%</w:t>
      </w:r>
      <w:r w:rsidR="00E11E24">
        <w:t>,</w:t>
      </w:r>
      <w:r w:rsidR="00032790">
        <w:t xml:space="preserve"> </w:t>
      </w:r>
      <w:r w:rsidR="00E11E24">
        <w:t>which is relatively low compared to previous studies</w:t>
      </w:r>
      <w:r w:rsidR="00A411B6">
        <w:t>,</w:t>
      </w:r>
      <w:r w:rsidR="00134737">
        <w:t xml:space="preserve"> which ma</w:t>
      </w:r>
      <w:r w:rsidR="00A411B6">
        <w:t>y be explained by the fact that our sample was based on LMICs</w:t>
      </w:r>
      <w:r w:rsidR="0006199C">
        <w:t>, and only included those aged 12-15</w:t>
      </w:r>
      <w:r>
        <w:t>.</w:t>
      </w:r>
      <w:r w:rsidR="00E72001">
        <w:t xml:space="preserve"> </w:t>
      </w:r>
      <w:r w:rsidR="0040260F">
        <w:t>For example,</w:t>
      </w:r>
      <w:r w:rsidR="00E72001">
        <w:t xml:space="preserve"> among children and adolescents worldwide</w:t>
      </w:r>
      <w:r w:rsidR="00A411B6">
        <w:t xml:space="preserve"> (including high-income countries)</w:t>
      </w:r>
      <w:r w:rsidR="00E72001">
        <w:t>, 6% o</w:t>
      </w:r>
      <w:r w:rsidR="00320884">
        <w:t>f girls and 8% of boys are obese (</w:t>
      </w:r>
      <w:r w:rsidR="00D770E0">
        <w:t>23</w:t>
      </w:r>
      <w:r w:rsidR="00320884">
        <w:t>)</w:t>
      </w:r>
      <w:r w:rsidR="00835120">
        <w:t>. T</w:t>
      </w:r>
      <w:r w:rsidR="009C7C2E">
        <w:t>he r</w:t>
      </w:r>
      <w:r w:rsidR="00B64D5C">
        <w:t>ates of obesity increased by country-income level, with the highest rates of obesity present in upper middle-income countries</w:t>
      </w:r>
      <w:r w:rsidR="00835120">
        <w:t>, which is in line with previous literature (</w:t>
      </w:r>
      <w:r w:rsidR="00D770E0">
        <w:t>23</w:t>
      </w:r>
      <w:r w:rsidR="00835120">
        <w:t>)</w:t>
      </w:r>
      <w:r w:rsidR="00B64D5C">
        <w:t xml:space="preserve">. </w:t>
      </w:r>
      <w:r w:rsidR="00A411B6">
        <w:t>T</w:t>
      </w:r>
      <w:r w:rsidR="00B64D5C">
        <w:t>he country with the highest rate</w:t>
      </w:r>
      <w:r w:rsidR="00A411B6">
        <w:t xml:space="preserve"> </w:t>
      </w:r>
      <w:r w:rsidR="00B64D5C">
        <w:t>of obesity was Tonga (21.9%)</w:t>
      </w:r>
      <w:r w:rsidR="00A411B6">
        <w:t xml:space="preserve">, and this is </w:t>
      </w:r>
      <w:r w:rsidR="007530D4">
        <w:t xml:space="preserve">in line with </w:t>
      </w:r>
      <w:r w:rsidR="00DD7C28">
        <w:t xml:space="preserve">the extremely high </w:t>
      </w:r>
      <w:r w:rsidR="007530D4">
        <w:t xml:space="preserve">adult </w:t>
      </w:r>
      <w:r w:rsidR="00E47766">
        <w:t xml:space="preserve">obesity </w:t>
      </w:r>
      <w:r w:rsidR="00DD7C28">
        <w:t xml:space="preserve">rate </w:t>
      </w:r>
      <w:r w:rsidR="00E47766">
        <w:t xml:space="preserve">in Tonga, </w:t>
      </w:r>
      <w:r w:rsidR="00DD7C28">
        <w:t xml:space="preserve">where </w:t>
      </w:r>
      <w:r w:rsidR="00E47766">
        <w:t>52</w:t>
      </w:r>
      <w:r w:rsidR="003B4B9F">
        <w:t>% of males and 67</w:t>
      </w:r>
      <w:r w:rsidR="007530D4">
        <w:t>% of females are either overweight or obese (</w:t>
      </w:r>
      <w:r w:rsidR="001E1F96">
        <w:t>2</w:t>
      </w:r>
      <w:r w:rsidR="00C27B70">
        <w:t>).</w:t>
      </w:r>
      <w:r w:rsidR="0052689F">
        <w:t xml:space="preserve"> It may also be that geographical locations of countries play an important role alongside economic status, such that island nations in the Pacific and the Caribbean and certain countries in the Middle East and Central America have very high rates of obesity, while most countries in Asia</w:t>
      </w:r>
      <w:r w:rsidR="00C0769D">
        <w:t xml:space="preserve"> and Africa</w:t>
      </w:r>
      <w:r w:rsidR="0052689F">
        <w:t xml:space="preserve"> do not (</w:t>
      </w:r>
      <w:r w:rsidR="001E1F96">
        <w:t>2</w:t>
      </w:r>
      <w:r w:rsidR="0052689F">
        <w:t xml:space="preserve">). </w:t>
      </w:r>
      <w:r w:rsidR="00C0769D">
        <w:t xml:space="preserve">This was </w:t>
      </w:r>
      <w:r w:rsidR="00782F9C">
        <w:t>seen in our results</w:t>
      </w:r>
      <w:r w:rsidR="00DD7C28">
        <w:t>.</w:t>
      </w:r>
      <w:r w:rsidR="00782F9C">
        <w:t xml:space="preserve"> </w:t>
      </w:r>
      <w:r w:rsidR="00DD7C28">
        <w:t>F</w:t>
      </w:r>
      <w:r w:rsidR="00782F9C">
        <w:t>or example, Vietnam</w:t>
      </w:r>
      <w:r w:rsidR="00134737">
        <w:t xml:space="preserve"> (0.6%) and </w:t>
      </w:r>
      <w:r w:rsidR="00782F9C">
        <w:t>Namibia (1.9%)</w:t>
      </w:r>
      <w:r w:rsidR="00134737">
        <w:t xml:space="preserve"> had very low rates of obesity</w:t>
      </w:r>
      <w:r w:rsidR="00782F9C">
        <w:t xml:space="preserve">. </w:t>
      </w:r>
      <w:r w:rsidR="00EA6393">
        <w:tab/>
      </w:r>
      <w:r w:rsidR="00C43811">
        <w:t xml:space="preserve">Overall, </w:t>
      </w:r>
      <w:r w:rsidR="00926650">
        <w:t>just over a quarter of adolescents engaged in SB for</w:t>
      </w:r>
      <w:r w:rsidR="00C43811">
        <w:t xml:space="preserve"> </w:t>
      </w:r>
      <w:r w:rsidR="00623773">
        <w:t>≥</w:t>
      </w:r>
      <w:r w:rsidR="00492117">
        <w:t>3 hours/day</w:t>
      </w:r>
      <w:r w:rsidR="00BE0EFD">
        <w:t xml:space="preserve">, </w:t>
      </w:r>
      <w:r w:rsidR="00EC49AF">
        <w:t xml:space="preserve">which is considered sedentary for </w:t>
      </w:r>
      <w:r w:rsidR="00EC49AF" w:rsidRPr="00346E12">
        <w:t xml:space="preserve">children </w:t>
      </w:r>
      <w:r w:rsidR="006C71B1">
        <w:t>(17</w:t>
      </w:r>
      <w:r w:rsidR="00EC49AF" w:rsidRPr="00346E12">
        <w:t>)</w:t>
      </w:r>
      <w:r w:rsidR="00492117">
        <w:t>, while 38.4%</w:t>
      </w:r>
      <w:r w:rsidR="00926650">
        <w:t xml:space="preserve"> engaged in SB for less than 1 hour/day</w:t>
      </w:r>
      <w:r w:rsidR="00492117">
        <w:t>.</w:t>
      </w:r>
      <w:r w:rsidR="00E71E93">
        <w:t xml:space="preserve"> </w:t>
      </w:r>
      <w:r w:rsidR="002A33F7">
        <w:t>Rates</w:t>
      </w:r>
      <w:r w:rsidR="00857406">
        <w:t xml:space="preserve"> of SB </w:t>
      </w:r>
      <w:r w:rsidR="002A33F7">
        <w:t xml:space="preserve">increased by country-income level, with the highest rates of </w:t>
      </w:r>
      <w:r w:rsidR="00474FA7">
        <w:t>SB</w:t>
      </w:r>
      <w:r w:rsidR="002A33F7">
        <w:t xml:space="preserve"> present in upper middle-</w:t>
      </w:r>
      <w:r w:rsidR="002A33F7">
        <w:lastRenderedPageBreak/>
        <w:t xml:space="preserve">income countries. </w:t>
      </w:r>
      <w:r w:rsidR="00462830">
        <w:t>These results are difficult to compare against other results, as the examination of S</w:t>
      </w:r>
      <w:r w:rsidR="00D4642A">
        <w:t>B in the realm of public health has only gained momentum in the past 10 years, and thus standardized instruments are still lacking (</w:t>
      </w:r>
      <w:r w:rsidR="00D770E0">
        <w:t>24</w:t>
      </w:r>
      <w:r w:rsidR="00D4642A">
        <w:t>)</w:t>
      </w:r>
      <w:r w:rsidR="00462830">
        <w:t>.</w:t>
      </w:r>
    </w:p>
    <w:p w14:paraId="623D758A" w14:textId="2150E9BA" w:rsidR="00A23E18" w:rsidRDefault="00462830" w:rsidP="00B925CE">
      <w:pPr>
        <w:spacing w:line="480" w:lineRule="auto"/>
      </w:pPr>
      <w:r>
        <w:tab/>
        <w:t>SB was related to obesity, with the relationship being strongest in low</w:t>
      </w:r>
      <w:r w:rsidR="000D6EEC">
        <w:t>-</w:t>
      </w:r>
      <w:r>
        <w:t xml:space="preserve">income countries. </w:t>
      </w:r>
      <w:r w:rsidR="00D030E6">
        <w:t>This is in</w:t>
      </w:r>
      <w:r w:rsidR="0049407F">
        <w:t xml:space="preserve"> line w</w:t>
      </w:r>
      <w:r w:rsidR="001E1F96">
        <w:t xml:space="preserve">ith the results of Lear et al., </w:t>
      </w:r>
      <w:r w:rsidR="0049407F">
        <w:t>2014</w:t>
      </w:r>
      <w:r w:rsidR="00D770E0">
        <w:t xml:space="preserve"> </w:t>
      </w:r>
      <w:r w:rsidR="007D3DA3">
        <w:t>(</w:t>
      </w:r>
      <w:r w:rsidR="00D770E0">
        <w:t>25</w:t>
      </w:r>
      <w:r w:rsidR="0049407F">
        <w:t>), who found stronger relationships between the ownerships of household devices</w:t>
      </w:r>
      <w:r w:rsidR="00C256CD">
        <w:t xml:space="preserve"> (television, car, computer)</w:t>
      </w:r>
      <w:r w:rsidR="0049407F">
        <w:t xml:space="preserve"> and obesity among adults from low-income countries, compared with those from middle- and high-income countries. </w:t>
      </w:r>
      <w:r w:rsidR="000D6EEC">
        <w:t>However, a</w:t>
      </w:r>
      <w:r w:rsidR="009175C3">
        <w:t xml:space="preserve"> study examining this relationship among 9- to 11-year olds from 12 low-, medium- and high-income countries</w:t>
      </w:r>
      <w:r w:rsidR="00337FCD">
        <w:t xml:space="preserve"> </w:t>
      </w:r>
      <w:r w:rsidR="009175C3">
        <w:t xml:space="preserve">found </w:t>
      </w:r>
      <w:r w:rsidR="000D6EEC">
        <w:t xml:space="preserve">that the </w:t>
      </w:r>
      <w:r w:rsidR="009175C3">
        <w:t xml:space="preserve">significant association between TV viewing (as a proxy for SB) and obesity </w:t>
      </w:r>
      <w:r w:rsidR="000D6EEC">
        <w:t xml:space="preserve">were consistent across country income levels </w:t>
      </w:r>
      <w:r w:rsidR="009175C3">
        <w:t>(</w:t>
      </w:r>
      <w:r w:rsidR="00D770E0">
        <w:t>26</w:t>
      </w:r>
      <w:r w:rsidR="009175C3">
        <w:t xml:space="preserve">). </w:t>
      </w:r>
      <w:r w:rsidR="00F43F5E">
        <w:t xml:space="preserve">The fact that </w:t>
      </w:r>
      <w:r w:rsidR="009175C3">
        <w:t xml:space="preserve">this study did not take into account </w:t>
      </w:r>
      <w:r w:rsidR="00F43F5E">
        <w:t xml:space="preserve">of </w:t>
      </w:r>
      <w:r w:rsidR="009175C3">
        <w:t xml:space="preserve">other types of SB could </w:t>
      </w:r>
      <w:r w:rsidR="007A3463">
        <w:t>have le</w:t>
      </w:r>
      <w:r w:rsidR="00F43F5E">
        <w:t>d to the discrepant results</w:t>
      </w:r>
      <w:r w:rsidR="009175C3">
        <w:t xml:space="preserve">. </w:t>
      </w:r>
      <w:r w:rsidR="001452B7">
        <w:t>Furthermore</w:t>
      </w:r>
      <w:r w:rsidR="00944D0D">
        <w:t>, in a study among adolescents in</w:t>
      </w:r>
      <w:r w:rsidR="00B85637">
        <w:t xml:space="preserve"> a</w:t>
      </w:r>
      <w:r w:rsidR="00944D0D">
        <w:t xml:space="preserve"> high-income cou</w:t>
      </w:r>
      <w:r w:rsidR="00B85637">
        <w:t xml:space="preserve">ntry (England), </w:t>
      </w:r>
      <w:r w:rsidR="00984EC1">
        <w:t xml:space="preserve">those with low socio-economic position spent more time watching television </w:t>
      </w:r>
      <w:r w:rsidR="00B20377">
        <w:t>compared to their higher socio</w:t>
      </w:r>
      <w:r w:rsidR="00984EC1">
        <w:t>-economic position counterparts, while the reverse was true for all other type of SB</w:t>
      </w:r>
      <w:r w:rsidR="0049056D">
        <w:t xml:space="preserve"> (i.e. homework, drawing, time spent on the computer)</w:t>
      </w:r>
      <w:r w:rsidR="00387454">
        <w:t xml:space="preserve"> </w:t>
      </w:r>
      <w:r w:rsidR="00984EC1">
        <w:t>(accelerometer-measured</w:t>
      </w:r>
      <w:r w:rsidR="003726E6">
        <w:t xml:space="preserve">, </w:t>
      </w:r>
      <w:r w:rsidR="00D770E0">
        <w:t>27</w:t>
      </w:r>
      <w:r w:rsidR="00984EC1">
        <w:t xml:space="preserve">). This suggests that </w:t>
      </w:r>
      <w:r w:rsidR="00E4298D">
        <w:t>family-</w:t>
      </w:r>
      <w:r w:rsidR="00984EC1">
        <w:t>income level</w:t>
      </w:r>
      <w:r w:rsidR="00E4298D">
        <w:t xml:space="preserve"> </w:t>
      </w:r>
      <w:r w:rsidR="00984EC1">
        <w:t xml:space="preserve">may affect types of SB differently, which may in turn affect the SB and obesity relationship. </w:t>
      </w:r>
    </w:p>
    <w:p w14:paraId="6D1BC80A" w14:textId="16BE9B1A" w:rsidR="00462830" w:rsidRDefault="00C256CD" w:rsidP="00F304F7">
      <w:pPr>
        <w:spacing w:line="480" w:lineRule="auto"/>
        <w:ind w:firstLine="720"/>
      </w:pPr>
      <w:r>
        <w:t xml:space="preserve">Interestingly, </w:t>
      </w:r>
      <w:r w:rsidR="00984EC1">
        <w:t xml:space="preserve">in </w:t>
      </w:r>
      <w:r w:rsidR="007F5F99">
        <w:t>our</w:t>
      </w:r>
      <w:r w:rsidR="00984EC1">
        <w:t xml:space="preserve"> study, </w:t>
      </w:r>
      <w:r>
        <w:t>the countries with the strongest relationship between SB and obesity (i.e. low-income countries) were also those that had the lowest rates of both SB and obesity. Lear et al. (</w:t>
      </w:r>
      <w:r w:rsidR="00D770E0">
        <w:t>25</w:t>
      </w:r>
      <w:r>
        <w:t xml:space="preserve">) posited that </w:t>
      </w:r>
      <w:r w:rsidR="00C3375F">
        <w:t xml:space="preserve">one reason for this could be because </w:t>
      </w:r>
      <w:r w:rsidR="007F5F62">
        <w:t>a plateau effect of exposure to such devices</w:t>
      </w:r>
      <w:r w:rsidR="003F7C6E">
        <w:t xml:space="preserve"> (television, car, computer)</w:t>
      </w:r>
      <w:r w:rsidR="007F5F62">
        <w:t xml:space="preserve"> might be present in higher income countries, such that the negative effects have already occurred and are represented in high</w:t>
      </w:r>
      <w:r w:rsidR="005D3D90">
        <w:t>er</w:t>
      </w:r>
      <w:r w:rsidR="007F5F62">
        <w:t xml:space="preserve"> obesity prevalence</w:t>
      </w:r>
      <w:r w:rsidR="00D96BE6">
        <w:t>. Conversely,</w:t>
      </w:r>
      <w:r w:rsidR="00216DC4">
        <w:t xml:space="preserve"> </w:t>
      </w:r>
      <w:r w:rsidR="00D96BE6">
        <w:t>in lower-income countries in which exposure to such devices might be a recent development, their negative effects may still be acute, and may increase as the rates of ownership increases (</w:t>
      </w:r>
      <w:r w:rsidR="00D770E0">
        <w:t>25</w:t>
      </w:r>
      <w:r w:rsidR="00D96BE6">
        <w:t xml:space="preserve">). </w:t>
      </w:r>
      <w:r w:rsidR="00A67173">
        <w:t xml:space="preserve">This may explain the current study’s findings of SB </w:t>
      </w:r>
      <w:r w:rsidR="00A67173">
        <w:lastRenderedPageBreak/>
        <w:t xml:space="preserve">being </w:t>
      </w:r>
      <w:r w:rsidR="007F5F99">
        <w:t xml:space="preserve">particularly strongly related to </w:t>
      </w:r>
      <w:r w:rsidR="00A67173">
        <w:t>obesity</w:t>
      </w:r>
      <w:r w:rsidR="007F5F99">
        <w:t xml:space="preserve"> in low-income countries</w:t>
      </w:r>
      <w:r w:rsidR="00A67173">
        <w:t>, as</w:t>
      </w:r>
      <w:r w:rsidR="0087203F">
        <w:t xml:space="preserve"> among young people,</w:t>
      </w:r>
      <w:r w:rsidR="00A67173">
        <w:t xml:space="preserve"> ownership of devices</w:t>
      </w:r>
      <w:r w:rsidR="00625F54">
        <w:t xml:space="preserve"> such as televisions</w:t>
      </w:r>
      <w:r w:rsidR="00756820">
        <w:t xml:space="preserve"> and </w:t>
      </w:r>
      <w:r w:rsidR="002355EB">
        <w:t>game</w:t>
      </w:r>
      <w:r w:rsidR="00756820">
        <w:t xml:space="preserve"> consoles</w:t>
      </w:r>
      <w:r w:rsidR="00A67173">
        <w:t xml:space="preserve"> has been linked to SB</w:t>
      </w:r>
      <w:r w:rsidR="002355EB">
        <w:t xml:space="preserve"> (</w:t>
      </w:r>
      <w:r w:rsidR="00D770E0">
        <w:t>28, 29</w:t>
      </w:r>
      <w:r w:rsidR="00747870">
        <w:t>)</w:t>
      </w:r>
      <w:r w:rsidR="00A67173" w:rsidRPr="00625F54">
        <w:t>.</w:t>
      </w:r>
      <w:r w:rsidR="00A67173">
        <w:t xml:space="preserve"> </w:t>
      </w:r>
      <w:r w:rsidR="00387454">
        <w:t xml:space="preserve">As such, it may be that </w:t>
      </w:r>
      <w:r w:rsidR="00FE7707">
        <w:t xml:space="preserve">in low-income countries, SB may be a sign of wealth and is observed through obesogenic activities like snacking, </w:t>
      </w:r>
      <w:r w:rsidR="004201DD">
        <w:t>whereas</w:t>
      </w:r>
      <w:r w:rsidR="00FE7707">
        <w:t xml:space="preserve"> in middle</w:t>
      </w:r>
      <w:r w:rsidR="00EA6393">
        <w:t>-</w:t>
      </w:r>
      <w:r w:rsidR="00FE7707">
        <w:t xml:space="preserve">income countries, it is already common to snack such that obesity is no longer strongly associated with SB. </w:t>
      </w:r>
    </w:p>
    <w:p w14:paraId="437AF5FB" w14:textId="6E37786E" w:rsidR="0042268E" w:rsidRDefault="00A23E18" w:rsidP="00B620BB">
      <w:pPr>
        <w:spacing w:line="480" w:lineRule="auto"/>
        <w:ind w:firstLine="720"/>
      </w:pPr>
      <w:r>
        <w:t>The reasons that underpin the relationship between SB and obesity are likely complex</w:t>
      </w:r>
      <w:r w:rsidR="00BF6110">
        <w:t xml:space="preserve">, and the </w:t>
      </w:r>
      <w:r w:rsidR="00C46E58">
        <w:t>direction</w:t>
      </w:r>
      <w:r w:rsidR="00BF6110">
        <w:t xml:space="preserve"> of the relationship remains unclear</w:t>
      </w:r>
      <w:r w:rsidR="00F23A79">
        <w:t>.</w:t>
      </w:r>
      <w:r w:rsidR="001E4B75">
        <w:t xml:space="preserve"> </w:t>
      </w:r>
      <w:r w:rsidR="00F23A79">
        <w:t>I</w:t>
      </w:r>
      <w:r w:rsidR="001E4B75">
        <w:t>t is possible that SB leads to obesity, or that obesity leads to SB</w:t>
      </w:r>
      <w:r w:rsidR="006534DB">
        <w:t>, but it is likely to be a combination of both</w:t>
      </w:r>
      <w:r w:rsidR="00765A5D">
        <w:t>.</w:t>
      </w:r>
      <w:r w:rsidR="001E4B75">
        <w:t xml:space="preserve"> One possible reason for this relationship may be that SBs such as watching television have been associated with obesogenic behaviors such as snacking (</w:t>
      </w:r>
      <w:r w:rsidR="00D770E0">
        <w:t>11</w:t>
      </w:r>
      <w:r w:rsidR="001E4B75">
        <w:t xml:space="preserve">). </w:t>
      </w:r>
      <w:r w:rsidR="00501F0D">
        <w:t xml:space="preserve">Interestingly, a recent systematic review emphasized the fact that while there have been many studies examining the relationship between SB and adiposity in adolescents, </w:t>
      </w:r>
      <w:r w:rsidR="00382EC3">
        <w:t>there is no evidence to confirm a causal association</w:t>
      </w:r>
      <w:r w:rsidR="00613D3B">
        <w:t xml:space="preserve"> (</w:t>
      </w:r>
      <w:r w:rsidR="00D770E0">
        <w:t>30</w:t>
      </w:r>
      <w:r w:rsidR="00613D3B">
        <w:t>)</w:t>
      </w:r>
      <w:r w:rsidR="00382EC3">
        <w:t xml:space="preserve">. </w:t>
      </w:r>
      <w:r w:rsidR="00347B59">
        <w:t xml:space="preserve">However, </w:t>
      </w:r>
      <w:r w:rsidR="00382EC3">
        <w:t>a small dose-response between levels of SB and levels of adiposity</w:t>
      </w:r>
      <w:r w:rsidR="00613D3B">
        <w:t xml:space="preserve"> </w:t>
      </w:r>
      <w:r w:rsidR="00347B59">
        <w:t xml:space="preserve">has been reported </w:t>
      </w:r>
      <w:r w:rsidR="00613D3B">
        <w:t>(</w:t>
      </w:r>
      <w:r w:rsidR="00D770E0">
        <w:t>30)</w:t>
      </w:r>
      <w:r w:rsidR="00382EC3">
        <w:t xml:space="preserve">. </w:t>
      </w:r>
      <w:r w:rsidR="00F23A79">
        <w:t>An alternative mechanism by which SB may lead to obesity may be through a reduction in energy expenditure, leading to increased accumulation of abdominal fat</w:t>
      </w:r>
      <w:r w:rsidR="00347B59">
        <w:t xml:space="preserve"> </w:t>
      </w:r>
      <w:r w:rsidR="00C73D94">
        <w:t>(</w:t>
      </w:r>
      <w:r w:rsidR="00F80B1F">
        <w:t>12,13</w:t>
      </w:r>
      <w:r w:rsidR="00C73D94">
        <w:t>)</w:t>
      </w:r>
      <w:r w:rsidR="00680ABD">
        <w:t xml:space="preserve">. </w:t>
      </w:r>
    </w:p>
    <w:p w14:paraId="4FD73F9B" w14:textId="222514F7" w:rsidR="003B064B" w:rsidRPr="00B620BB" w:rsidRDefault="0042268E" w:rsidP="00B620BB">
      <w:pPr>
        <w:spacing w:line="480" w:lineRule="auto"/>
        <w:ind w:firstLine="720"/>
      </w:pPr>
      <w:r>
        <w:t xml:space="preserve">Regardless of whether </w:t>
      </w:r>
      <w:r w:rsidR="00F062FE">
        <w:t>SB and obesity</w:t>
      </w:r>
      <w:r>
        <w:t xml:space="preserve"> are causal</w:t>
      </w:r>
      <w:r w:rsidR="001E3AC9">
        <w:t>l</w:t>
      </w:r>
      <w:r>
        <w:t>y related</w:t>
      </w:r>
      <w:r w:rsidR="00F062FE">
        <w:t xml:space="preserve">, </w:t>
      </w:r>
      <w:r>
        <w:t>the</w:t>
      </w:r>
      <w:r w:rsidR="001E3AC9">
        <w:t>ir</w:t>
      </w:r>
      <w:r>
        <w:t xml:space="preserve"> mere co-existence is deleterious to health. SB and obesity </w:t>
      </w:r>
      <w:r w:rsidR="00F062FE">
        <w:t xml:space="preserve">both exert negative effects on cardiometabolic markers, and in turn increase risk </w:t>
      </w:r>
      <w:r w:rsidR="001E3AC9">
        <w:t xml:space="preserve">of developing </w:t>
      </w:r>
      <w:r w:rsidR="00F062FE">
        <w:t xml:space="preserve">metabolic diseases such as </w:t>
      </w:r>
      <w:r w:rsidR="00154C11">
        <w:t>type 2 diabetes</w:t>
      </w:r>
      <w:r w:rsidR="00F062FE">
        <w:t xml:space="preserve"> and cardiovascular disease</w:t>
      </w:r>
      <w:r w:rsidR="009C2DC9">
        <w:t>s</w:t>
      </w:r>
      <w:r w:rsidR="00154C11">
        <w:t xml:space="preserve"> (</w:t>
      </w:r>
      <w:r w:rsidR="00F80B1F">
        <w:t>31</w:t>
      </w:r>
      <w:r w:rsidR="00154C11">
        <w:t>)</w:t>
      </w:r>
      <w:r w:rsidR="001A7A86">
        <w:t xml:space="preserve">. </w:t>
      </w:r>
      <w:r w:rsidR="00B15275" w:rsidRPr="00534B24">
        <w:t xml:space="preserve">For example, one study found that regardless of PA, </w:t>
      </w:r>
      <w:r w:rsidR="00F062FE" w:rsidRPr="00534B24">
        <w:t xml:space="preserve">increased </w:t>
      </w:r>
      <w:r w:rsidR="00B15275" w:rsidRPr="00534B24">
        <w:t xml:space="preserve">sedentary time was detrimentally associated with levels of </w:t>
      </w:r>
      <w:r w:rsidR="00B15275">
        <w:t>2h plasma glucose, tria</w:t>
      </w:r>
      <w:r w:rsidR="00F062FE">
        <w:t>cylglycerol and HDL-cholesterol</w:t>
      </w:r>
      <w:r w:rsidR="00534B24">
        <w:t xml:space="preserve"> (</w:t>
      </w:r>
      <w:r w:rsidR="00F80B1F">
        <w:t>32</w:t>
      </w:r>
      <w:r w:rsidR="00534B24">
        <w:t>)</w:t>
      </w:r>
      <w:r w:rsidR="00F062FE">
        <w:t xml:space="preserve">. </w:t>
      </w:r>
      <w:r w:rsidR="00534B24">
        <w:t>Individuals with obesity also have higher levels of these circulating biomarkers (</w:t>
      </w:r>
      <w:r w:rsidR="00F80B1F">
        <w:t>31</w:t>
      </w:r>
      <w:r w:rsidR="00534B24">
        <w:t xml:space="preserve">). The detrimental effects of increased levels of such markers highlight the important need for solutions to prevent and treat both SB and obesity. </w:t>
      </w:r>
    </w:p>
    <w:p w14:paraId="3664EFAB" w14:textId="5DFC2878" w:rsidR="00524FCB" w:rsidRDefault="00A23E18" w:rsidP="00E7149E">
      <w:pPr>
        <w:spacing w:line="480" w:lineRule="auto"/>
        <w:ind w:firstLine="720"/>
        <w:rPr>
          <w:rFonts w:eastAsia="Times New Roman"/>
        </w:rPr>
      </w:pPr>
      <w:r>
        <w:rPr>
          <w:rFonts w:eastAsia="Times New Roman"/>
        </w:rPr>
        <w:t>Whilst t</w:t>
      </w:r>
      <w:r w:rsidR="003B064B">
        <w:rPr>
          <w:rFonts w:eastAsia="Times New Roman"/>
        </w:rPr>
        <w:t>his study is novel</w:t>
      </w:r>
      <w:r>
        <w:rPr>
          <w:rFonts w:eastAsia="Times New Roman"/>
        </w:rPr>
        <w:t xml:space="preserve">, </w:t>
      </w:r>
      <w:r w:rsidR="003B064B">
        <w:rPr>
          <w:rFonts w:eastAsia="Times New Roman"/>
        </w:rPr>
        <w:t>includes a large number of countries and participants</w:t>
      </w:r>
      <w:r w:rsidR="007A3463">
        <w:rPr>
          <w:rFonts w:eastAsia="Times New Roman"/>
        </w:rPr>
        <w:t>,</w:t>
      </w:r>
      <w:r w:rsidR="003B064B">
        <w:rPr>
          <w:rFonts w:eastAsia="Times New Roman"/>
        </w:rPr>
        <w:t xml:space="preserve"> is multi</w:t>
      </w:r>
      <w:r w:rsidR="00CA04DC">
        <w:rPr>
          <w:rFonts w:eastAsia="Times New Roman"/>
        </w:rPr>
        <w:t>national, and took into account</w:t>
      </w:r>
      <w:r w:rsidR="007A3463">
        <w:rPr>
          <w:rFonts w:eastAsia="Times New Roman"/>
        </w:rPr>
        <w:t xml:space="preserve"> </w:t>
      </w:r>
      <w:r w:rsidR="003B064B">
        <w:rPr>
          <w:rFonts w:eastAsia="Times New Roman"/>
        </w:rPr>
        <w:t xml:space="preserve">various </w:t>
      </w:r>
      <w:r>
        <w:rPr>
          <w:rFonts w:eastAsia="Times New Roman"/>
        </w:rPr>
        <w:t xml:space="preserve">confounders (e.g. </w:t>
      </w:r>
      <w:r w:rsidR="003B064B">
        <w:rPr>
          <w:rFonts w:eastAsia="Times New Roman"/>
        </w:rPr>
        <w:t xml:space="preserve">physical activity and </w:t>
      </w:r>
      <w:r w:rsidR="003B064B">
        <w:rPr>
          <w:rFonts w:eastAsia="Times New Roman"/>
        </w:rPr>
        <w:lastRenderedPageBreak/>
        <w:t>nutrition</w:t>
      </w:r>
      <w:r>
        <w:rPr>
          <w:rFonts w:eastAsia="Times New Roman"/>
        </w:rPr>
        <w:t>)</w:t>
      </w:r>
      <w:r w:rsidR="007A3463">
        <w:rPr>
          <w:rFonts w:eastAsia="Times New Roman"/>
        </w:rPr>
        <w:t>,</w:t>
      </w:r>
      <w:r>
        <w:rPr>
          <w:rFonts w:eastAsia="Times New Roman"/>
        </w:rPr>
        <w:t xml:space="preserve"> it is important</w:t>
      </w:r>
      <w:r w:rsidR="007A3463">
        <w:rPr>
          <w:rFonts w:eastAsia="Times New Roman"/>
        </w:rPr>
        <w:t xml:space="preserve"> to note some limitations</w:t>
      </w:r>
      <w:r w:rsidR="003B064B">
        <w:rPr>
          <w:rFonts w:eastAsia="Times New Roman"/>
        </w:rPr>
        <w:t xml:space="preserve">. </w:t>
      </w:r>
      <w:r>
        <w:rPr>
          <w:rFonts w:eastAsia="Times New Roman"/>
        </w:rPr>
        <w:t xml:space="preserve">First, the study is cross sectional and directionality cannot be inferred. Thus, future longitudinal research is required to explore the </w:t>
      </w:r>
      <w:r w:rsidR="001E3AC9">
        <w:rPr>
          <w:rFonts w:eastAsia="Times New Roman"/>
        </w:rPr>
        <w:t xml:space="preserve">direction of causation </w:t>
      </w:r>
      <w:r>
        <w:rPr>
          <w:rFonts w:eastAsia="Times New Roman"/>
        </w:rPr>
        <w:t>and temporal relationships.</w:t>
      </w:r>
      <w:r w:rsidR="00532633">
        <w:rPr>
          <w:rFonts w:eastAsia="Times New Roman"/>
        </w:rPr>
        <w:t xml:space="preserve"> </w:t>
      </w:r>
      <w:r w:rsidR="00532633" w:rsidRPr="00532633">
        <w:rPr>
          <w:rFonts w:eastAsia="Times New Roman"/>
        </w:rPr>
        <w:t xml:space="preserve">Second, SB was captured using self-report measures that included only one item. This is a limitation as more items could have been used to examine the content and context of </w:t>
      </w:r>
      <w:r w:rsidR="004B6257">
        <w:rPr>
          <w:rFonts w:eastAsia="Times New Roman"/>
        </w:rPr>
        <w:t xml:space="preserve">SBs </w:t>
      </w:r>
      <w:r w:rsidR="00532633" w:rsidRPr="00532633">
        <w:rPr>
          <w:rFonts w:eastAsia="Times New Roman"/>
        </w:rPr>
        <w:t xml:space="preserve">(e.g., </w:t>
      </w:r>
      <w:r w:rsidR="009D1B2E">
        <w:rPr>
          <w:rFonts w:eastAsia="Times New Roman"/>
        </w:rPr>
        <w:t>television</w:t>
      </w:r>
      <w:r w:rsidR="00532633" w:rsidRPr="00532633">
        <w:rPr>
          <w:rFonts w:eastAsia="Times New Roman"/>
        </w:rPr>
        <w:t xml:space="preserve"> watching, playing computer games) and thereby create a greater understanding of sedentary patterns and modalities</w:t>
      </w:r>
      <w:r w:rsidR="00532633">
        <w:rPr>
          <w:rFonts w:eastAsia="Times New Roman"/>
        </w:rPr>
        <w:t xml:space="preserve">. </w:t>
      </w:r>
      <w:r w:rsidR="00E7149E" w:rsidRPr="00CB1B40">
        <w:rPr>
          <w:rFonts w:eastAsia="Times New Roman"/>
        </w:rPr>
        <w:t>Furthermore, SB was assessed subjectively in our study and this measure has not been validated against objective measures.</w:t>
      </w:r>
      <w:r w:rsidR="00E7149E">
        <w:rPr>
          <w:rFonts w:eastAsia="Times New Roman"/>
          <w:i/>
        </w:rPr>
        <w:t xml:space="preserve"> </w:t>
      </w:r>
      <w:r w:rsidR="00137DFD">
        <w:rPr>
          <w:rFonts w:eastAsia="Times New Roman"/>
        </w:rPr>
        <w:t xml:space="preserve">The accuracy of measuring SB with self-reporting among pediatric populations has been questioned, and thus objective techniques such as accelerometry are warranted </w:t>
      </w:r>
      <w:r>
        <w:rPr>
          <w:rFonts w:eastAsia="Times New Roman"/>
        </w:rPr>
        <w:t xml:space="preserve">in the future </w:t>
      </w:r>
      <w:r w:rsidR="00137DFD">
        <w:rPr>
          <w:rFonts w:eastAsia="Times New Roman"/>
        </w:rPr>
        <w:t>(</w:t>
      </w:r>
      <w:r w:rsidR="00F80B1F">
        <w:rPr>
          <w:rFonts w:eastAsia="Times New Roman"/>
        </w:rPr>
        <w:t>33</w:t>
      </w:r>
      <w:r w:rsidR="00137DFD">
        <w:rPr>
          <w:rFonts w:eastAsia="Times New Roman"/>
        </w:rPr>
        <w:t>).</w:t>
      </w:r>
      <w:r w:rsidR="00225235">
        <w:rPr>
          <w:rFonts w:eastAsia="Times New Roman"/>
        </w:rPr>
        <w:t xml:space="preserve"> Fu</w:t>
      </w:r>
      <w:r w:rsidR="00BB543F">
        <w:rPr>
          <w:rFonts w:eastAsia="Times New Roman"/>
        </w:rPr>
        <w:t>r</w:t>
      </w:r>
      <w:r w:rsidR="00225235">
        <w:rPr>
          <w:rFonts w:eastAsia="Times New Roman"/>
        </w:rPr>
        <w:t>thermore, the GSHS measure on nutrition was insufficient as it was only based on fruit and vegetable intake.</w:t>
      </w:r>
      <w:r w:rsidR="00137DFD">
        <w:rPr>
          <w:rFonts w:eastAsia="Times New Roman"/>
        </w:rPr>
        <w:t xml:space="preserve"> In addition, </w:t>
      </w:r>
      <w:r w:rsidR="00C57508">
        <w:rPr>
          <w:rFonts w:eastAsia="Times New Roman"/>
        </w:rPr>
        <w:t xml:space="preserve">the GSHS data only includes adolescents in schools, thus information from adolescents who </w:t>
      </w:r>
      <w:r w:rsidR="001E3AC9">
        <w:rPr>
          <w:rFonts w:eastAsia="Times New Roman"/>
        </w:rPr>
        <w:t xml:space="preserve">were </w:t>
      </w:r>
      <w:r w:rsidR="00C57508">
        <w:rPr>
          <w:rFonts w:eastAsia="Times New Roman"/>
        </w:rPr>
        <w:t xml:space="preserve">unable to attend school or </w:t>
      </w:r>
      <w:r w:rsidR="001E3AC9">
        <w:rPr>
          <w:rFonts w:eastAsia="Times New Roman"/>
        </w:rPr>
        <w:t>who had</w:t>
      </w:r>
      <w:r w:rsidR="00C57508">
        <w:rPr>
          <w:rFonts w:eastAsia="Times New Roman"/>
        </w:rPr>
        <w:t xml:space="preserve"> dropped out were not included. This could be a direction for future research, as socio-economic factors may affect these individuals differently.</w:t>
      </w:r>
      <w:r w:rsidR="003E27E7">
        <w:rPr>
          <w:rFonts w:eastAsia="Times New Roman"/>
        </w:rPr>
        <w:t xml:space="preserve"> Measuring time spent </w:t>
      </w:r>
      <w:r w:rsidR="0075158B">
        <w:rPr>
          <w:rFonts w:eastAsia="Times New Roman"/>
        </w:rPr>
        <w:t xml:space="preserve">being sedentary while </w:t>
      </w:r>
      <w:r w:rsidR="003E27E7">
        <w:rPr>
          <w:rFonts w:eastAsia="Times New Roman"/>
        </w:rPr>
        <w:t>at school and completing homework may also be a direction of future research, as it may affect obesity and health outcomes differently than leisure-time</w:t>
      </w:r>
      <w:r w:rsidR="009D1B2E">
        <w:rPr>
          <w:rFonts w:eastAsia="Times New Roman"/>
        </w:rPr>
        <w:t xml:space="preserve"> SB</w:t>
      </w:r>
      <w:r w:rsidR="003E27E7">
        <w:rPr>
          <w:rFonts w:eastAsia="Times New Roman"/>
        </w:rPr>
        <w:t>.</w:t>
      </w:r>
      <w:r w:rsidR="00C57508">
        <w:rPr>
          <w:rFonts w:eastAsia="Times New Roman"/>
        </w:rPr>
        <w:t xml:space="preserve"> </w:t>
      </w:r>
      <w:r w:rsidR="00BF2456">
        <w:rPr>
          <w:rFonts w:eastAsia="Times New Roman"/>
        </w:rPr>
        <w:t xml:space="preserve">A related limitation is the use of an SB measure that is not validated. However, asking about sedentary time in a similar way is routinely done and there are numerous published papers that use this SB measure. </w:t>
      </w:r>
      <w:r w:rsidR="00BB543F">
        <w:rPr>
          <w:rFonts w:eastAsia="Times New Roman"/>
        </w:rPr>
        <w:t xml:space="preserve">Finally, there was a lack of data regarding depression, which has been linked to both obesity and SB, which </w:t>
      </w:r>
      <w:r w:rsidR="009D1B2E">
        <w:rPr>
          <w:rFonts w:eastAsia="Times New Roman"/>
        </w:rPr>
        <w:t xml:space="preserve">warrants further investigation </w:t>
      </w:r>
      <w:r w:rsidR="00971C13">
        <w:rPr>
          <w:rFonts w:eastAsia="Times New Roman"/>
        </w:rPr>
        <w:t>(</w:t>
      </w:r>
      <w:r w:rsidR="00AB3D8E">
        <w:rPr>
          <w:rFonts w:eastAsia="Times New Roman"/>
        </w:rPr>
        <w:t>14</w:t>
      </w:r>
      <w:r w:rsidR="00D93446">
        <w:rPr>
          <w:rFonts w:eastAsia="Times New Roman"/>
        </w:rPr>
        <w:t>)</w:t>
      </w:r>
      <w:r w:rsidR="00AB3D8E">
        <w:rPr>
          <w:rFonts w:eastAsia="Times New Roman"/>
        </w:rPr>
        <w:t>.</w:t>
      </w:r>
      <w:r w:rsidR="00BB543F">
        <w:rPr>
          <w:rFonts w:eastAsia="Times New Roman"/>
        </w:rPr>
        <w:t xml:space="preserve"> </w:t>
      </w:r>
    </w:p>
    <w:p w14:paraId="39D9DF45" w14:textId="77777777" w:rsidR="00524FCB" w:rsidRDefault="00524FCB" w:rsidP="00524FCB">
      <w:pPr>
        <w:spacing w:line="480" w:lineRule="auto"/>
        <w:rPr>
          <w:rFonts w:eastAsia="Times New Roman"/>
        </w:rPr>
      </w:pPr>
    </w:p>
    <w:p w14:paraId="26BF2EF8" w14:textId="3AD28AF4" w:rsidR="0052685D" w:rsidRDefault="00524FCB" w:rsidP="00BF4B1D">
      <w:pPr>
        <w:spacing w:line="480" w:lineRule="auto"/>
        <w:rPr>
          <w:rFonts w:eastAsia="Times New Roman"/>
        </w:rPr>
      </w:pPr>
      <w:r>
        <w:rPr>
          <w:rFonts w:eastAsia="Times New Roman"/>
        </w:rPr>
        <w:t xml:space="preserve">Conclusion </w:t>
      </w:r>
    </w:p>
    <w:p w14:paraId="2DD88D3C" w14:textId="5C7746FC" w:rsidR="00B26FC4" w:rsidRDefault="0052685D" w:rsidP="0052685D">
      <w:pPr>
        <w:spacing w:line="480" w:lineRule="auto"/>
        <w:ind w:firstLine="720"/>
        <w:rPr>
          <w:rFonts w:eastAsia="Times New Roman"/>
        </w:rPr>
      </w:pPr>
      <w:r>
        <w:rPr>
          <w:rFonts w:eastAsia="Times New Roman"/>
        </w:rPr>
        <w:t>The present study found that among adolescents in LMICs, rates of obesity and SB</w:t>
      </w:r>
      <w:r w:rsidR="006D44DF">
        <w:rPr>
          <w:rFonts w:eastAsia="Times New Roman"/>
        </w:rPr>
        <w:t xml:space="preserve"> were highest among high</w:t>
      </w:r>
      <w:r w:rsidR="00524FCB">
        <w:rPr>
          <w:rFonts w:eastAsia="Times New Roman"/>
        </w:rPr>
        <w:t>er</w:t>
      </w:r>
      <w:r w:rsidR="006D44DF">
        <w:rPr>
          <w:rFonts w:eastAsia="Times New Roman"/>
        </w:rPr>
        <w:t xml:space="preserve"> income countries, while the relationship between obesity and SB </w:t>
      </w:r>
      <w:r w:rsidR="006D44DF">
        <w:rPr>
          <w:rFonts w:eastAsia="Times New Roman"/>
        </w:rPr>
        <w:lastRenderedPageBreak/>
        <w:t>was strongest among the lowest</w:t>
      </w:r>
      <w:r w:rsidR="007A3463">
        <w:rPr>
          <w:rFonts w:eastAsia="Times New Roman"/>
        </w:rPr>
        <w:t xml:space="preserve"> </w:t>
      </w:r>
      <w:r w:rsidR="006D44DF">
        <w:rPr>
          <w:rFonts w:eastAsia="Times New Roman"/>
        </w:rPr>
        <w:t xml:space="preserve">income countries. These results suggest that different strategies may be needed in </w:t>
      </w:r>
      <w:r w:rsidR="007A3463">
        <w:rPr>
          <w:rFonts w:eastAsia="Times New Roman"/>
        </w:rPr>
        <w:t xml:space="preserve">countries of different income levels </w:t>
      </w:r>
      <w:r w:rsidR="006D44DF">
        <w:rPr>
          <w:rFonts w:eastAsia="Times New Roman"/>
        </w:rPr>
        <w:t>to reduce SB and obesity among adolescents. Specifically, as the relationship is strongest in low-income countries, those which may be the least prepared to deal with the effects of obesity such as hypertension and diabetes, it may be particularly important to find ways in which to target SB</w:t>
      </w:r>
      <w:r w:rsidR="000A1CF7">
        <w:rPr>
          <w:rFonts w:eastAsia="Times New Roman"/>
        </w:rPr>
        <w:t xml:space="preserve"> (</w:t>
      </w:r>
      <w:r w:rsidR="00AB6983">
        <w:rPr>
          <w:rFonts w:eastAsia="Times New Roman"/>
        </w:rPr>
        <w:t>3</w:t>
      </w:r>
      <w:r w:rsidR="00532633">
        <w:rPr>
          <w:rFonts w:eastAsia="Times New Roman"/>
        </w:rPr>
        <w:t>4</w:t>
      </w:r>
      <w:r w:rsidR="000A1CF7">
        <w:rPr>
          <w:rFonts w:eastAsia="Times New Roman"/>
        </w:rPr>
        <w:t>)</w:t>
      </w:r>
      <w:r w:rsidR="006D44DF">
        <w:rPr>
          <w:rFonts w:eastAsia="Times New Roman"/>
        </w:rPr>
        <w:t xml:space="preserve">. Future research is needed to </w:t>
      </w:r>
      <w:r w:rsidR="00AC6AF6">
        <w:rPr>
          <w:rFonts w:eastAsia="Times New Roman"/>
        </w:rPr>
        <w:t>confirm the causal and longitudinal aspects of this relationship.</w:t>
      </w:r>
    </w:p>
    <w:p w14:paraId="349261DD" w14:textId="77777777" w:rsidR="001A088D" w:rsidRDefault="001A088D" w:rsidP="0052685D">
      <w:pPr>
        <w:spacing w:line="480" w:lineRule="auto"/>
        <w:ind w:firstLine="720"/>
        <w:rPr>
          <w:rFonts w:eastAsia="Times New Roman"/>
        </w:rPr>
      </w:pPr>
    </w:p>
    <w:p w14:paraId="42411702" w14:textId="77777777" w:rsidR="00AB6983" w:rsidRPr="006806AB" w:rsidRDefault="00AB6983" w:rsidP="00CB1B40">
      <w:pPr>
        <w:spacing w:line="480" w:lineRule="auto"/>
        <w:rPr>
          <w:rFonts w:eastAsia="Times New Roman"/>
          <w:b/>
          <w:color w:val="333333"/>
        </w:rPr>
      </w:pPr>
      <w:r w:rsidRPr="00BA0D07">
        <w:rPr>
          <w:rFonts w:eastAsia="Times New Roman"/>
          <w:b/>
          <w:color w:val="333333"/>
        </w:rPr>
        <w:t>References</w:t>
      </w:r>
    </w:p>
    <w:p w14:paraId="1B7BADB1" w14:textId="77777777" w:rsidR="00AB6983" w:rsidRPr="006806AB" w:rsidRDefault="00AB6983" w:rsidP="00CB1B40">
      <w:pPr>
        <w:pStyle w:val="EndNoteBibliography"/>
        <w:spacing w:after="200" w:line="480" w:lineRule="auto"/>
        <w:rPr>
          <w:noProof/>
        </w:rPr>
      </w:pPr>
      <w:r w:rsidRPr="009D488A">
        <w:fldChar w:fldCharType="begin"/>
      </w:r>
      <w:r w:rsidRPr="009D488A">
        <w:instrText xml:space="preserve"> ADDIN EN.REFLIST </w:instrText>
      </w:r>
      <w:r w:rsidRPr="009D488A">
        <w:fldChar w:fldCharType="separate"/>
      </w:r>
    </w:p>
    <w:p w14:paraId="72C31971" w14:textId="77777777" w:rsidR="00AB6983" w:rsidRDefault="00AB6983" w:rsidP="00CB1B40">
      <w:pPr>
        <w:spacing w:after="200" w:line="480" w:lineRule="auto"/>
        <w:rPr>
          <w:rFonts w:eastAsia="Times New Roman"/>
        </w:rPr>
      </w:pPr>
      <w:r>
        <w:rPr>
          <w:rFonts w:eastAsia="Times New Roman"/>
        </w:rPr>
        <w:t xml:space="preserve">1. </w:t>
      </w:r>
      <w:r w:rsidRPr="009D488A">
        <w:rPr>
          <w:rFonts w:eastAsia="Times New Roman"/>
        </w:rPr>
        <w:t>de Onis, M., Blossner, M., &amp; Borghi, E. (2010). Global prevalence and trends of overweight and obesity among preschool children. The American Journal of Clinical Nutrition, 92, 1257–1264.</w:t>
      </w:r>
    </w:p>
    <w:p w14:paraId="41B40274" w14:textId="77777777" w:rsidR="00AB6983" w:rsidRPr="006806AB" w:rsidRDefault="00AB6983" w:rsidP="00CB1B40">
      <w:pPr>
        <w:spacing w:after="200" w:line="480" w:lineRule="auto"/>
        <w:rPr>
          <w:rFonts w:eastAsia="Times New Roman"/>
        </w:rPr>
      </w:pPr>
      <w:r w:rsidRPr="009D488A">
        <w:fldChar w:fldCharType="end"/>
      </w:r>
    </w:p>
    <w:p w14:paraId="31CF0677" w14:textId="77777777" w:rsidR="00AB6983" w:rsidRPr="006806AB" w:rsidRDefault="00AB6983" w:rsidP="00CB1B40">
      <w:pPr>
        <w:spacing w:after="200" w:line="480" w:lineRule="auto"/>
        <w:rPr>
          <w:rFonts w:eastAsia="Times New Roman"/>
          <w:color w:val="222222"/>
          <w:shd w:val="clear" w:color="auto" w:fill="FFFFFF"/>
        </w:rPr>
      </w:pPr>
      <w:r>
        <w:rPr>
          <w:rFonts w:eastAsia="Times New Roman"/>
          <w:color w:val="222222"/>
          <w:shd w:val="clear" w:color="auto" w:fill="FFFFFF"/>
        </w:rPr>
        <w:t xml:space="preserve">2. </w:t>
      </w:r>
      <w:r w:rsidRPr="009D488A">
        <w:rPr>
          <w:rFonts w:eastAsia="Times New Roman"/>
          <w:color w:val="222222"/>
          <w:shd w:val="clear" w:color="auto" w:fill="FFFFFF"/>
        </w:rPr>
        <w:t>Ng, M., Fleming, T., Robinson, M., Thomson, B., Graetz, N., Margono, C., ... &amp; Abraham, J. P. (2014). Global, regional, and national prevalence of overweight and obesity in children and adults during 1980–2013: a systematic analysis for the Global Burden of Disease Study 2013. </w:t>
      </w:r>
      <w:r w:rsidRPr="009D488A">
        <w:rPr>
          <w:rFonts w:eastAsia="Times New Roman"/>
          <w:i/>
          <w:iCs/>
          <w:color w:val="222222"/>
          <w:shd w:val="clear" w:color="auto" w:fill="FFFFFF"/>
        </w:rPr>
        <w:t>The lancet</w:t>
      </w:r>
      <w:r w:rsidRPr="009D488A">
        <w:rPr>
          <w:rFonts w:eastAsia="Times New Roman"/>
          <w:color w:val="222222"/>
          <w:shd w:val="clear" w:color="auto" w:fill="FFFFFF"/>
        </w:rPr>
        <w:t>, </w:t>
      </w:r>
      <w:r w:rsidRPr="009D488A">
        <w:rPr>
          <w:rFonts w:eastAsia="Times New Roman"/>
          <w:i/>
          <w:iCs/>
          <w:color w:val="222222"/>
          <w:shd w:val="clear" w:color="auto" w:fill="FFFFFF"/>
        </w:rPr>
        <w:t>384</w:t>
      </w:r>
      <w:r w:rsidRPr="009D488A">
        <w:rPr>
          <w:rFonts w:eastAsia="Times New Roman"/>
          <w:color w:val="222222"/>
          <w:shd w:val="clear" w:color="auto" w:fill="FFFFFF"/>
        </w:rPr>
        <w:t>(9945), 766-781.</w:t>
      </w:r>
    </w:p>
    <w:p w14:paraId="6E37D367" w14:textId="77777777" w:rsidR="00AB6983" w:rsidRPr="00CB39E5" w:rsidRDefault="00AB6983" w:rsidP="00CB1B40">
      <w:pPr>
        <w:spacing w:after="200" w:line="480" w:lineRule="auto"/>
        <w:rPr>
          <w:rFonts w:eastAsia="Times New Roman"/>
        </w:rPr>
      </w:pPr>
      <w:r>
        <w:rPr>
          <w:rFonts w:eastAsia="Times New Roman"/>
          <w:color w:val="000000"/>
          <w:shd w:val="clear" w:color="auto" w:fill="FFFFFF"/>
        </w:rPr>
        <w:t xml:space="preserve">3. </w:t>
      </w:r>
      <w:r w:rsidRPr="004F458D">
        <w:rPr>
          <w:rFonts w:eastAsia="Times New Roman"/>
          <w:color w:val="000000"/>
          <w:shd w:val="clear" w:color="auto" w:fill="FFFFFF"/>
        </w:rPr>
        <w:t>Pulgaron ER. Childhood obesity: a review of increased risk for physical and psychological comorbidities. </w:t>
      </w:r>
      <w:r w:rsidRPr="009D488A">
        <w:rPr>
          <w:rFonts w:eastAsia="Times New Roman"/>
          <w:color w:val="000000"/>
          <w:shd w:val="clear" w:color="auto" w:fill="FFFFFF"/>
        </w:rPr>
        <w:t>Clin Ther. </w:t>
      </w:r>
      <w:r w:rsidRPr="004F458D">
        <w:rPr>
          <w:rFonts w:eastAsia="Times New Roman"/>
          <w:color w:val="000000"/>
          <w:shd w:val="clear" w:color="auto" w:fill="FFFFFF"/>
        </w:rPr>
        <w:t>2013;</w:t>
      </w:r>
      <w:r w:rsidRPr="009D488A">
        <w:rPr>
          <w:rFonts w:eastAsia="Times New Roman"/>
          <w:color w:val="000000"/>
          <w:shd w:val="clear" w:color="auto" w:fill="FFFFFF"/>
        </w:rPr>
        <w:t>35</w:t>
      </w:r>
      <w:r w:rsidRPr="004F458D">
        <w:rPr>
          <w:rFonts w:eastAsia="Times New Roman"/>
          <w:color w:val="000000"/>
          <w:shd w:val="clear" w:color="auto" w:fill="FFFFFF"/>
        </w:rPr>
        <w:t>(1):A18–A32.</w:t>
      </w:r>
    </w:p>
    <w:p w14:paraId="6EB5FDE4" w14:textId="77777777" w:rsidR="00AB6983" w:rsidRDefault="00AB6983" w:rsidP="00CB1B40">
      <w:pPr>
        <w:spacing w:after="200" w:line="480" w:lineRule="auto"/>
        <w:rPr>
          <w:rFonts w:eastAsia="Times New Roman"/>
          <w:color w:val="000000"/>
          <w:shd w:val="clear" w:color="auto" w:fill="FFFFFF"/>
        </w:rPr>
      </w:pPr>
      <w:r>
        <w:rPr>
          <w:rFonts w:eastAsia="Times New Roman"/>
          <w:color w:val="000000"/>
          <w:shd w:val="clear" w:color="auto" w:fill="FFFFFF"/>
        </w:rPr>
        <w:t xml:space="preserve">4. </w:t>
      </w:r>
      <w:r w:rsidRPr="004F458D">
        <w:rPr>
          <w:rFonts w:eastAsia="Times New Roman"/>
          <w:color w:val="000000"/>
          <w:shd w:val="clear" w:color="auto" w:fill="FFFFFF"/>
        </w:rPr>
        <w:t>Sanders RH, Han A, Baker JS, Cobley S. Childhood obesity and its physical and psychological co-morbidities: a systematic review of Australian children and adolescents. </w:t>
      </w:r>
      <w:r w:rsidRPr="009D488A">
        <w:rPr>
          <w:rFonts w:eastAsia="Times New Roman"/>
          <w:color w:val="000000"/>
          <w:shd w:val="clear" w:color="auto" w:fill="FFFFFF"/>
        </w:rPr>
        <w:t>Eur J Pediatr. </w:t>
      </w:r>
    </w:p>
    <w:p w14:paraId="56DA0E2F" w14:textId="77777777" w:rsidR="00AB6983" w:rsidRPr="000A1943" w:rsidRDefault="00AB6983" w:rsidP="00CB1B40">
      <w:pPr>
        <w:spacing w:after="200" w:line="480" w:lineRule="auto"/>
        <w:rPr>
          <w:rFonts w:eastAsia="Times New Roman"/>
        </w:rPr>
      </w:pPr>
      <w:r>
        <w:rPr>
          <w:rFonts w:eastAsia="Times New Roman"/>
          <w:color w:val="303030"/>
          <w:shd w:val="clear" w:color="auto" w:fill="FFFFFF"/>
        </w:rPr>
        <w:lastRenderedPageBreak/>
        <w:t xml:space="preserve">5. </w:t>
      </w:r>
      <w:r w:rsidRPr="00BE508F">
        <w:rPr>
          <w:rFonts w:eastAsia="Times New Roman"/>
          <w:color w:val="303030"/>
          <w:shd w:val="clear" w:color="auto" w:fill="FFFFFF"/>
        </w:rPr>
        <w:t>Rankin, J., Matthews, L., Cobley, S., Han, A., Sanders, R., Wiltshire, H. D., &amp; Baker, J. S. (2016). Psychological consequences of childhood obesity: psychiatric comorbidity and prevention. </w:t>
      </w:r>
      <w:r w:rsidRPr="00BE508F">
        <w:rPr>
          <w:rFonts w:eastAsia="Times New Roman"/>
          <w:i/>
          <w:iCs/>
          <w:color w:val="303030"/>
          <w:shd w:val="clear" w:color="auto" w:fill="FFFFFF"/>
        </w:rPr>
        <w:t>Adolescent Health, Medicine and Therapeutics</w:t>
      </w:r>
      <w:r w:rsidRPr="00BE508F">
        <w:rPr>
          <w:rFonts w:eastAsia="Times New Roman"/>
          <w:color w:val="303030"/>
          <w:shd w:val="clear" w:color="auto" w:fill="FFFFFF"/>
        </w:rPr>
        <w:t>, </w:t>
      </w:r>
      <w:r w:rsidRPr="00BE508F">
        <w:rPr>
          <w:rFonts w:eastAsia="Times New Roman"/>
          <w:i/>
          <w:iCs/>
          <w:color w:val="303030"/>
          <w:shd w:val="clear" w:color="auto" w:fill="FFFFFF"/>
        </w:rPr>
        <w:t>7</w:t>
      </w:r>
      <w:r w:rsidRPr="00BE508F">
        <w:rPr>
          <w:rFonts w:eastAsia="Times New Roman"/>
          <w:color w:val="303030"/>
          <w:shd w:val="clear" w:color="auto" w:fill="FFFFFF"/>
        </w:rPr>
        <w:t xml:space="preserve">, 125–146. </w:t>
      </w:r>
    </w:p>
    <w:p w14:paraId="065F12BF" w14:textId="77777777" w:rsidR="00AB6983" w:rsidRPr="006806AB" w:rsidRDefault="00475860" w:rsidP="00CB1B40">
      <w:pPr>
        <w:spacing w:after="200" w:line="480" w:lineRule="auto"/>
        <w:ind w:left="720"/>
        <w:rPr>
          <w:rFonts w:eastAsia="Times New Roman"/>
          <w:color w:val="0000FF" w:themeColor="hyperlink"/>
          <w:u w:val="single"/>
          <w:shd w:val="clear" w:color="auto" w:fill="FFFFFF"/>
        </w:rPr>
      </w:pPr>
      <w:hyperlink r:id="rId6" w:history="1">
        <w:r w:rsidR="00AB6983" w:rsidRPr="009D488A">
          <w:rPr>
            <w:rStyle w:val="Hyperlink"/>
            <w:rFonts w:eastAsia="Times New Roman"/>
            <w:shd w:val="clear" w:color="auto" w:fill="FFFFFF"/>
          </w:rPr>
          <w:t>http://doi.org/10.2147/AHMT.S101631</w:t>
        </w:r>
      </w:hyperlink>
    </w:p>
    <w:p w14:paraId="085ECB8F" w14:textId="77777777" w:rsidR="00AB6983" w:rsidRDefault="00AB6983" w:rsidP="00CB1B40">
      <w:pPr>
        <w:spacing w:after="200" w:line="480" w:lineRule="auto"/>
        <w:rPr>
          <w:rFonts w:eastAsia="Times New Roman"/>
        </w:rPr>
      </w:pPr>
      <w:r>
        <w:rPr>
          <w:rFonts w:eastAsia="Times New Roman"/>
          <w:lang w:val="it-IT"/>
        </w:rPr>
        <w:t xml:space="preserve">6. </w:t>
      </w:r>
      <w:r w:rsidRPr="00D05E53">
        <w:rPr>
          <w:rFonts w:eastAsia="Times New Roman"/>
          <w:lang w:val="it-IT"/>
        </w:rPr>
        <w:t xml:space="preserve">Solmi, M., Köhler, C. A., Stubbs, B., Koyanagi, A., Bortolato, B., Monaco, F., ... </w:t>
      </w:r>
      <w:r w:rsidRPr="00E90088">
        <w:rPr>
          <w:rFonts w:eastAsia="Times New Roman"/>
        </w:rPr>
        <w:t>&amp; Firth, J. (2018). Environmental risk factors and non</w:t>
      </w:r>
      <w:r w:rsidRPr="00E90088">
        <w:rPr>
          <w:rFonts w:ascii="Calibri" w:eastAsia="Calibri" w:hAnsi="Calibri" w:cs="Calibri"/>
        </w:rPr>
        <w:t>‐</w:t>
      </w:r>
      <w:r w:rsidRPr="00E90088">
        <w:rPr>
          <w:rFonts w:eastAsia="Times New Roman"/>
        </w:rPr>
        <w:t>pharmacological, non</w:t>
      </w:r>
      <w:r w:rsidRPr="00E90088">
        <w:rPr>
          <w:rFonts w:ascii="Calibri" w:eastAsia="Calibri" w:hAnsi="Calibri" w:cs="Calibri"/>
        </w:rPr>
        <w:t>‐</w:t>
      </w:r>
      <w:r w:rsidRPr="00E90088">
        <w:rPr>
          <w:rFonts w:eastAsia="Times New Roman"/>
        </w:rPr>
        <w:t>surgical interventions for obesity: An umbrella review of meta</w:t>
      </w:r>
      <w:r w:rsidRPr="00E90088">
        <w:rPr>
          <w:rFonts w:ascii="Calibri" w:eastAsia="Calibri" w:hAnsi="Calibri" w:cs="Calibri"/>
        </w:rPr>
        <w:t>‐</w:t>
      </w:r>
      <w:r w:rsidRPr="00E90088">
        <w:rPr>
          <w:rFonts w:eastAsia="Times New Roman"/>
        </w:rPr>
        <w:t>analyses of cohort studies and randomized controlled trials. </w:t>
      </w:r>
      <w:r w:rsidRPr="00E90088">
        <w:rPr>
          <w:rFonts w:eastAsia="Times New Roman"/>
          <w:i/>
          <w:iCs/>
        </w:rPr>
        <w:t>European Journal of Clinical Investigation</w:t>
      </w:r>
      <w:r w:rsidRPr="00E90088">
        <w:rPr>
          <w:rFonts w:eastAsia="Times New Roman"/>
        </w:rPr>
        <w:t>, e12982.</w:t>
      </w:r>
    </w:p>
    <w:p w14:paraId="37B3D9D5" w14:textId="77777777" w:rsidR="00AB6983" w:rsidRPr="006806AB" w:rsidRDefault="00AB6983" w:rsidP="00CB1B40">
      <w:pPr>
        <w:spacing w:after="200" w:line="480" w:lineRule="auto"/>
      </w:pPr>
      <w:r>
        <w:t>7. National Institute for Health and Care Excellence. (2013).</w:t>
      </w:r>
      <w:r w:rsidRPr="007912AF">
        <w:rPr>
          <w:i/>
        </w:rPr>
        <w:t xml:space="preserve"> Weight management: lifestyle services for overweight or obese children and young people</w:t>
      </w:r>
      <w:r>
        <w:rPr>
          <w:i/>
        </w:rPr>
        <w:t xml:space="preserve">. </w:t>
      </w:r>
      <w:r>
        <w:t xml:space="preserve">Retrieved from </w:t>
      </w:r>
      <w:hyperlink r:id="rId7" w:history="1">
        <w:r w:rsidRPr="00B80892">
          <w:rPr>
            <w:rStyle w:val="Hyperlink"/>
          </w:rPr>
          <w:t>https://www.nice.org.uk/guidance/ph47</w:t>
        </w:r>
      </w:hyperlink>
      <w:r>
        <w:t xml:space="preserve">. </w:t>
      </w:r>
    </w:p>
    <w:p w14:paraId="09B892A7" w14:textId="77777777" w:rsidR="00AB6983" w:rsidRDefault="00AB6983" w:rsidP="00CB1B40">
      <w:pPr>
        <w:spacing w:after="200" w:line="480" w:lineRule="auto"/>
        <w:rPr>
          <w:rFonts w:eastAsia="Times New Roman"/>
        </w:rPr>
      </w:pPr>
      <w:r>
        <w:rPr>
          <w:rFonts w:eastAsia="Times New Roman"/>
        </w:rPr>
        <w:t xml:space="preserve">8. </w:t>
      </w:r>
      <w:r w:rsidRPr="00E90088">
        <w:rPr>
          <w:rFonts w:eastAsia="Times New Roman"/>
        </w:rPr>
        <w:t>Styne, D. M., Arslanian, S. A., Connor, E. L., Farooqi, I. S., Murad, M. H., Silverstein, J. H., &amp; Yanovski, J. A. (2017). Pediatric obesity—assessment, treatment, and prevention: an Endocrine Society Clinical Practice guideline. </w:t>
      </w:r>
      <w:r w:rsidRPr="00E90088">
        <w:rPr>
          <w:rFonts w:eastAsia="Times New Roman"/>
          <w:i/>
          <w:iCs/>
        </w:rPr>
        <w:t>The Journal of Clinical Endocrinology &amp; Metabolism</w:t>
      </w:r>
      <w:r w:rsidRPr="00E90088">
        <w:rPr>
          <w:rFonts w:eastAsia="Times New Roman"/>
        </w:rPr>
        <w:t>, </w:t>
      </w:r>
      <w:r w:rsidRPr="00E90088">
        <w:rPr>
          <w:rFonts w:eastAsia="Times New Roman"/>
          <w:i/>
          <w:iCs/>
        </w:rPr>
        <w:t>102</w:t>
      </w:r>
      <w:r w:rsidRPr="00E90088">
        <w:rPr>
          <w:rFonts w:eastAsia="Times New Roman"/>
        </w:rPr>
        <w:t>(3), 709-757.</w:t>
      </w:r>
    </w:p>
    <w:p w14:paraId="08DED515" w14:textId="77777777" w:rsidR="00AB6983" w:rsidRPr="006806AB" w:rsidRDefault="00AB6983" w:rsidP="00CB1B40">
      <w:pPr>
        <w:spacing w:after="200" w:line="480" w:lineRule="auto"/>
        <w:rPr>
          <w:rFonts w:eastAsia="Times New Roman"/>
          <w:color w:val="222222"/>
          <w:shd w:val="clear" w:color="auto" w:fill="FFFFFF"/>
        </w:rPr>
      </w:pPr>
      <w:r>
        <w:rPr>
          <w:rFonts w:eastAsia="Times New Roman"/>
          <w:color w:val="222222"/>
          <w:shd w:val="clear" w:color="auto" w:fill="FFFFFF"/>
        </w:rPr>
        <w:t xml:space="preserve">9. </w:t>
      </w:r>
      <w:r w:rsidRPr="00950150">
        <w:rPr>
          <w:rFonts w:eastAsia="Times New Roman"/>
          <w:color w:val="222222"/>
          <w:shd w:val="clear" w:color="auto" w:fill="FFFFFF"/>
        </w:rPr>
        <w:t>Prentice-Dunn, H., &amp; Prentice-Dunn, S. (2012). Physical activity, sedentary behavior, and childhood obesity: a review of cross-sectional studies. </w:t>
      </w:r>
      <w:r w:rsidRPr="00950150">
        <w:rPr>
          <w:rFonts w:eastAsia="Times New Roman"/>
          <w:i/>
          <w:iCs/>
          <w:color w:val="222222"/>
          <w:shd w:val="clear" w:color="auto" w:fill="FFFFFF"/>
        </w:rPr>
        <w:t>Psychology, health &amp; medicine</w:t>
      </w:r>
      <w:r w:rsidRPr="00950150">
        <w:rPr>
          <w:rFonts w:eastAsia="Times New Roman"/>
          <w:color w:val="222222"/>
          <w:shd w:val="clear" w:color="auto" w:fill="FFFFFF"/>
        </w:rPr>
        <w:t>, </w:t>
      </w:r>
      <w:r w:rsidRPr="00950150">
        <w:rPr>
          <w:rFonts w:eastAsia="Times New Roman"/>
          <w:i/>
          <w:iCs/>
          <w:color w:val="222222"/>
          <w:shd w:val="clear" w:color="auto" w:fill="FFFFFF"/>
        </w:rPr>
        <w:t>17</w:t>
      </w:r>
      <w:r w:rsidRPr="00950150">
        <w:rPr>
          <w:rFonts w:eastAsia="Times New Roman"/>
          <w:color w:val="222222"/>
          <w:shd w:val="clear" w:color="auto" w:fill="FFFFFF"/>
        </w:rPr>
        <w:t>(3), 255-273.</w:t>
      </w:r>
    </w:p>
    <w:p w14:paraId="67A133E2" w14:textId="77777777" w:rsidR="00AB6983" w:rsidRDefault="00AB6983" w:rsidP="00CB1B40">
      <w:pPr>
        <w:spacing w:after="200" w:line="480" w:lineRule="auto"/>
      </w:pPr>
      <w:r>
        <w:rPr>
          <w:rFonts w:eastAsia="Times New Roman"/>
          <w:noProof/>
        </w:rPr>
        <w:t xml:space="preserve">10. </w:t>
      </w:r>
      <w:r w:rsidRPr="009D488A">
        <w:rPr>
          <w:rFonts w:eastAsia="Times New Roman"/>
          <w:noProof/>
        </w:rPr>
        <w:t xml:space="preserve">Sedentary Behaviour Research Network, E. Stamatakis, J. Henson, T. Yates, S. Biddle, C. Edwardson, K. Khunti, E. Wilmot, L. Gray, T. Gorely, M. Nimmo, M. Davies, M. Tremblay, J. Chau, A. Grunseit, T. Chey, E. Stamatakis, W. Brown, C. Matthews, A. Bauman, H. van der Ploeg, A. Chomistek, J. Manson, M. Stefanick, B. Lu, M. Sands-Lincoln, S. Going, L. Garcia, M. Allison, S. Sims, M. LaMonte, K. Johnson, C. Eaton, H. van der Ploeg, T. Chey, </w:t>
      </w:r>
      <w:r w:rsidRPr="009D488A">
        <w:rPr>
          <w:rFonts w:eastAsia="Times New Roman"/>
          <w:noProof/>
        </w:rPr>
        <w:lastRenderedPageBreak/>
        <w:t>R. Korda, E. Banks, A. Bauman, N. Brodersen, A. Steptoe, S. Williamson, J. Wardle, W. Greene, E. Stamatakis, M. Hamer, K. Tilling, D. Lawlor, S. Biddle, N. Cavill, T. Gorely, M. Griffiths, R. Jago, J. Oppert, M. Raats, J. Salmon, G. Stratton, G. Vicente-Rodríguez, B. Butland, L. Prosser,</w:t>
      </w:r>
    </w:p>
    <w:p w14:paraId="2E505A37" w14:textId="77777777" w:rsidR="00AB6983" w:rsidRPr="006806AB" w:rsidRDefault="00AB6983" w:rsidP="00CB1B40">
      <w:pPr>
        <w:spacing w:after="200" w:line="480" w:lineRule="auto"/>
        <w:rPr>
          <w:rFonts w:eastAsia="Times New Roman"/>
          <w:color w:val="222222"/>
          <w:shd w:val="clear" w:color="auto" w:fill="FFFFFF"/>
        </w:rPr>
      </w:pPr>
      <w:r>
        <w:rPr>
          <w:rFonts w:eastAsia="Times New Roman"/>
          <w:color w:val="222222"/>
          <w:shd w:val="clear" w:color="auto" w:fill="FFFFFF"/>
        </w:rPr>
        <w:t xml:space="preserve">11. </w:t>
      </w:r>
      <w:r w:rsidRPr="00856D08">
        <w:rPr>
          <w:rFonts w:eastAsia="Times New Roman"/>
          <w:color w:val="222222"/>
          <w:shd w:val="clear" w:color="auto" w:fill="FFFFFF"/>
        </w:rPr>
        <w:t>Popkin BM. 2001. The nutrition transition and obesity in the developing world. J. Nutr. 131(3):871S–3S</w:t>
      </w:r>
    </w:p>
    <w:p w14:paraId="5BA1C626" w14:textId="77777777" w:rsidR="00AB6983" w:rsidRDefault="00AB6983" w:rsidP="00CB1B40">
      <w:pPr>
        <w:spacing w:after="200" w:line="480" w:lineRule="auto"/>
      </w:pPr>
      <w:r>
        <w:t xml:space="preserve">12. </w:t>
      </w:r>
      <w:r w:rsidRPr="002465D6">
        <w:t>Stephens, B. R., Granados, K., Zderic, T. W., Hamilton, M. T., &amp; Braun, B. (2011). Effects of 1 day of inactivity on insulin action in healthy men and women: interaction with energy intake. </w:t>
      </w:r>
      <w:r w:rsidRPr="002465D6">
        <w:rPr>
          <w:i/>
          <w:iCs/>
        </w:rPr>
        <w:t>Metabolism</w:t>
      </w:r>
      <w:r w:rsidRPr="002465D6">
        <w:t>, </w:t>
      </w:r>
      <w:r w:rsidRPr="002465D6">
        <w:rPr>
          <w:i/>
          <w:iCs/>
        </w:rPr>
        <w:t>60</w:t>
      </w:r>
      <w:r w:rsidRPr="002465D6">
        <w:t>(7), 941-949.</w:t>
      </w:r>
    </w:p>
    <w:p w14:paraId="683B754C" w14:textId="77777777" w:rsidR="00AB6983" w:rsidRPr="006806AB" w:rsidRDefault="00AB6983" w:rsidP="00CB1B40">
      <w:pPr>
        <w:spacing w:after="200" w:line="480" w:lineRule="auto"/>
      </w:pPr>
      <w:r w:rsidRPr="00CB39E5">
        <w:t>13. Olsen, R. H., Krogh-Madsen, R., Thomsen, C., Booth, F. W., &amp; Pedersen, B. K. (2008). Metabolic responses to reduced daily steps in healthy nonexercising men. </w:t>
      </w:r>
      <w:r w:rsidRPr="00CB39E5">
        <w:rPr>
          <w:i/>
          <w:iCs/>
        </w:rPr>
        <w:t>J A M A: The Journal of the American Medical Association</w:t>
      </w:r>
      <w:r w:rsidRPr="00CB39E5">
        <w:t>, </w:t>
      </w:r>
      <w:r w:rsidRPr="00CB39E5">
        <w:rPr>
          <w:i/>
          <w:iCs/>
        </w:rPr>
        <w:t>299</w:t>
      </w:r>
      <w:r w:rsidRPr="00CB39E5">
        <w:t>(11), 1261-3</w:t>
      </w:r>
    </w:p>
    <w:p w14:paraId="4C0FC81D" w14:textId="77777777" w:rsidR="00AB6983" w:rsidRDefault="00AB6983" w:rsidP="00CB1B40">
      <w:pPr>
        <w:spacing w:after="200" w:line="480" w:lineRule="auto"/>
        <w:rPr>
          <w:rFonts w:eastAsia="Times New Roman"/>
        </w:rPr>
      </w:pPr>
      <w:r>
        <w:rPr>
          <w:rFonts w:eastAsia="Times New Roman"/>
        </w:rPr>
        <w:t xml:space="preserve">14. </w:t>
      </w:r>
      <w:r w:rsidRPr="007E0890">
        <w:rPr>
          <w:rFonts w:eastAsia="Times New Roman"/>
        </w:rPr>
        <w:t>Vancampfort, D., Stubbs, B., Firth, J., Van Damme, T., &amp; Koyanagi, A. (2018). Sedentary behavior and depressive symptoms among 67,077 adolescents aged 12–15 years from 30 low-and middle-income countries. </w:t>
      </w:r>
      <w:r w:rsidRPr="007E0890">
        <w:rPr>
          <w:rFonts w:eastAsia="Times New Roman"/>
          <w:i/>
          <w:iCs/>
        </w:rPr>
        <w:t>International Journal of Behavioral Nutrition and Physical Activity</w:t>
      </w:r>
      <w:r w:rsidRPr="007E0890">
        <w:rPr>
          <w:rFonts w:eastAsia="Times New Roman"/>
        </w:rPr>
        <w:t>, </w:t>
      </w:r>
      <w:r w:rsidRPr="007E0890">
        <w:rPr>
          <w:rFonts w:eastAsia="Times New Roman"/>
          <w:i/>
          <w:iCs/>
        </w:rPr>
        <w:t>15</w:t>
      </w:r>
      <w:r w:rsidRPr="007E0890">
        <w:rPr>
          <w:rFonts w:eastAsia="Times New Roman"/>
        </w:rPr>
        <w:t>(1), 73.</w:t>
      </w:r>
    </w:p>
    <w:p w14:paraId="147CE2C5" w14:textId="77777777" w:rsidR="00AB6983" w:rsidRPr="009D488A" w:rsidRDefault="00AB6983" w:rsidP="00CB1B40">
      <w:pPr>
        <w:pStyle w:val="EndNoteBibliography"/>
        <w:spacing w:after="200" w:line="480" w:lineRule="auto"/>
        <w:rPr>
          <w:noProof/>
        </w:rPr>
      </w:pPr>
      <w:r>
        <w:rPr>
          <w:noProof/>
        </w:rPr>
        <w:t xml:space="preserve">15. </w:t>
      </w:r>
      <w:r w:rsidRPr="009D488A">
        <w:rPr>
          <w:noProof/>
        </w:rPr>
        <w:t xml:space="preserve">Brener, ND, Collins JL, Kann L, Warren CW &amp; Williams BI (1995). Reliability of the Youth Risk Behavior Survey Questionnaire. </w:t>
      </w:r>
      <w:r w:rsidRPr="009D488A">
        <w:rPr>
          <w:i/>
          <w:noProof/>
        </w:rPr>
        <w:t>Am J Epidemiol</w:t>
      </w:r>
      <w:r w:rsidRPr="009D488A">
        <w:rPr>
          <w:noProof/>
        </w:rPr>
        <w:t xml:space="preserve"> 141, 575-80.</w:t>
      </w:r>
    </w:p>
    <w:p w14:paraId="16145811" w14:textId="77777777" w:rsidR="00AB6983" w:rsidRPr="006806AB" w:rsidRDefault="00AB6983" w:rsidP="00CB1B40">
      <w:pPr>
        <w:pStyle w:val="EndNoteBibliography"/>
        <w:spacing w:after="200" w:line="480" w:lineRule="auto"/>
        <w:rPr>
          <w:rStyle w:val="element-citation"/>
          <w:noProof/>
        </w:rPr>
      </w:pPr>
      <w:r>
        <w:rPr>
          <w:noProof/>
        </w:rPr>
        <w:t xml:space="preserve">16. </w:t>
      </w:r>
      <w:r w:rsidRPr="009D488A">
        <w:rPr>
          <w:noProof/>
        </w:rPr>
        <w:t xml:space="preserve">Caleyachetty, R, Echouffo-Tcheugui JB, Tait CA, Schilsky S, Forrester T &amp; Kengne AP (2015). Prevalence of behavioural risk factors for cardiovascular disease in adolescents in low-income and middle-income countries: an individual participant data meta-analysis. </w:t>
      </w:r>
      <w:r w:rsidRPr="009D488A">
        <w:rPr>
          <w:i/>
          <w:noProof/>
        </w:rPr>
        <w:t>Lancet Diabetes Endocrinol</w:t>
      </w:r>
      <w:r w:rsidRPr="009D488A">
        <w:rPr>
          <w:noProof/>
        </w:rPr>
        <w:t xml:space="preserve"> 3, 535-44.</w:t>
      </w:r>
    </w:p>
    <w:p w14:paraId="25833601" w14:textId="77777777" w:rsidR="00AB6983" w:rsidRPr="006806AB" w:rsidRDefault="00AB6983" w:rsidP="00CB1B40">
      <w:pPr>
        <w:pStyle w:val="EndNoteBibliography"/>
        <w:spacing w:after="200" w:line="480" w:lineRule="auto"/>
        <w:rPr>
          <w:rStyle w:val="element-citation"/>
          <w:noProof/>
        </w:rPr>
      </w:pPr>
      <w:r>
        <w:rPr>
          <w:noProof/>
        </w:rPr>
        <w:lastRenderedPageBreak/>
        <w:t xml:space="preserve">17. </w:t>
      </w:r>
      <w:r w:rsidRPr="009D488A">
        <w:rPr>
          <w:noProof/>
        </w:rPr>
        <w:t xml:space="preserve">Guthold, R, Cowan MJ, Autenrieth CS, Kann L &amp; Riley LM (2010). Physical activity and sedentary behavior among schoolchildren: a 34-country comparison. </w:t>
      </w:r>
      <w:r w:rsidRPr="009D488A">
        <w:rPr>
          <w:i/>
          <w:noProof/>
        </w:rPr>
        <w:t>J Pediatr</w:t>
      </w:r>
      <w:r w:rsidRPr="009D488A">
        <w:rPr>
          <w:noProof/>
        </w:rPr>
        <w:t xml:space="preserve"> 157, 43-49.e1.</w:t>
      </w:r>
    </w:p>
    <w:p w14:paraId="35BB9630" w14:textId="77777777" w:rsidR="00AB6983" w:rsidRPr="006806AB" w:rsidRDefault="00AB6983" w:rsidP="00CB1B40">
      <w:pPr>
        <w:pStyle w:val="EndNoteBibliography"/>
        <w:spacing w:after="200" w:line="480" w:lineRule="auto"/>
        <w:rPr>
          <w:rStyle w:val="element-citation"/>
          <w:noProof/>
        </w:rPr>
      </w:pPr>
      <w:r>
        <w:t xml:space="preserve">18. </w:t>
      </w:r>
      <w:r w:rsidRPr="009D488A">
        <w:rPr>
          <w:noProof/>
        </w:rPr>
        <w:t xml:space="preserve">Balogun, O, Koyanagi A, Stickley A, Gilmour S &amp; Shibuya K (2014). Alcohol consumption and psychological distress in adolescents: a multi-country study. </w:t>
      </w:r>
      <w:r w:rsidRPr="009D488A">
        <w:rPr>
          <w:i/>
          <w:noProof/>
        </w:rPr>
        <w:t>J Adolesc Health</w:t>
      </w:r>
      <w:r w:rsidRPr="009D488A">
        <w:rPr>
          <w:noProof/>
        </w:rPr>
        <w:t xml:space="preserve"> 54, 228-34.</w:t>
      </w:r>
    </w:p>
    <w:p w14:paraId="787D7066" w14:textId="77777777" w:rsidR="00AB6983" w:rsidRPr="006806AB" w:rsidRDefault="00AB6983" w:rsidP="00CB1B40">
      <w:pPr>
        <w:pStyle w:val="EndNoteBibliography"/>
        <w:spacing w:after="200" w:line="480" w:lineRule="auto"/>
        <w:rPr>
          <w:rStyle w:val="element-citation"/>
          <w:noProof/>
        </w:rPr>
      </w:pPr>
      <w:r>
        <w:rPr>
          <w:noProof/>
        </w:rPr>
        <w:t xml:space="preserve">19. </w:t>
      </w:r>
      <w:r w:rsidRPr="00C35BA7">
        <w:rPr>
          <w:noProof/>
        </w:rPr>
        <w:t xml:space="preserve">McKinnon, B, Gariepy G, Sentenac M &amp; Elgar FJ (2016). Adolescent suicidal behaviours in 32 low- and middle-income countries. </w:t>
      </w:r>
      <w:r w:rsidRPr="00C35BA7">
        <w:rPr>
          <w:i/>
          <w:noProof/>
        </w:rPr>
        <w:t>Bull World Health Organ</w:t>
      </w:r>
      <w:r w:rsidRPr="00C35BA7">
        <w:rPr>
          <w:noProof/>
        </w:rPr>
        <w:t xml:space="preserve"> 94, 340-350f.</w:t>
      </w:r>
    </w:p>
    <w:p w14:paraId="7F4DE566" w14:textId="77777777" w:rsidR="00AB6983" w:rsidRPr="006806AB" w:rsidRDefault="00AB6983" w:rsidP="00CB1B40">
      <w:pPr>
        <w:spacing w:after="200" w:line="480" w:lineRule="auto"/>
        <w:rPr>
          <w:rStyle w:val="element-citation"/>
          <w:rFonts w:eastAsia="Times New Roman"/>
          <w:color w:val="222222"/>
          <w:shd w:val="clear" w:color="auto" w:fill="FFFFFF"/>
        </w:rPr>
      </w:pPr>
      <w:r>
        <w:rPr>
          <w:rFonts w:eastAsia="Times New Roman"/>
          <w:color w:val="222222"/>
          <w:shd w:val="clear" w:color="auto" w:fill="FFFFFF"/>
        </w:rPr>
        <w:t xml:space="preserve">20. </w:t>
      </w:r>
      <w:r w:rsidRPr="00856D08">
        <w:rPr>
          <w:rFonts w:eastAsia="Times New Roman"/>
          <w:color w:val="222222"/>
          <w:shd w:val="clear" w:color="auto" w:fill="FFFFFF"/>
        </w:rPr>
        <w:t xml:space="preserve">Prochaska, JJ, Sallis JF &amp; Long B (2001). A physical activity screening measure for use with adolescents in primary care. </w:t>
      </w:r>
      <w:r w:rsidRPr="00856D08">
        <w:rPr>
          <w:rFonts w:eastAsia="Times New Roman"/>
          <w:i/>
          <w:color w:val="222222"/>
          <w:shd w:val="clear" w:color="auto" w:fill="FFFFFF"/>
        </w:rPr>
        <w:t>Arch Pediatr Adolesc Med</w:t>
      </w:r>
      <w:r w:rsidRPr="00856D08">
        <w:rPr>
          <w:rFonts w:eastAsia="Times New Roman"/>
          <w:color w:val="222222"/>
          <w:shd w:val="clear" w:color="auto" w:fill="FFFFFF"/>
        </w:rPr>
        <w:t xml:space="preserve"> </w:t>
      </w:r>
      <w:r w:rsidRPr="00856D08">
        <w:rPr>
          <w:rFonts w:eastAsia="Times New Roman"/>
          <w:b/>
          <w:color w:val="222222"/>
          <w:shd w:val="clear" w:color="auto" w:fill="FFFFFF"/>
        </w:rPr>
        <w:t>155</w:t>
      </w:r>
      <w:r w:rsidRPr="00856D08">
        <w:rPr>
          <w:rFonts w:eastAsia="Times New Roman"/>
          <w:color w:val="222222"/>
          <w:shd w:val="clear" w:color="auto" w:fill="FFFFFF"/>
        </w:rPr>
        <w:t>, 554-9.</w:t>
      </w:r>
    </w:p>
    <w:p w14:paraId="6A666D11" w14:textId="77777777" w:rsidR="00AB6983" w:rsidRPr="006806AB" w:rsidRDefault="00AB6983" w:rsidP="00CB1B40">
      <w:pPr>
        <w:spacing w:after="200" w:line="480" w:lineRule="auto"/>
        <w:rPr>
          <w:rFonts w:eastAsia="Times New Roman"/>
        </w:rPr>
      </w:pPr>
      <w:r w:rsidRPr="00CB39E5">
        <w:rPr>
          <w:rFonts w:eastAsia="Times New Roman"/>
          <w:bCs/>
        </w:rPr>
        <w:t xml:space="preserve">21. </w:t>
      </w:r>
      <w:r w:rsidRPr="00901177">
        <w:rPr>
          <w:rFonts w:eastAsia="Times New Roman"/>
        </w:rPr>
        <w:t>Xi B, Liang Y, Liu Y, et al. Tobacco use and second-hand smoke exposure in young adolescents aged 12-15 years: data from 68 low-income and middle-income countries. </w:t>
      </w:r>
      <w:r w:rsidRPr="00901177">
        <w:rPr>
          <w:rFonts w:eastAsia="Times New Roman"/>
          <w:i/>
          <w:iCs/>
        </w:rPr>
        <w:t>Lancet Glob Health. </w:t>
      </w:r>
      <w:r w:rsidRPr="00901177">
        <w:rPr>
          <w:rFonts w:eastAsia="Times New Roman"/>
        </w:rPr>
        <w:t>2016;4(11):e795-e805.</w:t>
      </w:r>
    </w:p>
    <w:p w14:paraId="76731E7B" w14:textId="77777777" w:rsidR="00AB6983" w:rsidRDefault="00AB6983" w:rsidP="00CB1B40">
      <w:pPr>
        <w:pStyle w:val="EndNoteBibliography"/>
        <w:spacing w:after="200" w:line="480" w:lineRule="auto"/>
        <w:rPr>
          <w:noProof/>
        </w:rPr>
      </w:pPr>
      <w:r>
        <w:rPr>
          <w:noProof/>
        </w:rPr>
        <w:t xml:space="preserve">22. </w:t>
      </w:r>
      <w:r w:rsidRPr="009D488A">
        <w:rPr>
          <w:noProof/>
        </w:rPr>
        <w:t xml:space="preserve">Higgins, JP &amp; Thompson SG (2002). Quantifying heterogeneity in a meta-analysis. </w:t>
      </w:r>
      <w:r w:rsidRPr="009D488A">
        <w:rPr>
          <w:i/>
          <w:noProof/>
        </w:rPr>
        <w:t>Stat Med</w:t>
      </w:r>
      <w:r w:rsidRPr="009D488A">
        <w:rPr>
          <w:noProof/>
        </w:rPr>
        <w:t xml:space="preserve"> 21, 1539-58.</w:t>
      </w:r>
    </w:p>
    <w:p w14:paraId="396557CF" w14:textId="77777777" w:rsidR="00AB6983" w:rsidRPr="00BC6FA0" w:rsidRDefault="00AB6983" w:rsidP="00CB1B40">
      <w:pPr>
        <w:spacing w:after="200" w:line="480" w:lineRule="auto"/>
        <w:rPr>
          <w:rFonts w:eastAsia="Times New Roman"/>
          <w:color w:val="222222"/>
          <w:shd w:val="clear" w:color="auto" w:fill="FFFFFF"/>
        </w:rPr>
      </w:pPr>
      <w:r>
        <w:rPr>
          <w:rFonts w:eastAsia="Times New Roman"/>
          <w:color w:val="222222"/>
          <w:shd w:val="clear" w:color="auto" w:fill="FFFFFF"/>
        </w:rPr>
        <w:t xml:space="preserve">23. </w:t>
      </w:r>
      <w:r w:rsidRPr="000B0FE8">
        <w:rPr>
          <w:rFonts w:eastAsia="Times New Roman"/>
          <w:color w:val="222222"/>
          <w:shd w:val="clear" w:color="auto" w:fill="FFFFFF"/>
        </w:rPr>
        <w:t>Abarca-Gómez, L., Abdeen, Z. A., Hamid, Z. A., Abu-Rmeileh, N. M., Acosta-Cazares, B., Acuin, C., ... &amp; Agyemang, C. (2017). Worldwide trends in body-mass index, underweight, overweight, and obesity from 1975 to 2016: a pooled analysis of 2416 population-based measurement studies in 128· 9 million children, adolescents, and adults. </w:t>
      </w:r>
      <w:r w:rsidRPr="000B0FE8">
        <w:rPr>
          <w:rFonts w:eastAsia="Times New Roman"/>
          <w:i/>
          <w:iCs/>
          <w:color w:val="222222"/>
          <w:shd w:val="clear" w:color="auto" w:fill="FFFFFF"/>
        </w:rPr>
        <w:t>The Lancet</w:t>
      </w:r>
      <w:r w:rsidRPr="000B0FE8">
        <w:rPr>
          <w:rFonts w:eastAsia="Times New Roman"/>
          <w:color w:val="222222"/>
          <w:shd w:val="clear" w:color="auto" w:fill="FFFFFF"/>
        </w:rPr>
        <w:t>, </w:t>
      </w:r>
      <w:r w:rsidRPr="000B0FE8">
        <w:rPr>
          <w:rFonts w:eastAsia="Times New Roman"/>
          <w:i/>
          <w:iCs/>
          <w:color w:val="222222"/>
          <w:shd w:val="clear" w:color="auto" w:fill="FFFFFF"/>
        </w:rPr>
        <w:t>390</w:t>
      </w:r>
      <w:r w:rsidRPr="000B0FE8">
        <w:rPr>
          <w:rFonts w:eastAsia="Times New Roman"/>
          <w:color w:val="222222"/>
          <w:shd w:val="clear" w:color="auto" w:fill="FFFFFF"/>
        </w:rPr>
        <w:t>(10113), 2627-2642</w:t>
      </w:r>
      <w:r>
        <w:rPr>
          <w:rFonts w:ascii="Arial" w:eastAsia="Times New Roman" w:hAnsi="Arial" w:cs="Arial"/>
          <w:color w:val="222222"/>
          <w:sz w:val="20"/>
          <w:szCs w:val="20"/>
          <w:shd w:val="clear" w:color="auto" w:fill="FFFFFF"/>
        </w:rPr>
        <w:t>.</w:t>
      </w:r>
    </w:p>
    <w:p w14:paraId="7FE6753D" w14:textId="65925071" w:rsidR="00AB6983" w:rsidRDefault="00AB6983" w:rsidP="00CB1B40">
      <w:pPr>
        <w:spacing w:after="200" w:line="480" w:lineRule="auto"/>
        <w:rPr>
          <w:rFonts w:eastAsia="Times New Roman"/>
        </w:rPr>
      </w:pPr>
      <w:r>
        <w:rPr>
          <w:rFonts w:eastAsia="Times New Roman"/>
        </w:rPr>
        <w:t xml:space="preserve">24. </w:t>
      </w:r>
      <w:r w:rsidR="003823F7" w:rsidRPr="003823F7">
        <w:rPr>
          <w:rFonts w:eastAsia="Times New Roman"/>
        </w:rPr>
        <w:t>Bauman, A., Ainsworth, B. E., Sallis, J. F., Hagströmer, M., Craig, C. L., Bull, F. C., ... &amp; IPS Group. (2011). The descriptive epidemiology of sitting: a 20-country comparison using the International Physical Activity Questionnaire (IPAQ). </w:t>
      </w:r>
      <w:r w:rsidR="003823F7" w:rsidRPr="003823F7">
        <w:rPr>
          <w:rFonts w:eastAsia="Times New Roman"/>
          <w:i/>
          <w:iCs/>
        </w:rPr>
        <w:t>American journal of preventive medicine</w:t>
      </w:r>
      <w:r w:rsidR="003823F7" w:rsidRPr="003823F7">
        <w:rPr>
          <w:rFonts w:eastAsia="Times New Roman"/>
        </w:rPr>
        <w:t>, </w:t>
      </w:r>
      <w:r w:rsidR="003823F7" w:rsidRPr="003823F7">
        <w:rPr>
          <w:rFonts w:eastAsia="Times New Roman"/>
          <w:i/>
          <w:iCs/>
        </w:rPr>
        <w:t>41</w:t>
      </w:r>
      <w:r w:rsidR="003823F7" w:rsidRPr="003823F7">
        <w:rPr>
          <w:rFonts w:eastAsia="Times New Roman"/>
        </w:rPr>
        <w:t>(2), 228-235.</w:t>
      </w:r>
    </w:p>
    <w:p w14:paraId="472CAB95" w14:textId="77777777" w:rsidR="00AB6983" w:rsidRPr="009D488A" w:rsidRDefault="00AB6983" w:rsidP="00CB1B40">
      <w:pPr>
        <w:spacing w:after="200" w:line="480" w:lineRule="auto"/>
        <w:rPr>
          <w:rFonts w:eastAsia="Times New Roman"/>
        </w:rPr>
      </w:pPr>
      <w:r>
        <w:rPr>
          <w:rFonts w:eastAsia="Times New Roman"/>
          <w:color w:val="303030"/>
          <w:shd w:val="clear" w:color="auto" w:fill="FFFFFF"/>
        </w:rPr>
        <w:lastRenderedPageBreak/>
        <w:t xml:space="preserve">25. </w:t>
      </w:r>
      <w:r w:rsidRPr="00C35BA7">
        <w:rPr>
          <w:rFonts w:eastAsia="Times New Roman"/>
          <w:color w:val="303030"/>
          <w:shd w:val="clear" w:color="auto" w:fill="FFFFFF"/>
        </w:rPr>
        <w:t>Lear, S. A., Teo, K., Gasevic, D., Zhang, X., Poirier, P. P., Rangarajan, S., … Yusuf, S. (2014). The association between ownership of common household devices and obesity and diabetes in high,</w:t>
      </w:r>
      <w:r>
        <w:rPr>
          <w:rFonts w:eastAsia="Times New Roman"/>
          <w:color w:val="303030"/>
          <w:shd w:val="clear" w:color="auto" w:fill="FFFFFF"/>
        </w:rPr>
        <w:t xml:space="preserve"> </w:t>
      </w:r>
      <w:r w:rsidRPr="00C35BA7">
        <w:rPr>
          <w:rFonts w:eastAsia="Times New Roman"/>
          <w:color w:val="303030"/>
          <w:shd w:val="clear" w:color="auto" w:fill="FFFFFF"/>
        </w:rPr>
        <w:t>middle and low income countries. </w:t>
      </w:r>
      <w:r w:rsidRPr="00C35BA7">
        <w:rPr>
          <w:rFonts w:eastAsia="Times New Roman"/>
          <w:i/>
          <w:iCs/>
          <w:color w:val="303030"/>
          <w:shd w:val="clear" w:color="auto" w:fill="FFFFFF"/>
        </w:rPr>
        <w:t>CMAJ : Canadian Medical Association Journal</w:t>
      </w:r>
      <w:r w:rsidRPr="00C35BA7">
        <w:rPr>
          <w:rFonts w:eastAsia="Times New Roman"/>
          <w:color w:val="303030"/>
          <w:shd w:val="clear" w:color="auto" w:fill="FFFFFF"/>
        </w:rPr>
        <w:t>, </w:t>
      </w:r>
      <w:r w:rsidRPr="00C35BA7">
        <w:rPr>
          <w:rFonts w:eastAsia="Times New Roman"/>
          <w:i/>
          <w:iCs/>
          <w:color w:val="303030"/>
          <w:shd w:val="clear" w:color="auto" w:fill="FFFFFF"/>
        </w:rPr>
        <w:t>186</w:t>
      </w:r>
      <w:r w:rsidRPr="00C35BA7">
        <w:rPr>
          <w:rFonts w:eastAsia="Times New Roman"/>
          <w:color w:val="303030"/>
          <w:shd w:val="clear" w:color="auto" w:fill="FFFFFF"/>
        </w:rPr>
        <w:t>(4), 258–266. http://doi.org/10.1503/cmaj.131090</w:t>
      </w:r>
    </w:p>
    <w:p w14:paraId="17BF47E0" w14:textId="77777777" w:rsidR="00AB6983" w:rsidRPr="006806AB" w:rsidRDefault="00AB6983" w:rsidP="00CB1B40">
      <w:pPr>
        <w:pStyle w:val="EndNoteBibliography"/>
        <w:spacing w:after="200" w:line="480" w:lineRule="auto"/>
        <w:rPr>
          <w:noProof/>
        </w:rPr>
      </w:pPr>
      <w:r>
        <w:rPr>
          <w:noProof/>
        </w:rPr>
        <w:t xml:space="preserve">26. </w:t>
      </w:r>
      <w:r w:rsidRPr="006D3560">
        <w:rPr>
          <w:noProof/>
        </w:rPr>
        <w:t>Katzmarzyk, P. T., Barreira, T. V., Broyles, S. T., Champagne, C. M., Chaput, J. P., Fogelholm, M., ... &amp; Lambert, E. V. (2015). Relationship between lifestyle behaviors and obesity in children ages 9–11: Results from a 12</w:t>
      </w:r>
      <w:r w:rsidRPr="006D3560">
        <w:rPr>
          <w:rFonts w:ascii="Calibri" w:eastAsia="Calibri" w:hAnsi="Calibri" w:cs="Calibri"/>
          <w:noProof/>
        </w:rPr>
        <w:t>‐</w:t>
      </w:r>
      <w:r w:rsidRPr="006D3560">
        <w:rPr>
          <w:noProof/>
        </w:rPr>
        <w:t>country study. </w:t>
      </w:r>
      <w:r w:rsidRPr="006D3560">
        <w:rPr>
          <w:i/>
          <w:iCs/>
          <w:noProof/>
        </w:rPr>
        <w:t>Obesity</w:t>
      </w:r>
      <w:r w:rsidRPr="006D3560">
        <w:rPr>
          <w:noProof/>
        </w:rPr>
        <w:t>, </w:t>
      </w:r>
      <w:r w:rsidRPr="006D3560">
        <w:rPr>
          <w:i/>
          <w:iCs/>
          <w:noProof/>
        </w:rPr>
        <w:t>23</w:t>
      </w:r>
      <w:r w:rsidRPr="006D3560">
        <w:rPr>
          <w:noProof/>
        </w:rPr>
        <w:t>(8), 1696-1702</w:t>
      </w:r>
      <w:r>
        <w:rPr>
          <w:noProof/>
        </w:rPr>
        <w:t>.</w:t>
      </w:r>
    </w:p>
    <w:p w14:paraId="20352090" w14:textId="77777777" w:rsidR="00AB6983" w:rsidRPr="006806AB" w:rsidRDefault="00AB6983" w:rsidP="00CB1B40">
      <w:pPr>
        <w:pStyle w:val="EndNoteBibliography"/>
        <w:spacing w:after="200" w:line="480" w:lineRule="auto"/>
        <w:rPr>
          <w:noProof/>
        </w:rPr>
      </w:pPr>
      <w:r>
        <w:rPr>
          <w:noProof/>
        </w:rPr>
        <w:t xml:space="preserve">27. </w:t>
      </w:r>
      <w:r w:rsidRPr="00856D08">
        <w:rPr>
          <w:noProof/>
        </w:rPr>
        <w:t>Coombs, N., Shelton, N., Rowlands, A., &amp; Stamatakis, E. (2013). Children's and adolescents' sedentary behaviour in relation to socioeconomic position. </w:t>
      </w:r>
      <w:r w:rsidRPr="00856D08">
        <w:rPr>
          <w:i/>
          <w:iCs/>
          <w:noProof/>
        </w:rPr>
        <w:t>J Epidemiol Community Health</w:t>
      </w:r>
      <w:r w:rsidRPr="00856D08">
        <w:rPr>
          <w:noProof/>
        </w:rPr>
        <w:t>, </w:t>
      </w:r>
      <w:r w:rsidRPr="00856D08">
        <w:rPr>
          <w:i/>
          <w:iCs/>
          <w:noProof/>
        </w:rPr>
        <w:t>67</w:t>
      </w:r>
      <w:r w:rsidRPr="00856D08">
        <w:rPr>
          <w:noProof/>
        </w:rPr>
        <w:t>(10), 868-874.</w:t>
      </w:r>
      <w:r w:rsidRPr="009D488A">
        <w:fldChar w:fldCharType="begin"/>
      </w:r>
      <w:r w:rsidRPr="009D488A">
        <w:instrText xml:space="preserve"> ADDIN EN.REFLIST </w:instrText>
      </w:r>
      <w:r w:rsidRPr="009D488A">
        <w:fldChar w:fldCharType="separate"/>
      </w:r>
    </w:p>
    <w:p w14:paraId="312EF307" w14:textId="77777777" w:rsidR="00AB6983" w:rsidRDefault="00AB6983" w:rsidP="00CB1B40">
      <w:pPr>
        <w:spacing w:after="200" w:line="480" w:lineRule="auto"/>
        <w:rPr>
          <w:rFonts w:eastAsia="Times New Roman"/>
          <w:color w:val="333333"/>
        </w:rPr>
      </w:pPr>
      <w:r>
        <w:rPr>
          <w:rFonts w:eastAsia="Times New Roman"/>
          <w:color w:val="303030"/>
          <w:shd w:val="clear" w:color="auto" w:fill="FFFFFF"/>
        </w:rPr>
        <w:t xml:space="preserve">28. </w:t>
      </w:r>
      <w:r w:rsidRPr="00AC6959">
        <w:rPr>
          <w:rFonts w:eastAsia="Times New Roman"/>
          <w:color w:val="303030"/>
          <w:shd w:val="clear" w:color="auto" w:fill="FFFFFF"/>
        </w:rPr>
        <w:t>Roberts, J. D., Rodkey, L., Ray, R., Knight, B., &amp; Saelens, B. E. (2017). Electronic media time and sedentary behaviors in children: Findings from the Built Environment and Active Play Study in the Washington DC area. </w:t>
      </w:r>
      <w:r w:rsidRPr="00AC6959">
        <w:rPr>
          <w:rFonts w:eastAsia="Times New Roman"/>
          <w:i/>
          <w:iCs/>
          <w:color w:val="303030"/>
          <w:shd w:val="clear" w:color="auto" w:fill="FFFFFF"/>
        </w:rPr>
        <w:t>Preventive Medicine Reports</w:t>
      </w:r>
      <w:r w:rsidRPr="00AC6959">
        <w:rPr>
          <w:rFonts w:eastAsia="Times New Roman"/>
          <w:color w:val="303030"/>
          <w:shd w:val="clear" w:color="auto" w:fill="FFFFFF"/>
        </w:rPr>
        <w:t>, </w:t>
      </w:r>
      <w:r w:rsidRPr="00AC6959">
        <w:rPr>
          <w:rFonts w:eastAsia="Times New Roman"/>
          <w:i/>
          <w:iCs/>
          <w:color w:val="303030"/>
          <w:shd w:val="clear" w:color="auto" w:fill="FFFFFF"/>
        </w:rPr>
        <w:t>6</w:t>
      </w:r>
      <w:r w:rsidRPr="00AC6959">
        <w:rPr>
          <w:rFonts w:eastAsia="Times New Roman"/>
          <w:color w:val="303030"/>
          <w:shd w:val="clear" w:color="auto" w:fill="FFFFFF"/>
        </w:rPr>
        <w:t xml:space="preserve">, 149–156. </w:t>
      </w:r>
      <w:hyperlink r:id="rId8" w:history="1">
        <w:r w:rsidRPr="00C47453">
          <w:rPr>
            <w:rStyle w:val="Hyperlink"/>
            <w:rFonts w:eastAsia="Times New Roman"/>
            <w:shd w:val="clear" w:color="auto" w:fill="FFFFFF"/>
          </w:rPr>
          <w:t>http://doi.org/10.1016/j.pmedr.2017.02.021</w:t>
        </w:r>
      </w:hyperlink>
    </w:p>
    <w:p w14:paraId="712E2EA7" w14:textId="77777777" w:rsidR="00AB6983" w:rsidRDefault="00AB6983" w:rsidP="00CB1B40">
      <w:pPr>
        <w:spacing w:after="200" w:line="480" w:lineRule="auto"/>
        <w:rPr>
          <w:rFonts w:eastAsia="Times New Roman"/>
          <w:color w:val="000000" w:themeColor="text1"/>
          <w:shd w:val="clear" w:color="auto" w:fill="FFFFFF"/>
        </w:rPr>
      </w:pPr>
      <w:r>
        <w:rPr>
          <w:rFonts w:eastAsia="Times New Roman"/>
          <w:color w:val="000000" w:themeColor="text1"/>
          <w:shd w:val="clear" w:color="auto" w:fill="FFFFFF"/>
        </w:rPr>
        <w:t xml:space="preserve">29. </w:t>
      </w:r>
      <w:r w:rsidRPr="000A1943">
        <w:rPr>
          <w:rFonts w:eastAsia="Times New Roman"/>
          <w:color w:val="000000" w:themeColor="text1"/>
          <w:shd w:val="clear" w:color="auto" w:fill="FFFFFF"/>
        </w:rPr>
        <w:t>Sandercock, G. R. H., Alibrahim, M., &amp; Bellamy, M. (2016). Media device ownership and media use: Associations with sedentary time, physical activity and fitness in English youth. </w:t>
      </w:r>
      <w:r w:rsidRPr="000A1943">
        <w:rPr>
          <w:rFonts w:eastAsia="Times New Roman"/>
          <w:i/>
          <w:iCs/>
          <w:color w:val="000000" w:themeColor="text1"/>
          <w:shd w:val="clear" w:color="auto" w:fill="FFFFFF"/>
        </w:rPr>
        <w:t>Preventive Medicine Reports</w:t>
      </w:r>
      <w:r w:rsidRPr="000A1943">
        <w:rPr>
          <w:rFonts w:eastAsia="Times New Roman"/>
          <w:color w:val="000000" w:themeColor="text1"/>
          <w:shd w:val="clear" w:color="auto" w:fill="FFFFFF"/>
        </w:rPr>
        <w:t>, </w:t>
      </w:r>
      <w:r w:rsidRPr="000A1943">
        <w:rPr>
          <w:rFonts w:eastAsia="Times New Roman"/>
          <w:i/>
          <w:iCs/>
          <w:color w:val="000000" w:themeColor="text1"/>
          <w:shd w:val="clear" w:color="auto" w:fill="FFFFFF"/>
        </w:rPr>
        <w:t>4</w:t>
      </w:r>
      <w:r w:rsidRPr="000A1943">
        <w:rPr>
          <w:rFonts w:eastAsia="Times New Roman"/>
          <w:color w:val="000000" w:themeColor="text1"/>
          <w:shd w:val="clear" w:color="auto" w:fill="FFFFFF"/>
        </w:rPr>
        <w:t xml:space="preserve">, 162–168. </w:t>
      </w:r>
      <w:hyperlink r:id="rId9" w:history="1">
        <w:r w:rsidRPr="00E77EC2">
          <w:rPr>
            <w:rStyle w:val="Hyperlink"/>
            <w:rFonts w:eastAsia="Times New Roman"/>
            <w:shd w:val="clear" w:color="auto" w:fill="FFFFFF"/>
          </w:rPr>
          <w:t>http://doi.org/10.1016/j.pmedr.2016.05.013</w:t>
        </w:r>
      </w:hyperlink>
    </w:p>
    <w:p w14:paraId="13C0B814" w14:textId="77777777" w:rsidR="00AB6983" w:rsidRPr="006806AB" w:rsidRDefault="00AB6983" w:rsidP="00CB1B40">
      <w:pPr>
        <w:pStyle w:val="EndNoteBibliography"/>
        <w:spacing w:after="200" w:line="480" w:lineRule="auto"/>
        <w:rPr>
          <w:noProof/>
        </w:rPr>
      </w:pPr>
      <w:r>
        <w:rPr>
          <w:noProof/>
        </w:rPr>
        <w:t xml:space="preserve">30. </w:t>
      </w:r>
      <w:r w:rsidRPr="00856D08">
        <w:rPr>
          <w:noProof/>
        </w:rPr>
        <w:t>Biddle, S. J. H., García Bengoechea, E., &amp; Wiesner, G. (2017). Sedentary behaviour and adiposity in youth: a systematic review of reviews and analysis of causality. </w:t>
      </w:r>
      <w:r w:rsidRPr="00856D08">
        <w:rPr>
          <w:i/>
          <w:iCs/>
          <w:noProof/>
        </w:rPr>
        <w:t>The International Journal of Behavioral Nutrition and Physical Activity</w:t>
      </w:r>
      <w:r w:rsidRPr="00856D08">
        <w:rPr>
          <w:noProof/>
        </w:rPr>
        <w:t>, </w:t>
      </w:r>
      <w:r w:rsidRPr="00856D08">
        <w:rPr>
          <w:i/>
          <w:iCs/>
          <w:noProof/>
        </w:rPr>
        <w:t>14</w:t>
      </w:r>
      <w:r w:rsidRPr="00856D08">
        <w:rPr>
          <w:noProof/>
        </w:rPr>
        <w:t>, 43. http://doi.org/10.1186/s12966-017-0497-8</w:t>
      </w:r>
    </w:p>
    <w:p w14:paraId="63629109" w14:textId="77777777" w:rsidR="00AB6983" w:rsidRPr="006806AB" w:rsidRDefault="00AB6983" w:rsidP="00CB1B40">
      <w:pPr>
        <w:pStyle w:val="EndNoteBibliography"/>
        <w:spacing w:after="200" w:line="480" w:lineRule="auto"/>
        <w:rPr>
          <w:noProof/>
        </w:rPr>
      </w:pPr>
      <w:r>
        <w:rPr>
          <w:noProof/>
        </w:rPr>
        <w:t xml:space="preserve">31. </w:t>
      </w:r>
      <w:r w:rsidRPr="00625D4E">
        <w:rPr>
          <w:noProof/>
        </w:rPr>
        <w:t xml:space="preserve">Da Costa, L. A., Arora, P., García-Bailo, B., Karmali, M., El-Sohemy, A., &amp; Badawi, A. (2012). The association between obesity, cardiometabolic disease biomarkers, and innate </w:t>
      </w:r>
      <w:r w:rsidRPr="00625D4E">
        <w:rPr>
          <w:noProof/>
        </w:rPr>
        <w:lastRenderedPageBreak/>
        <w:t>immunity-related inflammation in Canadian adults. </w:t>
      </w:r>
      <w:r w:rsidRPr="00625D4E">
        <w:rPr>
          <w:i/>
          <w:iCs/>
          <w:noProof/>
        </w:rPr>
        <w:t>Diabetes, Metabolic Syndrome and Obesity: Targets and Therapy</w:t>
      </w:r>
      <w:r w:rsidRPr="00625D4E">
        <w:rPr>
          <w:noProof/>
        </w:rPr>
        <w:t>, </w:t>
      </w:r>
      <w:r w:rsidRPr="00625D4E">
        <w:rPr>
          <w:i/>
          <w:iCs/>
          <w:noProof/>
        </w:rPr>
        <w:t>5</w:t>
      </w:r>
      <w:r w:rsidRPr="00625D4E">
        <w:rPr>
          <w:noProof/>
        </w:rPr>
        <w:t>, 347–355. http://doi.org/10.2147/DMSO.S35115</w:t>
      </w:r>
    </w:p>
    <w:p w14:paraId="5762E1D5" w14:textId="77777777" w:rsidR="00AB6983" w:rsidRPr="006806AB" w:rsidRDefault="00AB6983" w:rsidP="00CB1B40">
      <w:pPr>
        <w:pStyle w:val="EndNoteBibliography"/>
        <w:spacing w:after="200" w:line="480" w:lineRule="auto"/>
        <w:rPr>
          <w:noProof/>
        </w:rPr>
      </w:pPr>
      <w:r>
        <w:rPr>
          <w:noProof/>
        </w:rPr>
        <w:t xml:space="preserve">32. </w:t>
      </w:r>
      <w:r w:rsidRPr="00534B24">
        <w:rPr>
          <w:noProof/>
        </w:rPr>
        <w:t>Henson, J., Yates, T., Biddle, S. J., Edwardson, C. L., Khunti, K., Wilmot, E. G., ... &amp; Davies, M. J. (2013). Associations of objectively measured sedentary behaviour and physical activity with markers of cardiometabolic health. </w:t>
      </w:r>
      <w:r w:rsidRPr="00534B24">
        <w:rPr>
          <w:i/>
          <w:iCs/>
          <w:noProof/>
        </w:rPr>
        <w:t>Diabetologia</w:t>
      </w:r>
      <w:r w:rsidRPr="00534B24">
        <w:rPr>
          <w:noProof/>
        </w:rPr>
        <w:t>, </w:t>
      </w:r>
      <w:r w:rsidRPr="00534B24">
        <w:rPr>
          <w:i/>
          <w:iCs/>
          <w:noProof/>
        </w:rPr>
        <w:t>56</w:t>
      </w:r>
      <w:r w:rsidRPr="00534B24">
        <w:rPr>
          <w:noProof/>
        </w:rPr>
        <w:t>(5), 1012-1020.</w:t>
      </w:r>
    </w:p>
    <w:p w14:paraId="077E80DF" w14:textId="5880E929" w:rsidR="00AB6983" w:rsidRDefault="00AB6983" w:rsidP="00CB1B40">
      <w:pPr>
        <w:spacing w:after="200" w:line="480" w:lineRule="auto"/>
        <w:rPr>
          <w:rFonts w:eastAsia="Times New Roman"/>
          <w:color w:val="333333"/>
        </w:rPr>
      </w:pPr>
      <w:r>
        <w:rPr>
          <w:rFonts w:eastAsia="Times New Roman"/>
          <w:color w:val="333333"/>
        </w:rPr>
        <w:t xml:space="preserve">33. </w:t>
      </w:r>
      <w:r w:rsidR="003823F7" w:rsidRPr="003823F7">
        <w:rPr>
          <w:rFonts w:eastAsia="Times New Roman"/>
          <w:color w:val="333333"/>
        </w:rPr>
        <w:t>Adamo, K. B., Prince, S. A., Tricco, A. C., Connor-Gorber, S., &amp; Tremblay, M. (2009). A comparison of indirect versus direct measures for assessing physical activity in the pediatric population: a systematic review. </w:t>
      </w:r>
      <w:r w:rsidR="003823F7" w:rsidRPr="003823F7">
        <w:rPr>
          <w:rFonts w:eastAsia="Times New Roman"/>
          <w:i/>
          <w:iCs/>
          <w:color w:val="333333"/>
        </w:rPr>
        <w:t>International Journal of Pediatric Obesity</w:t>
      </w:r>
      <w:r w:rsidR="003823F7" w:rsidRPr="003823F7">
        <w:rPr>
          <w:rFonts w:eastAsia="Times New Roman"/>
          <w:color w:val="333333"/>
        </w:rPr>
        <w:t>, </w:t>
      </w:r>
      <w:r w:rsidR="003823F7" w:rsidRPr="003823F7">
        <w:rPr>
          <w:rFonts w:eastAsia="Times New Roman"/>
          <w:i/>
          <w:iCs/>
          <w:color w:val="333333"/>
        </w:rPr>
        <w:t>4</w:t>
      </w:r>
      <w:r w:rsidR="003823F7" w:rsidRPr="003823F7">
        <w:rPr>
          <w:rFonts w:eastAsia="Times New Roman"/>
          <w:color w:val="333333"/>
        </w:rPr>
        <w:t>(1), 2-27.</w:t>
      </w:r>
    </w:p>
    <w:p w14:paraId="1B22B259" w14:textId="647DA06F" w:rsidR="00AB6983" w:rsidRDefault="00AB6983" w:rsidP="00CB1B40">
      <w:pPr>
        <w:spacing w:after="200" w:line="480" w:lineRule="auto"/>
        <w:rPr>
          <w:rFonts w:eastAsia="Times New Roman"/>
          <w:color w:val="222222"/>
          <w:shd w:val="clear" w:color="auto" w:fill="FFFFFF"/>
        </w:rPr>
      </w:pPr>
      <w:r>
        <w:rPr>
          <w:rFonts w:eastAsia="Times New Roman"/>
          <w:color w:val="222222"/>
          <w:shd w:val="clear" w:color="auto" w:fill="FFFFFF"/>
        </w:rPr>
        <w:t>3</w:t>
      </w:r>
      <w:r w:rsidR="00532633">
        <w:rPr>
          <w:rFonts w:eastAsia="Times New Roman"/>
          <w:color w:val="222222"/>
          <w:shd w:val="clear" w:color="auto" w:fill="FFFFFF"/>
        </w:rPr>
        <w:t>4</w:t>
      </w:r>
      <w:r>
        <w:rPr>
          <w:rFonts w:eastAsia="Times New Roman"/>
          <w:color w:val="222222"/>
          <w:shd w:val="clear" w:color="auto" w:fill="FFFFFF"/>
        </w:rPr>
        <w:t xml:space="preserve">. </w:t>
      </w:r>
      <w:r w:rsidRPr="009D488A">
        <w:rPr>
          <w:rFonts w:eastAsia="Times New Roman"/>
          <w:color w:val="222222"/>
          <w:shd w:val="clear" w:color="auto" w:fill="FFFFFF"/>
        </w:rPr>
        <w:t>NCD Risk Factor Collaboration. (2016). Trends in adult body-mass index in 200 countries from 1975 to 2014: a pooled analysis of 1698 population-based measurement studies with 19· 2 million participants. </w:t>
      </w:r>
      <w:r w:rsidRPr="009D488A">
        <w:rPr>
          <w:rFonts w:eastAsia="Times New Roman"/>
          <w:i/>
          <w:iCs/>
          <w:color w:val="222222"/>
          <w:shd w:val="clear" w:color="auto" w:fill="FFFFFF"/>
        </w:rPr>
        <w:t>The Lancet</w:t>
      </w:r>
      <w:r w:rsidRPr="009D488A">
        <w:rPr>
          <w:rFonts w:eastAsia="Times New Roman"/>
          <w:color w:val="222222"/>
          <w:shd w:val="clear" w:color="auto" w:fill="FFFFFF"/>
        </w:rPr>
        <w:t>, </w:t>
      </w:r>
      <w:r w:rsidRPr="009D488A">
        <w:rPr>
          <w:rFonts w:eastAsia="Times New Roman"/>
          <w:i/>
          <w:iCs/>
          <w:color w:val="222222"/>
          <w:shd w:val="clear" w:color="auto" w:fill="FFFFFF"/>
        </w:rPr>
        <w:t>387</w:t>
      </w:r>
      <w:r w:rsidRPr="009D488A">
        <w:rPr>
          <w:rFonts w:eastAsia="Times New Roman"/>
          <w:color w:val="222222"/>
          <w:shd w:val="clear" w:color="auto" w:fill="FFFFFF"/>
        </w:rPr>
        <w:t>(10026), 1377-1396.</w:t>
      </w:r>
    </w:p>
    <w:p w14:paraId="1D20B0D0" w14:textId="77777777" w:rsidR="00AB6983" w:rsidRPr="006806AB" w:rsidRDefault="00AB6983" w:rsidP="00CB1B40">
      <w:pPr>
        <w:spacing w:after="200" w:line="480" w:lineRule="auto"/>
        <w:rPr>
          <w:rFonts w:eastAsia="Times New Roman"/>
          <w:color w:val="333333"/>
        </w:rPr>
      </w:pPr>
    </w:p>
    <w:p w14:paraId="0A2BE30C" w14:textId="77777777" w:rsidR="00AB6983" w:rsidRDefault="00AB6983" w:rsidP="00CB1B40">
      <w:pPr>
        <w:spacing w:after="200" w:line="480" w:lineRule="auto"/>
        <w:rPr>
          <w:rFonts w:eastAsia="Times New Roman"/>
        </w:rPr>
      </w:pPr>
    </w:p>
    <w:p w14:paraId="50B201C6" w14:textId="77777777" w:rsidR="00AB6983" w:rsidRDefault="00AB6983" w:rsidP="00CB1B40">
      <w:pPr>
        <w:spacing w:after="200" w:line="480" w:lineRule="auto"/>
        <w:rPr>
          <w:rFonts w:eastAsia="Times New Roman"/>
        </w:rPr>
      </w:pPr>
    </w:p>
    <w:p w14:paraId="57FAEE88" w14:textId="77777777" w:rsidR="00AB6983" w:rsidRDefault="00AB6983" w:rsidP="00CB1B40">
      <w:pPr>
        <w:spacing w:after="200" w:line="480" w:lineRule="auto"/>
      </w:pPr>
      <w:r w:rsidRPr="009D488A">
        <w:fldChar w:fldCharType="end"/>
      </w:r>
    </w:p>
    <w:p w14:paraId="70102C0C" w14:textId="7D1BD164" w:rsidR="00B26FC4" w:rsidRPr="00B26FC4" w:rsidRDefault="00B26FC4" w:rsidP="00556626">
      <w:pPr>
        <w:spacing w:line="480" w:lineRule="auto"/>
        <w:rPr>
          <w:rFonts w:eastAsia="Times New Roman"/>
          <w:b/>
        </w:rPr>
      </w:pPr>
    </w:p>
    <w:p w14:paraId="64E525E4" w14:textId="77777777" w:rsidR="00750C14" w:rsidRDefault="00750C14" w:rsidP="00CD7FD4">
      <w:pPr>
        <w:spacing w:line="480" w:lineRule="auto"/>
      </w:pPr>
    </w:p>
    <w:p w14:paraId="45EB8687" w14:textId="77777777" w:rsidR="00750C14" w:rsidRDefault="00750C14" w:rsidP="00CD7FD4">
      <w:pPr>
        <w:spacing w:line="480" w:lineRule="auto"/>
        <w:sectPr w:rsidR="00750C14" w:rsidSect="00050FA4">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420"/>
        <w:gridCol w:w="1642"/>
        <w:gridCol w:w="1140"/>
        <w:gridCol w:w="1259"/>
        <w:gridCol w:w="1259"/>
        <w:gridCol w:w="1257"/>
        <w:gridCol w:w="1259"/>
      </w:tblGrid>
      <w:tr w:rsidR="003E38E6" w:rsidRPr="003E38E6" w14:paraId="7D8B6304" w14:textId="77777777" w:rsidTr="003E38E6">
        <w:trPr>
          <w:trHeight w:val="300"/>
        </w:trPr>
        <w:tc>
          <w:tcPr>
            <w:tcW w:w="5000" w:type="pct"/>
            <w:gridSpan w:val="7"/>
            <w:tcBorders>
              <w:top w:val="nil"/>
              <w:left w:val="nil"/>
              <w:bottom w:val="nil"/>
              <w:right w:val="nil"/>
            </w:tcBorders>
            <w:shd w:val="clear" w:color="auto" w:fill="auto"/>
            <w:noWrap/>
            <w:vAlign w:val="center"/>
            <w:hideMark/>
          </w:tcPr>
          <w:p w14:paraId="5D360C86" w14:textId="77777777" w:rsidR="003E38E6" w:rsidRPr="003E38E6" w:rsidRDefault="003E38E6" w:rsidP="003E38E6">
            <w:pPr>
              <w:rPr>
                <w:rFonts w:eastAsia="Times New Roman"/>
                <w:b/>
                <w:bCs/>
                <w:color w:val="000000"/>
                <w:lang w:val="en-GB"/>
              </w:rPr>
            </w:pPr>
            <w:r w:rsidRPr="003E38E6">
              <w:rPr>
                <w:rFonts w:eastAsia="Times New Roman"/>
                <w:b/>
                <w:bCs/>
                <w:color w:val="000000"/>
                <w:lang w:val="en-GB"/>
              </w:rPr>
              <w:lastRenderedPageBreak/>
              <w:t xml:space="preserve">Table 1 </w:t>
            </w:r>
            <w:r w:rsidRPr="003E38E6">
              <w:rPr>
                <w:rFonts w:eastAsia="Times New Roman"/>
                <w:color w:val="000000"/>
                <w:lang w:val="en-GB"/>
              </w:rPr>
              <w:t>Survey characteristics and prevalence of obesity and sedentary behavior by country</w:t>
            </w:r>
          </w:p>
        </w:tc>
      </w:tr>
      <w:tr w:rsidR="003E38E6" w:rsidRPr="003E38E6" w14:paraId="09CC7252" w14:textId="77777777" w:rsidTr="003E38E6">
        <w:trPr>
          <w:trHeight w:val="494"/>
        </w:trPr>
        <w:tc>
          <w:tcPr>
            <w:tcW w:w="714" w:type="pct"/>
            <w:tcBorders>
              <w:top w:val="single" w:sz="4" w:space="0" w:color="auto"/>
              <w:left w:val="nil"/>
              <w:bottom w:val="double" w:sz="6" w:space="0" w:color="auto"/>
              <w:right w:val="nil"/>
            </w:tcBorders>
            <w:shd w:val="clear" w:color="auto" w:fill="auto"/>
            <w:vAlign w:val="bottom"/>
            <w:hideMark/>
          </w:tcPr>
          <w:p w14:paraId="676297B2" w14:textId="7C30F600"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Country income</w:t>
            </w:r>
            <w:r w:rsidR="00902C07" w:rsidRPr="00902C07">
              <w:rPr>
                <w:rFonts w:eastAsia="Times New Roman"/>
                <w:color w:val="000000"/>
                <w:sz w:val="22"/>
                <w:szCs w:val="22"/>
                <w:vertAlign w:val="superscript"/>
                <w:lang w:val="en-GB"/>
              </w:rPr>
              <w:t>a</w:t>
            </w:r>
          </w:p>
        </w:tc>
        <w:tc>
          <w:tcPr>
            <w:tcW w:w="826" w:type="pct"/>
            <w:tcBorders>
              <w:top w:val="single" w:sz="4" w:space="0" w:color="auto"/>
              <w:left w:val="nil"/>
              <w:bottom w:val="double" w:sz="6" w:space="0" w:color="auto"/>
              <w:right w:val="nil"/>
            </w:tcBorders>
            <w:shd w:val="clear" w:color="auto" w:fill="auto"/>
            <w:vAlign w:val="bottom"/>
            <w:hideMark/>
          </w:tcPr>
          <w:p w14:paraId="4C62829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Country</w:t>
            </w:r>
          </w:p>
        </w:tc>
        <w:tc>
          <w:tcPr>
            <w:tcW w:w="647" w:type="pct"/>
            <w:tcBorders>
              <w:top w:val="single" w:sz="4" w:space="0" w:color="auto"/>
              <w:left w:val="nil"/>
              <w:bottom w:val="double" w:sz="6" w:space="0" w:color="auto"/>
              <w:right w:val="nil"/>
            </w:tcBorders>
            <w:shd w:val="clear" w:color="auto" w:fill="auto"/>
            <w:vAlign w:val="bottom"/>
            <w:hideMark/>
          </w:tcPr>
          <w:p w14:paraId="7A39EA5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Year</w:t>
            </w:r>
          </w:p>
        </w:tc>
        <w:tc>
          <w:tcPr>
            <w:tcW w:w="714" w:type="pct"/>
            <w:tcBorders>
              <w:top w:val="single" w:sz="4" w:space="0" w:color="auto"/>
              <w:left w:val="nil"/>
              <w:bottom w:val="double" w:sz="6" w:space="0" w:color="auto"/>
              <w:right w:val="nil"/>
            </w:tcBorders>
            <w:shd w:val="clear" w:color="auto" w:fill="auto"/>
            <w:vAlign w:val="bottom"/>
            <w:hideMark/>
          </w:tcPr>
          <w:p w14:paraId="1AE12BD6" w14:textId="0CE89925"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Response rate (%)</w:t>
            </w:r>
            <w:r w:rsidR="00902C07">
              <w:rPr>
                <w:rFonts w:eastAsia="Times New Roman"/>
                <w:color w:val="000000"/>
                <w:sz w:val="22"/>
                <w:szCs w:val="22"/>
                <w:vertAlign w:val="superscript"/>
                <w:lang w:val="en-GB"/>
              </w:rPr>
              <w:t>b</w:t>
            </w:r>
          </w:p>
        </w:tc>
        <w:tc>
          <w:tcPr>
            <w:tcW w:w="671" w:type="pct"/>
            <w:tcBorders>
              <w:top w:val="single" w:sz="4" w:space="0" w:color="auto"/>
              <w:left w:val="nil"/>
              <w:bottom w:val="double" w:sz="6" w:space="0" w:color="auto"/>
              <w:right w:val="nil"/>
            </w:tcBorders>
            <w:shd w:val="clear" w:color="auto" w:fill="auto"/>
            <w:vAlign w:val="bottom"/>
            <w:hideMark/>
          </w:tcPr>
          <w:p w14:paraId="4B5B64D1" w14:textId="03C27B0B" w:rsidR="003E38E6" w:rsidRPr="003E38E6" w:rsidRDefault="00902C07" w:rsidP="003E38E6">
            <w:pPr>
              <w:rPr>
                <w:rFonts w:eastAsia="Times New Roman"/>
                <w:color w:val="000000"/>
                <w:sz w:val="22"/>
                <w:szCs w:val="22"/>
                <w:lang w:val="en-GB"/>
              </w:rPr>
            </w:pPr>
            <w:r>
              <w:rPr>
                <w:rFonts w:eastAsia="Times New Roman"/>
                <w:color w:val="000000"/>
                <w:sz w:val="22"/>
                <w:szCs w:val="22"/>
                <w:lang w:val="en-GB"/>
              </w:rPr>
              <w:t xml:space="preserve">Unweighted </w:t>
            </w:r>
            <w:r w:rsidR="003E38E6" w:rsidRPr="003E38E6">
              <w:rPr>
                <w:rFonts w:eastAsia="Times New Roman"/>
                <w:color w:val="000000"/>
                <w:sz w:val="22"/>
                <w:szCs w:val="22"/>
                <w:lang w:val="en-GB"/>
              </w:rPr>
              <w:t>N</w:t>
            </w:r>
            <w:r>
              <w:rPr>
                <w:rFonts w:eastAsia="Times New Roman"/>
                <w:color w:val="000000"/>
                <w:sz w:val="22"/>
                <w:szCs w:val="22"/>
                <w:vertAlign w:val="superscript"/>
                <w:lang w:val="en-GB"/>
              </w:rPr>
              <w:t>c</w:t>
            </w:r>
          </w:p>
        </w:tc>
        <w:tc>
          <w:tcPr>
            <w:tcW w:w="714" w:type="pct"/>
            <w:tcBorders>
              <w:top w:val="single" w:sz="4" w:space="0" w:color="auto"/>
              <w:left w:val="nil"/>
              <w:bottom w:val="double" w:sz="6" w:space="0" w:color="auto"/>
              <w:right w:val="nil"/>
            </w:tcBorders>
            <w:shd w:val="clear" w:color="auto" w:fill="auto"/>
            <w:vAlign w:val="bottom"/>
            <w:hideMark/>
          </w:tcPr>
          <w:p w14:paraId="6A3F5FA7" w14:textId="77777777" w:rsidR="003E38E6" w:rsidRDefault="003E38E6" w:rsidP="002E2349">
            <w:pPr>
              <w:rPr>
                <w:rFonts w:eastAsia="Times New Roman"/>
                <w:color w:val="000000"/>
                <w:sz w:val="22"/>
                <w:szCs w:val="22"/>
                <w:lang w:val="en-GB"/>
              </w:rPr>
            </w:pPr>
            <w:r w:rsidRPr="003E38E6">
              <w:rPr>
                <w:rFonts w:eastAsia="Times New Roman"/>
                <w:color w:val="000000"/>
                <w:sz w:val="22"/>
                <w:szCs w:val="22"/>
                <w:lang w:val="en-GB"/>
              </w:rPr>
              <w:t>Obesity</w:t>
            </w:r>
          </w:p>
          <w:p w14:paraId="0C3788FC" w14:textId="56F708FF" w:rsidR="002E2349" w:rsidRPr="003E38E6" w:rsidRDefault="002E2349" w:rsidP="002E2349">
            <w:pPr>
              <w:rPr>
                <w:rFonts w:eastAsia="Times New Roman"/>
                <w:color w:val="000000"/>
                <w:sz w:val="22"/>
                <w:szCs w:val="22"/>
                <w:lang w:val="en-GB"/>
              </w:rPr>
            </w:pPr>
            <w:r>
              <w:rPr>
                <w:rFonts w:eastAsia="Times New Roman"/>
                <w:color w:val="000000"/>
                <w:sz w:val="22"/>
                <w:szCs w:val="22"/>
                <w:lang w:val="en-GB"/>
              </w:rPr>
              <w:t>(%) SE</w:t>
            </w:r>
            <w:r w:rsidR="00902C07" w:rsidRPr="00902C07">
              <w:rPr>
                <w:rFonts w:eastAsia="Times New Roman"/>
                <w:color w:val="000000"/>
                <w:sz w:val="22"/>
                <w:szCs w:val="22"/>
                <w:vertAlign w:val="superscript"/>
                <w:lang w:val="en-GB"/>
              </w:rPr>
              <w:t>d</w:t>
            </w:r>
          </w:p>
        </w:tc>
        <w:tc>
          <w:tcPr>
            <w:tcW w:w="714" w:type="pct"/>
            <w:tcBorders>
              <w:top w:val="single" w:sz="4" w:space="0" w:color="auto"/>
              <w:left w:val="nil"/>
              <w:bottom w:val="double" w:sz="6" w:space="0" w:color="auto"/>
              <w:right w:val="nil"/>
            </w:tcBorders>
            <w:shd w:val="clear" w:color="auto" w:fill="auto"/>
            <w:vAlign w:val="bottom"/>
            <w:hideMark/>
          </w:tcPr>
          <w:p w14:paraId="315FB1DA" w14:textId="77777777" w:rsidR="002E2349" w:rsidRDefault="003E38E6" w:rsidP="003E38E6">
            <w:pPr>
              <w:rPr>
                <w:rFonts w:eastAsia="Times New Roman"/>
                <w:color w:val="000000"/>
                <w:sz w:val="22"/>
                <w:szCs w:val="22"/>
                <w:lang w:val="en-GB"/>
              </w:rPr>
            </w:pPr>
            <w:r w:rsidRPr="003E38E6">
              <w:rPr>
                <w:rFonts w:eastAsia="Times New Roman"/>
                <w:color w:val="000000"/>
                <w:sz w:val="22"/>
                <w:szCs w:val="22"/>
                <w:lang w:val="en-GB"/>
              </w:rPr>
              <w:t xml:space="preserve">Sedentary ≥3h/day </w:t>
            </w:r>
          </w:p>
          <w:p w14:paraId="498EE3F8" w14:textId="5E20FAB9"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w:t>
            </w:r>
            <w:r w:rsidR="002E2349">
              <w:rPr>
                <w:rFonts w:eastAsia="Times New Roman"/>
                <w:color w:val="000000"/>
                <w:sz w:val="22"/>
                <w:szCs w:val="22"/>
                <w:lang w:val="en-GB"/>
              </w:rPr>
              <w:t xml:space="preserve"> SE</w:t>
            </w:r>
            <w:r w:rsidR="00902C07" w:rsidRPr="00902C07">
              <w:rPr>
                <w:rFonts w:eastAsia="Times New Roman"/>
                <w:color w:val="000000"/>
                <w:sz w:val="22"/>
                <w:szCs w:val="22"/>
                <w:vertAlign w:val="superscript"/>
                <w:lang w:val="en-GB"/>
              </w:rPr>
              <w:t>d</w:t>
            </w:r>
          </w:p>
        </w:tc>
      </w:tr>
      <w:tr w:rsidR="003E38E6" w:rsidRPr="003E38E6" w14:paraId="4E9BC844" w14:textId="77777777" w:rsidTr="003E38E6">
        <w:trPr>
          <w:trHeight w:val="320"/>
        </w:trPr>
        <w:tc>
          <w:tcPr>
            <w:tcW w:w="714" w:type="pct"/>
            <w:tcBorders>
              <w:top w:val="nil"/>
              <w:left w:val="nil"/>
              <w:bottom w:val="nil"/>
              <w:right w:val="nil"/>
            </w:tcBorders>
            <w:shd w:val="clear" w:color="auto" w:fill="auto"/>
            <w:noWrap/>
            <w:vAlign w:val="center"/>
            <w:hideMark/>
          </w:tcPr>
          <w:p w14:paraId="034A635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Low</w:t>
            </w:r>
          </w:p>
        </w:tc>
        <w:tc>
          <w:tcPr>
            <w:tcW w:w="826" w:type="pct"/>
            <w:tcBorders>
              <w:top w:val="nil"/>
              <w:left w:val="nil"/>
              <w:bottom w:val="nil"/>
              <w:right w:val="nil"/>
            </w:tcBorders>
            <w:shd w:val="clear" w:color="auto" w:fill="auto"/>
            <w:noWrap/>
            <w:vAlign w:val="center"/>
            <w:hideMark/>
          </w:tcPr>
          <w:p w14:paraId="57D2F41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Afghanistan</w:t>
            </w:r>
          </w:p>
        </w:tc>
        <w:tc>
          <w:tcPr>
            <w:tcW w:w="647" w:type="pct"/>
            <w:tcBorders>
              <w:top w:val="nil"/>
              <w:left w:val="nil"/>
              <w:bottom w:val="nil"/>
              <w:right w:val="nil"/>
            </w:tcBorders>
            <w:shd w:val="clear" w:color="auto" w:fill="auto"/>
            <w:noWrap/>
            <w:vAlign w:val="center"/>
            <w:hideMark/>
          </w:tcPr>
          <w:p w14:paraId="52EB52F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2014</w:t>
            </w:r>
          </w:p>
        </w:tc>
        <w:tc>
          <w:tcPr>
            <w:tcW w:w="714" w:type="pct"/>
            <w:tcBorders>
              <w:top w:val="nil"/>
              <w:left w:val="nil"/>
              <w:bottom w:val="nil"/>
              <w:right w:val="nil"/>
            </w:tcBorders>
            <w:shd w:val="clear" w:color="auto" w:fill="auto"/>
            <w:noWrap/>
            <w:vAlign w:val="center"/>
            <w:hideMark/>
          </w:tcPr>
          <w:p w14:paraId="28DA2C6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79</w:t>
            </w:r>
          </w:p>
        </w:tc>
        <w:tc>
          <w:tcPr>
            <w:tcW w:w="671" w:type="pct"/>
            <w:tcBorders>
              <w:top w:val="nil"/>
              <w:left w:val="nil"/>
              <w:bottom w:val="nil"/>
              <w:right w:val="nil"/>
            </w:tcBorders>
            <w:shd w:val="clear" w:color="auto" w:fill="auto"/>
            <w:noWrap/>
            <w:vAlign w:val="center"/>
            <w:hideMark/>
          </w:tcPr>
          <w:p w14:paraId="54E5B25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1,493</w:t>
            </w:r>
          </w:p>
        </w:tc>
        <w:tc>
          <w:tcPr>
            <w:tcW w:w="714" w:type="pct"/>
            <w:tcBorders>
              <w:top w:val="nil"/>
              <w:left w:val="nil"/>
              <w:bottom w:val="nil"/>
              <w:right w:val="nil"/>
            </w:tcBorders>
            <w:shd w:val="clear" w:color="auto" w:fill="auto"/>
            <w:noWrap/>
            <w:vAlign w:val="center"/>
            <w:hideMark/>
          </w:tcPr>
          <w:p w14:paraId="0AF6E44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2.3 (0.6)</w:t>
            </w:r>
          </w:p>
        </w:tc>
        <w:tc>
          <w:tcPr>
            <w:tcW w:w="714" w:type="pct"/>
            <w:tcBorders>
              <w:top w:val="nil"/>
              <w:left w:val="nil"/>
              <w:bottom w:val="nil"/>
              <w:right w:val="nil"/>
            </w:tcBorders>
            <w:shd w:val="clear" w:color="auto" w:fill="auto"/>
            <w:noWrap/>
            <w:vAlign w:val="center"/>
            <w:hideMark/>
          </w:tcPr>
          <w:p w14:paraId="3C9F841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23.3 (3.4)</w:t>
            </w:r>
          </w:p>
        </w:tc>
      </w:tr>
      <w:tr w:rsidR="003E38E6" w:rsidRPr="003E38E6" w14:paraId="0E3874BB" w14:textId="77777777" w:rsidTr="003E38E6">
        <w:trPr>
          <w:trHeight w:val="300"/>
        </w:trPr>
        <w:tc>
          <w:tcPr>
            <w:tcW w:w="714" w:type="pct"/>
            <w:tcBorders>
              <w:top w:val="nil"/>
              <w:left w:val="nil"/>
              <w:bottom w:val="nil"/>
              <w:right w:val="nil"/>
            </w:tcBorders>
            <w:shd w:val="clear" w:color="auto" w:fill="auto"/>
            <w:noWrap/>
            <w:vAlign w:val="center"/>
            <w:hideMark/>
          </w:tcPr>
          <w:p w14:paraId="495EA4FB"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4EEC079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Benin</w:t>
            </w:r>
          </w:p>
        </w:tc>
        <w:tc>
          <w:tcPr>
            <w:tcW w:w="647" w:type="pct"/>
            <w:tcBorders>
              <w:top w:val="nil"/>
              <w:left w:val="nil"/>
              <w:bottom w:val="nil"/>
              <w:right w:val="nil"/>
            </w:tcBorders>
            <w:shd w:val="clear" w:color="auto" w:fill="auto"/>
            <w:noWrap/>
            <w:vAlign w:val="center"/>
            <w:hideMark/>
          </w:tcPr>
          <w:p w14:paraId="4FEB7CC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2009</w:t>
            </w:r>
          </w:p>
        </w:tc>
        <w:tc>
          <w:tcPr>
            <w:tcW w:w="714" w:type="pct"/>
            <w:tcBorders>
              <w:top w:val="nil"/>
              <w:left w:val="nil"/>
              <w:bottom w:val="nil"/>
              <w:right w:val="nil"/>
            </w:tcBorders>
            <w:shd w:val="clear" w:color="auto" w:fill="auto"/>
            <w:noWrap/>
            <w:vAlign w:val="center"/>
            <w:hideMark/>
          </w:tcPr>
          <w:p w14:paraId="181F9B9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90</w:t>
            </w:r>
          </w:p>
        </w:tc>
        <w:tc>
          <w:tcPr>
            <w:tcW w:w="671" w:type="pct"/>
            <w:tcBorders>
              <w:top w:val="nil"/>
              <w:left w:val="nil"/>
              <w:bottom w:val="nil"/>
              <w:right w:val="nil"/>
            </w:tcBorders>
            <w:shd w:val="clear" w:color="auto" w:fill="auto"/>
            <w:noWrap/>
            <w:vAlign w:val="center"/>
            <w:hideMark/>
          </w:tcPr>
          <w:p w14:paraId="0FA1B96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1,170</w:t>
            </w:r>
          </w:p>
        </w:tc>
        <w:tc>
          <w:tcPr>
            <w:tcW w:w="714" w:type="pct"/>
            <w:tcBorders>
              <w:top w:val="nil"/>
              <w:left w:val="nil"/>
              <w:bottom w:val="nil"/>
              <w:right w:val="nil"/>
            </w:tcBorders>
            <w:shd w:val="clear" w:color="auto" w:fill="auto"/>
            <w:noWrap/>
            <w:vAlign w:val="center"/>
            <w:hideMark/>
          </w:tcPr>
          <w:p w14:paraId="4A52059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0.5 (0.3)</w:t>
            </w:r>
          </w:p>
        </w:tc>
        <w:tc>
          <w:tcPr>
            <w:tcW w:w="714" w:type="pct"/>
            <w:tcBorders>
              <w:top w:val="nil"/>
              <w:left w:val="nil"/>
              <w:bottom w:val="nil"/>
              <w:right w:val="nil"/>
            </w:tcBorders>
            <w:shd w:val="clear" w:color="auto" w:fill="auto"/>
            <w:noWrap/>
            <w:vAlign w:val="center"/>
            <w:hideMark/>
          </w:tcPr>
          <w:p w14:paraId="47AE8BD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18.4 (1.5)</w:t>
            </w:r>
          </w:p>
        </w:tc>
      </w:tr>
      <w:tr w:rsidR="003E38E6" w:rsidRPr="003E38E6" w14:paraId="5BD1C692" w14:textId="77777777" w:rsidTr="003E38E6">
        <w:trPr>
          <w:trHeight w:val="300"/>
        </w:trPr>
        <w:tc>
          <w:tcPr>
            <w:tcW w:w="714" w:type="pct"/>
            <w:tcBorders>
              <w:top w:val="nil"/>
              <w:left w:val="nil"/>
              <w:bottom w:val="nil"/>
              <w:right w:val="nil"/>
            </w:tcBorders>
            <w:shd w:val="clear" w:color="auto" w:fill="auto"/>
            <w:noWrap/>
            <w:vAlign w:val="center"/>
            <w:hideMark/>
          </w:tcPr>
          <w:p w14:paraId="26E2DC70"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682F787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Cambodia</w:t>
            </w:r>
          </w:p>
        </w:tc>
        <w:tc>
          <w:tcPr>
            <w:tcW w:w="647" w:type="pct"/>
            <w:tcBorders>
              <w:top w:val="nil"/>
              <w:left w:val="nil"/>
              <w:bottom w:val="nil"/>
              <w:right w:val="nil"/>
            </w:tcBorders>
            <w:shd w:val="clear" w:color="auto" w:fill="auto"/>
            <w:noWrap/>
            <w:vAlign w:val="center"/>
            <w:hideMark/>
          </w:tcPr>
          <w:p w14:paraId="002E88B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2013</w:t>
            </w:r>
          </w:p>
        </w:tc>
        <w:tc>
          <w:tcPr>
            <w:tcW w:w="714" w:type="pct"/>
            <w:tcBorders>
              <w:top w:val="nil"/>
              <w:left w:val="nil"/>
              <w:bottom w:val="nil"/>
              <w:right w:val="nil"/>
            </w:tcBorders>
            <w:shd w:val="clear" w:color="auto" w:fill="auto"/>
            <w:noWrap/>
            <w:vAlign w:val="center"/>
            <w:hideMark/>
          </w:tcPr>
          <w:p w14:paraId="1440840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85</w:t>
            </w:r>
          </w:p>
        </w:tc>
        <w:tc>
          <w:tcPr>
            <w:tcW w:w="671" w:type="pct"/>
            <w:tcBorders>
              <w:top w:val="nil"/>
              <w:left w:val="nil"/>
              <w:bottom w:val="nil"/>
              <w:right w:val="nil"/>
            </w:tcBorders>
            <w:shd w:val="clear" w:color="auto" w:fill="auto"/>
            <w:noWrap/>
            <w:vAlign w:val="center"/>
            <w:hideMark/>
          </w:tcPr>
          <w:p w14:paraId="0A1560A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1,812</w:t>
            </w:r>
          </w:p>
        </w:tc>
        <w:tc>
          <w:tcPr>
            <w:tcW w:w="714" w:type="pct"/>
            <w:tcBorders>
              <w:top w:val="nil"/>
              <w:left w:val="nil"/>
              <w:bottom w:val="nil"/>
              <w:right w:val="nil"/>
            </w:tcBorders>
            <w:shd w:val="clear" w:color="auto" w:fill="auto"/>
            <w:noWrap/>
            <w:vAlign w:val="center"/>
            <w:hideMark/>
          </w:tcPr>
          <w:p w14:paraId="7128B3C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0.4 (0.1)</w:t>
            </w:r>
          </w:p>
        </w:tc>
        <w:tc>
          <w:tcPr>
            <w:tcW w:w="714" w:type="pct"/>
            <w:tcBorders>
              <w:top w:val="nil"/>
              <w:left w:val="nil"/>
              <w:bottom w:val="nil"/>
              <w:right w:val="nil"/>
            </w:tcBorders>
            <w:shd w:val="clear" w:color="auto" w:fill="auto"/>
            <w:noWrap/>
            <w:vAlign w:val="center"/>
            <w:hideMark/>
          </w:tcPr>
          <w:p w14:paraId="418664B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10.2 (1.4)</w:t>
            </w:r>
          </w:p>
        </w:tc>
      </w:tr>
      <w:tr w:rsidR="003E38E6" w:rsidRPr="003E38E6" w14:paraId="02B44156" w14:textId="77777777" w:rsidTr="003E38E6">
        <w:trPr>
          <w:trHeight w:val="300"/>
        </w:trPr>
        <w:tc>
          <w:tcPr>
            <w:tcW w:w="714" w:type="pct"/>
            <w:tcBorders>
              <w:top w:val="nil"/>
              <w:left w:val="nil"/>
              <w:bottom w:val="nil"/>
              <w:right w:val="nil"/>
            </w:tcBorders>
            <w:shd w:val="clear" w:color="auto" w:fill="auto"/>
            <w:noWrap/>
            <w:vAlign w:val="center"/>
            <w:hideMark/>
          </w:tcPr>
          <w:p w14:paraId="19BBBAF0"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1FF523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Myanmar</w:t>
            </w:r>
          </w:p>
        </w:tc>
        <w:tc>
          <w:tcPr>
            <w:tcW w:w="647" w:type="pct"/>
            <w:tcBorders>
              <w:top w:val="nil"/>
              <w:left w:val="nil"/>
              <w:bottom w:val="nil"/>
              <w:right w:val="nil"/>
            </w:tcBorders>
            <w:shd w:val="clear" w:color="auto" w:fill="auto"/>
            <w:noWrap/>
            <w:vAlign w:val="center"/>
            <w:hideMark/>
          </w:tcPr>
          <w:p w14:paraId="4B02F22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2007</w:t>
            </w:r>
          </w:p>
        </w:tc>
        <w:tc>
          <w:tcPr>
            <w:tcW w:w="714" w:type="pct"/>
            <w:tcBorders>
              <w:top w:val="nil"/>
              <w:left w:val="nil"/>
              <w:bottom w:val="nil"/>
              <w:right w:val="nil"/>
            </w:tcBorders>
            <w:shd w:val="clear" w:color="auto" w:fill="auto"/>
            <w:noWrap/>
            <w:vAlign w:val="center"/>
            <w:hideMark/>
          </w:tcPr>
          <w:p w14:paraId="4B11D0D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95</w:t>
            </w:r>
          </w:p>
        </w:tc>
        <w:tc>
          <w:tcPr>
            <w:tcW w:w="671" w:type="pct"/>
            <w:tcBorders>
              <w:top w:val="nil"/>
              <w:left w:val="nil"/>
              <w:bottom w:val="nil"/>
              <w:right w:val="nil"/>
            </w:tcBorders>
            <w:shd w:val="clear" w:color="auto" w:fill="auto"/>
            <w:noWrap/>
            <w:vAlign w:val="center"/>
            <w:hideMark/>
          </w:tcPr>
          <w:p w14:paraId="0586755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2,227</w:t>
            </w:r>
          </w:p>
        </w:tc>
        <w:tc>
          <w:tcPr>
            <w:tcW w:w="714" w:type="pct"/>
            <w:tcBorders>
              <w:top w:val="nil"/>
              <w:left w:val="nil"/>
              <w:bottom w:val="nil"/>
              <w:right w:val="nil"/>
            </w:tcBorders>
            <w:shd w:val="clear" w:color="auto" w:fill="auto"/>
            <w:noWrap/>
            <w:vAlign w:val="center"/>
            <w:hideMark/>
          </w:tcPr>
          <w:p w14:paraId="124F85C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0.8 (0.3)</w:t>
            </w:r>
          </w:p>
        </w:tc>
        <w:tc>
          <w:tcPr>
            <w:tcW w:w="714" w:type="pct"/>
            <w:tcBorders>
              <w:top w:val="nil"/>
              <w:left w:val="nil"/>
              <w:bottom w:val="nil"/>
              <w:right w:val="nil"/>
            </w:tcBorders>
            <w:shd w:val="clear" w:color="auto" w:fill="auto"/>
            <w:noWrap/>
            <w:vAlign w:val="center"/>
            <w:hideMark/>
          </w:tcPr>
          <w:p w14:paraId="0FCB3B7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9.7 (1.2)</w:t>
            </w:r>
          </w:p>
        </w:tc>
      </w:tr>
      <w:tr w:rsidR="003E38E6" w:rsidRPr="003E38E6" w14:paraId="11CD58DD" w14:textId="77777777" w:rsidTr="003E38E6">
        <w:trPr>
          <w:trHeight w:val="300"/>
        </w:trPr>
        <w:tc>
          <w:tcPr>
            <w:tcW w:w="714" w:type="pct"/>
            <w:tcBorders>
              <w:top w:val="nil"/>
              <w:left w:val="nil"/>
              <w:bottom w:val="nil"/>
              <w:right w:val="nil"/>
            </w:tcBorders>
            <w:shd w:val="clear" w:color="auto" w:fill="auto"/>
            <w:noWrap/>
            <w:vAlign w:val="center"/>
            <w:hideMark/>
          </w:tcPr>
          <w:p w14:paraId="583B2734"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705BE11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Uganda</w:t>
            </w:r>
          </w:p>
        </w:tc>
        <w:tc>
          <w:tcPr>
            <w:tcW w:w="647" w:type="pct"/>
            <w:tcBorders>
              <w:top w:val="nil"/>
              <w:left w:val="nil"/>
              <w:bottom w:val="nil"/>
              <w:right w:val="nil"/>
            </w:tcBorders>
            <w:shd w:val="clear" w:color="auto" w:fill="auto"/>
            <w:noWrap/>
            <w:vAlign w:val="center"/>
            <w:hideMark/>
          </w:tcPr>
          <w:p w14:paraId="0FD8039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2003</w:t>
            </w:r>
          </w:p>
        </w:tc>
        <w:tc>
          <w:tcPr>
            <w:tcW w:w="714" w:type="pct"/>
            <w:tcBorders>
              <w:top w:val="nil"/>
              <w:left w:val="nil"/>
              <w:bottom w:val="nil"/>
              <w:right w:val="nil"/>
            </w:tcBorders>
            <w:shd w:val="clear" w:color="auto" w:fill="auto"/>
            <w:noWrap/>
            <w:vAlign w:val="center"/>
            <w:hideMark/>
          </w:tcPr>
          <w:p w14:paraId="6D0F24B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69</w:t>
            </w:r>
          </w:p>
        </w:tc>
        <w:tc>
          <w:tcPr>
            <w:tcW w:w="671" w:type="pct"/>
            <w:tcBorders>
              <w:top w:val="nil"/>
              <w:left w:val="nil"/>
              <w:bottom w:val="nil"/>
              <w:right w:val="nil"/>
            </w:tcBorders>
            <w:shd w:val="clear" w:color="auto" w:fill="auto"/>
            <w:noWrap/>
            <w:vAlign w:val="center"/>
            <w:hideMark/>
          </w:tcPr>
          <w:p w14:paraId="78FFED9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1,904</w:t>
            </w:r>
          </w:p>
        </w:tc>
        <w:tc>
          <w:tcPr>
            <w:tcW w:w="714" w:type="pct"/>
            <w:tcBorders>
              <w:top w:val="nil"/>
              <w:left w:val="nil"/>
              <w:bottom w:val="nil"/>
              <w:right w:val="nil"/>
            </w:tcBorders>
            <w:shd w:val="clear" w:color="auto" w:fill="auto"/>
            <w:noWrap/>
            <w:vAlign w:val="center"/>
            <w:hideMark/>
          </w:tcPr>
          <w:p w14:paraId="0D4AE91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0.8 (0.2)</w:t>
            </w:r>
          </w:p>
        </w:tc>
        <w:tc>
          <w:tcPr>
            <w:tcW w:w="714" w:type="pct"/>
            <w:tcBorders>
              <w:top w:val="nil"/>
              <w:left w:val="nil"/>
              <w:bottom w:val="nil"/>
              <w:right w:val="nil"/>
            </w:tcBorders>
            <w:shd w:val="clear" w:color="auto" w:fill="auto"/>
            <w:noWrap/>
            <w:vAlign w:val="center"/>
            <w:hideMark/>
          </w:tcPr>
          <w:p w14:paraId="0DDDD1F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27.4 (1.7)</w:t>
            </w:r>
          </w:p>
        </w:tc>
      </w:tr>
      <w:tr w:rsidR="003E38E6" w:rsidRPr="003E38E6" w14:paraId="36707AC6" w14:textId="77777777" w:rsidTr="003E38E6">
        <w:trPr>
          <w:trHeight w:val="300"/>
        </w:trPr>
        <w:tc>
          <w:tcPr>
            <w:tcW w:w="714" w:type="pct"/>
            <w:tcBorders>
              <w:top w:val="nil"/>
              <w:left w:val="nil"/>
              <w:bottom w:val="nil"/>
              <w:right w:val="nil"/>
            </w:tcBorders>
            <w:shd w:val="clear" w:color="auto" w:fill="auto"/>
            <w:noWrap/>
            <w:vAlign w:val="center"/>
            <w:hideMark/>
          </w:tcPr>
          <w:p w14:paraId="0DD6BF20"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026EE1E1"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Total</w:t>
            </w:r>
          </w:p>
        </w:tc>
        <w:tc>
          <w:tcPr>
            <w:tcW w:w="647" w:type="pct"/>
            <w:tcBorders>
              <w:top w:val="nil"/>
              <w:left w:val="nil"/>
              <w:bottom w:val="nil"/>
              <w:right w:val="nil"/>
            </w:tcBorders>
            <w:shd w:val="clear" w:color="auto" w:fill="auto"/>
            <w:noWrap/>
            <w:vAlign w:val="center"/>
            <w:hideMark/>
          </w:tcPr>
          <w:p w14:paraId="72DC3181" w14:textId="77777777" w:rsidR="003E38E6" w:rsidRPr="003E38E6" w:rsidRDefault="003E38E6" w:rsidP="003E38E6">
            <w:pPr>
              <w:rPr>
                <w:rFonts w:eastAsia="Times New Roman"/>
                <w:color w:val="000000"/>
                <w:lang w:val="en-GB"/>
              </w:rPr>
            </w:pPr>
          </w:p>
        </w:tc>
        <w:tc>
          <w:tcPr>
            <w:tcW w:w="714" w:type="pct"/>
            <w:tcBorders>
              <w:top w:val="nil"/>
              <w:left w:val="nil"/>
              <w:bottom w:val="nil"/>
              <w:right w:val="nil"/>
            </w:tcBorders>
            <w:shd w:val="clear" w:color="auto" w:fill="auto"/>
            <w:noWrap/>
            <w:vAlign w:val="center"/>
            <w:hideMark/>
          </w:tcPr>
          <w:p w14:paraId="0464079F" w14:textId="77777777" w:rsidR="003E38E6" w:rsidRPr="003E38E6" w:rsidRDefault="003E38E6" w:rsidP="003E38E6">
            <w:pPr>
              <w:rPr>
                <w:rFonts w:eastAsia="Times New Roman"/>
                <w:color w:val="000000"/>
                <w:lang w:val="en-GB"/>
              </w:rPr>
            </w:pPr>
          </w:p>
        </w:tc>
        <w:tc>
          <w:tcPr>
            <w:tcW w:w="671" w:type="pct"/>
            <w:tcBorders>
              <w:top w:val="nil"/>
              <w:left w:val="nil"/>
              <w:bottom w:val="nil"/>
              <w:right w:val="nil"/>
            </w:tcBorders>
            <w:shd w:val="clear" w:color="auto" w:fill="auto"/>
            <w:noWrap/>
            <w:vAlign w:val="center"/>
            <w:hideMark/>
          </w:tcPr>
          <w:p w14:paraId="0C851C95"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8,606</w:t>
            </w:r>
          </w:p>
        </w:tc>
        <w:tc>
          <w:tcPr>
            <w:tcW w:w="714" w:type="pct"/>
            <w:tcBorders>
              <w:top w:val="nil"/>
              <w:left w:val="nil"/>
              <w:bottom w:val="nil"/>
              <w:right w:val="nil"/>
            </w:tcBorders>
            <w:shd w:val="clear" w:color="auto" w:fill="auto"/>
            <w:noWrap/>
            <w:vAlign w:val="center"/>
            <w:hideMark/>
          </w:tcPr>
          <w:p w14:paraId="69A62DFC"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0.8 (0.2)</w:t>
            </w:r>
          </w:p>
        </w:tc>
        <w:tc>
          <w:tcPr>
            <w:tcW w:w="714" w:type="pct"/>
            <w:tcBorders>
              <w:top w:val="nil"/>
              <w:left w:val="nil"/>
              <w:bottom w:val="nil"/>
              <w:right w:val="nil"/>
            </w:tcBorders>
            <w:shd w:val="clear" w:color="auto" w:fill="auto"/>
            <w:noWrap/>
            <w:vAlign w:val="center"/>
            <w:hideMark/>
          </w:tcPr>
          <w:p w14:paraId="273EFCAF"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13.6 (0.9)</w:t>
            </w:r>
          </w:p>
        </w:tc>
      </w:tr>
      <w:tr w:rsidR="003E38E6" w:rsidRPr="003E38E6" w14:paraId="7065E318" w14:textId="77777777" w:rsidTr="003E38E6">
        <w:trPr>
          <w:trHeight w:val="300"/>
        </w:trPr>
        <w:tc>
          <w:tcPr>
            <w:tcW w:w="714" w:type="pct"/>
            <w:tcBorders>
              <w:top w:val="nil"/>
              <w:left w:val="nil"/>
              <w:bottom w:val="nil"/>
              <w:right w:val="nil"/>
            </w:tcBorders>
            <w:shd w:val="clear" w:color="auto" w:fill="auto"/>
            <w:noWrap/>
            <w:vAlign w:val="center"/>
            <w:hideMark/>
          </w:tcPr>
          <w:p w14:paraId="1422D66C" w14:textId="08FD68B9" w:rsidR="003E38E6" w:rsidRPr="003E38E6" w:rsidRDefault="00007C35" w:rsidP="003E38E6">
            <w:pPr>
              <w:rPr>
                <w:rFonts w:eastAsia="Times New Roman"/>
                <w:color w:val="000000"/>
                <w:sz w:val="22"/>
                <w:szCs w:val="22"/>
                <w:lang w:val="en-GB"/>
              </w:rPr>
            </w:pPr>
            <w:r>
              <w:rPr>
                <w:rFonts w:eastAsia="Times New Roman"/>
                <w:color w:val="000000"/>
                <w:sz w:val="22"/>
                <w:szCs w:val="22"/>
                <w:lang w:val="en-GB"/>
              </w:rPr>
              <w:t>Lower m</w:t>
            </w:r>
            <w:r w:rsidR="003E38E6" w:rsidRPr="003E38E6">
              <w:rPr>
                <w:rFonts w:eastAsia="Times New Roman"/>
                <w:color w:val="000000"/>
                <w:sz w:val="22"/>
                <w:szCs w:val="22"/>
                <w:lang w:val="en-GB"/>
              </w:rPr>
              <w:t>iddle</w:t>
            </w:r>
          </w:p>
        </w:tc>
        <w:tc>
          <w:tcPr>
            <w:tcW w:w="826" w:type="pct"/>
            <w:tcBorders>
              <w:top w:val="nil"/>
              <w:left w:val="nil"/>
              <w:bottom w:val="nil"/>
              <w:right w:val="nil"/>
            </w:tcBorders>
            <w:shd w:val="clear" w:color="auto" w:fill="auto"/>
            <w:noWrap/>
            <w:vAlign w:val="center"/>
            <w:hideMark/>
          </w:tcPr>
          <w:p w14:paraId="1788B49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Bangladesh</w:t>
            </w:r>
          </w:p>
        </w:tc>
        <w:tc>
          <w:tcPr>
            <w:tcW w:w="647" w:type="pct"/>
            <w:tcBorders>
              <w:top w:val="nil"/>
              <w:left w:val="nil"/>
              <w:bottom w:val="nil"/>
              <w:right w:val="nil"/>
            </w:tcBorders>
            <w:shd w:val="clear" w:color="auto" w:fill="auto"/>
            <w:noWrap/>
            <w:vAlign w:val="center"/>
            <w:hideMark/>
          </w:tcPr>
          <w:p w14:paraId="7283F58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2014</w:t>
            </w:r>
          </w:p>
        </w:tc>
        <w:tc>
          <w:tcPr>
            <w:tcW w:w="714" w:type="pct"/>
            <w:tcBorders>
              <w:top w:val="nil"/>
              <w:left w:val="nil"/>
              <w:bottom w:val="nil"/>
              <w:right w:val="nil"/>
            </w:tcBorders>
            <w:shd w:val="clear" w:color="auto" w:fill="auto"/>
            <w:noWrap/>
            <w:vAlign w:val="center"/>
            <w:hideMark/>
          </w:tcPr>
          <w:p w14:paraId="4B6EB6C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91</w:t>
            </w:r>
          </w:p>
        </w:tc>
        <w:tc>
          <w:tcPr>
            <w:tcW w:w="671" w:type="pct"/>
            <w:tcBorders>
              <w:top w:val="nil"/>
              <w:left w:val="nil"/>
              <w:bottom w:val="nil"/>
              <w:right w:val="nil"/>
            </w:tcBorders>
            <w:shd w:val="clear" w:color="auto" w:fill="auto"/>
            <w:noWrap/>
            <w:vAlign w:val="center"/>
            <w:hideMark/>
          </w:tcPr>
          <w:p w14:paraId="7167950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2,753</w:t>
            </w:r>
          </w:p>
        </w:tc>
        <w:tc>
          <w:tcPr>
            <w:tcW w:w="714" w:type="pct"/>
            <w:tcBorders>
              <w:top w:val="nil"/>
              <w:left w:val="nil"/>
              <w:bottom w:val="nil"/>
              <w:right w:val="nil"/>
            </w:tcBorders>
            <w:shd w:val="clear" w:color="auto" w:fill="auto"/>
            <w:noWrap/>
            <w:vAlign w:val="center"/>
            <w:hideMark/>
          </w:tcPr>
          <w:p w14:paraId="2DCD6DC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1.3 (0.5)</w:t>
            </w:r>
          </w:p>
        </w:tc>
        <w:tc>
          <w:tcPr>
            <w:tcW w:w="714" w:type="pct"/>
            <w:tcBorders>
              <w:top w:val="nil"/>
              <w:left w:val="nil"/>
              <w:bottom w:val="nil"/>
              <w:right w:val="nil"/>
            </w:tcBorders>
            <w:shd w:val="clear" w:color="auto" w:fill="auto"/>
            <w:noWrap/>
            <w:vAlign w:val="center"/>
            <w:hideMark/>
          </w:tcPr>
          <w:p w14:paraId="3CFA7BA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14.9 (2.0)</w:t>
            </w:r>
          </w:p>
        </w:tc>
      </w:tr>
      <w:tr w:rsidR="003E38E6" w:rsidRPr="003E38E6" w14:paraId="49E9F888" w14:textId="77777777" w:rsidTr="003E38E6">
        <w:trPr>
          <w:trHeight w:val="300"/>
        </w:trPr>
        <w:tc>
          <w:tcPr>
            <w:tcW w:w="714" w:type="pct"/>
            <w:tcBorders>
              <w:top w:val="nil"/>
              <w:left w:val="nil"/>
              <w:bottom w:val="nil"/>
              <w:right w:val="nil"/>
            </w:tcBorders>
            <w:shd w:val="clear" w:color="auto" w:fill="auto"/>
            <w:noWrap/>
            <w:vAlign w:val="center"/>
            <w:hideMark/>
          </w:tcPr>
          <w:p w14:paraId="0FC6097B"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B666D9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Belize</w:t>
            </w:r>
          </w:p>
        </w:tc>
        <w:tc>
          <w:tcPr>
            <w:tcW w:w="647" w:type="pct"/>
            <w:tcBorders>
              <w:top w:val="nil"/>
              <w:left w:val="nil"/>
              <w:bottom w:val="nil"/>
              <w:right w:val="nil"/>
            </w:tcBorders>
            <w:shd w:val="clear" w:color="auto" w:fill="auto"/>
            <w:noWrap/>
            <w:vAlign w:val="center"/>
            <w:hideMark/>
          </w:tcPr>
          <w:p w14:paraId="6387967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63A363A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w:t>
            </w:r>
          </w:p>
        </w:tc>
        <w:tc>
          <w:tcPr>
            <w:tcW w:w="671" w:type="pct"/>
            <w:tcBorders>
              <w:top w:val="nil"/>
              <w:left w:val="nil"/>
              <w:bottom w:val="nil"/>
              <w:right w:val="nil"/>
            </w:tcBorders>
            <w:shd w:val="clear" w:color="auto" w:fill="auto"/>
            <w:noWrap/>
            <w:vAlign w:val="center"/>
            <w:hideMark/>
          </w:tcPr>
          <w:p w14:paraId="0E3338D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1,600</w:t>
            </w:r>
          </w:p>
        </w:tc>
        <w:tc>
          <w:tcPr>
            <w:tcW w:w="714" w:type="pct"/>
            <w:tcBorders>
              <w:top w:val="nil"/>
              <w:left w:val="nil"/>
              <w:bottom w:val="nil"/>
              <w:right w:val="nil"/>
            </w:tcBorders>
            <w:shd w:val="clear" w:color="auto" w:fill="auto"/>
            <w:noWrap/>
            <w:vAlign w:val="center"/>
            <w:hideMark/>
          </w:tcPr>
          <w:p w14:paraId="5E185FE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13.5 (1.3)</w:t>
            </w:r>
          </w:p>
        </w:tc>
        <w:tc>
          <w:tcPr>
            <w:tcW w:w="714" w:type="pct"/>
            <w:tcBorders>
              <w:top w:val="nil"/>
              <w:left w:val="nil"/>
              <w:bottom w:val="nil"/>
              <w:right w:val="nil"/>
            </w:tcBorders>
            <w:shd w:val="clear" w:color="auto" w:fill="auto"/>
            <w:noWrap/>
            <w:vAlign w:val="center"/>
            <w:hideMark/>
          </w:tcPr>
          <w:p w14:paraId="68240BE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36.3 (2.0)</w:t>
            </w:r>
          </w:p>
        </w:tc>
      </w:tr>
      <w:tr w:rsidR="003E38E6" w:rsidRPr="003E38E6" w14:paraId="05532E7A" w14:textId="77777777" w:rsidTr="003E38E6">
        <w:trPr>
          <w:trHeight w:val="300"/>
        </w:trPr>
        <w:tc>
          <w:tcPr>
            <w:tcW w:w="714" w:type="pct"/>
            <w:tcBorders>
              <w:top w:val="nil"/>
              <w:left w:val="nil"/>
              <w:bottom w:val="nil"/>
              <w:right w:val="nil"/>
            </w:tcBorders>
            <w:shd w:val="clear" w:color="auto" w:fill="auto"/>
            <w:noWrap/>
            <w:vAlign w:val="center"/>
            <w:hideMark/>
          </w:tcPr>
          <w:p w14:paraId="2FF06228"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3F26FD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Bolivia</w:t>
            </w:r>
          </w:p>
        </w:tc>
        <w:tc>
          <w:tcPr>
            <w:tcW w:w="647" w:type="pct"/>
            <w:tcBorders>
              <w:top w:val="nil"/>
              <w:left w:val="nil"/>
              <w:bottom w:val="nil"/>
              <w:right w:val="nil"/>
            </w:tcBorders>
            <w:shd w:val="clear" w:color="auto" w:fill="auto"/>
            <w:noWrap/>
            <w:vAlign w:val="center"/>
            <w:hideMark/>
          </w:tcPr>
          <w:p w14:paraId="76B8BC9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28276C2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w:t>
            </w:r>
          </w:p>
        </w:tc>
        <w:tc>
          <w:tcPr>
            <w:tcW w:w="671" w:type="pct"/>
            <w:tcBorders>
              <w:top w:val="nil"/>
              <w:left w:val="nil"/>
              <w:bottom w:val="nil"/>
              <w:right w:val="nil"/>
            </w:tcBorders>
            <w:shd w:val="clear" w:color="auto" w:fill="auto"/>
            <w:noWrap/>
            <w:vAlign w:val="center"/>
            <w:hideMark/>
          </w:tcPr>
          <w:p w14:paraId="0B6E08A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2,804</w:t>
            </w:r>
          </w:p>
        </w:tc>
        <w:tc>
          <w:tcPr>
            <w:tcW w:w="714" w:type="pct"/>
            <w:tcBorders>
              <w:top w:val="nil"/>
              <w:left w:val="nil"/>
              <w:bottom w:val="nil"/>
              <w:right w:val="nil"/>
            </w:tcBorders>
            <w:shd w:val="clear" w:color="auto" w:fill="auto"/>
            <w:noWrap/>
            <w:vAlign w:val="center"/>
            <w:hideMark/>
          </w:tcPr>
          <w:p w14:paraId="174E2C9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4.7 (0.7)</w:t>
            </w:r>
          </w:p>
        </w:tc>
        <w:tc>
          <w:tcPr>
            <w:tcW w:w="714" w:type="pct"/>
            <w:tcBorders>
              <w:top w:val="nil"/>
              <w:left w:val="nil"/>
              <w:bottom w:val="nil"/>
              <w:right w:val="nil"/>
            </w:tcBorders>
            <w:shd w:val="clear" w:color="auto" w:fill="auto"/>
            <w:noWrap/>
            <w:vAlign w:val="center"/>
            <w:hideMark/>
          </w:tcPr>
          <w:p w14:paraId="2D11220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24.3 (1.5)</w:t>
            </w:r>
          </w:p>
        </w:tc>
      </w:tr>
      <w:tr w:rsidR="003E38E6" w:rsidRPr="003E38E6" w14:paraId="0DB41F9E" w14:textId="77777777" w:rsidTr="003E38E6">
        <w:trPr>
          <w:trHeight w:val="300"/>
        </w:trPr>
        <w:tc>
          <w:tcPr>
            <w:tcW w:w="714" w:type="pct"/>
            <w:tcBorders>
              <w:top w:val="nil"/>
              <w:left w:val="nil"/>
              <w:bottom w:val="nil"/>
              <w:right w:val="nil"/>
            </w:tcBorders>
            <w:shd w:val="clear" w:color="auto" w:fill="auto"/>
            <w:noWrap/>
            <w:vAlign w:val="center"/>
            <w:hideMark/>
          </w:tcPr>
          <w:p w14:paraId="632AC02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7A1B97F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Djibouti</w:t>
            </w:r>
          </w:p>
        </w:tc>
        <w:tc>
          <w:tcPr>
            <w:tcW w:w="647" w:type="pct"/>
            <w:tcBorders>
              <w:top w:val="nil"/>
              <w:left w:val="nil"/>
              <w:bottom w:val="nil"/>
              <w:right w:val="nil"/>
            </w:tcBorders>
            <w:shd w:val="clear" w:color="auto" w:fill="auto"/>
            <w:noWrap/>
            <w:vAlign w:val="center"/>
            <w:hideMark/>
          </w:tcPr>
          <w:p w14:paraId="0FA12D0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2007</w:t>
            </w:r>
          </w:p>
        </w:tc>
        <w:tc>
          <w:tcPr>
            <w:tcW w:w="714" w:type="pct"/>
            <w:tcBorders>
              <w:top w:val="nil"/>
              <w:left w:val="nil"/>
              <w:bottom w:val="nil"/>
              <w:right w:val="nil"/>
            </w:tcBorders>
            <w:shd w:val="clear" w:color="auto" w:fill="auto"/>
            <w:noWrap/>
            <w:vAlign w:val="center"/>
            <w:hideMark/>
          </w:tcPr>
          <w:p w14:paraId="354A3B9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83</w:t>
            </w:r>
          </w:p>
        </w:tc>
        <w:tc>
          <w:tcPr>
            <w:tcW w:w="671" w:type="pct"/>
            <w:tcBorders>
              <w:top w:val="nil"/>
              <w:left w:val="nil"/>
              <w:bottom w:val="nil"/>
              <w:right w:val="nil"/>
            </w:tcBorders>
            <w:shd w:val="clear" w:color="auto" w:fill="auto"/>
            <w:noWrap/>
            <w:vAlign w:val="center"/>
            <w:hideMark/>
          </w:tcPr>
          <w:p w14:paraId="7BDCF0F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962</w:t>
            </w:r>
          </w:p>
        </w:tc>
        <w:tc>
          <w:tcPr>
            <w:tcW w:w="714" w:type="pct"/>
            <w:tcBorders>
              <w:top w:val="nil"/>
              <w:left w:val="nil"/>
              <w:bottom w:val="nil"/>
              <w:right w:val="nil"/>
            </w:tcBorders>
            <w:shd w:val="clear" w:color="auto" w:fill="auto"/>
            <w:noWrap/>
            <w:vAlign w:val="center"/>
            <w:hideMark/>
          </w:tcPr>
          <w:p w14:paraId="6614F6C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4.6 (0.7)</w:t>
            </w:r>
          </w:p>
        </w:tc>
        <w:tc>
          <w:tcPr>
            <w:tcW w:w="714" w:type="pct"/>
            <w:tcBorders>
              <w:top w:val="nil"/>
              <w:left w:val="nil"/>
              <w:bottom w:val="nil"/>
              <w:right w:val="nil"/>
            </w:tcBorders>
            <w:shd w:val="clear" w:color="auto" w:fill="auto"/>
            <w:noWrap/>
            <w:vAlign w:val="center"/>
            <w:hideMark/>
          </w:tcPr>
          <w:p w14:paraId="4D4C931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32.3 (2.0)</w:t>
            </w:r>
          </w:p>
        </w:tc>
      </w:tr>
      <w:tr w:rsidR="003E38E6" w:rsidRPr="003E38E6" w14:paraId="3AB98C54" w14:textId="77777777" w:rsidTr="003E38E6">
        <w:trPr>
          <w:trHeight w:val="300"/>
        </w:trPr>
        <w:tc>
          <w:tcPr>
            <w:tcW w:w="714" w:type="pct"/>
            <w:tcBorders>
              <w:top w:val="nil"/>
              <w:left w:val="nil"/>
              <w:bottom w:val="nil"/>
              <w:right w:val="nil"/>
            </w:tcBorders>
            <w:shd w:val="clear" w:color="auto" w:fill="auto"/>
            <w:noWrap/>
            <w:vAlign w:val="center"/>
            <w:hideMark/>
          </w:tcPr>
          <w:p w14:paraId="522DBBB3"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F86B0E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Egypt</w:t>
            </w:r>
          </w:p>
        </w:tc>
        <w:tc>
          <w:tcPr>
            <w:tcW w:w="647" w:type="pct"/>
            <w:tcBorders>
              <w:top w:val="nil"/>
              <w:left w:val="nil"/>
              <w:bottom w:val="nil"/>
              <w:right w:val="nil"/>
            </w:tcBorders>
            <w:shd w:val="clear" w:color="auto" w:fill="auto"/>
            <w:noWrap/>
            <w:vAlign w:val="center"/>
            <w:hideMark/>
          </w:tcPr>
          <w:p w14:paraId="2D3E20F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43840F7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85</w:t>
            </w:r>
          </w:p>
        </w:tc>
        <w:tc>
          <w:tcPr>
            <w:tcW w:w="671" w:type="pct"/>
            <w:tcBorders>
              <w:top w:val="nil"/>
              <w:left w:val="nil"/>
              <w:bottom w:val="nil"/>
              <w:right w:val="nil"/>
            </w:tcBorders>
            <w:shd w:val="clear" w:color="auto" w:fill="auto"/>
            <w:noWrap/>
            <w:vAlign w:val="center"/>
            <w:hideMark/>
          </w:tcPr>
          <w:p w14:paraId="3C51BFE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2,364</w:t>
            </w:r>
          </w:p>
        </w:tc>
        <w:tc>
          <w:tcPr>
            <w:tcW w:w="714" w:type="pct"/>
            <w:tcBorders>
              <w:top w:val="nil"/>
              <w:left w:val="nil"/>
              <w:bottom w:val="nil"/>
              <w:right w:val="nil"/>
            </w:tcBorders>
            <w:shd w:val="clear" w:color="auto" w:fill="auto"/>
            <w:noWrap/>
            <w:vAlign w:val="center"/>
            <w:hideMark/>
          </w:tcPr>
          <w:p w14:paraId="273C47A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7.7 (0.7)</w:t>
            </w:r>
          </w:p>
        </w:tc>
        <w:tc>
          <w:tcPr>
            <w:tcW w:w="714" w:type="pct"/>
            <w:tcBorders>
              <w:top w:val="nil"/>
              <w:left w:val="nil"/>
              <w:bottom w:val="nil"/>
              <w:right w:val="nil"/>
            </w:tcBorders>
            <w:shd w:val="clear" w:color="auto" w:fill="auto"/>
            <w:noWrap/>
            <w:vAlign w:val="center"/>
            <w:hideMark/>
          </w:tcPr>
          <w:p w14:paraId="4E94BA3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27.5 (2.8)</w:t>
            </w:r>
          </w:p>
        </w:tc>
      </w:tr>
      <w:tr w:rsidR="003E38E6" w:rsidRPr="003E38E6" w14:paraId="12E754EB" w14:textId="77777777" w:rsidTr="003E38E6">
        <w:trPr>
          <w:trHeight w:val="300"/>
        </w:trPr>
        <w:tc>
          <w:tcPr>
            <w:tcW w:w="714" w:type="pct"/>
            <w:tcBorders>
              <w:top w:val="nil"/>
              <w:left w:val="nil"/>
              <w:bottom w:val="nil"/>
              <w:right w:val="nil"/>
            </w:tcBorders>
            <w:shd w:val="clear" w:color="auto" w:fill="auto"/>
            <w:noWrap/>
            <w:vAlign w:val="center"/>
            <w:hideMark/>
          </w:tcPr>
          <w:p w14:paraId="7B494801"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455C583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El Salvador</w:t>
            </w:r>
          </w:p>
        </w:tc>
        <w:tc>
          <w:tcPr>
            <w:tcW w:w="647" w:type="pct"/>
            <w:tcBorders>
              <w:top w:val="nil"/>
              <w:left w:val="nil"/>
              <w:bottom w:val="nil"/>
              <w:right w:val="nil"/>
            </w:tcBorders>
            <w:shd w:val="clear" w:color="auto" w:fill="auto"/>
            <w:noWrap/>
            <w:vAlign w:val="center"/>
            <w:hideMark/>
          </w:tcPr>
          <w:p w14:paraId="02B1B1A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2013</w:t>
            </w:r>
          </w:p>
        </w:tc>
        <w:tc>
          <w:tcPr>
            <w:tcW w:w="714" w:type="pct"/>
            <w:tcBorders>
              <w:top w:val="nil"/>
              <w:left w:val="nil"/>
              <w:bottom w:val="nil"/>
              <w:right w:val="nil"/>
            </w:tcBorders>
            <w:shd w:val="clear" w:color="auto" w:fill="auto"/>
            <w:noWrap/>
            <w:vAlign w:val="center"/>
            <w:hideMark/>
          </w:tcPr>
          <w:p w14:paraId="75F9A59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w:t>
            </w:r>
          </w:p>
        </w:tc>
        <w:tc>
          <w:tcPr>
            <w:tcW w:w="671" w:type="pct"/>
            <w:tcBorders>
              <w:top w:val="nil"/>
              <w:left w:val="nil"/>
              <w:bottom w:val="nil"/>
              <w:right w:val="nil"/>
            </w:tcBorders>
            <w:shd w:val="clear" w:color="auto" w:fill="auto"/>
            <w:noWrap/>
            <w:vAlign w:val="center"/>
            <w:hideMark/>
          </w:tcPr>
          <w:p w14:paraId="0553769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1,615</w:t>
            </w:r>
          </w:p>
        </w:tc>
        <w:tc>
          <w:tcPr>
            <w:tcW w:w="714" w:type="pct"/>
            <w:tcBorders>
              <w:top w:val="nil"/>
              <w:left w:val="nil"/>
              <w:bottom w:val="nil"/>
              <w:right w:val="nil"/>
            </w:tcBorders>
            <w:shd w:val="clear" w:color="auto" w:fill="auto"/>
            <w:noWrap/>
            <w:vAlign w:val="center"/>
            <w:hideMark/>
          </w:tcPr>
          <w:p w14:paraId="6DF967A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10.3 (0.8)</w:t>
            </w:r>
          </w:p>
        </w:tc>
        <w:tc>
          <w:tcPr>
            <w:tcW w:w="714" w:type="pct"/>
            <w:tcBorders>
              <w:top w:val="nil"/>
              <w:left w:val="nil"/>
              <w:bottom w:val="nil"/>
              <w:right w:val="nil"/>
            </w:tcBorders>
            <w:shd w:val="clear" w:color="auto" w:fill="auto"/>
            <w:noWrap/>
            <w:vAlign w:val="center"/>
            <w:hideMark/>
          </w:tcPr>
          <w:p w14:paraId="140B5C7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35.2 (2.4)</w:t>
            </w:r>
          </w:p>
        </w:tc>
      </w:tr>
      <w:tr w:rsidR="003E38E6" w:rsidRPr="003E38E6" w14:paraId="5FA0F6AB" w14:textId="77777777" w:rsidTr="003E38E6">
        <w:trPr>
          <w:trHeight w:val="300"/>
        </w:trPr>
        <w:tc>
          <w:tcPr>
            <w:tcW w:w="714" w:type="pct"/>
            <w:tcBorders>
              <w:top w:val="nil"/>
              <w:left w:val="nil"/>
              <w:bottom w:val="nil"/>
              <w:right w:val="nil"/>
            </w:tcBorders>
            <w:shd w:val="clear" w:color="auto" w:fill="auto"/>
            <w:noWrap/>
            <w:vAlign w:val="center"/>
            <w:hideMark/>
          </w:tcPr>
          <w:p w14:paraId="4FB16F5F"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650A6B9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Fiji</w:t>
            </w:r>
          </w:p>
        </w:tc>
        <w:tc>
          <w:tcPr>
            <w:tcW w:w="647" w:type="pct"/>
            <w:tcBorders>
              <w:top w:val="nil"/>
              <w:left w:val="nil"/>
              <w:bottom w:val="nil"/>
              <w:right w:val="nil"/>
            </w:tcBorders>
            <w:shd w:val="clear" w:color="auto" w:fill="auto"/>
            <w:noWrap/>
            <w:vAlign w:val="center"/>
            <w:hideMark/>
          </w:tcPr>
          <w:p w14:paraId="5BCEAF7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232F1F4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90</w:t>
            </w:r>
          </w:p>
        </w:tc>
        <w:tc>
          <w:tcPr>
            <w:tcW w:w="671" w:type="pct"/>
            <w:tcBorders>
              <w:top w:val="nil"/>
              <w:left w:val="nil"/>
              <w:bottom w:val="nil"/>
              <w:right w:val="nil"/>
            </w:tcBorders>
            <w:shd w:val="clear" w:color="auto" w:fill="auto"/>
            <w:noWrap/>
            <w:vAlign w:val="center"/>
            <w:hideMark/>
          </w:tcPr>
          <w:p w14:paraId="61CF007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1,495</w:t>
            </w:r>
          </w:p>
        </w:tc>
        <w:tc>
          <w:tcPr>
            <w:tcW w:w="714" w:type="pct"/>
            <w:tcBorders>
              <w:top w:val="nil"/>
              <w:left w:val="nil"/>
              <w:bottom w:val="nil"/>
              <w:right w:val="nil"/>
            </w:tcBorders>
            <w:shd w:val="clear" w:color="auto" w:fill="auto"/>
            <w:noWrap/>
            <w:vAlign w:val="center"/>
            <w:hideMark/>
          </w:tcPr>
          <w:p w14:paraId="5D50C43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5.3 (0.5)</w:t>
            </w:r>
          </w:p>
        </w:tc>
        <w:tc>
          <w:tcPr>
            <w:tcW w:w="714" w:type="pct"/>
            <w:tcBorders>
              <w:top w:val="nil"/>
              <w:left w:val="nil"/>
              <w:bottom w:val="nil"/>
              <w:right w:val="nil"/>
            </w:tcBorders>
            <w:shd w:val="clear" w:color="auto" w:fill="auto"/>
            <w:noWrap/>
            <w:vAlign w:val="center"/>
            <w:hideMark/>
          </w:tcPr>
          <w:p w14:paraId="7E856C8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27.2 (2.0)</w:t>
            </w:r>
          </w:p>
        </w:tc>
      </w:tr>
      <w:tr w:rsidR="003E38E6" w:rsidRPr="003E38E6" w14:paraId="61763AE5" w14:textId="77777777" w:rsidTr="003E38E6">
        <w:trPr>
          <w:trHeight w:val="300"/>
        </w:trPr>
        <w:tc>
          <w:tcPr>
            <w:tcW w:w="714" w:type="pct"/>
            <w:tcBorders>
              <w:top w:val="nil"/>
              <w:left w:val="nil"/>
              <w:bottom w:val="nil"/>
              <w:right w:val="nil"/>
            </w:tcBorders>
            <w:shd w:val="clear" w:color="auto" w:fill="auto"/>
            <w:noWrap/>
            <w:vAlign w:val="center"/>
            <w:hideMark/>
          </w:tcPr>
          <w:p w14:paraId="3D23DB8F"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3AAC3D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Ghana</w:t>
            </w:r>
          </w:p>
        </w:tc>
        <w:tc>
          <w:tcPr>
            <w:tcW w:w="647" w:type="pct"/>
            <w:tcBorders>
              <w:top w:val="nil"/>
              <w:left w:val="nil"/>
              <w:bottom w:val="nil"/>
              <w:right w:val="nil"/>
            </w:tcBorders>
            <w:shd w:val="clear" w:color="auto" w:fill="auto"/>
            <w:noWrap/>
            <w:vAlign w:val="center"/>
            <w:hideMark/>
          </w:tcPr>
          <w:p w14:paraId="692795C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2EA9AD2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82</w:t>
            </w:r>
          </w:p>
        </w:tc>
        <w:tc>
          <w:tcPr>
            <w:tcW w:w="671" w:type="pct"/>
            <w:tcBorders>
              <w:top w:val="nil"/>
              <w:left w:val="nil"/>
              <w:bottom w:val="nil"/>
              <w:right w:val="nil"/>
            </w:tcBorders>
            <w:shd w:val="clear" w:color="auto" w:fill="auto"/>
            <w:noWrap/>
            <w:vAlign w:val="center"/>
            <w:hideMark/>
          </w:tcPr>
          <w:p w14:paraId="3E63FA3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1,110</w:t>
            </w:r>
          </w:p>
        </w:tc>
        <w:tc>
          <w:tcPr>
            <w:tcW w:w="714" w:type="pct"/>
            <w:tcBorders>
              <w:top w:val="nil"/>
              <w:left w:val="nil"/>
              <w:bottom w:val="nil"/>
              <w:right w:val="nil"/>
            </w:tcBorders>
            <w:shd w:val="clear" w:color="auto" w:fill="auto"/>
            <w:noWrap/>
            <w:vAlign w:val="center"/>
            <w:hideMark/>
          </w:tcPr>
          <w:p w14:paraId="1C84174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 (0.6)</w:t>
            </w:r>
          </w:p>
        </w:tc>
        <w:tc>
          <w:tcPr>
            <w:tcW w:w="714" w:type="pct"/>
            <w:tcBorders>
              <w:top w:val="nil"/>
              <w:left w:val="nil"/>
              <w:bottom w:val="nil"/>
              <w:right w:val="nil"/>
            </w:tcBorders>
            <w:shd w:val="clear" w:color="auto" w:fill="auto"/>
            <w:noWrap/>
            <w:vAlign w:val="center"/>
            <w:hideMark/>
          </w:tcPr>
          <w:p w14:paraId="127D06B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18.4 (1.6)</w:t>
            </w:r>
          </w:p>
        </w:tc>
      </w:tr>
      <w:tr w:rsidR="003E38E6" w:rsidRPr="003E38E6" w14:paraId="4CE33FAD" w14:textId="77777777" w:rsidTr="003E38E6">
        <w:trPr>
          <w:trHeight w:val="300"/>
        </w:trPr>
        <w:tc>
          <w:tcPr>
            <w:tcW w:w="714" w:type="pct"/>
            <w:tcBorders>
              <w:top w:val="nil"/>
              <w:left w:val="nil"/>
              <w:bottom w:val="nil"/>
              <w:right w:val="nil"/>
            </w:tcBorders>
            <w:shd w:val="clear" w:color="auto" w:fill="auto"/>
            <w:noWrap/>
            <w:vAlign w:val="center"/>
            <w:hideMark/>
          </w:tcPr>
          <w:p w14:paraId="0FBE3C6F"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10212E9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Guatemala</w:t>
            </w:r>
          </w:p>
        </w:tc>
        <w:tc>
          <w:tcPr>
            <w:tcW w:w="647" w:type="pct"/>
            <w:tcBorders>
              <w:top w:val="nil"/>
              <w:left w:val="nil"/>
              <w:bottom w:val="nil"/>
              <w:right w:val="nil"/>
            </w:tcBorders>
            <w:shd w:val="clear" w:color="auto" w:fill="auto"/>
            <w:noWrap/>
            <w:vAlign w:val="center"/>
            <w:hideMark/>
          </w:tcPr>
          <w:p w14:paraId="6406110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2015</w:t>
            </w:r>
          </w:p>
        </w:tc>
        <w:tc>
          <w:tcPr>
            <w:tcW w:w="714" w:type="pct"/>
            <w:tcBorders>
              <w:top w:val="nil"/>
              <w:left w:val="nil"/>
              <w:bottom w:val="nil"/>
              <w:right w:val="nil"/>
            </w:tcBorders>
            <w:shd w:val="clear" w:color="auto" w:fill="auto"/>
            <w:noWrap/>
            <w:vAlign w:val="center"/>
            <w:hideMark/>
          </w:tcPr>
          <w:p w14:paraId="57C82B2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82</w:t>
            </w:r>
          </w:p>
        </w:tc>
        <w:tc>
          <w:tcPr>
            <w:tcW w:w="671" w:type="pct"/>
            <w:tcBorders>
              <w:top w:val="nil"/>
              <w:left w:val="nil"/>
              <w:bottom w:val="nil"/>
              <w:right w:val="nil"/>
            </w:tcBorders>
            <w:shd w:val="clear" w:color="auto" w:fill="auto"/>
            <w:noWrap/>
            <w:vAlign w:val="center"/>
            <w:hideMark/>
          </w:tcPr>
          <w:p w14:paraId="352B9F4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3,611</w:t>
            </w:r>
          </w:p>
        </w:tc>
        <w:tc>
          <w:tcPr>
            <w:tcW w:w="714" w:type="pct"/>
            <w:tcBorders>
              <w:top w:val="nil"/>
              <w:left w:val="nil"/>
              <w:bottom w:val="nil"/>
              <w:right w:val="nil"/>
            </w:tcBorders>
            <w:shd w:val="clear" w:color="auto" w:fill="auto"/>
            <w:noWrap/>
            <w:vAlign w:val="center"/>
            <w:hideMark/>
          </w:tcPr>
          <w:p w14:paraId="658A3E2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7.7 (1.2)</w:t>
            </w:r>
          </w:p>
        </w:tc>
        <w:tc>
          <w:tcPr>
            <w:tcW w:w="714" w:type="pct"/>
            <w:tcBorders>
              <w:top w:val="nil"/>
              <w:left w:val="nil"/>
              <w:bottom w:val="nil"/>
              <w:right w:val="nil"/>
            </w:tcBorders>
            <w:shd w:val="clear" w:color="auto" w:fill="auto"/>
            <w:noWrap/>
            <w:vAlign w:val="center"/>
            <w:hideMark/>
          </w:tcPr>
          <w:p w14:paraId="037F7CC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22.9 (2.8)</w:t>
            </w:r>
          </w:p>
        </w:tc>
      </w:tr>
      <w:tr w:rsidR="003E38E6" w:rsidRPr="003E38E6" w14:paraId="5E48D9D2" w14:textId="77777777" w:rsidTr="003E38E6">
        <w:trPr>
          <w:trHeight w:val="300"/>
        </w:trPr>
        <w:tc>
          <w:tcPr>
            <w:tcW w:w="714" w:type="pct"/>
            <w:tcBorders>
              <w:top w:val="nil"/>
              <w:left w:val="nil"/>
              <w:bottom w:val="nil"/>
              <w:right w:val="nil"/>
            </w:tcBorders>
            <w:shd w:val="clear" w:color="auto" w:fill="auto"/>
            <w:noWrap/>
            <w:vAlign w:val="center"/>
            <w:hideMark/>
          </w:tcPr>
          <w:p w14:paraId="450EB813"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60B87DC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Guyana</w:t>
            </w:r>
          </w:p>
        </w:tc>
        <w:tc>
          <w:tcPr>
            <w:tcW w:w="647" w:type="pct"/>
            <w:tcBorders>
              <w:top w:val="nil"/>
              <w:left w:val="nil"/>
              <w:bottom w:val="nil"/>
              <w:right w:val="nil"/>
            </w:tcBorders>
            <w:shd w:val="clear" w:color="auto" w:fill="auto"/>
            <w:noWrap/>
            <w:vAlign w:val="center"/>
            <w:hideMark/>
          </w:tcPr>
          <w:p w14:paraId="20BE231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395432F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76</w:t>
            </w:r>
          </w:p>
        </w:tc>
        <w:tc>
          <w:tcPr>
            <w:tcW w:w="671" w:type="pct"/>
            <w:tcBorders>
              <w:top w:val="nil"/>
              <w:left w:val="nil"/>
              <w:bottom w:val="nil"/>
              <w:right w:val="nil"/>
            </w:tcBorders>
            <w:shd w:val="clear" w:color="auto" w:fill="auto"/>
            <w:noWrap/>
            <w:vAlign w:val="center"/>
            <w:hideMark/>
          </w:tcPr>
          <w:p w14:paraId="6E342E3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1,973</w:t>
            </w:r>
          </w:p>
        </w:tc>
        <w:tc>
          <w:tcPr>
            <w:tcW w:w="714" w:type="pct"/>
            <w:tcBorders>
              <w:top w:val="nil"/>
              <w:left w:val="nil"/>
              <w:bottom w:val="nil"/>
              <w:right w:val="nil"/>
            </w:tcBorders>
            <w:shd w:val="clear" w:color="auto" w:fill="auto"/>
            <w:noWrap/>
            <w:vAlign w:val="center"/>
            <w:hideMark/>
          </w:tcPr>
          <w:p w14:paraId="62DE7AF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4.1 (0.7)</w:t>
            </w:r>
          </w:p>
        </w:tc>
        <w:tc>
          <w:tcPr>
            <w:tcW w:w="714" w:type="pct"/>
            <w:tcBorders>
              <w:top w:val="nil"/>
              <w:left w:val="nil"/>
              <w:bottom w:val="nil"/>
              <w:right w:val="nil"/>
            </w:tcBorders>
            <w:shd w:val="clear" w:color="auto" w:fill="auto"/>
            <w:noWrap/>
            <w:vAlign w:val="center"/>
            <w:hideMark/>
          </w:tcPr>
          <w:p w14:paraId="0C20B83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35.7 (2.5)</w:t>
            </w:r>
          </w:p>
        </w:tc>
      </w:tr>
      <w:tr w:rsidR="003E38E6" w:rsidRPr="003E38E6" w14:paraId="5D318C01" w14:textId="77777777" w:rsidTr="003E38E6">
        <w:trPr>
          <w:trHeight w:val="300"/>
        </w:trPr>
        <w:tc>
          <w:tcPr>
            <w:tcW w:w="714" w:type="pct"/>
            <w:tcBorders>
              <w:top w:val="nil"/>
              <w:left w:val="nil"/>
              <w:bottom w:val="nil"/>
              <w:right w:val="nil"/>
            </w:tcBorders>
            <w:shd w:val="clear" w:color="auto" w:fill="auto"/>
            <w:noWrap/>
            <w:vAlign w:val="center"/>
            <w:hideMark/>
          </w:tcPr>
          <w:p w14:paraId="2BD92914"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4509AB4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Honduras</w:t>
            </w:r>
          </w:p>
        </w:tc>
        <w:tc>
          <w:tcPr>
            <w:tcW w:w="647" w:type="pct"/>
            <w:tcBorders>
              <w:top w:val="nil"/>
              <w:left w:val="nil"/>
              <w:bottom w:val="nil"/>
              <w:right w:val="nil"/>
            </w:tcBorders>
            <w:shd w:val="clear" w:color="auto" w:fill="auto"/>
            <w:noWrap/>
            <w:vAlign w:val="center"/>
            <w:hideMark/>
          </w:tcPr>
          <w:p w14:paraId="1EFD63F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79EFEC8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79</w:t>
            </w:r>
          </w:p>
        </w:tc>
        <w:tc>
          <w:tcPr>
            <w:tcW w:w="671" w:type="pct"/>
            <w:tcBorders>
              <w:top w:val="nil"/>
              <w:left w:val="nil"/>
              <w:bottom w:val="nil"/>
              <w:right w:val="nil"/>
            </w:tcBorders>
            <w:shd w:val="clear" w:color="auto" w:fill="auto"/>
            <w:noWrap/>
            <w:vAlign w:val="center"/>
            <w:hideMark/>
          </w:tcPr>
          <w:p w14:paraId="0451673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1,486</w:t>
            </w:r>
          </w:p>
        </w:tc>
        <w:tc>
          <w:tcPr>
            <w:tcW w:w="714" w:type="pct"/>
            <w:tcBorders>
              <w:top w:val="nil"/>
              <w:left w:val="nil"/>
              <w:bottom w:val="nil"/>
              <w:right w:val="nil"/>
            </w:tcBorders>
            <w:shd w:val="clear" w:color="auto" w:fill="auto"/>
            <w:noWrap/>
            <w:vAlign w:val="center"/>
            <w:hideMark/>
          </w:tcPr>
          <w:p w14:paraId="41F2363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6.0 (0.6)</w:t>
            </w:r>
          </w:p>
        </w:tc>
        <w:tc>
          <w:tcPr>
            <w:tcW w:w="714" w:type="pct"/>
            <w:tcBorders>
              <w:top w:val="nil"/>
              <w:left w:val="nil"/>
              <w:bottom w:val="nil"/>
              <w:right w:val="nil"/>
            </w:tcBorders>
            <w:shd w:val="clear" w:color="auto" w:fill="auto"/>
            <w:noWrap/>
            <w:vAlign w:val="center"/>
            <w:hideMark/>
          </w:tcPr>
          <w:p w14:paraId="04160E5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30.3 (1.2)</w:t>
            </w:r>
          </w:p>
        </w:tc>
      </w:tr>
      <w:tr w:rsidR="003E38E6" w:rsidRPr="003E38E6" w14:paraId="08BDA1AD" w14:textId="77777777" w:rsidTr="003E38E6">
        <w:trPr>
          <w:trHeight w:val="300"/>
        </w:trPr>
        <w:tc>
          <w:tcPr>
            <w:tcW w:w="714" w:type="pct"/>
            <w:tcBorders>
              <w:top w:val="nil"/>
              <w:left w:val="nil"/>
              <w:bottom w:val="nil"/>
              <w:right w:val="nil"/>
            </w:tcBorders>
            <w:shd w:val="clear" w:color="auto" w:fill="auto"/>
            <w:noWrap/>
            <w:vAlign w:val="center"/>
            <w:hideMark/>
          </w:tcPr>
          <w:p w14:paraId="50D4DF20"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1180A38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India</w:t>
            </w:r>
          </w:p>
        </w:tc>
        <w:tc>
          <w:tcPr>
            <w:tcW w:w="647" w:type="pct"/>
            <w:tcBorders>
              <w:top w:val="nil"/>
              <w:left w:val="nil"/>
              <w:bottom w:val="nil"/>
              <w:right w:val="nil"/>
            </w:tcBorders>
            <w:shd w:val="clear" w:color="auto" w:fill="auto"/>
            <w:noWrap/>
            <w:vAlign w:val="center"/>
            <w:hideMark/>
          </w:tcPr>
          <w:p w14:paraId="0F0DF77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2007</w:t>
            </w:r>
          </w:p>
        </w:tc>
        <w:tc>
          <w:tcPr>
            <w:tcW w:w="714" w:type="pct"/>
            <w:tcBorders>
              <w:top w:val="nil"/>
              <w:left w:val="nil"/>
              <w:bottom w:val="nil"/>
              <w:right w:val="nil"/>
            </w:tcBorders>
            <w:shd w:val="clear" w:color="auto" w:fill="auto"/>
            <w:noWrap/>
            <w:vAlign w:val="center"/>
            <w:hideMark/>
          </w:tcPr>
          <w:p w14:paraId="25DA608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83</w:t>
            </w:r>
          </w:p>
        </w:tc>
        <w:tc>
          <w:tcPr>
            <w:tcW w:w="671" w:type="pct"/>
            <w:tcBorders>
              <w:top w:val="nil"/>
              <w:left w:val="nil"/>
              <w:bottom w:val="nil"/>
              <w:right w:val="nil"/>
            </w:tcBorders>
            <w:shd w:val="clear" w:color="auto" w:fill="auto"/>
            <w:noWrap/>
            <w:vAlign w:val="center"/>
            <w:hideMark/>
          </w:tcPr>
          <w:p w14:paraId="45B5D08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7,330</w:t>
            </w:r>
          </w:p>
        </w:tc>
        <w:tc>
          <w:tcPr>
            <w:tcW w:w="714" w:type="pct"/>
            <w:tcBorders>
              <w:top w:val="nil"/>
              <w:left w:val="nil"/>
              <w:bottom w:val="nil"/>
              <w:right w:val="nil"/>
            </w:tcBorders>
            <w:shd w:val="clear" w:color="auto" w:fill="auto"/>
            <w:noWrap/>
            <w:vAlign w:val="center"/>
            <w:hideMark/>
          </w:tcPr>
          <w:p w14:paraId="6B0E327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 (0.3)</w:t>
            </w:r>
          </w:p>
        </w:tc>
        <w:tc>
          <w:tcPr>
            <w:tcW w:w="714" w:type="pct"/>
            <w:tcBorders>
              <w:top w:val="nil"/>
              <w:left w:val="nil"/>
              <w:bottom w:val="nil"/>
              <w:right w:val="nil"/>
            </w:tcBorders>
            <w:shd w:val="clear" w:color="auto" w:fill="auto"/>
            <w:noWrap/>
            <w:vAlign w:val="center"/>
            <w:hideMark/>
          </w:tcPr>
          <w:p w14:paraId="1AB40F5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22.8 (1.1)</w:t>
            </w:r>
          </w:p>
        </w:tc>
      </w:tr>
      <w:tr w:rsidR="003E38E6" w:rsidRPr="003E38E6" w14:paraId="5E6BD20B" w14:textId="77777777" w:rsidTr="003E38E6">
        <w:trPr>
          <w:trHeight w:val="300"/>
        </w:trPr>
        <w:tc>
          <w:tcPr>
            <w:tcW w:w="714" w:type="pct"/>
            <w:tcBorders>
              <w:top w:val="nil"/>
              <w:left w:val="nil"/>
              <w:bottom w:val="nil"/>
              <w:right w:val="nil"/>
            </w:tcBorders>
            <w:shd w:val="clear" w:color="auto" w:fill="auto"/>
            <w:noWrap/>
            <w:vAlign w:val="center"/>
            <w:hideMark/>
          </w:tcPr>
          <w:p w14:paraId="6DF0233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084E09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Indonesia</w:t>
            </w:r>
          </w:p>
        </w:tc>
        <w:tc>
          <w:tcPr>
            <w:tcW w:w="647" w:type="pct"/>
            <w:tcBorders>
              <w:top w:val="nil"/>
              <w:left w:val="nil"/>
              <w:bottom w:val="nil"/>
              <w:right w:val="nil"/>
            </w:tcBorders>
            <w:shd w:val="clear" w:color="auto" w:fill="auto"/>
            <w:noWrap/>
            <w:vAlign w:val="center"/>
            <w:hideMark/>
          </w:tcPr>
          <w:p w14:paraId="74A9877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2015</w:t>
            </w:r>
          </w:p>
        </w:tc>
        <w:tc>
          <w:tcPr>
            <w:tcW w:w="714" w:type="pct"/>
            <w:tcBorders>
              <w:top w:val="nil"/>
              <w:left w:val="nil"/>
              <w:bottom w:val="nil"/>
              <w:right w:val="nil"/>
            </w:tcBorders>
            <w:shd w:val="clear" w:color="auto" w:fill="auto"/>
            <w:noWrap/>
            <w:vAlign w:val="center"/>
            <w:hideMark/>
          </w:tcPr>
          <w:p w14:paraId="26BF461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94</w:t>
            </w:r>
          </w:p>
        </w:tc>
        <w:tc>
          <w:tcPr>
            <w:tcW w:w="671" w:type="pct"/>
            <w:tcBorders>
              <w:top w:val="nil"/>
              <w:left w:val="nil"/>
              <w:bottom w:val="nil"/>
              <w:right w:val="nil"/>
            </w:tcBorders>
            <w:shd w:val="clear" w:color="auto" w:fill="auto"/>
            <w:noWrap/>
            <w:vAlign w:val="center"/>
            <w:hideMark/>
          </w:tcPr>
          <w:p w14:paraId="12F1848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8,806</w:t>
            </w:r>
          </w:p>
        </w:tc>
        <w:tc>
          <w:tcPr>
            <w:tcW w:w="714" w:type="pct"/>
            <w:tcBorders>
              <w:top w:val="nil"/>
              <w:left w:val="nil"/>
              <w:bottom w:val="nil"/>
              <w:right w:val="nil"/>
            </w:tcBorders>
            <w:shd w:val="clear" w:color="auto" w:fill="auto"/>
            <w:noWrap/>
            <w:vAlign w:val="center"/>
            <w:hideMark/>
          </w:tcPr>
          <w:p w14:paraId="567504A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5.3 (0.5)</w:t>
            </w:r>
          </w:p>
        </w:tc>
        <w:tc>
          <w:tcPr>
            <w:tcW w:w="714" w:type="pct"/>
            <w:tcBorders>
              <w:top w:val="nil"/>
              <w:left w:val="nil"/>
              <w:bottom w:val="nil"/>
              <w:right w:val="nil"/>
            </w:tcBorders>
            <w:shd w:val="clear" w:color="auto" w:fill="auto"/>
            <w:noWrap/>
            <w:vAlign w:val="center"/>
            <w:hideMark/>
          </w:tcPr>
          <w:p w14:paraId="624078E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24.5 (0.9)</w:t>
            </w:r>
          </w:p>
        </w:tc>
      </w:tr>
      <w:tr w:rsidR="003E38E6" w:rsidRPr="003E38E6" w14:paraId="50576118" w14:textId="77777777" w:rsidTr="003E38E6">
        <w:trPr>
          <w:trHeight w:val="300"/>
        </w:trPr>
        <w:tc>
          <w:tcPr>
            <w:tcW w:w="714" w:type="pct"/>
            <w:tcBorders>
              <w:top w:val="nil"/>
              <w:left w:val="nil"/>
              <w:bottom w:val="nil"/>
              <w:right w:val="nil"/>
            </w:tcBorders>
            <w:shd w:val="clear" w:color="auto" w:fill="auto"/>
            <w:noWrap/>
            <w:vAlign w:val="center"/>
            <w:hideMark/>
          </w:tcPr>
          <w:p w14:paraId="6965E7C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057AB4B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Kiribati</w:t>
            </w:r>
          </w:p>
        </w:tc>
        <w:tc>
          <w:tcPr>
            <w:tcW w:w="647" w:type="pct"/>
            <w:tcBorders>
              <w:top w:val="nil"/>
              <w:left w:val="nil"/>
              <w:bottom w:val="nil"/>
              <w:right w:val="nil"/>
            </w:tcBorders>
            <w:shd w:val="clear" w:color="auto" w:fill="auto"/>
            <w:noWrap/>
            <w:vAlign w:val="center"/>
            <w:hideMark/>
          </w:tcPr>
          <w:p w14:paraId="4F72782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7578ADE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85</w:t>
            </w:r>
          </w:p>
        </w:tc>
        <w:tc>
          <w:tcPr>
            <w:tcW w:w="671" w:type="pct"/>
            <w:tcBorders>
              <w:top w:val="nil"/>
              <w:left w:val="nil"/>
              <w:bottom w:val="nil"/>
              <w:right w:val="nil"/>
            </w:tcBorders>
            <w:shd w:val="clear" w:color="auto" w:fill="auto"/>
            <w:noWrap/>
            <w:vAlign w:val="center"/>
            <w:hideMark/>
          </w:tcPr>
          <w:p w14:paraId="31B3B40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1,340</w:t>
            </w:r>
          </w:p>
        </w:tc>
        <w:tc>
          <w:tcPr>
            <w:tcW w:w="714" w:type="pct"/>
            <w:tcBorders>
              <w:top w:val="nil"/>
              <w:left w:val="nil"/>
              <w:bottom w:val="nil"/>
              <w:right w:val="nil"/>
            </w:tcBorders>
            <w:shd w:val="clear" w:color="auto" w:fill="auto"/>
            <w:noWrap/>
            <w:vAlign w:val="center"/>
            <w:hideMark/>
          </w:tcPr>
          <w:p w14:paraId="560D82C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8.0 (1.0)</w:t>
            </w:r>
          </w:p>
        </w:tc>
        <w:tc>
          <w:tcPr>
            <w:tcW w:w="714" w:type="pct"/>
            <w:tcBorders>
              <w:top w:val="nil"/>
              <w:left w:val="nil"/>
              <w:bottom w:val="nil"/>
              <w:right w:val="nil"/>
            </w:tcBorders>
            <w:shd w:val="clear" w:color="auto" w:fill="auto"/>
            <w:noWrap/>
            <w:vAlign w:val="center"/>
            <w:hideMark/>
          </w:tcPr>
          <w:p w14:paraId="5F5EBBC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14.4 (1.0)</w:t>
            </w:r>
          </w:p>
        </w:tc>
      </w:tr>
      <w:tr w:rsidR="003E38E6" w:rsidRPr="003E38E6" w14:paraId="02F49AAD" w14:textId="77777777" w:rsidTr="003E38E6">
        <w:trPr>
          <w:trHeight w:val="300"/>
        </w:trPr>
        <w:tc>
          <w:tcPr>
            <w:tcW w:w="714" w:type="pct"/>
            <w:tcBorders>
              <w:top w:val="nil"/>
              <w:left w:val="nil"/>
              <w:bottom w:val="nil"/>
              <w:right w:val="nil"/>
            </w:tcBorders>
            <w:shd w:val="clear" w:color="auto" w:fill="auto"/>
            <w:noWrap/>
            <w:vAlign w:val="center"/>
            <w:hideMark/>
          </w:tcPr>
          <w:p w14:paraId="4334A358"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56B47B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Laos</w:t>
            </w:r>
          </w:p>
        </w:tc>
        <w:tc>
          <w:tcPr>
            <w:tcW w:w="647" w:type="pct"/>
            <w:tcBorders>
              <w:top w:val="nil"/>
              <w:left w:val="nil"/>
              <w:bottom w:val="nil"/>
              <w:right w:val="nil"/>
            </w:tcBorders>
            <w:shd w:val="clear" w:color="auto" w:fill="auto"/>
            <w:noWrap/>
            <w:vAlign w:val="center"/>
            <w:hideMark/>
          </w:tcPr>
          <w:p w14:paraId="0FAA8AF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2015</w:t>
            </w:r>
          </w:p>
        </w:tc>
        <w:tc>
          <w:tcPr>
            <w:tcW w:w="714" w:type="pct"/>
            <w:tcBorders>
              <w:top w:val="nil"/>
              <w:left w:val="nil"/>
              <w:bottom w:val="nil"/>
              <w:right w:val="nil"/>
            </w:tcBorders>
            <w:shd w:val="clear" w:color="auto" w:fill="auto"/>
            <w:noWrap/>
            <w:vAlign w:val="center"/>
            <w:hideMark/>
          </w:tcPr>
          <w:p w14:paraId="1CA2505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70</w:t>
            </w:r>
          </w:p>
        </w:tc>
        <w:tc>
          <w:tcPr>
            <w:tcW w:w="671" w:type="pct"/>
            <w:tcBorders>
              <w:top w:val="nil"/>
              <w:left w:val="nil"/>
              <w:bottom w:val="nil"/>
              <w:right w:val="nil"/>
            </w:tcBorders>
            <w:shd w:val="clear" w:color="auto" w:fill="auto"/>
            <w:noWrap/>
            <w:vAlign w:val="center"/>
            <w:hideMark/>
          </w:tcPr>
          <w:p w14:paraId="19F10A4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1,644</w:t>
            </w:r>
          </w:p>
        </w:tc>
        <w:tc>
          <w:tcPr>
            <w:tcW w:w="714" w:type="pct"/>
            <w:tcBorders>
              <w:top w:val="nil"/>
              <w:left w:val="nil"/>
              <w:bottom w:val="nil"/>
              <w:right w:val="nil"/>
            </w:tcBorders>
            <w:shd w:val="clear" w:color="auto" w:fill="auto"/>
            <w:noWrap/>
            <w:vAlign w:val="center"/>
            <w:hideMark/>
          </w:tcPr>
          <w:p w14:paraId="4F24E6A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 (0.6)</w:t>
            </w:r>
          </w:p>
        </w:tc>
        <w:tc>
          <w:tcPr>
            <w:tcW w:w="714" w:type="pct"/>
            <w:tcBorders>
              <w:top w:val="nil"/>
              <w:left w:val="nil"/>
              <w:bottom w:val="nil"/>
              <w:right w:val="nil"/>
            </w:tcBorders>
            <w:shd w:val="clear" w:color="auto" w:fill="auto"/>
            <w:noWrap/>
            <w:vAlign w:val="center"/>
            <w:hideMark/>
          </w:tcPr>
          <w:p w14:paraId="55B1040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19.2 (1.3)</w:t>
            </w:r>
          </w:p>
        </w:tc>
      </w:tr>
      <w:tr w:rsidR="003E38E6" w:rsidRPr="003E38E6" w14:paraId="43F5DE85" w14:textId="77777777" w:rsidTr="003E38E6">
        <w:trPr>
          <w:trHeight w:val="300"/>
        </w:trPr>
        <w:tc>
          <w:tcPr>
            <w:tcW w:w="714" w:type="pct"/>
            <w:tcBorders>
              <w:top w:val="nil"/>
              <w:left w:val="nil"/>
              <w:bottom w:val="nil"/>
              <w:right w:val="nil"/>
            </w:tcBorders>
            <w:shd w:val="clear" w:color="auto" w:fill="auto"/>
            <w:noWrap/>
            <w:vAlign w:val="center"/>
            <w:hideMark/>
          </w:tcPr>
          <w:p w14:paraId="7CDE844F"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7F86C40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Macedonia</w:t>
            </w:r>
          </w:p>
        </w:tc>
        <w:tc>
          <w:tcPr>
            <w:tcW w:w="647" w:type="pct"/>
            <w:tcBorders>
              <w:top w:val="nil"/>
              <w:left w:val="nil"/>
              <w:bottom w:val="nil"/>
              <w:right w:val="nil"/>
            </w:tcBorders>
            <w:shd w:val="clear" w:color="auto" w:fill="auto"/>
            <w:noWrap/>
            <w:vAlign w:val="center"/>
            <w:hideMark/>
          </w:tcPr>
          <w:p w14:paraId="701A747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2007</w:t>
            </w:r>
          </w:p>
        </w:tc>
        <w:tc>
          <w:tcPr>
            <w:tcW w:w="714" w:type="pct"/>
            <w:tcBorders>
              <w:top w:val="nil"/>
              <w:left w:val="nil"/>
              <w:bottom w:val="nil"/>
              <w:right w:val="nil"/>
            </w:tcBorders>
            <w:shd w:val="clear" w:color="auto" w:fill="auto"/>
            <w:noWrap/>
            <w:vAlign w:val="center"/>
            <w:hideMark/>
          </w:tcPr>
          <w:p w14:paraId="41F3D1A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93</w:t>
            </w:r>
          </w:p>
        </w:tc>
        <w:tc>
          <w:tcPr>
            <w:tcW w:w="671" w:type="pct"/>
            <w:tcBorders>
              <w:top w:val="nil"/>
              <w:left w:val="nil"/>
              <w:bottom w:val="nil"/>
              <w:right w:val="nil"/>
            </w:tcBorders>
            <w:shd w:val="clear" w:color="auto" w:fill="auto"/>
            <w:noWrap/>
            <w:vAlign w:val="center"/>
            <w:hideMark/>
          </w:tcPr>
          <w:p w14:paraId="41BFB3D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1,550</w:t>
            </w:r>
          </w:p>
        </w:tc>
        <w:tc>
          <w:tcPr>
            <w:tcW w:w="714" w:type="pct"/>
            <w:tcBorders>
              <w:top w:val="nil"/>
              <w:left w:val="nil"/>
              <w:bottom w:val="nil"/>
              <w:right w:val="nil"/>
            </w:tcBorders>
            <w:shd w:val="clear" w:color="auto" w:fill="auto"/>
            <w:noWrap/>
            <w:vAlign w:val="center"/>
            <w:hideMark/>
          </w:tcPr>
          <w:p w14:paraId="7262F85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3.4 (0.5)</w:t>
            </w:r>
          </w:p>
        </w:tc>
        <w:tc>
          <w:tcPr>
            <w:tcW w:w="714" w:type="pct"/>
            <w:tcBorders>
              <w:top w:val="nil"/>
              <w:left w:val="nil"/>
              <w:bottom w:val="nil"/>
              <w:right w:val="nil"/>
            </w:tcBorders>
            <w:shd w:val="clear" w:color="auto" w:fill="auto"/>
            <w:noWrap/>
            <w:vAlign w:val="center"/>
            <w:hideMark/>
          </w:tcPr>
          <w:p w14:paraId="59DE65D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49.9 (2.2)</w:t>
            </w:r>
          </w:p>
        </w:tc>
      </w:tr>
      <w:tr w:rsidR="003E38E6" w:rsidRPr="003E38E6" w14:paraId="250F346D" w14:textId="77777777" w:rsidTr="003E38E6">
        <w:trPr>
          <w:trHeight w:val="300"/>
        </w:trPr>
        <w:tc>
          <w:tcPr>
            <w:tcW w:w="714" w:type="pct"/>
            <w:tcBorders>
              <w:top w:val="nil"/>
              <w:left w:val="nil"/>
              <w:bottom w:val="nil"/>
              <w:right w:val="nil"/>
            </w:tcBorders>
            <w:shd w:val="clear" w:color="auto" w:fill="auto"/>
            <w:noWrap/>
            <w:vAlign w:val="center"/>
            <w:hideMark/>
          </w:tcPr>
          <w:p w14:paraId="4A665FF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47D7EA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Mongolia</w:t>
            </w:r>
          </w:p>
        </w:tc>
        <w:tc>
          <w:tcPr>
            <w:tcW w:w="647" w:type="pct"/>
            <w:tcBorders>
              <w:top w:val="nil"/>
              <w:left w:val="nil"/>
              <w:bottom w:val="nil"/>
              <w:right w:val="nil"/>
            </w:tcBorders>
            <w:shd w:val="clear" w:color="auto" w:fill="auto"/>
            <w:noWrap/>
            <w:vAlign w:val="center"/>
            <w:hideMark/>
          </w:tcPr>
          <w:p w14:paraId="6D7064F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2013</w:t>
            </w:r>
          </w:p>
        </w:tc>
        <w:tc>
          <w:tcPr>
            <w:tcW w:w="714" w:type="pct"/>
            <w:tcBorders>
              <w:top w:val="nil"/>
              <w:left w:val="nil"/>
              <w:bottom w:val="nil"/>
              <w:right w:val="nil"/>
            </w:tcBorders>
            <w:shd w:val="clear" w:color="auto" w:fill="auto"/>
            <w:noWrap/>
            <w:vAlign w:val="center"/>
            <w:hideMark/>
          </w:tcPr>
          <w:p w14:paraId="0BDD6C1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w:t>
            </w:r>
          </w:p>
        </w:tc>
        <w:tc>
          <w:tcPr>
            <w:tcW w:w="671" w:type="pct"/>
            <w:tcBorders>
              <w:top w:val="nil"/>
              <w:left w:val="nil"/>
              <w:bottom w:val="nil"/>
              <w:right w:val="nil"/>
            </w:tcBorders>
            <w:shd w:val="clear" w:color="auto" w:fill="auto"/>
            <w:noWrap/>
            <w:vAlign w:val="center"/>
            <w:hideMark/>
          </w:tcPr>
          <w:p w14:paraId="488754B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3,707</w:t>
            </w:r>
          </w:p>
        </w:tc>
        <w:tc>
          <w:tcPr>
            <w:tcW w:w="714" w:type="pct"/>
            <w:tcBorders>
              <w:top w:val="nil"/>
              <w:left w:val="nil"/>
              <w:bottom w:val="nil"/>
              <w:right w:val="nil"/>
            </w:tcBorders>
            <w:shd w:val="clear" w:color="auto" w:fill="auto"/>
            <w:noWrap/>
            <w:vAlign w:val="center"/>
            <w:hideMark/>
          </w:tcPr>
          <w:p w14:paraId="0AC8CA9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1.8 (0.2)</w:t>
            </w:r>
          </w:p>
        </w:tc>
        <w:tc>
          <w:tcPr>
            <w:tcW w:w="714" w:type="pct"/>
            <w:tcBorders>
              <w:top w:val="nil"/>
              <w:left w:val="nil"/>
              <w:bottom w:val="nil"/>
              <w:right w:val="nil"/>
            </w:tcBorders>
            <w:shd w:val="clear" w:color="auto" w:fill="auto"/>
            <w:noWrap/>
            <w:vAlign w:val="center"/>
            <w:hideMark/>
          </w:tcPr>
          <w:p w14:paraId="5410D6D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39.6 (1.9)</w:t>
            </w:r>
          </w:p>
        </w:tc>
      </w:tr>
      <w:tr w:rsidR="003E38E6" w:rsidRPr="003E38E6" w14:paraId="73917A94" w14:textId="77777777" w:rsidTr="003E38E6">
        <w:trPr>
          <w:trHeight w:val="300"/>
        </w:trPr>
        <w:tc>
          <w:tcPr>
            <w:tcW w:w="714" w:type="pct"/>
            <w:tcBorders>
              <w:top w:val="nil"/>
              <w:left w:val="nil"/>
              <w:bottom w:val="nil"/>
              <w:right w:val="nil"/>
            </w:tcBorders>
            <w:shd w:val="clear" w:color="auto" w:fill="auto"/>
            <w:noWrap/>
            <w:vAlign w:val="center"/>
            <w:hideMark/>
          </w:tcPr>
          <w:p w14:paraId="535AFB29"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64622B4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Morocco</w:t>
            </w:r>
          </w:p>
        </w:tc>
        <w:tc>
          <w:tcPr>
            <w:tcW w:w="647" w:type="pct"/>
            <w:tcBorders>
              <w:top w:val="nil"/>
              <w:left w:val="nil"/>
              <w:bottom w:val="nil"/>
              <w:right w:val="nil"/>
            </w:tcBorders>
            <w:shd w:val="clear" w:color="auto" w:fill="auto"/>
            <w:noWrap/>
            <w:vAlign w:val="center"/>
            <w:hideMark/>
          </w:tcPr>
          <w:p w14:paraId="25227B3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36DE9B1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92</w:t>
            </w:r>
          </w:p>
        </w:tc>
        <w:tc>
          <w:tcPr>
            <w:tcW w:w="671" w:type="pct"/>
            <w:tcBorders>
              <w:top w:val="nil"/>
              <w:left w:val="nil"/>
              <w:bottom w:val="nil"/>
              <w:right w:val="nil"/>
            </w:tcBorders>
            <w:shd w:val="clear" w:color="auto" w:fill="auto"/>
            <w:noWrap/>
            <w:vAlign w:val="center"/>
            <w:hideMark/>
          </w:tcPr>
          <w:p w14:paraId="14F0A99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2,405</w:t>
            </w:r>
          </w:p>
        </w:tc>
        <w:tc>
          <w:tcPr>
            <w:tcW w:w="714" w:type="pct"/>
            <w:tcBorders>
              <w:top w:val="nil"/>
              <w:left w:val="nil"/>
              <w:bottom w:val="nil"/>
              <w:right w:val="nil"/>
            </w:tcBorders>
            <w:shd w:val="clear" w:color="auto" w:fill="auto"/>
            <w:noWrap/>
            <w:vAlign w:val="center"/>
            <w:hideMark/>
          </w:tcPr>
          <w:p w14:paraId="6FA6860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2.8 (0.4)</w:t>
            </w:r>
          </w:p>
        </w:tc>
        <w:tc>
          <w:tcPr>
            <w:tcW w:w="714" w:type="pct"/>
            <w:tcBorders>
              <w:top w:val="nil"/>
              <w:left w:val="nil"/>
              <w:bottom w:val="nil"/>
              <w:right w:val="nil"/>
            </w:tcBorders>
            <w:shd w:val="clear" w:color="auto" w:fill="auto"/>
            <w:noWrap/>
            <w:vAlign w:val="center"/>
            <w:hideMark/>
          </w:tcPr>
          <w:p w14:paraId="626FBC2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25.7 (1.3)</w:t>
            </w:r>
          </w:p>
        </w:tc>
      </w:tr>
      <w:tr w:rsidR="003E38E6" w:rsidRPr="003E38E6" w14:paraId="53760390" w14:textId="77777777" w:rsidTr="003E38E6">
        <w:trPr>
          <w:trHeight w:val="300"/>
        </w:trPr>
        <w:tc>
          <w:tcPr>
            <w:tcW w:w="714" w:type="pct"/>
            <w:tcBorders>
              <w:top w:val="nil"/>
              <w:left w:val="nil"/>
              <w:bottom w:val="nil"/>
              <w:right w:val="nil"/>
            </w:tcBorders>
            <w:shd w:val="clear" w:color="auto" w:fill="auto"/>
            <w:noWrap/>
            <w:vAlign w:val="center"/>
            <w:hideMark/>
          </w:tcPr>
          <w:p w14:paraId="2F18873D"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B08F23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Pakistan</w:t>
            </w:r>
          </w:p>
        </w:tc>
        <w:tc>
          <w:tcPr>
            <w:tcW w:w="647" w:type="pct"/>
            <w:tcBorders>
              <w:top w:val="nil"/>
              <w:left w:val="nil"/>
              <w:bottom w:val="nil"/>
              <w:right w:val="nil"/>
            </w:tcBorders>
            <w:shd w:val="clear" w:color="auto" w:fill="auto"/>
            <w:noWrap/>
            <w:vAlign w:val="center"/>
            <w:hideMark/>
          </w:tcPr>
          <w:p w14:paraId="01413DF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2009</w:t>
            </w:r>
          </w:p>
        </w:tc>
        <w:tc>
          <w:tcPr>
            <w:tcW w:w="714" w:type="pct"/>
            <w:tcBorders>
              <w:top w:val="nil"/>
              <w:left w:val="nil"/>
              <w:bottom w:val="nil"/>
              <w:right w:val="nil"/>
            </w:tcBorders>
            <w:shd w:val="clear" w:color="auto" w:fill="auto"/>
            <w:noWrap/>
            <w:vAlign w:val="center"/>
            <w:hideMark/>
          </w:tcPr>
          <w:p w14:paraId="3EF3DF1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76</w:t>
            </w:r>
          </w:p>
        </w:tc>
        <w:tc>
          <w:tcPr>
            <w:tcW w:w="671" w:type="pct"/>
            <w:tcBorders>
              <w:top w:val="nil"/>
              <w:left w:val="nil"/>
              <w:bottom w:val="nil"/>
              <w:right w:val="nil"/>
            </w:tcBorders>
            <w:shd w:val="clear" w:color="auto" w:fill="auto"/>
            <w:noWrap/>
            <w:vAlign w:val="center"/>
            <w:hideMark/>
          </w:tcPr>
          <w:p w14:paraId="2CC32AF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4,998</w:t>
            </w:r>
          </w:p>
        </w:tc>
        <w:tc>
          <w:tcPr>
            <w:tcW w:w="714" w:type="pct"/>
            <w:tcBorders>
              <w:top w:val="nil"/>
              <w:left w:val="nil"/>
              <w:bottom w:val="nil"/>
              <w:right w:val="nil"/>
            </w:tcBorders>
            <w:shd w:val="clear" w:color="auto" w:fill="auto"/>
            <w:noWrap/>
            <w:vAlign w:val="center"/>
            <w:hideMark/>
          </w:tcPr>
          <w:p w14:paraId="5653F2F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1.0 (0.2)</w:t>
            </w:r>
          </w:p>
        </w:tc>
        <w:tc>
          <w:tcPr>
            <w:tcW w:w="714" w:type="pct"/>
            <w:tcBorders>
              <w:top w:val="nil"/>
              <w:left w:val="nil"/>
              <w:bottom w:val="nil"/>
              <w:right w:val="nil"/>
            </w:tcBorders>
            <w:shd w:val="clear" w:color="auto" w:fill="auto"/>
            <w:noWrap/>
            <w:vAlign w:val="center"/>
            <w:hideMark/>
          </w:tcPr>
          <w:p w14:paraId="6D9DA2A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8.2 (0.8)</w:t>
            </w:r>
          </w:p>
        </w:tc>
      </w:tr>
      <w:tr w:rsidR="003E38E6" w:rsidRPr="003E38E6" w14:paraId="4D00AC18" w14:textId="77777777" w:rsidTr="003E38E6">
        <w:trPr>
          <w:trHeight w:val="300"/>
        </w:trPr>
        <w:tc>
          <w:tcPr>
            <w:tcW w:w="714" w:type="pct"/>
            <w:tcBorders>
              <w:top w:val="nil"/>
              <w:left w:val="nil"/>
              <w:bottom w:val="nil"/>
              <w:right w:val="nil"/>
            </w:tcBorders>
            <w:shd w:val="clear" w:color="auto" w:fill="auto"/>
            <w:noWrap/>
            <w:vAlign w:val="center"/>
            <w:hideMark/>
          </w:tcPr>
          <w:p w14:paraId="717380F4"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7727021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Philippines</w:t>
            </w:r>
          </w:p>
        </w:tc>
        <w:tc>
          <w:tcPr>
            <w:tcW w:w="647" w:type="pct"/>
            <w:tcBorders>
              <w:top w:val="nil"/>
              <w:left w:val="nil"/>
              <w:bottom w:val="nil"/>
              <w:right w:val="nil"/>
            </w:tcBorders>
            <w:shd w:val="clear" w:color="auto" w:fill="auto"/>
            <w:noWrap/>
            <w:vAlign w:val="center"/>
            <w:hideMark/>
          </w:tcPr>
          <w:p w14:paraId="2E87B9C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2015</w:t>
            </w:r>
          </w:p>
        </w:tc>
        <w:tc>
          <w:tcPr>
            <w:tcW w:w="714" w:type="pct"/>
            <w:tcBorders>
              <w:top w:val="nil"/>
              <w:left w:val="nil"/>
              <w:bottom w:val="nil"/>
              <w:right w:val="nil"/>
            </w:tcBorders>
            <w:shd w:val="clear" w:color="auto" w:fill="auto"/>
            <w:noWrap/>
            <w:vAlign w:val="center"/>
            <w:hideMark/>
          </w:tcPr>
          <w:p w14:paraId="27EE81D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79</w:t>
            </w:r>
          </w:p>
        </w:tc>
        <w:tc>
          <w:tcPr>
            <w:tcW w:w="671" w:type="pct"/>
            <w:tcBorders>
              <w:top w:val="nil"/>
              <w:left w:val="nil"/>
              <w:bottom w:val="nil"/>
              <w:right w:val="nil"/>
            </w:tcBorders>
            <w:shd w:val="clear" w:color="auto" w:fill="auto"/>
            <w:noWrap/>
            <w:vAlign w:val="center"/>
            <w:hideMark/>
          </w:tcPr>
          <w:p w14:paraId="03F74B8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6,162</w:t>
            </w:r>
          </w:p>
        </w:tc>
        <w:tc>
          <w:tcPr>
            <w:tcW w:w="714" w:type="pct"/>
            <w:tcBorders>
              <w:top w:val="nil"/>
              <w:left w:val="nil"/>
              <w:bottom w:val="nil"/>
              <w:right w:val="nil"/>
            </w:tcBorders>
            <w:shd w:val="clear" w:color="auto" w:fill="auto"/>
            <w:noWrap/>
            <w:vAlign w:val="center"/>
            <w:hideMark/>
          </w:tcPr>
          <w:p w14:paraId="411945A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2.8 (0.6)</w:t>
            </w:r>
          </w:p>
        </w:tc>
        <w:tc>
          <w:tcPr>
            <w:tcW w:w="714" w:type="pct"/>
            <w:tcBorders>
              <w:top w:val="nil"/>
              <w:left w:val="nil"/>
              <w:bottom w:val="nil"/>
              <w:right w:val="nil"/>
            </w:tcBorders>
            <w:shd w:val="clear" w:color="auto" w:fill="auto"/>
            <w:noWrap/>
            <w:vAlign w:val="center"/>
            <w:hideMark/>
          </w:tcPr>
          <w:p w14:paraId="0191AF5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30.7 (1.9)</w:t>
            </w:r>
          </w:p>
        </w:tc>
      </w:tr>
      <w:tr w:rsidR="003E38E6" w:rsidRPr="003E38E6" w14:paraId="6E2100FF" w14:textId="77777777" w:rsidTr="003E38E6">
        <w:trPr>
          <w:trHeight w:val="300"/>
        </w:trPr>
        <w:tc>
          <w:tcPr>
            <w:tcW w:w="714" w:type="pct"/>
            <w:tcBorders>
              <w:top w:val="nil"/>
              <w:left w:val="nil"/>
              <w:bottom w:val="nil"/>
              <w:right w:val="nil"/>
            </w:tcBorders>
            <w:shd w:val="clear" w:color="auto" w:fill="auto"/>
            <w:noWrap/>
            <w:vAlign w:val="center"/>
            <w:hideMark/>
          </w:tcPr>
          <w:p w14:paraId="2DD6E87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8A1EB9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Solomon Islands</w:t>
            </w:r>
          </w:p>
        </w:tc>
        <w:tc>
          <w:tcPr>
            <w:tcW w:w="647" w:type="pct"/>
            <w:tcBorders>
              <w:top w:val="nil"/>
              <w:left w:val="nil"/>
              <w:bottom w:val="nil"/>
              <w:right w:val="nil"/>
            </w:tcBorders>
            <w:shd w:val="clear" w:color="auto" w:fill="auto"/>
            <w:noWrap/>
            <w:vAlign w:val="center"/>
            <w:hideMark/>
          </w:tcPr>
          <w:p w14:paraId="66D6B93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568C853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85</w:t>
            </w:r>
          </w:p>
        </w:tc>
        <w:tc>
          <w:tcPr>
            <w:tcW w:w="671" w:type="pct"/>
            <w:tcBorders>
              <w:top w:val="nil"/>
              <w:left w:val="nil"/>
              <w:bottom w:val="nil"/>
              <w:right w:val="nil"/>
            </w:tcBorders>
            <w:shd w:val="clear" w:color="auto" w:fill="auto"/>
            <w:noWrap/>
            <w:vAlign w:val="center"/>
            <w:hideMark/>
          </w:tcPr>
          <w:p w14:paraId="67E0649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925</w:t>
            </w:r>
          </w:p>
        </w:tc>
        <w:tc>
          <w:tcPr>
            <w:tcW w:w="714" w:type="pct"/>
            <w:tcBorders>
              <w:top w:val="nil"/>
              <w:left w:val="nil"/>
              <w:bottom w:val="nil"/>
              <w:right w:val="nil"/>
            </w:tcBorders>
            <w:shd w:val="clear" w:color="auto" w:fill="auto"/>
            <w:noWrap/>
            <w:vAlign w:val="center"/>
            <w:hideMark/>
          </w:tcPr>
          <w:p w14:paraId="267F5F6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2.7 (0.8)</w:t>
            </w:r>
          </w:p>
        </w:tc>
        <w:tc>
          <w:tcPr>
            <w:tcW w:w="714" w:type="pct"/>
            <w:tcBorders>
              <w:top w:val="nil"/>
              <w:left w:val="nil"/>
              <w:bottom w:val="nil"/>
              <w:right w:val="nil"/>
            </w:tcBorders>
            <w:shd w:val="clear" w:color="auto" w:fill="auto"/>
            <w:noWrap/>
            <w:vAlign w:val="center"/>
            <w:hideMark/>
          </w:tcPr>
          <w:p w14:paraId="7F7CB46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26.5 (2.7)</w:t>
            </w:r>
          </w:p>
        </w:tc>
      </w:tr>
      <w:tr w:rsidR="003E38E6" w:rsidRPr="003E38E6" w14:paraId="675709EB" w14:textId="77777777" w:rsidTr="003E38E6">
        <w:trPr>
          <w:trHeight w:val="300"/>
        </w:trPr>
        <w:tc>
          <w:tcPr>
            <w:tcW w:w="714" w:type="pct"/>
            <w:tcBorders>
              <w:top w:val="nil"/>
              <w:left w:val="nil"/>
              <w:bottom w:val="nil"/>
              <w:right w:val="nil"/>
            </w:tcBorders>
            <w:shd w:val="clear" w:color="auto" w:fill="auto"/>
            <w:noWrap/>
            <w:vAlign w:val="center"/>
            <w:hideMark/>
          </w:tcPr>
          <w:p w14:paraId="033017F9"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67145D2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Sri Lanka</w:t>
            </w:r>
          </w:p>
        </w:tc>
        <w:tc>
          <w:tcPr>
            <w:tcW w:w="647" w:type="pct"/>
            <w:tcBorders>
              <w:top w:val="nil"/>
              <w:left w:val="nil"/>
              <w:bottom w:val="nil"/>
              <w:right w:val="nil"/>
            </w:tcBorders>
            <w:shd w:val="clear" w:color="auto" w:fill="auto"/>
            <w:noWrap/>
            <w:vAlign w:val="center"/>
            <w:hideMark/>
          </w:tcPr>
          <w:p w14:paraId="1345CB9B"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2008</w:t>
            </w:r>
          </w:p>
        </w:tc>
        <w:tc>
          <w:tcPr>
            <w:tcW w:w="714" w:type="pct"/>
            <w:tcBorders>
              <w:top w:val="nil"/>
              <w:left w:val="nil"/>
              <w:bottom w:val="nil"/>
              <w:right w:val="nil"/>
            </w:tcBorders>
            <w:shd w:val="clear" w:color="auto" w:fill="auto"/>
            <w:noWrap/>
            <w:vAlign w:val="center"/>
            <w:hideMark/>
          </w:tcPr>
          <w:p w14:paraId="77A0B32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w:t>
            </w:r>
          </w:p>
        </w:tc>
        <w:tc>
          <w:tcPr>
            <w:tcW w:w="671" w:type="pct"/>
            <w:tcBorders>
              <w:top w:val="nil"/>
              <w:left w:val="nil"/>
              <w:bottom w:val="nil"/>
              <w:right w:val="nil"/>
            </w:tcBorders>
            <w:shd w:val="clear" w:color="auto" w:fill="auto"/>
            <w:noWrap/>
            <w:vAlign w:val="center"/>
            <w:hideMark/>
          </w:tcPr>
          <w:p w14:paraId="6B05C1B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2,504</w:t>
            </w:r>
          </w:p>
        </w:tc>
        <w:tc>
          <w:tcPr>
            <w:tcW w:w="714" w:type="pct"/>
            <w:tcBorders>
              <w:top w:val="nil"/>
              <w:left w:val="nil"/>
              <w:bottom w:val="nil"/>
              <w:right w:val="nil"/>
            </w:tcBorders>
            <w:shd w:val="clear" w:color="auto" w:fill="auto"/>
            <w:noWrap/>
            <w:vAlign w:val="center"/>
            <w:hideMark/>
          </w:tcPr>
          <w:p w14:paraId="56E4C47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0.7 (0.2)</w:t>
            </w:r>
          </w:p>
        </w:tc>
        <w:tc>
          <w:tcPr>
            <w:tcW w:w="714" w:type="pct"/>
            <w:tcBorders>
              <w:top w:val="nil"/>
              <w:left w:val="nil"/>
              <w:bottom w:val="nil"/>
              <w:right w:val="nil"/>
            </w:tcBorders>
            <w:shd w:val="clear" w:color="auto" w:fill="auto"/>
            <w:noWrap/>
            <w:vAlign w:val="center"/>
            <w:hideMark/>
          </w:tcPr>
          <w:p w14:paraId="215224B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33.2 (1.1)</w:t>
            </w:r>
          </w:p>
        </w:tc>
      </w:tr>
      <w:tr w:rsidR="003E38E6" w:rsidRPr="003E38E6" w14:paraId="459BDEB0" w14:textId="77777777" w:rsidTr="003E38E6">
        <w:trPr>
          <w:trHeight w:val="300"/>
        </w:trPr>
        <w:tc>
          <w:tcPr>
            <w:tcW w:w="714" w:type="pct"/>
            <w:tcBorders>
              <w:top w:val="nil"/>
              <w:left w:val="nil"/>
              <w:bottom w:val="nil"/>
              <w:right w:val="nil"/>
            </w:tcBorders>
            <w:shd w:val="clear" w:color="auto" w:fill="auto"/>
            <w:noWrap/>
            <w:vAlign w:val="center"/>
            <w:hideMark/>
          </w:tcPr>
          <w:p w14:paraId="1124783B"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F252C9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Sudan</w:t>
            </w:r>
          </w:p>
        </w:tc>
        <w:tc>
          <w:tcPr>
            <w:tcW w:w="647" w:type="pct"/>
            <w:tcBorders>
              <w:top w:val="nil"/>
              <w:left w:val="nil"/>
              <w:bottom w:val="nil"/>
              <w:right w:val="nil"/>
            </w:tcBorders>
            <w:shd w:val="clear" w:color="auto" w:fill="auto"/>
            <w:noWrap/>
            <w:vAlign w:val="center"/>
            <w:hideMark/>
          </w:tcPr>
          <w:p w14:paraId="102BE5A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7F1556B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77</w:t>
            </w:r>
          </w:p>
        </w:tc>
        <w:tc>
          <w:tcPr>
            <w:tcW w:w="671" w:type="pct"/>
            <w:tcBorders>
              <w:top w:val="nil"/>
              <w:left w:val="nil"/>
              <w:bottom w:val="nil"/>
              <w:right w:val="nil"/>
            </w:tcBorders>
            <w:shd w:val="clear" w:color="auto" w:fill="auto"/>
            <w:noWrap/>
            <w:vAlign w:val="center"/>
            <w:hideMark/>
          </w:tcPr>
          <w:p w14:paraId="70AC5C4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1,401</w:t>
            </w:r>
          </w:p>
        </w:tc>
        <w:tc>
          <w:tcPr>
            <w:tcW w:w="714" w:type="pct"/>
            <w:tcBorders>
              <w:top w:val="nil"/>
              <w:left w:val="nil"/>
              <w:bottom w:val="nil"/>
              <w:right w:val="nil"/>
            </w:tcBorders>
            <w:shd w:val="clear" w:color="auto" w:fill="auto"/>
            <w:noWrap/>
            <w:vAlign w:val="center"/>
            <w:hideMark/>
          </w:tcPr>
          <w:p w14:paraId="1F5E149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3.6 (1.3)</w:t>
            </w:r>
          </w:p>
        </w:tc>
        <w:tc>
          <w:tcPr>
            <w:tcW w:w="714" w:type="pct"/>
            <w:tcBorders>
              <w:top w:val="nil"/>
              <w:left w:val="nil"/>
              <w:bottom w:val="nil"/>
              <w:right w:val="nil"/>
            </w:tcBorders>
            <w:shd w:val="clear" w:color="auto" w:fill="auto"/>
            <w:noWrap/>
            <w:vAlign w:val="center"/>
            <w:hideMark/>
          </w:tcPr>
          <w:p w14:paraId="7748F99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19.7 (2.1)</w:t>
            </w:r>
          </w:p>
        </w:tc>
      </w:tr>
      <w:tr w:rsidR="003E38E6" w:rsidRPr="003E38E6" w14:paraId="77F23888" w14:textId="77777777" w:rsidTr="003E38E6">
        <w:trPr>
          <w:trHeight w:val="300"/>
        </w:trPr>
        <w:tc>
          <w:tcPr>
            <w:tcW w:w="714" w:type="pct"/>
            <w:tcBorders>
              <w:top w:val="nil"/>
              <w:left w:val="nil"/>
              <w:bottom w:val="nil"/>
              <w:right w:val="nil"/>
            </w:tcBorders>
            <w:shd w:val="clear" w:color="auto" w:fill="auto"/>
            <w:noWrap/>
            <w:vAlign w:val="center"/>
            <w:hideMark/>
          </w:tcPr>
          <w:p w14:paraId="07BACEB2"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498447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Syria</w:t>
            </w:r>
          </w:p>
        </w:tc>
        <w:tc>
          <w:tcPr>
            <w:tcW w:w="647" w:type="pct"/>
            <w:tcBorders>
              <w:top w:val="nil"/>
              <w:left w:val="nil"/>
              <w:bottom w:val="nil"/>
              <w:right w:val="nil"/>
            </w:tcBorders>
            <w:shd w:val="clear" w:color="auto" w:fill="auto"/>
            <w:noWrap/>
            <w:vAlign w:val="center"/>
            <w:hideMark/>
          </w:tcPr>
          <w:p w14:paraId="0086DC0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50B4A44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97</w:t>
            </w:r>
          </w:p>
        </w:tc>
        <w:tc>
          <w:tcPr>
            <w:tcW w:w="671" w:type="pct"/>
            <w:tcBorders>
              <w:top w:val="nil"/>
              <w:left w:val="nil"/>
              <w:bottom w:val="nil"/>
              <w:right w:val="nil"/>
            </w:tcBorders>
            <w:shd w:val="clear" w:color="auto" w:fill="auto"/>
            <w:noWrap/>
            <w:vAlign w:val="center"/>
            <w:hideMark/>
          </w:tcPr>
          <w:p w14:paraId="3D0E410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2,929</w:t>
            </w:r>
          </w:p>
        </w:tc>
        <w:tc>
          <w:tcPr>
            <w:tcW w:w="714" w:type="pct"/>
            <w:tcBorders>
              <w:top w:val="nil"/>
              <w:left w:val="nil"/>
              <w:bottom w:val="nil"/>
              <w:right w:val="nil"/>
            </w:tcBorders>
            <w:shd w:val="clear" w:color="auto" w:fill="auto"/>
            <w:noWrap/>
            <w:vAlign w:val="center"/>
            <w:hideMark/>
          </w:tcPr>
          <w:p w14:paraId="66E1B90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6.1 (0.7)</w:t>
            </w:r>
          </w:p>
        </w:tc>
        <w:tc>
          <w:tcPr>
            <w:tcW w:w="714" w:type="pct"/>
            <w:tcBorders>
              <w:top w:val="nil"/>
              <w:left w:val="nil"/>
              <w:bottom w:val="nil"/>
              <w:right w:val="nil"/>
            </w:tcBorders>
            <w:shd w:val="clear" w:color="auto" w:fill="auto"/>
            <w:noWrap/>
            <w:vAlign w:val="center"/>
            <w:hideMark/>
          </w:tcPr>
          <w:p w14:paraId="7C843BA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25.3 (2.6)</w:t>
            </w:r>
          </w:p>
        </w:tc>
      </w:tr>
      <w:tr w:rsidR="003E38E6" w:rsidRPr="003E38E6" w14:paraId="75566549" w14:textId="77777777" w:rsidTr="003E38E6">
        <w:trPr>
          <w:trHeight w:val="300"/>
        </w:trPr>
        <w:tc>
          <w:tcPr>
            <w:tcW w:w="714" w:type="pct"/>
            <w:tcBorders>
              <w:top w:val="nil"/>
              <w:left w:val="nil"/>
              <w:bottom w:val="nil"/>
              <w:right w:val="nil"/>
            </w:tcBorders>
            <w:shd w:val="clear" w:color="auto" w:fill="auto"/>
            <w:noWrap/>
            <w:vAlign w:val="center"/>
            <w:hideMark/>
          </w:tcPr>
          <w:p w14:paraId="226FADC6"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16A3BD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Tonga</w:t>
            </w:r>
          </w:p>
        </w:tc>
        <w:tc>
          <w:tcPr>
            <w:tcW w:w="647" w:type="pct"/>
            <w:tcBorders>
              <w:top w:val="nil"/>
              <w:left w:val="nil"/>
              <w:bottom w:val="nil"/>
              <w:right w:val="nil"/>
            </w:tcBorders>
            <w:shd w:val="clear" w:color="auto" w:fill="auto"/>
            <w:noWrap/>
            <w:vAlign w:val="center"/>
            <w:hideMark/>
          </w:tcPr>
          <w:p w14:paraId="5386F98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7C1EA57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80</w:t>
            </w:r>
          </w:p>
        </w:tc>
        <w:tc>
          <w:tcPr>
            <w:tcW w:w="671" w:type="pct"/>
            <w:tcBorders>
              <w:top w:val="nil"/>
              <w:left w:val="nil"/>
              <w:bottom w:val="nil"/>
              <w:right w:val="nil"/>
            </w:tcBorders>
            <w:shd w:val="clear" w:color="auto" w:fill="auto"/>
            <w:noWrap/>
            <w:vAlign w:val="center"/>
            <w:hideMark/>
          </w:tcPr>
          <w:p w14:paraId="3EBFFEF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1,946</w:t>
            </w:r>
          </w:p>
        </w:tc>
        <w:tc>
          <w:tcPr>
            <w:tcW w:w="714" w:type="pct"/>
            <w:tcBorders>
              <w:top w:val="nil"/>
              <w:left w:val="nil"/>
              <w:bottom w:val="nil"/>
              <w:right w:val="nil"/>
            </w:tcBorders>
            <w:shd w:val="clear" w:color="auto" w:fill="auto"/>
            <w:noWrap/>
            <w:vAlign w:val="center"/>
            <w:hideMark/>
          </w:tcPr>
          <w:p w14:paraId="66A4E6B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21.9 (1.2)</w:t>
            </w:r>
          </w:p>
        </w:tc>
        <w:tc>
          <w:tcPr>
            <w:tcW w:w="714" w:type="pct"/>
            <w:tcBorders>
              <w:top w:val="nil"/>
              <w:left w:val="nil"/>
              <w:bottom w:val="nil"/>
              <w:right w:val="nil"/>
            </w:tcBorders>
            <w:shd w:val="clear" w:color="auto" w:fill="auto"/>
            <w:noWrap/>
            <w:vAlign w:val="center"/>
            <w:hideMark/>
          </w:tcPr>
          <w:p w14:paraId="5F3452B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29.2 (1.4)</w:t>
            </w:r>
          </w:p>
        </w:tc>
      </w:tr>
      <w:tr w:rsidR="003E38E6" w:rsidRPr="003E38E6" w14:paraId="5CF426BB" w14:textId="77777777" w:rsidTr="003E38E6">
        <w:trPr>
          <w:trHeight w:val="300"/>
        </w:trPr>
        <w:tc>
          <w:tcPr>
            <w:tcW w:w="714" w:type="pct"/>
            <w:tcBorders>
              <w:top w:val="nil"/>
              <w:left w:val="nil"/>
              <w:bottom w:val="nil"/>
              <w:right w:val="nil"/>
            </w:tcBorders>
            <w:shd w:val="clear" w:color="auto" w:fill="auto"/>
            <w:noWrap/>
            <w:vAlign w:val="center"/>
            <w:hideMark/>
          </w:tcPr>
          <w:p w14:paraId="0E7898CF"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438AF74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Vietnam</w:t>
            </w:r>
          </w:p>
        </w:tc>
        <w:tc>
          <w:tcPr>
            <w:tcW w:w="647" w:type="pct"/>
            <w:tcBorders>
              <w:top w:val="nil"/>
              <w:left w:val="nil"/>
              <w:bottom w:val="nil"/>
              <w:right w:val="nil"/>
            </w:tcBorders>
            <w:shd w:val="clear" w:color="auto" w:fill="auto"/>
            <w:noWrap/>
            <w:vAlign w:val="center"/>
            <w:hideMark/>
          </w:tcPr>
          <w:p w14:paraId="453CE32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2013</w:t>
            </w:r>
          </w:p>
        </w:tc>
        <w:tc>
          <w:tcPr>
            <w:tcW w:w="714" w:type="pct"/>
            <w:tcBorders>
              <w:top w:val="nil"/>
              <w:left w:val="nil"/>
              <w:bottom w:val="nil"/>
              <w:right w:val="nil"/>
            </w:tcBorders>
            <w:shd w:val="clear" w:color="auto" w:fill="auto"/>
            <w:noWrap/>
            <w:vAlign w:val="center"/>
            <w:hideMark/>
          </w:tcPr>
          <w:p w14:paraId="4BE2A41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96</w:t>
            </w:r>
          </w:p>
        </w:tc>
        <w:tc>
          <w:tcPr>
            <w:tcW w:w="671" w:type="pct"/>
            <w:tcBorders>
              <w:top w:val="nil"/>
              <w:left w:val="nil"/>
              <w:bottom w:val="nil"/>
              <w:right w:val="nil"/>
            </w:tcBorders>
            <w:shd w:val="clear" w:color="auto" w:fill="auto"/>
            <w:noWrap/>
            <w:vAlign w:val="center"/>
            <w:hideMark/>
          </w:tcPr>
          <w:p w14:paraId="50BDA8D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1,743</w:t>
            </w:r>
          </w:p>
        </w:tc>
        <w:tc>
          <w:tcPr>
            <w:tcW w:w="714" w:type="pct"/>
            <w:tcBorders>
              <w:top w:val="nil"/>
              <w:left w:val="nil"/>
              <w:bottom w:val="nil"/>
              <w:right w:val="nil"/>
            </w:tcBorders>
            <w:shd w:val="clear" w:color="auto" w:fill="auto"/>
            <w:noWrap/>
            <w:vAlign w:val="center"/>
            <w:hideMark/>
          </w:tcPr>
          <w:p w14:paraId="17026F6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0.6 (0.3)</w:t>
            </w:r>
          </w:p>
        </w:tc>
        <w:tc>
          <w:tcPr>
            <w:tcW w:w="714" w:type="pct"/>
            <w:tcBorders>
              <w:top w:val="nil"/>
              <w:left w:val="nil"/>
              <w:bottom w:val="nil"/>
              <w:right w:val="nil"/>
            </w:tcBorders>
            <w:shd w:val="clear" w:color="auto" w:fill="auto"/>
            <w:noWrap/>
            <w:vAlign w:val="center"/>
            <w:hideMark/>
          </w:tcPr>
          <w:p w14:paraId="5378D0E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34.9 (2.1)</w:t>
            </w:r>
          </w:p>
        </w:tc>
      </w:tr>
      <w:tr w:rsidR="003E38E6" w:rsidRPr="003E38E6" w14:paraId="1FB6531E" w14:textId="77777777" w:rsidTr="003E38E6">
        <w:trPr>
          <w:trHeight w:val="300"/>
        </w:trPr>
        <w:tc>
          <w:tcPr>
            <w:tcW w:w="714" w:type="pct"/>
            <w:tcBorders>
              <w:top w:val="nil"/>
              <w:left w:val="nil"/>
              <w:bottom w:val="nil"/>
              <w:right w:val="nil"/>
            </w:tcBorders>
            <w:shd w:val="clear" w:color="auto" w:fill="auto"/>
            <w:noWrap/>
            <w:vAlign w:val="center"/>
            <w:hideMark/>
          </w:tcPr>
          <w:p w14:paraId="1D7EBFD5"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2921770"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Total</w:t>
            </w:r>
          </w:p>
        </w:tc>
        <w:tc>
          <w:tcPr>
            <w:tcW w:w="647" w:type="pct"/>
            <w:tcBorders>
              <w:top w:val="nil"/>
              <w:left w:val="nil"/>
              <w:bottom w:val="nil"/>
              <w:right w:val="nil"/>
            </w:tcBorders>
            <w:shd w:val="clear" w:color="auto" w:fill="auto"/>
            <w:noWrap/>
            <w:vAlign w:val="center"/>
            <w:hideMark/>
          </w:tcPr>
          <w:p w14:paraId="5999DAFC" w14:textId="77777777" w:rsidR="003E38E6" w:rsidRPr="003E38E6" w:rsidRDefault="003E38E6" w:rsidP="003E38E6">
            <w:pPr>
              <w:rPr>
                <w:rFonts w:eastAsia="Times New Roman"/>
                <w:color w:val="000000"/>
                <w:lang w:val="en-GB"/>
              </w:rPr>
            </w:pPr>
          </w:p>
        </w:tc>
        <w:tc>
          <w:tcPr>
            <w:tcW w:w="714" w:type="pct"/>
            <w:tcBorders>
              <w:top w:val="nil"/>
              <w:left w:val="nil"/>
              <w:bottom w:val="nil"/>
              <w:right w:val="nil"/>
            </w:tcBorders>
            <w:shd w:val="clear" w:color="auto" w:fill="auto"/>
            <w:noWrap/>
            <w:vAlign w:val="center"/>
            <w:hideMark/>
          </w:tcPr>
          <w:p w14:paraId="7E72D155" w14:textId="77777777" w:rsidR="003E38E6" w:rsidRPr="003E38E6" w:rsidRDefault="003E38E6" w:rsidP="003E38E6">
            <w:pPr>
              <w:rPr>
                <w:rFonts w:eastAsia="Times New Roman"/>
                <w:color w:val="000000"/>
                <w:lang w:val="en-GB"/>
              </w:rPr>
            </w:pPr>
          </w:p>
        </w:tc>
        <w:tc>
          <w:tcPr>
            <w:tcW w:w="671" w:type="pct"/>
            <w:tcBorders>
              <w:top w:val="nil"/>
              <w:left w:val="nil"/>
              <w:bottom w:val="nil"/>
              <w:right w:val="nil"/>
            </w:tcBorders>
            <w:shd w:val="clear" w:color="auto" w:fill="auto"/>
            <w:noWrap/>
            <w:vAlign w:val="center"/>
            <w:hideMark/>
          </w:tcPr>
          <w:p w14:paraId="15D59747"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71,163</w:t>
            </w:r>
          </w:p>
        </w:tc>
        <w:tc>
          <w:tcPr>
            <w:tcW w:w="714" w:type="pct"/>
            <w:tcBorders>
              <w:top w:val="nil"/>
              <w:left w:val="nil"/>
              <w:bottom w:val="nil"/>
              <w:right w:val="nil"/>
            </w:tcBorders>
            <w:shd w:val="clear" w:color="auto" w:fill="auto"/>
            <w:noWrap/>
            <w:vAlign w:val="center"/>
            <w:hideMark/>
          </w:tcPr>
          <w:p w14:paraId="3E1939C3"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3.7 (0.2)</w:t>
            </w:r>
          </w:p>
        </w:tc>
        <w:tc>
          <w:tcPr>
            <w:tcW w:w="714" w:type="pct"/>
            <w:tcBorders>
              <w:top w:val="nil"/>
              <w:left w:val="nil"/>
              <w:bottom w:val="nil"/>
              <w:right w:val="nil"/>
            </w:tcBorders>
            <w:shd w:val="clear" w:color="auto" w:fill="auto"/>
            <w:noWrap/>
            <w:vAlign w:val="center"/>
            <w:hideMark/>
          </w:tcPr>
          <w:p w14:paraId="68C9C5CE"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24.6 (0.6)</w:t>
            </w:r>
          </w:p>
        </w:tc>
      </w:tr>
      <w:tr w:rsidR="003E38E6" w:rsidRPr="003E38E6" w14:paraId="48F8DB7D" w14:textId="77777777" w:rsidTr="003E38E6">
        <w:trPr>
          <w:trHeight w:val="300"/>
        </w:trPr>
        <w:tc>
          <w:tcPr>
            <w:tcW w:w="714" w:type="pct"/>
            <w:tcBorders>
              <w:top w:val="nil"/>
              <w:left w:val="nil"/>
              <w:bottom w:val="nil"/>
              <w:right w:val="nil"/>
            </w:tcBorders>
            <w:shd w:val="clear" w:color="auto" w:fill="auto"/>
            <w:noWrap/>
            <w:vAlign w:val="center"/>
            <w:hideMark/>
          </w:tcPr>
          <w:p w14:paraId="309F733A" w14:textId="296A34F4" w:rsidR="003E38E6" w:rsidRPr="003E38E6" w:rsidRDefault="00007C35" w:rsidP="003E38E6">
            <w:pPr>
              <w:rPr>
                <w:rFonts w:eastAsia="Times New Roman"/>
                <w:color w:val="000000"/>
                <w:sz w:val="22"/>
                <w:szCs w:val="22"/>
                <w:lang w:val="en-GB"/>
              </w:rPr>
            </w:pPr>
            <w:r>
              <w:rPr>
                <w:rFonts w:eastAsia="Times New Roman"/>
                <w:color w:val="000000"/>
                <w:sz w:val="22"/>
                <w:szCs w:val="22"/>
                <w:lang w:val="en-GB"/>
              </w:rPr>
              <w:t>Upper m</w:t>
            </w:r>
            <w:r w:rsidR="003E38E6" w:rsidRPr="003E38E6">
              <w:rPr>
                <w:rFonts w:eastAsia="Times New Roman"/>
                <w:color w:val="000000"/>
                <w:sz w:val="22"/>
                <w:szCs w:val="22"/>
                <w:lang w:val="en-GB"/>
              </w:rPr>
              <w:t>iddle</w:t>
            </w:r>
          </w:p>
        </w:tc>
        <w:tc>
          <w:tcPr>
            <w:tcW w:w="826" w:type="pct"/>
            <w:tcBorders>
              <w:top w:val="nil"/>
              <w:left w:val="nil"/>
              <w:bottom w:val="nil"/>
              <w:right w:val="nil"/>
            </w:tcBorders>
            <w:shd w:val="clear" w:color="auto" w:fill="auto"/>
            <w:noWrap/>
            <w:vAlign w:val="center"/>
            <w:hideMark/>
          </w:tcPr>
          <w:p w14:paraId="70143CE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Algeria</w:t>
            </w:r>
          </w:p>
        </w:tc>
        <w:tc>
          <w:tcPr>
            <w:tcW w:w="647" w:type="pct"/>
            <w:tcBorders>
              <w:top w:val="nil"/>
              <w:left w:val="nil"/>
              <w:bottom w:val="nil"/>
              <w:right w:val="nil"/>
            </w:tcBorders>
            <w:shd w:val="clear" w:color="auto" w:fill="auto"/>
            <w:noWrap/>
            <w:vAlign w:val="center"/>
            <w:hideMark/>
          </w:tcPr>
          <w:p w14:paraId="53724D8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6315109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98</w:t>
            </w:r>
          </w:p>
        </w:tc>
        <w:tc>
          <w:tcPr>
            <w:tcW w:w="671" w:type="pct"/>
            <w:tcBorders>
              <w:top w:val="nil"/>
              <w:left w:val="nil"/>
              <w:bottom w:val="nil"/>
              <w:right w:val="nil"/>
            </w:tcBorders>
            <w:shd w:val="clear" w:color="auto" w:fill="auto"/>
            <w:noWrap/>
            <w:vAlign w:val="center"/>
            <w:hideMark/>
          </w:tcPr>
          <w:p w14:paraId="3A29E41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3,484</w:t>
            </w:r>
          </w:p>
        </w:tc>
        <w:tc>
          <w:tcPr>
            <w:tcW w:w="714" w:type="pct"/>
            <w:tcBorders>
              <w:top w:val="nil"/>
              <w:left w:val="nil"/>
              <w:bottom w:val="nil"/>
              <w:right w:val="nil"/>
            </w:tcBorders>
            <w:shd w:val="clear" w:color="auto" w:fill="auto"/>
            <w:noWrap/>
            <w:vAlign w:val="center"/>
            <w:hideMark/>
          </w:tcPr>
          <w:p w14:paraId="7421316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3.7 (0.5)</w:t>
            </w:r>
          </w:p>
        </w:tc>
        <w:tc>
          <w:tcPr>
            <w:tcW w:w="714" w:type="pct"/>
            <w:tcBorders>
              <w:top w:val="nil"/>
              <w:left w:val="nil"/>
              <w:bottom w:val="nil"/>
              <w:right w:val="nil"/>
            </w:tcBorders>
            <w:shd w:val="clear" w:color="auto" w:fill="auto"/>
            <w:noWrap/>
            <w:vAlign w:val="center"/>
            <w:hideMark/>
          </w:tcPr>
          <w:p w14:paraId="3870585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26.8 (1.1)</w:t>
            </w:r>
          </w:p>
        </w:tc>
      </w:tr>
      <w:tr w:rsidR="003E38E6" w:rsidRPr="003E38E6" w14:paraId="2560799C" w14:textId="77777777" w:rsidTr="003E38E6">
        <w:trPr>
          <w:trHeight w:val="300"/>
        </w:trPr>
        <w:tc>
          <w:tcPr>
            <w:tcW w:w="714" w:type="pct"/>
            <w:tcBorders>
              <w:top w:val="nil"/>
              <w:left w:val="nil"/>
              <w:bottom w:val="nil"/>
              <w:right w:val="nil"/>
            </w:tcBorders>
            <w:shd w:val="clear" w:color="auto" w:fill="auto"/>
            <w:noWrap/>
            <w:vAlign w:val="center"/>
            <w:hideMark/>
          </w:tcPr>
          <w:p w14:paraId="0E092FD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117E08E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Costa Rica</w:t>
            </w:r>
          </w:p>
        </w:tc>
        <w:tc>
          <w:tcPr>
            <w:tcW w:w="647" w:type="pct"/>
            <w:tcBorders>
              <w:top w:val="nil"/>
              <w:left w:val="nil"/>
              <w:bottom w:val="nil"/>
              <w:right w:val="nil"/>
            </w:tcBorders>
            <w:shd w:val="clear" w:color="auto" w:fill="auto"/>
            <w:noWrap/>
            <w:vAlign w:val="center"/>
            <w:hideMark/>
          </w:tcPr>
          <w:p w14:paraId="2B27602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2009</w:t>
            </w:r>
          </w:p>
        </w:tc>
        <w:tc>
          <w:tcPr>
            <w:tcW w:w="714" w:type="pct"/>
            <w:tcBorders>
              <w:top w:val="nil"/>
              <w:left w:val="nil"/>
              <w:bottom w:val="nil"/>
              <w:right w:val="nil"/>
            </w:tcBorders>
            <w:shd w:val="clear" w:color="auto" w:fill="auto"/>
            <w:noWrap/>
            <w:vAlign w:val="center"/>
            <w:hideMark/>
          </w:tcPr>
          <w:p w14:paraId="20A1804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72</w:t>
            </w:r>
          </w:p>
        </w:tc>
        <w:tc>
          <w:tcPr>
            <w:tcW w:w="671" w:type="pct"/>
            <w:tcBorders>
              <w:top w:val="nil"/>
              <w:left w:val="nil"/>
              <w:bottom w:val="nil"/>
              <w:right w:val="nil"/>
            </w:tcBorders>
            <w:shd w:val="clear" w:color="auto" w:fill="auto"/>
            <w:noWrap/>
            <w:vAlign w:val="center"/>
            <w:hideMark/>
          </w:tcPr>
          <w:p w14:paraId="6EC30D2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2,265</w:t>
            </w:r>
          </w:p>
        </w:tc>
        <w:tc>
          <w:tcPr>
            <w:tcW w:w="714" w:type="pct"/>
            <w:tcBorders>
              <w:top w:val="nil"/>
              <w:left w:val="nil"/>
              <w:bottom w:val="nil"/>
              <w:right w:val="nil"/>
            </w:tcBorders>
            <w:shd w:val="clear" w:color="auto" w:fill="auto"/>
            <w:noWrap/>
            <w:vAlign w:val="center"/>
            <w:hideMark/>
          </w:tcPr>
          <w:p w14:paraId="4BDC06C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 (0.8)</w:t>
            </w:r>
          </w:p>
        </w:tc>
        <w:tc>
          <w:tcPr>
            <w:tcW w:w="714" w:type="pct"/>
            <w:tcBorders>
              <w:top w:val="nil"/>
              <w:left w:val="nil"/>
              <w:bottom w:val="nil"/>
              <w:right w:val="nil"/>
            </w:tcBorders>
            <w:shd w:val="clear" w:color="auto" w:fill="auto"/>
            <w:noWrap/>
            <w:vAlign w:val="center"/>
            <w:hideMark/>
          </w:tcPr>
          <w:p w14:paraId="52FBEA8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44.2 (1.6)</w:t>
            </w:r>
          </w:p>
        </w:tc>
      </w:tr>
      <w:tr w:rsidR="003E38E6" w:rsidRPr="003E38E6" w14:paraId="2415A9F5" w14:textId="77777777" w:rsidTr="003E38E6">
        <w:trPr>
          <w:trHeight w:val="300"/>
        </w:trPr>
        <w:tc>
          <w:tcPr>
            <w:tcW w:w="714" w:type="pct"/>
            <w:tcBorders>
              <w:top w:val="nil"/>
              <w:left w:val="nil"/>
              <w:bottom w:val="nil"/>
              <w:right w:val="nil"/>
            </w:tcBorders>
            <w:shd w:val="clear" w:color="auto" w:fill="auto"/>
            <w:noWrap/>
            <w:vAlign w:val="center"/>
            <w:hideMark/>
          </w:tcPr>
          <w:p w14:paraId="01261D3C"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E3C25D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Iraq</w:t>
            </w:r>
          </w:p>
        </w:tc>
        <w:tc>
          <w:tcPr>
            <w:tcW w:w="647" w:type="pct"/>
            <w:tcBorders>
              <w:top w:val="nil"/>
              <w:left w:val="nil"/>
              <w:bottom w:val="nil"/>
              <w:right w:val="nil"/>
            </w:tcBorders>
            <w:shd w:val="clear" w:color="auto" w:fill="auto"/>
            <w:noWrap/>
            <w:vAlign w:val="center"/>
            <w:hideMark/>
          </w:tcPr>
          <w:p w14:paraId="5483A46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59471B2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88</w:t>
            </w:r>
          </w:p>
        </w:tc>
        <w:tc>
          <w:tcPr>
            <w:tcW w:w="671" w:type="pct"/>
            <w:tcBorders>
              <w:top w:val="nil"/>
              <w:left w:val="nil"/>
              <w:bottom w:val="nil"/>
              <w:right w:val="nil"/>
            </w:tcBorders>
            <w:shd w:val="clear" w:color="auto" w:fill="auto"/>
            <w:noWrap/>
            <w:vAlign w:val="center"/>
            <w:hideMark/>
          </w:tcPr>
          <w:p w14:paraId="17EAC3B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1,533</w:t>
            </w:r>
          </w:p>
        </w:tc>
        <w:tc>
          <w:tcPr>
            <w:tcW w:w="714" w:type="pct"/>
            <w:tcBorders>
              <w:top w:val="nil"/>
              <w:left w:val="nil"/>
              <w:bottom w:val="nil"/>
              <w:right w:val="nil"/>
            </w:tcBorders>
            <w:shd w:val="clear" w:color="auto" w:fill="auto"/>
            <w:noWrap/>
            <w:vAlign w:val="center"/>
            <w:hideMark/>
          </w:tcPr>
          <w:p w14:paraId="24636E6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7.9 (0.8)</w:t>
            </w:r>
          </w:p>
        </w:tc>
        <w:tc>
          <w:tcPr>
            <w:tcW w:w="714" w:type="pct"/>
            <w:tcBorders>
              <w:top w:val="nil"/>
              <w:left w:val="nil"/>
              <w:bottom w:val="nil"/>
              <w:right w:val="nil"/>
            </w:tcBorders>
            <w:shd w:val="clear" w:color="auto" w:fill="auto"/>
            <w:noWrap/>
            <w:vAlign w:val="center"/>
            <w:hideMark/>
          </w:tcPr>
          <w:p w14:paraId="158ED88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25.6 (1.9)</w:t>
            </w:r>
          </w:p>
        </w:tc>
      </w:tr>
      <w:tr w:rsidR="003E38E6" w:rsidRPr="003E38E6" w14:paraId="5C3B9B05" w14:textId="77777777" w:rsidTr="003E38E6">
        <w:trPr>
          <w:trHeight w:val="300"/>
        </w:trPr>
        <w:tc>
          <w:tcPr>
            <w:tcW w:w="714" w:type="pct"/>
            <w:tcBorders>
              <w:top w:val="nil"/>
              <w:left w:val="nil"/>
              <w:bottom w:val="nil"/>
              <w:right w:val="nil"/>
            </w:tcBorders>
            <w:shd w:val="clear" w:color="auto" w:fill="auto"/>
            <w:noWrap/>
            <w:vAlign w:val="center"/>
            <w:hideMark/>
          </w:tcPr>
          <w:p w14:paraId="6E25D998"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3D1981E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Libya</w:t>
            </w:r>
          </w:p>
        </w:tc>
        <w:tc>
          <w:tcPr>
            <w:tcW w:w="647" w:type="pct"/>
            <w:tcBorders>
              <w:top w:val="nil"/>
              <w:left w:val="nil"/>
              <w:bottom w:val="nil"/>
              <w:right w:val="nil"/>
            </w:tcBorders>
            <w:shd w:val="clear" w:color="auto" w:fill="auto"/>
            <w:noWrap/>
            <w:vAlign w:val="center"/>
            <w:hideMark/>
          </w:tcPr>
          <w:p w14:paraId="16991AC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2007</w:t>
            </w:r>
          </w:p>
        </w:tc>
        <w:tc>
          <w:tcPr>
            <w:tcW w:w="714" w:type="pct"/>
            <w:tcBorders>
              <w:top w:val="nil"/>
              <w:left w:val="nil"/>
              <w:bottom w:val="nil"/>
              <w:right w:val="nil"/>
            </w:tcBorders>
            <w:shd w:val="clear" w:color="auto" w:fill="auto"/>
            <w:noWrap/>
            <w:vAlign w:val="center"/>
            <w:hideMark/>
          </w:tcPr>
          <w:p w14:paraId="0AA48C4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98</w:t>
            </w:r>
          </w:p>
        </w:tc>
        <w:tc>
          <w:tcPr>
            <w:tcW w:w="671" w:type="pct"/>
            <w:tcBorders>
              <w:top w:val="nil"/>
              <w:left w:val="nil"/>
              <w:bottom w:val="nil"/>
              <w:right w:val="nil"/>
            </w:tcBorders>
            <w:shd w:val="clear" w:color="auto" w:fill="auto"/>
            <w:noWrap/>
            <w:vAlign w:val="center"/>
            <w:hideMark/>
          </w:tcPr>
          <w:p w14:paraId="65A52BD2"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1,891</w:t>
            </w:r>
          </w:p>
        </w:tc>
        <w:tc>
          <w:tcPr>
            <w:tcW w:w="714" w:type="pct"/>
            <w:tcBorders>
              <w:top w:val="nil"/>
              <w:left w:val="nil"/>
              <w:bottom w:val="nil"/>
              <w:right w:val="nil"/>
            </w:tcBorders>
            <w:shd w:val="clear" w:color="auto" w:fill="auto"/>
            <w:noWrap/>
            <w:vAlign w:val="center"/>
            <w:hideMark/>
          </w:tcPr>
          <w:p w14:paraId="0C8EF67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8.3 (0.6)</w:t>
            </w:r>
          </w:p>
        </w:tc>
        <w:tc>
          <w:tcPr>
            <w:tcW w:w="714" w:type="pct"/>
            <w:tcBorders>
              <w:top w:val="nil"/>
              <w:left w:val="nil"/>
              <w:bottom w:val="nil"/>
              <w:right w:val="nil"/>
            </w:tcBorders>
            <w:shd w:val="clear" w:color="auto" w:fill="auto"/>
            <w:noWrap/>
            <w:vAlign w:val="center"/>
            <w:hideMark/>
          </w:tcPr>
          <w:p w14:paraId="6391677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28.6 (1.6)</w:t>
            </w:r>
          </w:p>
        </w:tc>
      </w:tr>
      <w:tr w:rsidR="003E38E6" w:rsidRPr="003E38E6" w14:paraId="64C8B99E" w14:textId="77777777" w:rsidTr="003E38E6">
        <w:trPr>
          <w:trHeight w:val="300"/>
        </w:trPr>
        <w:tc>
          <w:tcPr>
            <w:tcW w:w="714" w:type="pct"/>
            <w:tcBorders>
              <w:top w:val="nil"/>
              <w:left w:val="nil"/>
              <w:bottom w:val="nil"/>
              <w:right w:val="nil"/>
            </w:tcBorders>
            <w:shd w:val="clear" w:color="auto" w:fill="auto"/>
            <w:noWrap/>
            <w:vAlign w:val="center"/>
            <w:hideMark/>
          </w:tcPr>
          <w:p w14:paraId="75B6F7A3"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07472CD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Malaysia</w:t>
            </w:r>
          </w:p>
        </w:tc>
        <w:tc>
          <w:tcPr>
            <w:tcW w:w="647" w:type="pct"/>
            <w:tcBorders>
              <w:top w:val="nil"/>
              <w:left w:val="nil"/>
              <w:bottom w:val="nil"/>
              <w:right w:val="nil"/>
            </w:tcBorders>
            <w:shd w:val="clear" w:color="auto" w:fill="auto"/>
            <w:noWrap/>
            <w:vAlign w:val="center"/>
            <w:hideMark/>
          </w:tcPr>
          <w:p w14:paraId="508FFB1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2012</w:t>
            </w:r>
          </w:p>
        </w:tc>
        <w:tc>
          <w:tcPr>
            <w:tcW w:w="714" w:type="pct"/>
            <w:tcBorders>
              <w:top w:val="nil"/>
              <w:left w:val="nil"/>
              <w:bottom w:val="nil"/>
              <w:right w:val="nil"/>
            </w:tcBorders>
            <w:shd w:val="clear" w:color="auto" w:fill="auto"/>
            <w:noWrap/>
            <w:vAlign w:val="center"/>
            <w:hideMark/>
          </w:tcPr>
          <w:p w14:paraId="3E9F6F2D"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w:t>
            </w:r>
          </w:p>
        </w:tc>
        <w:tc>
          <w:tcPr>
            <w:tcW w:w="671" w:type="pct"/>
            <w:tcBorders>
              <w:top w:val="nil"/>
              <w:left w:val="nil"/>
              <w:bottom w:val="nil"/>
              <w:right w:val="nil"/>
            </w:tcBorders>
            <w:shd w:val="clear" w:color="auto" w:fill="auto"/>
            <w:noWrap/>
            <w:vAlign w:val="center"/>
            <w:hideMark/>
          </w:tcPr>
          <w:p w14:paraId="0578ED7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16,273</w:t>
            </w:r>
          </w:p>
        </w:tc>
        <w:tc>
          <w:tcPr>
            <w:tcW w:w="714" w:type="pct"/>
            <w:tcBorders>
              <w:top w:val="nil"/>
              <w:left w:val="nil"/>
              <w:bottom w:val="nil"/>
              <w:right w:val="nil"/>
            </w:tcBorders>
            <w:shd w:val="clear" w:color="auto" w:fill="auto"/>
            <w:noWrap/>
            <w:vAlign w:val="center"/>
            <w:hideMark/>
          </w:tcPr>
          <w:p w14:paraId="0B399E3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9.7 (0.3)</w:t>
            </w:r>
          </w:p>
        </w:tc>
        <w:tc>
          <w:tcPr>
            <w:tcW w:w="714" w:type="pct"/>
            <w:tcBorders>
              <w:top w:val="nil"/>
              <w:left w:val="nil"/>
              <w:bottom w:val="nil"/>
              <w:right w:val="nil"/>
            </w:tcBorders>
            <w:shd w:val="clear" w:color="auto" w:fill="auto"/>
            <w:noWrap/>
            <w:vAlign w:val="center"/>
            <w:hideMark/>
          </w:tcPr>
          <w:p w14:paraId="3C780E4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42.7 (0.9)</w:t>
            </w:r>
          </w:p>
        </w:tc>
      </w:tr>
      <w:tr w:rsidR="003E38E6" w:rsidRPr="003E38E6" w14:paraId="3E0D68CF" w14:textId="77777777" w:rsidTr="003E38E6">
        <w:trPr>
          <w:trHeight w:val="300"/>
        </w:trPr>
        <w:tc>
          <w:tcPr>
            <w:tcW w:w="714" w:type="pct"/>
            <w:tcBorders>
              <w:top w:val="nil"/>
              <w:left w:val="nil"/>
              <w:bottom w:val="nil"/>
              <w:right w:val="nil"/>
            </w:tcBorders>
            <w:shd w:val="clear" w:color="auto" w:fill="auto"/>
            <w:noWrap/>
            <w:vAlign w:val="center"/>
            <w:hideMark/>
          </w:tcPr>
          <w:p w14:paraId="0385DDF6"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41A0C7A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Mauritius</w:t>
            </w:r>
          </w:p>
        </w:tc>
        <w:tc>
          <w:tcPr>
            <w:tcW w:w="647" w:type="pct"/>
            <w:tcBorders>
              <w:top w:val="nil"/>
              <w:left w:val="nil"/>
              <w:bottom w:val="nil"/>
              <w:right w:val="nil"/>
            </w:tcBorders>
            <w:shd w:val="clear" w:color="auto" w:fill="auto"/>
            <w:noWrap/>
            <w:vAlign w:val="center"/>
            <w:hideMark/>
          </w:tcPr>
          <w:p w14:paraId="5017849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2011</w:t>
            </w:r>
          </w:p>
        </w:tc>
        <w:tc>
          <w:tcPr>
            <w:tcW w:w="714" w:type="pct"/>
            <w:tcBorders>
              <w:top w:val="nil"/>
              <w:left w:val="nil"/>
              <w:bottom w:val="nil"/>
              <w:right w:val="nil"/>
            </w:tcBorders>
            <w:shd w:val="clear" w:color="auto" w:fill="auto"/>
            <w:noWrap/>
            <w:vAlign w:val="center"/>
            <w:hideMark/>
          </w:tcPr>
          <w:p w14:paraId="31458C0A"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82</w:t>
            </w:r>
          </w:p>
        </w:tc>
        <w:tc>
          <w:tcPr>
            <w:tcW w:w="671" w:type="pct"/>
            <w:tcBorders>
              <w:top w:val="nil"/>
              <w:left w:val="nil"/>
              <w:bottom w:val="nil"/>
              <w:right w:val="nil"/>
            </w:tcBorders>
            <w:shd w:val="clear" w:color="auto" w:fill="auto"/>
            <w:noWrap/>
            <w:vAlign w:val="center"/>
            <w:hideMark/>
          </w:tcPr>
          <w:p w14:paraId="541A1B8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2,074</w:t>
            </w:r>
          </w:p>
        </w:tc>
        <w:tc>
          <w:tcPr>
            <w:tcW w:w="714" w:type="pct"/>
            <w:tcBorders>
              <w:top w:val="nil"/>
              <w:left w:val="nil"/>
              <w:bottom w:val="nil"/>
              <w:right w:val="nil"/>
            </w:tcBorders>
            <w:shd w:val="clear" w:color="auto" w:fill="auto"/>
            <w:noWrap/>
            <w:vAlign w:val="center"/>
            <w:hideMark/>
          </w:tcPr>
          <w:p w14:paraId="089FA16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6.2 (0.5)</w:t>
            </w:r>
          </w:p>
        </w:tc>
        <w:tc>
          <w:tcPr>
            <w:tcW w:w="714" w:type="pct"/>
            <w:tcBorders>
              <w:top w:val="nil"/>
              <w:left w:val="nil"/>
              <w:bottom w:val="nil"/>
              <w:right w:val="nil"/>
            </w:tcBorders>
            <w:shd w:val="clear" w:color="auto" w:fill="auto"/>
            <w:noWrap/>
            <w:vAlign w:val="center"/>
            <w:hideMark/>
          </w:tcPr>
          <w:p w14:paraId="6EFEBFB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39.2 (1.7)</w:t>
            </w:r>
          </w:p>
        </w:tc>
      </w:tr>
      <w:tr w:rsidR="003E38E6" w:rsidRPr="003E38E6" w14:paraId="6CAFEAE8" w14:textId="77777777" w:rsidTr="003E38E6">
        <w:trPr>
          <w:trHeight w:val="300"/>
        </w:trPr>
        <w:tc>
          <w:tcPr>
            <w:tcW w:w="714" w:type="pct"/>
            <w:tcBorders>
              <w:top w:val="nil"/>
              <w:left w:val="nil"/>
              <w:bottom w:val="nil"/>
              <w:right w:val="nil"/>
            </w:tcBorders>
            <w:shd w:val="clear" w:color="auto" w:fill="auto"/>
            <w:noWrap/>
            <w:vAlign w:val="center"/>
            <w:hideMark/>
          </w:tcPr>
          <w:p w14:paraId="237A8FF6"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2FF1A42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Namibia</w:t>
            </w:r>
          </w:p>
        </w:tc>
        <w:tc>
          <w:tcPr>
            <w:tcW w:w="647" w:type="pct"/>
            <w:tcBorders>
              <w:top w:val="nil"/>
              <w:left w:val="nil"/>
              <w:bottom w:val="nil"/>
              <w:right w:val="nil"/>
            </w:tcBorders>
            <w:shd w:val="clear" w:color="auto" w:fill="auto"/>
            <w:noWrap/>
            <w:vAlign w:val="center"/>
            <w:hideMark/>
          </w:tcPr>
          <w:p w14:paraId="6432AF6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2013</w:t>
            </w:r>
          </w:p>
        </w:tc>
        <w:tc>
          <w:tcPr>
            <w:tcW w:w="714" w:type="pct"/>
            <w:tcBorders>
              <w:top w:val="nil"/>
              <w:left w:val="nil"/>
              <w:bottom w:val="nil"/>
              <w:right w:val="nil"/>
            </w:tcBorders>
            <w:shd w:val="clear" w:color="auto" w:fill="auto"/>
            <w:noWrap/>
            <w:vAlign w:val="center"/>
            <w:hideMark/>
          </w:tcPr>
          <w:p w14:paraId="077FD059"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w:t>
            </w:r>
          </w:p>
        </w:tc>
        <w:tc>
          <w:tcPr>
            <w:tcW w:w="671" w:type="pct"/>
            <w:tcBorders>
              <w:top w:val="nil"/>
              <w:left w:val="nil"/>
              <w:bottom w:val="nil"/>
              <w:right w:val="nil"/>
            </w:tcBorders>
            <w:shd w:val="clear" w:color="auto" w:fill="auto"/>
            <w:noWrap/>
            <w:vAlign w:val="center"/>
            <w:hideMark/>
          </w:tcPr>
          <w:p w14:paraId="4D68963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1,936</w:t>
            </w:r>
          </w:p>
        </w:tc>
        <w:tc>
          <w:tcPr>
            <w:tcW w:w="714" w:type="pct"/>
            <w:tcBorders>
              <w:top w:val="nil"/>
              <w:left w:val="nil"/>
              <w:bottom w:val="nil"/>
              <w:right w:val="nil"/>
            </w:tcBorders>
            <w:shd w:val="clear" w:color="auto" w:fill="auto"/>
            <w:noWrap/>
            <w:vAlign w:val="center"/>
            <w:hideMark/>
          </w:tcPr>
          <w:p w14:paraId="4057721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1.9 (0.5)</w:t>
            </w:r>
          </w:p>
        </w:tc>
        <w:tc>
          <w:tcPr>
            <w:tcW w:w="714" w:type="pct"/>
            <w:tcBorders>
              <w:top w:val="nil"/>
              <w:left w:val="nil"/>
              <w:bottom w:val="nil"/>
              <w:right w:val="nil"/>
            </w:tcBorders>
            <w:shd w:val="clear" w:color="auto" w:fill="auto"/>
            <w:noWrap/>
            <w:vAlign w:val="center"/>
            <w:hideMark/>
          </w:tcPr>
          <w:p w14:paraId="75C048A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37.2 (1.3)</w:t>
            </w:r>
          </w:p>
        </w:tc>
      </w:tr>
      <w:tr w:rsidR="003E38E6" w:rsidRPr="003E38E6" w14:paraId="4EF3458A" w14:textId="77777777" w:rsidTr="003E38E6">
        <w:trPr>
          <w:trHeight w:val="300"/>
        </w:trPr>
        <w:tc>
          <w:tcPr>
            <w:tcW w:w="714" w:type="pct"/>
            <w:tcBorders>
              <w:top w:val="nil"/>
              <w:left w:val="nil"/>
              <w:bottom w:val="nil"/>
              <w:right w:val="nil"/>
            </w:tcBorders>
            <w:shd w:val="clear" w:color="auto" w:fill="auto"/>
            <w:noWrap/>
            <w:vAlign w:val="center"/>
            <w:hideMark/>
          </w:tcPr>
          <w:p w14:paraId="33D3C7FC"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EABD235"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Peru</w:t>
            </w:r>
          </w:p>
        </w:tc>
        <w:tc>
          <w:tcPr>
            <w:tcW w:w="647" w:type="pct"/>
            <w:tcBorders>
              <w:top w:val="nil"/>
              <w:left w:val="nil"/>
              <w:bottom w:val="nil"/>
              <w:right w:val="nil"/>
            </w:tcBorders>
            <w:shd w:val="clear" w:color="auto" w:fill="auto"/>
            <w:noWrap/>
            <w:vAlign w:val="center"/>
            <w:hideMark/>
          </w:tcPr>
          <w:p w14:paraId="00AC15EC"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2010</w:t>
            </w:r>
          </w:p>
        </w:tc>
        <w:tc>
          <w:tcPr>
            <w:tcW w:w="714" w:type="pct"/>
            <w:tcBorders>
              <w:top w:val="nil"/>
              <w:left w:val="nil"/>
              <w:bottom w:val="nil"/>
              <w:right w:val="nil"/>
            </w:tcBorders>
            <w:shd w:val="clear" w:color="auto" w:fill="auto"/>
            <w:noWrap/>
            <w:vAlign w:val="center"/>
            <w:hideMark/>
          </w:tcPr>
          <w:p w14:paraId="64D1A9F7"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85</w:t>
            </w:r>
          </w:p>
        </w:tc>
        <w:tc>
          <w:tcPr>
            <w:tcW w:w="671" w:type="pct"/>
            <w:tcBorders>
              <w:top w:val="nil"/>
              <w:left w:val="nil"/>
              <w:bottom w:val="nil"/>
              <w:right w:val="nil"/>
            </w:tcBorders>
            <w:shd w:val="clear" w:color="auto" w:fill="auto"/>
            <w:noWrap/>
            <w:vAlign w:val="center"/>
            <w:hideMark/>
          </w:tcPr>
          <w:p w14:paraId="5A72618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2,359</w:t>
            </w:r>
          </w:p>
        </w:tc>
        <w:tc>
          <w:tcPr>
            <w:tcW w:w="714" w:type="pct"/>
            <w:tcBorders>
              <w:top w:val="nil"/>
              <w:left w:val="nil"/>
              <w:bottom w:val="nil"/>
              <w:right w:val="nil"/>
            </w:tcBorders>
            <w:shd w:val="clear" w:color="auto" w:fill="auto"/>
            <w:noWrap/>
            <w:vAlign w:val="center"/>
            <w:hideMark/>
          </w:tcPr>
          <w:p w14:paraId="7113E2C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2.9 (0.6)</w:t>
            </w:r>
          </w:p>
        </w:tc>
        <w:tc>
          <w:tcPr>
            <w:tcW w:w="714" w:type="pct"/>
            <w:tcBorders>
              <w:top w:val="nil"/>
              <w:left w:val="nil"/>
              <w:bottom w:val="nil"/>
              <w:right w:val="nil"/>
            </w:tcBorders>
            <w:shd w:val="clear" w:color="auto" w:fill="auto"/>
            <w:noWrap/>
            <w:vAlign w:val="center"/>
            <w:hideMark/>
          </w:tcPr>
          <w:p w14:paraId="22EF3C9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28.7 (1.8)</w:t>
            </w:r>
          </w:p>
        </w:tc>
      </w:tr>
      <w:tr w:rsidR="003E38E6" w:rsidRPr="003E38E6" w14:paraId="35CD9018" w14:textId="77777777" w:rsidTr="003E38E6">
        <w:trPr>
          <w:trHeight w:val="300"/>
        </w:trPr>
        <w:tc>
          <w:tcPr>
            <w:tcW w:w="714" w:type="pct"/>
            <w:tcBorders>
              <w:top w:val="nil"/>
              <w:left w:val="nil"/>
              <w:bottom w:val="nil"/>
              <w:right w:val="nil"/>
            </w:tcBorders>
            <w:shd w:val="clear" w:color="auto" w:fill="auto"/>
            <w:noWrap/>
            <w:vAlign w:val="center"/>
            <w:hideMark/>
          </w:tcPr>
          <w:p w14:paraId="65BFA82E"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04A3DFE1"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Suriname</w:t>
            </w:r>
          </w:p>
        </w:tc>
        <w:tc>
          <w:tcPr>
            <w:tcW w:w="647" w:type="pct"/>
            <w:tcBorders>
              <w:top w:val="nil"/>
              <w:left w:val="nil"/>
              <w:bottom w:val="nil"/>
              <w:right w:val="nil"/>
            </w:tcBorders>
            <w:shd w:val="clear" w:color="auto" w:fill="auto"/>
            <w:noWrap/>
            <w:vAlign w:val="center"/>
            <w:hideMark/>
          </w:tcPr>
          <w:p w14:paraId="1DD0752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2009</w:t>
            </w:r>
          </w:p>
        </w:tc>
        <w:tc>
          <w:tcPr>
            <w:tcW w:w="714" w:type="pct"/>
            <w:tcBorders>
              <w:top w:val="nil"/>
              <w:left w:val="nil"/>
              <w:bottom w:val="nil"/>
              <w:right w:val="nil"/>
            </w:tcBorders>
            <w:shd w:val="clear" w:color="auto" w:fill="auto"/>
            <w:noWrap/>
            <w:vAlign w:val="center"/>
            <w:hideMark/>
          </w:tcPr>
          <w:p w14:paraId="612C59A0"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w:t>
            </w:r>
          </w:p>
        </w:tc>
        <w:tc>
          <w:tcPr>
            <w:tcW w:w="671" w:type="pct"/>
            <w:tcBorders>
              <w:top w:val="nil"/>
              <w:left w:val="nil"/>
              <w:bottom w:val="nil"/>
              <w:right w:val="nil"/>
            </w:tcBorders>
            <w:shd w:val="clear" w:color="auto" w:fill="auto"/>
            <w:noWrap/>
            <w:vAlign w:val="center"/>
            <w:hideMark/>
          </w:tcPr>
          <w:p w14:paraId="7D7728E3"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1,046</w:t>
            </w:r>
          </w:p>
        </w:tc>
        <w:tc>
          <w:tcPr>
            <w:tcW w:w="714" w:type="pct"/>
            <w:tcBorders>
              <w:top w:val="nil"/>
              <w:left w:val="nil"/>
              <w:bottom w:val="nil"/>
              <w:right w:val="nil"/>
            </w:tcBorders>
            <w:shd w:val="clear" w:color="auto" w:fill="auto"/>
            <w:noWrap/>
            <w:vAlign w:val="center"/>
            <w:hideMark/>
          </w:tcPr>
          <w:p w14:paraId="5F687D8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7.2 (0.8)</w:t>
            </w:r>
          </w:p>
        </w:tc>
        <w:tc>
          <w:tcPr>
            <w:tcW w:w="714" w:type="pct"/>
            <w:tcBorders>
              <w:top w:val="nil"/>
              <w:left w:val="nil"/>
              <w:bottom w:val="nil"/>
              <w:right w:val="nil"/>
            </w:tcBorders>
            <w:shd w:val="clear" w:color="auto" w:fill="auto"/>
            <w:noWrap/>
            <w:vAlign w:val="center"/>
            <w:hideMark/>
          </w:tcPr>
          <w:p w14:paraId="46A4A7F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40.3 (2.3)</w:t>
            </w:r>
          </w:p>
        </w:tc>
      </w:tr>
      <w:tr w:rsidR="003E38E6" w:rsidRPr="003E38E6" w14:paraId="2231491A" w14:textId="77777777" w:rsidTr="003E38E6">
        <w:trPr>
          <w:trHeight w:val="300"/>
        </w:trPr>
        <w:tc>
          <w:tcPr>
            <w:tcW w:w="714" w:type="pct"/>
            <w:tcBorders>
              <w:top w:val="nil"/>
              <w:left w:val="nil"/>
              <w:bottom w:val="nil"/>
              <w:right w:val="nil"/>
            </w:tcBorders>
            <w:shd w:val="clear" w:color="auto" w:fill="auto"/>
            <w:noWrap/>
            <w:vAlign w:val="center"/>
            <w:hideMark/>
          </w:tcPr>
          <w:p w14:paraId="2A1DB3E0" w14:textId="77777777" w:rsidR="003E38E6" w:rsidRPr="003E38E6" w:rsidRDefault="003E38E6" w:rsidP="003E38E6">
            <w:pPr>
              <w:rPr>
                <w:rFonts w:eastAsia="Times New Roman"/>
                <w:color w:val="000000"/>
                <w:lang w:val="en-GB"/>
              </w:rPr>
            </w:pPr>
          </w:p>
        </w:tc>
        <w:tc>
          <w:tcPr>
            <w:tcW w:w="826" w:type="pct"/>
            <w:tcBorders>
              <w:top w:val="nil"/>
              <w:left w:val="nil"/>
              <w:bottom w:val="nil"/>
              <w:right w:val="nil"/>
            </w:tcBorders>
            <w:shd w:val="clear" w:color="auto" w:fill="auto"/>
            <w:noWrap/>
            <w:vAlign w:val="center"/>
            <w:hideMark/>
          </w:tcPr>
          <w:p w14:paraId="508A52F8"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Thailand</w:t>
            </w:r>
          </w:p>
        </w:tc>
        <w:tc>
          <w:tcPr>
            <w:tcW w:w="647" w:type="pct"/>
            <w:tcBorders>
              <w:top w:val="nil"/>
              <w:left w:val="nil"/>
              <w:bottom w:val="nil"/>
              <w:right w:val="nil"/>
            </w:tcBorders>
            <w:shd w:val="clear" w:color="auto" w:fill="auto"/>
            <w:noWrap/>
            <w:vAlign w:val="center"/>
            <w:hideMark/>
          </w:tcPr>
          <w:p w14:paraId="659DCF94"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2015</w:t>
            </w:r>
          </w:p>
        </w:tc>
        <w:tc>
          <w:tcPr>
            <w:tcW w:w="714" w:type="pct"/>
            <w:tcBorders>
              <w:top w:val="nil"/>
              <w:left w:val="nil"/>
              <w:bottom w:val="nil"/>
              <w:right w:val="nil"/>
            </w:tcBorders>
            <w:shd w:val="clear" w:color="auto" w:fill="auto"/>
            <w:noWrap/>
            <w:vAlign w:val="center"/>
            <w:hideMark/>
          </w:tcPr>
          <w:p w14:paraId="723158A6"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89</w:t>
            </w:r>
          </w:p>
        </w:tc>
        <w:tc>
          <w:tcPr>
            <w:tcW w:w="671" w:type="pct"/>
            <w:tcBorders>
              <w:top w:val="nil"/>
              <w:left w:val="nil"/>
              <w:bottom w:val="nil"/>
              <w:right w:val="nil"/>
            </w:tcBorders>
            <w:shd w:val="clear" w:color="auto" w:fill="auto"/>
            <w:noWrap/>
            <w:vAlign w:val="center"/>
            <w:hideMark/>
          </w:tcPr>
          <w:p w14:paraId="6A22CA1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4,132</w:t>
            </w:r>
          </w:p>
        </w:tc>
        <w:tc>
          <w:tcPr>
            <w:tcW w:w="714" w:type="pct"/>
            <w:tcBorders>
              <w:top w:val="nil"/>
              <w:left w:val="nil"/>
              <w:bottom w:val="nil"/>
              <w:right w:val="nil"/>
            </w:tcBorders>
            <w:shd w:val="clear" w:color="auto" w:fill="auto"/>
            <w:noWrap/>
            <w:vAlign w:val="center"/>
            <w:hideMark/>
          </w:tcPr>
          <w:p w14:paraId="53B0DDCE"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6.6 (0.6)</w:t>
            </w:r>
          </w:p>
        </w:tc>
        <w:tc>
          <w:tcPr>
            <w:tcW w:w="714" w:type="pct"/>
            <w:tcBorders>
              <w:top w:val="nil"/>
              <w:left w:val="nil"/>
              <w:bottom w:val="nil"/>
              <w:right w:val="nil"/>
            </w:tcBorders>
            <w:shd w:val="clear" w:color="auto" w:fill="auto"/>
            <w:noWrap/>
            <w:vAlign w:val="center"/>
            <w:hideMark/>
          </w:tcPr>
          <w:p w14:paraId="4339F9C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50.7 (1.4)</w:t>
            </w:r>
          </w:p>
        </w:tc>
      </w:tr>
      <w:tr w:rsidR="003E38E6" w:rsidRPr="003E38E6" w14:paraId="1678003C" w14:textId="77777777" w:rsidTr="003E38E6">
        <w:trPr>
          <w:trHeight w:val="300"/>
        </w:trPr>
        <w:tc>
          <w:tcPr>
            <w:tcW w:w="714" w:type="pct"/>
            <w:tcBorders>
              <w:top w:val="nil"/>
              <w:left w:val="nil"/>
              <w:bottom w:val="single" w:sz="4" w:space="0" w:color="auto"/>
              <w:right w:val="nil"/>
            </w:tcBorders>
            <w:shd w:val="clear" w:color="auto" w:fill="auto"/>
            <w:noWrap/>
            <w:vAlign w:val="center"/>
            <w:hideMark/>
          </w:tcPr>
          <w:p w14:paraId="57CE282F" w14:textId="77777777" w:rsidR="003E38E6" w:rsidRPr="003E38E6" w:rsidRDefault="003E38E6" w:rsidP="003E38E6">
            <w:pPr>
              <w:rPr>
                <w:rFonts w:eastAsia="Times New Roman"/>
                <w:color w:val="000000"/>
                <w:sz w:val="22"/>
                <w:szCs w:val="22"/>
                <w:lang w:val="en-GB"/>
              </w:rPr>
            </w:pPr>
            <w:r w:rsidRPr="003E38E6">
              <w:rPr>
                <w:rFonts w:eastAsia="Times New Roman"/>
                <w:color w:val="000000"/>
                <w:sz w:val="22"/>
                <w:szCs w:val="22"/>
                <w:lang w:val="en-GB"/>
              </w:rPr>
              <w:t> </w:t>
            </w:r>
          </w:p>
        </w:tc>
        <w:tc>
          <w:tcPr>
            <w:tcW w:w="826" w:type="pct"/>
            <w:tcBorders>
              <w:top w:val="nil"/>
              <w:left w:val="nil"/>
              <w:bottom w:val="single" w:sz="4" w:space="0" w:color="auto"/>
              <w:right w:val="nil"/>
            </w:tcBorders>
            <w:shd w:val="clear" w:color="auto" w:fill="auto"/>
            <w:noWrap/>
            <w:vAlign w:val="center"/>
            <w:hideMark/>
          </w:tcPr>
          <w:p w14:paraId="1AE886B1"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Total</w:t>
            </w:r>
          </w:p>
        </w:tc>
        <w:tc>
          <w:tcPr>
            <w:tcW w:w="647" w:type="pct"/>
            <w:tcBorders>
              <w:top w:val="nil"/>
              <w:left w:val="nil"/>
              <w:bottom w:val="single" w:sz="4" w:space="0" w:color="auto"/>
              <w:right w:val="nil"/>
            </w:tcBorders>
            <w:shd w:val="clear" w:color="auto" w:fill="auto"/>
            <w:noWrap/>
            <w:vAlign w:val="center"/>
            <w:hideMark/>
          </w:tcPr>
          <w:p w14:paraId="6583F231"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 </w:t>
            </w:r>
          </w:p>
        </w:tc>
        <w:tc>
          <w:tcPr>
            <w:tcW w:w="714" w:type="pct"/>
            <w:tcBorders>
              <w:top w:val="nil"/>
              <w:left w:val="nil"/>
              <w:bottom w:val="single" w:sz="4" w:space="0" w:color="auto"/>
              <w:right w:val="nil"/>
            </w:tcBorders>
            <w:shd w:val="clear" w:color="auto" w:fill="auto"/>
            <w:noWrap/>
            <w:vAlign w:val="center"/>
            <w:hideMark/>
          </w:tcPr>
          <w:p w14:paraId="11EF1CFE"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 </w:t>
            </w:r>
          </w:p>
        </w:tc>
        <w:tc>
          <w:tcPr>
            <w:tcW w:w="671" w:type="pct"/>
            <w:tcBorders>
              <w:top w:val="nil"/>
              <w:left w:val="nil"/>
              <w:bottom w:val="single" w:sz="4" w:space="0" w:color="auto"/>
              <w:right w:val="nil"/>
            </w:tcBorders>
            <w:shd w:val="clear" w:color="auto" w:fill="auto"/>
            <w:noWrap/>
            <w:vAlign w:val="center"/>
            <w:hideMark/>
          </w:tcPr>
          <w:p w14:paraId="1D37F1ED"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36,993</w:t>
            </w:r>
          </w:p>
        </w:tc>
        <w:tc>
          <w:tcPr>
            <w:tcW w:w="714" w:type="pct"/>
            <w:tcBorders>
              <w:top w:val="nil"/>
              <w:left w:val="nil"/>
              <w:bottom w:val="single" w:sz="4" w:space="0" w:color="auto"/>
              <w:right w:val="nil"/>
            </w:tcBorders>
            <w:shd w:val="clear" w:color="auto" w:fill="auto"/>
            <w:noWrap/>
            <w:vAlign w:val="center"/>
            <w:hideMark/>
          </w:tcPr>
          <w:p w14:paraId="0648C6AD"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6.5 (0.2)</w:t>
            </w:r>
          </w:p>
        </w:tc>
        <w:tc>
          <w:tcPr>
            <w:tcW w:w="714" w:type="pct"/>
            <w:tcBorders>
              <w:top w:val="nil"/>
              <w:left w:val="nil"/>
              <w:bottom w:val="single" w:sz="4" w:space="0" w:color="auto"/>
              <w:right w:val="nil"/>
            </w:tcBorders>
            <w:shd w:val="clear" w:color="auto" w:fill="auto"/>
            <w:noWrap/>
            <w:vAlign w:val="center"/>
            <w:hideMark/>
          </w:tcPr>
          <w:p w14:paraId="30FA8974" w14:textId="77777777" w:rsidR="003E38E6" w:rsidRPr="003E38E6" w:rsidRDefault="003E38E6" w:rsidP="003E38E6">
            <w:pPr>
              <w:rPr>
                <w:rFonts w:eastAsia="Times New Roman"/>
                <w:b/>
                <w:bCs/>
                <w:i/>
                <w:iCs/>
                <w:color w:val="000000"/>
                <w:sz w:val="22"/>
                <w:szCs w:val="22"/>
                <w:lang w:val="en-GB"/>
              </w:rPr>
            </w:pPr>
            <w:r w:rsidRPr="003E38E6">
              <w:rPr>
                <w:rFonts w:eastAsia="Times New Roman"/>
                <w:b/>
                <w:bCs/>
                <w:i/>
                <w:iCs/>
                <w:color w:val="000000"/>
                <w:sz w:val="22"/>
                <w:szCs w:val="22"/>
                <w:lang w:val="en-GB"/>
              </w:rPr>
              <w:t>37.0 (0.6)</w:t>
            </w:r>
          </w:p>
        </w:tc>
      </w:tr>
    </w:tbl>
    <w:p w14:paraId="7A0267A7" w14:textId="1E71213F" w:rsidR="000E325F" w:rsidRDefault="000E325F" w:rsidP="000E325F">
      <w:pPr>
        <w:rPr>
          <w:sz w:val="20"/>
          <w:szCs w:val="20"/>
        </w:rPr>
      </w:pPr>
      <w:r w:rsidRPr="000E325F">
        <w:rPr>
          <w:sz w:val="20"/>
          <w:szCs w:val="20"/>
        </w:rPr>
        <w:t>Abbreviation: SE Standard error</w:t>
      </w:r>
    </w:p>
    <w:p w14:paraId="671AC483" w14:textId="77777777" w:rsidR="00902C07" w:rsidRPr="00682B7A" w:rsidRDefault="00902C07" w:rsidP="00902C07">
      <w:pPr>
        <w:rPr>
          <w:color w:val="141413"/>
          <w:sz w:val="20"/>
          <w:szCs w:val="20"/>
        </w:rPr>
      </w:pPr>
      <w:r>
        <w:rPr>
          <w:color w:val="141413"/>
          <w:sz w:val="20"/>
          <w:szCs w:val="20"/>
          <w:vertAlign w:val="superscript"/>
        </w:rPr>
        <w:t>a</w:t>
      </w:r>
      <w:r>
        <w:rPr>
          <w:color w:val="141413"/>
          <w:sz w:val="20"/>
          <w:szCs w:val="20"/>
        </w:rPr>
        <w:t xml:space="preserve"> Country income level was based on the World Bank classification at the year of the survey in the respective countries.</w:t>
      </w:r>
    </w:p>
    <w:p w14:paraId="08F1CBFB" w14:textId="77777777" w:rsidR="00902C07" w:rsidRPr="0014192B" w:rsidRDefault="00902C07" w:rsidP="00902C07">
      <w:pPr>
        <w:rPr>
          <w:color w:val="141413"/>
          <w:sz w:val="20"/>
          <w:szCs w:val="20"/>
        </w:rPr>
      </w:pPr>
      <w:r>
        <w:rPr>
          <w:color w:val="141413"/>
          <w:sz w:val="20"/>
          <w:szCs w:val="20"/>
          <w:vertAlign w:val="superscript"/>
        </w:rPr>
        <w:t>b</w:t>
      </w:r>
      <w:r w:rsidRPr="0014192B">
        <w:rPr>
          <w:color w:val="141413"/>
          <w:sz w:val="20"/>
          <w:szCs w:val="20"/>
          <w:vertAlign w:val="superscript"/>
        </w:rPr>
        <w:t xml:space="preserve"> </w:t>
      </w:r>
      <w:r w:rsidRPr="0014192B">
        <w:rPr>
          <w:color w:val="141413"/>
          <w:sz w:val="20"/>
          <w:szCs w:val="20"/>
        </w:rPr>
        <w:t>Re</w:t>
      </w:r>
      <w:r>
        <w:rPr>
          <w:color w:val="141413"/>
          <w:sz w:val="20"/>
          <w:szCs w:val="20"/>
        </w:rPr>
        <w:t>sponse rate was calculated as school response rate multiplied by student response rate.</w:t>
      </w:r>
    </w:p>
    <w:p w14:paraId="3F2B0F5C" w14:textId="77777777" w:rsidR="00902C07" w:rsidRDefault="00902C07" w:rsidP="00902C07">
      <w:pPr>
        <w:rPr>
          <w:color w:val="141413"/>
          <w:sz w:val="20"/>
          <w:szCs w:val="20"/>
        </w:rPr>
      </w:pPr>
      <w:r>
        <w:rPr>
          <w:color w:val="141413"/>
          <w:sz w:val="20"/>
          <w:szCs w:val="20"/>
          <w:vertAlign w:val="superscript"/>
        </w:rPr>
        <w:t>c</w:t>
      </w:r>
      <w:r w:rsidRPr="0014192B">
        <w:rPr>
          <w:color w:val="141413"/>
          <w:sz w:val="20"/>
          <w:szCs w:val="20"/>
        </w:rPr>
        <w:t xml:space="preserve"> Based on sample aged 12- 15 years.</w:t>
      </w:r>
    </w:p>
    <w:p w14:paraId="205B3C08" w14:textId="5E8EAE0B" w:rsidR="00902C07" w:rsidRDefault="00902C07" w:rsidP="008C3030">
      <w:pPr>
        <w:rPr>
          <w:color w:val="141413"/>
          <w:sz w:val="20"/>
          <w:szCs w:val="20"/>
        </w:rPr>
      </w:pPr>
      <w:r w:rsidRPr="00902C07">
        <w:rPr>
          <w:color w:val="141413"/>
          <w:sz w:val="20"/>
          <w:szCs w:val="20"/>
          <w:vertAlign w:val="superscript"/>
        </w:rPr>
        <w:t>d</w:t>
      </w:r>
      <w:r>
        <w:rPr>
          <w:color w:val="141413"/>
          <w:sz w:val="20"/>
          <w:szCs w:val="20"/>
          <w:vertAlign w:val="superscript"/>
        </w:rPr>
        <w:t xml:space="preserve"> </w:t>
      </w:r>
      <w:r>
        <w:rPr>
          <w:color w:val="141413"/>
          <w:sz w:val="20"/>
          <w:szCs w:val="20"/>
        </w:rPr>
        <w:t>Weigh</w:t>
      </w:r>
      <w:r w:rsidR="008C3030">
        <w:rPr>
          <w:color w:val="141413"/>
          <w:sz w:val="20"/>
          <w:szCs w:val="20"/>
        </w:rPr>
        <w:t>ted estimates</w:t>
      </w:r>
    </w:p>
    <w:p w14:paraId="1C9392BE" w14:textId="77777777" w:rsidR="00707A4D" w:rsidRDefault="00707A4D" w:rsidP="008C3030">
      <w:pPr>
        <w:rPr>
          <w:color w:val="141413"/>
          <w:sz w:val="20"/>
          <w:szCs w:val="20"/>
        </w:rPr>
      </w:pPr>
    </w:p>
    <w:p w14:paraId="647134B3" w14:textId="77777777" w:rsidR="00707A4D" w:rsidRDefault="00707A4D" w:rsidP="008C3030">
      <w:pPr>
        <w:rPr>
          <w:color w:val="141413"/>
          <w:sz w:val="20"/>
          <w:szCs w:val="20"/>
        </w:rPr>
      </w:pPr>
    </w:p>
    <w:p w14:paraId="65FFA146" w14:textId="77777777" w:rsidR="00707A4D" w:rsidRDefault="00707A4D" w:rsidP="008C3030">
      <w:pPr>
        <w:rPr>
          <w:color w:val="141413"/>
          <w:sz w:val="20"/>
          <w:szCs w:val="20"/>
        </w:rPr>
      </w:pPr>
    </w:p>
    <w:p w14:paraId="1ADAEA00" w14:textId="77777777" w:rsidR="00707A4D" w:rsidRDefault="00707A4D" w:rsidP="008C3030">
      <w:pPr>
        <w:rPr>
          <w:color w:val="141413"/>
          <w:sz w:val="20"/>
          <w:szCs w:val="20"/>
        </w:rPr>
      </w:pPr>
    </w:p>
    <w:p w14:paraId="5B4FC73B" w14:textId="77777777" w:rsidR="00707A4D" w:rsidRDefault="00707A4D" w:rsidP="008C3030">
      <w:pPr>
        <w:rPr>
          <w:color w:val="141413"/>
          <w:sz w:val="20"/>
          <w:szCs w:val="20"/>
        </w:rPr>
      </w:pPr>
    </w:p>
    <w:p w14:paraId="1E9B1C58" w14:textId="77777777" w:rsidR="00707A4D" w:rsidRDefault="00707A4D" w:rsidP="008C3030">
      <w:pPr>
        <w:rPr>
          <w:color w:val="141413"/>
          <w:sz w:val="20"/>
          <w:szCs w:val="20"/>
        </w:rPr>
      </w:pPr>
    </w:p>
    <w:p w14:paraId="3F9B23C0" w14:textId="77777777" w:rsidR="00707A4D" w:rsidRDefault="00707A4D" w:rsidP="008C3030">
      <w:pPr>
        <w:rPr>
          <w:color w:val="141413"/>
          <w:sz w:val="20"/>
          <w:szCs w:val="20"/>
        </w:rPr>
      </w:pPr>
    </w:p>
    <w:p w14:paraId="3DB7570A" w14:textId="77777777" w:rsidR="00707A4D" w:rsidRDefault="00707A4D" w:rsidP="008C3030">
      <w:pPr>
        <w:rPr>
          <w:color w:val="141413"/>
          <w:sz w:val="20"/>
          <w:szCs w:val="20"/>
        </w:rPr>
      </w:pPr>
    </w:p>
    <w:p w14:paraId="3D92EFC0" w14:textId="77777777" w:rsidR="00707A4D" w:rsidRDefault="00707A4D" w:rsidP="008C3030">
      <w:pPr>
        <w:rPr>
          <w:color w:val="141413"/>
          <w:sz w:val="20"/>
          <w:szCs w:val="20"/>
        </w:rPr>
      </w:pPr>
    </w:p>
    <w:p w14:paraId="49047FC7" w14:textId="77777777" w:rsidR="00707A4D" w:rsidRDefault="00707A4D" w:rsidP="008C3030">
      <w:pPr>
        <w:rPr>
          <w:color w:val="141413"/>
          <w:sz w:val="20"/>
          <w:szCs w:val="20"/>
        </w:rPr>
      </w:pPr>
    </w:p>
    <w:p w14:paraId="4CA6C5C4" w14:textId="77777777" w:rsidR="00707A4D" w:rsidRDefault="00707A4D" w:rsidP="008C3030">
      <w:pPr>
        <w:rPr>
          <w:color w:val="141413"/>
          <w:sz w:val="20"/>
          <w:szCs w:val="20"/>
        </w:rPr>
      </w:pPr>
    </w:p>
    <w:p w14:paraId="34FDCD31" w14:textId="77777777" w:rsidR="00707A4D" w:rsidRDefault="00707A4D" w:rsidP="008C3030">
      <w:pPr>
        <w:rPr>
          <w:color w:val="141413"/>
          <w:sz w:val="20"/>
          <w:szCs w:val="20"/>
        </w:rPr>
      </w:pPr>
    </w:p>
    <w:p w14:paraId="07B5943D" w14:textId="77777777" w:rsidR="00707A4D" w:rsidRDefault="00707A4D" w:rsidP="008C3030">
      <w:pPr>
        <w:rPr>
          <w:color w:val="141413"/>
          <w:sz w:val="20"/>
          <w:szCs w:val="20"/>
        </w:rPr>
      </w:pPr>
    </w:p>
    <w:p w14:paraId="5C04ADEB" w14:textId="77777777" w:rsidR="00707A4D" w:rsidRDefault="00707A4D" w:rsidP="008C3030">
      <w:pPr>
        <w:rPr>
          <w:color w:val="141413"/>
          <w:sz w:val="20"/>
          <w:szCs w:val="20"/>
        </w:rPr>
      </w:pPr>
    </w:p>
    <w:p w14:paraId="3A90EE55" w14:textId="77777777" w:rsidR="00707A4D" w:rsidRDefault="00707A4D" w:rsidP="008C3030">
      <w:pPr>
        <w:rPr>
          <w:color w:val="141413"/>
          <w:sz w:val="20"/>
          <w:szCs w:val="20"/>
        </w:rPr>
      </w:pPr>
    </w:p>
    <w:p w14:paraId="6514042D" w14:textId="77777777" w:rsidR="00707A4D" w:rsidRDefault="00707A4D" w:rsidP="008C3030">
      <w:pPr>
        <w:rPr>
          <w:color w:val="141413"/>
          <w:sz w:val="20"/>
          <w:szCs w:val="20"/>
        </w:rPr>
      </w:pPr>
    </w:p>
    <w:p w14:paraId="4BF10F42" w14:textId="77777777" w:rsidR="00707A4D" w:rsidRDefault="00707A4D" w:rsidP="008C3030">
      <w:pPr>
        <w:rPr>
          <w:color w:val="141413"/>
          <w:sz w:val="20"/>
          <w:szCs w:val="20"/>
        </w:rPr>
      </w:pPr>
    </w:p>
    <w:p w14:paraId="79E339CE" w14:textId="77777777" w:rsidR="00707A4D" w:rsidRDefault="00707A4D" w:rsidP="008C3030">
      <w:pPr>
        <w:rPr>
          <w:color w:val="141413"/>
          <w:sz w:val="20"/>
          <w:szCs w:val="20"/>
        </w:rPr>
      </w:pPr>
    </w:p>
    <w:p w14:paraId="1D2D8415" w14:textId="77777777" w:rsidR="00707A4D" w:rsidRDefault="00707A4D" w:rsidP="008C3030">
      <w:pPr>
        <w:rPr>
          <w:color w:val="141413"/>
          <w:sz w:val="20"/>
          <w:szCs w:val="20"/>
        </w:rPr>
      </w:pPr>
    </w:p>
    <w:p w14:paraId="7630D0FF" w14:textId="77777777" w:rsidR="00707A4D" w:rsidRDefault="00707A4D" w:rsidP="008C3030">
      <w:pPr>
        <w:rPr>
          <w:color w:val="141413"/>
          <w:sz w:val="20"/>
          <w:szCs w:val="20"/>
        </w:rPr>
      </w:pPr>
    </w:p>
    <w:p w14:paraId="49CECFC1" w14:textId="77777777" w:rsidR="00707A4D" w:rsidRDefault="00707A4D" w:rsidP="008C3030">
      <w:pPr>
        <w:rPr>
          <w:color w:val="141413"/>
          <w:sz w:val="20"/>
          <w:szCs w:val="20"/>
        </w:rPr>
      </w:pPr>
    </w:p>
    <w:p w14:paraId="1E05088A" w14:textId="77777777" w:rsidR="00707A4D" w:rsidRDefault="00707A4D" w:rsidP="008C3030">
      <w:pPr>
        <w:rPr>
          <w:color w:val="141413"/>
          <w:sz w:val="20"/>
          <w:szCs w:val="20"/>
        </w:rPr>
      </w:pPr>
    </w:p>
    <w:p w14:paraId="42255F6A" w14:textId="77777777" w:rsidR="00707A4D" w:rsidRDefault="00707A4D" w:rsidP="008C3030">
      <w:pPr>
        <w:rPr>
          <w:color w:val="141413"/>
          <w:sz w:val="20"/>
          <w:szCs w:val="20"/>
        </w:rPr>
      </w:pPr>
    </w:p>
    <w:p w14:paraId="2ECA31B6" w14:textId="77777777" w:rsidR="00707A4D" w:rsidRDefault="00707A4D" w:rsidP="008C3030">
      <w:pPr>
        <w:rPr>
          <w:color w:val="141413"/>
          <w:sz w:val="20"/>
          <w:szCs w:val="20"/>
        </w:rPr>
      </w:pPr>
    </w:p>
    <w:p w14:paraId="1DE1E28B" w14:textId="77777777" w:rsidR="00707A4D" w:rsidRDefault="00707A4D" w:rsidP="008C3030">
      <w:pPr>
        <w:rPr>
          <w:color w:val="141413"/>
          <w:sz w:val="20"/>
          <w:szCs w:val="20"/>
        </w:rPr>
      </w:pPr>
    </w:p>
    <w:p w14:paraId="7DBCB6A6" w14:textId="77777777" w:rsidR="00707A4D" w:rsidRDefault="00707A4D" w:rsidP="008C3030">
      <w:pPr>
        <w:rPr>
          <w:color w:val="141413"/>
          <w:sz w:val="20"/>
          <w:szCs w:val="20"/>
        </w:rPr>
      </w:pPr>
    </w:p>
    <w:p w14:paraId="4BB7FB6F" w14:textId="77777777" w:rsidR="00707A4D" w:rsidRDefault="00707A4D" w:rsidP="008C3030">
      <w:pPr>
        <w:rPr>
          <w:color w:val="141413"/>
          <w:sz w:val="20"/>
          <w:szCs w:val="20"/>
        </w:rPr>
      </w:pPr>
    </w:p>
    <w:p w14:paraId="6C35B859" w14:textId="77777777" w:rsidR="00707A4D" w:rsidRDefault="00707A4D" w:rsidP="008C3030">
      <w:pPr>
        <w:rPr>
          <w:color w:val="141413"/>
          <w:sz w:val="20"/>
          <w:szCs w:val="20"/>
        </w:rPr>
      </w:pPr>
    </w:p>
    <w:p w14:paraId="63EE252B" w14:textId="77777777" w:rsidR="00707A4D" w:rsidRDefault="00707A4D" w:rsidP="008C3030">
      <w:pPr>
        <w:rPr>
          <w:color w:val="141413"/>
          <w:sz w:val="20"/>
          <w:szCs w:val="20"/>
        </w:rPr>
      </w:pPr>
    </w:p>
    <w:p w14:paraId="4214BFC2" w14:textId="77777777" w:rsidR="00707A4D" w:rsidRDefault="00707A4D" w:rsidP="008C3030">
      <w:pPr>
        <w:rPr>
          <w:color w:val="141413"/>
          <w:sz w:val="20"/>
          <w:szCs w:val="20"/>
        </w:rPr>
      </w:pPr>
    </w:p>
    <w:p w14:paraId="310D46DA" w14:textId="77777777" w:rsidR="00707A4D" w:rsidRDefault="00707A4D" w:rsidP="008C3030">
      <w:pPr>
        <w:rPr>
          <w:color w:val="141413"/>
          <w:sz w:val="20"/>
          <w:szCs w:val="20"/>
        </w:rPr>
      </w:pPr>
    </w:p>
    <w:p w14:paraId="6563D6B6" w14:textId="77777777" w:rsidR="00707A4D" w:rsidRDefault="00707A4D" w:rsidP="008C3030">
      <w:pPr>
        <w:rPr>
          <w:color w:val="141413"/>
          <w:sz w:val="20"/>
          <w:szCs w:val="20"/>
        </w:rPr>
      </w:pPr>
    </w:p>
    <w:p w14:paraId="4230E2D4" w14:textId="77777777" w:rsidR="00707A4D" w:rsidRDefault="00707A4D" w:rsidP="008C3030">
      <w:pPr>
        <w:rPr>
          <w:color w:val="141413"/>
          <w:sz w:val="20"/>
          <w:szCs w:val="20"/>
        </w:rPr>
      </w:pPr>
    </w:p>
    <w:p w14:paraId="687AA944" w14:textId="77777777" w:rsidR="00707A4D" w:rsidRDefault="00707A4D" w:rsidP="008C3030">
      <w:pPr>
        <w:rPr>
          <w:color w:val="141413"/>
          <w:sz w:val="20"/>
          <w:szCs w:val="20"/>
        </w:rPr>
      </w:pPr>
    </w:p>
    <w:p w14:paraId="44BC9621" w14:textId="77777777" w:rsidR="00707A4D" w:rsidRDefault="00707A4D" w:rsidP="008C3030">
      <w:pPr>
        <w:rPr>
          <w:color w:val="141413"/>
          <w:sz w:val="20"/>
          <w:szCs w:val="20"/>
        </w:rPr>
      </w:pPr>
    </w:p>
    <w:p w14:paraId="11D85691" w14:textId="77777777" w:rsidR="00707A4D" w:rsidRDefault="00707A4D" w:rsidP="008C3030">
      <w:pPr>
        <w:rPr>
          <w:color w:val="141413"/>
          <w:sz w:val="20"/>
          <w:szCs w:val="20"/>
        </w:rPr>
      </w:pPr>
    </w:p>
    <w:p w14:paraId="337DC5B4" w14:textId="77777777" w:rsidR="00707A4D" w:rsidRDefault="00707A4D" w:rsidP="008C3030">
      <w:pPr>
        <w:rPr>
          <w:color w:val="141413"/>
          <w:sz w:val="20"/>
          <w:szCs w:val="20"/>
        </w:rPr>
      </w:pPr>
    </w:p>
    <w:p w14:paraId="7B1659BD" w14:textId="77777777" w:rsidR="00707A4D" w:rsidRDefault="00707A4D" w:rsidP="008C3030">
      <w:pPr>
        <w:rPr>
          <w:color w:val="141413"/>
          <w:sz w:val="20"/>
          <w:szCs w:val="20"/>
        </w:rPr>
      </w:pPr>
    </w:p>
    <w:p w14:paraId="237D8F37" w14:textId="77777777" w:rsidR="00707A4D" w:rsidRDefault="00707A4D" w:rsidP="008C3030">
      <w:pPr>
        <w:rPr>
          <w:color w:val="141413"/>
          <w:sz w:val="20"/>
          <w:szCs w:val="20"/>
        </w:rPr>
      </w:pPr>
    </w:p>
    <w:p w14:paraId="22EBE5A8" w14:textId="77777777" w:rsidR="00707A4D" w:rsidRDefault="00707A4D" w:rsidP="008C3030">
      <w:pPr>
        <w:rPr>
          <w:color w:val="141413"/>
          <w:sz w:val="20"/>
          <w:szCs w:val="20"/>
        </w:rPr>
      </w:pPr>
    </w:p>
    <w:p w14:paraId="4ED62C1B" w14:textId="77777777" w:rsidR="00707A4D" w:rsidRDefault="00707A4D" w:rsidP="008C3030">
      <w:pPr>
        <w:rPr>
          <w:color w:val="141413"/>
          <w:sz w:val="20"/>
          <w:szCs w:val="20"/>
        </w:rPr>
      </w:pPr>
    </w:p>
    <w:p w14:paraId="0966EBFE" w14:textId="77777777" w:rsidR="00707A4D" w:rsidRDefault="00707A4D" w:rsidP="008C3030">
      <w:pPr>
        <w:rPr>
          <w:color w:val="141413"/>
          <w:sz w:val="20"/>
          <w:szCs w:val="20"/>
        </w:rPr>
      </w:pPr>
    </w:p>
    <w:p w14:paraId="4C781D21" w14:textId="77777777" w:rsidR="00707A4D" w:rsidRDefault="00707A4D" w:rsidP="008C3030">
      <w:pPr>
        <w:rPr>
          <w:color w:val="141413"/>
          <w:sz w:val="20"/>
          <w:szCs w:val="20"/>
        </w:rPr>
      </w:pPr>
    </w:p>
    <w:p w14:paraId="37025B1F" w14:textId="77777777" w:rsidR="00707A4D" w:rsidRDefault="00707A4D" w:rsidP="008C3030">
      <w:pPr>
        <w:rPr>
          <w:color w:val="141413"/>
          <w:sz w:val="20"/>
          <w:szCs w:val="20"/>
        </w:rPr>
      </w:pPr>
    </w:p>
    <w:p w14:paraId="706E8FD2" w14:textId="77777777" w:rsidR="00707A4D" w:rsidRDefault="00707A4D" w:rsidP="008C3030">
      <w:pPr>
        <w:rPr>
          <w:color w:val="141413"/>
          <w:sz w:val="20"/>
          <w:szCs w:val="20"/>
        </w:rPr>
      </w:pPr>
    </w:p>
    <w:p w14:paraId="5C906A24" w14:textId="77777777" w:rsidR="00707A4D" w:rsidRDefault="00707A4D" w:rsidP="008C3030">
      <w:pPr>
        <w:rPr>
          <w:color w:val="141413"/>
          <w:sz w:val="20"/>
          <w:szCs w:val="20"/>
        </w:rPr>
      </w:pPr>
    </w:p>
    <w:p w14:paraId="2B44D4DA" w14:textId="77777777" w:rsidR="00707A4D" w:rsidRDefault="00707A4D" w:rsidP="008C3030">
      <w:pPr>
        <w:rPr>
          <w:color w:val="141413"/>
          <w:sz w:val="20"/>
          <w:szCs w:val="20"/>
        </w:rPr>
      </w:pPr>
    </w:p>
    <w:p w14:paraId="0AA666A5" w14:textId="77777777" w:rsidR="00707A4D" w:rsidRDefault="00707A4D" w:rsidP="008C3030">
      <w:pPr>
        <w:rPr>
          <w:color w:val="141413"/>
          <w:sz w:val="20"/>
          <w:szCs w:val="20"/>
        </w:rPr>
      </w:pPr>
    </w:p>
    <w:p w14:paraId="2CBC8B4E" w14:textId="77777777" w:rsidR="00707A4D" w:rsidRDefault="00707A4D" w:rsidP="008C3030">
      <w:pPr>
        <w:rPr>
          <w:color w:val="141413"/>
          <w:sz w:val="20"/>
          <w:szCs w:val="20"/>
        </w:rPr>
      </w:pPr>
    </w:p>
    <w:p w14:paraId="5838EE20" w14:textId="77777777" w:rsidR="00707A4D" w:rsidRDefault="00707A4D" w:rsidP="008C3030">
      <w:pPr>
        <w:rPr>
          <w:color w:val="141413"/>
          <w:sz w:val="20"/>
          <w:szCs w:val="20"/>
        </w:rPr>
      </w:pPr>
    </w:p>
    <w:p w14:paraId="1B1423B5" w14:textId="77777777" w:rsidR="00707A4D" w:rsidRDefault="00707A4D" w:rsidP="008C3030">
      <w:pPr>
        <w:rPr>
          <w:color w:val="141413"/>
          <w:sz w:val="20"/>
          <w:szCs w:val="20"/>
        </w:rPr>
      </w:pPr>
    </w:p>
    <w:p w14:paraId="6EAAA7AD" w14:textId="77777777" w:rsidR="00707A4D" w:rsidRDefault="00707A4D" w:rsidP="008C3030">
      <w:pPr>
        <w:rPr>
          <w:color w:val="141413"/>
          <w:sz w:val="20"/>
          <w:szCs w:val="20"/>
        </w:rPr>
      </w:pPr>
    </w:p>
    <w:p w14:paraId="23EF7848" w14:textId="77777777" w:rsidR="00707A4D" w:rsidRDefault="00707A4D" w:rsidP="008C3030">
      <w:pPr>
        <w:rPr>
          <w:color w:val="141413"/>
          <w:sz w:val="20"/>
          <w:szCs w:val="20"/>
        </w:rPr>
      </w:pPr>
    </w:p>
    <w:p w14:paraId="34E6334E" w14:textId="77777777" w:rsidR="00707A4D" w:rsidRDefault="00707A4D" w:rsidP="00CB1B40">
      <w:pPr>
        <w:spacing w:line="480" w:lineRule="auto"/>
        <w:rPr>
          <w:color w:val="141413"/>
          <w:sz w:val="20"/>
          <w:szCs w:val="20"/>
        </w:rPr>
      </w:pPr>
    </w:p>
    <w:p w14:paraId="7E4B064F" w14:textId="77777777" w:rsidR="00707A4D" w:rsidRDefault="00707A4D" w:rsidP="00CB1B40">
      <w:pPr>
        <w:spacing w:line="480" w:lineRule="auto"/>
        <w:rPr>
          <w:color w:val="141413"/>
          <w:sz w:val="20"/>
          <w:szCs w:val="20"/>
        </w:rPr>
      </w:pPr>
    </w:p>
    <w:p w14:paraId="1F3DEFC6" w14:textId="77777777" w:rsidR="00707A4D" w:rsidRDefault="00707A4D" w:rsidP="00CB1B40">
      <w:pPr>
        <w:spacing w:line="480" w:lineRule="auto"/>
        <w:rPr>
          <w:color w:val="141413"/>
          <w:sz w:val="20"/>
          <w:szCs w:val="20"/>
        </w:rPr>
      </w:pPr>
    </w:p>
    <w:p w14:paraId="4BDA2132" w14:textId="2CBD6913" w:rsidR="00707A4D" w:rsidRPr="00CF20E5" w:rsidRDefault="00707A4D" w:rsidP="00CB1B40">
      <w:pPr>
        <w:spacing w:line="480" w:lineRule="auto"/>
        <w:rPr>
          <w:b/>
          <w:color w:val="141413"/>
        </w:rPr>
      </w:pPr>
      <w:r w:rsidRPr="00CF20E5">
        <w:rPr>
          <w:b/>
          <w:color w:val="141413"/>
        </w:rPr>
        <w:t>Figure List:</w:t>
      </w:r>
    </w:p>
    <w:p w14:paraId="60B2B305" w14:textId="77777777" w:rsidR="001447DB" w:rsidRDefault="001447DB" w:rsidP="00CB1B40">
      <w:pPr>
        <w:spacing w:line="480" w:lineRule="auto"/>
        <w:rPr>
          <w:color w:val="141413"/>
        </w:rPr>
      </w:pPr>
    </w:p>
    <w:p w14:paraId="379E4980" w14:textId="77777777" w:rsidR="001447DB" w:rsidRDefault="001447DB" w:rsidP="00CB1B40">
      <w:pPr>
        <w:spacing w:line="480" w:lineRule="auto"/>
      </w:pPr>
      <w:r w:rsidRPr="00F55446">
        <w:rPr>
          <w:b/>
        </w:rPr>
        <w:t>Figure 1</w:t>
      </w:r>
      <w:r>
        <w:t xml:space="preserve"> Prevalence of obesity by time spent sedentary per day</w:t>
      </w:r>
    </w:p>
    <w:p w14:paraId="4E767FB4" w14:textId="77777777" w:rsidR="001447DB" w:rsidRPr="00F55446" w:rsidRDefault="001447DB" w:rsidP="001A088D">
      <w:pPr>
        <w:spacing w:line="480" w:lineRule="auto"/>
        <w:rPr>
          <w:sz w:val="20"/>
          <w:szCs w:val="20"/>
        </w:rPr>
      </w:pPr>
      <w:r>
        <w:rPr>
          <w:sz w:val="20"/>
          <w:szCs w:val="20"/>
        </w:rPr>
        <w:t>Bars denote 95% confidence intervals.</w:t>
      </w:r>
    </w:p>
    <w:p w14:paraId="0A384BB7" w14:textId="77777777" w:rsidR="00707A4D" w:rsidRDefault="00707A4D" w:rsidP="00CB1B40">
      <w:pPr>
        <w:spacing w:line="480" w:lineRule="auto"/>
        <w:rPr>
          <w:color w:val="141413"/>
          <w:sz w:val="20"/>
          <w:szCs w:val="20"/>
        </w:rPr>
      </w:pPr>
    </w:p>
    <w:p w14:paraId="69AFE9A1" w14:textId="77777777" w:rsidR="001447DB" w:rsidRPr="00FF084D" w:rsidRDefault="001447DB" w:rsidP="00CB1B40">
      <w:pPr>
        <w:spacing w:line="480" w:lineRule="auto"/>
      </w:pPr>
      <w:r w:rsidRPr="00192BC6">
        <w:rPr>
          <w:b/>
        </w:rPr>
        <w:t xml:space="preserve">Figure 2 </w:t>
      </w:r>
      <w:r>
        <w:t>Association between time spent sedentary per day and obesity (outcome) estimated by multivariable logistic regression</w:t>
      </w:r>
    </w:p>
    <w:p w14:paraId="1CA2AE8A" w14:textId="77777777" w:rsidR="001447DB" w:rsidRDefault="001447DB" w:rsidP="00CB1B40">
      <w:pPr>
        <w:spacing w:line="480" w:lineRule="auto"/>
        <w:rPr>
          <w:sz w:val="20"/>
          <w:szCs w:val="20"/>
        </w:rPr>
      </w:pPr>
      <w:r>
        <w:rPr>
          <w:sz w:val="20"/>
          <w:szCs w:val="20"/>
        </w:rPr>
        <w:t>Abbreviation: OR Odds ratio; CI Confidence interval</w:t>
      </w:r>
    </w:p>
    <w:p w14:paraId="280EB0F0" w14:textId="77777777" w:rsidR="001447DB" w:rsidRDefault="001447DB" w:rsidP="00CB1B40">
      <w:pPr>
        <w:spacing w:line="480" w:lineRule="auto"/>
        <w:rPr>
          <w:sz w:val="20"/>
          <w:szCs w:val="20"/>
        </w:rPr>
      </w:pPr>
      <w:r>
        <w:rPr>
          <w:sz w:val="20"/>
          <w:szCs w:val="20"/>
        </w:rPr>
        <w:t>Reference category is &lt;1 hours/day</w:t>
      </w:r>
    </w:p>
    <w:p w14:paraId="56A6A1A1" w14:textId="77777777" w:rsidR="001447DB" w:rsidRDefault="001447DB" w:rsidP="00CB1B40">
      <w:pPr>
        <w:spacing w:line="480" w:lineRule="auto"/>
        <w:rPr>
          <w:sz w:val="20"/>
          <w:szCs w:val="20"/>
        </w:rPr>
      </w:pPr>
      <w:r>
        <w:rPr>
          <w:sz w:val="20"/>
          <w:szCs w:val="20"/>
        </w:rPr>
        <w:t>Model is adjusted for age, sex, food insecurity (proxy of socioeconomic status), physical activity, low fruit and vegetable consumption, and country.</w:t>
      </w:r>
    </w:p>
    <w:p w14:paraId="330DEBD1" w14:textId="77777777" w:rsidR="001447DB" w:rsidRDefault="001447DB" w:rsidP="00CB1B40">
      <w:pPr>
        <w:spacing w:line="480" w:lineRule="auto"/>
        <w:rPr>
          <w:color w:val="141413"/>
          <w:sz w:val="20"/>
          <w:szCs w:val="20"/>
        </w:rPr>
      </w:pPr>
    </w:p>
    <w:p w14:paraId="089E1137" w14:textId="77777777" w:rsidR="001447DB" w:rsidRDefault="001447DB" w:rsidP="00CB1B40">
      <w:pPr>
        <w:spacing w:line="480" w:lineRule="auto"/>
      </w:pPr>
      <w:r w:rsidRPr="00413B8F">
        <w:rPr>
          <w:b/>
        </w:rPr>
        <w:t xml:space="preserve">Figure </w:t>
      </w:r>
      <w:r>
        <w:rPr>
          <w:b/>
        </w:rPr>
        <w:t>3</w:t>
      </w:r>
      <w:r>
        <w:t xml:space="preserve"> Country-wise association between sedentary behavior of ≥3h/day and obesity (outcome) estimated by multivariable logistic regression</w:t>
      </w:r>
    </w:p>
    <w:p w14:paraId="33072533" w14:textId="77777777" w:rsidR="001447DB" w:rsidRPr="00D946B6" w:rsidRDefault="001447DB" w:rsidP="00CB1B40">
      <w:pPr>
        <w:spacing w:line="480" w:lineRule="auto"/>
        <w:rPr>
          <w:sz w:val="20"/>
          <w:szCs w:val="20"/>
        </w:rPr>
      </w:pPr>
      <w:r w:rsidRPr="00D946B6">
        <w:rPr>
          <w:sz w:val="20"/>
          <w:szCs w:val="20"/>
        </w:rPr>
        <w:t>Abbreviation: OR Odds ratio; CI Confidence interval</w:t>
      </w:r>
    </w:p>
    <w:p w14:paraId="342AF48A" w14:textId="77777777" w:rsidR="001447DB" w:rsidRPr="00D946B6" w:rsidRDefault="001447DB" w:rsidP="00CB1B40">
      <w:pPr>
        <w:spacing w:line="480" w:lineRule="auto"/>
        <w:rPr>
          <w:sz w:val="20"/>
          <w:szCs w:val="20"/>
        </w:rPr>
      </w:pPr>
      <w:r w:rsidRPr="00D946B6">
        <w:rPr>
          <w:sz w:val="20"/>
          <w:szCs w:val="20"/>
        </w:rPr>
        <w:t>Overall estimate was obtained by meta-analysis with fixed effects.</w:t>
      </w:r>
    </w:p>
    <w:p w14:paraId="6EF411E5" w14:textId="77777777" w:rsidR="001447DB" w:rsidRPr="004B43F7" w:rsidRDefault="001447DB" w:rsidP="00CB1B40">
      <w:pPr>
        <w:spacing w:line="480" w:lineRule="auto"/>
        <w:rPr>
          <w:sz w:val="20"/>
          <w:szCs w:val="20"/>
        </w:rPr>
      </w:pPr>
      <w:r>
        <w:rPr>
          <w:sz w:val="20"/>
          <w:szCs w:val="20"/>
        </w:rPr>
        <w:t>Models are adjusted for age, sex, food insecurity (proxy of socioeconomic status), physical activity, and low fruit and vegetable consumption.</w:t>
      </w:r>
    </w:p>
    <w:p w14:paraId="5FB7F62E" w14:textId="77777777" w:rsidR="00A81C89" w:rsidRDefault="00A81C89"/>
    <w:sectPr w:rsidR="00A81C89" w:rsidSect="00050FA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7DD2"/>
    <w:multiLevelType w:val="hybridMultilevel"/>
    <w:tmpl w:val="08EA5B84"/>
    <w:lvl w:ilvl="0" w:tplc="A8B476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00D3B"/>
    <w:multiLevelType w:val="hybridMultilevel"/>
    <w:tmpl w:val="8F42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91763"/>
    <w:multiLevelType w:val="hybridMultilevel"/>
    <w:tmpl w:val="E888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sychological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2413&lt;/item&gt;&lt;item&gt;4976&lt;/item&gt;&lt;item&gt;5136&lt;/item&gt;&lt;item&gt;5324&lt;/item&gt;&lt;item&gt;5405&lt;/item&gt;&lt;item&gt;5533&lt;/item&gt;&lt;item&gt;7657&lt;/item&gt;&lt;item&gt;8038&lt;/item&gt;&lt;/record-ids&gt;&lt;/item&gt;&lt;/Libraries&gt;"/>
  </w:docVars>
  <w:rsids>
    <w:rsidRoot w:val="00050FA4"/>
    <w:rsid w:val="00002D72"/>
    <w:rsid w:val="00005364"/>
    <w:rsid w:val="00006036"/>
    <w:rsid w:val="0000715D"/>
    <w:rsid w:val="00007C35"/>
    <w:rsid w:val="000120BD"/>
    <w:rsid w:val="000124EF"/>
    <w:rsid w:val="000163B1"/>
    <w:rsid w:val="00020F00"/>
    <w:rsid w:val="00027A4C"/>
    <w:rsid w:val="00032790"/>
    <w:rsid w:val="00032FCC"/>
    <w:rsid w:val="0003791D"/>
    <w:rsid w:val="00037FB8"/>
    <w:rsid w:val="000461C0"/>
    <w:rsid w:val="00050FA4"/>
    <w:rsid w:val="0005120C"/>
    <w:rsid w:val="00051DEF"/>
    <w:rsid w:val="00057B0D"/>
    <w:rsid w:val="0006199C"/>
    <w:rsid w:val="00062BF5"/>
    <w:rsid w:val="00067771"/>
    <w:rsid w:val="000700C3"/>
    <w:rsid w:val="00072FC5"/>
    <w:rsid w:val="000835CC"/>
    <w:rsid w:val="000862BB"/>
    <w:rsid w:val="00090A50"/>
    <w:rsid w:val="000934A6"/>
    <w:rsid w:val="000A1943"/>
    <w:rsid w:val="000A1CF7"/>
    <w:rsid w:val="000A593B"/>
    <w:rsid w:val="000A7D6B"/>
    <w:rsid w:val="000B0FE8"/>
    <w:rsid w:val="000B1BEB"/>
    <w:rsid w:val="000B1E34"/>
    <w:rsid w:val="000B40E5"/>
    <w:rsid w:val="000C279C"/>
    <w:rsid w:val="000C2A40"/>
    <w:rsid w:val="000C42D8"/>
    <w:rsid w:val="000D01F6"/>
    <w:rsid w:val="000D6EEC"/>
    <w:rsid w:val="000E325F"/>
    <w:rsid w:val="000E470B"/>
    <w:rsid w:val="000F4500"/>
    <w:rsid w:val="000F5A74"/>
    <w:rsid w:val="00113637"/>
    <w:rsid w:val="00115FBF"/>
    <w:rsid w:val="00120EC1"/>
    <w:rsid w:val="00122B0D"/>
    <w:rsid w:val="00127207"/>
    <w:rsid w:val="00132724"/>
    <w:rsid w:val="00134737"/>
    <w:rsid w:val="00137DFD"/>
    <w:rsid w:val="001447DB"/>
    <w:rsid w:val="001452B7"/>
    <w:rsid w:val="00147535"/>
    <w:rsid w:val="00152D48"/>
    <w:rsid w:val="00154C11"/>
    <w:rsid w:val="00160AC3"/>
    <w:rsid w:val="001715BD"/>
    <w:rsid w:val="0017170A"/>
    <w:rsid w:val="00173EDE"/>
    <w:rsid w:val="00181930"/>
    <w:rsid w:val="00182E6A"/>
    <w:rsid w:val="00192BC6"/>
    <w:rsid w:val="001A088D"/>
    <w:rsid w:val="001A7A86"/>
    <w:rsid w:val="001B211E"/>
    <w:rsid w:val="001C1DDA"/>
    <w:rsid w:val="001C225A"/>
    <w:rsid w:val="001D1C63"/>
    <w:rsid w:val="001D3531"/>
    <w:rsid w:val="001D49C3"/>
    <w:rsid w:val="001D4D01"/>
    <w:rsid w:val="001E1F96"/>
    <w:rsid w:val="001E1FE6"/>
    <w:rsid w:val="001E3AC9"/>
    <w:rsid w:val="001E4B75"/>
    <w:rsid w:val="001E60E9"/>
    <w:rsid w:val="001E60EF"/>
    <w:rsid w:val="00206B9B"/>
    <w:rsid w:val="00216DC4"/>
    <w:rsid w:val="00216F57"/>
    <w:rsid w:val="00225235"/>
    <w:rsid w:val="00227F38"/>
    <w:rsid w:val="0023122B"/>
    <w:rsid w:val="002355EB"/>
    <w:rsid w:val="0024320C"/>
    <w:rsid w:val="00247BBE"/>
    <w:rsid w:val="0025093A"/>
    <w:rsid w:val="00253DBB"/>
    <w:rsid w:val="00254120"/>
    <w:rsid w:val="00255519"/>
    <w:rsid w:val="002563B0"/>
    <w:rsid w:val="00261AC0"/>
    <w:rsid w:val="00261EB5"/>
    <w:rsid w:val="00265BFC"/>
    <w:rsid w:val="00265C6A"/>
    <w:rsid w:val="00276378"/>
    <w:rsid w:val="002775B9"/>
    <w:rsid w:val="00280C56"/>
    <w:rsid w:val="002846B9"/>
    <w:rsid w:val="0028792A"/>
    <w:rsid w:val="00293B88"/>
    <w:rsid w:val="00296779"/>
    <w:rsid w:val="002968E7"/>
    <w:rsid w:val="00296EA3"/>
    <w:rsid w:val="00297438"/>
    <w:rsid w:val="002A33F7"/>
    <w:rsid w:val="002A3C12"/>
    <w:rsid w:val="002B306A"/>
    <w:rsid w:val="002C3924"/>
    <w:rsid w:val="002D3C1A"/>
    <w:rsid w:val="002D5EFE"/>
    <w:rsid w:val="002E2349"/>
    <w:rsid w:val="002E38AB"/>
    <w:rsid w:val="002E446D"/>
    <w:rsid w:val="002F20E3"/>
    <w:rsid w:val="002F21AD"/>
    <w:rsid w:val="002F4D78"/>
    <w:rsid w:val="0030024C"/>
    <w:rsid w:val="00300355"/>
    <w:rsid w:val="0031393A"/>
    <w:rsid w:val="00320884"/>
    <w:rsid w:val="00333AB7"/>
    <w:rsid w:val="00336BBC"/>
    <w:rsid w:val="00337FCD"/>
    <w:rsid w:val="0034033F"/>
    <w:rsid w:val="003414F3"/>
    <w:rsid w:val="00343384"/>
    <w:rsid w:val="003433C5"/>
    <w:rsid w:val="00346916"/>
    <w:rsid w:val="00346E12"/>
    <w:rsid w:val="00347B59"/>
    <w:rsid w:val="00353EC9"/>
    <w:rsid w:val="003543F6"/>
    <w:rsid w:val="003545A0"/>
    <w:rsid w:val="00364D42"/>
    <w:rsid w:val="003726E6"/>
    <w:rsid w:val="0037481F"/>
    <w:rsid w:val="003762AC"/>
    <w:rsid w:val="00380A48"/>
    <w:rsid w:val="003823F7"/>
    <w:rsid w:val="00382EC3"/>
    <w:rsid w:val="0038659D"/>
    <w:rsid w:val="00387454"/>
    <w:rsid w:val="003A0470"/>
    <w:rsid w:val="003A05C0"/>
    <w:rsid w:val="003A0906"/>
    <w:rsid w:val="003A2AAC"/>
    <w:rsid w:val="003A31C2"/>
    <w:rsid w:val="003B064B"/>
    <w:rsid w:val="003B0724"/>
    <w:rsid w:val="003B1C8B"/>
    <w:rsid w:val="003B4B9F"/>
    <w:rsid w:val="003C5E2F"/>
    <w:rsid w:val="003D745F"/>
    <w:rsid w:val="003E141D"/>
    <w:rsid w:val="003E27E7"/>
    <w:rsid w:val="003E2FF7"/>
    <w:rsid w:val="003E35D2"/>
    <w:rsid w:val="003E38E6"/>
    <w:rsid w:val="003E6C19"/>
    <w:rsid w:val="003F3214"/>
    <w:rsid w:val="003F7C6E"/>
    <w:rsid w:val="004016EB"/>
    <w:rsid w:val="004021BF"/>
    <w:rsid w:val="0040260F"/>
    <w:rsid w:val="00403ABC"/>
    <w:rsid w:val="0041137D"/>
    <w:rsid w:val="00413B8F"/>
    <w:rsid w:val="0041406D"/>
    <w:rsid w:val="004201DD"/>
    <w:rsid w:val="00422407"/>
    <w:rsid w:val="0042268E"/>
    <w:rsid w:val="00445101"/>
    <w:rsid w:val="00447CE8"/>
    <w:rsid w:val="0045229F"/>
    <w:rsid w:val="00457040"/>
    <w:rsid w:val="00462830"/>
    <w:rsid w:val="004706D9"/>
    <w:rsid w:val="00471F5D"/>
    <w:rsid w:val="004729AD"/>
    <w:rsid w:val="00474FA7"/>
    <w:rsid w:val="00475217"/>
    <w:rsid w:val="00475860"/>
    <w:rsid w:val="004808FB"/>
    <w:rsid w:val="00490404"/>
    <w:rsid w:val="0049056D"/>
    <w:rsid w:val="00492117"/>
    <w:rsid w:val="0049407F"/>
    <w:rsid w:val="00495BFC"/>
    <w:rsid w:val="004A3F16"/>
    <w:rsid w:val="004B6257"/>
    <w:rsid w:val="004C6E93"/>
    <w:rsid w:val="004D0174"/>
    <w:rsid w:val="004E0B42"/>
    <w:rsid w:val="004E4D11"/>
    <w:rsid w:val="004F31C5"/>
    <w:rsid w:val="00501F0D"/>
    <w:rsid w:val="00502A82"/>
    <w:rsid w:val="00511BEE"/>
    <w:rsid w:val="00521B6B"/>
    <w:rsid w:val="00524FCB"/>
    <w:rsid w:val="0052685D"/>
    <w:rsid w:val="0052689F"/>
    <w:rsid w:val="00532569"/>
    <w:rsid w:val="00532633"/>
    <w:rsid w:val="00534583"/>
    <w:rsid w:val="00534B24"/>
    <w:rsid w:val="00536C83"/>
    <w:rsid w:val="00537296"/>
    <w:rsid w:val="00543AA1"/>
    <w:rsid w:val="0054627F"/>
    <w:rsid w:val="005465A3"/>
    <w:rsid w:val="00546D74"/>
    <w:rsid w:val="005519FB"/>
    <w:rsid w:val="005524CD"/>
    <w:rsid w:val="00556626"/>
    <w:rsid w:val="00563C2D"/>
    <w:rsid w:val="0057155B"/>
    <w:rsid w:val="00577C01"/>
    <w:rsid w:val="00582947"/>
    <w:rsid w:val="005850DE"/>
    <w:rsid w:val="005855E4"/>
    <w:rsid w:val="005A0AA0"/>
    <w:rsid w:val="005A5FA1"/>
    <w:rsid w:val="005A663E"/>
    <w:rsid w:val="005B2108"/>
    <w:rsid w:val="005B6867"/>
    <w:rsid w:val="005B6E07"/>
    <w:rsid w:val="005B772B"/>
    <w:rsid w:val="005C47D9"/>
    <w:rsid w:val="005C51FD"/>
    <w:rsid w:val="005C5609"/>
    <w:rsid w:val="005D3A15"/>
    <w:rsid w:val="005D3D90"/>
    <w:rsid w:val="005D4028"/>
    <w:rsid w:val="005D4578"/>
    <w:rsid w:val="005D72DC"/>
    <w:rsid w:val="005E10DD"/>
    <w:rsid w:val="005E1A89"/>
    <w:rsid w:val="005E2567"/>
    <w:rsid w:val="005E6CD6"/>
    <w:rsid w:val="005F4BAA"/>
    <w:rsid w:val="005F7F56"/>
    <w:rsid w:val="00613D3B"/>
    <w:rsid w:val="006149C5"/>
    <w:rsid w:val="0061660D"/>
    <w:rsid w:val="00621592"/>
    <w:rsid w:val="00623773"/>
    <w:rsid w:val="006237C1"/>
    <w:rsid w:val="00625D4E"/>
    <w:rsid w:val="00625F54"/>
    <w:rsid w:val="00627D36"/>
    <w:rsid w:val="0063088F"/>
    <w:rsid w:val="00636320"/>
    <w:rsid w:val="006534DB"/>
    <w:rsid w:val="0065797D"/>
    <w:rsid w:val="00666F46"/>
    <w:rsid w:val="006670F6"/>
    <w:rsid w:val="00671BBB"/>
    <w:rsid w:val="00680ABD"/>
    <w:rsid w:val="00685C67"/>
    <w:rsid w:val="00687930"/>
    <w:rsid w:val="00690BD8"/>
    <w:rsid w:val="006B28B2"/>
    <w:rsid w:val="006C04D6"/>
    <w:rsid w:val="006C5021"/>
    <w:rsid w:val="006C71B1"/>
    <w:rsid w:val="006D044D"/>
    <w:rsid w:val="006D3560"/>
    <w:rsid w:val="006D44DF"/>
    <w:rsid w:val="006D7D6C"/>
    <w:rsid w:val="006E5F74"/>
    <w:rsid w:val="006E5FCB"/>
    <w:rsid w:val="006E6DA5"/>
    <w:rsid w:val="00707A4D"/>
    <w:rsid w:val="007120F1"/>
    <w:rsid w:val="00713938"/>
    <w:rsid w:val="00721166"/>
    <w:rsid w:val="00724139"/>
    <w:rsid w:val="00731D51"/>
    <w:rsid w:val="00747870"/>
    <w:rsid w:val="00750C14"/>
    <w:rsid w:val="0075158B"/>
    <w:rsid w:val="007530D4"/>
    <w:rsid w:val="00756820"/>
    <w:rsid w:val="00760818"/>
    <w:rsid w:val="00765A5D"/>
    <w:rsid w:val="00772FF4"/>
    <w:rsid w:val="00774495"/>
    <w:rsid w:val="00780CFD"/>
    <w:rsid w:val="00782F9C"/>
    <w:rsid w:val="00787BAC"/>
    <w:rsid w:val="00790A88"/>
    <w:rsid w:val="007912AF"/>
    <w:rsid w:val="007A3463"/>
    <w:rsid w:val="007A62F2"/>
    <w:rsid w:val="007B0585"/>
    <w:rsid w:val="007D3148"/>
    <w:rsid w:val="007D3DA3"/>
    <w:rsid w:val="007D42F2"/>
    <w:rsid w:val="007D6722"/>
    <w:rsid w:val="007E0890"/>
    <w:rsid w:val="007E4708"/>
    <w:rsid w:val="007F5F62"/>
    <w:rsid w:val="007F5F99"/>
    <w:rsid w:val="007F687B"/>
    <w:rsid w:val="007F7018"/>
    <w:rsid w:val="00802306"/>
    <w:rsid w:val="008230CA"/>
    <w:rsid w:val="00824954"/>
    <w:rsid w:val="008258A3"/>
    <w:rsid w:val="0083195B"/>
    <w:rsid w:val="00832ECB"/>
    <w:rsid w:val="008332CA"/>
    <w:rsid w:val="00833660"/>
    <w:rsid w:val="00834429"/>
    <w:rsid w:val="00835120"/>
    <w:rsid w:val="0083778B"/>
    <w:rsid w:val="008378EC"/>
    <w:rsid w:val="00840B9F"/>
    <w:rsid w:val="0084631B"/>
    <w:rsid w:val="00856D08"/>
    <w:rsid w:val="00857406"/>
    <w:rsid w:val="0086079F"/>
    <w:rsid w:val="008706B2"/>
    <w:rsid w:val="0087203F"/>
    <w:rsid w:val="00874FBF"/>
    <w:rsid w:val="00876C21"/>
    <w:rsid w:val="00881780"/>
    <w:rsid w:val="008860CB"/>
    <w:rsid w:val="0089007B"/>
    <w:rsid w:val="008A1265"/>
    <w:rsid w:val="008C0ED6"/>
    <w:rsid w:val="008C3030"/>
    <w:rsid w:val="008C34A6"/>
    <w:rsid w:val="008D1DA5"/>
    <w:rsid w:val="008D452A"/>
    <w:rsid w:val="008E5BB9"/>
    <w:rsid w:val="008E6F2D"/>
    <w:rsid w:val="008F10D2"/>
    <w:rsid w:val="008F710D"/>
    <w:rsid w:val="00901177"/>
    <w:rsid w:val="00902C07"/>
    <w:rsid w:val="0090462C"/>
    <w:rsid w:val="00904D5C"/>
    <w:rsid w:val="009175C3"/>
    <w:rsid w:val="00917ECD"/>
    <w:rsid w:val="00926256"/>
    <w:rsid w:val="00926650"/>
    <w:rsid w:val="009427C2"/>
    <w:rsid w:val="00944D0D"/>
    <w:rsid w:val="00950150"/>
    <w:rsid w:val="00960926"/>
    <w:rsid w:val="00971729"/>
    <w:rsid w:val="00971C13"/>
    <w:rsid w:val="00980320"/>
    <w:rsid w:val="00981FB7"/>
    <w:rsid w:val="00982394"/>
    <w:rsid w:val="00984EC1"/>
    <w:rsid w:val="00995ACD"/>
    <w:rsid w:val="00995E73"/>
    <w:rsid w:val="00997A78"/>
    <w:rsid w:val="009A57D2"/>
    <w:rsid w:val="009B149F"/>
    <w:rsid w:val="009B2007"/>
    <w:rsid w:val="009C2DC9"/>
    <w:rsid w:val="009C769F"/>
    <w:rsid w:val="009C7C2E"/>
    <w:rsid w:val="009D1B2E"/>
    <w:rsid w:val="009E44B6"/>
    <w:rsid w:val="009E5D63"/>
    <w:rsid w:val="009E5EC9"/>
    <w:rsid w:val="009F2B59"/>
    <w:rsid w:val="009F45AE"/>
    <w:rsid w:val="00A0628D"/>
    <w:rsid w:val="00A1520D"/>
    <w:rsid w:val="00A15211"/>
    <w:rsid w:val="00A15526"/>
    <w:rsid w:val="00A2089B"/>
    <w:rsid w:val="00A23E18"/>
    <w:rsid w:val="00A27CF5"/>
    <w:rsid w:val="00A31FAC"/>
    <w:rsid w:val="00A35A1C"/>
    <w:rsid w:val="00A40A06"/>
    <w:rsid w:val="00A411B6"/>
    <w:rsid w:val="00A411E0"/>
    <w:rsid w:val="00A41516"/>
    <w:rsid w:val="00A41A1D"/>
    <w:rsid w:val="00A433E3"/>
    <w:rsid w:val="00A449FB"/>
    <w:rsid w:val="00A5091C"/>
    <w:rsid w:val="00A51569"/>
    <w:rsid w:val="00A55618"/>
    <w:rsid w:val="00A6250D"/>
    <w:rsid w:val="00A6689D"/>
    <w:rsid w:val="00A67173"/>
    <w:rsid w:val="00A719AC"/>
    <w:rsid w:val="00A72B0A"/>
    <w:rsid w:val="00A81C89"/>
    <w:rsid w:val="00A905CE"/>
    <w:rsid w:val="00AA2AD9"/>
    <w:rsid w:val="00AA3B90"/>
    <w:rsid w:val="00AA62CE"/>
    <w:rsid w:val="00AA6CD6"/>
    <w:rsid w:val="00AA6F3B"/>
    <w:rsid w:val="00AB3D8E"/>
    <w:rsid w:val="00AB5316"/>
    <w:rsid w:val="00AB6983"/>
    <w:rsid w:val="00AC2E9B"/>
    <w:rsid w:val="00AC60C4"/>
    <w:rsid w:val="00AC6959"/>
    <w:rsid w:val="00AC6AF6"/>
    <w:rsid w:val="00AD098B"/>
    <w:rsid w:val="00AD1FD3"/>
    <w:rsid w:val="00AE6555"/>
    <w:rsid w:val="00AF7344"/>
    <w:rsid w:val="00B04262"/>
    <w:rsid w:val="00B14F86"/>
    <w:rsid w:val="00B15275"/>
    <w:rsid w:val="00B17237"/>
    <w:rsid w:val="00B20377"/>
    <w:rsid w:val="00B20A9E"/>
    <w:rsid w:val="00B23635"/>
    <w:rsid w:val="00B25B4E"/>
    <w:rsid w:val="00B26579"/>
    <w:rsid w:val="00B26FC4"/>
    <w:rsid w:val="00B321E4"/>
    <w:rsid w:val="00B417BC"/>
    <w:rsid w:val="00B46902"/>
    <w:rsid w:val="00B53867"/>
    <w:rsid w:val="00B55C33"/>
    <w:rsid w:val="00B620BB"/>
    <w:rsid w:val="00B63EB0"/>
    <w:rsid w:val="00B64080"/>
    <w:rsid w:val="00B64D5C"/>
    <w:rsid w:val="00B70A80"/>
    <w:rsid w:val="00B75829"/>
    <w:rsid w:val="00B85637"/>
    <w:rsid w:val="00B860AB"/>
    <w:rsid w:val="00B87039"/>
    <w:rsid w:val="00B90BCF"/>
    <w:rsid w:val="00B90D9E"/>
    <w:rsid w:val="00B925CE"/>
    <w:rsid w:val="00B95339"/>
    <w:rsid w:val="00BA0D07"/>
    <w:rsid w:val="00BA1CED"/>
    <w:rsid w:val="00BB543F"/>
    <w:rsid w:val="00BC1BD2"/>
    <w:rsid w:val="00BC6FA0"/>
    <w:rsid w:val="00BE0EFD"/>
    <w:rsid w:val="00BE7044"/>
    <w:rsid w:val="00BE7486"/>
    <w:rsid w:val="00BF2456"/>
    <w:rsid w:val="00BF30D1"/>
    <w:rsid w:val="00BF3445"/>
    <w:rsid w:val="00BF4B1D"/>
    <w:rsid w:val="00BF5742"/>
    <w:rsid w:val="00BF6110"/>
    <w:rsid w:val="00C04AEE"/>
    <w:rsid w:val="00C0769D"/>
    <w:rsid w:val="00C07824"/>
    <w:rsid w:val="00C20C08"/>
    <w:rsid w:val="00C256CD"/>
    <w:rsid w:val="00C25C1A"/>
    <w:rsid w:val="00C26720"/>
    <w:rsid w:val="00C27B70"/>
    <w:rsid w:val="00C3070E"/>
    <w:rsid w:val="00C31306"/>
    <w:rsid w:val="00C336AE"/>
    <w:rsid w:val="00C3375F"/>
    <w:rsid w:val="00C434AE"/>
    <w:rsid w:val="00C436DC"/>
    <w:rsid w:val="00C43811"/>
    <w:rsid w:val="00C4408A"/>
    <w:rsid w:val="00C46E58"/>
    <w:rsid w:val="00C514BB"/>
    <w:rsid w:val="00C57508"/>
    <w:rsid w:val="00C71FF2"/>
    <w:rsid w:val="00C7251A"/>
    <w:rsid w:val="00C72AB6"/>
    <w:rsid w:val="00C73015"/>
    <w:rsid w:val="00C73D94"/>
    <w:rsid w:val="00C7509A"/>
    <w:rsid w:val="00C76CC2"/>
    <w:rsid w:val="00C84BD1"/>
    <w:rsid w:val="00C84E8D"/>
    <w:rsid w:val="00C87645"/>
    <w:rsid w:val="00C91F89"/>
    <w:rsid w:val="00CA04DC"/>
    <w:rsid w:val="00CA5FEF"/>
    <w:rsid w:val="00CB1B40"/>
    <w:rsid w:val="00CB2956"/>
    <w:rsid w:val="00CB6D06"/>
    <w:rsid w:val="00CC3810"/>
    <w:rsid w:val="00CC3DBA"/>
    <w:rsid w:val="00CC4FDB"/>
    <w:rsid w:val="00CC70E9"/>
    <w:rsid w:val="00CD02A2"/>
    <w:rsid w:val="00CD0514"/>
    <w:rsid w:val="00CD2C95"/>
    <w:rsid w:val="00CD2EEC"/>
    <w:rsid w:val="00CD40DC"/>
    <w:rsid w:val="00CD5E8D"/>
    <w:rsid w:val="00CD64EB"/>
    <w:rsid w:val="00CD7FD4"/>
    <w:rsid w:val="00CE1E2F"/>
    <w:rsid w:val="00CE355C"/>
    <w:rsid w:val="00CE51BD"/>
    <w:rsid w:val="00CE6122"/>
    <w:rsid w:val="00CE6507"/>
    <w:rsid w:val="00CF20E5"/>
    <w:rsid w:val="00CF3955"/>
    <w:rsid w:val="00CF5D95"/>
    <w:rsid w:val="00CF5E33"/>
    <w:rsid w:val="00D00F3D"/>
    <w:rsid w:val="00D0114D"/>
    <w:rsid w:val="00D02149"/>
    <w:rsid w:val="00D030E6"/>
    <w:rsid w:val="00D0548A"/>
    <w:rsid w:val="00D05E53"/>
    <w:rsid w:val="00D11AA4"/>
    <w:rsid w:val="00D13B99"/>
    <w:rsid w:val="00D1480E"/>
    <w:rsid w:val="00D17DE6"/>
    <w:rsid w:val="00D270FB"/>
    <w:rsid w:val="00D356A9"/>
    <w:rsid w:val="00D43725"/>
    <w:rsid w:val="00D44A22"/>
    <w:rsid w:val="00D44E1C"/>
    <w:rsid w:val="00D4642A"/>
    <w:rsid w:val="00D53D69"/>
    <w:rsid w:val="00D55361"/>
    <w:rsid w:val="00D60ECE"/>
    <w:rsid w:val="00D770E0"/>
    <w:rsid w:val="00D8576A"/>
    <w:rsid w:val="00D93446"/>
    <w:rsid w:val="00D946B6"/>
    <w:rsid w:val="00D958BE"/>
    <w:rsid w:val="00D96BE6"/>
    <w:rsid w:val="00DA57A4"/>
    <w:rsid w:val="00DA65D4"/>
    <w:rsid w:val="00DC07B4"/>
    <w:rsid w:val="00DC3F50"/>
    <w:rsid w:val="00DD2059"/>
    <w:rsid w:val="00DD69BB"/>
    <w:rsid w:val="00DD6DEE"/>
    <w:rsid w:val="00DD7C28"/>
    <w:rsid w:val="00DE0467"/>
    <w:rsid w:val="00DF0203"/>
    <w:rsid w:val="00E04946"/>
    <w:rsid w:val="00E05E7F"/>
    <w:rsid w:val="00E11E24"/>
    <w:rsid w:val="00E13C13"/>
    <w:rsid w:val="00E21D29"/>
    <w:rsid w:val="00E35BA1"/>
    <w:rsid w:val="00E41CDD"/>
    <w:rsid w:val="00E4298D"/>
    <w:rsid w:val="00E47595"/>
    <w:rsid w:val="00E47766"/>
    <w:rsid w:val="00E52C3D"/>
    <w:rsid w:val="00E55278"/>
    <w:rsid w:val="00E60AFD"/>
    <w:rsid w:val="00E6298F"/>
    <w:rsid w:val="00E65D52"/>
    <w:rsid w:val="00E7149E"/>
    <w:rsid w:val="00E71E93"/>
    <w:rsid w:val="00E72001"/>
    <w:rsid w:val="00E74F89"/>
    <w:rsid w:val="00E75703"/>
    <w:rsid w:val="00E85D1B"/>
    <w:rsid w:val="00E866B3"/>
    <w:rsid w:val="00E90088"/>
    <w:rsid w:val="00E9489F"/>
    <w:rsid w:val="00E94B70"/>
    <w:rsid w:val="00EA6393"/>
    <w:rsid w:val="00EC1CFE"/>
    <w:rsid w:val="00EC216D"/>
    <w:rsid w:val="00EC49AF"/>
    <w:rsid w:val="00EC7050"/>
    <w:rsid w:val="00ED02A6"/>
    <w:rsid w:val="00EE14DA"/>
    <w:rsid w:val="00EE2E48"/>
    <w:rsid w:val="00EF0336"/>
    <w:rsid w:val="00EF1813"/>
    <w:rsid w:val="00EF3B9C"/>
    <w:rsid w:val="00F03B70"/>
    <w:rsid w:val="00F05423"/>
    <w:rsid w:val="00F05ED0"/>
    <w:rsid w:val="00F062FE"/>
    <w:rsid w:val="00F11B98"/>
    <w:rsid w:val="00F1584D"/>
    <w:rsid w:val="00F15C4B"/>
    <w:rsid w:val="00F21113"/>
    <w:rsid w:val="00F2228C"/>
    <w:rsid w:val="00F23A79"/>
    <w:rsid w:val="00F24733"/>
    <w:rsid w:val="00F27AC1"/>
    <w:rsid w:val="00F304F7"/>
    <w:rsid w:val="00F354D9"/>
    <w:rsid w:val="00F36011"/>
    <w:rsid w:val="00F40CAB"/>
    <w:rsid w:val="00F43F5E"/>
    <w:rsid w:val="00F45E80"/>
    <w:rsid w:val="00F50905"/>
    <w:rsid w:val="00F55446"/>
    <w:rsid w:val="00F55ED9"/>
    <w:rsid w:val="00F62AAF"/>
    <w:rsid w:val="00F657BA"/>
    <w:rsid w:val="00F73C7C"/>
    <w:rsid w:val="00F80B1F"/>
    <w:rsid w:val="00F87F60"/>
    <w:rsid w:val="00F906E1"/>
    <w:rsid w:val="00FA1BC4"/>
    <w:rsid w:val="00FA56DC"/>
    <w:rsid w:val="00FB012C"/>
    <w:rsid w:val="00FC496B"/>
    <w:rsid w:val="00FD3934"/>
    <w:rsid w:val="00FD7019"/>
    <w:rsid w:val="00FE13DB"/>
    <w:rsid w:val="00FE55AB"/>
    <w:rsid w:val="00FE5D8E"/>
    <w:rsid w:val="00FE7707"/>
    <w:rsid w:val="00FF0096"/>
    <w:rsid w:val="00FF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0E2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A4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FA4"/>
    <w:rPr>
      <w:rFonts w:ascii="Lucida Grande" w:hAnsi="Lucida Grande" w:cs="Lucida Grande"/>
      <w:sz w:val="18"/>
      <w:szCs w:val="18"/>
    </w:rPr>
  </w:style>
  <w:style w:type="paragraph" w:customStyle="1" w:styleId="EndNoteBibliographyTitle">
    <w:name w:val="EndNote Bibliography Title"/>
    <w:basedOn w:val="Normal"/>
    <w:rsid w:val="00037FB8"/>
    <w:pPr>
      <w:jc w:val="center"/>
    </w:pPr>
  </w:style>
  <w:style w:type="paragraph" w:customStyle="1" w:styleId="EndNoteBibliography">
    <w:name w:val="EndNote Bibliography"/>
    <w:basedOn w:val="Normal"/>
    <w:rsid w:val="00037FB8"/>
  </w:style>
  <w:style w:type="character" w:styleId="CommentReference">
    <w:name w:val="annotation reference"/>
    <w:basedOn w:val="DefaultParagraphFont"/>
    <w:uiPriority w:val="99"/>
    <w:semiHidden/>
    <w:unhideWhenUsed/>
    <w:rsid w:val="00D11AA4"/>
    <w:rPr>
      <w:sz w:val="18"/>
      <w:szCs w:val="18"/>
    </w:rPr>
  </w:style>
  <w:style w:type="paragraph" w:styleId="CommentText">
    <w:name w:val="annotation text"/>
    <w:basedOn w:val="Normal"/>
    <w:link w:val="CommentTextChar"/>
    <w:uiPriority w:val="99"/>
    <w:unhideWhenUsed/>
    <w:rsid w:val="00D11AA4"/>
    <w:rPr>
      <w:rFonts w:cstheme="minorBidi"/>
    </w:rPr>
  </w:style>
  <w:style w:type="character" w:customStyle="1" w:styleId="CommentTextChar">
    <w:name w:val="Comment Text Char"/>
    <w:basedOn w:val="DefaultParagraphFont"/>
    <w:link w:val="CommentText"/>
    <w:uiPriority w:val="99"/>
    <w:rsid w:val="00D11AA4"/>
  </w:style>
  <w:style w:type="paragraph" w:styleId="CommentSubject">
    <w:name w:val="annotation subject"/>
    <w:basedOn w:val="CommentText"/>
    <w:next w:val="CommentText"/>
    <w:link w:val="CommentSubjectChar"/>
    <w:uiPriority w:val="99"/>
    <w:semiHidden/>
    <w:unhideWhenUsed/>
    <w:rsid w:val="00D11AA4"/>
    <w:rPr>
      <w:b/>
      <w:bCs/>
      <w:sz w:val="20"/>
      <w:szCs w:val="20"/>
    </w:rPr>
  </w:style>
  <w:style w:type="character" w:customStyle="1" w:styleId="CommentSubjectChar">
    <w:name w:val="Comment Subject Char"/>
    <w:basedOn w:val="CommentTextChar"/>
    <w:link w:val="CommentSubject"/>
    <w:uiPriority w:val="99"/>
    <w:semiHidden/>
    <w:rsid w:val="00D11AA4"/>
    <w:rPr>
      <w:b/>
      <w:bCs/>
      <w:sz w:val="20"/>
      <w:szCs w:val="20"/>
    </w:rPr>
  </w:style>
  <w:style w:type="paragraph" w:styleId="ListParagraph">
    <w:name w:val="List Paragraph"/>
    <w:basedOn w:val="Normal"/>
    <w:uiPriority w:val="34"/>
    <w:qFormat/>
    <w:rsid w:val="00DD69BB"/>
    <w:pPr>
      <w:ind w:left="720"/>
      <w:contextualSpacing/>
    </w:pPr>
    <w:rPr>
      <w:rFonts w:cstheme="minorBidi"/>
    </w:rPr>
  </w:style>
  <w:style w:type="character" w:styleId="Hyperlink">
    <w:name w:val="Hyperlink"/>
    <w:basedOn w:val="DefaultParagraphFont"/>
    <w:uiPriority w:val="99"/>
    <w:unhideWhenUsed/>
    <w:rsid w:val="00353EC9"/>
    <w:rPr>
      <w:color w:val="0000FF" w:themeColor="hyperlink"/>
      <w:u w:val="single"/>
    </w:rPr>
  </w:style>
  <w:style w:type="character" w:customStyle="1" w:styleId="element-citation">
    <w:name w:val="element-citation"/>
    <w:basedOn w:val="DefaultParagraphFont"/>
    <w:rsid w:val="00625F54"/>
  </w:style>
  <w:style w:type="character" w:customStyle="1" w:styleId="ref-journal">
    <w:name w:val="ref-journal"/>
    <w:basedOn w:val="DefaultParagraphFont"/>
    <w:rsid w:val="00625F54"/>
  </w:style>
  <w:style w:type="character" w:customStyle="1" w:styleId="ref-vol">
    <w:name w:val="ref-vol"/>
    <w:basedOn w:val="DefaultParagraphFont"/>
    <w:rsid w:val="00625F54"/>
  </w:style>
  <w:style w:type="character" w:customStyle="1" w:styleId="nowrap">
    <w:name w:val="nowrap"/>
    <w:basedOn w:val="DefaultParagraphFont"/>
    <w:rsid w:val="00625F54"/>
  </w:style>
  <w:style w:type="character" w:customStyle="1" w:styleId="citationref">
    <w:name w:val="citationref"/>
    <w:basedOn w:val="DefaultParagraphFont"/>
    <w:rsid w:val="00857406"/>
  </w:style>
  <w:style w:type="character" w:styleId="FollowedHyperlink">
    <w:name w:val="FollowedHyperlink"/>
    <w:basedOn w:val="DefaultParagraphFont"/>
    <w:uiPriority w:val="99"/>
    <w:semiHidden/>
    <w:unhideWhenUsed/>
    <w:rsid w:val="006C5021"/>
    <w:rPr>
      <w:color w:val="800080" w:themeColor="followedHyperlink"/>
      <w:u w:val="single"/>
    </w:rPr>
  </w:style>
  <w:style w:type="paragraph" w:customStyle="1" w:styleId="Title1">
    <w:name w:val="Title1"/>
    <w:basedOn w:val="Normal"/>
    <w:rsid w:val="002E38AB"/>
    <w:pPr>
      <w:spacing w:before="100" w:beforeAutospacing="1" w:after="100" w:afterAutospacing="1"/>
    </w:pPr>
    <w:rPr>
      <w:rFonts w:eastAsia="Times New Roman"/>
      <w:lang w:val="en-GB" w:eastAsia="en-GB"/>
    </w:rPr>
  </w:style>
  <w:style w:type="paragraph" w:customStyle="1" w:styleId="desc">
    <w:name w:val="desc"/>
    <w:basedOn w:val="Normal"/>
    <w:rsid w:val="002E38AB"/>
    <w:pPr>
      <w:spacing w:before="100" w:beforeAutospacing="1" w:after="100" w:afterAutospacing="1"/>
    </w:pPr>
    <w:rPr>
      <w:rFonts w:eastAsia="Times New Roman"/>
      <w:lang w:val="en-GB" w:eastAsia="en-GB"/>
    </w:rPr>
  </w:style>
  <w:style w:type="paragraph" w:customStyle="1" w:styleId="details">
    <w:name w:val="details"/>
    <w:basedOn w:val="Normal"/>
    <w:rsid w:val="002E38AB"/>
    <w:pPr>
      <w:spacing w:before="100" w:beforeAutospacing="1" w:after="100" w:afterAutospacing="1"/>
    </w:pPr>
    <w:rPr>
      <w:rFonts w:eastAsia="Times New Roman"/>
      <w:lang w:val="en-GB" w:eastAsia="en-GB"/>
    </w:rPr>
  </w:style>
  <w:style w:type="character" w:customStyle="1" w:styleId="jrnl">
    <w:name w:val="jrnl"/>
    <w:basedOn w:val="DefaultParagraphFont"/>
    <w:rsid w:val="002E38AB"/>
  </w:style>
  <w:style w:type="character" w:styleId="Strong">
    <w:name w:val="Strong"/>
    <w:basedOn w:val="DefaultParagraphFont"/>
    <w:uiPriority w:val="22"/>
    <w:qFormat/>
    <w:rsid w:val="0003791D"/>
    <w:rPr>
      <w:b/>
      <w:bCs/>
    </w:rPr>
  </w:style>
  <w:style w:type="paragraph" w:styleId="Revision">
    <w:name w:val="Revision"/>
    <w:hidden/>
    <w:uiPriority w:val="99"/>
    <w:semiHidden/>
    <w:rsid w:val="00DD6DEE"/>
    <w:rPr>
      <w:rFonts w:cs="Times New Roman"/>
    </w:rPr>
  </w:style>
  <w:style w:type="character" w:customStyle="1" w:styleId="UnresolvedMention1">
    <w:name w:val="Unresolved Mention1"/>
    <w:basedOn w:val="DefaultParagraphFont"/>
    <w:uiPriority w:val="99"/>
    <w:rsid w:val="006534DB"/>
    <w:rPr>
      <w:color w:val="808080"/>
      <w:shd w:val="clear" w:color="auto" w:fill="E6E6E6"/>
    </w:rPr>
  </w:style>
  <w:style w:type="paragraph" w:styleId="DocumentMap">
    <w:name w:val="Document Map"/>
    <w:basedOn w:val="Normal"/>
    <w:link w:val="DocumentMapChar"/>
    <w:uiPriority w:val="99"/>
    <w:semiHidden/>
    <w:unhideWhenUsed/>
    <w:rsid w:val="00B75829"/>
    <w:rPr>
      <w:rFonts w:ascii="Lucida Grande" w:hAnsi="Lucida Grande" w:cs="Lucida Grande"/>
    </w:rPr>
  </w:style>
  <w:style w:type="character" w:customStyle="1" w:styleId="DocumentMapChar">
    <w:name w:val="Document Map Char"/>
    <w:basedOn w:val="DefaultParagraphFont"/>
    <w:link w:val="DocumentMap"/>
    <w:uiPriority w:val="99"/>
    <w:semiHidden/>
    <w:rsid w:val="00B7582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054">
      <w:bodyDiv w:val="1"/>
      <w:marLeft w:val="0"/>
      <w:marRight w:val="0"/>
      <w:marTop w:val="0"/>
      <w:marBottom w:val="0"/>
      <w:divBdr>
        <w:top w:val="none" w:sz="0" w:space="0" w:color="auto"/>
        <w:left w:val="none" w:sz="0" w:space="0" w:color="auto"/>
        <w:bottom w:val="none" w:sz="0" w:space="0" w:color="auto"/>
        <w:right w:val="none" w:sz="0" w:space="0" w:color="auto"/>
      </w:divBdr>
    </w:div>
    <w:div w:id="70350045">
      <w:bodyDiv w:val="1"/>
      <w:marLeft w:val="0"/>
      <w:marRight w:val="0"/>
      <w:marTop w:val="0"/>
      <w:marBottom w:val="0"/>
      <w:divBdr>
        <w:top w:val="none" w:sz="0" w:space="0" w:color="auto"/>
        <w:left w:val="none" w:sz="0" w:space="0" w:color="auto"/>
        <w:bottom w:val="none" w:sz="0" w:space="0" w:color="auto"/>
        <w:right w:val="none" w:sz="0" w:space="0" w:color="auto"/>
      </w:divBdr>
    </w:div>
    <w:div w:id="71777862">
      <w:bodyDiv w:val="1"/>
      <w:marLeft w:val="0"/>
      <w:marRight w:val="0"/>
      <w:marTop w:val="0"/>
      <w:marBottom w:val="0"/>
      <w:divBdr>
        <w:top w:val="none" w:sz="0" w:space="0" w:color="auto"/>
        <w:left w:val="none" w:sz="0" w:space="0" w:color="auto"/>
        <w:bottom w:val="none" w:sz="0" w:space="0" w:color="auto"/>
        <w:right w:val="none" w:sz="0" w:space="0" w:color="auto"/>
      </w:divBdr>
    </w:div>
    <w:div w:id="83653587">
      <w:bodyDiv w:val="1"/>
      <w:marLeft w:val="0"/>
      <w:marRight w:val="0"/>
      <w:marTop w:val="0"/>
      <w:marBottom w:val="0"/>
      <w:divBdr>
        <w:top w:val="none" w:sz="0" w:space="0" w:color="auto"/>
        <w:left w:val="none" w:sz="0" w:space="0" w:color="auto"/>
        <w:bottom w:val="none" w:sz="0" w:space="0" w:color="auto"/>
        <w:right w:val="none" w:sz="0" w:space="0" w:color="auto"/>
      </w:divBdr>
    </w:div>
    <w:div w:id="105271320">
      <w:bodyDiv w:val="1"/>
      <w:marLeft w:val="0"/>
      <w:marRight w:val="0"/>
      <w:marTop w:val="0"/>
      <w:marBottom w:val="0"/>
      <w:divBdr>
        <w:top w:val="none" w:sz="0" w:space="0" w:color="auto"/>
        <w:left w:val="none" w:sz="0" w:space="0" w:color="auto"/>
        <w:bottom w:val="none" w:sz="0" w:space="0" w:color="auto"/>
        <w:right w:val="none" w:sz="0" w:space="0" w:color="auto"/>
      </w:divBdr>
    </w:div>
    <w:div w:id="214244335">
      <w:bodyDiv w:val="1"/>
      <w:marLeft w:val="0"/>
      <w:marRight w:val="0"/>
      <w:marTop w:val="0"/>
      <w:marBottom w:val="0"/>
      <w:divBdr>
        <w:top w:val="none" w:sz="0" w:space="0" w:color="auto"/>
        <w:left w:val="none" w:sz="0" w:space="0" w:color="auto"/>
        <w:bottom w:val="none" w:sz="0" w:space="0" w:color="auto"/>
        <w:right w:val="none" w:sz="0" w:space="0" w:color="auto"/>
      </w:divBdr>
      <w:divsChild>
        <w:div w:id="187837555">
          <w:marLeft w:val="0"/>
          <w:marRight w:val="0"/>
          <w:marTop w:val="0"/>
          <w:marBottom w:val="0"/>
          <w:divBdr>
            <w:top w:val="none" w:sz="0" w:space="0" w:color="auto"/>
            <w:left w:val="none" w:sz="0" w:space="0" w:color="auto"/>
            <w:bottom w:val="none" w:sz="0" w:space="0" w:color="auto"/>
            <w:right w:val="none" w:sz="0" w:space="0" w:color="auto"/>
          </w:divBdr>
        </w:div>
        <w:div w:id="1517426381">
          <w:marLeft w:val="0"/>
          <w:marRight w:val="0"/>
          <w:marTop w:val="0"/>
          <w:marBottom w:val="0"/>
          <w:divBdr>
            <w:top w:val="none" w:sz="0" w:space="0" w:color="auto"/>
            <w:left w:val="none" w:sz="0" w:space="0" w:color="auto"/>
            <w:bottom w:val="none" w:sz="0" w:space="0" w:color="auto"/>
            <w:right w:val="none" w:sz="0" w:space="0" w:color="auto"/>
          </w:divBdr>
        </w:div>
        <w:div w:id="1330599849">
          <w:marLeft w:val="0"/>
          <w:marRight w:val="0"/>
          <w:marTop w:val="0"/>
          <w:marBottom w:val="0"/>
          <w:divBdr>
            <w:top w:val="none" w:sz="0" w:space="0" w:color="auto"/>
            <w:left w:val="none" w:sz="0" w:space="0" w:color="auto"/>
            <w:bottom w:val="none" w:sz="0" w:space="0" w:color="auto"/>
            <w:right w:val="none" w:sz="0" w:space="0" w:color="auto"/>
          </w:divBdr>
        </w:div>
      </w:divsChild>
    </w:div>
    <w:div w:id="244343941">
      <w:bodyDiv w:val="1"/>
      <w:marLeft w:val="0"/>
      <w:marRight w:val="0"/>
      <w:marTop w:val="0"/>
      <w:marBottom w:val="0"/>
      <w:divBdr>
        <w:top w:val="none" w:sz="0" w:space="0" w:color="auto"/>
        <w:left w:val="none" w:sz="0" w:space="0" w:color="auto"/>
        <w:bottom w:val="none" w:sz="0" w:space="0" w:color="auto"/>
        <w:right w:val="none" w:sz="0" w:space="0" w:color="auto"/>
      </w:divBdr>
    </w:div>
    <w:div w:id="253320501">
      <w:bodyDiv w:val="1"/>
      <w:marLeft w:val="0"/>
      <w:marRight w:val="0"/>
      <w:marTop w:val="0"/>
      <w:marBottom w:val="0"/>
      <w:divBdr>
        <w:top w:val="none" w:sz="0" w:space="0" w:color="auto"/>
        <w:left w:val="none" w:sz="0" w:space="0" w:color="auto"/>
        <w:bottom w:val="none" w:sz="0" w:space="0" w:color="auto"/>
        <w:right w:val="none" w:sz="0" w:space="0" w:color="auto"/>
      </w:divBdr>
    </w:div>
    <w:div w:id="253711843">
      <w:bodyDiv w:val="1"/>
      <w:marLeft w:val="0"/>
      <w:marRight w:val="0"/>
      <w:marTop w:val="0"/>
      <w:marBottom w:val="0"/>
      <w:divBdr>
        <w:top w:val="none" w:sz="0" w:space="0" w:color="auto"/>
        <w:left w:val="none" w:sz="0" w:space="0" w:color="auto"/>
        <w:bottom w:val="none" w:sz="0" w:space="0" w:color="auto"/>
        <w:right w:val="none" w:sz="0" w:space="0" w:color="auto"/>
      </w:divBdr>
    </w:div>
    <w:div w:id="262764185">
      <w:bodyDiv w:val="1"/>
      <w:marLeft w:val="0"/>
      <w:marRight w:val="0"/>
      <w:marTop w:val="0"/>
      <w:marBottom w:val="0"/>
      <w:divBdr>
        <w:top w:val="none" w:sz="0" w:space="0" w:color="auto"/>
        <w:left w:val="none" w:sz="0" w:space="0" w:color="auto"/>
        <w:bottom w:val="none" w:sz="0" w:space="0" w:color="auto"/>
        <w:right w:val="none" w:sz="0" w:space="0" w:color="auto"/>
      </w:divBdr>
    </w:div>
    <w:div w:id="308285146">
      <w:bodyDiv w:val="1"/>
      <w:marLeft w:val="0"/>
      <w:marRight w:val="0"/>
      <w:marTop w:val="0"/>
      <w:marBottom w:val="0"/>
      <w:divBdr>
        <w:top w:val="none" w:sz="0" w:space="0" w:color="auto"/>
        <w:left w:val="none" w:sz="0" w:space="0" w:color="auto"/>
        <w:bottom w:val="none" w:sz="0" w:space="0" w:color="auto"/>
        <w:right w:val="none" w:sz="0" w:space="0" w:color="auto"/>
      </w:divBdr>
    </w:div>
    <w:div w:id="328365501">
      <w:bodyDiv w:val="1"/>
      <w:marLeft w:val="0"/>
      <w:marRight w:val="0"/>
      <w:marTop w:val="0"/>
      <w:marBottom w:val="0"/>
      <w:divBdr>
        <w:top w:val="none" w:sz="0" w:space="0" w:color="auto"/>
        <w:left w:val="none" w:sz="0" w:space="0" w:color="auto"/>
        <w:bottom w:val="none" w:sz="0" w:space="0" w:color="auto"/>
        <w:right w:val="none" w:sz="0" w:space="0" w:color="auto"/>
      </w:divBdr>
    </w:div>
    <w:div w:id="344987383">
      <w:bodyDiv w:val="1"/>
      <w:marLeft w:val="0"/>
      <w:marRight w:val="0"/>
      <w:marTop w:val="0"/>
      <w:marBottom w:val="0"/>
      <w:divBdr>
        <w:top w:val="none" w:sz="0" w:space="0" w:color="auto"/>
        <w:left w:val="none" w:sz="0" w:space="0" w:color="auto"/>
        <w:bottom w:val="none" w:sz="0" w:space="0" w:color="auto"/>
        <w:right w:val="none" w:sz="0" w:space="0" w:color="auto"/>
      </w:divBdr>
    </w:div>
    <w:div w:id="346519238">
      <w:bodyDiv w:val="1"/>
      <w:marLeft w:val="0"/>
      <w:marRight w:val="0"/>
      <w:marTop w:val="0"/>
      <w:marBottom w:val="0"/>
      <w:divBdr>
        <w:top w:val="none" w:sz="0" w:space="0" w:color="auto"/>
        <w:left w:val="none" w:sz="0" w:space="0" w:color="auto"/>
        <w:bottom w:val="none" w:sz="0" w:space="0" w:color="auto"/>
        <w:right w:val="none" w:sz="0" w:space="0" w:color="auto"/>
      </w:divBdr>
      <w:divsChild>
        <w:div w:id="1971934618">
          <w:marLeft w:val="0"/>
          <w:marRight w:val="0"/>
          <w:marTop w:val="34"/>
          <w:marBottom w:val="34"/>
          <w:divBdr>
            <w:top w:val="none" w:sz="0" w:space="0" w:color="auto"/>
            <w:left w:val="none" w:sz="0" w:space="0" w:color="auto"/>
            <w:bottom w:val="none" w:sz="0" w:space="0" w:color="auto"/>
            <w:right w:val="none" w:sz="0" w:space="0" w:color="auto"/>
          </w:divBdr>
        </w:div>
      </w:divsChild>
    </w:div>
    <w:div w:id="353772371">
      <w:bodyDiv w:val="1"/>
      <w:marLeft w:val="0"/>
      <w:marRight w:val="0"/>
      <w:marTop w:val="0"/>
      <w:marBottom w:val="0"/>
      <w:divBdr>
        <w:top w:val="none" w:sz="0" w:space="0" w:color="auto"/>
        <w:left w:val="none" w:sz="0" w:space="0" w:color="auto"/>
        <w:bottom w:val="none" w:sz="0" w:space="0" w:color="auto"/>
        <w:right w:val="none" w:sz="0" w:space="0" w:color="auto"/>
      </w:divBdr>
      <w:divsChild>
        <w:div w:id="1294287864">
          <w:marLeft w:val="0"/>
          <w:marRight w:val="0"/>
          <w:marTop w:val="34"/>
          <w:marBottom w:val="34"/>
          <w:divBdr>
            <w:top w:val="none" w:sz="0" w:space="0" w:color="auto"/>
            <w:left w:val="none" w:sz="0" w:space="0" w:color="auto"/>
            <w:bottom w:val="none" w:sz="0" w:space="0" w:color="auto"/>
            <w:right w:val="none" w:sz="0" w:space="0" w:color="auto"/>
          </w:divBdr>
        </w:div>
      </w:divsChild>
    </w:div>
    <w:div w:id="438373968">
      <w:bodyDiv w:val="1"/>
      <w:marLeft w:val="0"/>
      <w:marRight w:val="0"/>
      <w:marTop w:val="0"/>
      <w:marBottom w:val="0"/>
      <w:divBdr>
        <w:top w:val="none" w:sz="0" w:space="0" w:color="auto"/>
        <w:left w:val="none" w:sz="0" w:space="0" w:color="auto"/>
        <w:bottom w:val="none" w:sz="0" w:space="0" w:color="auto"/>
        <w:right w:val="none" w:sz="0" w:space="0" w:color="auto"/>
      </w:divBdr>
    </w:div>
    <w:div w:id="461928819">
      <w:bodyDiv w:val="1"/>
      <w:marLeft w:val="0"/>
      <w:marRight w:val="0"/>
      <w:marTop w:val="0"/>
      <w:marBottom w:val="0"/>
      <w:divBdr>
        <w:top w:val="none" w:sz="0" w:space="0" w:color="auto"/>
        <w:left w:val="none" w:sz="0" w:space="0" w:color="auto"/>
        <w:bottom w:val="none" w:sz="0" w:space="0" w:color="auto"/>
        <w:right w:val="none" w:sz="0" w:space="0" w:color="auto"/>
      </w:divBdr>
    </w:div>
    <w:div w:id="601911503">
      <w:bodyDiv w:val="1"/>
      <w:marLeft w:val="0"/>
      <w:marRight w:val="0"/>
      <w:marTop w:val="0"/>
      <w:marBottom w:val="0"/>
      <w:divBdr>
        <w:top w:val="none" w:sz="0" w:space="0" w:color="auto"/>
        <w:left w:val="none" w:sz="0" w:space="0" w:color="auto"/>
        <w:bottom w:val="none" w:sz="0" w:space="0" w:color="auto"/>
        <w:right w:val="none" w:sz="0" w:space="0" w:color="auto"/>
      </w:divBdr>
    </w:div>
    <w:div w:id="612978752">
      <w:bodyDiv w:val="1"/>
      <w:marLeft w:val="0"/>
      <w:marRight w:val="0"/>
      <w:marTop w:val="0"/>
      <w:marBottom w:val="0"/>
      <w:divBdr>
        <w:top w:val="none" w:sz="0" w:space="0" w:color="auto"/>
        <w:left w:val="none" w:sz="0" w:space="0" w:color="auto"/>
        <w:bottom w:val="none" w:sz="0" w:space="0" w:color="auto"/>
        <w:right w:val="none" w:sz="0" w:space="0" w:color="auto"/>
      </w:divBdr>
    </w:div>
    <w:div w:id="627513151">
      <w:bodyDiv w:val="1"/>
      <w:marLeft w:val="0"/>
      <w:marRight w:val="0"/>
      <w:marTop w:val="0"/>
      <w:marBottom w:val="0"/>
      <w:divBdr>
        <w:top w:val="none" w:sz="0" w:space="0" w:color="auto"/>
        <w:left w:val="none" w:sz="0" w:space="0" w:color="auto"/>
        <w:bottom w:val="none" w:sz="0" w:space="0" w:color="auto"/>
        <w:right w:val="none" w:sz="0" w:space="0" w:color="auto"/>
      </w:divBdr>
    </w:div>
    <w:div w:id="637345183">
      <w:bodyDiv w:val="1"/>
      <w:marLeft w:val="0"/>
      <w:marRight w:val="0"/>
      <w:marTop w:val="0"/>
      <w:marBottom w:val="0"/>
      <w:divBdr>
        <w:top w:val="none" w:sz="0" w:space="0" w:color="auto"/>
        <w:left w:val="none" w:sz="0" w:space="0" w:color="auto"/>
        <w:bottom w:val="none" w:sz="0" w:space="0" w:color="auto"/>
        <w:right w:val="none" w:sz="0" w:space="0" w:color="auto"/>
      </w:divBdr>
      <w:divsChild>
        <w:div w:id="413473012">
          <w:marLeft w:val="720"/>
          <w:marRight w:val="0"/>
          <w:marTop w:val="280"/>
          <w:marBottom w:val="280"/>
          <w:divBdr>
            <w:top w:val="none" w:sz="0" w:space="0" w:color="auto"/>
            <w:left w:val="none" w:sz="0" w:space="0" w:color="auto"/>
            <w:bottom w:val="none" w:sz="0" w:space="0" w:color="auto"/>
            <w:right w:val="none" w:sz="0" w:space="0" w:color="auto"/>
          </w:divBdr>
        </w:div>
        <w:div w:id="1413576430">
          <w:marLeft w:val="720"/>
          <w:marRight w:val="0"/>
          <w:marTop w:val="280"/>
          <w:marBottom w:val="280"/>
          <w:divBdr>
            <w:top w:val="none" w:sz="0" w:space="0" w:color="auto"/>
            <w:left w:val="none" w:sz="0" w:space="0" w:color="auto"/>
            <w:bottom w:val="none" w:sz="0" w:space="0" w:color="auto"/>
            <w:right w:val="none" w:sz="0" w:space="0" w:color="auto"/>
          </w:divBdr>
        </w:div>
      </w:divsChild>
    </w:div>
    <w:div w:id="665091089">
      <w:bodyDiv w:val="1"/>
      <w:marLeft w:val="0"/>
      <w:marRight w:val="0"/>
      <w:marTop w:val="0"/>
      <w:marBottom w:val="0"/>
      <w:divBdr>
        <w:top w:val="none" w:sz="0" w:space="0" w:color="auto"/>
        <w:left w:val="none" w:sz="0" w:space="0" w:color="auto"/>
        <w:bottom w:val="none" w:sz="0" w:space="0" w:color="auto"/>
        <w:right w:val="none" w:sz="0" w:space="0" w:color="auto"/>
      </w:divBdr>
    </w:div>
    <w:div w:id="676737009">
      <w:bodyDiv w:val="1"/>
      <w:marLeft w:val="0"/>
      <w:marRight w:val="0"/>
      <w:marTop w:val="0"/>
      <w:marBottom w:val="0"/>
      <w:divBdr>
        <w:top w:val="none" w:sz="0" w:space="0" w:color="auto"/>
        <w:left w:val="none" w:sz="0" w:space="0" w:color="auto"/>
        <w:bottom w:val="none" w:sz="0" w:space="0" w:color="auto"/>
        <w:right w:val="none" w:sz="0" w:space="0" w:color="auto"/>
      </w:divBdr>
    </w:div>
    <w:div w:id="680283421">
      <w:bodyDiv w:val="1"/>
      <w:marLeft w:val="0"/>
      <w:marRight w:val="0"/>
      <w:marTop w:val="0"/>
      <w:marBottom w:val="0"/>
      <w:divBdr>
        <w:top w:val="none" w:sz="0" w:space="0" w:color="auto"/>
        <w:left w:val="none" w:sz="0" w:space="0" w:color="auto"/>
        <w:bottom w:val="none" w:sz="0" w:space="0" w:color="auto"/>
        <w:right w:val="none" w:sz="0" w:space="0" w:color="auto"/>
      </w:divBdr>
    </w:div>
    <w:div w:id="705718245">
      <w:bodyDiv w:val="1"/>
      <w:marLeft w:val="0"/>
      <w:marRight w:val="0"/>
      <w:marTop w:val="0"/>
      <w:marBottom w:val="0"/>
      <w:divBdr>
        <w:top w:val="none" w:sz="0" w:space="0" w:color="auto"/>
        <w:left w:val="none" w:sz="0" w:space="0" w:color="auto"/>
        <w:bottom w:val="none" w:sz="0" w:space="0" w:color="auto"/>
        <w:right w:val="none" w:sz="0" w:space="0" w:color="auto"/>
      </w:divBdr>
    </w:div>
    <w:div w:id="731849379">
      <w:bodyDiv w:val="1"/>
      <w:marLeft w:val="0"/>
      <w:marRight w:val="0"/>
      <w:marTop w:val="0"/>
      <w:marBottom w:val="0"/>
      <w:divBdr>
        <w:top w:val="none" w:sz="0" w:space="0" w:color="auto"/>
        <w:left w:val="none" w:sz="0" w:space="0" w:color="auto"/>
        <w:bottom w:val="none" w:sz="0" w:space="0" w:color="auto"/>
        <w:right w:val="none" w:sz="0" w:space="0" w:color="auto"/>
      </w:divBdr>
    </w:div>
    <w:div w:id="764153389">
      <w:bodyDiv w:val="1"/>
      <w:marLeft w:val="0"/>
      <w:marRight w:val="0"/>
      <w:marTop w:val="0"/>
      <w:marBottom w:val="0"/>
      <w:divBdr>
        <w:top w:val="none" w:sz="0" w:space="0" w:color="auto"/>
        <w:left w:val="none" w:sz="0" w:space="0" w:color="auto"/>
        <w:bottom w:val="none" w:sz="0" w:space="0" w:color="auto"/>
        <w:right w:val="none" w:sz="0" w:space="0" w:color="auto"/>
      </w:divBdr>
      <w:divsChild>
        <w:div w:id="38752195">
          <w:marLeft w:val="720"/>
          <w:marRight w:val="0"/>
          <w:marTop w:val="280"/>
          <w:marBottom w:val="280"/>
          <w:divBdr>
            <w:top w:val="none" w:sz="0" w:space="0" w:color="auto"/>
            <w:left w:val="none" w:sz="0" w:space="0" w:color="auto"/>
            <w:bottom w:val="none" w:sz="0" w:space="0" w:color="auto"/>
            <w:right w:val="none" w:sz="0" w:space="0" w:color="auto"/>
          </w:divBdr>
        </w:div>
        <w:div w:id="2059358915">
          <w:marLeft w:val="720"/>
          <w:marRight w:val="0"/>
          <w:marTop w:val="280"/>
          <w:marBottom w:val="280"/>
          <w:divBdr>
            <w:top w:val="none" w:sz="0" w:space="0" w:color="auto"/>
            <w:left w:val="none" w:sz="0" w:space="0" w:color="auto"/>
            <w:bottom w:val="none" w:sz="0" w:space="0" w:color="auto"/>
            <w:right w:val="none" w:sz="0" w:space="0" w:color="auto"/>
          </w:divBdr>
        </w:div>
      </w:divsChild>
    </w:div>
    <w:div w:id="768434224">
      <w:bodyDiv w:val="1"/>
      <w:marLeft w:val="0"/>
      <w:marRight w:val="0"/>
      <w:marTop w:val="0"/>
      <w:marBottom w:val="0"/>
      <w:divBdr>
        <w:top w:val="none" w:sz="0" w:space="0" w:color="auto"/>
        <w:left w:val="none" w:sz="0" w:space="0" w:color="auto"/>
        <w:bottom w:val="none" w:sz="0" w:space="0" w:color="auto"/>
        <w:right w:val="none" w:sz="0" w:space="0" w:color="auto"/>
      </w:divBdr>
    </w:div>
    <w:div w:id="794757848">
      <w:bodyDiv w:val="1"/>
      <w:marLeft w:val="0"/>
      <w:marRight w:val="0"/>
      <w:marTop w:val="0"/>
      <w:marBottom w:val="0"/>
      <w:divBdr>
        <w:top w:val="none" w:sz="0" w:space="0" w:color="auto"/>
        <w:left w:val="none" w:sz="0" w:space="0" w:color="auto"/>
        <w:bottom w:val="none" w:sz="0" w:space="0" w:color="auto"/>
        <w:right w:val="none" w:sz="0" w:space="0" w:color="auto"/>
      </w:divBdr>
    </w:div>
    <w:div w:id="795487539">
      <w:bodyDiv w:val="1"/>
      <w:marLeft w:val="0"/>
      <w:marRight w:val="0"/>
      <w:marTop w:val="0"/>
      <w:marBottom w:val="0"/>
      <w:divBdr>
        <w:top w:val="none" w:sz="0" w:space="0" w:color="auto"/>
        <w:left w:val="none" w:sz="0" w:space="0" w:color="auto"/>
        <w:bottom w:val="none" w:sz="0" w:space="0" w:color="auto"/>
        <w:right w:val="none" w:sz="0" w:space="0" w:color="auto"/>
      </w:divBdr>
    </w:div>
    <w:div w:id="796416641">
      <w:bodyDiv w:val="1"/>
      <w:marLeft w:val="0"/>
      <w:marRight w:val="0"/>
      <w:marTop w:val="0"/>
      <w:marBottom w:val="0"/>
      <w:divBdr>
        <w:top w:val="none" w:sz="0" w:space="0" w:color="auto"/>
        <w:left w:val="none" w:sz="0" w:space="0" w:color="auto"/>
        <w:bottom w:val="none" w:sz="0" w:space="0" w:color="auto"/>
        <w:right w:val="none" w:sz="0" w:space="0" w:color="auto"/>
      </w:divBdr>
      <w:divsChild>
        <w:div w:id="815220884">
          <w:marLeft w:val="0"/>
          <w:marRight w:val="0"/>
          <w:marTop w:val="120"/>
          <w:marBottom w:val="0"/>
          <w:divBdr>
            <w:top w:val="none" w:sz="0" w:space="0" w:color="auto"/>
            <w:left w:val="none" w:sz="0" w:space="0" w:color="auto"/>
            <w:bottom w:val="none" w:sz="0" w:space="0" w:color="auto"/>
            <w:right w:val="none" w:sz="0" w:space="0" w:color="auto"/>
          </w:divBdr>
        </w:div>
        <w:div w:id="1663045497">
          <w:marLeft w:val="0"/>
          <w:marRight w:val="0"/>
          <w:marTop w:val="120"/>
          <w:marBottom w:val="0"/>
          <w:divBdr>
            <w:top w:val="none" w:sz="0" w:space="0" w:color="auto"/>
            <w:left w:val="none" w:sz="0" w:space="0" w:color="auto"/>
            <w:bottom w:val="none" w:sz="0" w:space="0" w:color="auto"/>
            <w:right w:val="none" w:sz="0" w:space="0" w:color="auto"/>
          </w:divBdr>
        </w:div>
      </w:divsChild>
    </w:div>
    <w:div w:id="878468417">
      <w:bodyDiv w:val="1"/>
      <w:marLeft w:val="0"/>
      <w:marRight w:val="0"/>
      <w:marTop w:val="0"/>
      <w:marBottom w:val="0"/>
      <w:divBdr>
        <w:top w:val="none" w:sz="0" w:space="0" w:color="auto"/>
        <w:left w:val="none" w:sz="0" w:space="0" w:color="auto"/>
        <w:bottom w:val="none" w:sz="0" w:space="0" w:color="auto"/>
        <w:right w:val="none" w:sz="0" w:space="0" w:color="auto"/>
      </w:divBdr>
      <w:divsChild>
        <w:div w:id="2100522059">
          <w:marLeft w:val="0"/>
          <w:marRight w:val="0"/>
          <w:marTop w:val="34"/>
          <w:marBottom w:val="34"/>
          <w:divBdr>
            <w:top w:val="none" w:sz="0" w:space="0" w:color="auto"/>
            <w:left w:val="none" w:sz="0" w:space="0" w:color="auto"/>
            <w:bottom w:val="none" w:sz="0" w:space="0" w:color="auto"/>
            <w:right w:val="none" w:sz="0" w:space="0" w:color="auto"/>
          </w:divBdr>
        </w:div>
      </w:divsChild>
    </w:div>
    <w:div w:id="950937509">
      <w:bodyDiv w:val="1"/>
      <w:marLeft w:val="0"/>
      <w:marRight w:val="0"/>
      <w:marTop w:val="0"/>
      <w:marBottom w:val="0"/>
      <w:divBdr>
        <w:top w:val="none" w:sz="0" w:space="0" w:color="auto"/>
        <w:left w:val="none" w:sz="0" w:space="0" w:color="auto"/>
        <w:bottom w:val="none" w:sz="0" w:space="0" w:color="auto"/>
        <w:right w:val="none" w:sz="0" w:space="0" w:color="auto"/>
      </w:divBdr>
    </w:div>
    <w:div w:id="984354074">
      <w:bodyDiv w:val="1"/>
      <w:marLeft w:val="0"/>
      <w:marRight w:val="0"/>
      <w:marTop w:val="0"/>
      <w:marBottom w:val="0"/>
      <w:divBdr>
        <w:top w:val="none" w:sz="0" w:space="0" w:color="auto"/>
        <w:left w:val="none" w:sz="0" w:space="0" w:color="auto"/>
        <w:bottom w:val="none" w:sz="0" w:space="0" w:color="auto"/>
        <w:right w:val="none" w:sz="0" w:space="0" w:color="auto"/>
      </w:divBdr>
    </w:div>
    <w:div w:id="1004089051">
      <w:bodyDiv w:val="1"/>
      <w:marLeft w:val="0"/>
      <w:marRight w:val="0"/>
      <w:marTop w:val="0"/>
      <w:marBottom w:val="0"/>
      <w:divBdr>
        <w:top w:val="none" w:sz="0" w:space="0" w:color="auto"/>
        <w:left w:val="none" w:sz="0" w:space="0" w:color="auto"/>
        <w:bottom w:val="none" w:sz="0" w:space="0" w:color="auto"/>
        <w:right w:val="none" w:sz="0" w:space="0" w:color="auto"/>
      </w:divBdr>
    </w:div>
    <w:div w:id="1007633047">
      <w:bodyDiv w:val="1"/>
      <w:marLeft w:val="0"/>
      <w:marRight w:val="0"/>
      <w:marTop w:val="0"/>
      <w:marBottom w:val="0"/>
      <w:divBdr>
        <w:top w:val="none" w:sz="0" w:space="0" w:color="auto"/>
        <w:left w:val="none" w:sz="0" w:space="0" w:color="auto"/>
        <w:bottom w:val="none" w:sz="0" w:space="0" w:color="auto"/>
        <w:right w:val="none" w:sz="0" w:space="0" w:color="auto"/>
      </w:divBdr>
    </w:div>
    <w:div w:id="1017461904">
      <w:bodyDiv w:val="1"/>
      <w:marLeft w:val="0"/>
      <w:marRight w:val="0"/>
      <w:marTop w:val="0"/>
      <w:marBottom w:val="0"/>
      <w:divBdr>
        <w:top w:val="none" w:sz="0" w:space="0" w:color="auto"/>
        <w:left w:val="none" w:sz="0" w:space="0" w:color="auto"/>
        <w:bottom w:val="none" w:sz="0" w:space="0" w:color="auto"/>
        <w:right w:val="none" w:sz="0" w:space="0" w:color="auto"/>
      </w:divBdr>
    </w:div>
    <w:div w:id="1043094764">
      <w:bodyDiv w:val="1"/>
      <w:marLeft w:val="0"/>
      <w:marRight w:val="0"/>
      <w:marTop w:val="0"/>
      <w:marBottom w:val="0"/>
      <w:divBdr>
        <w:top w:val="none" w:sz="0" w:space="0" w:color="auto"/>
        <w:left w:val="none" w:sz="0" w:space="0" w:color="auto"/>
        <w:bottom w:val="none" w:sz="0" w:space="0" w:color="auto"/>
        <w:right w:val="none" w:sz="0" w:space="0" w:color="auto"/>
      </w:divBdr>
    </w:div>
    <w:div w:id="1063141686">
      <w:bodyDiv w:val="1"/>
      <w:marLeft w:val="0"/>
      <w:marRight w:val="0"/>
      <w:marTop w:val="0"/>
      <w:marBottom w:val="0"/>
      <w:divBdr>
        <w:top w:val="none" w:sz="0" w:space="0" w:color="auto"/>
        <w:left w:val="none" w:sz="0" w:space="0" w:color="auto"/>
        <w:bottom w:val="none" w:sz="0" w:space="0" w:color="auto"/>
        <w:right w:val="none" w:sz="0" w:space="0" w:color="auto"/>
      </w:divBdr>
    </w:div>
    <w:div w:id="1067339283">
      <w:bodyDiv w:val="1"/>
      <w:marLeft w:val="0"/>
      <w:marRight w:val="0"/>
      <w:marTop w:val="0"/>
      <w:marBottom w:val="0"/>
      <w:divBdr>
        <w:top w:val="none" w:sz="0" w:space="0" w:color="auto"/>
        <w:left w:val="none" w:sz="0" w:space="0" w:color="auto"/>
        <w:bottom w:val="none" w:sz="0" w:space="0" w:color="auto"/>
        <w:right w:val="none" w:sz="0" w:space="0" w:color="auto"/>
      </w:divBdr>
    </w:div>
    <w:div w:id="1085960414">
      <w:bodyDiv w:val="1"/>
      <w:marLeft w:val="0"/>
      <w:marRight w:val="0"/>
      <w:marTop w:val="0"/>
      <w:marBottom w:val="0"/>
      <w:divBdr>
        <w:top w:val="none" w:sz="0" w:space="0" w:color="auto"/>
        <w:left w:val="none" w:sz="0" w:space="0" w:color="auto"/>
        <w:bottom w:val="none" w:sz="0" w:space="0" w:color="auto"/>
        <w:right w:val="none" w:sz="0" w:space="0" w:color="auto"/>
      </w:divBdr>
    </w:div>
    <w:div w:id="1093428604">
      <w:bodyDiv w:val="1"/>
      <w:marLeft w:val="0"/>
      <w:marRight w:val="0"/>
      <w:marTop w:val="0"/>
      <w:marBottom w:val="0"/>
      <w:divBdr>
        <w:top w:val="none" w:sz="0" w:space="0" w:color="auto"/>
        <w:left w:val="none" w:sz="0" w:space="0" w:color="auto"/>
        <w:bottom w:val="none" w:sz="0" w:space="0" w:color="auto"/>
        <w:right w:val="none" w:sz="0" w:space="0" w:color="auto"/>
      </w:divBdr>
      <w:divsChild>
        <w:div w:id="2070304293">
          <w:marLeft w:val="0"/>
          <w:marRight w:val="0"/>
          <w:marTop w:val="0"/>
          <w:marBottom w:val="0"/>
          <w:divBdr>
            <w:top w:val="none" w:sz="0" w:space="0" w:color="auto"/>
            <w:left w:val="none" w:sz="0" w:space="0" w:color="auto"/>
            <w:bottom w:val="none" w:sz="0" w:space="0" w:color="auto"/>
            <w:right w:val="none" w:sz="0" w:space="0" w:color="auto"/>
          </w:divBdr>
        </w:div>
        <w:div w:id="1721051101">
          <w:marLeft w:val="0"/>
          <w:marRight w:val="0"/>
          <w:marTop w:val="0"/>
          <w:marBottom w:val="0"/>
          <w:divBdr>
            <w:top w:val="none" w:sz="0" w:space="0" w:color="auto"/>
            <w:left w:val="none" w:sz="0" w:space="0" w:color="auto"/>
            <w:bottom w:val="none" w:sz="0" w:space="0" w:color="auto"/>
            <w:right w:val="none" w:sz="0" w:space="0" w:color="auto"/>
          </w:divBdr>
        </w:div>
        <w:div w:id="1866677571">
          <w:marLeft w:val="0"/>
          <w:marRight w:val="0"/>
          <w:marTop w:val="0"/>
          <w:marBottom w:val="0"/>
          <w:divBdr>
            <w:top w:val="none" w:sz="0" w:space="0" w:color="auto"/>
            <w:left w:val="none" w:sz="0" w:space="0" w:color="auto"/>
            <w:bottom w:val="none" w:sz="0" w:space="0" w:color="auto"/>
            <w:right w:val="none" w:sz="0" w:space="0" w:color="auto"/>
          </w:divBdr>
        </w:div>
      </w:divsChild>
    </w:div>
    <w:div w:id="1096513664">
      <w:bodyDiv w:val="1"/>
      <w:marLeft w:val="0"/>
      <w:marRight w:val="0"/>
      <w:marTop w:val="0"/>
      <w:marBottom w:val="0"/>
      <w:divBdr>
        <w:top w:val="none" w:sz="0" w:space="0" w:color="auto"/>
        <w:left w:val="none" w:sz="0" w:space="0" w:color="auto"/>
        <w:bottom w:val="none" w:sz="0" w:space="0" w:color="auto"/>
        <w:right w:val="none" w:sz="0" w:space="0" w:color="auto"/>
      </w:divBdr>
    </w:div>
    <w:div w:id="1112557535">
      <w:bodyDiv w:val="1"/>
      <w:marLeft w:val="0"/>
      <w:marRight w:val="0"/>
      <w:marTop w:val="0"/>
      <w:marBottom w:val="0"/>
      <w:divBdr>
        <w:top w:val="none" w:sz="0" w:space="0" w:color="auto"/>
        <w:left w:val="none" w:sz="0" w:space="0" w:color="auto"/>
        <w:bottom w:val="none" w:sz="0" w:space="0" w:color="auto"/>
        <w:right w:val="none" w:sz="0" w:space="0" w:color="auto"/>
      </w:divBdr>
    </w:div>
    <w:div w:id="1143497267">
      <w:bodyDiv w:val="1"/>
      <w:marLeft w:val="0"/>
      <w:marRight w:val="0"/>
      <w:marTop w:val="0"/>
      <w:marBottom w:val="0"/>
      <w:divBdr>
        <w:top w:val="none" w:sz="0" w:space="0" w:color="auto"/>
        <w:left w:val="none" w:sz="0" w:space="0" w:color="auto"/>
        <w:bottom w:val="none" w:sz="0" w:space="0" w:color="auto"/>
        <w:right w:val="none" w:sz="0" w:space="0" w:color="auto"/>
      </w:divBdr>
    </w:div>
    <w:div w:id="1150367778">
      <w:bodyDiv w:val="1"/>
      <w:marLeft w:val="0"/>
      <w:marRight w:val="0"/>
      <w:marTop w:val="0"/>
      <w:marBottom w:val="0"/>
      <w:divBdr>
        <w:top w:val="none" w:sz="0" w:space="0" w:color="auto"/>
        <w:left w:val="none" w:sz="0" w:space="0" w:color="auto"/>
        <w:bottom w:val="none" w:sz="0" w:space="0" w:color="auto"/>
        <w:right w:val="none" w:sz="0" w:space="0" w:color="auto"/>
      </w:divBdr>
    </w:div>
    <w:div w:id="1168835545">
      <w:bodyDiv w:val="1"/>
      <w:marLeft w:val="0"/>
      <w:marRight w:val="0"/>
      <w:marTop w:val="0"/>
      <w:marBottom w:val="0"/>
      <w:divBdr>
        <w:top w:val="none" w:sz="0" w:space="0" w:color="auto"/>
        <w:left w:val="none" w:sz="0" w:space="0" w:color="auto"/>
        <w:bottom w:val="none" w:sz="0" w:space="0" w:color="auto"/>
        <w:right w:val="none" w:sz="0" w:space="0" w:color="auto"/>
      </w:divBdr>
    </w:div>
    <w:div w:id="1177845109">
      <w:bodyDiv w:val="1"/>
      <w:marLeft w:val="0"/>
      <w:marRight w:val="0"/>
      <w:marTop w:val="0"/>
      <w:marBottom w:val="0"/>
      <w:divBdr>
        <w:top w:val="none" w:sz="0" w:space="0" w:color="auto"/>
        <w:left w:val="none" w:sz="0" w:space="0" w:color="auto"/>
        <w:bottom w:val="none" w:sz="0" w:space="0" w:color="auto"/>
        <w:right w:val="none" w:sz="0" w:space="0" w:color="auto"/>
      </w:divBdr>
    </w:div>
    <w:div w:id="1217667931">
      <w:bodyDiv w:val="1"/>
      <w:marLeft w:val="0"/>
      <w:marRight w:val="0"/>
      <w:marTop w:val="0"/>
      <w:marBottom w:val="0"/>
      <w:divBdr>
        <w:top w:val="none" w:sz="0" w:space="0" w:color="auto"/>
        <w:left w:val="none" w:sz="0" w:space="0" w:color="auto"/>
        <w:bottom w:val="none" w:sz="0" w:space="0" w:color="auto"/>
        <w:right w:val="none" w:sz="0" w:space="0" w:color="auto"/>
      </w:divBdr>
    </w:div>
    <w:div w:id="1271402235">
      <w:bodyDiv w:val="1"/>
      <w:marLeft w:val="0"/>
      <w:marRight w:val="0"/>
      <w:marTop w:val="0"/>
      <w:marBottom w:val="0"/>
      <w:divBdr>
        <w:top w:val="none" w:sz="0" w:space="0" w:color="auto"/>
        <w:left w:val="none" w:sz="0" w:space="0" w:color="auto"/>
        <w:bottom w:val="none" w:sz="0" w:space="0" w:color="auto"/>
        <w:right w:val="none" w:sz="0" w:space="0" w:color="auto"/>
      </w:divBdr>
    </w:div>
    <w:div w:id="1288581817">
      <w:bodyDiv w:val="1"/>
      <w:marLeft w:val="0"/>
      <w:marRight w:val="0"/>
      <w:marTop w:val="0"/>
      <w:marBottom w:val="0"/>
      <w:divBdr>
        <w:top w:val="none" w:sz="0" w:space="0" w:color="auto"/>
        <w:left w:val="none" w:sz="0" w:space="0" w:color="auto"/>
        <w:bottom w:val="none" w:sz="0" w:space="0" w:color="auto"/>
        <w:right w:val="none" w:sz="0" w:space="0" w:color="auto"/>
      </w:divBdr>
    </w:div>
    <w:div w:id="1310354984">
      <w:bodyDiv w:val="1"/>
      <w:marLeft w:val="0"/>
      <w:marRight w:val="0"/>
      <w:marTop w:val="0"/>
      <w:marBottom w:val="0"/>
      <w:divBdr>
        <w:top w:val="none" w:sz="0" w:space="0" w:color="auto"/>
        <w:left w:val="none" w:sz="0" w:space="0" w:color="auto"/>
        <w:bottom w:val="none" w:sz="0" w:space="0" w:color="auto"/>
        <w:right w:val="none" w:sz="0" w:space="0" w:color="auto"/>
      </w:divBdr>
    </w:div>
    <w:div w:id="1358701610">
      <w:bodyDiv w:val="1"/>
      <w:marLeft w:val="0"/>
      <w:marRight w:val="0"/>
      <w:marTop w:val="0"/>
      <w:marBottom w:val="0"/>
      <w:divBdr>
        <w:top w:val="none" w:sz="0" w:space="0" w:color="auto"/>
        <w:left w:val="none" w:sz="0" w:space="0" w:color="auto"/>
        <w:bottom w:val="none" w:sz="0" w:space="0" w:color="auto"/>
        <w:right w:val="none" w:sz="0" w:space="0" w:color="auto"/>
      </w:divBdr>
    </w:div>
    <w:div w:id="1401904456">
      <w:bodyDiv w:val="1"/>
      <w:marLeft w:val="0"/>
      <w:marRight w:val="0"/>
      <w:marTop w:val="0"/>
      <w:marBottom w:val="0"/>
      <w:divBdr>
        <w:top w:val="none" w:sz="0" w:space="0" w:color="auto"/>
        <w:left w:val="none" w:sz="0" w:space="0" w:color="auto"/>
        <w:bottom w:val="none" w:sz="0" w:space="0" w:color="auto"/>
        <w:right w:val="none" w:sz="0" w:space="0" w:color="auto"/>
      </w:divBdr>
    </w:div>
    <w:div w:id="1434977601">
      <w:bodyDiv w:val="1"/>
      <w:marLeft w:val="0"/>
      <w:marRight w:val="0"/>
      <w:marTop w:val="0"/>
      <w:marBottom w:val="0"/>
      <w:divBdr>
        <w:top w:val="none" w:sz="0" w:space="0" w:color="auto"/>
        <w:left w:val="none" w:sz="0" w:space="0" w:color="auto"/>
        <w:bottom w:val="none" w:sz="0" w:space="0" w:color="auto"/>
        <w:right w:val="none" w:sz="0" w:space="0" w:color="auto"/>
      </w:divBdr>
    </w:div>
    <w:div w:id="1439106541">
      <w:bodyDiv w:val="1"/>
      <w:marLeft w:val="0"/>
      <w:marRight w:val="0"/>
      <w:marTop w:val="0"/>
      <w:marBottom w:val="0"/>
      <w:divBdr>
        <w:top w:val="none" w:sz="0" w:space="0" w:color="auto"/>
        <w:left w:val="none" w:sz="0" w:space="0" w:color="auto"/>
        <w:bottom w:val="none" w:sz="0" w:space="0" w:color="auto"/>
        <w:right w:val="none" w:sz="0" w:space="0" w:color="auto"/>
      </w:divBdr>
    </w:div>
    <w:div w:id="1453094123">
      <w:bodyDiv w:val="1"/>
      <w:marLeft w:val="0"/>
      <w:marRight w:val="0"/>
      <w:marTop w:val="0"/>
      <w:marBottom w:val="0"/>
      <w:divBdr>
        <w:top w:val="none" w:sz="0" w:space="0" w:color="auto"/>
        <w:left w:val="none" w:sz="0" w:space="0" w:color="auto"/>
        <w:bottom w:val="none" w:sz="0" w:space="0" w:color="auto"/>
        <w:right w:val="none" w:sz="0" w:space="0" w:color="auto"/>
      </w:divBdr>
    </w:div>
    <w:div w:id="1514806912">
      <w:bodyDiv w:val="1"/>
      <w:marLeft w:val="0"/>
      <w:marRight w:val="0"/>
      <w:marTop w:val="0"/>
      <w:marBottom w:val="0"/>
      <w:divBdr>
        <w:top w:val="none" w:sz="0" w:space="0" w:color="auto"/>
        <w:left w:val="none" w:sz="0" w:space="0" w:color="auto"/>
        <w:bottom w:val="none" w:sz="0" w:space="0" w:color="auto"/>
        <w:right w:val="none" w:sz="0" w:space="0" w:color="auto"/>
      </w:divBdr>
    </w:div>
    <w:div w:id="1529029694">
      <w:bodyDiv w:val="1"/>
      <w:marLeft w:val="0"/>
      <w:marRight w:val="0"/>
      <w:marTop w:val="0"/>
      <w:marBottom w:val="0"/>
      <w:divBdr>
        <w:top w:val="none" w:sz="0" w:space="0" w:color="auto"/>
        <w:left w:val="none" w:sz="0" w:space="0" w:color="auto"/>
        <w:bottom w:val="none" w:sz="0" w:space="0" w:color="auto"/>
        <w:right w:val="none" w:sz="0" w:space="0" w:color="auto"/>
      </w:divBdr>
    </w:div>
    <w:div w:id="1536505849">
      <w:bodyDiv w:val="1"/>
      <w:marLeft w:val="0"/>
      <w:marRight w:val="0"/>
      <w:marTop w:val="0"/>
      <w:marBottom w:val="0"/>
      <w:divBdr>
        <w:top w:val="none" w:sz="0" w:space="0" w:color="auto"/>
        <w:left w:val="none" w:sz="0" w:space="0" w:color="auto"/>
        <w:bottom w:val="none" w:sz="0" w:space="0" w:color="auto"/>
        <w:right w:val="none" w:sz="0" w:space="0" w:color="auto"/>
      </w:divBdr>
    </w:div>
    <w:div w:id="1551765815">
      <w:bodyDiv w:val="1"/>
      <w:marLeft w:val="0"/>
      <w:marRight w:val="0"/>
      <w:marTop w:val="0"/>
      <w:marBottom w:val="0"/>
      <w:divBdr>
        <w:top w:val="none" w:sz="0" w:space="0" w:color="auto"/>
        <w:left w:val="none" w:sz="0" w:space="0" w:color="auto"/>
        <w:bottom w:val="none" w:sz="0" w:space="0" w:color="auto"/>
        <w:right w:val="none" w:sz="0" w:space="0" w:color="auto"/>
      </w:divBdr>
    </w:div>
    <w:div w:id="1657999198">
      <w:bodyDiv w:val="1"/>
      <w:marLeft w:val="0"/>
      <w:marRight w:val="0"/>
      <w:marTop w:val="0"/>
      <w:marBottom w:val="0"/>
      <w:divBdr>
        <w:top w:val="none" w:sz="0" w:space="0" w:color="auto"/>
        <w:left w:val="none" w:sz="0" w:space="0" w:color="auto"/>
        <w:bottom w:val="none" w:sz="0" w:space="0" w:color="auto"/>
        <w:right w:val="none" w:sz="0" w:space="0" w:color="auto"/>
      </w:divBdr>
    </w:div>
    <w:div w:id="1686515267">
      <w:bodyDiv w:val="1"/>
      <w:marLeft w:val="0"/>
      <w:marRight w:val="0"/>
      <w:marTop w:val="0"/>
      <w:marBottom w:val="0"/>
      <w:divBdr>
        <w:top w:val="none" w:sz="0" w:space="0" w:color="auto"/>
        <w:left w:val="none" w:sz="0" w:space="0" w:color="auto"/>
        <w:bottom w:val="none" w:sz="0" w:space="0" w:color="auto"/>
        <w:right w:val="none" w:sz="0" w:space="0" w:color="auto"/>
      </w:divBdr>
    </w:div>
    <w:div w:id="1727951120">
      <w:bodyDiv w:val="1"/>
      <w:marLeft w:val="0"/>
      <w:marRight w:val="0"/>
      <w:marTop w:val="0"/>
      <w:marBottom w:val="0"/>
      <w:divBdr>
        <w:top w:val="none" w:sz="0" w:space="0" w:color="auto"/>
        <w:left w:val="none" w:sz="0" w:space="0" w:color="auto"/>
        <w:bottom w:val="none" w:sz="0" w:space="0" w:color="auto"/>
        <w:right w:val="none" w:sz="0" w:space="0" w:color="auto"/>
      </w:divBdr>
    </w:div>
    <w:div w:id="1732659386">
      <w:bodyDiv w:val="1"/>
      <w:marLeft w:val="0"/>
      <w:marRight w:val="0"/>
      <w:marTop w:val="0"/>
      <w:marBottom w:val="0"/>
      <w:divBdr>
        <w:top w:val="none" w:sz="0" w:space="0" w:color="auto"/>
        <w:left w:val="none" w:sz="0" w:space="0" w:color="auto"/>
        <w:bottom w:val="none" w:sz="0" w:space="0" w:color="auto"/>
        <w:right w:val="none" w:sz="0" w:space="0" w:color="auto"/>
      </w:divBdr>
    </w:div>
    <w:div w:id="1740640036">
      <w:bodyDiv w:val="1"/>
      <w:marLeft w:val="0"/>
      <w:marRight w:val="0"/>
      <w:marTop w:val="0"/>
      <w:marBottom w:val="0"/>
      <w:divBdr>
        <w:top w:val="none" w:sz="0" w:space="0" w:color="auto"/>
        <w:left w:val="none" w:sz="0" w:space="0" w:color="auto"/>
        <w:bottom w:val="none" w:sz="0" w:space="0" w:color="auto"/>
        <w:right w:val="none" w:sz="0" w:space="0" w:color="auto"/>
      </w:divBdr>
    </w:div>
    <w:div w:id="1802574076">
      <w:bodyDiv w:val="1"/>
      <w:marLeft w:val="0"/>
      <w:marRight w:val="0"/>
      <w:marTop w:val="0"/>
      <w:marBottom w:val="0"/>
      <w:divBdr>
        <w:top w:val="none" w:sz="0" w:space="0" w:color="auto"/>
        <w:left w:val="none" w:sz="0" w:space="0" w:color="auto"/>
        <w:bottom w:val="none" w:sz="0" w:space="0" w:color="auto"/>
        <w:right w:val="none" w:sz="0" w:space="0" w:color="auto"/>
      </w:divBdr>
    </w:div>
    <w:div w:id="1819148965">
      <w:bodyDiv w:val="1"/>
      <w:marLeft w:val="0"/>
      <w:marRight w:val="0"/>
      <w:marTop w:val="0"/>
      <w:marBottom w:val="0"/>
      <w:divBdr>
        <w:top w:val="none" w:sz="0" w:space="0" w:color="auto"/>
        <w:left w:val="none" w:sz="0" w:space="0" w:color="auto"/>
        <w:bottom w:val="none" w:sz="0" w:space="0" w:color="auto"/>
        <w:right w:val="none" w:sz="0" w:space="0" w:color="auto"/>
      </w:divBdr>
    </w:div>
    <w:div w:id="1853563104">
      <w:bodyDiv w:val="1"/>
      <w:marLeft w:val="0"/>
      <w:marRight w:val="0"/>
      <w:marTop w:val="0"/>
      <w:marBottom w:val="0"/>
      <w:divBdr>
        <w:top w:val="none" w:sz="0" w:space="0" w:color="auto"/>
        <w:left w:val="none" w:sz="0" w:space="0" w:color="auto"/>
        <w:bottom w:val="none" w:sz="0" w:space="0" w:color="auto"/>
        <w:right w:val="none" w:sz="0" w:space="0" w:color="auto"/>
      </w:divBdr>
    </w:div>
    <w:div w:id="1860267830">
      <w:bodyDiv w:val="1"/>
      <w:marLeft w:val="0"/>
      <w:marRight w:val="0"/>
      <w:marTop w:val="0"/>
      <w:marBottom w:val="0"/>
      <w:divBdr>
        <w:top w:val="none" w:sz="0" w:space="0" w:color="auto"/>
        <w:left w:val="none" w:sz="0" w:space="0" w:color="auto"/>
        <w:bottom w:val="none" w:sz="0" w:space="0" w:color="auto"/>
        <w:right w:val="none" w:sz="0" w:space="0" w:color="auto"/>
      </w:divBdr>
    </w:div>
    <w:div w:id="1867333424">
      <w:bodyDiv w:val="1"/>
      <w:marLeft w:val="0"/>
      <w:marRight w:val="0"/>
      <w:marTop w:val="0"/>
      <w:marBottom w:val="0"/>
      <w:divBdr>
        <w:top w:val="none" w:sz="0" w:space="0" w:color="auto"/>
        <w:left w:val="none" w:sz="0" w:space="0" w:color="auto"/>
        <w:bottom w:val="none" w:sz="0" w:space="0" w:color="auto"/>
        <w:right w:val="none" w:sz="0" w:space="0" w:color="auto"/>
      </w:divBdr>
    </w:div>
    <w:div w:id="1876886003">
      <w:bodyDiv w:val="1"/>
      <w:marLeft w:val="0"/>
      <w:marRight w:val="0"/>
      <w:marTop w:val="0"/>
      <w:marBottom w:val="0"/>
      <w:divBdr>
        <w:top w:val="none" w:sz="0" w:space="0" w:color="auto"/>
        <w:left w:val="none" w:sz="0" w:space="0" w:color="auto"/>
        <w:bottom w:val="none" w:sz="0" w:space="0" w:color="auto"/>
        <w:right w:val="none" w:sz="0" w:space="0" w:color="auto"/>
      </w:divBdr>
    </w:div>
    <w:div w:id="1918467778">
      <w:bodyDiv w:val="1"/>
      <w:marLeft w:val="0"/>
      <w:marRight w:val="0"/>
      <w:marTop w:val="0"/>
      <w:marBottom w:val="0"/>
      <w:divBdr>
        <w:top w:val="none" w:sz="0" w:space="0" w:color="auto"/>
        <w:left w:val="none" w:sz="0" w:space="0" w:color="auto"/>
        <w:bottom w:val="none" w:sz="0" w:space="0" w:color="auto"/>
        <w:right w:val="none" w:sz="0" w:space="0" w:color="auto"/>
      </w:divBdr>
    </w:div>
    <w:div w:id="1935703941">
      <w:bodyDiv w:val="1"/>
      <w:marLeft w:val="0"/>
      <w:marRight w:val="0"/>
      <w:marTop w:val="0"/>
      <w:marBottom w:val="0"/>
      <w:divBdr>
        <w:top w:val="none" w:sz="0" w:space="0" w:color="auto"/>
        <w:left w:val="none" w:sz="0" w:space="0" w:color="auto"/>
        <w:bottom w:val="none" w:sz="0" w:space="0" w:color="auto"/>
        <w:right w:val="none" w:sz="0" w:space="0" w:color="auto"/>
      </w:divBdr>
    </w:div>
    <w:div w:id="1965384671">
      <w:bodyDiv w:val="1"/>
      <w:marLeft w:val="0"/>
      <w:marRight w:val="0"/>
      <w:marTop w:val="0"/>
      <w:marBottom w:val="0"/>
      <w:divBdr>
        <w:top w:val="none" w:sz="0" w:space="0" w:color="auto"/>
        <w:left w:val="none" w:sz="0" w:space="0" w:color="auto"/>
        <w:bottom w:val="none" w:sz="0" w:space="0" w:color="auto"/>
        <w:right w:val="none" w:sz="0" w:space="0" w:color="auto"/>
      </w:divBdr>
    </w:div>
    <w:div w:id="1985234815">
      <w:bodyDiv w:val="1"/>
      <w:marLeft w:val="0"/>
      <w:marRight w:val="0"/>
      <w:marTop w:val="0"/>
      <w:marBottom w:val="0"/>
      <w:divBdr>
        <w:top w:val="none" w:sz="0" w:space="0" w:color="auto"/>
        <w:left w:val="none" w:sz="0" w:space="0" w:color="auto"/>
        <w:bottom w:val="none" w:sz="0" w:space="0" w:color="auto"/>
        <w:right w:val="none" w:sz="0" w:space="0" w:color="auto"/>
      </w:divBdr>
    </w:div>
    <w:div w:id="2010861158">
      <w:bodyDiv w:val="1"/>
      <w:marLeft w:val="0"/>
      <w:marRight w:val="0"/>
      <w:marTop w:val="0"/>
      <w:marBottom w:val="0"/>
      <w:divBdr>
        <w:top w:val="none" w:sz="0" w:space="0" w:color="auto"/>
        <w:left w:val="none" w:sz="0" w:space="0" w:color="auto"/>
        <w:bottom w:val="none" w:sz="0" w:space="0" w:color="auto"/>
        <w:right w:val="none" w:sz="0" w:space="0" w:color="auto"/>
      </w:divBdr>
    </w:div>
    <w:div w:id="2047410985">
      <w:bodyDiv w:val="1"/>
      <w:marLeft w:val="0"/>
      <w:marRight w:val="0"/>
      <w:marTop w:val="0"/>
      <w:marBottom w:val="0"/>
      <w:divBdr>
        <w:top w:val="none" w:sz="0" w:space="0" w:color="auto"/>
        <w:left w:val="none" w:sz="0" w:space="0" w:color="auto"/>
        <w:bottom w:val="none" w:sz="0" w:space="0" w:color="auto"/>
        <w:right w:val="none" w:sz="0" w:space="0" w:color="auto"/>
      </w:divBdr>
    </w:div>
    <w:div w:id="2056853938">
      <w:bodyDiv w:val="1"/>
      <w:marLeft w:val="0"/>
      <w:marRight w:val="0"/>
      <w:marTop w:val="0"/>
      <w:marBottom w:val="0"/>
      <w:divBdr>
        <w:top w:val="none" w:sz="0" w:space="0" w:color="auto"/>
        <w:left w:val="none" w:sz="0" w:space="0" w:color="auto"/>
        <w:bottom w:val="none" w:sz="0" w:space="0" w:color="auto"/>
        <w:right w:val="none" w:sz="0" w:space="0" w:color="auto"/>
      </w:divBdr>
    </w:div>
    <w:div w:id="2081442316">
      <w:bodyDiv w:val="1"/>
      <w:marLeft w:val="0"/>
      <w:marRight w:val="0"/>
      <w:marTop w:val="0"/>
      <w:marBottom w:val="0"/>
      <w:divBdr>
        <w:top w:val="none" w:sz="0" w:space="0" w:color="auto"/>
        <w:left w:val="none" w:sz="0" w:space="0" w:color="auto"/>
        <w:bottom w:val="none" w:sz="0" w:space="0" w:color="auto"/>
        <w:right w:val="none" w:sz="0" w:space="0" w:color="auto"/>
      </w:divBdr>
    </w:div>
    <w:div w:id="2083595444">
      <w:bodyDiv w:val="1"/>
      <w:marLeft w:val="0"/>
      <w:marRight w:val="0"/>
      <w:marTop w:val="0"/>
      <w:marBottom w:val="0"/>
      <w:divBdr>
        <w:top w:val="none" w:sz="0" w:space="0" w:color="auto"/>
        <w:left w:val="none" w:sz="0" w:space="0" w:color="auto"/>
        <w:bottom w:val="none" w:sz="0" w:space="0" w:color="auto"/>
        <w:right w:val="none" w:sz="0" w:space="0" w:color="auto"/>
      </w:divBdr>
    </w:div>
    <w:div w:id="2100522127">
      <w:bodyDiv w:val="1"/>
      <w:marLeft w:val="0"/>
      <w:marRight w:val="0"/>
      <w:marTop w:val="0"/>
      <w:marBottom w:val="0"/>
      <w:divBdr>
        <w:top w:val="none" w:sz="0" w:space="0" w:color="auto"/>
        <w:left w:val="none" w:sz="0" w:space="0" w:color="auto"/>
        <w:bottom w:val="none" w:sz="0" w:space="0" w:color="auto"/>
        <w:right w:val="none" w:sz="0" w:space="0" w:color="auto"/>
      </w:divBdr>
    </w:div>
    <w:div w:id="212876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j.pmedr.2017.02.021" TargetMode="External"/><Relationship Id="rId3" Type="http://schemas.openxmlformats.org/officeDocument/2006/relationships/settings" Target="settings.xml"/><Relationship Id="rId7" Type="http://schemas.openxmlformats.org/officeDocument/2006/relationships/hyperlink" Target="https://www.nice.org.uk/guidance/ph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2147/AHMT.S101631" TargetMode="External"/><Relationship Id="rId11" Type="http://schemas.openxmlformats.org/officeDocument/2006/relationships/theme" Target="theme/theme1.xml"/><Relationship Id="rId5" Type="http://schemas.openxmlformats.org/officeDocument/2006/relationships/hyperlink" Target="mailto:Garcia.ashdown_franks@kc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i.org/10.1016/j.pmedr.2016.0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6417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2018-09-28T13:26:00Z</cp:lastPrinted>
  <dcterms:created xsi:type="dcterms:W3CDTF">2019-01-07T05:41:00Z</dcterms:created>
  <dcterms:modified xsi:type="dcterms:W3CDTF">2019-01-07T05:41:00Z</dcterms:modified>
</cp:coreProperties>
</file>